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drawings/drawing1.xml" ContentType="application/vnd.openxmlformats-officedocument.drawingml.chartshapes+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drawings/drawing2.xml" ContentType="application/vnd.openxmlformats-officedocument.drawingml.chartshapes+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drawings/drawing3.xml" ContentType="application/vnd.openxmlformats-officedocument.drawingml.chartshapes+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16="http://schemas.microsoft.com/office/drawing/2014/main" xmlns:c="http://schemas.openxmlformats.org/drawingml/2006/char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163CEC" w:rsidR="00133C0F" w:rsidP="00133C0F" w:rsidRDefault="009E43B6" w14:paraId="2023CE6A" w14:textId="0CEC155A">
      <w:pPr>
        <w:pStyle w:val="Kopvaninhoudsopgave"/>
        <w:rPr>
          <w:b/>
          <w:bCs/>
          <w:color w:val="215592"/>
          <w:sz w:val="24"/>
          <w:szCs w:val="28"/>
          <w:lang w:val="nl-NL"/>
        </w:rPr>
      </w:pPr>
      <w:bookmarkStart w:name="_Hlk158031165" w:id="0"/>
      <w:bookmarkStart w:name="_Toc125541239" w:id="1"/>
      <w:bookmarkStart w:name="_Toc127528889" w:id="2"/>
      <w:r w:rsidRPr="009E43B6">
        <w:rPr>
          <w:b/>
          <w:bCs/>
          <w:color w:val="215592"/>
          <w:sz w:val="24"/>
          <w:szCs w:val="28"/>
          <w:lang w:val="nl-NL"/>
        </w:rPr>
        <w:t xml:space="preserve">Bouwen aan de </w:t>
      </w:r>
      <w:r w:rsidR="00E94550">
        <w:rPr>
          <w:b/>
          <w:bCs/>
          <w:color w:val="215592"/>
          <w:sz w:val="24"/>
          <w:szCs w:val="28"/>
          <w:lang w:val="nl-NL"/>
        </w:rPr>
        <w:t>b</w:t>
      </w:r>
      <w:r w:rsidRPr="009E43B6">
        <w:rPr>
          <w:b/>
          <w:bCs/>
          <w:color w:val="215592"/>
          <w:sz w:val="24"/>
          <w:szCs w:val="28"/>
          <w:lang w:val="nl-NL"/>
        </w:rPr>
        <w:t xml:space="preserve">asis: Resultaten en </w:t>
      </w:r>
      <w:r w:rsidR="00E94550">
        <w:rPr>
          <w:b/>
          <w:bCs/>
          <w:color w:val="215592"/>
          <w:sz w:val="24"/>
          <w:szCs w:val="28"/>
          <w:lang w:val="nl-NL"/>
        </w:rPr>
        <w:t>r</w:t>
      </w:r>
      <w:r w:rsidRPr="009E43B6">
        <w:rPr>
          <w:b/>
          <w:bCs/>
          <w:color w:val="215592"/>
          <w:sz w:val="24"/>
          <w:szCs w:val="28"/>
          <w:lang w:val="nl-NL"/>
        </w:rPr>
        <w:t xml:space="preserve">eflecties op </w:t>
      </w:r>
      <w:r w:rsidR="00E94550">
        <w:rPr>
          <w:b/>
          <w:bCs/>
          <w:color w:val="215592"/>
          <w:sz w:val="24"/>
          <w:szCs w:val="28"/>
          <w:lang w:val="nl-NL"/>
        </w:rPr>
        <w:t>v</w:t>
      </w:r>
      <w:r w:rsidRPr="009E43B6">
        <w:rPr>
          <w:b/>
          <w:bCs/>
          <w:color w:val="215592"/>
          <w:sz w:val="24"/>
          <w:szCs w:val="28"/>
          <w:lang w:val="nl-NL"/>
        </w:rPr>
        <w:t xml:space="preserve">ier </w:t>
      </w:r>
      <w:r w:rsidR="00E94550">
        <w:rPr>
          <w:b/>
          <w:bCs/>
          <w:color w:val="215592"/>
          <w:sz w:val="24"/>
          <w:szCs w:val="28"/>
          <w:lang w:val="nl-NL"/>
        </w:rPr>
        <w:t>j</w:t>
      </w:r>
      <w:r w:rsidRPr="009E43B6">
        <w:rPr>
          <w:b/>
          <w:bCs/>
          <w:color w:val="215592"/>
          <w:sz w:val="24"/>
          <w:szCs w:val="28"/>
          <w:lang w:val="nl-NL"/>
        </w:rPr>
        <w:t>aar Sterk Techniekonderwijs</w:t>
      </w:r>
      <w:r w:rsidR="00E94550">
        <w:rPr>
          <w:b/>
          <w:bCs/>
          <w:color w:val="215592"/>
          <w:sz w:val="24"/>
          <w:szCs w:val="28"/>
          <w:lang w:val="nl-NL"/>
        </w:rPr>
        <w:t xml:space="preserve"> (STO)</w:t>
      </w:r>
      <w:r w:rsidRPr="009E43B6">
        <w:rPr>
          <w:b/>
          <w:bCs/>
          <w:color w:val="215592"/>
          <w:sz w:val="24"/>
          <w:szCs w:val="28"/>
          <w:lang w:val="nl-NL"/>
        </w:rPr>
        <w:t xml:space="preserve">. Eindrapport monitor- en evaluatieonderzoek Sterk Techniekonderwijs 2025. </w:t>
      </w:r>
    </w:p>
    <w:p w:rsidR="00C01750" w:rsidP="00133C0F" w:rsidRDefault="00C01750" w14:paraId="5FECE09E" w14:textId="77777777">
      <w:pPr>
        <w:pStyle w:val="Plattetekst"/>
        <w:rPr>
          <w:lang w:eastAsia="en-US"/>
        </w:rPr>
      </w:pPr>
    </w:p>
    <w:p w:rsidR="00133C0F" w:rsidP="00133C0F" w:rsidRDefault="00133C0F" w14:paraId="18B271D5" w14:textId="25916201">
      <w:pPr>
        <w:pStyle w:val="Plattetekst"/>
        <w:rPr>
          <w:lang w:eastAsia="en-US"/>
        </w:rPr>
      </w:pPr>
      <w:r>
        <w:rPr>
          <w:lang w:eastAsia="en-US"/>
        </w:rPr>
        <w:t>Rapportage 202</w:t>
      </w:r>
      <w:r w:rsidR="00B9119E">
        <w:rPr>
          <w:lang w:eastAsia="en-US"/>
        </w:rPr>
        <w:t>5</w:t>
      </w:r>
    </w:p>
    <w:p w:rsidR="00133C0F" w:rsidP="00133C0F" w:rsidRDefault="00133C0F" w14:paraId="10C5AA22" w14:textId="77777777">
      <w:pPr>
        <w:pStyle w:val="Plattetekst"/>
        <w:rPr>
          <w:lang w:eastAsia="en-US"/>
        </w:rPr>
      </w:pPr>
    </w:p>
    <w:p w:rsidR="00663676" w:rsidP="00C01750" w:rsidRDefault="00C01750" w14:paraId="4DC48595" w14:textId="6C5299A8">
      <w:pPr>
        <w:pStyle w:val="Plattetekst"/>
        <w:rPr>
          <w:lang w:eastAsia="en-US"/>
        </w:rPr>
      </w:pPr>
      <w:r w:rsidRPr="666DCFC1">
        <w:rPr>
          <w:lang w:eastAsia="en-US"/>
        </w:rPr>
        <w:t>Consortium KBA Nijmegen (Marjolein Muskens</w:t>
      </w:r>
      <w:r w:rsidRPr="666DCFC1" w:rsidR="006B18D0">
        <w:rPr>
          <w:lang w:eastAsia="en-US"/>
        </w:rPr>
        <w:t>,</w:t>
      </w:r>
      <w:r w:rsidRPr="666DCFC1" w:rsidR="00B9119E">
        <w:rPr>
          <w:lang w:eastAsia="en-US"/>
        </w:rPr>
        <w:t xml:space="preserve"> </w:t>
      </w:r>
      <w:r w:rsidR="00DC277D">
        <w:rPr>
          <w:lang w:eastAsia="en-US"/>
        </w:rPr>
        <w:t xml:space="preserve">Babs Jacobs, </w:t>
      </w:r>
      <w:r w:rsidRPr="666DCFC1" w:rsidR="00B9119E">
        <w:rPr>
          <w:lang w:eastAsia="en-US"/>
        </w:rPr>
        <w:t>Isis Derks, Dani</w:t>
      </w:r>
      <w:r w:rsidRPr="666DCFC1" w:rsidR="002018FD">
        <w:rPr>
          <w:lang w:eastAsia="en-US"/>
        </w:rPr>
        <w:t>ë</w:t>
      </w:r>
      <w:r w:rsidRPr="666DCFC1" w:rsidR="00B9119E">
        <w:rPr>
          <w:lang w:eastAsia="en-US"/>
        </w:rPr>
        <w:t>lle van Helvoirt</w:t>
      </w:r>
      <w:r w:rsidRPr="666DCFC1">
        <w:rPr>
          <w:lang w:eastAsia="en-US"/>
        </w:rPr>
        <w:t>), Bureau Turf (Eva Voncken), ResearchNed (Wouter van Casteren</w:t>
      </w:r>
      <w:r w:rsidRPr="666DCFC1" w:rsidR="00B9119E">
        <w:rPr>
          <w:lang w:eastAsia="en-US"/>
        </w:rPr>
        <w:t>, Anne</w:t>
      </w:r>
      <w:r w:rsidRPr="666DCFC1" w:rsidR="007652F9">
        <w:rPr>
          <w:lang w:eastAsia="en-US"/>
        </w:rPr>
        <w:t xml:space="preserve"> Groot</w:t>
      </w:r>
      <w:r w:rsidRPr="666DCFC1">
        <w:rPr>
          <w:lang w:eastAsia="en-US"/>
        </w:rPr>
        <w:t>), ROA (</w:t>
      </w:r>
      <w:r w:rsidRPr="666DCFC1" w:rsidR="007652F9">
        <w:rPr>
          <w:lang w:eastAsia="en-US"/>
        </w:rPr>
        <w:t xml:space="preserve">Melline </w:t>
      </w:r>
      <w:r w:rsidRPr="666DCFC1" w:rsidR="006B18D0">
        <w:rPr>
          <w:lang w:eastAsia="en-US"/>
        </w:rPr>
        <w:t xml:space="preserve">Somers, </w:t>
      </w:r>
      <w:r w:rsidRPr="666DCFC1">
        <w:rPr>
          <w:lang w:eastAsia="en-US"/>
        </w:rPr>
        <w:t>Sabine Baumann</w:t>
      </w:r>
      <w:r w:rsidRPr="666DCFC1" w:rsidR="006B18D0">
        <w:rPr>
          <w:lang w:eastAsia="en-US"/>
        </w:rPr>
        <w:t xml:space="preserve">, </w:t>
      </w:r>
      <w:r w:rsidRPr="666DCFC1" w:rsidR="070A83ED">
        <w:rPr>
          <w:lang w:eastAsia="en-US"/>
        </w:rPr>
        <w:t xml:space="preserve">Nadine </w:t>
      </w:r>
      <w:r w:rsidRPr="666DCFC1" w:rsidR="69005ADB">
        <w:rPr>
          <w:lang w:eastAsia="en-US"/>
        </w:rPr>
        <w:t xml:space="preserve">van </w:t>
      </w:r>
      <w:r w:rsidRPr="666DCFC1" w:rsidR="070A83ED">
        <w:rPr>
          <w:lang w:eastAsia="en-US"/>
        </w:rPr>
        <w:t>Gu</w:t>
      </w:r>
      <w:r w:rsidRPr="666DCFC1" w:rsidR="364B3EE5">
        <w:rPr>
          <w:lang w:eastAsia="en-US"/>
        </w:rPr>
        <w:t>i</w:t>
      </w:r>
      <w:r w:rsidRPr="666DCFC1" w:rsidR="070A83ED">
        <w:rPr>
          <w:lang w:eastAsia="en-US"/>
        </w:rPr>
        <w:t xml:space="preserve">lik, </w:t>
      </w:r>
      <w:r w:rsidRPr="666DCFC1" w:rsidR="006B18D0">
        <w:rPr>
          <w:lang w:eastAsia="en-US"/>
        </w:rPr>
        <w:t>Jessie Bakens</w:t>
      </w:r>
      <w:r w:rsidRPr="666DCFC1">
        <w:rPr>
          <w:lang w:eastAsia="en-US"/>
        </w:rPr>
        <w:t>), SEO (</w:t>
      </w:r>
      <w:r w:rsidRPr="666DCFC1" w:rsidR="00964976">
        <w:rPr>
          <w:lang w:eastAsia="en-US"/>
        </w:rPr>
        <w:t xml:space="preserve">Tyas Prevoo, </w:t>
      </w:r>
      <w:r w:rsidRPr="666DCFC1">
        <w:rPr>
          <w:lang w:eastAsia="en-US"/>
        </w:rPr>
        <w:t xml:space="preserve">Koen van der Ven, Daniel Pritsch). </w:t>
      </w:r>
    </w:p>
    <w:p w:rsidR="00663676" w:rsidRDefault="00663676" w14:paraId="4650CBC0" w14:textId="77777777">
      <w:pPr>
        <w:spacing w:after="160" w:line="259" w:lineRule="auto"/>
        <w:rPr>
          <w:lang w:eastAsia="en-US"/>
        </w:rPr>
      </w:pPr>
      <w:r>
        <w:rPr>
          <w:lang w:eastAsia="en-US"/>
        </w:rPr>
        <w:br w:type="page"/>
      </w:r>
    </w:p>
    <w:bookmarkEnd w:id="0"/>
    <w:p w:rsidR="00993B93" w:rsidP="00663676" w:rsidRDefault="00663676" w14:paraId="71D32ADA" w14:textId="6DEBBE9F">
      <w:pPr>
        <w:spacing w:after="160" w:line="259" w:lineRule="auto"/>
        <w:rPr>
          <w:b/>
          <w:bCs/>
        </w:rPr>
      </w:pPr>
      <w:r w:rsidRPr="00E64ECA">
        <w:rPr>
          <w:b/>
          <w:bCs/>
        </w:rPr>
        <w:lastRenderedPageBreak/>
        <w:t>Managementsamenvatting</w:t>
      </w:r>
    </w:p>
    <w:p w:rsidR="006149BD" w:rsidP="006149BD" w:rsidRDefault="006149BD" w14:paraId="42AAB904" w14:textId="73724364">
      <w:pPr>
        <w:spacing w:after="160" w:line="259" w:lineRule="auto"/>
        <w:rPr>
          <w:rFonts w:cs="Arial"/>
          <w:kern w:val="2"/>
        </w:rPr>
      </w:pPr>
      <w:r w:rsidRPr="538BEFCF">
        <w:rPr>
          <w:rFonts w:cs="Arial"/>
          <w:kern w:val="2"/>
        </w:rPr>
        <w:t>Een sterke technieksector is essentieel voor de economische ontwikkeling, innovatiekracht en verduurzaming van Nederland en vraagt om goed en toegankelijk technisch onderwijs dat aansluit op de behoeften van het mbo en de arbeidsmarkt.</w:t>
      </w:r>
      <w:r w:rsidR="0002755F">
        <w:rPr>
          <w:rFonts w:cs="Arial"/>
          <w:kern w:val="2"/>
        </w:rPr>
        <w:t xml:space="preserve"> </w:t>
      </w:r>
      <w:r w:rsidRPr="538BEFCF">
        <w:rPr>
          <w:rFonts w:cs="Arial"/>
          <w:kern w:val="2"/>
        </w:rPr>
        <w:t xml:space="preserve">Daarom is er met het programma </w:t>
      </w:r>
      <w:r w:rsidRPr="538BEFCF">
        <w:rPr>
          <w:rFonts w:cs="Arial"/>
          <w:i/>
          <w:iCs/>
          <w:kern w:val="2"/>
        </w:rPr>
        <w:t>Sterk Techniekonderwijs (STO)</w:t>
      </w:r>
      <w:r w:rsidRPr="538BEFCF">
        <w:rPr>
          <w:rFonts w:cs="Arial"/>
          <w:kern w:val="2"/>
        </w:rPr>
        <w:t xml:space="preserve"> </w:t>
      </w:r>
      <w:r w:rsidRPr="538BEFCF" w:rsidR="007652AD">
        <w:rPr>
          <w:rFonts w:cs="Arial"/>
          <w:kern w:val="2"/>
        </w:rPr>
        <w:t>tussen 2018 e</w:t>
      </w:r>
      <w:r w:rsidR="007652AD">
        <w:rPr>
          <w:rFonts w:cs="Arial"/>
          <w:kern w:val="2"/>
        </w:rPr>
        <w:t>n</w:t>
      </w:r>
      <w:r w:rsidRPr="538BEFCF">
        <w:rPr>
          <w:rFonts w:cs="Arial"/>
          <w:kern w:val="2"/>
        </w:rPr>
        <w:t xml:space="preserve"> 2024 jaarlijks 100 miljoen euro geïnvesteerd in het versterken van het technisch vmbo</w:t>
      </w:r>
      <w:r w:rsidR="003B4D68">
        <w:rPr>
          <w:rFonts w:cs="Arial"/>
          <w:kern w:val="2"/>
        </w:rPr>
        <w:t>, en in 2018 is besloten dit bedrag structureel jaarlijks te investeren</w:t>
      </w:r>
      <w:r w:rsidRPr="538BEFCF">
        <w:rPr>
          <w:rFonts w:cs="Arial"/>
          <w:kern w:val="2"/>
        </w:rPr>
        <w:t>.</w:t>
      </w:r>
      <w:r w:rsidR="00084A54">
        <w:rPr>
          <w:rFonts w:cs="Arial"/>
          <w:kern w:val="2"/>
        </w:rPr>
        <w:t xml:space="preserve"> </w:t>
      </w:r>
      <w:r w:rsidRPr="538BEFCF">
        <w:rPr>
          <w:rFonts w:cs="Arial"/>
          <w:kern w:val="2"/>
        </w:rPr>
        <w:t xml:space="preserve"> Dit betreft een structurele impuls voor kwaliteitsverbetering die ook na 2024 is voortgezet in een nieuwe regeling. Het doel is om via regionale samenwerking tussen basisscholen, het vmbo, mbo en het bedrijfsleven te komen tot een duurzaam, dekkend en kwalitatief hoogstaand technisch onderwijsaanbod. </w:t>
      </w:r>
      <w:r w:rsidR="00084A54">
        <w:rPr>
          <w:rFonts w:cs="Arial"/>
          <w:kern w:val="2"/>
        </w:rPr>
        <w:t>De achterliggende gedachte is dat t</w:t>
      </w:r>
      <w:r w:rsidRPr="00084A54" w:rsidR="00084A54">
        <w:rPr>
          <w:rFonts w:cs="Arial"/>
          <w:kern w:val="2"/>
        </w:rPr>
        <w:t xml:space="preserve">oegankelijk en landelijk dekkend technisch onderwijs alleen in samenwerking te realiseren is, </w:t>
      </w:r>
      <w:r w:rsidR="00377B2D">
        <w:rPr>
          <w:rFonts w:cs="Arial"/>
          <w:kern w:val="2"/>
        </w:rPr>
        <w:t xml:space="preserve">ook </w:t>
      </w:r>
      <w:r w:rsidRPr="00084A54" w:rsidR="00084A54">
        <w:rPr>
          <w:rFonts w:cs="Arial"/>
          <w:kern w:val="2"/>
        </w:rPr>
        <w:t>vanwege de uitdagingen waar het onderwijs voor staat</w:t>
      </w:r>
      <w:r w:rsidR="00377B2D">
        <w:rPr>
          <w:rFonts w:cs="Arial"/>
          <w:kern w:val="2"/>
        </w:rPr>
        <w:t xml:space="preserve"> zoals bijvoorbeeld een (dreigend) lerarentekort</w:t>
      </w:r>
      <w:r w:rsidRPr="00084A54" w:rsidR="00084A54">
        <w:rPr>
          <w:rFonts w:cs="Arial"/>
          <w:kern w:val="2"/>
        </w:rPr>
        <w:t>.</w:t>
      </w:r>
      <w:r w:rsidR="00377B2D">
        <w:rPr>
          <w:rFonts w:cs="Arial"/>
          <w:kern w:val="2"/>
        </w:rPr>
        <w:t xml:space="preserve"> </w:t>
      </w:r>
      <w:r w:rsidRPr="538BEFCF">
        <w:rPr>
          <w:rFonts w:cs="Arial"/>
          <w:kern w:val="2"/>
        </w:rPr>
        <w:t>In een monitor- en evaluatieonderzoek zijn</w:t>
      </w:r>
      <w:r>
        <w:rPr>
          <w:rFonts w:cs="Arial"/>
          <w:kern w:val="2"/>
        </w:rPr>
        <w:t xml:space="preserve"> </w:t>
      </w:r>
      <w:r w:rsidRPr="538BEFCF">
        <w:rPr>
          <w:rFonts w:cs="Arial"/>
          <w:kern w:val="2"/>
        </w:rPr>
        <w:t>de invulling en impact van STO in de eerste periode tot en met 2024 onderzocht.</w:t>
      </w:r>
      <w:r w:rsidR="00CD675E">
        <w:rPr>
          <w:rFonts w:cs="Arial"/>
          <w:kern w:val="2"/>
        </w:rPr>
        <w:t xml:space="preserve"> De hoofdvraag van het onderzoek luidt: </w:t>
      </w:r>
      <w:r w:rsidRPr="00CD675E" w:rsidR="00CD675E">
        <w:rPr>
          <w:rFonts w:cs="Arial"/>
          <w:kern w:val="2"/>
        </w:rPr>
        <w:t>In hoeverre heeft de eerste fase van het programma Sterk Techniekonderwijs (2020–2024) bijgedragen aan het realiseren van duurzaam, dekkend en kwalitatief hoogstaand technisch onderwijs in de regio’s, en wat is de merkbare en meetbare impact hiervan op de betrokken actoren (leerlingen, docenten, scholen, bedrijven en regio’s)?</w:t>
      </w:r>
    </w:p>
    <w:p w:rsidR="006149BD" w:rsidP="006149BD" w:rsidRDefault="006149BD" w14:paraId="2A88B3D5" w14:textId="77777777">
      <w:pPr>
        <w:spacing w:after="160" w:line="259" w:lineRule="auto"/>
        <w:rPr>
          <w:rFonts w:cs="Arial"/>
        </w:rPr>
      </w:pPr>
      <w:r w:rsidRPr="538BEFCF">
        <w:rPr>
          <w:rFonts w:cs="Arial"/>
          <w:kern w:val="2"/>
        </w:rPr>
        <w:t xml:space="preserve">In dit eindrapport doen we verslag van </w:t>
      </w:r>
      <w:r w:rsidRPr="65B54E88">
        <w:rPr>
          <w:rFonts w:cs="Arial"/>
        </w:rPr>
        <w:t>di</w:t>
      </w:r>
      <w:r w:rsidRPr="538BEFCF">
        <w:rPr>
          <w:rFonts w:cs="Arial"/>
          <w:kern w:val="2"/>
        </w:rPr>
        <w:t>t onderzoek</w:t>
      </w:r>
      <w:r>
        <w:rPr>
          <w:rFonts w:cs="Arial"/>
          <w:kern w:val="2"/>
        </w:rPr>
        <w:t>,</w:t>
      </w:r>
      <w:r w:rsidRPr="65B54E88">
        <w:rPr>
          <w:rFonts w:cs="Arial"/>
        </w:rPr>
        <w:t xml:space="preserve"> waarin</w:t>
      </w:r>
      <w:r w:rsidRPr="538BEFCF">
        <w:rPr>
          <w:rFonts w:cs="Arial"/>
          <w:kern w:val="2"/>
        </w:rPr>
        <w:t xml:space="preserve"> een mix van kwantitatieve en kwalitatieve instrumenten</w:t>
      </w:r>
      <w:r w:rsidRPr="65B54E88">
        <w:rPr>
          <w:rFonts w:cs="Arial"/>
        </w:rPr>
        <w:t xml:space="preserve"> is toegepast</w:t>
      </w:r>
      <w:r w:rsidRPr="538BEFCF">
        <w:rPr>
          <w:rFonts w:cs="Arial"/>
          <w:kern w:val="2"/>
        </w:rPr>
        <w:t xml:space="preserve">. Er zijn verdiepende casestudies en lesobservaties uitgevoerd, vragenlijsten afgenomen onder programmaleiders en lesgevenden in de profielen in het vmbo, en er zijn analyses uitgevoerd op data die betrekking hebben op leerlingstromen, ervaringen van leerlingen en beschikbaarheid van docenten (DUO, VO-monitor en IPTO). </w:t>
      </w:r>
      <w:r>
        <w:rPr>
          <w:rFonts w:cs="Arial"/>
        </w:rPr>
        <w:t>We vatten</w:t>
      </w:r>
      <w:r w:rsidRPr="538BEFCF">
        <w:rPr>
          <w:rFonts w:cs="Arial"/>
        </w:rPr>
        <w:t xml:space="preserve"> de resultaten thematisch samen. </w:t>
      </w:r>
    </w:p>
    <w:p w:rsidRPr="00BA6273" w:rsidR="006149BD" w:rsidP="006149BD" w:rsidRDefault="006149BD" w14:paraId="5967C300" w14:textId="0546F17F">
      <w:pPr>
        <w:spacing w:after="160" w:line="259" w:lineRule="auto"/>
        <w:rPr>
          <w:rFonts w:cs="Arial"/>
          <w:kern w:val="2"/>
        </w:rPr>
      </w:pPr>
      <w:r w:rsidRPr="538BEFCF">
        <w:rPr>
          <w:rFonts w:cs="Arial"/>
          <w:b/>
          <w:bCs/>
          <w:kern w:val="2"/>
        </w:rPr>
        <w:t xml:space="preserve">Leerlingaantallen en beschikbaarheid docenten. </w:t>
      </w:r>
      <w:r w:rsidRPr="538BEFCF">
        <w:rPr>
          <w:rFonts w:cs="Arial"/>
          <w:kern w:val="2"/>
        </w:rPr>
        <w:t xml:space="preserve">De cijfers over de eerste fase van STO schetsen een overwegend positief beeld. </w:t>
      </w:r>
      <w:r w:rsidRPr="2340C1C8">
        <w:rPr>
          <w:rFonts w:cs="Arial"/>
        </w:rPr>
        <w:t>Waar</w:t>
      </w:r>
      <w:r w:rsidRPr="538BEFCF">
        <w:rPr>
          <w:rFonts w:cs="Arial"/>
          <w:kern w:val="2"/>
        </w:rPr>
        <w:t xml:space="preserve"> </w:t>
      </w:r>
      <w:r w:rsidRPr="2340C1C8">
        <w:rPr>
          <w:rFonts w:cs="Arial"/>
        </w:rPr>
        <w:t xml:space="preserve">in </w:t>
      </w:r>
      <w:r w:rsidRPr="538BEFCF">
        <w:rPr>
          <w:rFonts w:cs="Arial"/>
          <w:kern w:val="2"/>
        </w:rPr>
        <w:t>andere profielen van het vmbo</w:t>
      </w:r>
      <w:r w:rsidR="0059120F">
        <w:rPr>
          <w:rFonts w:cs="Arial"/>
          <w:kern w:val="2"/>
        </w:rPr>
        <w:t xml:space="preserve"> o.a. door demografische ontwikkelingen</w:t>
      </w:r>
      <w:r w:rsidR="00B9616E">
        <w:rPr>
          <w:rFonts w:cs="Arial"/>
          <w:kern w:val="2"/>
        </w:rPr>
        <w:t xml:space="preserve"> de</w:t>
      </w:r>
      <w:r w:rsidRPr="538BEFCF">
        <w:rPr>
          <w:rFonts w:cs="Arial"/>
          <w:kern w:val="2"/>
        </w:rPr>
        <w:t xml:space="preserve"> leerlingenaantallen </w:t>
      </w:r>
      <w:r w:rsidRPr="2340C1C8">
        <w:rPr>
          <w:rFonts w:cs="Arial"/>
        </w:rPr>
        <w:t xml:space="preserve">daalden, zijn die </w:t>
      </w:r>
      <w:r w:rsidRPr="538BEFCF">
        <w:rPr>
          <w:rFonts w:cs="Arial"/>
          <w:kern w:val="2"/>
        </w:rPr>
        <w:t>in technische profielen stabiel gebleven</w:t>
      </w:r>
      <w:r w:rsidRPr="2340C1C8">
        <w:rPr>
          <w:rFonts w:cs="Arial"/>
        </w:rPr>
        <w:t>.</w:t>
      </w:r>
      <w:r w:rsidRPr="538BEFCF">
        <w:rPr>
          <w:rFonts w:cs="Arial"/>
          <w:kern w:val="2"/>
        </w:rPr>
        <w:t xml:space="preserve"> </w:t>
      </w:r>
      <w:r w:rsidRPr="2340C1C8">
        <w:rPr>
          <w:rFonts w:cs="Arial"/>
        </w:rPr>
        <w:t>H</w:t>
      </w:r>
      <w:r w:rsidRPr="538BEFCF">
        <w:rPr>
          <w:rFonts w:cs="Arial"/>
          <w:kern w:val="2"/>
        </w:rPr>
        <w:t xml:space="preserve">et aantal lesgevenden </w:t>
      </w:r>
      <w:r w:rsidRPr="2340C1C8">
        <w:rPr>
          <w:rFonts w:cs="Arial"/>
        </w:rPr>
        <w:t xml:space="preserve">in het technisch </w:t>
      </w:r>
      <w:r>
        <w:rPr>
          <w:rFonts w:cs="Arial"/>
        </w:rPr>
        <w:t>vmbo-</w:t>
      </w:r>
      <w:r w:rsidRPr="2340C1C8">
        <w:rPr>
          <w:rFonts w:cs="Arial"/>
        </w:rPr>
        <w:t xml:space="preserve">onderwijs </w:t>
      </w:r>
      <w:r w:rsidRPr="538BEFCF">
        <w:rPr>
          <w:rFonts w:cs="Arial"/>
          <w:kern w:val="2"/>
        </w:rPr>
        <w:t xml:space="preserve">is toegenomen en het aantal </w:t>
      </w:r>
      <w:r>
        <w:rPr>
          <w:rFonts w:cs="Arial"/>
          <w:kern w:val="2"/>
        </w:rPr>
        <w:t>vmbo-</w:t>
      </w:r>
      <w:r w:rsidRPr="538BEFCF">
        <w:rPr>
          <w:rFonts w:cs="Arial"/>
          <w:kern w:val="2"/>
        </w:rPr>
        <w:t>locaties met technisch onderwijs is vrijwel gelijk gebleven. Het aandeel derdejaars techniekleerlingen i</w:t>
      </w:r>
      <w:r w:rsidRPr="2340C1C8">
        <w:rPr>
          <w:rFonts w:cs="Arial"/>
        </w:rPr>
        <w:t>s</w:t>
      </w:r>
      <w:r w:rsidRPr="538BEFCF">
        <w:rPr>
          <w:rFonts w:cs="Arial"/>
          <w:kern w:val="2"/>
        </w:rPr>
        <w:t xml:space="preserve"> tussen 2020-2021 en 2024-2025 toegenomen van 19,2 naar 20,4</w:t>
      </w:r>
      <w:r w:rsidRPr="2340C1C8">
        <w:rPr>
          <w:rFonts w:cs="Arial"/>
        </w:rPr>
        <w:t xml:space="preserve"> procent</w:t>
      </w:r>
      <w:r w:rsidRPr="538BEFCF">
        <w:rPr>
          <w:rFonts w:cs="Arial"/>
          <w:kern w:val="2"/>
        </w:rPr>
        <w:t xml:space="preserve">. Opvallend is dat </w:t>
      </w:r>
      <w:r w:rsidRPr="2340C1C8">
        <w:rPr>
          <w:rFonts w:cs="Arial"/>
        </w:rPr>
        <w:t xml:space="preserve">er </w:t>
      </w:r>
      <w:r w:rsidRPr="538BEFCF">
        <w:rPr>
          <w:rFonts w:cs="Arial"/>
          <w:kern w:val="2"/>
        </w:rPr>
        <w:t xml:space="preserve">steeds meer techniekdocenten van buiten het onderwijs komen. Technische profielen zijn voor 90% van de leerlingen bereikbaar </w:t>
      </w:r>
      <w:r w:rsidRPr="2340C1C8">
        <w:rPr>
          <w:rFonts w:cs="Arial"/>
        </w:rPr>
        <w:t xml:space="preserve">(c.q. zijn voor hen binnen 10 km reisafstand beschikbaar) </w:t>
      </w:r>
      <w:r w:rsidRPr="538BEFCF">
        <w:rPr>
          <w:rFonts w:cs="Arial"/>
          <w:kern w:val="2"/>
        </w:rPr>
        <w:t>en die bereikbaarheid is stabiel. Het gemiddeld aantal leerlingen per technisch profiel is gedaald in de basis- en kaderberoepsgerichte leerwegen, waar het combineren van leerjaren en leerwegen gangbaar is; in de gemengde leerweg is het gemiddelde</w:t>
      </w:r>
      <w:r w:rsidDel="003A7BDF">
        <w:rPr>
          <w:rFonts w:cs="Arial"/>
          <w:kern w:val="2"/>
        </w:rPr>
        <w:t xml:space="preserve"> </w:t>
      </w:r>
      <w:r w:rsidRPr="2340C1C8">
        <w:rPr>
          <w:rFonts w:cs="Arial"/>
        </w:rPr>
        <w:t xml:space="preserve">aantal </w:t>
      </w:r>
      <w:r>
        <w:rPr>
          <w:rFonts w:cs="Arial"/>
        </w:rPr>
        <w:t xml:space="preserve">leerlingen </w:t>
      </w:r>
      <w:r w:rsidRPr="2340C1C8">
        <w:rPr>
          <w:rFonts w:cs="Arial"/>
        </w:rPr>
        <w:t>per profiel</w:t>
      </w:r>
      <w:r w:rsidRPr="538BEFCF">
        <w:rPr>
          <w:rFonts w:cs="Arial"/>
          <w:kern w:val="2"/>
        </w:rPr>
        <w:t xml:space="preserve"> gestegen. Het aanbod van technische keuzevakken is gegroeid en </w:t>
      </w:r>
      <w:r w:rsidRPr="2340C1C8">
        <w:rPr>
          <w:rFonts w:cs="Arial"/>
        </w:rPr>
        <w:t xml:space="preserve">die vakken </w:t>
      </w:r>
      <w:r w:rsidRPr="5E343826">
        <w:rPr>
          <w:rFonts w:cs="Arial"/>
        </w:rPr>
        <w:t>word</w:t>
      </w:r>
      <w:r w:rsidRPr="2340C1C8">
        <w:rPr>
          <w:rFonts w:cs="Arial"/>
        </w:rPr>
        <w:t>en</w:t>
      </w:r>
      <w:r w:rsidRPr="538BEFCF">
        <w:rPr>
          <w:rFonts w:cs="Arial"/>
          <w:kern w:val="2"/>
        </w:rPr>
        <w:t xml:space="preserve"> ook vaker gevolgd door leerlingen uit niet-technische profielen (ongeveer een derde</w:t>
      </w:r>
      <w:r w:rsidRPr="37DBCA11">
        <w:rPr>
          <w:rFonts w:cs="Arial"/>
        </w:rPr>
        <w:t xml:space="preserve"> van hen kiest een technisch k</w:t>
      </w:r>
      <w:r>
        <w:rPr>
          <w:rFonts w:cs="Arial"/>
        </w:rPr>
        <w:t>eu</w:t>
      </w:r>
      <w:r w:rsidRPr="37DBCA11">
        <w:rPr>
          <w:rFonts w:cs="Arial"/>
        </w:rPr>
        <w:t>zevak</w:t>
      </w:r>
      <w:r w:rsidRPr="538BEFCF">
        <w:rPr>
          <w:rFonts w:cs="Arial"/>
          <w:kern w:val="2"/>
        </w:rPr>
        <w:t xml:space="preserve">). De doorstroom naar het technische mbo is iets afgenomen vanuit </w:t>
      </w:r>
      <w:r w:rsidRPr="37DBCA11">
        <w:rPr>
          <w:rFonts w:cs="Arial"/>
        </w:rPr>
        <w:t xml:space="preserve">de </w:t>
      </w:r>
      <w:r w:rsidRPr="538BEFCF">
        <w:rPr>
          <w:rFonts w:cs="Arial"/>
          <w:kern w:val="2"/>
        </w:rPr>
        <w:t xml:space="preserve">technische vmbo-profielen (met name </w:t>
      </w:r>
      <w:r w:rsidRPr="37DBCA11">
        <w:rPr>
          <w:rFonts w:cs="Arial"/>
        </w:rPr>
        <w:t xml:space="preserve">in </w:t>
      </w:r>
      <w:r w:rsidRPr="538BEFCF">
        <w:rPr>
          <w:rFonts w:cs="Arial"/>
          <w:kern w:val="2"/>
        </w:rPr>
        <w:t xml:space="preserve">vmbo-kader), maar </w:t>
      </w:r>
      <w:r w:rsidRPr="37DBCA11">
        <w:rPr>
          <w:rFonts w:cs="Arial"/>
        </w:rPr>
        <w:t xml:space="preserve">is </w:t>
      </w:r>
      <w:r w:rsidRPr="538BEFCF">
        <w:rPr>
          <w:rFonts w:cs="Arial"/>
          <w:kern w:val="2"/>
        </w:rPr>
        <w:t xml:space="preserve">gestegen bij leerlingen uit andere profielen die een technisch keuzevak volgden. </w:t>
      </w:r>
      <w:r w:rsidRPr="37DBCA11">
        <w:rPr>
          <w:rFonts w:cs="Arial"/>
        </w:rPr>
        <w:t>Tezamen genomen lijkt, op basis van deze cijfers,</w:t>
      </w:r>
      <w:r>
        <w:rPr>
          <w:rFonts w:cs="Arial"/>
        </w:rPr>
        <w:t xml:space="preserve"> </w:t>
      </w:r>
      <w:r w:rsidRPr="538BEFCF">
        <w:rPr>
          <w:rFonts w:cs="Arial"/>
          <w:kern w:val="2"/>
        </w:rPr>
        <w:t>STO een positieve invloed te hebben gehad op het behoud en de versterking van het technisch onderwijs in het vmbo.</w:t>
      </w:r>
    </w:p>
    <w:p w:rsidRPr="006654E5" w:rsidR="00B5135A" w:rsidP="00B5135A" w:rsidRDefault="00B5135A" w14:paraId="3D0C783F" w14:textId="4EBA7339">
      <w:pPr>
        <w:spacing w:after="160" w:line="259" w:lineRule="auto"/>
        <w:rPr>
          <w:rFonts w:cs="Arial"/>
          <w:kern w:val="2"/>
        </w:rPr>
      </w:pPr>
      <w:r>
        <w:rPr>
          <w:rFonts w:cs="Arial"/>
          <w:b/>
          <w:bCs/>
          <w:kern w:val="2"/>
        </w:rPr>
        <w:t xml:space="preserve">Regionale financiering. </w:t>
      </w:r>
      <w:r w:rsidRPr="1229766D">
        <w:rPr>
          <w:rFonts w:cs="Arial"/>
          <w:kern w:val="2"/>
        </w:rPr>
        <w:t xml:space="preserve">Wat betreft de financiering verdeelt 58% van de </w:t>
      </w:r>
      <w:r w:rsidRPr="4AA51D0E">
        <w:rPr>
          <w:rFonts w:cs="Arial"/>
        </w:rPr>
        <w:t xml:space="preserve">bevraagde </w:t>
      </w:r>
      <w:r w:rsidRPr="1229766D">
        <w:rPr>
          <w:rFonts w:cs="Arial"/>
          <w:kern w:val="2"/>
        </w:rPr>
        <w:t xml:space="preserve">regio’s de middelen </w:t>
      </w:r>
      <w:r w:rsidRPr="4AA51D0E">
        <w:rPr>
          <w:rFonts w:cs="Arial"/>
        </w:rPr>
        <w:t>(hoofdzake</w:t>
      </w:r>
      <w:r>
        <w:rPr>
          <w:rFonts w:cs="Arial"/>
        </w:rPr>
        <w:t>l</w:t>
      </w:r>
      <w:r w:rsidRPr="4AA51D0E">
        <w:rPr>
          <w:rFonts w:cs="Arial"/>
        </w:rPr>
        <w:t xml:space="preserve">ijk) </w:t>
      </w:r>
      <w:r w:rsidRPr="61CED758">
        <w:rPr>
          <w:rFonts w:cs="Arial"/>
          <w:kern w:val="2"/>
        </w:rPr>
        <w:t>via</w:t>
      </w:r>
      <w:r w:rsidRPr="1229766D">
        <w:rPr>
          <w:rFonts w:cs="Arial"/>
          <w:kern w:val="2"/>
        </w:rPr>
        <w:t xml:space="preserve"> een verdeelsleutel per school</w:t>
      </w:r>
      <w:r>
        <w:rPr>
          <w:rFonts w:cs="Arial"/>
          <w:kern w:val="2"/>
        </w:rPr>
        <w:t xml:space="preserve"> en kiest</w:t>
      </w:r>
      <w:r w:rsidRPr="1229766D">
        <w:rPr>
          <w:rFonts w:cs="Arial"/>
          <w:kern w:val="2"/>
        </w:rPr>
        <w:t xml:space="preserve"> 42% voor regionaal beheer</w:t>
      </w:r>
      <w:r w:rsidRPr="4AA51D0E">
        <w:rPr>
          <w:rFonts w:cs="Arial"/>
        </w:rPr>
        <w:t xml:space="preserve"> waarbij partners gericht middelen kunnen aanvragen bij het </w:t>
      </w:r>
      <w:r w:rsidRPr="1968D093">
        <w:rPr>
          <w:rFonts w:cs="Arial"/>
        </w:rPr>
        <w:t>regionaal</w:t>
      </w:r>
      <w:r w:rsidRPr="4AA51D0E">
        <w:rPr>
          <w:rFonts w:cs="Arial"/>
        </w:rPr>
        <w:t xml:space="preserve"> STO-management</w:t>
      </w:r>
      <w:r w:rsidRPr="6DD53468">
        <w:rPr>
          <w:rFonts w:cs="Arial"/>
          <w:kern w:val="2"/>
        </w:rPr>
        <w:t>.</w:t>
      </w:r>
      <w:r>
        <w:rPr>
          <w:rFonts w:cs="Arial"/>
          <w:kern w:val="2"/>
        </w:rPr>
        <w:t xml:space="preserve"> </w:t>
      </w:r>
      <w:r w:rsidR="00041099">
        <w:rPr>
          <w:rFonts w:cs="Arial"/>
          <w:kern w:val="2"/>
        </w:rPr>
        <w:t>De keuze voor r</w:t>
      </w:r>
      <w:r w:rsidR="007221BB">
        <w:rPr>
          <w:rFonts w:cs="Arial"/>
          <w:kern w:val="2"/>
        </w:rPr>
        <w:t xml:space="preserve">egionaal beheer </w:t>
      </w:r>
      <w:r w:rsidR="00041099">
        <w:rPr>
          <w:rFonts w:cs="Arial"/>
          <w:kern w:val="2"/>
        </w:rPr>
        <w:t xml:space="preserve">van de middelen </w:t>
      </w:r>
      <w:r w:rsidR="007221BB">
        <w:rPr>
          <w:rFonts w:cs="Arial"/>
          <w:kern w:val="2"/>
        </w:rPr>
        <w:t xml:space="preserve">lijkt samen te gaan met meer en betere samenwerking in de regio. </w:t>
      </w:r>
      <w:r>
        <w:rPr>
          <w:rFonts w:cs="Arial"/>
          <w:kern w:val="2"/>
        </w:rPr>
        <w:t>Programmaleiders geven aan dat</w:t>
      </w:r>
      <w:r w:rsidRPr="1229766D">
        <w:rPr>
          <w:rFonts w:cs="Arial"/>
          <w:kern w:val="2"/>
        </w:rPr>
        <w:t xml:space="preserve"> STO-gelden essentieel</w:t>
      </w:r>
      <w:r>
        <w:rPr>
          <w:rFonts w:cs="Arial"/>
          <w:kern w:val="2"/>
        </w:rPr>
        <w:t xml:space="preserve"> </w:t>
      </w:r>
      <w:r w:rsidRPr="1229766D">
        <w:rPr>
          <w:rFonts w:cs="Arial"/>
          <w:kern w:val="2"/>
        </w:rPr>
        <w:t xml:space="preserve">zijn voor samenwerking en vernieuwing; zonder deze middelen zouden veel activiteiten wegvallen. Ruim een derde van de bevraagde programmaleiders verwacht dat het techniekaanbod niet in stand blijft als de STO-financiering in de lumpsum </w:t>
      </w:r>
      <w:r w:rsidRPr="30A2EC10">
        <w:rPr>
          <w:rFonts w:cs="Arial"/>
        </w:rPr>
        <w:t xml:space="preserve">wordt opgenomen. </w:t>
      </w:r>
    </w:p>
    <w:p w:rsidR="006149BD" w:rsidP="006149BD" w:rsidRDefault="006149BD" w14:paraId="7CB0C1EB" w14:textId="129767EB">
      <w:pPr>
        <w:spacing w:after="160" w:line="259" w:lineRule="auto"/>
        <w:rPr>
          <w:rFonts w:cs="Arial"/>
          <w:kern w:val="2"/>
        </w:rPr>
      </w:pPr>
      <w:r w:rsidRPr="1E916E6D">
        <w:rPr>
          <w:rFonts w:cs="Arial"/>
          <w:b/>
          <w:kern w:val="2"/>
        </w:rPr>
        <w:t xml:space="preserve">Ervaringen van programmaleiders. </w:t>
      </w:r>
      <w:r w:rsidRPr="00187512">
        <w:rPr>
          <w:rFonts w:cs="Arial"/>
          <w:bCs/>
          <w:kern w:val="2"/>
        </w:rPr>
        <w:t>Elke STO-regio heeft een programmaleider die verantwoordelijk is voor regionale aansturing en coördinatie van STO</w:t>
      </w:r>
      <w:r>
        <w:rPr>
          <w:rFonts w:cs="Arial"/>
          <w:b/>
          <w:kern w:val="2"/>
        </w:rPr>
        <w:t xml:space="preserve">. </w:t>
      </w:r>
      <w:r w:rsidRPr="1E916E6D">
        <w:rPr>
          <w:rFonts w:cs="Arial"/>
          <w:kern w:val="2"/>
        </w:rPr>
        <w:t>In de eindmeting hebben 48</w:t>
      </w:r>
      <w:r w:rsidR="007652AD">
        <w:rPr>
          <w:rFonts w:cs="Arial"/>
          <w:kern w:val="2"/>
        </w:rPr>
        <w:t xml:space="preserve"> van de 78</w:t>
      </w:r>
      <w:r w:rsidRPr="1E916E6D">
        <w:rPr>
          <w:rFonts w:cs="Arial"/>
          <w:kern w:val="2"/>
        </w:rPr>
        <w:t xml:space="preserve"> </w:t>
      </w:r>
      <w:r>
        <w:rPr>
          <w:rFonts w:cs="Arial"/>
          <w:kern w:val="2"/>
        </w:rPr>
        <w:t>STO-</w:t>
      </w:r>
      <w:r w:rsidRPr="1E916E6D">
        <w:rPr>
          <w:rFonts w:cs="Arial"/>
          <w:kern w:val="2"/>
        </w:rPr>
        <w:t>programmaleiders een vragenlijst ingevuld</w:t>
      </w:r>
      <w:r w:rsidRPr="1E916E6D">
        <w:rPr>
          <w:rFonts w:cs="Arial"/>
          <w:b/>
          <w:kern w:val="2"/>
        </w:rPr>
        <w:t xml:space="preserve">. </w:t>
      </w:r>
      <w:r w:rsidRPr="1E916E6D">
        <w:rPr>
          <w:rFonts w:cs="Arial"/>
          <w:kern w:val="2"/>
        </w:rPr>
        <w:t xml:space="preserve">De meeste van deze regio’s lagen eind 2024 goed op </w:t>
      </w:r>
      <w:r w:rsidRPr="00187512">
        <w:rPr>
          <w:rFonts w:cs="Arial"/>
          <w:kern w:val="2"/>
        </w:rPr>
        <w:t>koers met de uitvoering. Borging binnen organisaties, samenwerking en structurele verankering zijn vaak al een eind op streek</w:t>
      </w:r>
      <w:r w:rsidRPr="1E916E6D">
        <w:rPr>
          <w:rFonts w:cs="Arial"/>
          <w:kern w:val="2"/>
        </w:rPr>
        <w:t xml:space="preserve">, al blijven structurele betrokkenheid binnen </w:t>
      </w:r>
      <w:r w:rsidRPr="484BDC47">
        <w:rPr>
          <w:rFonts w:cs="Arial"/>
          <w:kern w:val="2"/>
        </w:rPr>
        <w:t xml:space="preserve">alle </w:t>
      </w:r>
      <w:r w:rsidR="007652AD">
        <w:rPr>
          <w:rFonts w:cs="Arial"/>
          <w:kern w:val="2"/>
        </w:rPr>
        <w:t>vmbo-</w:t>
      </w:r>
      <w:r w:rsidRPr="1E916E6D">
        <w:rPr>
          <w:rFonts w:cs="Arial"/>
          <w:kern w:val="2"/>
        </w:rPr>
        <w:t xml:space="preserve">scholen in </w:t>
      </w:r>
      <w:r w:rsidRPr="484BDC47">
        <w:rPr>
          <w:rFonts w:cs="Arial"/>
          <w:kern w:val="2"/>
        </w:rPr>
        <w:t xml:space="preserve">de </w:t>
      </w:r>
      <w:r w:rsidRPr="0E16D1A7">
        <w:rPr>
          <w:rFonts w:cs="Arial"/>
          <w:kern w:val="2"/>
        </w:rPr>
        <w:t xml:space="preserve">regio </w:t>
      </w:r>
      <w:r w:rsidRPr="484BDC47">
        <w:rPr>
          <w:rFonts w:cs="Arial"/>
          <w:kern w:val="2"/>
        </w:rPr>
        <w:t xml:space="preserve">en inzicht in </w:t>
      </w:r>
      <w:r w:rsidRPr="1E916E6D">
        <w:rPr>
          <w:rFonts w:cs="Arial"/>
          <w:kern w:val="2"/>
        </w:rPr>
        <w:t xml:space="preserve">langetermijneffecten aandachtspunten. De uitvoering van activiteiten is bij de meeste regio’s volgens planning verlopen; sommige regio’s deden zelfs meer dan gepland. </w:t>
      </w:r>
      <w:r>
        <w:rPr>
          <w:rFonts w:cs="Arial"/>
          <w:kern w:val="2"/>
        </w:rPr>
        <w:t xml:space="preserve">In veel regio’s is ook in het po </w:t>
      </w:r>
      <w:r w:rsidRPr="1997E70E">
        <w:rPr>
          <w:rFonts w:cs="Arial"/>
          <w:kern w:val="2"/>
        </w:rPr>
        <w:t>veel</w:t>
      </w:r>
      <w:r w:rsidRPr="1E916E6D">
        <w:rPr>
          <w:rFonts w:cs="Arial"/>
          <w:kern w:val="2"/>
        </w:rPr>
        <w:t xml:space="preserve"> gedaan aan promotie van techniek, maar 30–40% van de programmaleiders is </w:t>
      </w:r>
      <w:r w:rsidRPr="1997E70E">
        <w:rPr>
          <w:rFonts w:cs="Arial"/>
        </w:rPr>
        <w:t xml:space="preserve">wel </w:t>
      </w:r>
      <w:r w:rsidRPr="1E916E6D">
        <w:rPr>
          <w:rFonts w:cs="Arial"/>
          <w:kern w:val="2"/>
        </w:rPr>
        <w:t xml:space="preserve">kritisch over de samenwerking met po. Binnen het vmbo </w:t>
      </w:r>
      <w:r w:rsidRPr="1FF43C96">
        <w:rPr>
          <w:rFonts w:cs="Arial"/>
          <w:kern w:val="2"/>
        </w:rPr>
        <w:t>zijn</w:t>
      </w:r>
      <w:r w:rsidRPr="1E916E6D">
        <w:rPr>
          <w:rFonts w:cs="Arial"/>
          <w:kern w:val="2"/>
        </w:rPr>
        <w:t xml:space="preserve"> over het algemeen veel </w:t>
      </w:r>
      <w:r w:rsidRPr="1FF43C96">
        <w:rPr>
          <w:rFonts w:cs="Arial"/>
          <w:kern w:val="2"/>
        </w:rPr>
        <w:t>inspanningen</w:t>
      </w:r>
      <w:r w:rsidRPr="1E916E6D">
        <w:rPr>
          <w:rFonts w:cs="Arial"/>
          <w:kern w:val="2"/>
        </w:rPr>
        <w:t xml:space="preserve"> geleverd in het kader van STO, vooral op het gebied van het vernieuwen van lesmateriaal</w:t>
      </w:r>
      <w:r w:rsidR="007652AD">
        <w:rPr>
          <w:rFonts w:cs="Arial"/>
          <w:kern w:val="2"/>
        </w:rPr>
        <w:t xml:space="preserve"> en </w:t>
      </w:r>
      <w:r w:rsidRPr="5B76CED4">
        <w:rPr>
          <w:rFonts w:cs="Arial"/>
          <w:kern w:val="2"/>
        </w:rPr>
        <w:t>materieel</w:t>
      </w:r>
      <w:r w:rsidRPr="37F432B7">
        <w:rPr>
          <w:rFonts w:cs="Arial"/>
          <w:kern w:val="2"/>
        </w:rPr>
        <w:t xml:space="preserve">, </w:t>
      </w:r>
      <w:r w:rsidRPr="45728EAD">
        <w:rPr>
          <w:rFonts w:cs="Arial"/>
          <w:kern w:val="2"/>
        </w:rPr>
        <w:t>extra</w:t>
      </w:r>
      <w:r w:rsidRPr="37F432B7">
        <w:rPr>
          <w:rFonts w:cs="Arial"/>
          <w:kern w:val="2"/>
        </w:rPr>
        <w:t xml:space="preserve"> les</w:t>
      </w:r>
      <w:r w:rsidRPr="45728EAD">
        <w:rPr>
          <w:rFonts w:cs="Arial"/>
          <w:kern w:val="2"/>
        </w:rPr>
        <w:t>- of begeleidingscapaciteit</w:t>
      </w:r>
      <w:r w:rsidRPr="5B76CED4">
        <w:rPr>
          <w:rFonts w:cs="Arial"/>
          <w:kern w:val="2"/>
        </w:rPr>
        <w:t xml:space="preserve"> en</w:t>
      </w:r>
      <w:r w:rsidRPr="0DC279EF">
        <w:rPr>
          <w:rFonts w:cs="Arial"/>
          <w:kern w:val="2"/>
        </w:rPr>
        <w:t xml:space="preserve"> </w:t>
      </w:r>
      <w:r w:rsidRPr="1E916E6D">
        <w:rPr>
          <w:rFonts w:cs="Arial"/>
          <w:kern w:val="2"/>
        </w:rPr>
        <w:t xml:space="preserve">het toegankelijk houden van het technisch aanbod. Die inzet wordt meestal gewaardeerd, maar op sommige punten – zoals het aantrekken van nieuwe leerlingen en de </w:t>
      </w:r>
      <w:r w:rsidRPr="1E916E6D">
        <w:rPr>
          <w:rFonts w:cs="Arial"/>
          <w:kern w:val="2"/>
        </w:rPr>
        <w:lastRenderedPageBreak/>
        <w:t xml:space="preserve">samenwerking met mbo – blijft de tevredenheid van programmaleiders over de resultaten achter, ondanks de grote inzet. </w:t>
      </w:r>
    </w:p>
    <w:p w:rsidRPr="006654E5" w:rsidR="006149BD" w:rsidP="006149BD" w:rsidRDefault="006149BD" w14:paraId="240C5C4B" w14:textId="0C146B2A">
      <w:pPr>
        <w:spacing w:after="160" w:line="259" w:lineRule="auto"/>
        <w:rPr>
          <w:rFonts w:cs="Arial"/>
          <w:kern w:val="2"/>
        </w:rPr>
      </w:pPr>
      <w:r w:rsidRPr="5AFC8DB5">
        <w:rPr>
          <w:rFonts w:cs="Arial"/>
          <w:kern w:val="2"/>
        </w:rPr>
        <w:t>De belangrijkste opbrengsten van STO zijn volgens programmaleiders een verbeterd techniekaanbod, sterkere samenwerking, betere beeldvorming en hogere onderwijskwaliteit. Tegelijk blijft het lastig om voldoende techniekdocenten aan te trekken en het aantal leerlingen in technische profielen te verhogen. De aansluiting met het mbo wordt als belangrijk maar moeilijk realiseerbaar ervaren. De drie hoofddoelen van STO</w:t>
      </w:r>
      <w:r w:rsidR="00037194">
        <w:rPr>
          <w:rFonts w:cs="Arial"/>
          <w:kern w:val="2"/>
        </w:rPr>
        <w:t>: een duurzaam, dekken en kwalitatief hoogstaand technisch aanbod,</w:t>
      </w:r>
      <w:r w:rsidRPr="5AFC8DB5">
        <w:rPr>
          <w:rFonts w:cs="Arial"/>
          <w:kern w:val="2"/>
        </w:rPr>
        <w:t xml:space="preserve"> worden grotendeels behaald en men ervaart een duidelijke bijdrage van STO aan technisch onderwijs en aansluiting op vervolgonderwijs en arbeidsmarkt. Ondanks een lichte daling</w:t>
      </w:r>
      <w:r w:rsidRPr="1229766D">
        <w:rPr>
          <w:rFonts w:cs="Arial"/>
          <w:kern w:val="2"/>
        </w:rPr>
        <w:t xml:space="preserve"> </w:t>
      </w:r>
      <w:r w:rsidRPr="1229766D">
        <w:rPr>
          <w:rFonts w:cs="Arial"/>
        </w:rPr>
        <w:t>ten opzichte van eerdere metingen</w:t>
      </w:r>
      <w:r w:rsidRPr="5AFC8DB5">
        <w:rPr>
          <w:rFonts w:cs="Arial"/>
          <w:kern w:val="2"/>
        </w:rPr>
        <w:t xml:space="preserve"> in </w:t>
      </w:r>
      <w:r w:rsidRPr="1229766D">
        <w:rPr>
          <w:rFonts w:cs="Arial"/>
          <w:kern w:val="2"/>
        </w:rPr>
        <w:t xml:space="preserve">de </w:t>
      </w:r>
      <w:r w:rsidRPr="5AFC8DB5">
        <w:rPr>
          <w:rFonts w:cs="Arial"/>
          <w:kern w:val="2"/>
        </w:rPr>
        <w:t xml:space="preserve">waardering </w:t>
      </w:r>
      <w:r w:rsidRPr="1229766D">
        <w:rPr>
          <w:rFonts w:cs="Arial"/>
          <w:kern w:val="2"/>
        </w:rPr>
        <w:t>voor</w:t>
      </w:r>
      <w:r w:rsidRPr="5AFC8DB5">
        <w:rPr>
          <w:rFonts w:cs="Arial"/>
          <w:kern w:val="2"/>
        </w:rPr>
        <w:t xml:space="preserve"> zaken als kennisdeling en gedeeld gebruik van voorzieningen, blijft de algemene beoordeling van STO in de eindmeting </w:t>
      </w:r>
      <w:r w:rsidRPr="1229766D">
        <w:rPr>
          <w:rFonts w:cs="Arial"/>
        </w:rPr>
        <w:t xml:space="preserve">positief bij de regionale programmaleiders STO. </w:t>
      </w:r>
    </w:p>
    <w:p w:rsidRPr="00C6504B" w:rsidR="006149BD" w:rsidP="006149BD" w:rsidRDefault="006149BD" w14:paraId="14FAD5C6" w14:textId="6A7BA11F">
      <w:pPr>
        <w:spacing w:after="160" w:line="259" w:lineRule="auto"/>
        <w:rPr>
          <w:rFonts w:cs="Arial"/>
          <w:kern w:val="2"/>
        </w:rPr>
      </w:pPr>
      <w:r w:rsidRPr="1AD40CF6">
        <w:rPr>
          <w:rFonts w:cs="Arial"/>
          <w:b/>
          <w:kern w:val="2"/>
        </w:rPr>
        <w:t xml:space="preserve">Ervaringen lesgevenden. </w:t>
      </w:r>
      <w:r w:rsidRPr="1AD40CF6">
        <w:rPr>
          <w:rFonts w:cs="Arial"/>
          <w:kern w:val="2"/>
        </w:rPr>
        <w:t>In totaal vulden 424 vmbo-lesgevenden</w:t>
      </w:r>
      <w:r w:rsidR="007C6514">
        <w:rPr>
          <w:rFonts w:cs="Arial"/>
          <w:kern w:val="2"/>
        </w:rPr>
        <w:t xml:space="preserve"> (zowel technisch als niet-technisch)</w:t>
      </w:r>
      <w:r w:rsidRPr="1AD40CF6">
        <w:rPr>
          <w:rFonts w:cs="Arial"/>
          <w:kern w:val="2"/>
        </w:rPr>
        <w:t xml:space="preserve"> een vragenlijst in over hun ervaring met en de impact van STO. De meeste </w:t>
      </w:r>
      <w:r w:rsidR="004A35AB">
        <w:rPr>
          <w:rFonts w:cs="Arial"/>
          <w:kern w:val="2"/>
        </w:rPr>
        <w:t xml:space="preserve">van deze </w:t>
      </w:r>
      <w:r w:rsidRPr="1AD40CF6">
        <w:rPr>
          <w:rFonts w:cs="Arial"/>
          <w:kern w:val="2"/>
        </w:rPr>
        <w:t>respondenten geven een technisch vak en zijn goed bekend met en actief betrokken bij STO-activiteiten, zowel binnen als buiten school. Zij zijn bijna allemaal betrokken bij activiteiten rondom de (her)inrichting van technieklokalen, bedrijfsbezoeken, samenwerking met collega’s en professionalisering.</w:t>
      </w:r>
    </w:p>
    <w:p w:rsidRPr="00C6504B" w:rsidR="006149BD" w:rsidP="006149BD" w:rsidRDefault="006149BD" w14:paraId="75E7D322" w14:textId="77777777">
      <w:pPr>
        <w:spacing w:after="160" w:line="259" w:lineRule="auto"/>
        <w:rPr>
          <w:rFonts w:cs="Arial"/>
          <w:kern w:val="2"/>
        </w:rPr>
      </w:pPr>
      <w:r w:rsidRPr="1AD40CF6">
        <w:rPr>
          <w:rFonts w:cs="Arial"/>
          <w:kern w:val="2"/>
        </w:rPr>
        <w:t xml:space="preserve">Lesgevenden zien duidelijke positieve effecten van STO op het techniekonderwijs: betere faciliteiten, meer keuzevakken, intensievere samenwerking, en meer praktijkervaring voor leerlingen. </w:t>
      </w:r>
      <w:r w:rsidRPr="434F78C6">
        <w:rPr>
          <w:rFonts w:cs="Arial"/>
          <w:kern w:val="2"/>
        </w:rPr>
        <w:t>Leerlingen hebben beter zicht op beroepen en maken bewustere keuzes. Ook</w:t>
      </w:r>
      <w:r w:rsidRPr="1AD40CF6">
        <w:rPr>
          <w:rFonts w:cs="Arial"/>
          <w:kern w:val="2"/>
        </w:rPr>
        <w:t xml:space="preserve"> voelen veel docenten zich beter toegerust en trotser op hun vak. Hoewel lesgevenden overwegend positief zijn over de effecten van STO zijn er ook enkele aandachtspunten. Zo ervaart een deel een toegenomen werkdruk </w:t>
      </w:r>
      <w:r w:rsidRPr="26C3FB67">
        <w:rPr>
          <w:rFonts w:cs="Arial"/>
        </w:rPr>
        <w:t xml:space="preserve">vanwege STO </w:t>
      </w:r>
      <w:r w:rsidRPr="434F78C6">
        <w:rPr>
          <w:rFonts w:cs="Arial"/>
          <w:kern w:val="2"/>
        </w:rPr>
        <w:t>en</w:t>
      </w:r>
      <w:r w:rsidRPr="1AD40CF6">
        <w:rPr>
          <w:rFonts w:cs="Arial"/>
          <w:kern w:val="2"/>
        </w:rPr>
        <w:t xml:space="preserve"> blijkt dat er nog niet overal aandacht is voor specifieke doelgroepen, zoals </w:t>
      </w:r>
      <w:r>
        <w:rPr>
          <w:rFonts w:cs="Arial"/>
          <w:kern w:val="2"/>
        </w:rPr>
        <w:t>meiden</w:t>
      </w:r>
      <w:r w:rsidRPr="1AD40CF6">
        <w:rPr>
          <w:rFonts w:cs="Arial"/>
          <w:kern w:val="2"/>
        </w:rPr>
        <w:t xml:space="preserve"> en leerlingen met een migratieachtergrond; </w:t>
      </w:r>
      <w:r>
        <w:rPr>
          <w:rFonts w:cs="Arial"/>
          <w:kern w:val="2"/>
        </w:rPr>
        <w:t xml:space="preserve">dit is </w:t>
      </w:r>
      <w:r w:rsidRPr="1AD40CF6">
        <w:rPr>
          <w:rFonts w:cs="Arial"/>
          <w:kern w:val="2"/>
        </w:rPr>
        <w:t>een doel van de volgende fase van STO.</w:t>
      </w:r>
    </w:p>
    <w:p w:rsidRPr="00C6504B" w:rsidR="006149BD" w:rsidP="006149BD" w:rsidRDefault="006149BD" w14:paraId="599BC71F" w14:textId="77777777">
      <w:pPr>
        <w:spacing w:after="160" w:line="259" w:lineRule="auto"/>
        <w:rPr>
          <w:rFonts w:cs="Arial"/>
          <w:kern w:val="2"/>
        </w:rPr>
      </w:pPr>
      <w:r w:rsidRPr="2115014E">
        <w:rPr>
          <w:rFonts w:cs="Arial"/>
          <w:kern w:val="2"/>
        </w:rPr>
        <w:t xml:space="preserve">STO draagt volgens lesgevenden bij aan </w:t>
      </w:r>
      <w:r w:rsidRPr="1B07B735">
        <w:rPr>
          <w:rFonts w:cs="Arial"/>
        </w:rPr>
        <w:t xml:space="preserve">een </w:t>
      </w:r>
      <w:r w:rsidRPr="434F78C6">
        <w:rPr>
          <w:rFonts w:cs="Arial"/>
          <w:kern w:val="2"/>
        </w:rPr>
        <w:t>betere</w:t>
      </w:r>
      <w:r w:rsidRPr="2115014E">
        <w:rPr>
          <w:rFonts w:cs="Arial"/>
          <w:kern w:val="2"/>
        </w:rPr>
        <w:t xml:space="preserve"> aansluiting in de onderwijsketen (po-vmbo-mbo) en kan de samenwerking met het mbo versterken, hoewel di</w:t>
      </w:r>
      <w:r w:rsidRPr="1B07B735">
        <w:rPr>
          <w:rFonts w:cs="Arial"/>
        </w:rPr>
        <w:t>t</w:t>
      </w:r>
      <w:r w:rsidRPr="2115014E">
        <w:rPr>
          <w:rFonts w:cs="Arial"/>
          <w:kern w:val="2"/>
        </w:rPr>
        <w:t xml:space="preserve"> minder </w:t>
      </w:r>
      <w:r w:rsidRPr="1B07B735">
        <w:rPr>
          <w:rFonts w:cs="Arial"/>
        </w:rPr>
        <w:t xml:space="preserve">ver is gebracht </w:t>
      </w:r>
      <w:r w:rsidRPr="2115014E">
        <w:rPr>
          <w:rFonts w:cs="Arial"/>
          <w:kern w:val="2"/>
        </w:rPr>
        <w:t xml:space="preserve">dan gehoopt. Lesgevenden ervaren </w:t>
      </w:r>
      <w:r>
        <w:rPr>
          <w:rFonts w:cs="Arial"/>
          <w:kern w:val="2"/>
        </w:rPr>
        <w:t>daarnaast</w:t>
      </w:r>
      <w:r w:rsidRPr="2115014E">
        <w:rPr>
          <w:rFonts w:cs="Arial"/>
          <w:kern w:val="2"/>
        </w:rPr>
        <w:t xml:space="preserve"> meer samenwerking binnen hun school en vinden hun werk vaak leuker en betekenisvoller. Als meest waardevol noemen zij investeringen in moderne leeromgevingen, samenwerking met bedrijven, techniekpromotie in po/onderbouw, ketensamenwerking en regionaal overleg. </w:t>
      </w:r>
      <w:r w:rsidRPr="26C3FB67">
        <w:rPr>
          <w:rFonts w:cs="Arial"/>
          <w:kern w:val="2"/>
        </w:rPr>
        <w:t>Voldoende t</w:t>
      </w:r>
      <w:r w:rsidRPr="2115014E">
        <w:rPr>
          <w:rFonts w:cs="Arial"/>
          <w:kern w:val="2"/>
        </w:rPr>
        <w:t>ijd, middelen en gekwalificeerde collega’s zijn volgens hen cruciale voorwaarden om dit vast te houden.</w:t>
      </w:r>
    </w:p>
    <w:p w:rsidR="006149BD" w:rsidP="006149BD" w:rsidRDefault="006149BD" w14:paraId="4832CF32" w14:textId="25454B3A">
      <w:pPr>
        <w:spacing w:after="160" w:line="259" w:lineRule="auto"/>
        <w:rPr>
          <w:rFonts w:cs="Arial"/>
          <w:kern w:val="2"/>
        </w:rPr>
      </w:pPr>
      <w:r w:rsidRPr="1B07B735">
        <w:rPr>
          <w:rFonts w:cs="Arial"/>
          <w:b/>
          <w:kern w:val="2"/>
        </w:rPr>
        <w:t xml:space="preserve">Ervaringen leerlingen. </w:t>
      </w:r>
      <w:r w:rsidRPr="1B07B735">
        <w:rPr>
          <w:rFonts w:cs="Arial"/>
          <w:kern w:val="2"/>
        </w:rPr>
        <w:t>Kenmerkend aan STO is dat leerlingen in po en vo te maken krijgen met buitenschools aanbod waarbij zij kennismaken met techniek. In lesobservaties</w:t>
      </w:r>
      <w:r w:rsidR="00913875">
        <w:rPr>
          <w:rFonts w:cs="Arial"/>
          <w:kern w:val="2"/>
        </w:rPr>
        <w:t>, vragenlijsten</w:t>
      </w:r>
      <w:r w:rsidRPr="1B07B735">
        <w:rPr>
          <w:rFonts w:cs="Arial"/>
          <w:kern w:val="2"/>
        </w:rPr>
        <w:t xml:space="preserve"> en in </w:t>
      </w:r>
      <w:r w:rsidRPr="6C144D67">
        <w:rPr>
          <w:rFonts w:cs="Arial"/>
        </w:rPr>
        <w:t xml:space="preserve">de </w:t>
      </w:r>
      <w:r w:rsidRPr="1B07B735">
        <w:rPr>
          <w:rFonts w:cs="Arial"/>
          <w:kern w:val="2"/>
        </w:rPr>
        <w:t xml:space="preserve">casestudies </w:t>
      </w:r>
      <w:r w:rsidRPr="6C144D67">
        <w:rPr>
          <w:rFonts w:cs="Arial"/>
        </w:rPr>
        <w:t xml:space="preserve">bleek </w:t>
      </w:r>
      <w:r w:rsidRPr="1B07B735">
        <w:rPr>
          <w:rFonts w:cs="Arial"/>
          <w:kern w:val="2"/>
        </w:rPr>
        <w:t xml:space="preserve">dat leerlingen dit buitenschoolse STO-aanbod vaak leuk en inspirerend </w:t>
      </w:r>
      <w:r>
        <w:rPr>
          <w:rFonts w:cs="Arial"/>
          <w:kern w:val="2"/>
        </w:rPr>
        <w:t>vonden</w:t>
      </w:r>
      <w:r w:rsidRPr="1B07B735">
        <w:rPr>
          <w:rFonts w:cs="Arial"/>
          <w:kern w:val="2"/>
        </w:rPr>
        <w:t xml:space="preserve">. Vooral leerlingen uit het po raken zichtbaar enthousiast doordat ze op een praktische manier met techniek bezig zijn, bijvoorbeeld door zelf iets te maken of een kijkje te krijgen bij de uitvoering </w:t>
      </w:r>
      <w:r w:rsidRPr="6C144D67">
        <w:rPr>
          <w:rFonts w:cs="Arial"/>
        </w:rPr>
        <w:t>in</w:t>
      </w:r>
      <w:r>
        <w:rPr>
          <w:rFonts w:cs="Arial"/>
        </w:rPr>
        <w:t xml:space="preserve"> </w:t>
      </w:r>
      <w:r w:rsidRPr="6C144D67">
        <w:rPr>
          <w:rFonts w:cs="Arial"/>
        </w:rPr>
        <w:t>de</w:t>
      </w:r>
      <w:r w:rsidRPr="64D97FA7">
        <w:rPr>
          <w:rFonts w:cs="Arial"/>
          <w:kern w:val="2"/>
        </w:rPr>
        <w:t xml:space="preserve"> beroep</w:t>
      </w:r>
      <w:r w:rsidRPr="6C144D67">
        <w:rPr>
          <w:rFonts w:cs="Arial"/>
        </w:rPr>
        <w:t>spraktijk</w:t>
      </w:r>
      <w:r w:rsidRPr="64D97FA7">
        <w:rPr>
          <w:rFonts w:cs="Arial"/>
          <w:kern w:val="2"/>
        </w:rPr>
        <w:t>.</w:t>
      </w:r>
      <w:r w:rsidRPr="1B07B735">
        <w:rPr>
          <w:rFonts w:cs="Arial"/>
          <w:kern w:val="2"/>
        </w:rPr>
        <w:t xml:space="preserve"> Het enthousiasme van de lesgevenden en </w:t>
      </w:r>
      <w:r>
        <w:rPr>
          <w:rFonts w:cs="Arial"/>
          <w:kern w:val="2"/>
        </w:rPr>
        <w:t>het gebruik van</w:t>
      </w:r>
      <w:r w:rsidRPr="1B07B735">
        <w:rPr>
          <w:rFonts w:cs="Arial"/>
          <w:kern w:val="2"/>
        </w:rPr>
        <w:t xml:space="preserve"> praktische opdrachten, waarbij </w:t>
      </w:r>
      <w:r w:rsidRPr="64D97FA7">
        <w:rPr>
          <w:rFonts w:cs="Arial"/>
          <w:kern w:val="2"/>
        </w:rPr>
        <w:t>leerlingen</w:t>
      </w:r>
      <w:r w:rsidRPr="1B07B735">
        <w:rPr>
          <w:rFonts w:cs="Arial"/>
          <w:kern w:val="2"/>
        </w:rPr>
        <w:t xml:space="preserve"> vaak na afloop ook iets mee naar huis kunnen nemen, maken </w:t>
      </w:r>
      <w:r>
        <w:rPr>
          <w:rFonts w:cs="Arial"/>
          <w:kern w:val="2"/>
        </w:rPr>
        <w:t>de lessen</w:t>
      </w:r>
      <w:r w:rsidRPr="1B07B735">
        <w:rPr>
          <w:rFonts w:cs="Arial"/>
          <w:kern w:val="2"/>
        </w:rPr>
        <w:t xml:space="preserve"> extra aantrekkelijk. </w:t>
      </w:r>
      <w:r w:rsidRPr="1B07B735" w:rsidR="00913875">
        <w:rPr>
          <w:rFonts w:cs="Arial"/>
          <w:kern w:val="2"/>
        </w:rPr>
        <w:t xml:space="preserve">Uit </w:t>
      </w:r>
      <w:r w:rsidRPr="64D97FA7" w:rsidR="00913875">
        <w:rPr>
          <w:rFonts w:cs="Arial"/>
          <w:kern w:val="2"/>
        </w:rPr>
        <w:t>on</w:t>
      </w:r>
      <w:r w:rsidRPr="1B07B735" w:rsidR="00913875">
        <w:rPr>
          <w:rFonts w:cs="Arial"/>
          <w:kern w:val="2"/>
        </w:rPr>
        <w:t xml:space="preserve">ze bevindingen blijkt dat </w:t>
      </w:r>
      <w:r w:rsidR="00913875">
        <w:rPr>
          <w:rFonts w:cs="Arial"/>
          <w:kern w:val="2"/>
        </w:rPr>
        <w:t xml:space="preserve">deze </w:t>
      </w:r>
      <w:r w:rsidR="00E94550">
        <w:rPr>
          <w:rFonts w:cs="Arial"/>
          <w:kern w:val="2"/>
        </w:rPr>
        <w:t>oriënterende</w:t>
      </w:r>
      <w:r w:rsidRPr="1B07B735" w:rsidR="00913875">
        <w:rPr>
          <w:rFonts w:cs="Arial"/>
          <w:kern w:val="2"/>
        </w:rPr>
        <w:t xml:space="preserve"> activiteiten een waardevolle rol kunnen hebben in het vergroten van de belangstelling voor techniek.</w:t>
      </w:r>
      <w:r w:rsidR="00913875">
        <w:rPr>
          <w:rFonts w:cs="Arial"/>
          <w:kern w:val="2"/>
        </w:rPr>
        <w:t xml:space="preserve"> We zien </w:t>
      </w:r>
      <w:r w:rsidR="00112C97">
        <w:rPr>
          <w:rFonts w:cs="Arial"/>
          <w:kern w:val="2"/>
        </w:rPr>
        <w:t xml:space="preserve">ook </w:t>
      </w:r>
      <w:r w:rsidR="00913875">
        <w:rPr>
          <w:rFonts w:cs="Arial"/>
          <w:kern w:val="2"/>
        </w:rPr>
        <w:t xml:space="preserve">dat interesse in techniek positief samenhangt met een keuze voor een technisch profiel of keuzevak. Tegelijk zien we dat er leerlingen zijn met expliciete interesse voor techniek die geen technisch profiel (gaan) volgen; daar is mogelijk nog potentieel </w:t>
      </w:r>
      <w:r w:rsidR="0084376F">
        <w:rPr>
          <w:rFonts w:cs="Arial"/>
          <w:kern w:val="2"/>
        </w:rPr>
        <w:t xml:space="preserve">aanwezig </w:t>
      </w:r>
      <w:r w:rsidR="00913875">
        <w:rPr>
          <w:rFonts w:cs="Arial"/>
          <w:kern w:val="2"/>
        </w:rPr>
        <w:t xml:space="preserve">dat door het onderwijs aangesproken kan worden. </w:t>
      </w:r>
    </w:p>
    <w:p w:rsidRPr="005C0822" w:rsidR="006149BD" w:rsidP="006149BD" w:rsidRDefault="006149BD" w14:paraId="60439052" w14:textId="77777777">
      <w:pPr>
        <w:spacing w:after="160" w:line="259" w:lineRule="auto"/>
        <w:rPr>
          <w:rFonts w:cs="Arial"/>
          <w:kern w:val="2"/>
          <w:szCs w:val="18"/>
        </w:rPr>
      </w:pPr>
      <w:r>
        <w:rPr>
          <w:rFonts w:cs="Arial"/>
          <w:kern w:val="2"/>
          <w:szCs w:val="18"/>
        </w:rPr>
        <w:t xml:space="preserve">Ook hebben we gegevens </w:t>
      </w:r>
      <w:r w:rsidRPr="006229C2">
        <w:rPr>
          <w:rFonts w:cs="Arial"/>
          <w:kern w:val="2"/>
          <w:szCs w:val="18"/>
        </w:rPr>
        <w:t xml:space="preserve">van het Schoolverlatersonderzoek 2023 </w:t>
      </w:r>
      <w:r>
        <w:rPr>
          <w:rFonts w:cs="Arial"/>
          <w:kern w:val="2"/>
          <w:szCs w:val="18"/>
        </w:rPr>
        <w:t>geanalyseerd over de tevredenheid van vmbo-leerlingen die in 2021-2022 hun diploma hebben behaald. Over het algemeen</w:t>
      </w:r>
      <w:r w:rsidRPr="006229C2">
        <w:rPr>
          <w:rFonts w:cs="Arial"/>
          <w:kern w:val="2"/>
          <w:szCs w:val="18"/>
        </w:rPr>
        <w:t xml:space="preserve"> zijn oud-vmbo-leerlingen positief over hun technische </w:t>
      </w:r>
      <w:r>
        <w:rPr>
          <w:rFonts w:cs="Arial"/>
          <w:kern w:val="2"/>
          <w:szCs w:val="18"/>
        </w:rPr>
        <w:t>vmbo-</w:t>
      </w:r>
      <w:r w:rsidRPr="006229C2">
        <w:rPr>
          <w:rFonts w:cs="Arial"/>
          <w:kern w:val="2"/>
          <w:szCs w:val="18"/>
        </w:rPr>
        <w:t xml:space="preserve">opleiding. Ze vinden de inhoud aantrekkelijk en voelen zich goed voorbereid op een vervolgopleiding. Vooral oud-leerlingen uit de kaderberoepsgerichte leerweg zijn hierover tevreden. Bij de gemengde leerweg is dat beeld iets minder positief dan in eerdere jaren. Hoewel de meeste leerlingen ook voldoende uitdaging ervoeren, valt daar nog winst te behalen. In vergelijking met niet-techniekleerlingen is het oordeel </w:t>
      </w:r>
      <w:r>
        <w:rPr>
          <w:rFonts w:cs="Arial"/>
          <w:kern w:val="2"/>
          <w:szCs w:val="18"/>
        </w:rPr>
        <w:t xml:space="preserve">van leerlingen in een technisch profiel </w:t>
      </w:r>
      <w:r w:rsidRPr="006229C2">
        <w:rPr>
          <w:rFonts w:cs="Arial"/>
          <w:kern w:val="2"/>
          <w:szCs w:val="18"/>
        </w:rPr>
        <w:t>iets gunstiger.</w:t>
      </w:r>
    </w:p>
    <w:p w:rsidR="006149BD" w:rsidP="006149BD" w:rsidRDefault="006149BD" w14:paraId="1B048DDB" w14:textId="77777777">
      <w:pPr>
        <w:spacing w:after="160" w:line="259" w:lineRule="auto"/>
        <w:rPr>
          <w:rFonts w:cs="Arial"/>
          <w:b/>
          <w:bCs/>
          <w:kern w:val="2"/>
          <w:szCs w:val="18"/>
        </w:rPr>
      </w:pPr>
      <w:r>
        <w:rPr>
          <w:rFonts w:cs="Arial"/>
          <w:b/>
          <w:bCs/>
          <w:kern w:val="2"/>
          <w:szCs w:val="18"/>
        </w:rPr>
        <w:t>Overkoepelend beeld van de impact van STO</w:t>
      </w:r>
    </w:p>
    <w:p w:rsidRPr="003A7BDF" w:rsidR="006149BD" w:rsidP="006149BD" w:rsidRDefault="006149BD" w14:paraId="18C2CBE6" w14:textId="6E468C0C">
      <w:pPr>
        <w:spacing w:after="160" w:line="259" w:lineRule="auto"/>
        <w:rPr>
          <w:rFonts w:cs="Arial"/>
        </w:rPr>
      </w:pPr>
      <w:r w:rsidRPr="7A6B0FF2">
        <w:rPr>
          <w:rFonts w:cs="Arial"/>
          <w:kern w:val="2"/>
        </w:rPr>
        <w:t xml:space="preserve">Samenvattend is de eindconclusie dat de eerste fase van STO heeft gezorgd voor een stevige basis in veel regio’s: het technisch onderwijs is beter uitgerust, moderner en aantrekkelijker geworden. STO heeft zichtbaar bijgedragen aan samenwerking tussen scholen, bedrijven en (in mindere mate) met het mbo, en heeft de rol van </w:t>
      </w:r>
      <w:r w:rsidRPr="7A6B0FF2">
        <w:rPr>
          <w:rFonts w:cs="Arial"/>
          <w:kern w:val="2"/>
        </w:rPr>
        <w:lastRenderedPageBreak/>
        <w:t xml:space="preserve">het vmbo in de </w:t>
      </w:r>
      <w:r w:rsidRPr="46AF5C4D">
        <w:rPr>
          <w:rFonts w:cs="Arial"/>
        </w:rPr>
        <w:t>‘</w:t>
      </w:r>
      <w:r w:rsidRPr="7A6B0FF2">
        <w:rPr>
          <w:rFonts w:cs="Arial"/>
          <w:kern w:val="2"/>
        </w:rPr>
        <w:t>technische leerlingreis</w:t>
      </w:r>
      <w:r w:rsidRPr="46AF5C4D">
        <w:rPr>
          <w:rFonts w:cs="Arial"/>
        </w:rPr>
        <w:t>’</w:t>
      </w:r>
      <w:r w:rsidRPr="7A6B0FF2">
        <w:rPr>
          <w:rFonts w:cs="Arial"/>
          <w:kern w:val="2"/>
        </w:rPr>
        <w:t xml:space="preserve"> versterkt. Leerlingen krijgen rijker en praktijkgerichter onderwijs, en docenten voelen zich beter toegerust en gemotiveerd. </w:t>
      </w:r>
    </w:p>
    <w:p w:rsidR="006149BD" w:rsidP="006149BD" w:rsidRDefault="006149BD" w14:paraId="0414F905" w14:textId="44F91CEC">
      <w:pPr>
        <w:spacing w:after="160" w:line="259" w:lineRule="auto"/>
        <w:rPr>
          <w:rFonts w:cs="Arial"/>
        </w:rPr>
      </w:pPr>
      <w:r w:rsidRPr="7A6B0FF2">
        <w:rPr>
          <w:rFonts w:cs="Arial"/>
          <w:kern w:val="2"/>
        </w:rPr>
        <w:t>Tegelijkertijd zijn er nog uitdagingen, zoals het borgen van resultaten, voldoende lesgevenden aantrekken</w:t>
      </w:r>
      <w:r w:rsidRPr="78B72F46">
        <w:rPr>
          <w:rFonts w:cs="Arial"/>
        </w:rPr>
        <w:t>, het blijven interesseren van voldoende leerlingen</w:t>
      </w:r>
      <w:r w:rsidRPr="7A6B0FF2">
        <w:rPr>
          <w:rFonts w:cs="Arial"/>
          <w:kern w:val="2"/>
        </w:rPr>
        <w:t xml:space="preserve"> en de aansluiting met het mbo. De toekomstbestendigheid van STO hangt samen met de structurele borging van de middelen en samenwerking in de keten.</w:t>
      </w:r>
      <w:r w:rsidRPr="78B72F46">
        <w:rPr>
          <w:rFonts w:cs="Arial"/>
        </w:rPr>
        <w:t xml:space="preserve"> Ook de afstemming met andere/nieuwe regionale initiatieven zoals Techkwadraat</w:t>
      </w:r>
      <w:r w:rsidR="004A7E2E">
        <w:rPr>
          <w:rFonts w:cs="Arial"/>
        </w:rPr>
        <w:t xml:space="preserve"> of de aansluiting van STO op technische praktijkgerichte programma’s</w:t>
      </w:r>
      <w:r w:rsidRPr="78B72F46">
        <w:rPr>
          <w:rFonts w:cs="Arial"/>
        </w:rPr>
        <w:t xml:space="preserve"> is daarin belangrijk. </w:t>
      </w:r>
    </w:p>
    <w:p w:rsidR="00B908A5" w:rsidP="00663676" w:rsidRDefault="00B908A5" w14:paraId="50A06DA4" w14:textId="77777777">
      <w:pPr>
        <w:spacing w:after="160" w:line="259" w:lineRule="auto"/>
        <w:rPr>
          <w:b/>
          <w:bCs/>
        </w:rPr>
      </w:pPr>
    </w:p>
    <w:p w:rsidR="00993B93" w:rsidP="00663676" w:rsidRDefault="00993B93" w14:paraId="2CDFDCDD" w14:textId="77777777">
      <w:pPr>
        <w:spacing w:after="160" w:line="259" w:lineRule="auto"/>
        <w:rPr>
          <w:b/>
          <w:bCs/>
        </w:rPr>
      </w:pPr>
    </w:p>
    <w:p w:rsidR="00993B93" w:rsidP="00663676" w:rsidRDefault="00993B93" w14:paraId="61429EFF" w14:textId="77777777">
      <w:pPr>
        <w:spacing w:after="160" w:line="259" w:lineRule="auto"/>
        <w:rPr>
          <w:b/>
          <w:bCs/>
        </w:rPr>
      </w:pPr>
    </w:p>
    <w:p w:rsidR="00993B93" w:rsidRDefault="00993B93" w14:paraId="07FCBE9E" w14:textId="77777777">
      <w:pPr>
        <w:spacing w:after="160" w:line="259" w:lineRule="auto"/>
        <w:rPr>
          <w:b/>
          <w:bCs/>
        </w:rPr>
      </w:pPr>
      <w:r>
        <w:rPr>
          <w:b/>
          <w:bCs/>
        </w:rPr>
        <w:br w:type="page"/>
      </w:r>
    </w:p>
    <w:p w:rsidR="00964976" w:rsidP="00663676" w:rsidRDefault="00964976" w14:paraId="508A8A62" w14:textId="77777777">
      <w:pPr>
        <w:spacing w:after="160" w:line="259" w:lineRule="auto"/>
        <w:rPr>
          <w:b/>
          <w:bCs/>
        </w:rPr>
      </w:pPr>
    </w:p>
    <w:sdt>
      <w:sdtPr>
        <w:rPr>
          <w:rFonts w:eastAsia="Times New Roman" w:cs="Times New Roman"/>
          <w:color w:val="auto"/>
          <w:sz w:val="18"/>
          <w:szCs w:val="24"/>
          <w:lang w:val="nl-NL" w:eastAsia="nl-NL"/>
        </w:rPr>
        <w:id w:val="-1812856556"/>
        <w:docPartObj>
          <w:docPartGallery w:val="Table of Contents"/>
          <w:docPartUnique/>
        </w:docPartObj>
      </w:sdtPr>
      <w:sdtEndPr>
        <w:rPr>
          <w:b/>
          <w:bCs/>
          <w:noProof/>
          <w:szCs w:val="18"/>
        </w:rPr>
      </w:sdtEndPr>
      <w:sdtContent>
        <w:p w:rsidR="00193763" w:rsidP="009659A1" w:rsidRDefault="00592003" w14:paraId="4B36D36C" w14:textId="2CE7EEAE">
          <w:pPr>
            <w:pStyle w:val="Kopvaninhoudsopgave"/>
          </w:pPr>
          <w:r w:rsidRPr="00C01750">
            <w:rPr>
              <w:lang w:val="nl-BE"/>
            </w:rPr>
            <w:t>Inhoudsopgave</w:t>
          </w:r>
        </w:p>
        <w:p w:rsidRPr="00C01750" w:rsidR="00C01750" w:rsidP="00C01750" w:rsidRDefault="00C01750" w14:paraId="4BCBEC92" w14:textId="77777777">
          <w:pPr>
            <w:rPr>
              <w:lang w:val="en-US" w:eastAsia="en-US"/>
            </w:rPr>
          </w:pPr>
        </w:p>
        <w:p w:rsidR="0078602D" w:rsidRDefault="00193763" w14:paraId="24FE8CAE" w14:textId="699E7BEC">
          <w:pPr>
            <w:pStyle w:val="Inhopg1"/>
            <w:tabs>
              <w:tab w:val="left" w:pos="360"/>
              <w:tab w:val="right" w:leader="dot" w:pos="9350"/>
            </w:tabs>
            <w:rPr>
              <w:rFonts w:asciiTheme="minorHAnsi" w:hAnsiTheme="minorHAnsi" w:eastAsiaTheme="minorEastAsia" w:cstheme="minorBidi"/>
              <w:noProof/>
              <w:kern w:val="2"/>
              <w:sz w:val="24"/>
              <w14:ligatures w14:val="standardContextual"/>
            </w:rPr>
          </w:pPr>
          <w:r w:rsidRPr="00C01750">
            <w:rPr>
              <w:szCs w:val="18"/>
            </w:rPr>
            <w:fldChar w:fldCharType="begin"/>
          </w:r>
          <w:r w:rsidRPr="00C01750">
            <w:rPr>
              <w:szCs w:val="18"/>
            </w:rPr>
            <w:instrText xml:space="preserve"> TOC \o "1-3" \h \z \u </w:instrText>
          </w:r>
          <w:r w:rsidRPr="00C01750">
            <w:rPr>
              <w:szCs w:val="18"/>
            </w:rPr>
            <w:fldChar w:fldCharType="separate"/>
          </w:r>
          <w:hyperlink w:history="1" w:anchor="_Toc203573556">
            <w:r w:rsidRPr="001A5593" w:rsidR="0078602D">
              <w:rPr>
                <w:rStyle w:val="Hyperlink"/>
                <w:noProof/>
              </w:rPr>
              <w:t>1</w:t>
            </w:r>
            <w:r w:rsidR="0078602D">
              <w:rPr>
                <w:rFonts w:asciiTheme="minorHAnsi" w:hAnsiTheme="minorHAnsi" w:eastAsiaTheme="minorEastAsia" w:cstheme="minorBidi"/>
                <w:noProof/>
                <w:kern w:val="2"/>
                <w:sz w:val="24"/>
                <w14:ligatures w14:val="standardContextual"/>
              </w:rPr>
              <w:tab/>
            </w:r>
            <w:r w:rsidRPr="001A5593" w:rsidR="0078602D">
              <w:rPr>
                <w:rStyle w:val="Hyperlink"/>
                <w:noProof/>
              </w:rPr>
              <w:t>Inleiding</w:t>
            </w:r>
            <w:r w:rsidR="0078602D">
              <w:rPr>
                <w:noProof/>
                <w:webHidden/>
              </w:rPr>
              <w:tab/>
            </w:r>
            <w:r w:rsidR="0078602D">
              <w:rPr>
                <w:noProof/>
                <w:webHidden/>
              </w:rPr>
              <w:fldChar w:fldCharType="begin"/>
            </w:r>
            <w:r w:rsidR="0078602D">
              <w:rPr>
                <w:noProof/>
                <w:webHidden/>
              </w:rPr>
              <w:instrText xml:space="preserve"> PAGEREF _Toc203573556 \h </w:instrText>
            </w:r>
            <w:r w:rsidR="0078602D">
              <w:rPr>
                <w:noProof/>
                <w:webHidden/>
              </w:rPr>
            </w:r>
            <w:r w:rsidR="0078602D">
              <w:rPr>
                <w:noProof/>
                <w:webHidden/>
              </w:rPr>
              <w:fldChar w:fldCharType="separate"/>
            </w:r>
            <w:r w:rsidR="0078602D">
              <w:rPr>
                <w:noProof/>
                <w:webHidden/>
              </w:rPr>
              <w:t>8</w:t>
            </w:r>
            <w:r w:rsidR="0078602D">
              <w:rPr>
                <w:noProof/>
                <w:webHidden/>
              </w:rPr>
              <w:fldChar w:fldCharType="end"/>
            </w:r>
          </w:hyperlink>
        </w:p>
        <w:p w:rsidR="0078602D" w:rsidRDefault="0078602D" w14:paraId="5467AB4E" w14:textId="1ECDE0B0">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57">
            <w:r w:rsidRPr="001A5593">
              <w:rPr>
                <w:rStyle w:val="Hyperlink"/>
                <w:noProof/>
              </w:rPr>
              <w:t>1.1</w:t>
            </w:r>
            <w:r>
              <w:rPr>
                <w:rFonts w:asciiTheme="minorHAnsi" w:hAnsiTheme="minorHAnsi" w:eastAsiaTheme="minorEastAsia" w:cstheme="minorBidi"/>
                <w:noProof/>
                <w:kern w:val="2"/>
                <w:sz w:val="24"/>
                <w14:ligatures w14:val="standardContextual"/>
              </w:rPr>
              <w:tab/>
            </w:r>
            <w:r w:rsidRPr="001A5593">
              <w:rPr>
                <w:rStyle w:val="Hyperlink"/>
                <w:noProof/>
              </w:rPr>
              <w:t>Achtergrond beleidsmaatregelen in het vmbo</w:t>
            </w:r>
            <w:r>
              <w:rPr>
                <w:noProof/>
                <w:webHidden/>
              </w:rPr>
              <w:tab/>
            </w:r>
            <w:r>
              <w:rPr>
                <w:noProof/>
                <w:webHidden/>
              </w:rPr>
              <w:fldChar w:fldCharType="begin"/>
            </w:r>
            <w:r>
              <w:rPr>
                <w:noProof/>
                <w:webHidden/>
              </w:rPr>
              <w:instrText xml:space="preserve"> PAGEREF _Toc203573557 \h </w:instrText>
            </w:r>
            <w:r>
              <w:rPr>
                <w:noProof/>
                <w:webHidden/>
              </w:rPr>
            </w:r>
            <w:r>
              <w:rPr>
                <w:noProof/>
                <w:webHidden/>
              </w:rPr>
              <w:fldChar w:fldCharType="separate"/>
            </w:r>
            <w:r>
              <w:rPr>
                <w:noProof/>
                <w:webHidden/>
              </w:rPr>
              <w:t>8</w:t>
            </w:r>
            <w:r>
              <w:rPr>
                <w:noProof/>
                <w:webHidden/>
              </w:rPr>
              <w:fldChar w:fldCharType="end"/>
            </w:r>
          </w:hyperlink>
        </w:p>
        <w:p w:rsidR="0078602D" w:rsidRDefault="0078602D" w14:paraId="2823A83D" w14:textId="1A0086B3">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58">
            <w:r w:rsidRPr="001A5593">
              <w:rPr>
                <w:rStyle w:val="Hyperlink"/>
                <w:noProof/>
              </w:rPr>
              <w:t>1.2</w:t>
            </w:r>
            <w:r>
              <w:rPr>
                <w:rFonts w:asciiTheme="minorHAnsi" w:hAnsiTheme="minorHAnsi" w:eastAsiaTheme="minorEastAsia" w:cstheme="minorBidi"/>
                <w:noProof/>
                <w:kern w:val="2"/>
                <w:sz w:val="24"/>
                <w14:ligatures w14:val="standardContextual"/>
              </w:rPr>
              <w:tab/>
            </w:r>
            <w:r w:rsidRPr="001A5593">
              <w:rPr>
                <w:rStyle w:val="Hyperlink"/>
                <w:noProof/>
              </w:rPr>
              <w:t>Actuele cijfers over leerlingenaantallen</w:t>
            </w:r>
            <w:r>
              <w:rPr>
                <w:noProof/>
                <w:webHidden/>
              </w:rPr>
              <w:tab/>
            </w:r>
            <w:r>
              <w:rPr>
                <w:noProof/>
                <w:webHidden/>
              </w:rPr>
              <w:fldChar w:fldCharType="begin"/>
            </w:r>
            <w:r>
              <w:rPr>
                <w:noProof/>
                <w:webHidden/>
              </w:rPr>
              <w:instrText xml:space="preserve"> PAGEREF _Toc203573558 \h </w:instrText>
            </w:r>
            <w:r>
              <w:rPr>
                <w:noProof/>
                <w:webHidden/>
              </w:rPr>
            </w:r>
            <w:r>
              <w:rPr>
                <w:noProof/>
                <w:webHidden/>
              </w:rPr>
              <w:fldChar w:fldCharType="separate"/>
            </w:r>
            <w:r>
              <w:rPr>
                <w:noProof/>
                <w:webHidden/>
              </w:rPr>
              <w:t>9</w:t>
            </w:r>
            <w:r>
              <w:rPr>
                <w:noProof/>
                <w:webHidden/>
              </w:rPr>
              <w:fldChar w:fldCharType="end"/>
            </w:r>
          </w:hyperlink>
        </w:p>
        <w:p w:rsidR="0078602D" w:rsidRDefault="0078602D" w14:paraId="7AFA06AC" w14:textId="2FBB6615">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59">
            <w:r w:rsidRPr="001A5593">
              <w:rPr>
                <w:rStyle w:val="Hyperlink"/>
                <w:noProof/>
              </w:rPr>
              <w:t>1.3</w:t>
            </w:r>
            <w:r>
              <w:rPr>
                <w:rFonts w:asciiTheme="minorHAnsi" w:hAnsiTheme="minorHAnsi" w:eastAsiaTheme="minorEastAsia" w:cstheme="minorBidi"/>
                <w:noProof/>
                <w:kern w:val="2"/>
                <w:sz w:val="24"/>
                <w14:ligatures w14:val="standardContextual"/>
              </w:rPr>
              <w:tab/>
            </w:r>
            <w:r w:rsidRPr="001A5593">
              <w:rPr>
                <w:rStyle w:val="Hyperlink"/>
                <w:noProof/>
              </w:rPr>
              <w:t>Evaluatie en monitoring STO</w:t>
            </w:r>
            <w:r>
              <w:rPr>
                <w:noProof/>
                <w:webHidden/>
              </w:rPr>
              <w:tab/>
            </w:r>
            <w:r>
              <w:rPr>
                <w:noProof/>
                <w:webHidden/>
              </w:rPr>
              <w:fldChar w:fldCharType="begin"/>
            </w:r>
            <w:r>
              <w:rPr>
                <w:noProof/>
                <w:webHidden/>
              </w:rPr>
              <w:instrText xml:space="preserve"> PAGEREF _Toc203573559 \h </w:instrText>
            </w:r>
            <w:r>
              <w:rPr>
                <w:noProof/>
                <w:webHidden/>
              </w:rPr>
            </w:r>
            <w:r>
              <w:rPr>
                <w:noProof/>
                <w:webHidden/>
              </w:rPr>
              <w:fldChar w:fldCharType="separate"/>
            </w:r>
            <w:r>
              <w:rPr>
                <w:noProof/>
                <w:webHidden/>
              </w:rPr>
              <w:t>10</w:t>
            </w:r>
            <w:r>
              <w:rPr>
                <w:noProof/>
                <w:webHidden/>
              </w:rPr>
              <w:fldChar w:fldCharType="end"/>
            </w:r>
          </w:hyperlink>
        </w:p>
        <w:p w:rsidR="0078602D" w:rsidRDefault="0078602D" w14:paraId="64DEDE82" w14:textId="0F5B89A5">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60">
            <w:r w:rsidRPr="001A5593">
              <w:rPr>
                <w:rStyle w:val="Hyperlink"/>
                <w:noProof/>
              </w:rPr>
              <w:t>1.4</w:t>
            </w:r>
            <w:r>
              <w:rPr>
                <w:rFonts w:asciiTheme="minorHAnsi" w:hAnsiTheme="minorHAnsi" w:eastAsiaTheme="minorEastAsia" w:cstheme="minorBidi"/>
                <w:noProof/>
                <w:kern w:val="2"/>
                <w:sz w:val="24"/>
                <w14:ligatures w14:val="standardContextual"/>
              </w:rPr>
              <w:tab/>
            </w:r>
            <w:r w:rsidRPr="001A5593">
              <w:rPr>
                <w:rStyle w:val="Hyperlink"/>
                <w:noProof/>
              </w:rPr>
              <w:t>Leeswijzer</w:t>
            </w:r>
            <w:r>
              <w:rPr>
                <w:noProof/>
                <w:webHidden/>
              </w:rPr>
              <w:tab/>
            </w:r>
            <w:r>
              <w:rPr>
                <w:noProof/>
                <w:webHidden/>
              </w:rPr>
              <w:fldChar w:fldCharType="begin"/>
            </w:r>
            <w:r>
              <w:rPr>
                <w:noProof/>
                <w:webHidden/>
              </w:rPr>
              <w:instrText xml:space="preserve"> PAGEREF _Toc203573560 \h </w:instrText>
            </w:r>
            <w:r>
              <w:rPr>
                <w:noProof/>
                <w:webHidden/>
              </w:rPr>
            </w:r>
            <w:r>
              <w:rPr>
                <w:noProof/>
                <w:webHidden/>
              </w:rPr>
              <w:fldChar w:fldCharType="separate"/>
            </w:r>
            <w:r>
              <w:rPr>
                <w:noProof/>
                <w:webHidden/>
              </w:rPr>
              <w:t>13</w:t>
            </w:r>
            <w:r>
              <w:rPr>
                <w:noProof/>
                <w:webHidden/>
              </w:rPr>
              <w:fldChar w:fldCharType="end"/>
            </w:r>
          </w:hyperlink>
        </w:p>
        <w:p w:rsidR="0078602D" w:rsidRDefault="0078602D" w14:paraId="550AFBF7" w14:textId="38B93CA7">
          <w:pPr>
            <w:pStyle w:val="Inhopg1"/>
            <w:tabs>
              <w:tab w:val="left" w:pos="360"/>
              <w:tab w:val="right" w:leader="dot" w:pos="9350"/>
            </w:tabs>
            <w:rPr>
              <w:rFonts w:asciiTheme="minorHAnsi" w:hAnsiTheme="minorHAnsi" w:eastAsiaTheme="minorEastAsia" w:cstheme="minorBidi"/>
              <w:noProof/>
              <w:kern w:val="2"/>
              <w:sz w:val="24"/>
              <w14:ligatures w14:val="standardContextual"/>
            </w:rPr>
          </w:pPr>
          <w:hyperlink w:history="1" w:anchor="_Toc203573561">
            <w:r w:rsidRPr="001A5593">
              <w:rPr>
                <w:rStyle w:val="Hyperlink"/>
                <w:noProof/>
              </w:rPr>
              <w:t>2</w:t>
            </w:r>
            <w:r>
              <w:rPr>
                <w:rFonts w:asciiTheme="minorHAnsi" w:hAnsiTheme="minorHAnsi" w:eastAsiaTheme="minorEastAsia" w:cstheme="minorBidi"/>
                <w:noProof/>
                <w:kern w:val="2"/>
                <w:sz w:val="24"/>
                <w14:ligatures w14:val="standardContextual"/>
              </w:rPr>
              <w:tab/>
            </w:r>
            <w:r w:rsidRPr="001A5593">
              <w:rPr>
                <w:rStyle w:val="Hyperlink"/>
                <w:noProof/>
              </w:rPr>
              <w:t>De leerlingenreis in de praktijk: regioportretten STO</w:t>
            </w:r>
            <w:r>
              <w:rPr>
                <w:noProof/>
                <w:webHidden/>
              </w:rPr>
              <w:tab/>
            </w:r>
            <w:r>
              <w:rPr>
                <w:noProof/>
                <w:webHidden/>
              </w:rPr>
              <w:fldChar w:fldCharType="begin"/>
            </w:r>
            <w:r>
              <w:rPr>
                <w:noProof/>
                <w:webHidden/>
              </w:rPr>
              <w:instrText xml:space="preserve"> PAGEREF _Toc203573561 \h </w:instrText>
            </w:r>
            <w:r>
              <w:rPr>
                <w:noProof/>
                <w:webHidden/>
              </w:rPr>
            </w:r>
            <w:r>
              <w:rPr>
                <w:noProof/>
                <w:webHidden/>
              </w:rPr>
              <w:fldChar w:fldCharType="separate"/>
            </w:r>
            <w:r>
              <w:rPr>
                <w:noProof/>
                <w:webHidden/>
              </w:rPr>
              <w:t>15</w:t>
            </w:r>
            <w:r>
              <w:rPr>
                <w:noProof/>
                <w:webHidden/>
              </w:rPr>
              <w:fldChar w:fldCharType="end"/>
            </w:r>
          </w:hyperlink>
        </w:p>
        <w:p w:rsidR="0078602D" w:rsidRDefault="0078602D" w14:paraId="21710B4C" w14:textId="168B61B9">
          <w:pPr>
            <w:pStyle w:val="Inhopg3"/>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62">
            <w:r w:rsidRPr="001A5593">
              <w:rPr>
                <w:rStyle w:val="Hyperlink"/>
                <w:noProof/>
              </w:rPr>
              <w:t>2.1.1</w:t>
            </w:r>
            <w:r>
              <w:rPr>
                <w:rFonts w:asciiTheme="minorHAnsi" w:hAnsiTheme="minorHAnsi" w:eastAsiaTheme="minorEastAsia" w:cstheme="minorBidi"/>
                <w:noProof/>
                <w:kern w:val="2"/>
                <w:sz w:val="24"/>
                <w14:ligatures w14:val="standardContextual"/>
              </w:rPr>
              <w:tab/>
            </w:r>
            <w:r w:rsidRPr="001A5593">
              <w:rPr>
                <w:rStyle w:val="Hyperlink"/>
                <w:noProof/>
              </w:rPr>
              <w:t>STO-regio A</w:t>
            </w:r>
            <w:r>
              <w:rPr>
                <w:noProof/>
                <w:webHidden/>
              </w:rPr>
              <w:tab/>
            </w:r>
            <w:r>
              <w:rPr>
                <w:noProof/>
                <w:webHidden/>
              </w:rPr>
              <w:fldChar w:fldCharType="begin"/>
            </w:r>
            <w:r>
              <w:rPr>
                <w:noProof/>
                <w:webHidden/>
              </w:rPr>
              <w:instrText xml:space="preserve"> PAGEREF _Toc203573562 \h </w:instrText>
            </w:r>
            <w:r>
              <w:rPr>
                <w:noProof/>
                <w:webHidden/>
              </w:rPr>
            </w:r>
            <w:r>
              <w:rPr>
                <w:noProof/>
                <w:webHidden/>
              </w:rPr>
              <w:fldChar w:fldCharType="separate"/>
            </w:r>
            <w:r>
              <w:rPr>
                <w:noProof/>
                <w:webHidden/>
              </w:rPr>
              <w:t>16</w:t>
            </w:r>
            <w:r>
              <w:rPr>
                <w:noProof/>
                <w:webHidden/>
              </w:rPr>
              <w:fldChar w:fldCharType="end"/>
            </w:r>
          </w:hyperlink>
        </w:p>
        <w:p w:rsidR="0078602D" w:rsidRDefault="0078602D" w14:paraId="08CB30EA" w14:textId="65997935">
          <w:pPr>
            <w:pStyle w:val="Inhopg3"/>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63">
            <w:r w:rsidRPr="001A5593">
              <w:rPr>
                <w:rStyle w:val="Hyperlink"/>
                <w:noProof/>
              </w:rPr>
              <w:t>2.1.2</w:t>
            </w:r>
            <w:r>
              <w:rPr>
                <w:rFonts w:asciiTheme="minorHAnsi" w:hAnsiTheme="minorHAnsi" w:eastAsiaTheme="minorEastAsia" w:cstheme="minorBidi"/>
                <w:noProof/>
                <w:kern w:val="2"/>
                <w:sz w:val="24"/>
                <w14:ligatures w14:val="standardContextual"/>
              </w:rPr>
              <w:tab/>
            </w:r>
            <w:r w:rsidRPr="001A5593">
              <w:rPr>
                <w:rStyle w:val="Hyperlink"/>
                <w:noProof/>
              </w:rPr>
              <w:t>STO-regio B</w:t>
            </w:r>
            <w:r>
              <w:rPr>
                <w:noProof/>
                <w:webHidden/>
              </w:rPr>
              <w:tab/>
            </w:r>
            <w:r>
              <w:rPr>
                <w:noProof/>
                <w:webHidden/>
              </w:rPr>
              <w:fldChar w:fldCharType="begin"/>
            </w:r>
            <w:r>
              <w:rPr>
                <w:noProof/>
                <w:webHidden/>
              </w:rPr>
              <w:instrText xml:space="preserve"> PAGEREF _Toc203573563 \h </w:instrText>
            </w:r>
            <w:r>
              <w:rPr>
                <w:noProof/>
                <w:webHidden/>
              </w:rPr>
            </w:r>
            <w:r>
              <w:rPr>
                <w:noProof/>
                <w:webHidden/>
              </w:rPr>
              <w:fldChar w:fldCharType="separate"/>
            </w:r>
            <w:r>
              <w:rPr>
                <w:noProof/>
                <w:webHidden/>
              </w:rPr>
              <w:t>20</w:t>
            </w:r>
            <w:r>
              <w:rPr>
                <w:noProof/>
                <w:webHidden/>
              </w:rPr>
              <w:fldChar w:fldCharType="end"/>
            </w:r>
          </w:hyperlink>
        </w:p>
        <w:p w:rsidR="0078602D" w:rsidRDefault="0078602D" w14:paraId="76202D5D" w14:textId="602F1EB0">
          <w:pPr>
            <w:pStyle w:val="Inhopg3"/>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64">
            <w:r w:rsidRPr="001A5593">
              <w:rPr>
                <w:rStyle w:val="Hyperlink"/>
                <w:noProof/>
              </w:rPr>
              <w:t>2.1.3</w:t>
            </w:r>
            <w:r>
              <w:rPr>
                <w:rFonts w:asciiTheme="minorHAnsi" w:hAnsiTheme="minorHAnsi" w:eastAsiaTheme="minorEastAsia" w:cstheme="minorBidi"/>
                <w:noProof/>
                <w:kern w:val="2"/>
                <w:sz w:val="24"/>
                <w14:ligatures w14:val="standardContextual"/>
              </w:rPr>
              <w:tab/>
            </w:r>
            <w:r w:rsidRPr="001A5593">
              <w:rPr>
                <w:rStyle w:val="Hyperlink"/>
                <w:noProof/>
              </w:rPr>
              <w:t>STO-regio C</w:t>
            </w:r>
            <w:r>
              <w:rPr>
                <w:noProof/>
                <w:webHidden/>
              </w:rPr>
              <w:tab/>
            </w:r>
            <w:r>
              <w:rPr>
                <w:noProof/>
                <w:webHidden/>
              </w:rPr>
              <w:fldChar w:fldCharType="begin"/>
            </w:r>
            <w:r>
              <w:rPr>
                <w:noProof/>
                <w:webHidden/>
              </w:rPr>
              <w:instrText xml:space="preserve"> PAGEREF _Toc203573564 \h </w:instrText>
            </w:r>
            <w:r>
              <w:rPr>
                <w:noProof/>
                <w:webHidden/>
              </w:rPr>
            </w:r>
            <w:r>
              <w:rPr>
                <w:noProof/>
                <w:webHidden/>
              </w:rPr>
              <w:fldChar w:fldCharType="separate"/>
            </w:r>
            <w:r>
              <w:rPr>
                <w:noProof/>
                <w:webHidden/>
              </w:rPr>
              <w:t>26</w:t>
            </w:r>
            <w:r>
              <w:rPr>
                <w:noProof/>
                <w:webHidden/>
              </w:rPr>
              <w:fldChar w:fldCharType="end"/>
            </w:r>
          </w:hyperlink>
        </w:p>
        <w:p w:rsidR="0078602D" w:rsidRDefault="0078602D" w14:paraId="4B793701" w14:textId="54BE70EB">
          <w:pPr>
            <w:pStyle w:val="Inhopg3"/>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65">
            <w:r w:rsidRPr="001A5593">
              <w:rPr>
                <w:rStyle w:val="Hyperlink"/>
                <w:noProof/>
              </w:rPr>
              <w:t>2.1.4</w:t>
            </w:r>
            <w:r>
              <w:rPr>
                <w:rFonts w:asciiTheme="minorHAnsi" w:hAnsiTheme="minorHAnsi" w:eastAsiaTheme="minorEastAsia" w:cstheme="minorBidi"/>
                <w:noProof/>
                <w:kern w:val="2"/>
                <w:sz w:val="24"/>
                <w14:ligatures w14:val="standardContextual"/>
              </w:rPr>
              <w:tab/>
            </w:r>
            <w:r w:rsidRPr="001A5593">
              <w:rPr>
                <w:rStyle w:val="Hyperlink"/>
                <w:noProof/>
              </w:rPr>
              <w:t>STO-regio D</w:t>
            </w:r>
            <w:r>
              <w:rPr>
                <w:noProof/>
                <w:webHidden/>
              </w:rPr>
              <w:tab/>
            </w:r>
            <w:r>
              <w:rPr>
                <w:noProof/>
                <w:webHidden/>
              </w:rPr>
              <w:fldChar w:fldCharType="begin"/>
            </w:r>
            <w:r>
              <w:rPr>
                <w:noProof/>
                <w:webHidden/>
              </w:rPr>
              <w:instrText xml:space="preserve"> PAGEREF _Toc203573565 \h </w:instrText>
            </w:r>
            <w:r>
              <w:rPr>
                <w:noProof/>
                <w:webHidden/>
              </w:rPr>
            </w:r>
            <w:r>
              <w:rPr>
                <w:noProof/>
                <w:webHidden/>
              </w:rPr>
              <w:fldChar w:fldCharType="separate"/>
            </w:r>
            <w:r>
              <w:rPr>
                <w:noProof/>
                <w:webHidden/>
              </w:rPr>
              <w:t>30</w:t>
            </w:r>
            <w:r>
              <w:rPr>
                <w:noProof/>
                <w:webHidden/>
              </w:rPr>
              <w:fldChar w:fldCharType="end"/>
            </w:r>
          </w:hyperlink>
        </w:p>
        <w:p w:rsidR="0078602D" w:rsidRDefault="0078602D" w14:paraId="044002B3" w14:textId="144C1E39">
          <w:pPr>
            <w:pStyle w:val="Inhopg3"/>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66">
            <w:r w:rsidRPr="001A5593">
              <w:rPr>
                <w:rStyle w:val="Hyperlink"/>
                <w:noProof/>
              </w:rPr>
              <w:t>2.1.5</w:t>
            </w:r>
            <w:r>
              <w:rPr>
                <w:rFonts w:asciiTheme="minorHAnsi" w:hAnsiTheme="minorHAnsi" w:eastAsiaTheme="minorEastAsia" w:cstheme="minorBidi"/>
                <w:noProof/>
                <w:kern w:val="2"/>
                <w:sz w:val="24"/>
                <w14:ligatures w14:val="standardContextual"/>
              </w:rPr>
              <w:tab/>
            </w:r>
            <w:r w:rsidRPr="001A5593">
              <w:rPr>
                <w:rStyle w:val="Hyperlink"/>
                <w:noProof/>
              </w:rPr>
              <w:t>Een voorbeeld uit STO-regio E</w:t>
            </w:r>
            <w:r>
              <w:rPr>
                <w:noProof/>
                <w:webHidden/>
              </w:rPr>
              <w:tab/>
            </w:r>
            <w:r>
              <w:rPr>
                <w:noProof/>
                <w:webHidden/>
              </w:rPr>
              <w:fldChar w:fldCharType="begin"/>
            </w:r>
            <w:r>
              <w:rPr>
                <w:noProof/>
                <w:webHidden/>
              </w:rPr>
              <w:instrText xml:space="preserve"> PAGEREF _Toc203573566 \h </w:instrText>
            </w:r>
            <w:r>
              <w:rPr>
                <w:noProof/>
                <w:webHidden/>
              </w:rPr>
            </w:r>
            <w:r>
              <w:rPr>
                <w:noProof/>
                <w:webHidden/>
              </w:rPr>
              <w:fldChar w:fldCharType="separate"/>
            </w:r>
            <w:r>
              <w:rPr>
                <w:noProof/>
                <w:webHidden/>
              </w:rPr>
              <w:t>34</w:t>
            </w:r>
            <w:r>
              <w:rPr>
                <w:noProof/>
                <w:webHidden/>
              </w:rPr>
              <w:fldChar w:fldCharType="end"/>
            </w:r>
          </w:hyperlink>
        </w:p>
        <w:p w:rsidR="0078602D" w:rsidRDefault="0078602D" w14:paraId="26B43EA2" w14:textId="27ADFB6A">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67">
            <w:r w:rsidRPr="001A5593">
              <w:rPr>
                <w:rStyle w:val="Hyperlink"/>
                <w:noProof/>
              </w:rPr>
              <w:t>2.2</w:t>
            </w:r>
            <w:r>
              <w:rPr>
                <w:rFonts w:asciiTheme="minorHAnsi" w:hAnsiTheme="minorHAnsi" w:eastAsiaTheme="minorEastAsia" w:cstheme="minorBidi"/>
                <w:noProof/>
                <w:kern w:val="2"/>
                <w:sz w:val="24"/>
                <w14:ligatures w14:val="standardContextual"/>
              </w:rPr>
              <w:tab/>
            </w:r>
            <w:r w:rsidRPr="001A5593">
              <w:rPr>
                <w:rStyle w:val="Hyperlink"/>
                <w:noProof/>
              </w:rPr>
              <w:t>Conclusies op basis van de casussen</w:t>
            </w:r>
            <w:r>
              <w:rPr>
                <w:noProof/>
                <w:webHidden/>
              </w:rPr>
              <w:tab/>
            </w:r>
            <w:r>
              <w:rPr>
                <w:noProof/>
                <w:webHidden/>
              </w:rPr>
              <w:fldChar w:fldCharType="begin"/>
            </w:r>
            <w:r>
              <w:rPr>
                <w:noProof/>
                <w:webHidden/>
              </w:rPr>
              <w:instrText xml:space="preserve"> PAGEREF _Toc203573567 \h </w:instrText>
            </w:r>
            <w:r>
              <w:rPr>
                <w:noProof/>
                <w:webHidden/>
              </w:rPr>
            </w:r>
            <w:r>
              <w:rPr>
                <w:noProof/>
                <w:webHidden/>
              </w:rPr>
              <w:fldChar w:fldCharType="separate"/>
            </w:r>
            <w:r>
              <w:rPr>
                <w:noProof/>
                <w:webHidden/>
              </w:rPr>
              <w:t>34</w:t>
            </w:r>
            <w:r>
              <w:rPr>
                <w:noProof/>
                <w:webHidden/>
              </w:rPr>
              <w:fldChar w:fldCharType="end"/>
            </w:r>
          </w:hyperlink>
        </w:p>
        <w:p w:rsidR="0078602D" w:rsidRDefault="0078602D" w14:paraId="6BD389C4" w14:textId="4EE352E8">
          <w:pPr>
            <w:pStyle w:val="Inhopg1"/>
            <w:tabs>
              <w:tab w:val="left" w:pos="360"/>
              <w:tab w:val="right" w:leader="dot" w:pos="9350"/>
            </w:tabs>
            <w:rPr>
              <w:rFonts w:asciiTheme="minorHAnsi" w:hAnsiTheme="minorHAnsi" w:eastAsiaTheme="minorEastAsia" w:cstheme="minorBidi"/>
              <w:noProof/>
              <w:kern w:val="2"/>
              <w:sz w:val="24"/>
              <w14:ligatures w14:val="standardContextual"/>
            </w:rPr>
          </w:pPr>
          <w:hyperlink w:history="1" w:anchor="_Toc203573568">
            <w:r w:rsidRPr="001A5593">
              <w:rPr>
                <w:rStyle w:val="Hyperlink"/>
                <w:noProof/>
              </w:rPr>
              <w:t>3</w:t>
            </w:r>
            <w:r>
              <w:rPr>
                <w:rFonts w:asciiTheme="minorHAnsi" w:hAnsiTheme="minorHAnsi" w:eastAsiaTheme="minorEastAsia" w:cstheme="minorBidi"/>
                <w:noProof/>
                <w:kern w:val="2"/>
                <w:sz w:val="24"/>
                <w14:ligatures w14:val="standardContextual"/>
              </w:rPr>
              <w:tab/>
            </w:r>
            <w:r w:rsidRPr="001A5593">
              <w:rPr>
                <w:rStyle w:val="Hyperlink"/>
                <w:noProof/>
              </w:rPr>
              <w:t>Observaties oriëntatie op techniek in buitenschoolse activiteiten STO</w:t>
            </w:r>
            <w:r>
              <w:rPr>
                <w:noProof/>
                <w:webHidden/>
              </w:rPr>
              <w:tab/>
            </w:r>
            <w:r>
              <w:rPr>
                <w:noProof/>
                <w:webHidden/>
              </w:rPr>
              <w:fldChar w:fldCharType="begin"/>
            </w:r>
            <w:r>
              <w:rPr>
                <w:noProof/>
                <w:webHidden/>
              </w:rPr>
              <w:instrText xml:space="preserve"> PAGEREF _Toc203573568 \h </w:instrText>
            </w:r>
            <w:r>
              <w:rPr>
                <w:noProof/>
                <w:webHidden/>
              </w:rPr>
            </w:r>
            <w:r>
              <w:rPr>
                <w:noProof/>
                <w:webHidden/>
              </w:rPr>
              <w:fldChar w:fldCharType="separate"/>
            </w:r>
            <w:r>
              <w:rPr>
                <w:noProof/>
                <w:webHidden/>
              </w:rPr>
              <w:t>39</w:t>
            </w:r>
            <w:r>
              <w:rPr>
                <w:noProof/>
                <w:webHidden/>
              </w:rPr>
              <w:fldChar w:fldCharType="end"/>
            </w:r>
          </w:hyperlink>
        </w:p>
        <w:p w:rsidR="0078602D" w:rsidRDefault="0078602D" w14:paraId="2D5917E5" w14:textId="128543F6">
          <w:pPr>
            <w:pStyle w:val="Inhopg3"/>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69">
            <w:r w:rsidRPr="001A5593">
              <w:rPr>
                <w:rStyle w:val="Hyperlink"/>
                <w:noProof/>
              </w:rPr>
              <w:t>3.1.1</w:t>
            </w:r>
            <w:r>
              <w:rPr>
                <w:rFonts w:asciiTheme="minorHAnsi" w:hAnsiTheme="minorHAnsi" w:eastAsiaTheme="minorEastAsia" w:cstheme="minorBidi"/>
                <w:noProof/>
                <w:kern w:val="2"/>
                <w:sz w:val="24"/>
                <w14:ligatures w14:val="standardContextual"/>
              </w:rPr>
              <w:tab/>
            </w:r>
            <w:r w:rsidRPr="001A5593">
              <w:rPr>
                <w:rStyle w:val="Hyperlink"/>
                <w:noProof/>
              </w:rPr>
              <w:t>Lesobservatie 1:</w:t>
            </w:r>
            <w:r>
              <w:rPr>
                <w:noProof/>
                <w:webHidden/>
              </w:rPr>
              <w:tab/>
            </w:r>
            <w:r>
              <w:rPr>
                <w:noProof/>
                <w:webHidden/>
              </w:rPr>
              <w:fldChar w:fldCharType="begin"/>
            </w:r>
            <w:r>
              <w:rPr>
                <w:noProof/>
                <w:webHidden/>
              </w:rPr>
              <w:instrText xml:space="preserve"> PAGEREF _Toc203573569 \h </w:instrText>
            </w:r>
            <w:r>
              <w:rPr>
                <w:noProof/>
                <w:webHidden/>
              </w:rPr>
            </w:r>
            <w:r>
              <w:rPr>
                <w:noProof/>
                <w:webHidden/>
              </w:rPr>
              <w:fldChar w:fldCharType="separate"/>
            </w:r>
            <w:r>
              <w:rPr>
                <w:noProof/>
                <w:webHidden/>
              </w:rPr>
              <w:t>42</w:t>
            </w:r>
            <w:r>
              <w:rPr>
                <w:noProof/>
                <w:webHidden/>
              </w:rPr>
              <w:fldChar w:fldCharType="end"/>
            </w:r>
          </w:hyperlink>
        </w:p>
        <w:p w:rsidR="0078602D" w:rsidRDefault="0078602D" w14:paraId="4DF6710D" w14:textId="49FE4AC2">
          <w:pPr>
            <w:pStyle w:val="Inhopg3"/>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70">
            <w:r w:rsidRPr="001A5593">
              <w:rPr>
                <w:rStyle w:val="Hyperlink"/>
                <w:noProof/>
              </w:rPr>
              <w:t>3.1.2</w:t>
            </w:r>
            <w:r>
              <w:rPr>
                <w:rFonts w:asciiTheme="minorHAnsi" w:hAnsiTheme="minorHAnsi" w:eastAsiaTheme="minorEastAsia" w:cstheme="minorBidi"/>
                <w:noProof/>
                <w:kern w:val="2"/>
                <w:sz w:val="24"/>
                <w14:ligatures w14:val="standardContextual"/>
              </w:rPr>
              <w:tab/>
            </w:r>
            <w:r w:rsidRPr="001A5593">
              <w:rPr>
                <w:rStyle w:val="Hyperlink"/>
                <w:noProof/>
              </w:rPr>
              <w:t>Lesobservatie 2:</w:t>
            </w:r>
            <w:r>
              <w:rPr>
                <w:noProof/>
                <w:webHidden/>
              </w:rPr>
              <w:tab/>
            </w:r>
            <w:r>
              <w:rPr>
                <w:noProof/>
                <w:webHidden/>
              </w:rPr>
              <w:fldChar w:fldCharType="begin"/>
            </w:r>
            <w:r>
              <w:rPr>
                <w:noProof/>
                <w:webHidden/>
              </w:rPr>
              <w:instrText xml:space="preserve"> PAGEREF _Toc203573570 \h </w:instrText>
            </w:r>
            <w:r>
              <w:rPr>
                <w:noProof/>
                <w:webHidden/>
              </w:rPr>
            </w:r>
            <w:r>
              <w:rPr>
                <w:noProof/>
                <w:webHidden/>
              </w:rPr>
              <w:fldChar w:fldCharType="separate"/>
            </w:r>
            <w:r>
              <w:rPr>
                <w:noProof/>
                <w:webHidden/>
              </w:rPr>
              <w:t>43</w:t>
            </w:r>
            <w:r>
              <w:rPr>
                <w:noProof/>
                <w:webHidden/>
              </w:rPr>
              <w:fldChar w:fldCharType="end"/>
            </w:r>
          </w:hyperlink>
        </w:p>
        <w:p w:rsidR="0078602D" w:rsidRDefault="0078602D" w14:paraId="025BD6CB" w14:textId="2C5F26A0">
          <w:pPr>
            <w:pStyle w:val="Inhopg3"/>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71">
            <w:r w:rsidRPr="001A5593">
              <w:rPr>
                <w:rStyle w:val="Hyperlink"/>
                <w:noProof/>
              </w:rPr>
              <w:t>3.1.3</w:t>
            </w:r>
            <w:r>
              <w:rPr>
                <w:rFonts w:asciiTheme="minorHAnsi" w:hAnsiTheme="minorHAnsi" w:eastAsiaTheme="minorEastAsia" w:cstheme="minorBidi"/>
                <w:noProof/>
                <w:kern w:val="2"/>
                <w:sz w:val="24"/>
                <w14:ligatures w14:val="standardContextual"/>
              </w:rPr>
              <w:tab/>
            </w:r>
            <w:r w:rsidRPr="001A5593">
              <w:rPr>
                <w:rStyle w:val="Hyperlink"/>
                <w:noProof/>
              </w:rPr>
              <w:t>Lesobservatie 3:</w:t>
            </w:r>
            <w:r>
              <w:rPr>
                <w:noProof/>
                <w:webHidden/>
              </w:rPr>
              <w:tab/>
            </w:r>
            <w:r>
              <w:rPr>
                <w:noProof/>
                <w:webHidden/>
              </w:rPr>
              <w:fldChar w:fldCharType="begin"/>
            </w:r>
            <w:r>
              <w:rPr>
                <w:noProof/>
                <w:webHidden/>
              </w:rPr>
              <w:instrText xml:space="preserve"> PAGEREF _Toc203573571 \h </w:instrText>
            </w:r>
            <w:r>
              <w:rPr>
                <w:noProof/>
                <w:webHidden/>
              </w:rPr>
            </w:r>
            <w:r>
              <w:rPr>
                <w:noProof/>
                <w:webHidden/>
              </w:rPr>
              <w:fldChar w:fldCharType="separate"/>
            </w:r>
            <w:r>
              <w:rPr>
                <w:noProof/>
                <w:webHidden/>
              </w:rPr>
              <w:t>44</w:t>
            </w:r>
            <w:r>
              <w:rPr>
                <w:noProof/>
                <w:webHidden/>
              </w:rPr>
              <w:fldChar w:fldCharType="end"/>
            </w:r>
          </w:hyperlink>
        </w:p>
        <w:p w:rsidR="0078602D" w:rsidRDefault="0078602D" w14:paraId="184BDFC6" w14:textId="6BFBC989">
          <w:pPr>
            <w:pStyle w:val="Inhopg3"/>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72">
            <w:r w:rsidRPr="001A5593">
              <w:rPr>
                <w:rStyle w:val="Hyperlink"/>
                <w:noProof/>
              </w:rPr>
              <w:t>3.1.4</w:t>
            </w:r>
            <w:r>
              <w:rPr>
                <w:rFonts w:asciiTheme="minorHAnsi" w:hAnsiTheme="minorHAnsi" w:eastAsiaTheme="minorEastAsia" w:cstheme="minorBidi"/>
                <w:noProof/>
                <w:kern w:val="2"/>
                <w:sz w:val="24"/>
                <w14:ligatures w14:val="standardContextual"/>
              </w:rPr>
              <w:tab/>
            </w:r>
            <w:r w:rsidRPr="001A5593">
              <w:rPr>
                <w:rStyle w:val="Hyperlink"/>
                <w:noProof/>
              </w:rPr>
              <w:t>Lesobservatie 4:</w:t>
            </w:r>
            <w:r>
              <w:rPr>
                <w:noProof/>
                <w:webHidden/>
              </w:rPr>
              <w:tab/>
            </w:r>
            <w:r>
              <w:rPr>
                <w:noProof/>
                <w:webHidden/>
              </w:rPr>
              <w:fldChar w:fldCharType="begin"/>
            </w:r>
            <w:r>
              <w:rPr>
                <w:noProof/>
                <w:webHidden/>
              </w:rPr>
              <w:instrText xml:space="preserve"> PAGEREF _Toc203573572 \h </w:instrText>
            </w:r>
            <w:r>
              <w:rPr>
                <w:noProof/>
                <w:webHidden/>
              </w:rPr>
            </w:r>
            <w:r>
              <w:rPr>
                <w:noProof/>
                <w:webHidden/>
              </w:rPr>
              <w:fldChar w:fldCharType="separate"/>
            </w:r>
            <w:r>
              <w:rPr>
                <w:noProof/>
                <w:webHidden/>
              </w:rPr>
              <w:t>45</w:t>
            </w:r>
            <w:r>
              <w:rPr>
                <w:noProof/>
                <w:webHidden/>
              </w:rPr>
              <w:fldChar w:fldCharType="end"/>
            </w:r>
          </w:hyperlink>
        </w:p>
        <w:p w:rsidR="0078602D" w:rsidRDefault="0078602D" w14:paraId="31D460FC" w14:textId="700F2DDB">
          <w:pPr>
            <w:pStyle w:val="Inhopg3"/>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73">
            <w:r w:rsidRPr="001A5593">
              <w:rPr>
                <w:rStyle w:val="Hyperlink"/>
                <w:noProof/>
              </w:rPr>
              <w:t>3.1.5</w:t>
            </w:r>
            <w:r>
              <w:rPr>
                <w:rFonts w:asciiTheme="minorHAnsi" w:hAnsiTheme="minorHAnsi" w:eastAsiaTheme="minorEastAsia" w:cstheme="minorBidi"/>
                <w:noProof/>
                <w:kern w:val="2"/>
                <w:sz w:val="24"/>
                <w14:ligatures w14:val="standardContextual"/>
              </w:rPr>
              <w:tab/>
            </w:r>
            <w:r w:rsidRPr="001A5593">
              <w:rPr>
                <w:rStyle w:val="Hyperlink"/>
                <w:noProof/>
              </w:rPr>
              <w:t>Lesobservatie 5:</w:t>
            </w:r>
            <w:r>
              <w:rPr>
                <w:noProof/>
                <w:webHidden/>
              </w:rPr>
              <w:tab/>
            </w:r>
            <w:r>
              <w:rPr>
                <w:noProof/>
                <w:webHidden/>
              </w:rPr>
              <w:fldChar w:fldCharType="begin"/>
            </w:r>
            <w:r>
              <w:rPr>
                <w:noProof/>
                <w:webHidden/>
              </w:rPr>
              <w:instrText xml:space="preserve"> PAGEREF _Toc203573573 \h </w:instrText>
            </w:r>
            <w:r>
              <w:rPr>
                <w:noProof/>
                <w:webHidden/>
              </w:rPr>
            </w:r>
            <w:r>
              <w:rPr>
                <w:noProof/>
                <w:webHidden/>
              </w:rPr>
              <w:fldChar w:fldCharType="separate"/>
            </w:r>
            <w:r>
              <w:rPr>
                <w:noProof/>
                <w:webHidden/>
              </w:rPr>
              <w:t>46</w:t>
            </w:r>
            <w:r>
              <w:rPr>
                <w:noProof/>
                <w:webHidden/>
              </w:rPr>
              <w:fldChar w:fldCharType="end"/>
            </w:r>
          </w:hyperlink>
        </w:p>
        <w:p w:rsidR="0078602D" w:rsidRDefault="0078602D" w14:paraId="3B997AEA" w14:textId="6F0F68EF">
          <w:pPr>
            <w:pStyle w:val="Inhopg3"/>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74">
            <w:r w:rsidRPr="001A5593">
              <w:rPr>
                <w:rStyle w:val="Hyperlink"/>
                <w:noProof/>
              </w:rPr>
              <w:t>3.1.6</w:t>
            </w:r>
            <w:r>
              <w:rPr>
                <w:rFonts w:asciiTheme="minorHAnsi" w:hAnsiTheme="minorHAnsi" w:eastAsiaTheme="minorEastAsia" w:cstheme="minorBidi"/>
                <w:noProof/>
                <w:kern w:val="2"/>
                <w:sz w:val="24"/>
                <w14:ligatures w14:val="standardContextual"/>
              </w:rPr>
              <w:tab/>
            </w:r>
            <w:r w:rsidRPr="001A5593">
              <w:rPr>
                <w:rStyle w:val="Hyperlink"/>
                <w:noProof/>
              </w:rPr>
              <w:t>Lesobservatie 6:</w:t>
            </w:r>
            <w:r>
              <w:rPr>
                <w:noProof/>
                <w:webHidden/>
              </w:rPr>
              <w:tab/>
            </w:r>
            <w:r>
              <w:rPr>
                <w:noProof/>
                <w:webHidden/>
              </w:rPr>
              <w:fldChar w:fldCharType="begin"/>
            </w:r>
            <w:r>
              <w:rPr>
                <w:noProof/>
                <w:webHidden/>
              </w:rPr>
              <w:instrText xml:space="preserve"> PAGEREF _Toc203573574 \h </w:instrText>
            </w:r>
            <w:r>
              <w:rPr>
                <w:noProof/>
                <w:webHidden/>
              </w:rPr>
            </w:r>
            <w:r>
              <w:rPr>
                <w:noProof/>
                <w:webHidden/>
              </w:rPr>
              <w:fldChar w:fldCharType="separate"/>
            </w:r>
            <w:r>
              <w:rPr>
                <w:noProof/>
                <w:webHidden/>
              </w:rPr>
              <w:t>47</w:t>
            </w:r>
            <w:r>
              <w:rPr>
                <w:noProof/>
                <w:webHidden/>
              </w:rPr>
              <w:fldChar w:fldCharType="end"/>
            </w:r>
          </w:hyperlink>
        </w:p>
        <w:p w:rsidR="0078602D" w:rsidRDefault="0078602D" w14:paraId="0A0D34E8" w14:textId="4F5AABAC">
          <w:pPr>
            <w:pStyle w:val="Inhopg3"/>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75">
            <w:r w:rsidRPr="001A5593">
              <w:rPr>
                <w:rStyle w:val="Hyperlink"/>
                <w:noProof/>
              </w:rPr>
              <w:t>3.1.7</w:t>
            </w:r>
            <w:r>
              <w:rPr>
                <w:rFonts w:asciiTheme="minorHAnsi" w:hAnsiTheme="minorHAnsi" w:eastAsiaTheme="minorEastAsia" w:cstheme="minorBidi"/>
                <w:noProof/>
                <w:kern w:val="2"/>
                <w:sz w:val="24"/>
                <w14:ligatures w14:val="standardContextual"/>
              </w:rPr>
              <w:tab/>
            </w:r>
            <w:r w:rsidRPr="001A5593">
              <w:rPr>
                <w:rStyle w:val="Hyperlink"/>
                <w:noProof/>
              </w:rPr>
              <w:t>Lesobservatie 7:</w:t>
            </w:r>
            <w:r>
              <w:rPr>
                <w:noProof/>
                <w:webHidden/>
              </w:rPr>
              <w:tab/>
            </w:r>
            <w:r>
              <w:rPr>
                <w:noProof/>
                <w:webHidden/>
              </w:rPr>
              <w:fldChar w:fldCharType="begin"/>
            </w:r>
            <w:r>
              <w:rPr>
                <w:noProof/>
                <w:webHidden/>
              </w:rPr>
              <w:instrText xml:space="preserve"> PAGEREF _Toc203573575 \h </w:instrText>
            </w:r>
            <w:r>
              <w:rPr>
                <w:noProof/>
                <w:webHidden/>
              </w:rPr>
            </w:r>
            <w:r>
              <w:rPr>
                <w:noProof/>
                <w:webHidden/>
              </w:rPr>
              <w:fldChar w:fldCharType="separate"/>
            </w:r>
            <w:r>
              <w:rPr>
                <w:noProof/>
                <w:webHidden/>
              </w:rPr>
              <w:t>48</w:t>
            </w:r>
            <w:r>
              <w:rPr>
                <w:noProof/>
                <w:webHidden/>
              </w:rPr>
              <w:fldChar w:fldCharType="end"/>
            </w:r>
          </w:hyperlink>
        </w:p>
        <w:p w:rsidR="0078602D" w:rsidRDefault="0078602D" w14:paraId="37B37037" w14:textId="3A276231">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76">
            <w:r w:rsidRPr="001A5593">
              <w:rPr>
                <w:rStyle w:val="Hyperlink"/>
                <w:noProof/>
              </w:rPr>
              <w:t>3.2</w:t>
            </w:r>
            <w:r>
              <w:rPr>
                <w:rFonts w:asciiTheme="minorHAnsi" w:hAnsiTheme="minorHAnsi" w:eastAsiaTheme="minorEastAsia" w:cstheme="minorBidi"/>
                <w:noProof/>
                <w:kern w:val="2"/>
                <w:sz w:val="24"/>
                <w14:ligatures w14:val="standardContextual"/>
              </w:rPr>
              <w:tab/>
            </w:r>
            <w:r w:rsidRPr="001A5593">
              <w:rPr>
                <w:rStyle w:val="Hyperlink"/>
                <w:noProof/>
              </w:rPr>
              <w:t>Overkoepelend beeld</w:t>
            </w:r>
            <w:r>
              <w:rPr>
                <w:noProof/>
                <w:webHidden/>
              </w:rPr>
              <w:tab/>
            </w:r>
            <w:r>
              <w:rPr>
                <w:noProof/>
                <w:webHidden/>
              </w:rPr>
              <w:fldChar w:fldCharType="begin"/>
            </w:r>
            <w:r>
              <w:rPr>
                <w:noProof/>
                <w:webHidden/>
              </w:rPr>
              <w:instrText xml:space="preserve"> PAGEREF _Toc203573576 \h </w:instrText>
            </w:r>
            <w:r>
              <w:rPr>
                <w:noProof/>
                <w:webHidden/>
              </w:rPr>
            </w:r>
            <w:r>
              <w:rPr>
                <w:noProof/>
                <w:webHidden/>
              </w:rPr>
              <w:fldChar w:fldCharType="separate"/>
            </w:r>
            <w:r>
              <w:rPr>
                <w:noProof/>
                <w:webHidden/>
              </w:rPr>
              <w:t>52</w:t>
            </w:r>
            <w:r>
              <w:rPr>
                <w:noProof/>
                <w:webHidden/>
              </w:rPr>
              <w:fldChar w:fldCharType="end"/>
            </w:r>
          </w:hyperlink>
        </w:p>
        <w:p w:rsidR="0078602D" w:rsidRDefault="0078602D" w14:paraId="79E4AFD7" w14:textId="38C0A660">
          <w:pPr>
            <w:pStyle w:val="Inhopg1"/>
            <w:tabs>
              <w:tab w:val="left" w:pos="360"/>
              <w:tab w:val="right" w:leader="dot" w:pos="9350"/>
            </w:tabs>
            <w:rPr>
              <w:rFonts w:asciiTheme="minorHAnsi" w:hAnsiTheme="minorHAnsi" w:eastAsiaTheme="minorEastAsia" w:cstheme="minorBidi"/>
              <w:noProof/>
              <w:kern w:val="2"/>
              <w:sz w:val="24"/>
              <w14:ligatures w14:val="standardContextual"/>
            </w:rPr>
          </w:pPr>
          <w:hyperlink w:history="1" w:anchor="_Toc203573577">
            <w:r w:rsidRPr="001A5593">
              <w:rPr>
                <w:rStyle w:val="Hyperlink"/>
                <w:noProof/>
              </w:rPr>
              <w:t>4</w:t>
            </w:r>
            <w:r>
              <w:rPr>
                <w:rFonts w:asciiTheme="minorHAnsi" w:hAnsiTheme="minorHAnsi" w:eastAsiaTheme="minorEastAsia" w:cstheme="minorBidi"/>
                <w:noProof/>
                <w:kern w:val="2"/>
                <w:sz w:val="24"/>
                <w14:ligatures w14:val="standardContextual"/>
              </w:rPr>
              <w:tab/>
            </w:r>
            <w:r w:rsidRPr="001A5593">
              <w:rPr>
                <w:rStyle w:val="Hyperlink"/>
                <w:noProof/>
              </w:rPr>
              <w:t>De impact van STO door de ogen van programmaleiders</w:t>
            </w:r>
            <w:r>
              <w:rPr>
                <w:noProof/>
                <w:webHidden/>
              </w:rPr>
              <w:tab/>
            </w:r>
            <w:r>
              <w:rPr>
                <w:noProof/>
                <w:webHidden/>
              </w:rPr>
              <w:fldChar w:fldCharType="begin"/>
            </w:r>
            <w:r>
              <w:rPr>
                <w:noProof/>
                <w:webHidden/>
              </w:rPr>
              <w:instrText xml:space="preserve"> PAGEREF _Toc203573577 \h </w:instrText>
            </w:r>
            <w:r>
              <w:rPr>
                <w:noProof/>
                <w:webHidden/>
              </w:rPr>
            </w:r>
            <w:r>
              <w:rPr>
                <w:noProof/>
                <w:webHidden/>
              </w:rPr>
              <w:fldChar w:fldCharType="separate"/>
            </w:r>
            <w:r>
              <w:rPr>
                <w:noProof/>
                <w:webHidden/>
              </w:rPr>
              <w:t>53</w:t>
            </w:r>
            <w:r>
              <w:rPr>
                <w:noProof/>
                <w:webHidden/>
              </w:rPr>
              <w:fldChar w:fldCharType="end"/>
            </w:r>
          </w:hyperlink>
        </w:p>
        <w:p w:rsidR="0078602D" w:rsidRDefault="0078602D" w14:paraId="553ABE58" w14:textId="44071D2F">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78">
            <w:r w:rsidRPr="001A5593">
              <w:rPr>
                <w:rStyle w:val="Hyperlink"/>
                <w:noProof/>
              </w:rPr>
              <w:t>4.1</w:t>
            </w:r>
            <w:r>
              <w:rPr>
                <w:rFonts w:asciiTheme="minorHAnsi" w:hAnsiTheme="minorHAnsi" w:eastAsiaTheme="minorEastAsia" w:cstheme="minorBidi"/>
                <w:noProof/>
                <w:kern w:val="2"/>
                <w:sz w:val="24"/>
                <w14:ligatures w14:val="standardContextual"/>
              </w:rPr>
              <w:tab/>
            </w:r>
            <w:r w:rsidRPr="001A5593">
              <w:rPr>
                <w:rStyle w:val="Hyperlink"/>
                <w:noProof/>
              </w:rPr>
              <w:t>Tevredenheid over de voortgang STO</w:t>
            </w:r>
            <w:r>
              <w:rPr>
                <w:noProof/>
                <w:webHidden/>
              </w:rPr>
              <w:tab/>
            </w:r>
            <w:r>
              <w:rPr>
                <w:noProof/>
                <w:webHidden/>
              </w:rPr>
              <w:fldChar w:fldCharType="begin"/>
            </w:r>
            <w:r>
              <w:rPr>
                <w:noProof/>
                <w:webHidden/>
              </w:rPr>
              <w:instrText xml:space="preserve"> PAGEREF _Toc203573578 \h </w:instrText>
            </w:r>
            <w:r>
              <w:rPr>
                <w:noProof/>
                <w:webHidden/>
              </w:rPr>
            </w:r>
            <w:r>
              <w:rPr>
                <w:noProof/>
                <w:webHidden/>
              </w:rPr>
              <w:fldChar w:fldCharType="separate"/>
            </w:r>
            <w:r>
              <w:rPr>
                <w:noProof/>
                <w:webHidden/>
              </w:rPr>
              <w:t>53</w:t>
            </w:r>
            <w:r>
              <w:rPr>
                <w:noProof/>
                <w:webHidden/>
              </w:rPr>
              <w:fldChar w:fldCharType="end"/>
            </w:r>
          </w:hyperlink>
        </w:p>
        <w:p w:rsidR="0078602D" w:rsidRDefault="0078602D" w14:paraId="49A51DE5" w14:textId="513638AE">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79">
            <w:r w:rsidRPr="001A5593">
              <w:rPr>
                <w:rStyle w:val="Hyperlink"/>
                <w:noProof/>
              </w:rPr>
              <w:t>4.2</w:t>
            </w:r>
            <w:r>
              <w:rPr>
                <w:rFonts w:asciiTheme="minorHAnsi" w:hAnsiTheme="minorHAnsi" w:eastAsiaTheme="minorEastAsia" w:cstheme="minorBidi"/>
                <w:noProof/>
                <w:kern w:val="2"/>
                <w:sz w:val="24"/>
                <w14:ligatures w14:val="standardContextual"/>
              </w:rPr>
              <w:tab/>
            </w:r>
            <w:r w:rsidRPr="001A5593">
              <w:rPr>
                <w:rStyle w:val="Hyperlink"/>
                <w:noProof/>
              </w:rPr>
              <w:t>Inzet op en tevredenheid met de realisatie van activiteiten</w:t>
            </w:r>
            <w:r>
              <w:rPr>
                <w:noProof/>
                <w:webHidden/>
              </w:rPr>
              <w:tab/>
            </w:r>
            <w:r>
              <w:rPr>
                <w:noProof/>
                <w:webHidden/>
              </w:rPr>
              <w:fldChar w:fldCharType="begin"/>
            </w:r>
            <w:r>
              <w:rPr>
                <w:noProof/>
                <w:webHidden/>
              </w:rPr>
              <w:instrText xml:space="preserve"> PAGEREF _Toc203573579 \h </w:instrText>
            </w:r>
            <w:r>
              <w:rPr>
                <w:noProof/>
                <w:webHidden/>
              </w:rPr>
            </w:r>
            <w:r>
              <w:rPr>
                <w:noProof/>
                <w:webHidden/>
              </w:rPr>
              <w:fldChar w:fldCharType="separate"/>
            </w:r>
            <w:r>
              <w:rPr>
                <w:noProof/>
                <w:webHidden/>
              </w:rPr>
              <w:t>56</w:t>
            </w:r>
            <w:r>
              <w:rPr>
                <w:noProof/>
                <w:webHidden/>
              </w:rPr>
              <w:fldChar w:fldCharType="end"/>
            </w:r>
          </w:hyperlink>
        </w:p>
        <w:p w:rsidR="0078602D" w:rsidRDefault="0078602D" w14:paraId="5E78B18E" w14:textId="432A516D">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80">
            <w:r w:rsidRPr="001A5593">
              <w:rPr>
                <w:rStyle w:val="Hyperlink"/>
                <w:noProof/>
              </w:rPr>
              <w:t>4.3</w:t>
            </w:r>
            <w:r>
              <w:rPr>
                <w:rFonts w:asciiTheme="minorHAnsi" w:hAnsiTheme="minorHAnsi" w:eastAsiaTheme="minorEastAsia" w:cstheme="minorBidi"/>
                <w:noProof/>
                <w:kern w:val="2"/>
                <w:sz w:val="24"/>
                <w14:ligatures w14:val="standardContextual"/>
              </w:rPr>
              <w:tab/>
            </w:r>
            <w:r w:rsidRPr="001A5593">
              <w:rPr>
                <w:rStyle w:val="Hyperlink"/>
                <w:noProof/>
              </w:rPr>
              <w:t>Opbrengsten en impact van STO</w:t>
            </w:r>
            <w:r>
              <w:rPr>
                <w:noProof/>
                <w:webHidden/>
              </w:rPr>
              <w:tab/>
            </w:r>
            <w:r>
              <w:rPr>
                <w:noProof/>
                <w:webHidden/>
              </w:rPr>
              <w:fldChar w:fldCharType="begin"/>
            </w:r>
            <w:r>
              <w:rPr>
                <w:noProof/>
                <w:webHidden/>
              </w:rPr>
              <w:instrText xml:space="preserve"> PAGEREF _Toc203573580 \h </w:instrText>
            </w:r>
            <w:r>
              <w:rPr>
                <w:noProof/>
                <w:webHidden/>
              </w:rPr>
            </w:r>
            <w:r>
              <w:rPr>
                <w:noProof/>
                <w:webHidden/>
              </w:rPr>
              <w:fldChar w:fldCharType="separate"/>
            </w:r>
            <w:r>
              <w:rPr>
                <w:noProof/>
                <w:webHidden/>
              </w:rPr>
              <w:t>59</w:t>
            </w:r>
            <w:r>
              <w:rPr>
                <w:noProof/>
                <w:webHidden/>
              </w:rPr>
              <w:fldChar w:fldCharType="end"/>
            </w:r>
          </w:hyperlink>
        </w:p>
        <w:p w:rsidR="0078602D" w:rsidRDefault="0078602D" w14:paraId="57408CD8" w14:textId="6212B97D">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81">
            <w:r w:rsidRPr="001A5593">
              <w:rPr>
                <w:rStyle w:val="Hyperlink"/>
                <w:noProof/>
              </w:rPr>
              <w:t>4.4</w:t>
            </w:r>
            <w:r>
              <w:rPr>
                <w:rFonts w:asciiTheme="minorHAnsi" w:hAnsiTheme="minorHAnsi" w:eastAsiaTheme="minorEastAsia" w:cstheme="minorBidi"/>
                <w:noProof/>
                <w:kern w:val="2"/>
                <w:sz w:val="24"/>
                <w14:ligatures w14:val="standardContextual"/>
              </w:rPr>
              <w:tab/>
            </w:r>
            <w:r w:rsidRPr="001A5593">
              <w:rPr>
                <w:rStyle w:val="Hyperlink"/>
                <w:noProof/>
              </w:rPr>
              <w:t>Impact op aan te pakken maatschappelijke problemen</w:t>
            </w:r>
            <w:r>
              <w:rPr>
                <w:noProof/>
                <w:webHidden/>
              </w:rPr>
              <w:tab/>
            </w:r>
            <w:r>
              <w:rPr>
                <w:noProof/>
                <w:webHidden/>
              </w:rPr>
              <w:fldChar w:fldCharType="begin"/>
            </w:r>
            <w:r>
              <w:rPr>
                <w:noProof/>
                <w:webHidden/>
              </w:rPr>
              <w:instrText xml:space="preserve"> PAGEREF _Toc203573581 \h </w:instrText>
            </w:r>
            <w:r>
              <w:rPr>
                <w:noProof/>
                <w:webHidden/>
              </w:rPr>
            </w:r>
            <w:r>
              <w:rPr>
                <w:noProof/>
                <w:webHidden/>
              </w:rPr>
              <w:fldChar w:fldCharType="separate"/>
            </w:r>
            <w:r>
              <w:rPr>
                <w:noProof/>
                <w:webHidden/>
              </w:rPr>
              <w:t>64</w:t>
            </w:r>
            <w:r>
              <w:rPr>
                <w:noProof/>
                <w:webHidden/>
              </w:rPr>
              <w:fldChar w:fldCharType="end"/>
            </w:r>
          </w:hyperlink>
        </w:p>
        <w:p w:rsidR="0078602D" w:rsidRDefault="0078602D" w14:paraId="626828C3" w14:textId="402DFF73">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82">
            <w:r w:rsidRPr="001A5593">
              <w:rPr>
                <w:rStyle w:val="Hyperlink"/>
                <w:noProof/>
              </w:rPr>
              <w:t>4.5</w:t>
            </w:r>
            <w:r>
              <w:rPr>
                <w:rFonts w:asciiTheme="minorHAnsi" w:hAnsiTheme="minorHAnsi" w:eastAsiaTheme="minorEastAsia" w:cstheme="minorBidi"/>
                <w:noProof/>
                <w:kern w:val="2"/>
                <w:sz w:val="24"/>
                <w14:ligatures w14:val="standardContextual"/>
              </w:rPr>
              <w:tab/>
            </w:r>
            <w:r w:rsidRPr="001A5593">
              <w:rPr>
                <w:rStyle w:val="Hyperlink"/>
                <w:noProof/>
              </w:rPr>
              <w:t>Voorwaarden voor succes</w:t>
            </w:r>
            <w:r>
              <w:rPr>
                <w:noProof/>
                <w:webHidden/>
              </w:rPr>
              <w:tab/>
            </w:r>
            <w:r>
              <w:rPr>
                <w:noProof/>
                <w:webHidden/>
              </w:rPr>
              <w:fldChar w:fldCharType="begin"/>
            </w:r>
            <w:r>
              <w:rPr>
                <w:noProof/>
                <w:webHidden/>
              </w:rPr>
              <w:instrText xml:space="preserve"> PAGEREF _Toc203573582 \h </w:instrText>
            </w:r>
            <w:r>
              <w:rPr>
                <w:noProof/>
                <w:webHidden/>
              </w:rPr>
            </w:r>
            <w:r>
              <w:rPr>
                <w:noProof/>
                <w:webHidden/>
              </w:rPr>
              <w:fldChar w:fldCharType="separate"/>
            </w:r>
            <w:r>
              <w:rPr>
                <w:noProof/>
                <w:webHidden/>
              </w:rPr>
              <w:t>66</w:t>
            </w:r>
            <w:r>
              <w:rPr>
                <w:noProof/>
                <w:webHidden/>
              </w:rPr>
              <w:fldChar w:fldCharType="end"/>
            </w:r>
          </w:hyperlink>
        </w:p>
        <w:p w:rsidR="0078602D" w:rsidRDefault="0078602D" w14:paraId="50F0A910" w14:textId="5EE0B170">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83">
            <w:r w:rsidRPr="001A5593">
              <w:rPr>
                <w:rStyle w:val="Hyperlink"/>
                <w:noProof/>
              </w:rPr>
              <w:t>4.6</w:t>
            </w:r>
            <w:r>
              <w:rPr>
                <w:rFonts w:asciiTheme="minorHAnsi" w:hAnsiTheme="minorHAnsi" w:eastAsiaTheme="minorEastAsia" w:cstheme="minorBidi"/>
                <w:noProof/>
                <w:kern w:val="2"/>
                <w:sz w:val="24"/>
                <w14:ligatures w14:val="standardContextual"/>
              </w:rPr>
              <w:tab/>
            </w:r>
            <w:r w:rsidRPr="001A5593">
              <w:rPr>
                <w:rStyle w:val="Hyperlink"/>
                <w:noProof/>
              </w:rPr>
              <w:t>Trots, tevredenheid en risico’s voor de toekomst</w:t>
            </w:r>
            <w:r>
              <w:rPr>
                <w:noProof/>
                <w:webHidden/>
              </w:rPr>
              <w:tab/>
            </w:r>
            <w:r>
              <w:rPr>
                <w:noProof/>
                <w:webHidden/>
              </w:rPr>
              <w:fldChar w:fldCharType="begin"/>
            </w:r>
            <w:r>
              <w:rPr>
                <w:noProof/>
                <w:webHidden/>
              </w:rPr>
              <w:instrText xml:space="preserve"> PAGEREF _Toc203573583 \h </w:instrText>
            </w:r>
            <w:r>
              <w:rPr>
                <w:noProof/>
                <w:webHidden/>
              </w:rPr>
            </w:r>
            <w:r>
              <w:rPr>
                <w:noProof/>
                <w:webHidden/>
              </w:rPr>
              <w:fldChar w:fldCharType="separate"/>
            </w:r>
            <w:r>
              <w:rPr>
                <w:noProof/>
                <w:webHidden/>
              </w:rPr>
              <w:t>68</w:t>
            </w:r>
            <w:r>
              <w:rPr>
                <w:noProof/>
                <w:webHidden/>
              </w:rPr>
              <w:fldChar w:fldCharType="end"/>
            </w:r>
          </w:hyperlink>
        </w:p>
        <w:p w:rsidR="0078602D" w:rsidRDefault="0078602D" w14:paraId="3B92BE0E" w14:textId="49D67068">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84">
            <w:r w:rsidRPr="001A5593">
              <w:rPr>
                <w:rStyle w:val="Hyperlink"/>
                <w:noProof/>
              </w:rPr>
              <w:t>4.7</w:t>
            </w:r>
            <w:r>
              <w:rPr>
                <w:rFonts w:asciiTheme="minorHAnsi" w:hAnsiTheme="minorHAnsi" w:eastAsiaTheme="minorEastAsia" w:cstheme="minorBidi"/>
                <w:noProof/>
                <w:kern w:val="2"/>
                <w:sz w:val="24"/>
                <w14:ligatures w14:val="standardContextual"/>
              </w:rPr>
              <w:tab/>
            </w:r>
            <w:r w:rsidRPr="001A5593">
              <w:rPr>
                <w:rStyle w:val="Hyperlink"/>
                <w:noProof/>
              </w:rPr>
              <w:t>Overkoepelende conclusie programmaleidersvragenlijst</w:t>
            </w:r>
            <w:r>
              <w:rPr>
                <w:noProof/>
                <w:webHidden/>
              </w:rPr>
              <w:tab/>
            </w:r>
            <w:r>
              <w:rPr>
                <w:noProof/>
                <w:webHidden/>
              </w:rPr>
              <w:fldChar w:fldCharType="begin"/>
            </w:r>
            <w:r>
              <w:rPr>
                <w:noProof/>
                <w:webHidden/>
              </w:rPr>
              <w:instrText xml:space="preserve"> PAGEREF _Toc203573584 \h </w:instrText>
            </w:r>
            <w:r>
              <w:rPr>
                <w:noProof/>
                <w:webHidden/>
              </w:rPr>
            </w:r>
            <w:r>
              <w:rPr>
                <w:noProof/>
                <w:webHidden/>
              </w:rPr>
              <w:fldChar w:fldCharType="separate"/>
            </w:r>
            <w:r>
              <w:rPr>
                <w:noProof/>
                <w:webHidden/>
              </w:rPr>
              <w:t>70</w:t>
            </w:r>
            <w:r>
              <w:rPr>
                <w:noProof/>
                <w:webHidden/>
              </w:rPr>
              <w:fldChar w:fldCharType="end"/>
            </w:r>
          </w:hyperlink>
        </w:p>
        <w:p w:rsidR="0078602D" w:rsidRDefault="0078602D" w14:paraId="0791E081" w14:textId="0033A453">
          <w:pPr>
            <w:pStyle w:val="Inhopg1"/>
            <w:tabs>
              <w:tab w:val="left" w:pos="360"/>
              <w:tab w:val="right" w:leader="dot" w:pos="9350"/>
            </w:tabs>
            <w:rPr>
              <w:rFonts w:asciiTheme="minorHAnsi" w:hAnsiTheme="minorHAnsi" w:eastAsiaTheme="minorEastAsia" w:cstheme="minorBidi"/>
              <w:noProof/>
              <w:kern w:val="2"/>
              <w:sz w:val="24"/>
              <w14:ligatures w14:val="standardContextual"/>
            </w:rPr>
          </w:pPr>
          <w:hyperlink w:history="1" w:anchor="_Toc203573585">
            <w:r w:rsidRPr="001A5593">
              <w:rPr>
                <w:rStyle w:val="Hyperlink"/>
                <w:noProof/>
              </w:rPr>
              <w:t>5</w:t>
            </w:r>
            <w:r>
              <w:rPr>
                <w:rFonts w:asciiTheme="minorHAnsi" w:hAnsiTheme="minorHAnsi" w:eastAsiaTheme="minorEastAsia" w:cstheme="minorBidi"/>
                <w:noProof/>
                <w:kern w:val="2"/>
                <w:sz w:val="24"/>
                <w14:ligatures w14:val="standardContextual"/>
              </w:rPr>
              <w:tab/>
            </w:r>
            <w:r w:rsidRPr="001A5593">
              <w:rPr>
                <w:rStyle w:val="Hyperlink"/>
                <w:noProof/>
              </w:rPr>
              <w:t>Veranderingen en impact van STO door de ogen van lesgevenden</w:t>
            </w:r>
            <w:r>
              <w:rPr>
                <w:noProof/>
                <w:webHidden/>
              </w:rPr>
              <w:tab/>
            </w:r>
            <w:r>
              <w:rPr>
                <w:noProof/>
                <w:webHidden/>
              </w:rPr>
              <w:fldChar w:fldCharType="begin"/>
            </w:r>
            <w:r>
              <w:rPr>
                <w:noProof/>
                <w:webHidden/>
              </w:rPr>
              <w:instrText xml:space="preserve"> PAGEREF _Toc203573585 \h </w:instrText>
            </w:r>
            <w:r>
              <w:rPr>
                <w:noProof/>
                <w:webHidden/>
              </w:rPr>
            </w:r>
            <w:r>
              <w:rPr>
                <w:noProof/>
                <w:webHidden/>
              </w:rPr>
              <w:fldChar w:fldCharType="separate"/>
            </w:r>
            <w:r>
              <w:rPr>
                <w:noProof/>
                <w:webHidden/>
              </w:rPr>
              <w:t>72</w:t>
            </w:r>
            <w:r>
              <w:rPr>
                <w:noProof/>
                <w:webHidden/>
              </w:rPr>
              <w:fldChar w:fldCharType="end"/>
            </w:r>
          </w:hyperlink>
        </w:p>
        <w:p w:rsidR="0078602D" w:rsidRDefault="0078602D" w14:paraId="025E57EF" w14:textId="47EBB3AA">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86">
            <w:r w:rsidRPr="001A5593">
              <w:rPr>
                <w:rStyle w:val="Hyperlink"/>
                <w:noProof/>
              </w:rPr>
              <w:t>5.1</w:t>
            </w:r>
            <w:r>
              <w:rPr>
                <w:rFonts w:asciiTheme="minorHAnsi" w:hAnsiTheme="minorHAnsi" w:eastAsiaTheme="minorEastAsia" w:cstheme="minorBidi"/>
                <w:noProof/>
                <w:kern w:val="2"/>
                <w:sz w:val="24"/>
                <w14:ligatures w14:val="standardContextual"/>
              </w:rPr>
              <w:tab/>
            </w:r>
            <w:r w:rsidRPr="001A5593">
              <w:rPr>
                <w:rStyle w:val="Hyperlink"/>
                <w:noProof/>
              </w:rPr>
              <w:t>Deelname aan STO(-activiteiten)</w:t>
            </w:r>
            <w:r>
              <w:rPr>
                <w:noProof/>
                <w:webHidden/>
              </w:rPr>
              <w:tab/>
            </w:r>
            <w:r>
              <w:rPr>
                <w:noProof/>
                <w:webHidden/>
              </w:rPr>
              <w:fldChar w:fldCharType="begin"/>
            </w:r>
            <w:r>
              <w:rPr>
                <w:noProof/>
                <w:webHidden/>
              </w:rPr>
              <w:instrText xml:space="preserve"> PAGEREF _Toc203573586 \h </w:instrText>
            </w:r>
            <w:r>
              <w:rPr>
                <w:noProof/>
                <w:webHidden/>
              </w:rPr>
            </w:r>
            <w:r>
              <w:rPr>
                <w:noProof/>
                <w:webHidden/>
              </w:rPr>
              <w:fldChar w:fldCharType="separate"/>
            </w:r>
            <w:r>
              <w:rPr>
                <w:noProof/>
                <w:webHidden/>
              </w:rPr>
              <w:t>73</w:t>
            </w:r>
            <w:r>
              <w:rPr>
                <w:noProof/>
                <w:webHidden/>
              </w:rPr>
              <w:fldChar w:fldCharType="end"/>
            </w:r>
          </w:hyperlink>
        </w:p>
        <w:p w:rsidR="0078602D" w:rsidRDefault="0078602D" w14:paraId="78601F99" w14:textId="769FE3F6">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87">
            <w:r w:rsidRPr="001A5593">
              <w:rPr>
                <w:rStyle w:val="Hyperlink"/>
                <w:noProof/>
              </w:rPr>
              <w:t>5.2</w:t>
            </w:r>
            <w:r>
              <w:rPr>
                <w:rFonts w:asciiTheme="minorHAnsi" w:hAnsiTheme="minorHAnsi" w:eastAsiaTheme="minorEastAsia" w:cstheme="minorBidi"/>
                <w:noProof/>
                <w:kern w:val="2"/>
                <w:sz w:val="24"/>
                <w14:ligatures w14:val="standardContextual"/>
              </w:rPr>
              <w:tab/>
            </w:r>
            <w:r w:rsidRPr="001A5593">
              <w:rPr>
                <w:rStyle w:val="Hyperlink"/>
                <w:noProof/>
              </w:rPr>
              <w:t>Impact op docenten</w:t>
            </w:r>
            <w:r>
              <w:rPr>
                <w:noProof/>
                <w:webHidden/>
              </w:rPr>
              <w:tab/>
            </w:r>
            <w:r>
              <w:rPr>
                <w:noProof/>
                <w:webHidden/>
              </w:rPr>
              <w:fldChar w:fldCharType="begin"/>
            </w:r>
            <w:r>
              <w:rPr>
                <w:noProof/>
                <w:webHidden/>
              </w:rPr>
              <w:instrText xml:space="preserve"> PAGEREF _Toc203573587 \h </w:instrText>
            </w:r>
            <w:r>
              <w:rPr>
                <w:noProof/>
                <w:webHidden/>
              </w:rPr>
            </w:r>
            <w:r>
              <w:rPr>
                <w:noProof/>
                <w:webHidden/>
              </w:rPr>
              <w:fldChar w:fldCharType="separate"/>
            </w:r>
            <w:r>
              <w:rPr>
                <w:noProof/>
                <w:webHidden/>
              </w:rPr>
              <w:t>76</w:t>
            </w:r>
            <w:r>
              <w:rPr>
                <w:noProof/>
                <w:webHidden/>
              </w:rPr>
              <w:fldChar w:fldCharType="end"/>
            </w:r>
          </w:hyperlink>
        </w:p>
        <w:p w:rsidR="0078602D" w:rsidRDefault="0078602D" w14:paraId="1AA91E22" w14:textId="009A3029">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88">
            <w:r w:rsidRPr="001A5593">
              <w:rPr>
                <w:rStyle w:val="Hyperlink"/>
                <w:noProof/>
              </w:rPr>
              <w:t>5.3</w:t>
            </w:r>
            <w:r>
              <w:rPr>
                <w:rFonts w:asciiTheme="minorHAnsi" w:hAnsiTheme="minorHAnsi" w:eastAsiaTheme="minorEastAsia" w:cstheme="minorBidi"/>
                <w:noProof/>
                <w:kern w:val="2"/>
                <w:sz w:val="24"/>
                <w14:ligatures w14:val="standardContextual"/>
              </w:rPr>
              <w:tab/>
            </w:r>
            <w:r w:rsidRPr="001A5593">
              <w:rPr>
                <w:rStyle w:val="Hyperlink"/>
                <w:noProof/>
              </w:rPr>
              <w:t>Impact op leerlingen</w:t>
            </w:r>
            <w:r>
              <w:rPr>
                <w:noProof/>
                <w:webHidden/>
              </w:rPr>
              <w:tab/>
            </w:r>
            <w:r>
              <w:rPr>
                <w:noProof/>
                <w:webHidden/>
              </w:rPr>
              <w:fldChar w:fldCharType="begin"/>
            </w:r>
            <w:r>
              <w:rPr>
                <w:noProof/>
                <w:webHidden/>
              </w:rPr>
              <w:instrText xml:space="preserve"> PAGEREF _Toc203573588 \h </w:instrText>
            </w:r>
            <w:r>
              <w:rPr>
                <w:noProof/>
                <w:webHidden/>
              </w:rPr>
            </w:r>
            <w:r>
              <w:rPr>
                <w:noProof/>
                <w:webHidden/>
              </w:rPr>
              <w:fldChar w:fldCharType="separate"/>
            </w:r>
            <w:r>
              <w:rPr>
                <w:noProof/>
                <w:webHidden/>
              </w:rPr>
              <w:t>79</w:t>
            </w:r>
            <w:r>
              <w:rPr>
                <w:noProof/>
                <w:webHidden/>
              </w:rPr>
              <w:fldChar w:fldCharType="end"/>
            </w:r>
          </w:hyperlink>
        </w:p>
        <w:p w:rsidR="0078602D" w:rsidRDefault="0078602D" w14:paraId="64F5B7F8" w14:textId="2E0B2653">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89">
            <w:r w:rsidRPr="001A5593">
              <w:rPr>
                <w:rStyle w:val="Hyperlink"/>
                <w:noProof/>
              </w:rPr>
              <w:t>5.4</w:t>
            </w:r>
            <w:r>
              <w:rPr>
                <w:rFonts w:asciiTheme="minorHAnsi" w:hAnsiTheme="minorHAnsi" w:eastAsiaTheme="minorEastAsia" w:cstheme="minorBidi"/>
                <w:noProof/>
                <w:kern w:val="2"/>
                <w:sz w:val="24"/>
                <w14:ligatures w14:val="standardContextual"/>
              </w:rPr>
              <w:tab/>
            </w:r>
            <w:r w:rsidRPr="001A5593">
              <w:rPr>
                <w:rStyle w:val="Hyperlink"/>
                <w:noProof/>
              </w:rPr>
              <w:t>Impact STO op het onderwijs</w:t>
            </w:r>
            <w:r>
              <w:rPr>
                <w:noProof/>
                <w:webHidden/>
              </w:rPr>
              <w:tab/>
            </w:r>
            <w:r>
              <w:rPr>
                <w:noProof/>
                <w:webHidden/>
              </w:rPr>
              <w:fldChar w:fldCharType="begin"/>
            </w:r>
            <w:r>
              <w:rPr>
                <w:noProof/>
                <w:webHidden/>
              </w:rPr>
              <w:instrText xml:space="preserve"> PAGEREF _Toc203573589 \h </w:instrText>
            </w:r>
            <w:r>
              <w:rPr>
                <w:noProof/>
                <w:webHidden/>
              </w:rPr>
            </w:r>
            <w:r>
              <w:rPr>
                <w:noProof/>
                <w:webHidden/>
              </w:rPr>
              <w:fldChar w:fldCharType="separate"/>
            </w:r>
            <w:r>
              <w:rPr>
                <w:noProof/>
                <w:webHidden/>
              </w:rPr>
              <w:t>81</w:t>
            </w:r>
            <w:r>
              <w:rPr>
                <w:noProof/>
                <w:webHidden/>
              </w:rPr>
              <w:fldChar w:fldCharType="end"/>
            </w:r>
          </w:hyperlink>
        </w:p>
        <w:p w:rsidR="0078602D" w:rsidRDefault="0078602D" w14:paraId="419F9915" w14:textId="3B40BBFD">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90">
            <w:r w:rsidRPr="001A5593">
              <w:rPr>
                <w:rStyle w:val="Hyperlink"/>
                <w:noProof/>
              </w:rPr>
              <w:t>5.5</w:t>
            </w:r>
            <w:r>
              <w:rPr>
                <w:rFonts w:asciiTheme="minorHAnsi" w:hAnsiTheme="minorHAnsi" w:eastAsiaTheme="minorEastAsia" w:cstheme="minorBidi"/>
                <w:noProof/>
                <w:kern w:val="2"/>
                <w:sz w:val="24"/>
                <w14:ligatures w14:val="standardContextual"/>
              </w:rPr>
              <w:tab/>
            </w:r>
            <w:r w:rsidRPr="001A5593">
              <w:rPr>
                <w:rStyle w:val="Hyperlink"/>
                <w:noProof/>
              </w:rPr>
              <w:t>Lesgevenden aan het woord over de impact van STO</w:t>
            </w:r>
            <w:r>
              <w:rPr>
                <w:noProof/>
                <w:webHidden/>
              </w:rPr>
              <w:tab/>
            </w:r>
            <w:r>
              <w:rPr>
                <w:noProof/>
                <w:webHidden/>
              </w:rPr>
              <w:fldChar w:fldCharType="begin"/>
            </w:r>
            <w:r>
              <w:rPr>
                <w:noProof/>
                <w:webHidden/>
              </w:rPr>
              <w:instrText xml:space="preserve"> PAGEREF _Toc203573590 \h </w:instrText>
            </w:r>
            <w:r>
              <w:rPr>
                <w:noProof/>
                <w:webHidden/>
              </w:rPr>
            </w:r>
            <w:r>
              <w:rPr>
                <w:noProof/>
                <w:webHidden/>
              </w:rPr>
              <w:fldChar w:fldCharType="separate"/>
            </w:r>
            <w:r>
              <w:rPr>
                <w:noProof/>
                <w:webHidden/>
              </w:rPr>
              <w:t>83</w:t>
            </w:r>
            <w:r>
              <w:rPr>
                <w:noProof/>
                <w:webHidden/>
              </w:rPr>
              <w:fldChar w:fldCharType="end"/>
            </w:r>
          </w:hyperlink>
        </w:p>
        <w:p w:rsidR="0078602D" w:rsidRDefault="0078602D" w14:paraId="22C09B5D" w14:textId="50AB8758">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91">
            <w:r w:rsidRPr="001A5593">
              <w:rPr>
                <w:rStyle w:val="Hyperlink"/>
                <w:noProof/>
              </w:rPr>
              <w:t>5.6</w:t>
            </w:r>
            <w:r>
              <w:rPr>
                <w:rFonts w:asciiTheme="minorHAnsi" w:hAnsiTheme="minorHAnsi" w:eastAsiaTheme="minorEastAsia" w:cstheme="minorBidi"/>
                <w:noProof/>
                <w:kern w:val="2"/>
                <w:sz w:val="24"/>
                <w14:ligatures w14:val="standardContextual"/>
              </w:rPr>
              <w:tab/>
            </w:r>
            <w:r w:rsidRPr="001A5593">
              <w:rPr>
                <w:rStyle w:val="Hyperlink"/>
                <w:noProof/>
              </w:rPr>
              <w:t>Conclusie</w:t>
            </w:r>
            <w:r>
              <w:rPr>
                <w:noProof/>
                <w:webHidden/>
              </w:rPr>
              <w:tab/>
            </w:r>
            <w:r>
              <w:rPr>
                <w:noProof/>
                <w:webHidden/>
              </w:rPr>
              <w:fldChar w:fldCharType="begin"/>
            </w:r>
            <w:r>
              <w:rPr>
                <w:noProof/>
                <w:webHidden/>
              </w:rPr>
              <w:instrText xml:space="preserve"> PAGEREF _Toc203573591 \h </w:instrText>
            </w:r>
            <w:r>
              <w:rPr>
                <w:noProof/>
                <w:webHidden/>
              </w:rPr>
            </w:r>
            <w:r>
              <w:rPr>
                <w:noProof/>
                <w:webHidden/>
              </w:rPr>
              <w:fldChar w:fldCharType="separate"/>
            </w:r>
            <w:r>
              <w:rPr>
                <w:noProof/>
                <w:webHidden/>
              </w:rPr>
              <w:t>87</w:t>
            </w:r>
            <w:r>
              <w:rPr>
                <w:noProof/>
                <w:webHidden/>
              </w:rPr>
              <w:fldChar w:fldCharType="end"/>
            </w:r>
          </w:hyperlink>
        </w:p>
        <w:p w:rsidR="0078602D" w:rsidRDefault="0078602D" w14:paraId="5215055E" w14:textId="3D6B01F6">
          <w:pPr>
            <w:pStyle w:val="Inhopg1"/>
            <w:tabs>
              <w:tab w:val="left" w:pos="360"/>
              <w:tab w:val="right" w:leader="dot" w:pos="9350"/>
            </w:tabs>
            <w:rPr>
              <w:rFonts w:asciiTheme="minorHAnsi" w:hAnsiTheme="minorHAnsi" w:eastAsiaTheme="minorEastAsia" w:cstheme="minorBidi"/>
              <w:noProof/>
              <w:kern w:val="2"/>
              <w:sz w:val="24"/>
              <w14:ligatures w14:val="standardContextual"/>
            </w:rPr>
          </w:pPr>
          <w:hyperlink w:history="1" w:anchor="_Toc203573592">
            <w:r w:rsidRPr="001A5593">
              <w:rPr>
                <w:rStyle w:val="Hyperlink"/>
                <w:noProof/>
              </w:rPr>
              <w:t>6</w:t>
            </w:r>
            <w:r>
              <w:rPr>
                <w:rFonts w:asciiTheme="minorHAnsi" w:hAnsiTheme="minorHAnsi" w:eastAsiaTheme="minorEastAsia" w:cstheme="minorBidi"/>
                <w:noProof/>
                <w:kern w:val="2"/>
                <w:sz w:val="24"/>
                <w14:ligatures w14:val="standardContextual"/>
              </w:rPr>
              <w:tab/>
            </w:r>
            <w:r w:rsidRPr="001A5593">
              <w:rPr>
                <w:rStyle w:val="Hyperlink"/>
                <w:noProof/>
              </w:rPr>
              <w:t>Wat merken vmbo-leerlingen van de aandacht voor techniek?</w:t>
            </w:r>
            <w:r>
              <w:rPr>
                <w:noProof/>
                <w:webHidden/>
              </w:rPr>
              <w:tab/>
            </w:r>
            <w:r>
              <w:rPr>
                <w:noProof/>
                <w:webHidden/>
              </w:rPr>
              <w:fldChar w:fldCharType="begin"/>
            </w:r>
            <w:r>
              <w:rPr>
                <w:noProof/>
                <w:webHidden/>
              </w:rPr>
              <w:instrText xml:space="preserve"> PAGEREF _Toc203573592 \h </w:instrText>
            </w:r>
            <w:r>
              <w:rPr>
                <w:noProof/>
                <w:webHidden/>
              </w:rPr>
            </w:r>
            <w:r>
              <w:rPr>
                <w:noProof/>
                <w:webHidden/>
              </w:rPr>
              <w:fldChar w:fldCharType="separate"/>
            </w:r>
            <w:r>
              <w:rPr>
                <w:noProof/>
                <w:webHidden/>
              </w:rPr>
              <w:t>90</w:t>
            </w:r>
            <w:r>
              <w:rPr>
                <w:noProof/>
                <w:webHidden/>
              </w:rPr>
              <w:fldChar w:fldCharType="end"/>
            </w:r>
          </w:hyperlink>
        </w:p>
        <w:p w:rsidR="0078602D" w:rsidRDefault="0078602D" w14:paraId="0B7BC50A" w14:textId="44A1902C">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93">
            <w:r w:rsidRPr="001A5593">
              <w:rPr>
                <w:rStyle w:val="Hyperlink"/>
                <w:noProof/>
              </w:rPr>
              <w:t>6.1</w:t>
            </w:r>
            <w:r>
              <w:rPr>
                <w:rFonts w:asciiTheme="minorHAnsi" w:hAnsiTheme="minorHAnsi" w:eastAsiaTheme="minorEastAsia" w:cstheme="minorBidi"/>
                <w:noProof/>
                <w:kern w:val="2"/>
                <w:sz w:val="24"/>
                <w14:ligatures w14:val="standardContextual"/>
              </w:rPr>
              <w:tab/>
            </w:r>
            <w:r w:rsidRPr="001A5593">
              <w:rPr>
                <w:rStyle w:val="Hyperlink"/>
                <w:noProof/>
              </w:rPr>
              <w:t>Schoolkeuze</w:t>
            </w:r>
            <w:r>
              <w:rPr>
                <w:noProof/>
                <w:webHidden/>
              </w:rPr>
              <w:tab/>
            </w:r>
            <w:r>
              <w:rPr>
                <w:noProof/>
                <w:webHidden/>
              </w:rPr>
              <w:fldChar w:fldCharType="begin"/>
            </w:r>
            <w:r>
              <w:rPr>
                <w:noProof/>
                <w:webHidden/>
              </w:rPr>
              <w:instrText xml:space="preserve"> PAGEREF _Toc203573593 \h </w:instrText>
            </w:r>
            <w:r>
              <w:rPr>
                <w:noProof/>
                <w:webHidden/>
              </w:rPr>
            </w:r>
            <w:r>
              <w:rPr>
                <w:noProof/>
                <w:webHidden/>
              </w:rPr>
              <w:fldChar w:fldCharType="separate"/>
            </w:r>
            <w:r>
              <w:rPr>
                <w:noProof/>
                <w:webHidden/>
              </w:rPr>
              <w:t>92</w:t>
            </w:r>
            <w:r>
              <w:rPr>
                <w:noProof/>
                <w:webHidden/>
              </w:rPr>
              <w:fldChar w:fldCharType="end"/>
            </w:r>
          </w:hyperlink>
        </w:p>
        <w:p w:rsidR="0078602D" w:rsidRDefault="0078602D" w14:paraId="2642B49A" w14:textId="2EE044ED">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94">
            <w:r w:rsidRPr="001A5593">
              <w:rPr>
                <w:rStyle w:val="Hyperlink"/>
                <w:noProof/>
              </w:rPr>
              <w:t>6.2</w:t>
            </w:r>
            <w:r>
              <w:rPr>
                <w:rFonts w:asciiTheme="minorHAnsi" w:hAnsiTheme="minorHAnsi" w:eastAsiaTheme="minorEastAsia" w:cstheme="minorBidi"/>
                <w:noProof/>
                <w:kern w:val="2"/>
                <w:sz w:val="24"/>
                <w14:ligatures w14:val="standardContextual"/>
              </w:rPr>
              <w:tab/>
            </w:r>
            <w:r w:rsidRPr="001A5593">
              <w:rPr>
                <w:rStyle w:val="Hyperlink"/>
                <w:noProof/>
              </w:rPr>
              <w:t>Deelname aan en beoordeling van techniekactiviteiten</w:t>
            </w:r>
            <w:r>
              <w:rPr>
                <w:noProof/>
                <w:webHidden/>
              </w:rPr>
              <w:tab/>
            </w:r>
            <w:r>
              <w:rPr>
                <w:noProof/>
                <w:webHidden/>
              </w:rPr>
              <w:fldChar w:fldCharType="begin"/>
            </w:r>
            <w:r>
              <w:rPr>
                <w:noProof/>
                <w:webHidden/>
              </w:rPr>
              <w:instrText xml:space="preserve"> PAGEREF _Toc203573594 \h </w:instrText>
            </w:r>
            <w:r>
              <w:rPr>
                <w:noProof/>
                <w:webHidden/>
              </w:rPr>
            </w:r>
            <w:r>
              <w:rPr>
                <w:noProof/>
                <w:webHidden/>
              </w:rPr>
              <w:fldChar w:fldCharType="separate"/>
            </w:r>
            <w:r>
              <w:rPr>
                <w:noProof/>
                <w:webHidden/>
              </w:rPr>
              <w:t>93</w:t>
            </w:r>
            <w:r>
              <w:rPr>
                <w:noProof/>
                <w:webHidden/>
              </w:rPr>
              <w:fldChar w:fldCharType="end"/>
            </w:r>
          </w:hyperlink>
        </w:p>
        <w:p w:rsidR="0078602D" w:rsidRDefault="0078602D" w14:paraId="6817329D" w14:textId="3A9CE524">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95">
            <w:r w:rsidRPr="001A5593">
              <w:rPr>
                <w:rStyle w:val="Hyperlink"/>
                <w:noProof/>
              </w:rPr>
              <w:t>6.3</w:t>
            </w:r>
            <w:r>
              <w:rPr>
                <w:rFonts w:asciiTheme="minorHAnsi" w:hAnsiTheme="minorHAnsi" w:eastAsiaTheme="minorEastAsia" w:cstheme="minorBidi"/>
                <w:noProof/>
                <w:kern w:val="2"/>
                <w:sz w:val="24"/>
                <w14:ligatures w14:val="standardContextual"/>
              </w:rPr>
              <w:tab/>
            </w:r>
            <w:r w:rsidRPr="001A5593">
              <w:rPr>
                <w:rStyle w:val="Hyperlink"/>
                <w:noProof/>
              </w:rPr>
              <w:t>Mening over technieklessen en techniekdocenten (alleen bovenbouw)</w:t>
            </w:r>
            <w:r>
              <w:rPr>
                <w:noProof/>
                <w:webHidden/>
              </w:rPr>
              <w:tab/>
            </w:r>
            <w:r>
              <w:rPr>
                <w:noProof/>
                <w:webHidden/>
              </w:rPr>
              <w:fldChar w:fldCharType="begin"/>
            </w:r>
            <w:r>
              <w:rPr>
                <w:noProof/>
                <w:webHidden/>
              </w:rPr>
              <w:instrText xml:space="preserve"> PAGEREF _Toc203573595 \h </w:instrText>
            </w:r>
            <w:r>
              <w:rPr>
                <w:noProof/>
                <w:webHidden/>
              </w:rPr>
            </w:r>
            <w:r>
              <w:rPr>
                <w:noProof/>
                <w:webHidden/>
              </w:rPr>
              <w:fldChar w:fldCharType="separate"/>
            </w:r>
            <w:r>
              <w:rPr>
                <w:noProof/>
                <w:webHidden/>
              </w:rPr>
              <w:t>97</w:t>
            </w:r>
            <w:r>
              <w:rPr>
                <w:noProof/>
                <w:webHidden/>
              </w:rPr>
              <w:fldChar w:fldCharType="end"/>
            </w:r>
          </w:hyperlink>
        </w:p>
        <w:p w:rsidR="0078602D" w:rsidRDefault="0078602D" w14:paraId="5CFD937D" w14:textId="7B86AB6C">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96">
            <w:r w:rsidRPr="001A5593">
              <w:rPr>
                <w:rStyle w:val="Hyperlink"/>
                <w:noProof/>
              </w:rPr>
              <w:t>6.4</w:t>
            </w:r>
            <w:r>
              <w:rPr>
                <w:rFonts w:asciiTheme="minorHAnsi" w:hAnsiTheme="minorHAnsi" w:eastAsiaTheme="minorEastAsia" w:cstheme="minorBidi"/>
                <w:noProof/>
                <w:kern w:val="2"/>
                <w:sz w:val="24"/>
                <w14:ligatures w14:val="standardContextual"/>
              </w:rPr>
              <w:tab/>
            </w:r>
            <w:r w:rsidRPr="001A5593">
              <w:rPr>
                <w:rStyle w:val="Hyperlink"/>
                <w:noProof/>
              </w:rPr>
              <w:t>Interesse in techniek</w:t>
            </w:r>
            <w:r>
              <w:rPr>
                <w:noProof/>
                <w:webHidden/>
              </w:rPr>
              <w:tab/>
            </w:r>
            <w:r>
              <w:rPr>
                <w:noProof/>
                <w:webHidden/>
              </w:rPr>
              <w:fldChar w:fldCharType="begin"/>
            </w:r>
            <w:r>
              <w:rPr>
                <w:noProof/>
                <w:webHidden/>
              </w:rPr>
              <w:instrText xml:space="preserve"> PAGEREF _Toc203573596 \h </w:instrText>
            </w:r>
            <w:r>
              <w:rPr>
                <w:noProof/>
                <w:webHidden/>
              </w:rPr>
            </w:r>
            <w:r>
              <w:rPr>
                <w:noProof/>
                <w:webHidden/>
              </w:rPr>
              <w:fldChar w:fldCharType="separate"/>
            </w:r>
            <w:r>
              <w:rPr>
                <w:noProof/>
                <w:webHidden/>
              </w:rPr>
              <w:t>98</w:t>
            </w:r>
            <w:r>
              <w:rPr>
                <w:noProof/>
                <w:webHidden/>
              </w:rPr>
              <w:fldChar w:fldCharType="end"/>
            </w:r>
          </w:hyperlink>
        </w:p>
        <w:p w:rsidR="0078602D" w:rsidRDefault="0078602D" w14:paraId="0710162E" w14:textId="44AAE5F2">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97">
            <w:r w:rsidRPr="001A5593">
              <w:rPr>
                <w:rStyle w:val="Hyperlink"/>
                <w:noProof/>
              </w:rPr>
              <w:t>6.5</w:t>
            </w:r>
            <w:r>
              <w:rPr>
                <w:rFonts w:asciiTheme="minorHAnsi" w:hAnsiTheme="minorHAnsi" w:eastAsiaTheme="minorEastAsia" w:cstheme="minorBidi"/>
                <w:noProof/>
                <w:kern w:val="2"/>
                <w:sz w:val="24"/>
                <w14:ligatures w14:val="standardContextual"/>
              </w:rPr>
              <w:tab/>
            </w:r>
            <w:r w:rsidRPr="001A5593">
              <w:rPr>
                <w:rStyle w:val="Hyperlink"/>
                <w:noProof/>
              </w:rPr>
              <w:t>Profielkeuze en vervolgopleiding</w:t>
            </w:r>
            <w:r>
              <w:rPr>
                <w:noProof/>
                <w:webHidden/>
              </w:rPr>
              <w:tab/>
            </w:r>
            <w:r>
              <w:rPr>
                <w:noProof/>
                <w:webHidden/>
              </w:rPr>
              <w:fldChar w:fldCharType="begin"/>
            </w:r>
            <w:r>
              <w:rPr>
                <w:noProof/>
                <w:webHidden/>
              </w:rPr>
              <w:instrText xml:space="preserve"> PAGEREF _Toc203573597 \h </w:instrText>
            </w:r>
            <w:r>
              <w:rPr>
                <w:noProof/>
                <w:webHidden/>
              </w:rPr>
            </w:r>
            <w:r>
              <w:rPr>
                <w:noProof/>
                <w:webHidden/>
              </w:rPr>
              <w:fldChar w:fldCharType="separate"/>
            </w:r>
            <w:r>
              <w:rPr>
                <w:noProof/>
                <w:webHidden/>
              </w:rPr>
              <w:t>101</w:t>
            </w:r>
            <w:r>
              <w:rPr>
                <w:noProof/>
                <w:webHidden/>
              </w:rPr>
              <w:fldChar w:fldCharType="end"/>
            </w:r>
          </w:hyperlink>
        </w:p>
        <w:p w:rsidR="0078602D" w:rsidRDefault="0078602D" w14:paraId="0F2F882E" w14:textId="61EE7A38">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98">
            <w:r w:rsidRPr="001A5593">
              <w:rPr>
                <w:rStyle w:val="Hyperlink"/>
                <w:noProof/>
              </w:rPr>
              <w:t>6.6</w:t>
            </w:r>
            <w:r>
              <w:rPr>
                <w:rFonts w:asciiTheme="minorHAnsi" w:hAnsiTheme="minorHAnsi" w:eastAsiaTheme="minorEastAsia" w:cstheme="minorBidi"/>
                <w:noProof/>
                <w:kern w:val="2"/>
                <w:sz w:val="24"/>
                <w14:ligatures w14:val="standardContextual"/>
              </w:rPr>
              <w:tab/>
            </w:r>
            <w:r w:rsidRPr="001A5593">
              <w:rPr>
                <w:rStyle w:val="Hyperlink"/>
                <w:noProof/>
              </w:rPr>
              <w:t>In hoeverre voelen leerlingen in de techniek zich autonoom, verbonden en competent?</w:t>
            </w:r>
            <w:r>
              <w:rPr>
                <w:noProof/>
                <w:webHidden/>
              </w:rPr>
              <w:tab/>
            </w:r>
            <w:r>
              <w:rPr>
                <w:noProof/>
                <w:webHidden/>
              </w:rPr>
              <w:fldChar w:fldCharType="begin"/>
            </w:r>
            <w:r>
              <w:rPr>
                <w:noProof/>
                <w:webHidden/>
              </w:rPr>
              <w:instrText xml:space="preserve"> PAGEREF _Toc203573598 \h </w:instrText>
            </w:r>
            <w:r>
              <w:rPr>
                <w:noProof/>
                <w:webHidden/>
              </w:rPr>
            </w:r>
            <w:r>
              <w:rPr>
                <w:noProof/>
                <w:webHidden/>
              </w:rPr>
              <w:fldChar w:fldCharType="separate"/>
            </w:r>
            <w:r>
              <w:rPr>
                <w:noProof/>
                <w:webHidden/>
              </w:rPr>
              <w:t>104</w:t>
            </w:r>
            <w:r>
              <w:rPr>
                <w:noProof/>
                <w:webHidden/>
              </w:rPr>
              <w:fldChar w:fldCharType="end"/>
            </w:r>
          </w:hyperlink>
        </w:p>
        <w:p w:rsidR="0078602D" w:rsidRDefault="0078602D" w14:paraId="2D87F94B" w14:textId="020DD540">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599">
            <w:r w:rsidRPr="001A5593">
              <w:rPr>
                <w:rStyle w:val="Hyperlink"/>
                <w:noProof/>
              </w:rPr>
              <w:t>6.7</w:t>
            </w:r>
            <w:r>
              <w:rPr>
                <w:rFonts w:asciiTheme="minorHAnsi" w:hAnsiTheme="minorHAnsi" w:eastAsiaTheme="minorEastAsia" w:cstheme="minorBidi"/>
                <w:noProof/>
                <w:kern w:val="2"/>
                <w:sz w:val="24"/>
                <w14:ligatures w14:val="standardContextual"/>
              </w:rPr>
              <w:tab/>
            </w:r>
            <w:r w:rsidRPr="001A5593">
              <w:rPr>
                <w:rStyle w:val="Hyperlink"/>
                <w:noProof/>
              </w:rPr>
              <w:t>Autonomie, verbondenheid en competentie in relatie tot interesse voor techniek</w:t>
            </w:r>
            <w:r>
              <w:rPr>
                <w:noProof/>
                <w:webHidden/>
              </w:rPr>
              <w:tab/>
            </w:r>
            <w:r>
              <w:rPr>
                <w:noProof/>
                <w:webHidden/>
              </w:rPr>
              <w:fldChar w:fldCharType="begin"/>
            </w:r>
            <w:r>
              <w:rPr>
                <w:noProof/>
                <w:webHidden/>
              </w:rPr>
              <w:instrText xml:space="preserve"> PAGEREF _Toc203573599 \h </w:instrText>
            </w:r>
            <w:r>
              <w:rPr>
                <w:noProof/>
                <w:webHidden/>
              </w:rPr>
            </w:r>
            <w:r>
              <w:rPr>
                <w:noProof/>
                <w:webHidden/>
              </w:rPr>
              <w:fldChar w:fldCharType="separate"/>
            </w:r>
            <w:r>
              <w:rPr>
                <w:noProof/>
                <w:webHidden/>
              </w:rPr>
              <w:t>106</w:t>
            </w:r>
            <w:r>
              <w:rPr>
                <w:noProof/>
                <w:webHidden/>
              </w:rPr>
              <w:fldChar w:fldCharType="end"/>
            </w:r>
          </w:hyperlink>
        </w:p>
        <w:p w:rsidR="0078602D" w:rsidRDefault="0078602D" w14:paraId="54738F02" w14:textId="0F017024">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600">
            <w:r w:rsidRPr="001A5593">
              <w:rPr>
                <w:rStyle w:val="Hyperlink"/>
                <w:noProof/>
              </w:rPr>
              <w:t>6.8</w:t>
            </w:r>
            <w:r>
              <w:rPr>
                <w:rFonts w:asciiTheme="minorHAnsi" w:hAnsiTheme="minorHAnsi" w:eastAsiaTheme="minorEastAsia" w:cstheme="minorBidi"/>
                <w:noProof/>
                <w:kern w:val="2"/>
                <w:sz w:val="24"/>
                <w14:ligatures w14:val="standardContextual"/>
              </w:rPr>
              <w:tab/>
            </w:r>
            <w:r w:rsidRPr="001A5593">
              <w:rPr>
                <w:rStyle w:val="Hyperlink"/>
                <w:noProof/>
              </w:rPr>
              <w:t>Conclusie</w:t>
            </w:r>
            <w:r>
              <w:rPr>
                <w:noProof/>
                <w:webHidden/>
              </w:rPr>
              <w:tab/>
            </w:r>
            <w:r>
              <w:rPr>
                <w:noProof/>
                <w:webHidden/>
              </w:rPr>
              <w:fldChar w:fldCharType="begin"/>
            </w:r>
            <w:r>
              <w:rPr>
                <w:noProof/>
                <w:webHidden/>
              </w:rPr>
              <w:instrText xml:space="preserve"> PAGEREF _Toc203573600 \h </w:instrText>
            </w:r>
            <w:r>
              <w:rPr>
                <w:noProof/>
                <w:webHidden/>
              </w:rPr>
            </w:r>
            <w:r>
              <w:rPr>
                <w:noProof/>
                <w:webHidden/>
              </w:rPr>
              <w:fldChar w:fldCharType="separate"/>
            </w:r>
            <w:r>
              <w:rPr>
                <w:noProof/>
                <w:webHidden/>
              </w:rPr>
              <w:t>108</w:t>
            </w:r>
            <w:r>
              <w:rPr>
                <w:noProof/>
                <w:webHidden/>
              </w:rPr>
              <w:fldChar w:fldCharType="end"/>
            </w:r>
          </w:hyperlink>
        </w:p>
        <w:p w:rsidR="0078602D" w:rsidRDefault="0078602D" w14:paraId="7042149E" w14:textId="6D09CB0F">
          <w:pPr>
            <w:pStyle w:val="Inhopg1"/>
            <w:tabs>
              <w:tab w:val="left" w:pos="360"/>
              <w:tab w:val="right" w:leader="dot" w:pos="9350"/>
            </w:tabs>
            <w:rPr>
              <w:rFonts w:asciiTheme="minorHAnsi" w:hAnsiTheme="minorHAnsi" w:eastAsiaTheme="minorEastAsia" w:cstheme="minorBidi"/>
              <w:noProof/>
              <w:kern w:val="2"/>
              <w:sz w:val="24"/>
              <w14:ligatures w14:val="standardContextual"/>
            </w:rPr>
          </w:pPr>
          <w:hyperlink w:history="1" w:anchor="_Toc203573601">
            <w:r w:rsidRPr="001A5593">
              <w:rPr>
                <w:rStyle w:val="Hyperlink"/>
                <w:noProof/>
              </w:rPr>
              <w:t>7</w:t>
            </w:r>
            <w:r>
              <w:rPr>
                <w:rFonts w:asciiTheme="minorHAnsi" w:hAnsiTheme="minorHAnsi" w:eastAsiaTheme="minorEastAsia" w:cstheme="minorBidi"/>
                <w:noProof/>
                <w:kern w:val="2"/>
                <w:sz w:val="24"/>
                <w14:ligatures w14:val="standardContextual"/>
              </w:rPr>
              <w:tab/>
            </w:r>
            <w:r w:rsidRPr="001A5593">
              <w:rPr>
                <w:rStyle w:val="Hyperlink"/>
                <w:noProof/>
              </w:rPr>
              <w:t>Samenvattend beeld van de ontwikkelingen op indicatoren: STO in cijfers</w:t>
            </w:r>
            <w:r>
              <w:rPr>
                <w:noProof/>
                <w:webHidden/>
              </w:rPr>
              <w:tab/>
            </w:r>
            <w:r>
              <w:rPr>
                <w:noProof/>
                <w:webHidden/>
              </w:rPr>
              <w:fldChar w:fldCharType="begin"/>
            </w:r>
            <w:r>
              <w:rPr>
                <w:noProof/>
                <w:webHidden/>
              </w:rPr>
              <w:instrText xml:space="preserve"> PAGEREF _Toc203573601 \h </w:instrText>
            </w:r>
            <w:r>
              <w:rPr>
                <w:noProof/>
                <w:webHidden/>
              </w:rPr>
            </w:r>
            <w:r>
              <w:rPr>
                <w:noProof/>
                <w:webHidden/>
              </w:rPr>
              <w:fldChar w:fldCharType="separate"/>
            </w:r>
            <w:r>
              <w:rPr>
                <w:noProof/>
                <w:webHidden/>
              </w:rPr>
              <w:t>110</w:t>
            </w:r>
            <w:r>
              <w:rPr>
                <w:noProof/>
                <w:webHidden/>
              </w:rPr>
              <w:fldChar w:fldCharType="end"/>
            </w:r>
          </w:hyperlink>
        </w:p>
        <w:p w:rsidR="0078602D" w:rsidRDefault="0078602D" w14:paraId="321DE9E2" w14:textId="3C92EA1B">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602">
            <w:r w:rsidRPr="001A5593">
              <w:rPr>
                <w:rStyle w:val="Hyperlink"/>
                <w:noProof/>
              </w:rPr>
              <w:t>7.1</w:t>
            </w:r>
            <w:r>
              <w:rPr>
                <w:rFonts w:asciiTheme="minorHAnsi" w:hAnsiTheme="minorHAnsi" w:eastAsiaTheme="minorEastAsia" w:cstheme="minorBidi"/>
                <w:noProof/>
                <w:kern w:val="2"/>
                <w:sz w:val="24"/>
                <w14:ligatures w14:val="standardContextual"/>
              </w:rPr>
              <w:tab/>
            </w:r>
            <w:r w:rsidRPr="001A5593">
              <w:rPr>
                <w:rStyle w:val="Hyperlink"/>
                <w:noProof/>
              </w:rPr>
              <w:t>Sterk Techniekonderwijs in cijfers</w:t>
            </w:r>
            <w:r>
              <w:rPr>
                <w:noProof/>
                <w:webHidden/>
              </w:rPr>
              <w:tab/>
            </w:r>
            <w:r>
              <w:rPr>
                <w:noProof/>
                <w:webHidden/>
              </w:rPr>
              <w:fldChar w:fldCharType="begin"/>
            </w:r>
            <w:r>
              <w:rPr>
                <w:noProof/>
                <w:webHidden/>
              </w:rPr>
              <w:instrText xml:space="preserve"> PAGEREF _Toc203573602 \h </w:instrText>
            </w:r>
            <w:r>
              <w:rPr>
                <w:noProof/>
                <w:webHidden/>
              </w:rPr>
            </w:r>
            <w:r>
              <w:rPr>
                <w:noProof/>
                <w:webHidden/>
              </w:rPr>
              <w:fldChar w:fldCharType="separate"/>
            </w:r>
            <w:r>
              <w:rPr>
                <w:noProof/>
                <w:webHidden/>
              </w:rPr>
              <w:t>110</w:t>
            </w:r>
            <w:r>
              <w:rPr>
                <w:noProof/>
                <w:webHidden/>
              </w:rPr>
              <w:fldChar w:fldCharType="end"/>
            </w:r>
          </w:hyperlink>
        </w:p>
        <w:p w:rsidR="0078602D" w:rsidRDefault="0078602D" w14:paraId="40A25FF0" w14:textId="435D915A">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603">
            <w:r w:rsidRPr="001A5593">
              <w:rPr>
                <w:rStyle w:val="Hyperlink"/>
                <w:noProof/>
              </w:rPr>
              <w:t>7.2</w:t>
            </w:r>
            <w:r>
              <w:rPr>
                <w:rFonts w:asciiTheme="minorHAnsi" w:hAnsiTheme="minorHAnsi" w:eastAsiaTheme="minorEastAsia" w:cstheme="minorBidi"/>
                <w:noProof/>
                <w:kern w:val="2"/>
                <w:sz w:val="24"/>
                <w14:ligatures w14:val="standardContextual"/>
              </w:rPr>
              <w:tab/>
            </w:r>
            <w:r w:rsidRPr="001A5593">
              <w:rPr>
                <w:rStyle w:val="Hyperlink"/>
                <w:noProof/>
              </w:rPr>
              <w:t>Beschikbaarheid van voldoende docenten/instructeurs</w:t>
            </w:r>
            <w:r>
              <w:rPr>
                <w:noProof/>
                <w:webHidden/>
              </w:rPr>
              <w:tab/>
            </w:r>
            <w:r>
              <w:rPr>
                <w:noProof/>
                <w:webHidden/>
              </w:rPr>
              <w:fldChar w:fldCharType="begin"/>
            </w:r>
            <w:r>
              <w:rPr>
                <w:noProof/>
                <w:webHidden/>
              </w:rPr>
              <w:instrText xml:space="preserve"> PAGEREF _Toc203573603 \h </w:instrText>
            </w:r>
            <w:r>
              <w:rPr>
                <w:noProof/>
                <w:webHidden/>
              </w:rPr>
            </w:r>
            <w:r>
              <w:rPr>
                <w:noProof/>
                <w:webHidden/>
              </w:rPr>
              <w:fldChar w:fldCharType="separate"/>
            </w:r>
            <w:r>
              <w:rPr>
                <w:noProof/>
                <w:webHidden/>
              </w:rPr>
              <w:t>111</w:t>
            </w:r>
            <w:r>
              <w:rPr>
                <w:noProof/>
                <w:webHidden/>
              </w:rPr>
              <w:fldChar w:fldCharType="end"/>
            </w:r>
          </w:hyperlink>
        </w:p>
        <w:p w:rsidR="0078602D" w:rsidRDefault="0078602D" w14:paraId="3047560D" w14:textId="25D9C421">
          <w:pPr>
            <w:pStyle w:val="Inhopg1"/>
            <w:tabs>
              <w:tab w:val="left" w:pos="360"/>
              <w:tab w:val="right" w:leader="dot" w:pos="9350"/>
            </w:tabs>
            <w:rPr>
              <w:rFonts w:asciiTheme="minorHAnsi" w:hAnsiTheme="minorHAnsi" w:eastAsiaTheme="minorEastAsia" w:cstheme="minorBidi"/>
              <w:noProof/>
              <w:kern w:val="2"/>
              <w:sz w:val="24"/>
              <w14:ligatures w14:val="standardContextual"/>
            </w:rPr>
          </w:pPr>
          <w:hyperlink w:history="1" w:anchor="_Toc203573604">
            <w:r w:rsidRPr="001A5593">
              <w:rPr>
                <w:rStyle w:val="Hyperlink"/>
                <w:noProof/>
              </w:rPr>
              <w:t>8</w:t>
            </w:r>
            <w:r>
              <w:rPr>
                <w:rFonts w:asciiTheme="minorHAnsi" w:hAnsiTheme="minorHAnsi" w:eastAsiaTheme="minorEastAsia" w:cstheme="minorBidi"/>
                <w:noProof/>
                <w:kern w:val="2"/>
                <w:sz w:val="24"/>
                <w14:ligatures w14:val="standardContextual"/>
              </w:rPr>
              <w:tab/>
            </w:r>
            <w:r w:rsidRPr="001A5593">
              <w:rPr>
                <w:rStyle w:val="Hyperlink"/>
                <w:noProof/>
              </w:rPr>
              <w:t>Slotconclusies en impactladder</w:t>
            </w:r>
            <w:r>
              <w:rPr>
                <w:noProof/>
                <w:webHidden/>
              </w:rPr>
              <w:tab/>
            </w:r>
            <w:r>
              <w:rPr>
                <w:noProof/>
                <w:webHidden/>
              </w:rPr>
              <w:fldChar w:fldCharType="begin"/>
            </w:r>
            <w:r>
              <w:rPr>
                <w:noProof/>
                <w:webHidden/>
              </w:rPr>
              <w:instrText xml:space="preserve"> PAGEREF _Toc203573604 \h </w:instrText>
            </w:r>
            <w:r>
              <w:rPr>
                <w:noProof/>
                <w:webHidden/>
              </w:rPr>
            </w:r>
            <w:r>
              <w:rPr>
                <w:noProof/>
                <w:webHidden/>
              </w:rPr>
              <w:fldChar w:fldCharType="separate"/>
            </w:r>
            <w:r>
              <w:rPr>
                <w:noProof/>
                <w:webHidden/>
              </w:rPr>
              <w:t>113</w:t>
            </w:r>
            <w:r>
              <w:rPr>
                <w:noProof/>
                <w:webHidden/>
              </w:rPr>
              <w:fldChar w:fldCharType="end"/>
            </w:r>
          </w:hyperlink>
        </w:p>
        <w:p w:rsidR="0078602D" w:rsidRDefault="0078602D" w14:paraId="3BBCFEB9" w14:textId="369AFB27">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605">
            <w:r w:rsidRPr="001A5593">
              <w:rPr>
                <w:rStyle w:val="Hyperlink"/>
                <w:noProof/>
              </w:rPr>
              <w:t>8.1</w:t>
            </w:r>
            <w:r>
              <w:rPr>
                <w:rFonts w:asciiTheme="minorHAnsi" w:hAnsiTheme="minorHAnsi" w:eastAsiaTheme="minorEastAsia" w:cstheme="minorBidi"/>
                <w:noProof/>
                <w:kern w:val="2"/>
                <w:sz w:val="24"/>
                <w14:ligatures w14:val="standardContextual"/>
              </w:rPr>
              <w:tab/>
            </w:r>
            <w:r w:rsidRPr="001A5593">
              <w:rPr>
                <w:rStyle w:val="Hyperlink"/>
                <w:noProof/>
              </w:rPr>
              <w:t>Samenvattende conclusies eerste fase Sterk Techniekonderwijs</w:t>
            </w:r>
            <w:r>
              <w:rPr>
                <w:noProof/>
                <w:webHidden/>
              </w:rPr>
              <w:tab/>
            </w:r>
            <w:r>
              <w:rPr>
                <w:noProof/>
                <w:webHidden/>
              </w:rPr>
              <w:fldChar w:fldCharType="begin"/>
            </w:r>
            <w:r>
              <w:rPr>
                <w:noProof/>
                <w:webHidden/>
              </w:rPr>
              <w:instrText xml:space="preserve"> PAGEREF _Toc203573605 \h </w:instrText>
            </w:r>
            <w:r>
              <w:rPr>
                <w:noProof/>
                <w:webHidden/>
              </w:rPr>
            </w:r>
            <w:r>
              <w:rPr>
                <w:noProof/>
                <w:webHidden/>
              </w:rPr>
              <w:fldChar w:fldCharType="separate"/>
            </w:r>
            <w:r>
              <w:rPr>
                <w:noProof/>
                <w:webHidden/>
              </w:rPr>
              <w:t>114</w:t>
            </w:r>
            <w:r>
              <w:rPr>
                <w:noProof/>
                <w:webHidden/>
              </w:rPr>
              <w:fldChar w:fldCharType="end"/>
            </w:r>
          </w:hyperlink>
        </w:p>
        <w:p w:rsidR="0078602D" w:rsidRDefault="0078602D" w14:paraId="5C84DC6B" w14:textId="52959C88">
          <w:pPr>
            <w:pStyle w:val="Inhopg3"/>
            <w:tabs>
              <w:tab w:val="right" w:leader="dot" w:pos="9350"/>
            </w:tabs>
            <w:rPr>
              <w:rFonts w:asciiTheme="minorHAnsi" w:hAnsiTheme="minorHAnsi" w:eastAsiaTheme="minorEastAsia" w:cstheme="minorBidi"/>
              <w:noProof/>
              <w:kern w:val="2"/>
              <w:sz w:val="24"/>
              <w14:ligatures w14:val="standardContextual"/>
            </w:rPr>
          </w:pPr>
          <w:hyperlink w:history="1" w:anchor="_Toc203573606">
            <w:r w:rsidRPr="001A5593">
              <w:rPr>
                <w:rStyle w:val="Hyperlink"/>
                <w:noProof/>
              </w:rPr>
              <w:t>7.1.1 Casussen en lesobservaties</w:t>
            </w:r>
            <w:r>
              <w:rPr>
                <w:noProof/>
                <w:webHidden/>
              </w:rPr>
              <w:tab/>
            </w:r>
            <w:r>
              <w:rPr>
                <w:noProof/>
                <w:webHidden/>
              </w:rPr>
              <w:fldChar w:fldCharType="begin"/>
            </w:r>
            <w:r>
              <w:rPr>
                <w:noProof/>
                <w:webHidden/>
              </w:rPr>
              <w:instrText xml:space="preserve"> PAGEREF _Toc203573606 \h </w:instrText>
            </w:r>
            <w:r>
              <w:rPr>
                <w:noProof/>
                <w:webHidden/>
              </w:rPr>
            </w:r>
            <w:r>
              <w:rPr>
                <w:noProof/>
                <w:webHidden/>
              </w:rPr>
              <w:fldChar w:fldCharType="separate"/>
            </w:r>
            <w:r>
              <w:rPr>
                <w:noProof/>
                <w:webHidden/>
              </w:rPr>
              <w:t>114</w:t>
            </w:r>
            <w:r>
              <w:rPr>
                <w:noProof/>
                <w:webHidden/>
              </w:rPr>
              <w:fldChar w:fldCharType="end"/>
            </w:r>
          </w:hyperlink>
        </w:p>
        <w:p w:rsidR="0078602D" w:rsidRDefault="0078602D" w14:paraId="7008CD35" w14:textId="48B2AAC4">
          <w:pPr>
            <w:pStyle w:val="Inhopg3"/>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607">
            <w:r w:rsidRPr="001A5593">
              <w:rPr>
                <w:rStyle w:val="Hyperlink"/>
                <w:bCs/>
                <w:noProof/>
              </w:rPr>
              <w:t>8.1.1</w:t>
            </w:r>
            <w:r>
              <w:rPr>
                <w:rFonts w:asciiTheme="minorHAnsi" w:hAnsiTheme="minorHAnsi" w:eastAsiaTheme="minorEastAsia" w:cstheme="minorBidi"/>
                <w:noProof/>
                <w:kern w:val="2"/>
                <w:sz w:val="24"/>
                <w14:ligatures w14:val="standardContextual"/>
              </w:rPr>
              <w:tab/>
            </w:r>
            <w:r w:rsidRPr="001A5593">
              <w:rPr>
                <w:rStyle w:val="Hyperlink"/>
                <w:noProof/>
              </w:rPr>
              <w:t>Overkoepelend beeld via de STO-programmaleiders</w:t>
            </w:r>
            <w:r>
              <w:rPr>
                <w:noProof/>
                <w:webHidden/>
              </w:rPr>
              <w:tab/>
            </w:r>
            <w:r>
              <w:rPr>
                <w:noProof/>
                <w:webHidden/>
              </w:rPr>
              <w:fldChar w:fldCharType="begin"/>
            </w:r>
            <w:r>
              <w:rPr>
                <w:noProof/>
                <w:webHidden/>
              </w:rPr>
              <w:instrText xml:space="preserve"> PAGEREF _Toc203573607 \h </w:instrText>
            </w:r>
            <w:r>
              <w:rPr>
                <w:noProof/>
                <w:webHidden/>
              </w:rPr>
            </w:r>
            <w:r>
              <w:rPr>
                <w:noProof/>
                <w:webHidden/>
              </w:rPr>
              <w:fldChar w:fldCharType="separate"/>
            </w:r>
            <w:r>
              <w:rPr>
                <w:noProof/>
                <w:webHidden/>
              </w:rPr>
              <w:t>115</w:t>
            </w:r>
            <w:r>
              <w:rPr>
                <w:noProof/>
                <w:webHidden/>
              </w:rPr>
              <w:fldChar w:fldCharType="end"/>
            </w:r>
          </w:hyperlink>
        </w:p>
        <w:p w:rsidR="0078602D" w:rsidRDefault="0078602D" w14:paraId="1CB57061" w14:textId="71511694">
          <w:pPr>
            <w:pStyle w:val="Inhopg3"/>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608">
            <w:r w:rsidRPr="001A5593">
              <w:rPr>
                <w:rStyle w:val="Hyperlink"/>
                <w:bCs/>
                <w:noProof/>
              </w:rPr>
              <w:t>8.1.2</w:t>
            </w:r>
            <w:r>
              <w:rPr>
                <w:rFonts w:asciiTheme="minorHAnsi" w:hAnsiTheme="minorHAnsi" w:eastAsiaTheme="minorEastAsia" w:cstheme="minorBidi"/>
                <w:noProof/>
                <w:kern w:val="2"/>
                <w:sz w:val="24"/>
                <w14:ligatures w14:val="standardContextual"/>
              </w:rPr>
              <w:tab/>
            </w:r>
            <w:r w:rsidRPr="001A5593">
              <w:rPr>
                <w:rStyle w:val="Hyperlink"/>
                <w:noProof/>
              </w:rPr>
              <w:t>Sterk Techniekonderwijs vanuit het perspectief van lesgevenden in de bovenbouw vmbo</w:t>
            </w:r>
            <w:r>
              <w:rPr>
                <w:noProof/>
                <w:webHidden/>
              </w:rPr>
              <w:tab/>
            </w:r>
            <w:r>
              <w:rPr>
                <w:noProof/>
                <w:webHidden/>
              </w:rPr>
              <w:fldChar w:fldCharType="begin"/>
            </w:r>
            <w:r>
              <w:rPr>
                <w:noProof/>
                <w:webHidden/>
              </w:rPr>
              <w:instrText xml:space="preserve"> PAGEREF _Toc203573608 \h </w:instrText>
            </w:r>
            <w:r>
              <w:rPr>
                <w:noProof/>
                <w:webHidden/>
              </w:rPr>
            </w:r>
            <w:r>
              <w:rPr>
                <w:noProof/>
                <w:webHidden/>
              </w:rPr>
              <w:fldChar w:fldCharType="separate"/>
            </w:r>
            <w:r>
              <w:rPr>
                <w:noProof/>
                <w:webHidden/>
              </w:rPr>
              <w:t>115</w:t>
            </w:r>
            <w:r>
              <w:rPr>
                <w:noProof/>
                <w:webHidden/>
              </w:rPr>
              <w:fldChar w:fldCharType="end"/>
            </w:r>
          </w:hyperlink>
        </w:p>
        <w:p w:rsidR="0078602D" w:rsidRDefault="0078602D" w14:paraId="77A4F21B" w14:textId="267708DC">
          <w:pPr>
            <w:pStyle w:val="Inhopg3"/>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609">
            <w:r w:rsidRPr="001A5593">
              <w:rPr>
                <w:rStyle w:val="Hyperlink"/>
                <w:noProof/>
              </w:rPr>
              <w:t>8.1.3</w:t>
            </w:r>
            <w:r>
              <w:rPr>
                <w:rFonts w:asciiTheme="minorHAnsi" w:hAnsiTheme="minorHAnsi" w:eastAsiaTheme="minorEastAsia" w:cstheme="minorBidi"/>
                <w:noProof/>
                <w:kern w:val="2"/>
                <w:sz w:val="24"/>
                <w14:ligatures w14:val="standardContextual"/>
              </w:rPr>
              <w:tab/>
            </w:r>
            <w:r w:rsidRPr="001A5593">
              <w:rPr>
                <w:rStyle w:val="Hyperlink"/>
                <w:noProof/>
              </w:rPr>
              <w:t>Sterk Techniekonderwijs vanuit het perspectief van vmbo-leerlingen</w:t>
            </w:r>
            <w:r>
              <w:rPr>
                <w:noProof/>
                <w:webHidden/>
              </w:rPr>
              <w:tab/>
            </w:r>
            <w:r>
              <w:rPr>
                <w:noProof/>
                <w:webHidden/>
              </w:rPr>
              <w:fldChar w:fldCharType="begin"/>
            </w:r>
            <w:r>
              <w:rPr>
                <w:noProof/>
                <w:webHidden/>
              </w:rPr>
              <w:instrText xml:space="preserve"> PAGEREF _Toc203573609 \h </w:instrText>
            </w:r>
            <w:r>
              <w:rPr>
                <w:noProof/>
                <w:webHidden/>
              </w:rPr>
            </w:r>
            <w:r>
              <w:rPr>
                <w:noProof/>
                <w:webHidden/>
              </w:rPr>
              <w:fldChar w:fldCharType="separate"/>
            </w:r>
            <w:r>
              <w:rPr>
                <w:noProof/>
                <w:webHidden/>
              </w:rPr>
              <w:t>116</w:t>
            </w:r>
            <w:r>
              <w:rPr>
                <w:noProof/>
                <w:webHidden/>
              </w:rPr>
              <w:fldChar w:fldCharType="end"/>
            </w:r>
          </w:hyperlink>
        </w:p>
        <w:p w:rsidR="0078602D" w:rsidRDefault="0078602D" w14:paraId="0DE8F0D8" w14:textId="3F036C07">
          <w:pPr>
            <w:pStyle w:val="Inhopg3"/>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610">
            <w:r w:rsidRPr="001A5593">
              <w:rPr>
                <w:rStyle w:val="Hyperlink"/>
                <w:bCs/>
                <w:noProof/>
              </w:rPr>
              <w:t>8.1.4</w:t>
            </w:r>
            <w:r>
              <w:rPr>
                <w:rFonts w:asciiTheme="minorHAnsi" w:hAnsiTheme="minorHAnsi" w:eastAsiaTheme="minorEastAsia" w:cstheme="minorBidi"/>
                <w:noProof/>
                <w:kern w:val="2"/>
                <w:sz w:val="24"/>
                <w14:ligatures w14:val="standardContextual"/>
              </w:rPr>
              <w:tab/>
            </w:r>
            <w:r w:rsidRPr="001A5593">
              <w:rPr>
                <w:rStyle w:val="Hyperlink"/>
                <w:noProof/>
              </w:rPr>
              <w:t>Sterk Techniekonderwijs in cijfers</w:t>
            </w:r>
            <w:r>
              <w:rPr>
                <w:noProof/>
                <w:webHidden/>
              </w:rPr>
              <w:tab/>
            </w:r>
            <w:r>
              <w:rPr>
                <w:noProof/>
                <w:webHidden/>
              </w:rPr>
              <w:fldChar w:fldCharType="begin"/>
            </w:r>
            <w:r>
              <w:rPr>
                <w:noProof/>
                <w:webHidden/>
              </w:rPr>
              <w:instrText xml:space="preserve"> PAGEREF _Toc203573610 \h </w:instrText>
            </w:r>
            <w:r>
              <w:rPr>
                <w:noProof/>
                <w:webHidden/>
              </w:rPr>
            </w:r>
            <w:r>
              <w:rPr>
                <w:noProof/>
                <w:webHidden/>
              </w:rPr>
              <w:fldChar w:fldCharType="separate"/>
            </w:r>
            <w:r>
              <w:rPr>
                <w:noProof/>
                <w:webHidden/>
              </w:rPr>
              <w:t>117</w:t>
            </w:r>
            <w:r>
              <w:rPr>
                <w:noProof/>
                <w:webHidden/>
              </w:rPr>
              <w:fldChar w:fldCharType="end"/>
            </w:r>
          </w:hyperlink>
        </w:p>
        <w:p w:rsidR="0078602D" w:rsidRDefault="0078602D" w14:paraId="3C6C4BD6" w14:textId="77792F17">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611">
            <w:r w:rsidRPr="001A5593">
              <w:rPr>
                <w:rStyle w:val="Hyperlink"/>
                <w:noProof/>
              </w:rPr>
              <w:t>8.2</w:t>
            </w:r>
            <w:r>
              <w:rPr>
                <w:rFonts w:asciiTheme="minorHAnsi" w:hAnsiTheme="minorHAnsi" w:eastAsiaTheme="minorEastAsia" w:cstheme="minorBidi"/>
                <w:noProof/>
                <w:kern w:val="2"/>
                <w:sz w:val="24"/>
                <w14:ligatures w14:val="standardContextual"/>
              </w:rPr>
              <w:tab/>
            </w:r>
            <w:r w:rsidRPr="001A5593">
              <w:rPr>
                <w:rStyle w:val="Hyperlink"/>
                <w:noProof/>
              </w:rPr>
              <w:t>Impactladder</w:t>
            </w:r>
            <w:r>
              <w:rPr>
                <w:noProof/>
                <w:webHidden/>
              </w:rPr>
              <w:tab/>
            </w:r>
            <w:r>
              <w:rPr>
                <w:noProof/>
                <w:webHidden/>
              </w:rPr>
              <w:fldChar w:fldCharType="begin"/>
            </w:r>
            <w:r>
              <w:rPr>
                <w:noProof/>
                <w:webHidden/>
              </w:rPr>
              <w:instrText xml:space="preserve"> PAGEREF _Toc203573611 \h </w:instrText>
            </w:r>
            <w:r>
              <w:rPr>
                <w:noProof/>
                <w:webHidden/>
              </w:rPr>
            </w:r>
            <w:r>
              <w:rPr>
                <w:noProof/>
                <w:webHidden/>
              </w:rPr>
              <w:fldChar w:fldCharType="separate"/>
            </w:r>
            <w:r>
              <w:rPr>
                <w:noProof/>
                <w:webHidden/>
              </w:rPr>
              <w:t>117</w:t>
            </w:r>
            <w:r>
              <w:rPr>
                <w:noProof/>
                <w:webHidden/>
              </w:rPr>
              <w:fldChar w:fldCharType="end"/>
            </w:r>
          </w:hyperlink>
        </w:p>
        <w:p w:rsidR="0078602D" w:rsidRDefault="0078602D" w14:paraId="21A62184" w14:textId="06768C85">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612">
            <w:r w:rsidRPr="001A5593">
              <w:rPr>
                <w:rStyle w:val="Hyperlink"/>
                <w:noProof/>
              </w:rPr>
              <w:t>8.3</w:t>
            </w:r>
            <w:r>
              <w:rPr>
                <w:rFonts w:asciiTheme="minorHAnsi" w:hAnsiTheme="minorHAnsi" w:eastAsiaTheme="minorEastAsia" w:cstheme="minorBidi"/>
                <w:noProof/>
                <w:kern w:val="2"/>
                <w:sz w:val="24"/>
                <w14:ligatures w14:val="standardContextual"/>
              </w:rPr>
              <w:tab/>
            </w:r>
            <w:r w:rsidRPr="001A5593">
              <w:rPr>
                <w:rStyle w:val="Hyperlink"/>
                <w:noProof/>
              </w:rPr>
              <w:t>Vooruitblik nieuwe fase STO</w:t>
            </w:r>
            <w:r>
              <w:rPr>
                <w:noProof/>
                <w:webHidden/>
              </w:rPr>
              <w:tab/>
            </w:r>
            <w:r>
              <w:rPr>
                <w:noProof/>
                <w:webHidden/>
              </w:rPr>
              <w:fldChar w:fldCharType="begin"/>
            </w:r>
            <w:r>
              <w:rPr>
                <w:noProof/>
                <w:webHidden/>
              </w:rPr>
              <w:instrText xml:space="preserve"> PAGEREF _Toc203573612 \h </w:instrText>
            </w:r>
            <w:r>
              <w:rPr>
                <w:noProof/>
                <w:webHidden/>
              </w:rPr>
            </w:r>
            <w:r>
              <w:rPr>
                <w:noProof/>
                <w:webHidden/>
              </w:rPr>
              <w:fldChar w:fldCharType="separate"/>
            </w:r>
            <w:r>
              <w:rPr>
                <w:noProof/>
                <w:webHidden/>
              </w:rPr>
              <w:t>122</w:t>
            </w:r>
            <w:r>
              <w:rPr>
                <w:noProof/>
                <w:webHidden/>
              </w:rPr>
              <w:fldChar w:fldCharType="end"/>
            </w:r>
          </w:hyperlink>
        </w:p>
        <w:p w:rsidR="0078602D" w:rsidRDefault="0078602D" w14:paraId="7D609772" w14:textId="191D1C86">
          <w:pPr>
            <w:pStyle w:val="Inhopg1"/>
            <w:tabs>
              <w:tab w:val="left" w:pos="360"/>
              <w:tab w:val="right" w:leader="dot" w:pos="9350"/>
            </w:tabs>
            <w:rPr>
              <w:rFonts w:asciiTheme="minorHAnsi" w:hAnsiTheme="minorHAnsi" w:eastAsiaTheme="minorEastAsia" w:cstheme="minorBidi"/>
              <w:noProof/>
              <w:kern w:val="2"/>
              <w:sz w:val="24"/>
              <w14:ligatures w14:val="standardContextual"/>
            </w:rPr>
          </w:pPr>
          <w:hyperlink w:history="1" w:anchor="_Toc203573613">
            <w:r w:rsidRPr="001A5593">
              <w:rPr>
                <w:rStyle w:val="Hyperlink"/>
                <w:noProof/>
              </w:rPr>
              <w:t>9</w:t>
            </w:r>
            <w:r>
              <w:rPr>
                <w:rFonts w:asciiTheme="minorHAnsi" w:hAnsiTheme="minorHAnsi" w:eastAsiaTheme="minorEastAsia" w:cstheme="minorBidi"/>
                <w:noProof/>
                <w:kern w:val="2"/>
                <w:sz w:val="24"/>
                <w14:ligatures w14:val="standardContextual"/>
              </w:rPr>
              <w:tab/>
            </w:r>
            <w:r w:rsidRPr="001A5593">
              <w:rPr>
                <w:rStyle w:val="Hyperlink"/>
                <w:noProof/>
              </w:rPr>
              <w:t>Bijlage 1 Programmaleidersvragenlijst</w:t>
            </w:r>
            <w:r>
              <w:rPr>
                <w:noProof/>
                <w:webHidden/>
              </w:rPr>
              <w:tab/>
            </w:r>
            <w:r>
              <w:rPr>
                <w:noProof/>
                <w:webHidden/>
              </w:rPr>
              <w:fldChar w:fldCharType="begin"/>
            </w:r>
            <w:r>
              <w:rPr>
                <w:noProof/>
                <w:webHidden/>
              </w:rPr>
              <w:instrText xml:space="preserve"> PAGEREF _Toc203573613 \h </w:instrText>
            </w:r>
            <w:r>
              <w:rPr>
                <w:noProof/>
                <w:webHidden/>
              </w:rPr>
            </w:r>
            <w:r>
              <w:rPr>
                <w:noProof/>
                <w:webHidden/>
              </w:rPr>
              <w:fldChar w:fldCharType="separate"/>
            </w:r>
            <w:r>
              <w:rPr>
                <w:noProof/>
                <w:webHidden/>
              </w:rPr>
              <w:t>124</w:t>
            </w:r>
            <w:r>
              <w:rPr>
                <w:noProof/>
                <w:webHidden/>
              </w:rPr>
              <w:fldChar w:fldCharType="end"/>
            </w:r>
          </w:hyperlink>
        </w:p>
        <w:p w:rsidR="0078602D" w:rsidRDefault="0078602D" w14:paraId="7D9EF017" w14:textId="68FAD88F">
          <w:pPr>
            <w:pStyle w:val="Inhopg1"/>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614">
            <w:r w:rsidRPr="001A5593">
              <w:rPr>
                <w:rStyle w:val="Hyperlink"/>
                <w:noProof/>
              </w:rPr>
              <w:t>10</w:t>
            </w:r>
            <w:r>
              <w:rPr>
                <w:rFonts w:asciiTheme="minorHAnsi" w:hAnsiTheme="minorHAnsi" w:eastAsiaTheme="minorEastAsia" w:cstheme="minorBidi"/>
                <w:noProof/>
                <w:kern w:val="2"/>
                <w:sz w:val="24"/>
                <w14:ligatures w14:val="standardContextual"/>
              </w:rPr>
              <w:tab/>
            </w:r>
            <w:r w:rsidRPr="001A5593">
              <w:rPr>
                <w:rStyle w:val="Hyperlink"/>
                <w:noProof/>
              </w:rPr>
              <w:t>Bijlage 2 Lesgevendenvragenlijst</w:t>
            </w:r>
            <w:r>
              <w:rPr>
                <w:noProof/>
                <w:webHidden/>
              </w:rPr>
              <w:tab/>
            </w:r>
            <w:r>
              <w:rPr>
                <w:noProof/>
                <w:webHidden/>
              </w:rPr>
              <w:fldChar w:fldCharType="begin"/>
            </w:r>
            <w:r>
              <w:rPr>
                <w:noProof/>
                <w:webHidden/>
              </w:rPr>
              <w:instrText xml:space="preserve"> PAGEREF _Toc203573614 \h </w:instrText>
            </w:r>
            <w:r>
              <w:rPr>
                <w:noProof/>
                <w:webHidden/>
              </w:rPr>
            </w:r>
            <w:r>
              <w:rPr>
                <w:noProof/>
                <w:webHidden/>
              </w:rPr>
              <w:fldChar w:fldCharType="separate"/>
            </w:r>
            <w:r>
              <w:rPr>
                <w:noProof/>
                <w:webHidden/>
              </w:rPr>
              <w:t>128</w:t>
            </w:r>
            <w:r>
              <w:rPr>
                <w:noProof/>
                <w:webHidden/>
              </w:rPr>
              <w:fldChar w:fldCharType="end"/>
            </w:r>
          </w:hyperlink>
        </w:p>
        <w:p w:rsidR="0078602D" w:rsidRDefault="0078602D" w14:paraId="556D8FF9" w14:textId="7355AAE5">
          <w:pPr>
            <w:pStyle w:val="Inhopg1"/>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615">
            <w:r w:rsidRPr="001A5593">
              <w:rPr>
                <w:rStyle w:val="Hyperlink"/>
                <w:noProof/>
              </w:rPr>
              <w:t>11</w:t>
            </w:r>
            <w:r>
              <w:rPr>
                <w:rFonts w:asciiTheme="minorHAnsi" w:hAnsiTheme="minorHAnsi" w:eastAsiaTheme="minorEastAsia" w:cstheme="minorBidi"/>
                <w:noProof/>
                <w:kern w:val="2"/>
                <w:sz w:val="24"/>
                <w14:ligatures w14:val="standardContextual"/>
              </w:rPr>
              <w:tab/>
            </w:r>
            <w:r w:rsidRPr="001A5593">
              <w:rPr>
                <w:rStyle w:val="Hyperlink"/>
                <w:noProof/>
              </w:rPr>
              <w:t>Bijlage 3 Monitorgegevens STO</w:t>
            </w:r>
            <w:r>
              <w:rPr>
                <w:noProof/>
                <w:webHidden/>
              </w:rPr>
              <w:tab/>
            </w:r>
            <w:r>
              <w:rPr>
                <w:noProof/>
                <w:webHidden/>
              </w:rPr>
              <w:fldChar w:fldCharType="begin"/>
            </w:r>
            <w:r>
              <w:rPr>
                <w:noProof/>
                <w:webHidden/>
              </w:rPr>
              <w:instrText xml:space="preserve"> PAGEREF _Toc203573615 \h </w:instrText>
            </w:r>
            <w:r>
              <w:rPr>
                <w:noProof/>
                <w:webHidden/>
              </w:rPr>
            </w:r>
            <w:r>
              <w:rPr>
                <w:noProof/>
                <w:webHidden/>
              </w:rPr>
              <w:fldChar w:fldCharType="separate"/>
            </w:r>
            <w:r>
              <w:rPr>
                <w:noProof/>
                <w:webHidden/>
              </w:rPr>
              <w:t>129</w:t>
            </w:r>
            <w:r>
              <w:rPr>
                <w:noProof/>
                <w:webHidden/>
              </w:rPr>
              <w:fldChar w:fldCharType="end"/>
            </w:r>
          </w:hyperlink>
        </w:p>
        <w:p w:rsidR="0078602D" w:rsidRDefault="0078602D" w14:paraId="673939C4" w14:textId="5FA439C2">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616">
            <w:r w:rsidRPr="001A5593">
              <w:rPr>
                <w:rStyle w:val="Hyperlink"/>
                <w:noProof/>
              </w:rPr>
              <w:t>11.1</w:t>
            </w:r>
            <w:r>
              <w:rPr>
                <w:rFonts w:asciiTheme="minorHAnsi" w:hAnsiTheme="minorHAnsi" w:eastAsiaTheme="minorEastAsia" w:cstheme="minorBidi"/>
                <w:noProof/>
                <w:kern w:val="2"/>
                <w:sz w:val="24"/>
                <w14:ligatures w14:val="standardContextual"/>
              </w:rPr>
              <w:tab/>
            </w:r>
            <w:r w:rsidRPr="001A5593">
              <w:rPr>
                <w:rStyle w:val="Hyperlink"/>
                <w:noProof/>
              </w:rPr>
              <w:t>Ontwikkelingen leerlingenaantallen bovenbouw voortgezet onderwijs sinds schooljaar 2015/2016</w:t>
            </w:r>
            <w:r>
              <w:rPr>
                <w:noProof/>
                <w:webHidden/>
              </w:rPr>
              <w:tab/>
            </w:r>
            <w:r>
              <w:rPr>
                <w:noProof/>
                <w:webHidden/>
              </w:rPr>
              <w:fldChar w:fldCharType="begin"/>
            </w:r>
            <w:r>
              <w:rPr>
                <w:noProof/>
                <w:webHidden/>
              </w:rPr>
              <w:instrText xml:space="preserve"> PAGEREF _Toc203573616 \h </w:instrText>
            </w:r>
            <w:r>
              <w:rPr>
                <w:noProof/>
                <w:webHidden/>
              </w:rPr>
            </w:r>
            <w:r>
              <w:rPr>
                <w:noProof/>
                <w:webHidden/>
              </w:rPr>
              <w:fldChar w:fldCharType="separate"/>
            </w:r>
            <w:r>
              <w:rPr>
                <w:noProof/>
                <w:webHidden/>
              </w:rPr>
              <w:t>129</w:t>
            </w:r>
            <w:r>
              <w:rPr>
                <w:noProof/>
                <w:webHidden/>
              </w:rPr>
              <w:fldChar w:fldCharType="end"/>
            </w:r>
          </w:hyperlink>
        </w:p>
        <w:p w:rsidR="0078602D" w:rsidRDefault="0078602D" w14:paraId="196A0D24" w14:textId="1426F6C4">
          <w:pPr>
            <w:pStyle w:val="Inhopg3"/>
            <w:tabs>
              <w:tab w:val="left" w:pos="1985"/>
              <w:tab w:val="right" w:leader="dot" w:pos="9350"/>
            </w:tabs>
            <w:rPr>
              <w:rFonts w:asciiTheme="minorHAnsi" w:hAnsiTheme="minorHAnsi" w:eastAsiaTheme="minorEastAsia" w:cstheme="minorBidi"/>
              <w:noProof/>
              <w:kern w:val="2"/>
              <w:sz w:val="24"/>
              <w14:ligatures w14:val="standardContextual"/>
            </w:rPr>
          </w:pPr>
          <w:hyperlink w:history="1" w:anchor="_Toc203573617">
            <w:r w:rsidRPr="001A5593">
              <w:rPr>
                <w:rStyle w:val="Hyperlink"/>
                <w:noProof/>
              </w:rPr>
              <w:t>11.1.1</w:t>
            </w:r>
            <w:r>
              <w:rPr>
                <w:rFonts w:asciiTheme="minorHAnsi" w:hAnsiTheme="minorHAnsi" w:eastAsiaTheme="minorEastAsia" w:cstheme="minorBidi"/>
                <w:noProof/>
                <w:kern w:val="2"/>
                <w:sz w:val="24"/>
                <w14:ligatures w14:val="standardContextual"/>
              </w:rPr>
              <w:tab/>
            </w:r>
            <w:r w:rsidRPr="001A5593">
              <w:rPr>
                <w:rStyle w:val="Hyperlink"/>
                <w:noProof/>
              </w:rPr>
              <w:t>Leerlingenaantallen van beroepsgerichte leerwegen per profiel</w:t>
            </w:r>
            <w:r>
              <w:rPr>
                <w:noProof/>
                <w:webHidden/>
              </w:rPr>
              <w:tab/>
            </w:r>
            <w:r>
              <w:rPr>
                <w:noProof/>
                <w:webHidden/>
              </w:rPr>
              <w:fldChar w:fldCharType="begin"/>
            </w:r>
            <w:r>
              <w:rPr>
                <w:noProof/>
                <w:webHidden/>
              </w:rPr>
              <w:instrText xml:space="preserve"> PAGEREF _Toc203573617 \h </w:instrText>
            </w:r>
            <w:r>
              <w:rPr>
                <w:noProof/>
                <w:webHidden/>
              </w:rPr>
            </w:r>
            <w:r>
              <w:rPr>
                <w:noProof/>
                <w:webHidden/>
              </w:rPr>
              <w:fldChar w:fldCharType="separate"/>
            </w:r>
            <w:r>
              <w:rPr>
                <w:noProof/>
                <w:webHidden/>
              </w:rPr>
              <w:t>130</w:t>
            </w:r>
            <w:r>
              <w:rPr>
                <w:noProof/>
                <w:webHidden/>
              </w:rPr>
              <w:fldChar w:fldCharType="end"/>
            </w:r>
          </w:hyperlink>
        </w:p>
        <w:p w:rsidR="0078602D" w:rsidRDefault="0078602D" w14:paraId="1486D800" w14:textId="62F693DC">
          <w:pPr>
            <w:pStyle w:val="Inhopg3"/>
            <w:tabs>
              <w:tab w:val="left" w:pos="1985"/>
              <w:tab w:val="right" w:leader="dot" w:pos="9350"/>
            </w:tabs>
            <w:rPr>
              <w:rFonts w:asciiTheme="minorHAnsi" w:hAnsiTheme="minorHAnsi" w:eastAsiaTheme="minorEastAsia" w:cstheme="minorBidi"/>
              <w:noProof/>
              <w:kern w:val="2"/>
              <w:sz w:val="24"/>
              <w14:ligatures w14:val="standardContextual"/>
            </w:rPr>
          </w:pPr>
          <w:hyperlink w:history="1" w:anchor="_Toc203573618">
            <w:r w:rsidRPr="001A5593">
              <w:rPr>
                <w:rStyle w:val="Hyperlink"/>
                <w:noProof/>
              </w:rPr>
              <w:t>11.1.2</w:t>
            </w:r>
            <w:r>
              <w:rPr>
                <w:rFonts w:asciiTheme="minorHAnsi" w:hAnsiTheme="minorHAnsi" w:eastAsiaTheme="minorEastAsia" w:cstheme="minorBidi"/>
                <w:noProof/>
                <w:kern w:val="2"/>
                <w:sz w:val="24"/>
                <w14:ligatures w14:val="standardContextual"/>
              </w:rPr>
              <w:tab/>
            </w:r>
            <w:r w:rsidRPr="001A5593">
              <w:rPr>
                <w:rStyle w:val="Hyperlink"/>
                <w:noProof/>
              </w:rPr>
              <w:t>Ontwikkelingen in de theoretische leerweg</w:t>
            </w:r>
            <w:r>
              <w:rPr>
                <w:noProof/>
                <w:webHidden/>
              </w:rPr>
              <w:tab/>
            </w:r>
            <w:r>
              <w:rPr>
                <w:noProof/>
                <w:webHidden/>
              </w:rPr>
              <w:fldChar w:fldCharType="begin"/>
            </w:r>
            <w:r>
              <w:rPr>
                <w:noProof/>
                <w:webHidden/>
              </w:rPr>
              <w:instrText xml:space="preserve"> PAGEREF _Toc203573618 \h </w:instrText>
            </w:r>
            <w:r>
              <w:rPr>
                <w:noProof/>
                <w:webHidden/>
              </w:rPr>
            </w:r>
            <w:r>
              <w:rPr>
                <w:noProof/>
                <w:webHidden/>
              </w:rPr>
              <w:fldChar w:fldCharType="separate"/>
            </w:r>
            <w:r>
              <w:rPr>
                <w:noProof/>
                <w:webHidden/>
              </w:rPr>
              <w:t>132</w:t>
            </w:r>
            <w:r>
              <w:rPr>
                <w:noProof/>
                <w:webHidden/>
              </w:rPr>
              <w:fldChar w:fldCharType="end"/>
            </w:r>
          </w:hyperlink>
        </w:p>
        <w:p w:rsidR="0078602D" w:rsidRDefault="0078602D" w14:paraId="14193B24" w14:textId="5B39E1BC">
          <w:pPr>
            <w:pStyle w:val="Inhopg3"/>
            <w:tabs>
              <w:tab w:val="left" w:pos="1985"/>
              <w:tab w:val="right" w:leader="dot" w:pos="9350"/>
            </w:tabs>
            <w:rPr>
              <w:rFonts w:asciiTheme="minorHAnsi" w:hAnsiTheme="minorHAnsi" w:eastAsiaTheme="minorEastAsia" w:cstheme="minorBidi"/>
              <w:noProof/>
              <w:kern w:val="2"/>
              <w:sz w:val="24"/>
              <w14:ligatures w14:val="standardContextual"/>
            </w:rPr>
          </w:pPr>
          <w:hyperlink w:history="1" w:anchor="_Toc203573619">
            <w:r w:rsidRPr="001A5593">
              <w:rPr>
                <w:rStyle w:val="Hyperlink"/>
                <w:noProof/>
              </w:rPr>
              <w:t>11.1.3</w:t>
            </w:r>
            <w:r>
              <w:rPr>
                <w:rFonts w:asciiTheme="minorHAnsi" w:hAnsiTheme="minorHAnsi" w:eastAsiaTheme="minorEastAsia" w:cstheme="minorBidi"/>
                <w:noProof/>
                <w:kern w:val="2"/>
                <w:sz w:val="24"/>
                <w14:ligatures w14:val="standardContextual"/>
              </w:rPr>
              <w:tab/>
            </w:r>
            <w:r w:rsidRPr="001A5593">
              <w:rPr>
                <w:rStyle w:val="Hyperlink"/>
                <w:noProof/>
              </w:rPr>
              <w:t>Aandeel en aantal techniekleerlingen per STO-regio</w:t>
            </w:r>
            <w:r>
              <w:rPr>
                <w:noProof/>
                <w:webHidden/>
              </w:rPr>
              <w:tab/>
            </w:r>
            <w:r>
              <w:rPr>
                <w:noProof/>
                <w:webHidden/>
              </w:rPr>
              <w:fldChar w:fldCharType="begin"/>
            </w:r>
            <w:r>
              <w:rPr>
                <w:noProof/>
                <w:webHidden/>
              </w:rPr>
              <w:instrText xml:space="preserve"> PAGEREF _Toc203573619 \h </w:instrText>
            </w:r>
            <w:r>
              <w:rPr>
                <w:noProof/>
                <w:webHidden/>
              </w:rPr>
            </w:r>
            <w:r>
              <w:rPr>
                <w:noProof/>
                <w:webHidden/>
              </w:rPr>
              <w:fldChar w:fldCharType="separate"/>
            </w:r>
            <w:r>
              <w:rPr>
                <w:noProof/>
                <w:webHidden/>
              </w:rPr>
              <w:t>132</w:t>
            </w:r>
            <w:r>
              <w:rPr>
                <w:noProof/>
                <w:webHidden/>
              </w:rPr>
              <w:fldChar w:fldCharType="end"/>
            </w:r>
          </w:hyperlink>
        </w:p>
        <w:p w:rsidR="0078602D" w:rsidRDefault="0078602D" w14:paraId="26FE7DF7" w14:textId="692EB510">
          <w:pPr>
            <w:pStyle w:val="Inhopg3"/>
            <w:tabs>
              <w:tab w:val="left" w:pos="1985"/>
              <w:tab w:val="right" w:leader="dot" w:pos="9350"/>
            </w:tabs>
            <w:rPr>
              <w:rFonts w:asciiTheme="minorHAnsi" w:hAnsiTheme="minorHAnsi" w:eastAsiaTheme="minorEastAsia" w:cstheme="minorBidi"/>
              <w:noProof/>
              <w:kern w:val="2"/>
              <w:sz w:val="24"/>
              <w14:ligatures w14:val="standardContextual"/>
            </w:rPr>
          </w:pPr>
          <w:hyperlink w:history="1" w:anchor="_Toc203573620">
            <w:r w:rsidRPr="001A5593">
              <w:rPr>
                <w:rStyle w:val="Hyperlink"/>
                <w:noProof/>
              </w:rPr>
              <w:t>11.1.4</w:t>
            </w:r>
            <w:r>
              <w:rPr>
                <w:rFonts w:asciiTheme="minorHAnsi" w:hAnsiTheme="minorHAnsi" w:eastAsiaTheme="minorEastAsia" w:cstheme="minorBidi"/>
                <w:noProof/>
                <w:kern w:val="2"/>
                <w:sz w:val="24"/>
                <w14:ligatures w14:val="standardContextual"/>
              </w:rPr>
              <w:tab/>
            </w:r>
            <w:r w:rsidRPr="001A5593">
              <w:rPr>
                <w:rStyle w:val="Hyperlink"/>
                <w:noProof/>
              </w:rPr>
              <w:t>Ontwikkelingen in de basis- en kaderberoepsgerichte leerwegen</w:t>
            </w:r>
            <w:r>
              <w:rPr>
                <w:noProof/>
                <w:webHidden/>
              </w:rPr>
              <w:tab/>
            </w:r>
            <w:r>
              <w:rPr>
                <w:noProof/>
                <w:webHidden/>
              </w:rPr>
              <w:fldChar w:fldCharType="begin"/>
            </w:r>
            <w:r>
              <w:rPr>
                <w:noProof/>
                <w:webHidden/>
              </w:rPr>
              <w:instrText xml:space="preserve"> PAGEREF _Toc203573620 \h </w:instrText>
            </w:r>
            <w:r>
              <w:rPr>
                <w:noProof/>
                <w:webHidden/>
              </w:rPr>
            </w:r>
            <w:r>
              <w:rPr>
                <w:noProof/>
                <w:webHidden/>
              </w:rPr>
              <w:fldChar w:fldCharType="separate"/>
            </w:r>
            <w:r>
              <w:rPr>
                <w:noProof/>
                <w:webHidden/>
              </w:rPr>
              <w:t>133</w:t>
            </w:r>
            <w:r>
              <w:rPr>
                <w:noProof/>
                <w:webHidden/>
              </w:rPr>
              <w:fldChar w:fldCharType="end"/>
            </w:r>
          </w:hyperlink>
        </w:p>
        <w:p w:rsidR="0078602D" w:rsidRDefault="0078602D" w14:paraId="0C3334D1" w14:textId="432EFB7B">
          <w:pPr>
            <w:pStyle w:val="Inhopg3"/>
            <w:tabs>
              <w:tab w:val="left" w:pos="1985"/>
              <w:tab w:val="right" w:leader="dot" w:pos="9350"/>
            </w:tabs>
            <w:rPr>
              <w:rFonts w:asciiTheme="minorHAnsi" w:hAnsiTheme="minorHAnsi" w:eastAsiaTheme="minorEastAsia" w:cstheme="minorBidi"/>
              <w:noProof/>
              <w:kern w:val="2"/>
              <w:sz w:val="24"/>
              <w14:ligatures w14:val="standardContextual"/>
            </w:rPr>
          </w:pPr>
          <w:hyperlink w:history="1" w:anchor="_Toc203573621">
            <w:r w:rsidRPr="001A5593">
              <w:rPr>
                <w:rStyle w:val="Hyperlink"/>
                <w:noProof/>
              </w:rPr>
              <w:t>11.1.5</w:t>
            </w:r>
            <w:r>
              <w:rPr>
                <w:rFonts w:asciiTheme="minorHAnsi" w:hAnsiTheme="minorHAnsi" w:eastAsiaTheme="minorEastAsia" w:cstheme="minorBidi"/>
                <w:noProof/>
                <w:kern w:val="2"/>
                <w:sz w:val="24"/>
                <w14:ligatures w14:val="standardContextual"/>
              </w:rPr>
              <w:tab/>
            </w:r>
            <w:r w:rsidRPr="001A5593">
              <w:rPr>
                <w:rStyle w:val="Hyperlink"/>
                <w:noProof/>
              </w:rPr>
              <w:t>Samenvatting aantal derdejaarsleerlingen naar technische en niet-technische profielen</w:t>
            </w:r>
            <w:r>
              <w:rPr>
                <w:noProof/>
                <w:webHidden/>
              </w:rPr>
              <w:tab/>
            </w:r>
            <w:r>
              <w:rPr>
                <w:noProof/>
                <w:webHidden/>
              </w:rPr>
              <w:fldChar w:fldCharType="begin"/>
            </w:r>
            <w:r>
              <w:rPr>
                <w:noProof/>
                <w:webHidden/>
              </w:rPr>
              <w:instrText xml:space="preserve"> PAGEREF _Toc203573621 \h </w:instrText>
            </w:r>
            <w:r>
              <w:rPr>
                <w:noProof/>
                <w:webHidden/>
              </w:rPr>
            </w:r>
            <w:r>
              <w:rPr>
                <w:noProof/>
                <w:webHidden/>
              </w:rPr>
              <w:fldChar w:fldCharType="separate"/>
            </w:r>
            <w:r>
              <w:rPr>
                <w:noProof/>
                <w:webHidden/>
              </w:rPr>
              <w:t>135</w:t>
            </w:r>
            <w:r>
              <w:rPr>
                <w:noProof/>
                <w:webHidden/>
              </w:rPr>
              <w:fldChar w:fldCharType="end"/>
            </w:r>
          </w:hyperlink>
        </w:p>
        <w:p w:rsidR="0078602D" w:rsidRDefault="0078602D" w14:paraId="237DDF5D" w14:textId="18563874">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622">
            <w:r w:rsidRPr="001A5593">
              <w:rPr>
                <w:rStyle w:val="Hyperlink"/>
                <w:noProof/>
              </w:rPr>
              <w:t>11.2</w:t>
            </w:r>
            <w:r>
              <w:rPr>
                <w:rFonts w:asciiTheme="minorHAnsi" w:hAnsiTheme="minorHAnsi" w:eastAsiaTheme="minorEastAsia" w:cstheme="minorBidi"/>
                <w:noProof/>
                <w:kern w:val="2"/>
                <w:sz w:val="24"/>
                <w14:ligatures w14:val="standardContextual"/>
              </w:rPr>
              <w:tab/>
            </w:r>
            <w:r w:rsidRPr="001A5593">
              <w:rPr>
                <w:rStyle w:val="Hyperlink"/>
                <w:noProof/>
              </w:rPr>
              <w:t>Techniekleerlingen naar profiel, STO-regio en vestiging</w:t>
            </w:r>
            <w:r>
              <w:rPr>
                <w:noProof/>
                <w:webHidden/>
              </w:rPr>
              <w:tab/>
            </w:r>
            <w:r>
              <w:rPr>
                <w:noProof/>
                <w:webHidden/>
              </w:rPr>
              <w:fldChar w:fldCharType="begin"/>
            </w:r>
            <w:r>
              <w:rPr>
                <w:noProof/>
                <w:webHidden/>
              </w:rPr>
              <w:instrText xml:space="preserve"> PAGEREF _Toc203573622 \h </w:instrText>
            </w:r>
            <w:r>
              <w:rPr>
                <w:noProof/>
                <w:webHidden/>
              </w:rPr>
            </w:r>
            <w:r>
              <w:rPr>
                <w:noProof/>
                <w:webHidden/>
              </w:rPr>
              <w:fldChar w:fldCharType="separate"/>
            </w:r>
            <w:r>
              <w:rPr>
                <w:noProof/>
                <w:webHidden/>
              </w:rPr>
              <w:t>135</w:t>
            </w:r>
            <w:r>
              <w:rPr>
                <w:noProof/>
                <w:webHidden/>
              </w:rPr>
              <w:fldChar w:fldCharType="end"/>
            </w:r>
          </w:hyperlink>
        </w:p>
        <w:p w:rsidR="0078602D" w:rsidRDefault="0078602D" w14:paraId="2EEEB76C" w14:textId="2C65A931">
          <w:pPr>
            <w:pStyle w:val="Inhopg3"/>
            <w:tabs>
              <w:tab w:val="left" w:pos="1985"/>
              <w:tab w:val="right" w:leader="dot" w:pos="9350"/>
            </w:tabs>
            <w:rPr>
              <w:rFonts w:asciiTheme="minorHAnsi" w:hAnsiTheme="minorHAnsi" w:eastAsiaTheme="minorEastAsia" w:cstheme="minorBidi"/>
              <w:noProof/>
              <w:kern w:val="2"/>
              <w:sz w:val="24"/>
              <w14:ligatures w14:val="standardContextual"/>
            </w:rPr>
          </w:pPr>
          <w:hyperlink w:history="1" w:anchor="_Toc203573623">
            <w:r w:rsidRPr="001A5593">
              <w:rPr>
                <w:rStyle w:val="Hyperlink"/>
                <w:noProof/>
              </w:rPr>
              <w:t>11.2.1</w:t>
            </w:r>
            <w:r>
              <w:rPr>
                <w:rFonts w:asciiTheme="minorHAnsi" w:hAnsiTheme="minorHAnsi" w:eastAsiaTheme="minorEastAsia" w:cstheme="minorBidi"/>
                <w:noProof/>
                <w:kern w:val="2"/>
                <w:sz w:val="24"/>
                <w14:ligatures w14:val="standardContextual"/>
              </w:rPr>
              <w:tab/>
            </w:r>
            <w:r w:rsidRPr="001A5593">
              <w:rPr>
                <w:rStyle w:val="Hyperlink"/>
                <w:noProof/>
              </w:rPr>
              <w:t>Aandeel leerlingen per vestiging</w:t>
            </w:r>
            <w:r>
              <w:rPr>
                <w:noProof/>
                <w:webHidden/>
              </w:rPr>
              <w:tab/>
            </w:r>
            <w:r>
              <w:rPr>
                <w:noProof/>
                <w:webHidden/>
              </w:rPr>
              <w:fldChar w:fldCharType="begin"/>
            </w:r>
            <w:r>
              <w:rPr>
                <w:noProof/>
                <w:webHidden/>
              </w:rPr>
              <w:instrText xml:space="preserve"> PAGEREF _Toc203573623 \h </w:instrText>
            </w:r>
            <w:r>
              <w:rPr>
                <w:noProof/>
                <w:webHidden/>
              </w:rPr>
            </w:r>
            <w:r>
              <w:rPr>
                <w:noProof/>
                <w:webHidden/>
              </w:rPr>
              <w:fldChar w:fldCharType="separate"/>
            </w:r>
            <w:r>
              <w:rPr>
                <w:noProof/>
                <w:webHidden/>
              </w:rPr>
              <w:t>135</w:t>
            </w:r>
            <w:r>
              <w:rPr>
                <w:noProof/>
                <w:webHidden/>
              </w:rPr>
              <w:fldChar w:fldCharType="end"/>
            </w:r>
          </w:hyperlink>
        </w:p>
        <w:p w:rsidR="0078602D" w:rsidRDefault="0078602D" w14:paraId="16FF6C66" w14:textId="20CD60B3">
          <w:pPr>
            <w:pStyle w:val="Inhopg3"/>
            <w:tabs>
              <w:tab w:val="left" w:pos="1985"/>
              <w:tab w:val="right" w:leader="dot" w:pos="9350"/>
            </w:tabs>
            <w:rPr>
              <w:rFonts w:asciiTheme="minorHAnsi" w:hAnsiTheme="minorHAnsi" w:eastAsiaTheme="minorEastAsia" w:cstheme="minorBidi"/>
              <w:noProof/>
              <w:kern w:val="2"/>
              <w:sz w:val="24"/>
              <w14:ligatures w14:val="standardContextual"/>
            </w:rPr>
          </w:pPr>
          <w:hyperlink w:history="1" w:anchor="_Toc203573624">
            <w:r w:rsidRPr="001A5593">
              <w:rPr>
                <w:rStyle w:val="Hyperlink"/>
                <w:noProof/>
              </w:rPr>
              <w:t>11.2.2</w:t>
            </w:r>
            <w:r>
              <w:rPr>
                <w:rFonts w:asciiTheme="minorHAnsi" w:hAnsiTheme="minorHAnsi" w:eastAsiaTheme="minorEastAsia" w:cstheme="minorBidi"/>
                <w:noProof/>
                <w:kern w:val="2"/>
                <w:sz w:val="24"/>
                <w14:ligatures w14:val="standardContextual"/>
              </w:rPr>
              <w:tab/>
            </w:r>
            <w:r w:rsidRPr="001A5593">
              <w:rPr>
                <w:rStyle w:val="Hyperlink"/>
                <w:noProof/>
              </w:rPr>
              <w:t>Verschillen per STO-regio naar aantallen vestigingen per profiel</w:t>
            </w:r>
            <w:r>
              <w:rPr>
                <w:noProof/>
                <w:webHidden/>
              </w:rPr>
              <w:tab/>
            </w:r>
            <w:r>
              <w:rPr>
                <w:noProof/>
                <w:webHidden/>
              </w:rPr>
              <w:fldChar w:fldCharType="begin"/>
            </w:r>
            <w:r>
              <w:rPr>
                <w:noProof/>
                <w:webHidden/>
              </w:rPr>
              <w:instrText xml:space="preserve"> PAGEREF _Toc203573624 \h </w:instrText>
            </w:r>
            <w:r>
              <w:rPr>
                <w:noProof/>
                <w:webHidden/>
              </w:rPr>
            </w:r>
            <w:r>
              <w:rPr>
                <w:noProof/>
                <w:webHidden/>
              </w:rPr>
              <w:fldChar w:fldCharType="separate"/>
            </w:r>
            <w:r>
              <w:rPr>
                <w:noProof/>
                <w:webHidden/>
              </w:rPr>
              <w:t>137</w:t>
            </w:r>
            <w:r>
              <w:rPr>
                <w:noProof/>
                <w:webHidden/>
              </w:rPr>
              <w:fldChar w:fldCharType="end"/>
            </w:r>
          </w:hyperlink>
        </w:p>
        <w:p w:rsidR="0078602D" w:rsidRDefault="0078602D" w14:paraId="5FEE4771" w14:textId="312D7F52">
          <w:pPr>
            <w:pStyle w:val="Inhopg3"/>
            <w:tabs>
              <w:tab w:val="left" w:pos="1985"/>
              <w:tab w:val="right" w:leader="dot" w:pos="9350"/>
            </w:tabs>
            <w:rPr>
              <w:rFonts w:asciiTheme="minorHAnsi" w:hAnsiTheme="minorHAnsi" w:eastAsiaTheme="minorEastAsia" w:cstheme="minorBidi"/>
              <w:noProof/>
              <w:kern w:val="2"/>
              <w:sz w:val="24"/>
              <w14:ligatures w14:val="standardContextual"/>
            </w:rPr>
          </w:pPr>
          <w:hyperlink w:history="1" w:anchor="_Toc203573625">
            <w:r w:rsidRPr="001A5593">
              <w:rPr>
                <w:rStyle w:val="Hyperlink"/>
                <w:noProof/>
              </w:rPr>
              <w:t>11.2.3</w:t>
            </w:r>
            <w:r>
              <w:rPr>
                <w:rFonts w:asciiTheme="minorHAnsi" w:hAnsiTheme="minorHAnsi" w:eastAsiaTheme="minorEastAsia" w:cstheme="minorBidi"/>
                <w:noProof/>
                <w:kern w:val="2"/>
                <w:sz w:val="24"/>
                <w14:ligatures w14:val="standardContextual"/>
              </w:rPr>
              <w:tab/>
            </w:r>
            <w:r w:rsidRPr="001A5593">
              <w:rPr>
                <w:rStyle w:val="Hyperlink"/>
                <w:noProof/>
              </w:rPr>
              <w:t>Verandering in leerlingenaantallen: verschillen tussen de bl en kl</w:t>
            </w:r>
            <w:r>
              <w:rPr>
                <w:noProof/>
                <w:webHidden/>
              </w:rPr>
              <w:tab/>
            </w:r>
            <w:r>
              <w:rPr>
                <w:noProof/>
                <w:webHidden/>
              </w:rPr>
              <w:fldChar w:fldCharType="begin"/>
            </w:r>
            <w:r>
              <w:rPr>
                <w:noProof/>
                <w:webHidden/>
              </w:rPr>
              <w:instrText xml:space="preserve"> PAGEREF _Toc203573625 \h </w:instrText>
            </w:r>
            <w:r>
              <w:rPr>
                <w:noProof/>
                <w:webHidden/>
              </w:rPr>
            </w:r>
            <w:r>
              <w:rPr>
                <w:noProof/>
                <w:webHidden/>
              </w:rPr>
              <w:fldChar w:fldCharType="separate"/>
            </w:r>
            <w:r>
              <w:rPr>
                <w:noProof/>
                <w:webHidden/>
              </w:rPr>
              <w:t>138</w:t>
            </w:r>
            <w:r>
              <w:rPr>
                <w:noProof/>
                <w:webHidden/>
              </w:rPr>
              <w:fldChar w:fldCharType="end"/>
            </w:r>
          </w:hyperlink>
        </w:p>
        <w:p w:rsidR="0078602D" w:rsidRDefault="0078602D" w14:paraId="53379157" w14:textId="58DB1871">
          <w:pPr>
            <w:pStyle w:val="Inhopg3"/>
            <w:tabs>
              <w:tab w:val="left" w:pos="1985"/>
              <w:tab w:val="right" w:leader="dot" w:pos="9350"/>
            </w:tabs>
            <w:rPr>
              <w:rFonts w:asciiTheme="minorHAnsi" w:hAnsiTheme="minorHAnsi" w:eastAsiaTheme="minorEastAsia" w:cstheme="minorBidi"/>
              <w:noProof/>
              <w:kern w:val="2"/>
              <w:sz w:val="24"/>
              <w14:ligatures w14:val="standardContextual"/>
            </w:rPr>
          </w:pPr>
          <w:hyperlink w:history="1" w:anchor="_Toc203573626">
            <w:r w:rsidRPr="001A5593">
              <w:rPr>
                <w:rStyle w:val="Hyperlink"/>
                <w:noProof/>
              </w:rPr>
              <w:t>11.2.4</w:t>
            </w:r>
            <w:r>
              <w:rPr>
                <w:rFonts w:asciiTheme="minorHAnsi" w:hAnsiTheme="minorHAnsi" w:eastAsiaTheme="minorEastAsia" w:cstheme="minorBidi"/>
                <w:noProof/>
                <w:kern w:val="2"/>
                <w:sz w:val="24"/>
                <w14:ligatures w14:val="standardContextual"/>
              </w:rPr>
              <w:tab/>
            </w:r>
            <w:r w:rsidRPr="001A5593">
              <w:rPr>
                <w:rStyle w:val="Hyperlink"/>
                <w:noProof/>
              </w:rPr>
              <w:t>Samenvatting aantal techniekleerlingen naar profiel, STO-regio’s en vestigingen</w:t>
            </w:r>
            <w:r>
              <w:rPr>
                <w:noProof/>
                <w:webHidden/>
              </w:rPr>
              <w:tab/>
            </w:r>
            <w:r>
              <w:rPr>
                <w:noProof/>
                <w:webHidden/>
              </w:rPr>
              <w:fldChar w:fldCharType="begin"/>
            </w:r>
            <w:r>
              <w:rPr>
                <w:noProof/>
                <w:webHidden/>
              </w:rPr>
              <w:instrText xml:space="preserve"> PAGEREF _Toc203573626 \h </w:instrText>
            </w:r>
            <w:r>
              <w:rPr>
                <w:noProof/>
                <w:webHidden/>
              </w:rPr>
            </w:r>
            <w:r>
              <w:rPr>
                <w:noProof/>
                <w:webHidden/>
              </w:rPr>
              <w:fldChar w:fldCharType="separate"/>
            </w:r>
            <w:r>
              <w:rPr>
                <w:noProof/>
                <w:webHidden/>
              </w:rPr>
              <w:t>139</w:t>
            </w:r>
            <w:r>
              <w:rPr>
                <w:noProof/>
                <w:webHidden/>
              </w:rPr>
              <w:fldChar w:fldCharType="end"/>
            </w:r>
          </w:hyperlink>
        </w:p>
        <w:p w:rsidR="0078602D" w:rsidRDefault="0078602D" w14:paraId="15CFA7E6" w14:textId="35CF19A3">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627">
            <w:r w:rsidRPr="001A5593">
              <w:rPr>
                <w:rStyle w:val="Hyperlink"/>
                <w:noProof/>
              </w:rPr>
              <w:t>11.3</w:t>
            </w:r>
            <w:r>
              <w:rPr>
                <w:rFonts w:asciiTheme="minorHAnsi" w:hAnsiTheme="minorHAnsi" w:eastAsiaTheme="minorEastAsia" w:cstheme="minorBidi"/>
                <w:noProof/>
                <w:kern w:val="2"/>
                <w:sz w:val="24"/>
                <w14:ligatures w14:val="standardContextual"/>
              </w:rPr>
              <w:tab/>
            </w:r>
            <w:r w:rsidRPr="001A5593">
              <w:rPr>
                <w:rStyle w:val="Hyperlink"/>
                <w:noProof/>
              </w:rPr>
              <w:t>Dekking en bereikbaarheid van het aanbod</w:t>
            </w:r>
            <w:r>
              <w:rPr>
                <w:noProof/>
                <w:webHidden/>
              </w:rPr>
              <w:tab/>
            </w:r>
            <w:r>
              <w:rPr>
                <w:noProof/>
                <w:webHidden/>
              </w:rPr>
              <w:fldChar w:fldCharType="begin"/>
            </w:r>
            <w:r>
              <w:rPr>
                <w:noProof/>
                <w:webHidden/>
              </w:rPr>
              <w:instrText xml:space="preserve"> PAGEREF _Toc203573627 \h </w:instrText>
            </w:r>
            <w:r>
              <w:rPr>
                <w:noProof/>
                <w:webHidden/>
              </w:rPr>
            </w:r>
            <w:r>
              <w:rPr>
                <w:noProof/>
                <w:webHidden/>
              </w:rPr>
              <w:fldChar w:fldCharType="separate"/>
            </w:r>
            <w:r>
              <w:rPr>
                <w:noProof/>
                <w:webHidden/>
              </w:rPr>
              <w:t>140</w:t>
            </w:r>
            <w:r>
              <w:rPr>
                <w:noProof/>
                <w:webHidden/>
              </w:rPr>
              <w:fldChar w:fldCharType="end"/>
            </w:r>
          </w:hyperlink>
        </w:p>
        <w:p w:rsidR="0078602D" w:rsidRDefault="0078602D" w14:paraId="5A68EE9B" w14:textId="5D2AD17B">
          <w:pPr>
            <w:pStyle w:val="Inhopg3"/>
            <w:tabs>
              <w:tab w:val="left" w:pos="1985"/>
              <w:tab w:val="right" w:leader="dot" w:pos="9350"/>
            </w:tabs>
            <w:rPr>
              <w:rFonts w:asciiTheme="minorHAnsi" w:hAnsiTheme="minorHAnsi" w:eastAsiaTheme="minorEastAsia" w:cstheme="minorBidi"/>
              <w:noProof/>
              <w:kern w:val="2"/>
              <w:sz w:val="24"/>
              <w14:ligatures w14:val="standardContextual"/>
            </w:rPr>
          </w:pPr>
          <w:hyperlink w:history="1" w:anchor="_Toc203573628">
            <w:r w:rsidRPr="001A5593">
              <w:rPr>
                <w:rStyle w:val="Hyperlink"/>
                <w:noProof/>
              </w:rPr>
              <w:t>11.3.1</w:t>
            </w:r>
            <w:r>
              <w:rPr>
                <w:rFonts w:asciiTheme="minorHAnsi" w:hAnsiTheme="minorHAnsi" w:eastAsiaTheme="minorEastAsia" w:cstheme="minorBidi"/>
                <w:noProof/>
                <w:kern w:val="2"/>
                <w:sz w:val="24"/>
                <w14:ligatures w14:val="standardContextual"/>
              </w:rPr>
              <w:tab/>
            </w:r>
            <w:r w:rsidRPr="001A5593">
              <w:rPr>
                <w:rStyle w:val="Hyperlink"/>
                <w:noProof/>
              </w:rPr>
              <w:t>Landelijk beeld</w:t>
            </w:r>
            <w:r>
              <w:rPr>
                <w:noProof/>
                <w:webHidden/>
              </w:rPr>
              <w:tab/>
            </w:r>
            <w:r>
              <w:rPr>
                <w:noProof/>
                <w:webHidden/>
              </w:rPr>
              <w:fldChar w:fldCharType="begin"/>
            </w:r>
            <w:r>
              <w:rPr>
                <w:noProof/>
                <w:webHidden/>
              </w:rPr>
              <w:instrText xml:space="preserve"> PAGEREF _Toc203573628 \h </w:instrText>
            </w:r>
            <w:r>
              <w:rPr>
                <w:noProof/>
                <w:webHidden/>
              </w:rPr>
            </w:r>
            <w:r>
              <w:rPr>
                <w:noProof/>
                <w:webHidden/>
              </w:rPr>
              <w:fldChar w:fldCharType="separate"/>
            </w:r>
            <w:r>
              <w:rPr>
                <w:noProof/>
                <w:webHidden/>
              </w:rPr>
              <w:t>140</w:t>
            </w:r>
            <w:r>
              <w:rPr>
                <w:noProof/>
                <w:webHidden/>
              </w:rPr>
              <w:fldChar w:fldCharType="end"/>
            </w:r>
          </w:hyperlink>
        </w:p>
        <w:p w:rsidR="0078602D" w:rsidRDefault="0078602D" w14:paraId="0696982A" w14:textId="24D2022D">
          <w:pPr>
            <w:pStyle w:val="Inhopg3"/>
            <w:tabs>
              <w:tab w:val="left" w:pos="1985"/>
              <w:tab w:val="right" w:leader="dot" w:pos="9350"/>
            </w:tabs>
            <w:rPr>
              <w:rFonts w:asciiTheme="minorHAnsi" w:hAnsiTheme="minorHAnsi" w:eastAsiaTheme="minorEastAsia" w:cstheme="minorBidi"/>
              <w:noProof/>
              <w:kern w:val="2"/>
              <w:sz w:val="24"/>
              <w14:ligatures w14:val="standardContextual"/>
            </w:rPr>
          </w:pPr>
          <w:hyperlink w:history="1" w:anchor="_Toc203573629">
            <w:r w:rsidRPr="001A5593">
              <w:rPr>
                <w:rStyle w:val="Hyperlink"/>
                <w:noProof/>
              </w:rPr>
              <w:t>11.3.2</w:t>
            </w:r>
            <w:r>
              <w:rPr>
                <w:rFonts w:asciiTheme="minorHAnsi" w:hAnsiTheme="minorHAnsi" w:eastAsiaTheme="minorEastAsia" w:cstheme="minorBidi"/>
                <w:noProof/>
                <w:kern w:val="2"/>
                <w:sz w:val="24"/>
                <w14:ligatures w14:val="standardContextual"/>
              </w:rPr>
              <w:tab/>
            </w:r>
            <w:r w:rsidRPr="001A5593">
              <w:rPr>
                <w:rStyle w:val="Hyperlink"/>
                <w:noProof/>
              </w:rPr>
              <w:t>Hoe dekkend zijn STO-regio’s?</w:t>
            </w:r>
            <w:r>
              <w:rPr>
                <w:noProof/>
                <w:webHidden/>
              </w:rPr>
              <w:tab/>
            </w:r>
            <w:r>
              <w:rPr>
                <w:noProof/>
                <w:webHidden/>
              </w:rPr>
              <w:fldChar w:fldCharType="begin"/>
            </w:r>
            <w:r>
              <w:rPr>
                <w:noProof/>
                <w:webHidden/>
              </w:rPr>
              <w:instrText xml:space="preserve"> PAGEREF _Toc203573629 \h </w:instrText>
            </w:r>
            <w:r>
              <w:rPr>
                <w:noProof/>
                <w:webHidden/>
              </w:rPr>
            </w:r>
            <w:r>
              <w:rPr>
                <w:noProof/>
                <w:webHidden/>
              </w:rPr>
              <w:fldChar w:fldCharType="separate"/>
            </w:r>
            <w:r>
              <w:rPr>
                <w:noProof/>
                <w:webHidden/>
              </w:rPr>
              <w:t>141</w:t>
            </w:r>
            <w:r>
              <w:rPr>
                <w:noProof/>
                <w:webHidden/>
              </w:rPr>
              <w:fldChar w:fldCharType="end"/>
            </w:r>
          </w:hyperlink>
        </w:p>
        <w:p w:rsidR="0078602D" w:rsidRDefault="0078602D" w14:paraId="5A582D4B" w14:textId="5BE394E6">
          <w:pPr>
            <w:pStyle w:val="Inhopg3"/>
            <w:tabs>
              <w:tab w:val="left" w:pos="1985"/>
              <w:tab w:val="right" w:leader="dot" w:pos="9350"/>
            </w:tabs>
            <w:rPr>
              <w:rFonts w:asciiTheme="minorHAnsi" w:hAnsiTheme="minorHAnsi" w:eastAsiaTheme="minorEastAsia" w:cstheme="minorBidi"/>
              <w:noProof/>
              <w:kern w:val="2"/>
              <w:sz w:val="24"/>
              <w14:ligatures w14:val="standardContextual"/>
            </w:rPr>
          </w:pPr>
          <w:hyperlink w:history="1" w:anchor="_Toc203573630">
            <w:r w:rsidRPr="001A5593">
              <w:rPr>
                <w:rStyle w:val="Hyperlink"/>
                <w:noProof/>
              </w:rPr>
              <w:t>11.3.3</w:t>
            </w:r>
            <w:r>
              <w:rPr>
                <w:rFonts w:asciiTheme="minorHAnsi" w:hAnsiTheme="minorHAnsi" w:eastAsiaTheme="minorEastAsia" w:cstheme="minorBidi"/>
                <w:noProof/>
                <w:kern w:val="2"/>
                <w:sz w:val="24"/>
                <w14:ligatures w14:val="standardContextual"/>
              </w:rPr>
              <w:tab/>
            </w:r>
            <w:r w:rsidRPr="001A5593">
              <w:rPr>
                <w:rStyle w:val="Hyperlink"/>
                <w:noProof/>
              </w:rPr>
              <w:t>Techniekaanbod binnen 10 kilometer van huis</w:t>
            </w:r>
            <w:r>
              <w:rPr>
                <w:noProof/>
                <w:webHidden/>
              </w:rPr>
              <w:tab/>
            </w:r>
            <w:r>
              <w:rPr>
                <w:noProof/>
                <w:webHidden/>
              </w:rPr>
              <w:fldChar w:fldCharType="begin"/>
            </w:r>
            <w:r>
              <w:rPr>
                <w:noProof/>
                <w:webHidden/>
              </w:rPr>
              <w:instrText xml:space="preserve"> PAGEREF _Toc203573630 \h </w:instrText>
            </w:r>
            <w:r>
              <w:rPr>
                <w:noProof/>
                <w:webHidden/>
              </w:rPr>
            </w:r>
            <w:r>
              <w:rPr>
                <w:noProof/>
                <w:webHidden/>
              </w:rPr>
              <w:fldChar w:fldCharType="separate"/>
            </w:r>
            <w:r>
              <w:rPr>
                <w:noProof/>
                <w:webHidden/>
              </w:rPr>
              <w:t>142</w:t>
            </w:r>
            <w:r>
              <w:rPr>
                <w:noProof/>
                <w:webHidden/>
              </w:rPr>
              <w:fldChar w:fldCharType="end"/>
            </w:r>
          </w:hyperlink>
        </w:p>
        <w:p w:rsidR="0078602D" w:rsidRDefault="0078602D" w14:paraId="03CE6C45" w14:textId="1CB8AED9">
          <w:pPr>
            <w:pStyle w:val="Inhopg3"/>
            <w:tabs>
              <w:tab w:val="left" w:pos="1985"/>
              <w:tab w:val="right" w:leader="dot" w:pos="9350"/>
            </w:tabs>
            <w:rPr>
              <w:rFonts w:asciiTheme="minorHAnsi" w:hAnsiTheme="minorHAnsi" w:eastAsiaTheme="minorEastAsia" w:cstheme="minorBidi"/>
              <w:noProof/>
              <w:kern w:val="2"/>
              <w:sz w:val="24"/>
              <w14:ligatures w14:val="standardContextual"/>
            </w:rPr>
          </w:pPr>
          <w:hyperlink w:history="1" w:anchor="_Toc203573631">
            <w:r w:rsidRPr="001A5593">
              <w:rPr>
                <w:rStyle w:val="Hyperlink"/>
                <w:noProof/>
              </w:rPr>
              <w:t>11.3.4</w:t>
            </w:r>
            <w:r>
              <w:rPr>
                <w:rFonts w:asciiTheme="minorHAnsi" w:hAnsiTheme="minorHAnsi" w:eastAsiaTheme="minorEastAsia" w:cstheme="minorBidi"/>
                <w:noProof/>
                <w:kern w:val="2"/>
                <w:sz w:val="24"/>
                <w14:ligatures w14:val="standardContextual"/>
              </w:rPr>
              <w:tab/>
            </w:r>
            <w:r w:rsidRPr="001A5593">
              <w:rPr>
                <w:rStyle w:val="Hyperlink"/>
                <w:noProof/>
              </w:rPr>
              <w:t>Samenvatting dekking en bereikbaarheid van aanbod</w:t>
            </w:r>
            <w:r>
              <w:rPr>
                <w:noProof/>
                <w:webHidden/>
              </w:rPr>
              <w:tab/>
            </w:r>
            <w:r>
              <w:rPr>
                <w:noProof/>
                <w:webHidden/>
              </w:rPr>
              <w:fldChar w:fldCharType="begin"/>
            </w:r>
            <w:r>
              <w:rPr>
                <w:noProof/>
                <w:webHidden/>
              </w:rPr>
              <w:instrText xml:space="preserve"> PAGEREF _Toc203573631 \h </w:instrText>
            </w:r>
            <w:r>
              <w:rPr>
                <w:noProof/>
                <w:webHidden/>
              </w:rPr>
            </w:r>
            <w:r>
              <w:rPr>
                <w:noProof/>
                <w:webHidden/>
              </w:rPr>
              <w:fldChar w:fldCharType="separate"/>
            </w:r>
            <w:r>
              <w:rPr>
                <w:noProof/>
                <w:webHidden/>
              </w:rPr>
              <w:t>143</w:t>
            </w:r>
            <w:r>
              <w:rPr>
                <w:noProof/>
                <w:webHidden/>
              </w:rPr>
              <w:fldChar w:fldCharType="end"/>
            </w:r>
          </w:hyperlink>
        </w:p>
        <w:p w:rsidR="0078602D" w:rsidRDefault="0078602D" w14:paraId="211C3443" w14:textId="44B1FE5E">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632">
            <w:r w:rsidRPr="001A5593">
              <w:rPr>
                <w:rStyle w:val="Hyperlink"/>
                <w:noProof/>
              </w:rPr>
              <w:t>11.4</w:t>
            </w:r>
            <w:r>
              <w:rPr>
                <w:rFonts w:asciiTheme="minorHAnsi" w:hAnsiTheme="minorHAnsi" w:eastAsiaTheme="minorEastAsia" w:cstheme="minorBidi"/>
                <w:noProof/>
                <w:kern w:val="2"/>
                <w:sz w:val="24"/>
                <w14:ligatures w14:val="standardContextual"/>
              </w:rPr>
              <w:tab/>
            </w:r>
            <w:r w:rsidRPr="001A5593">
              <w:rPr>
                <w:rStyle w:val="Hyperlink"/>
                <w:noProof/>
              </w:rPr>
              <w:t>Keuzevakken</w:t>
            </w:r>
            <w:r>
              <w:rPr>
                <w:noProof/>
                <w:webHidden/>
              </w:rPr>
              <w:tab/>
            </w:r>
            <w:r>
              <w:rPr>
                <w:noProof/>
                <w:webHidden/>
              </w:rPr>
              <w:fldChar w:fldCharType="begin"/>
            </w:r>
            <w:r>
              <w:rPr>
                <w:noProof/>
                <w:webHidden/>
              </w:rPr>
              <w:instrText xml:space="preserve"> PAGEREF _Toc203573632 \h </w:instrText>
            </w:r>
            <w:r>
              <w:rPr>
                <w:noProof/>
                <w:webHidden/>
              </w:rPr>
            </w:r>
            <w:r>
              <w:rPr>
                <w:noProof/>
                <w:webHidden/>
              </w:rPr>
              <w:fldChar w:fldCharType="separate"/>
            </w:r>
            <w:r>
              <w:rPr>
                <w:noProof/>
                <w:webHidden/>
              </w:rPr>
              <w:t>144</w:t>
            </w:r>
            <w:r>
              <w:rPr>
                <w:noProof/>
                <w:webHidden/>
              </w:rPr>
              <w:fldChar w:fldCharType="end"/>
            </w:r>
          </w:hyperlink>
        </w:p>
        <w:p w:rsidR="0078602D" w:rsidRDefault="0078602D" w14:paraId="520DB3B9" w14:textId="0D0C4FC3">
          <w:pPr>
            <w:pStyle w:val="Inhopg3"/>
            <w:tabs>
              <w:tab w:val="left" w:pos="1985"/>
              <w:tab w:val="right" w:leader="dot" w:pos="9350"/>
            </w:tabs>
            <w:rPr>
              <w:rFonts w:asciiTheme="minorHAnsi" w:hAnsiTheme="minorHAnsi" w:eastAsiaTheme="minorEastAsia" w:cstheme="minorBidi"/>
              <w:noProof/>
              <w:kern w:val="2"/>
              <w:sz w:val="24"/>
              <w14:ligatures w14:val="standardContextual"/>
            </w:rPr>
          </w:pPr>
          <w:hyperlink w:history="1" w:anchor="_Toc203573633">
            <w:r w:rsidRPr="001A5593">
              <w:rPr>
                <w:rStyle w:val="Hyperlink"/>
                <w:noProof/>
              </w:rPr>
              <w:t>11.4.1</w:t>
            </w:r>
            <w:r>
              <w:rPr>
                <w:rFonts w:asciiTheme="minorHAnsi" w:hAnsiTheme="minorHAnsi" w:eastAsiaTheme="minorEastAsia" w:cstheme="minorBidi"/>
                <w:noProof/>
                <w:kern w:val="2"/>
                <w:sz w:val="24"/>
                <w14:ligatures w14:val="standardContextual"/>
              </w:rPr>
              <w:tab/>
            </w:r>
            <w:r w:rsidRPr="001A5593">
              <w:rPr>
                <w:rStyle w:val="Hyperlink"/>
                <w:noProof/>
              </w:rPr>
              <w:t>Keuzevakken behorend bij eigen profiel</w:t>
            </w:r>
            <w:r>
              <w:rPr>
                <w:noProof/>
                <w:webHidden/>
              </w:rPr>
              <w:tab/>
            </w:r>
            <w:r>
              <w:rPr>
                <w:noProof/>
                <w:webHidden/>
              </w:rPr>
              <w:fldChar w:fldCharType="begin"/>
            </w:r>
            <w:r>
              <w:rPr>
                <w:noProof/>
                <w:webHidden/>
              </w:rPr>
              <w:instrText xml:space="preserve"> PAGEREF _Toc203573633 \h </w:instrText>
            </w:r>
            <w:r>
              <w:rPr>
                <w:noProof/>
                <w:webHidden/>
              </w:rPr>
            </w:r>
            <w:r>
              <w:rPr>
                <w:noProof/>
                <w:webHidden/>
              </w:rPr>
              <w:fldChar w:fldCharType="separate"/>
            </w:r>
            <w:r>
              <w:rPr>
                <w:noProof/>
                <w:webHidden/>
              </w:rPr>
              <w:t>146</w:t>
            </w:r>
            <w:r>
              <w:rPr>
                <w:noProof/>
                <w:webHidden/>
              </w:rPr>
              <w:fldChar w:fldCharType="end"/>
            </w:r>
          </w:hyperlink>
        </w:p>
        <w:p w:rsidR="0078602D" w:rsidRDefault="0078602D" w14:paraId="72B4A1B0" w14:textId="65464A1B">
          <w:pPr>
            <w:pStyle w:val="Inhopg3"/>
            <w:tabs>
              <w:tab w:val="left" w:pos="1985"/>
              <w:tab w:val="right" w:leader="dot" w:pos="9350"/>
            </w:tabs>
            <w:rPr>
              <w:rFonts w:asciiTheme="minorHAnsi" w:hAnsiTheme="minorHAnsi" w:eastAsiaTheme="minorEastAsia" w:cstheme="minorBidi"/>
              <w:noProof/>
              <w:kern w:val="2"/>
              <w:sz w:val="24"/>
              <w14:ligatures w14:val="standardContextual"/>
            </w:rPr>
          </w:pPr>
          <w:hyperlink w:history="1" w:anchor="_Toc203573634">
            <w:r w:rsidRPr="001A5593">
              <w:rPr>
                <w:rStyle w:val="Hyperlink"/>
                <w:noProof/>
              </w:rPr>
              <w:t>11.4.2</w:t>
            </w:r>
            <w:r>
              <w:rPr>
                <w:rFonts w:asciiTheme="minorHAnsi" w:hAnsiTheme="minorHAnsi" w:eastAsiaTheme="minorEastAsia" w:cstheme="minorBidi"/>
                <w:noProof/>
                <w:kern w:val="2"/>
                <w:sz w:val="24"/>
                <w14:ligatures w14:val="standardContextual"/>
              </w:rPr>
              <w:tab/>
            </w:r>
            <w:r w:rsidRPr="001A5593">
              <w:rPr>
                <w:rStyle w:val="Hyperlink"/>
                <w:noProof/>
              </w:rPr>
              <w:t>Keuzevakken buiten eigen profiel</w:t>
            </w:r>
            <w:r>
              <w:rPr>
                <w:noProof/>
                <w:webHidden/>
              </w:rPr>
              <w:tab/>
            </w:r>
            <w:r>
              <w:rPr>
                <w:noProof/>
                <w:webHidden/>
              </w:rPr>
              <w:fldChar w:fldCharType="begin"/>
            </w:r>
            <w:r>
              <w:rPr>
                <w:noProof/>
                <w:webHidden/>
              </w:rPr>
              <w:instrText xml:space="preserve"> PAGEREF _Toc203573634 \h </w:instrText>
            </w:r>
            <w:r>
              <w:rPr>
                <w:noProof/>
                <w:webHidden/>
              </w:rPr>
            </w:r>
            <w:r>
              <w:rPr>
                <w:noProof/>
                <w:webHidden/>
              </w:rPr>
              <w:fldChar w:fldCharType="separate"/>
            </w:r>
            <w:r>
              <w:rPr>
                <w:noProof/>
                <w:webHidden/>
              </w:rPr>
              <w:t>146</w:t>
            </w:r>
            <w:r>
              <w:rPr>
                <w:noProof/>
                <w:webHidden/>
              </w:rPr>
              <w:fldChar w:fldCharType="end"/>
            </w:r>
          </w:hyperlink>
        </w:p>
        <w:p w:rsidR="0078602D" w:rsidRDefault="0078602D" w14:paraId="16ABC2D8" w14:textId="39966327">
          <w:pPr>
            <w:pStyle w:val="Inhopg3"/>
            <w:tabs>
              <w:tab w:val="left" w:pos="1985"/>
              <w:tab w:val="right" w:leader="dot" w:pos="9350"/>
            </w:tabs>
            <w:rPr>
              <w:rFonts w:asciiTheme="minorHAnsi" w:hAnsiTheme="minorHAnsi" w:eastAsiaTheme="minorEastAsia" w:cstheme="minorBidi"/>
              <w:noProof/>
              <w:kern w:val="2"/>
              <w:sz w:val="24"/>
              <w14:ligatures w14:val="standardContextual"/>
            </w:rPr>
          </w:pPr>
          <w:hyperlink w:history="1" w:anchor="_Toc203573635">
            <w:r w:rsidRPr="001A5593">
              <w:rPr>
                <w:rStyle w:val="Hyperlink"/>
                <w:noProof/>
              </w:rPr>
              <w:t>11.4.3</w:t>
            </w:r>
            <w:r>
              <w:rPr>
                <w:rFonts w:asciiTheme="minorHAnsi" w:hAnsiTheme="minorHAnsi" w:eastAsiaTheme="minorEastAsia" w:cstheme="minorBidi"/>
                <w:noProof/>
                <w:kern w:val="2"/>
                <w:sz w:val="24"/>
                <w14:ligatures w14:val="standardContextual"/>
              </w:rPr>
              <w:tab/>
            </w:r>
            <w:r w:rsidRPr="001A5593">
              <w:rPr>
                <w:rStyle w:val="Hyperlink"/>
                <w:noProof/>
              </w:rPr>
              <w:t>Samenvatting keuzevakken</w:t>
            </w:r>
            <w:r>
              <w:rPr>
                <w:noProof/>
                <w:webHidden/>
              </w:rPr>
              <w:tab/>
            </w:r>
            <w:r>
              <w:rPr>
                <w:noProof/>
                <w:webHidden/>
              </w:rPr>
              <w:fldChar w:fldCharType="begin"/>
            </w:r>
            <w:r>
              <w:rPr>
                <w:noProof/>
                <w:webHidden/>
              </w:rPr>
              <w:instrText xml:space="preserve"> PAGEREF _Toc203573635 \h </w:instrText>
            </w:r>
            <w:r>
              <w:rPr>
                <w:noProof/>
                <w:webHidden/>
              </w:rPr>
            </w:r>
            <w:r>
              <w:rPr>
                <w:noProof/>
                <w:webHidden/>
              </w:rPr>
              <w:fldChar w:fldCharType="separate"/>
            </w:r>
            <w:r>
              <w:rPr>
                <w:noProof/>
                <w:webHidden/>
              </w:rPr>
              <w:t>148</w:t>
            </w:r>
            <w:r>
              <w:rPr>
                <w:noProof/>
                <w:webHidden/>
              </w:rPr>
              <w:fldChar w:fldCharType="end"/>
            </w:r>
          </w:hyperlink>
        </w:p>
        <w:p w:rsidR="0078602D" w:rsidRDefault="0078602D" w14:paraId="565E8D24" w14:textId="21C87717">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636">
            <w:r w:rsidRPr="001A5593">
              <w:rPr>
                <w:rStyle w:val="Hyperlink"/>
                <w:noProof/>
              </w:rPr>
              <w:t>11.5</w:t>
            </w:r>
            <w:r>
              <w:rPr>
                <w:rFonts w:asciiTheme="minorHAnsi" w:hAnsiTheme="minorHAnsi" w:eastAsiaTheme="minorEastAsia" w:cstheme="minorBidi"/>
                <w:noProof/>
                <w:kern w:val="2"/>
                <w:sz w:val="24"/>
                <w14:ligatures w14:val="standardContextual"/>
              </w:rPr>
              <w:tab/>
            </w:r>
            <w:r w:rsidRPr="001A5593">
              <w:rPr>
                <w:rStyle w:val="Hyperlink"/>
                <w:noProof/>
              </w:rPr>
              <w:t>Doorstroom naar een vervolgopleiding</w:t>
            </w:r>
            <w:r>
              <w:rPr>
                <w:noProof/>
                <w:webHidden/>
              </w:rPr>
              <w:tab/>
            </w:r>
            <w:r>
              <w:rPr>
                <w:noProof/>
                <w:webHidden/>
              </w:rPr>
              <w:fldChar w:fldCharType="begin"/>
            </w:r>
            <w:r>
              <w:rPr>
                <w:noProof/>
                <w:webHidden/>
              </w:rPr>
              <w:instrText xml:space="preserve"> PAGEREF _Toc203573636 \h </w:instrText>
            </w:r>
            <w:r>
              <w:rPr>
                <w:noProof/>
                <w:webHidden/>
              </w:rPr>
            </w:r>
            <w:r>
              <w:rPr>
                <w:noProof/>
                <w:webHidden/>
              </w:rPr>
              <w:fldChar w:fldCharType="separate"/>
            </w:r>
            <w:r>
              <w:rPr>
                <w:noProof/>
                <w:webHidden/>
              </w:rPr>
              <w:t>150</w:t>
            </w:r>
            <w:r>
              <w:rPr>
                <w:noProof/>
                <w:webHidden/>
              </w:rPr>
              <w:fldChar w:fldCharType="end"/>
            </w:r>
          </w:hyperlink>
        </w:p>
        <w:p w:rsidR="0078602D" w:rsidRDefault="0078602D" w14:paraId="04599285" w14:textId="5C036C48">
          <w:pPr>
            <w:pStyle w:val="Inhopg3"/>
            <w:tabs>
              <w:tab w:val="left" w:pos="1985"/>
              <w:tab w:val="right" w:leader="dot" w:pos="9350"/>
            </w:tabs>
            <w:rPr>
              <w:rFonts w:asciiTheme="minorHAnsi" w:hAnsiTheme="minorHAnsi" w:eastAsiaTheme="minorEastAsia" w:cstheme="minorBidi"/>
              <w:noProof/>
              <w:kern w:val="2"/>
              <w:sz w:val="24"/>
              <w14:ligatures w14:val="standardContextual"/>
            </w:rPr>
          </w:pPr>
          <w:hyperlink w:history="1" w:anchor="_Toc203573637">
            <w:r w:rsidRPr="001A5593">
              <w:rPr>
                <w:rStyle w:val="Hyperlink"/>
                <w:noProof/>
              </w:rPr>
              <w:t>11.5.1</w:t>
            </w:r>
            <w:r>
              <w:rPr>
                <w:rFonts w:asciiTheme="minorHAnsi" w:hAnsiTheme="minorHAnsi" w:eastAsiaTheme="minorEastAsia" w:cstheme="minorBidi"/>
                <w:noProof/>
                <w:kern w:val="2"/>
                <w:sz w:val="24"/>
                <w14:ligatures w14:val="standardContextual"/>
              </w:rPr>
              <w:tab/>
            </w:r>
            <w:r w:rsidRPr="001A5593">
              <w:rPr>
                <w:rStyle w:val="Hyperlink"/>
                <w:noProof/>
              </w:rPr>
              <w:t>Doorstroom naar vervolgonderwijs</w:t>
            </w:r>
            <w:r>
              <w:rPr>
                <w:noProof/>
                <w:webHidden/>
              </w:rPr>
              <w:tab/>
            </w:r>
            <w:r>
              <w:rPr>
                <w:noProof/>
                <w:webHidden/>
              </w:rPr>
              <w:fldChar w:fldCharType="begin"/>
            </w:r>
            <w:r>
              <w:rPr>
                <w:noProof/>
                <w:webHidden/>
              </w:rPr>
              <w:instrText xml:space="preserve"> PAGEREF _Toc203573637 \h </w:instrText>
            </w:r>
            <w:r>
              <w:rPr>
                <w:noProof/>
                <w:webHidden/>
              </w:rPr>
            </w:r>
            <w:r>
              <w:rPr>
                <w:noProof/>
                <w:webHidden/>
              </w:rPr>
              <w:fldChar w:fldCharType="separate"/>
            </w:r>
            <w:r>
              <w:rPr>
                <w:noProof/>
                <w:webHidden/>
              </w:rPr>
              <w:t>150</w:t>
            </w:r>
            <w:r>
              <w:rPr>
                <w:noProof/>
                <w:webHidden/>
              </w:rPr>
              <w:fldChar w:fldCharType="end"/>
            </w:r>
          </w:hyperlink>
        </w:p>
        <w:p w:rsidR="0078602D" w:rsidRDefault="0078602D" w14:paraId="7B56B621" w14:textId="06E82DD7">
          <w:pPr>
            <w:pStyle w:val="Inhopg3"/>
            <w:tabs>
              <w:tab w:val="left" w:pos="1985"/>
              <w:tab w:val="right" w:leader="dot" w:pos="9350"/>
            </w:tabs>
            <w:rPr>
              <w:rFonts w:asciiTheme="minorHAnsi" w:hAnsiTheme="minorHAnsi" w:eastAsiaTheme="minorEastAsia" w:cstheme="minorBidi"/>
              <w:noProof/>
              <w:kern w:val="2"/>
              <w:sz w:val="24"/>
              <w14:ligatures w14:val="standardContextual"/>
            </w:rPr>
          </w:pPr>
          <w:hyperlink w:history="1" w:anchor="_Toc203573638">
            <w:r w:rsidRPr="001A5593">
              <w:rPr>
                <w:rStyle w:val="Hyperlink"/>
                <w:noProof/>
              </w:rPr>
              <w:t>11.5.2</w:t>
            </w:r>
            <w:r>
              <w:rPr>
                <w:rFonts w:asciiTheme="minorHAnsi" w:hAnsiTheme="minorHAnsi" w:eastAsiaTheme="minorEastAsia" w:cstheme="minorBidi"/>
                <w:noProof/>
                <w:kern w:val="2"/>
                <w:sz w:val="24"/>
                <w14:ligatures w14:val="standardContextual"/>
              </w:rPr>
              <w:tab/>
            </w:r>
            <w:r w:rsidRPr="001A5593">
              <w:rPr>
                <w:rStyle w:val="Hyperlink"/>
                <w:noProof/>
              </w:rPr>
              <w:t>Doorstroom naar technisch mbo</w:t>
            </w:r>
            <w:r>
              <w:rPr>
                <w:noProof/>
                <w:webHidden/>
              </w:rPr>
              <w:tab/>
            </w:r>
            <w:r>
              <w:rPr>
                <w:noProof/>
                <w:webHidden/>
              </w:rPr>
              <w:fldChar w:fldCharType="begin"/>
            </w:r>
            <w:r>
              <w:rPr>
                <w:noProof/>
                <w:webHidden/>
              </w:rPr>
              <w:instrText xml:space="preserve"> PAGEREF _Toc203573638 \h </w:instrText>
            </w:r>
            <w:r>
              <w:rPr>
                <w:noProof/>
                <w:webHidden/>
              </w:rPr>
            </w:r>
            <w:r>
              <w:rPr>
                <w:noProof/>
                <w:webHidden/>
              </w:rPr>
              <w:fldChar w:fldCharType="separate"/>
            </w:r>
            <w:r>
              <w:rPr>
                <w:noProof/>
                <w:webHidden/>
              </w:rPr>
              <w:t>150</w:t>
            </w:r>
            <w:r>
              <w:rPr>
                <w:noProof/>
                <w:webHidden/>
              </w:rPr>
              <w:fldChar w:fldCharType="end"/>
            </w:r>
          </w:hyperlink>
        </w:p>
        <w:p w:rsidR="0078602D" w:rsidRDefault="0078602D" w14:paraId="48960A92" w14:textId="6C7D6B7D">
          <w:pPr>
            <w:pStyle w:val="Inhopg3"/>
            <w:tabs>
              <w:tab w:val="left" w:pos="1985"/>
              <w:tab w:val="right" w:leader="dot" w:pos="9350"/>
            </w:tabs>
            <w:rPr>
              <w:rFonts w:asciiTheme="minorHAnsi" w:hAnsiTheme="minorHAnsi" w:eastAsiaTheme="minorEastAsia" w:cstheme="minorBidi"/>
              <w:noProof/>
              <w:kern w:val="2"/>
              <w:sz w:val="24"/>
              <w14:ligatures w14:val="standardContextual"/>
            </w:rPr>
          </w:pPr>
          <w:hyperlink w:history="1" w:anchor="_Toc203573639">
            <w:r w:rsidRPr="001A5593">
              <w:rPr>
                <w:rStyle w:val="Hyperlink"/>
                <w:noProof/>
              </w:rPr>
              <w:t>11.5.3</w:t>
            </w:r>
            <w:r>
              <w:rPr>
                <w:rFonts w:asciiTheme="minorHAnsi" w:hAnsiTheme="minorHAnsi" w:eastAsiaTheme="minorEastAsia" w:cstheme="minorBidi"/>
                <w:noProof/>
                <w:kern w:val="2"/>
                <w:sz w:val="24"/>
                <w14:ligatures w14:val="standardContextual"/>
              </w:rPr>
              <w:tab/>
            </w:r>
            <w:r w:rsidRPr="001A5593">
              <w:rPr>
                <w:rStyle w:val="Hyperlink"/>
                <w:noProof/>
              </w:rPr>
              <w:t>Samenvatting doorstroom naar een vervolgopleiding</w:t>
            </w:r>
            <w:r>
              <w:rPr>
                <w:noProof/>
                <w:webHidden/>
              </w:rPr>
              <w:tab/>
            </w:r>
            <w:r>
              <w:rPr>
                <w:noProof/>
                <w:webHidden/>
              </w:rPr>
              <w:fldChar w:fldCharType="begin"/>
            </w:r>
            <w:r>
              <w:rPr>
                <w:noProof/>
                <w:webHidden/>
              </w:rPr>
              <w:instrText xml:space="preserve"> PAGEREF _Toc203573639 \h </w:instrText>
            </w:r>
            <w:r>
              <w:rPr>
                <w:noProof/>
                <w:webHidden/>
              </w:rPr>
            </w:r>
            <w:r>
              <w:rPr>
                <w:noProof/>
                <w:webHidden/>
              </w:rPr>
              <w:fldChar w:fldCharType="separate"/>
            </w:r>
            <w:r>
              <w:rPr>
                <w:noProof/>
                <w:webHidden/>
              </w:rPr>
              <w:t>153</w:t>
            </w:r>
            <w:r>
              <w:rPr>
                <w:noProof/>
                <w:webHidden/>
              </w:rPr>
              <w:fldChar w:fldCharType="end"/>
            </w:r>
          </w:hyperlink>
        </w:p>
        <w:p w:rsidR="0078602D" w:rsidRDefault="0078602D" w14:paraId="3F20632C" w14:textId="13010D38">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640">
            <w:r w:rsidRPr="001A5593">
              <w:rPr>
                <w:rStyle w:val="Hyperlink"/>
                <w:noProof/>
              </w:rPr>
              <w:t>11.6</w:t>
            </w:r>
            <w:r>
              <w:rPr>
                <w:rFonts w:asciiTheme="minorHAnsi" w:hAnsiTheme="minorHAnsi" w:eastAsiaTheme="minorEastAsia" w:cstheme="minorBidi"/>
                <w:noProof/>
                <w:kern w:val="2"/>
                <w:sz w:val="24"/>
                <w14:ligatures w14:val="standardContextual"/>
              </w:rPr>
              <w:tab/>
            </w:r>
            <w:r w:rsidRPr="001A5593">
              <w:rPr>
                <w:rStyle w:val="Hyperlink"/>
                <w:noProof/>
              </w:rPr>
              <w:t>De mening van oud-leerlingen over de genoten vmbo-opleiding</w:t>
            </w:r>
            <w:r>
              <w:rPr>
                <w:noProof/>
                <w:webHidden/>
              </w:rPr>
              <w:tab/>
            </w:r>
            <w:r>
              <w:rPr>
                <w:noProof/>
                <w:webHidden/>
              </w:rPr>
              <w:fldChar w:fldCharType="begin"/>
            </w:r>
            <w:r>
              <w:rPr>
                <w:noProof/>
                <w:webHidden/>
              </w:rPr>
              <w:instrText xml:space="preserve"> PAGEREF _Toc203573640 \h </w:instrText>
            </w:r>
            <w:r>
              <w:rPr>
                <w:noProof/>
                <w:webHidden/>
              </w:rPr>
            </w:r>
            <w:r>
              <w:rPr>
                <w:noProof/>
                <w:webHidden/>
              </w:rPr>
              <w:fldChar w:fldCharType="separate"/>
            </w:r>
            <w:r>
              <w:rPr>
                <w:noProof/>
                <w:webHidden/>
              </w:rPr>
              <w:t>153</w:t>
            </w:r>
            <w:r>
              <w:rPr>
                <w:noProof/>
                <w:webHidden/>
              </w:rPr>
              <w:fldChar w:fldCharType="end"/>
            </w:r>
          </w:hyperlink>
        </w:p>
        <w:p w:rsidR="0078602D" w:rsidRDefault="0078602D" w14:paraId="58896A8C" w14:textId="2CB0F91B">
          <w:pPr>
            <w:pStyle w:val="Inhopg3"/>
            <w:tabs>
              <w:tab w:val="left" w:pos="1985"/>
              <w:tab w:val="right" w:leader="dot" w:pos="9350"/>
            </w:tabs>
            <w:rPr>
              <w:rFonts w:asciiTheme="minorHAnsi" w:hAnsiTheme="minorHAnsi" w:eastAsiaTheme="minorEastAsia" w:cstheme="minorBidi"/>
              <w:noProof/>
              <w:kern w:val="2"/>
              <w:sz w:val="24"/>
              <w14:ligatures w14:val="standardContextual"/>
            </w:rPr>
          </w:pPr>
          <w:hyperlink w:history="1" w:anchor="_Toc203573641">
            <w:r w:rsidRPr="001A5593">
              <w:rPr>
                <w:rStyle w:val="Hyperlink"/>
                <w:noProof/>
              </w:rPr>
              <w:t>11.6.1</w:t>
            </w:r>
            <w:r>
              <w:rPr>
                <w:rFonts w:asciiTheme="minorHAnsi" w:hAnsiTheme="minorHAnsi" w:eastAsiaTheme="minorEastAsia" w:cstheme="minorBidi"/>
                <w:noProof/>
                <w:kern w:val="2"/>
                <w:sz w:val="24"/>
                <w14:ligatures w14:val="standardContextual"/>
              </w:rPr>
              <w:tab/>
            </w:r>
            <w:r w:rsidRPr="001A5593">
              <w:rPr>
                <w:rStyle w:val="Hyperlink"/>
                <w:noProof/>
              </w:rPr>
              <w:t>Aantrekkelijkheid, actualiteit en niveau van vmbo-opleidingen</w:t>
            </w:r>
            <w:r>
              <w:rPr>
                <w:noProof/>
                <w:webHidden/>
              </w:rPr>
              <w:tab/>
            </w:r>
            <w:r>
              <w:rPr>
                <w:noProof/>
                <w:webHidden/>
              </w:rPr>
              <w:fldChar w:fldCharType="begin"/>
            </w:r>
            <w:r>
              <w:rPr>
                <w:noProof/>
                <w:webHidden/>
              </w:rPr>
              <w:instrText xml:space="preserve"> PAGEREF _Toc203573641 \h </w:instrText>
            </w:r>
            <w:r>
              <w:rPr>
                <w:noProof/>
                <w:webHidden/>
              </w:rPr>
            </w:r>
            <w:r>
              <w:rPr>
                <w:noProof/>
                <w:webHidden/>
              </w:rPr>
              <w:fldChar w:fldCharType="separate"/>
            </w:r>
            <w:r>
              <w:rPr>
                <w:noProof/>
                <w:webHidden/>
              </w:rPr>
              <w:t>153</w:t>
            </w:r>
            <w:r>
              <w:rPr>
                <w:noProof/>
                <w:webHidden/>
              </w:rPr>
              <w:fldChar w:fldCharType="end"/>
            </w:r>
          </w:hyperlink>
        </w:p>
        <w:p w:rsidR="0078602D" w:rsidRDefault="0078602D" w14:paraId="2AC9555A" w14:textId="3A94EEC6">
          <w:pPr>
            <w:pStyle w:val="Inhopg3"/>
            <w:tabs>
              <w:tab w:val="left" w:pos="1985"/>
              <w:tab w:val="right" w:leader="dot" w:pos="9350"/>
            </w:tabs>
            <w:rPr>
              <w:rFonts w:asciiTheme="minorHAnsi" w:hAnsiTheme="minorHAnsi" w:eastAsiaTheme="minorEastAsia" w:cstheme="minorBidi"/>
              <w:noProof/>
              <w:kern w:val="2"/>
              <w:sz w:val="24"/>
              <w14:ligatures w14:val="standardContextual"/>
            </w:rPr>
          </w:pPr>
          <w:hyperlink w:history="1" w:anchor="_Toc203573642">
            <w:r w:rsidRPr="001A5593">
              <w:rPr>
                <w:rStyle w:val="Hyperlink"/>
                <w:noProof/>
              </w:rPr>
              <w:t>11.6.2</w:t>
            </w:r>
            <w:r>
              <w:rPr>
                <w:rFonts w:asciiTheme="minorHAnsi" w:hAnsiTheme="minorHAnsi" w:eastAsiaTheme="minorEastAsia" w:cstheme="minorBidi"/>
                <w:noProof/>
                <w:kern w:val="2"/>
                <w:sz w:val="24"/>
                <w14:ligatures w14:val="standardContextual"/>
              </w:rPr>
              <w:tab/>
            </w:r>
            <w:r w:rsidRPr="001A5593">
              <w:rPr>
                <w:rStyle w:val="Hyperlink"/>
                <w:noProof/>
              </w:rPr>
              <w:t>Voorbereiding en aansluiting op vervolgonderwijs</w:t>
            </w:r>
            <w:r>
              <w:rPr>
                <w:noProof/>
                <w:webHidden/>
              </w:rPr>
              <w:tab/>
            </w:r>
            <w:r>
              <w:rPr>
                <w:noProof/>
                <w:webHidden/>
              </w:rPr>
              <w:fldChar w:fldCharType="begin"/>
            </w:r>
            <w:r>
              <w:rPr>
                <w:noProof/>
                <w:webHidden/>
              </w:rPr>
              <w:instrText xml:space="preserve"> PAGEREF _Toc203573642 \h </w:instrText>
            </w:r>
            <w:r>
              <w:rPr>
                <w:noProof/>
                <w:webHidden/>
              </w:rPr>
            </w:r>
            <w:r>
              <w:rPr>
                <w:noProof/>
                <w:webHidden/>
              </w:rPr>
              <w:fldChar w:fldCharType="separate"/>
            </w:r>
            <w:r>
              <w:rPr>
                <w:noProof/>
                <w:webHidden/>
              </w:rPr>
              <w:t>154</w:t>
            </w:r>
            <w:r>
              <w:rPr>
                <w:noProof/>
                <w:webHidden/>
              </w:rPr>
              <w:fldChar w:fldCharType="end"/>
            </w:r>
          </w:hyperlink>
        </w:p>
        <w:p w:rsidR="0078602D" w:rsidRDefault="0078602D" w14:paraId="08DC2508" w14:textId="25F23E34">
          <w:pPr>
            <w:pStyle w:val="Inhopg3"/>
            <w:tabs>
              <w:tab w:val="left" w:pos="1985"/>
              <w:tab w:val="right" w:leader="dot" w:pos="9350"/>
            </w:tabs>
            <w:rPr>
              <w:rFonts w:asciiTheme="minorHAnsi" w:hAnsiTheme="minorHAnsi" w:eastAsiaTheme="minorEastAsia" w:cstheme="minorBidi"/>
              <w:noProof/>
              <w:kern w:val="2"/>
              <w:sz w:val="24"/>
              <w14:ligatures w14:val="standardContextual"/>
            </w:rPr>
          </w:pPr>
          <w:hyperlink w:history="1" w:anchor="_Toc203573643">
            <w:r w:rsidRPr="001A5593">
              <w:rPr>
                <w:rStyle w:val="Hyperlink"/>
                <w:noProof/>
              </w:rPr>
              <w:t>11.6.3</w:t>
            </w:r>
            <w:r>
              <w:rPr>
                <w:rFonts w:asciiTheme="minorHAnsi" w:hAnsiTheme="minorHAnsi" w:eastAsiaTheme="minorEastAsia" w:cstheme="minorBidi"/>
                <w:noProof/>
                <w:kern w:val="2"/>
                <w:sz w:val="24"/>
                <w14:ligatures w14:val="standardContextual"/>
              </w:rPr>
              <w:tab/>
            </w:r>
            <w:r w:rsidRPr="001A5593">
              <w:rPr>
                <w:rStyle w:val="Hyperlink"/>
                <w:noProof/>
              </w:rPr>
              <w:t>Samenvatting</w:t>
            </w:r>
            <w:r>
              <w:rPr>
                <w:noProof/>
                <w:webHidden/>
              </w:rPr>
              <w:tab/>
            </w:r>
            <w:r>
              <w:rPr>
                <w:noProof/>
                <w:webHidden/>
              </w:rPr>
              <w:fldChar w:fldCharType="begin"/>
            </w:r>
            <w:r>
              <w:rPr>
                <w:noProof/>
                <w:webHidden/>
              </w:rPr>
              <w:instrText xml:space="preserve"> PAGEREF _Toc203573643 \h </w:instrText>
            </w:r>
            <w:r>
              <w:rPr>
                <w:noProof/>
                <w:webHidden/>
              </w:rPr>
            </w:r>
            <w:r>
              <w:rPr>
                <w:noProof/>
                <w:webHidden/>
              </w:rPr>
              <w:fldChar w:fldCharType="separate"/>
            </w:r>
            <w:r>
              <w:rPr>
                <w:noProof/>
                <w:webHidden/>
              </w:rPr>
              <w:t>155</w:t>
            </w:r>
            <w:r>
              <w:rPr>
                <w:noProof/>
                <w:webHidden/>
              </w:rPr>
              <w:fldChar w:fldCharType="end"/>
            </w:r>
          </w:hyperlink>
        </w:p>
        <w:p w:rsidR="0078602D" w:rsidRDefault="0078602D" w14:paraId="00855464" w14:textId="2940B0EC">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644">
            <w:r w:rsidRPr="001A5593">
              <w:rPr>
                <w:rStyle w:val="Hyperlink"/>
                <w:noProof/>
              </w:rPr>
              <w:t>11.7</w:t>
            </w:r>
            <w:r>
              <w:rPr>
                <w:rFonts w:asciiTheme="minorHAnsi" w:hAnsiTheme="minorHAnsi" w:eastAsiaTheme="minorEastAsia" w:cstheme="minorBidi"/>
                <w:noProof/>
                <w:kern w:val="2"/>
                <w:sz w:val="24"/>
                <w14:ligatures w14:val="standardContextual"/>
              </w:rPr>
              <w:tab/>
            </w:r>
            <w:r w:rsidRPr="001A5593">
              <w:rPr>
                <w:rStyle w:val="Hyperlink"/>
                <w:noProof/>
              </w:rPr>
              <w:t>Overkoepelende samenvatting</w:t>
            </w:r>
            <w:r>
              <w:rPr>
                <w:noProof/>
                <w:webHidden/>
              </w:rPr>
              <w:tab/>
            </w:r>
            <w:r>
              <w:rPr>
                <w:noProof/>
                <w:webHidden/>
              </w:rPr>
              <w:fldChar w:fldCharType="begin"/>
            </w:r>
            <w:r>
              <w:rPr>
                <w:noProof/>
                <w:webHidden/>
              </w:rPr>
              <w:instrText xml:space="preserve"> PAGEREF _Toc203573644 \h </w:instrText>
            </w:r>
            <w:r>
              <w:rPr>
                <w:noProof/>
                <w:webHidden/>
              </w:rPr>
            </w:r>
            <w:r>
              <w:rPr>
                <w:noProof/>
                <w:webHidden/>
              </w:rPr>
              <w:fldChar w:fldCharType="separate"/>
            </w:r>
            <w:r>
              <w:rPr>
                <w:noProof/>
                <w:webHidden/>
              </w:rPr>
              <w:t>155</w:t>
            </w:r>
            <w:r>
              <w:rPr>
                <w:noProof/>
                <w:webHidden/>
              </w:rPr>
              <w:fldChar w:fldCharType="end"/>
            </w:r>
          </w:hyperlink>
        </w:p>
        <w:p w:rsidR="0078602D" w:rsidRDefault="0078602D" w14:paraId="16032173" w14:textId="428C0A69">
          <w:pPr>
            <w:pStyle w:val="Inhopg1"/>
            <w:tabs>
              <w:tab w:val="right" w:leader="dot" w:pos="9350"/>
            </w:tabs>
            <w:rPr>
              <w:rFonts w:asciiTheme="minorHAnsi" w:hAnsiTheme="minorHAnsi" w:eastAsiaTheme="minorEastAsia" w:cstheme="minorBidi"/>
              <w:noProof/>
              <w:kern w:val="2"/>
              <w:sz w:val="24"/>
              <w14:ligatures w14:val="standardContextual"/>
            </w:rPr>
          </w:pPr>
          <w:hyperlink w:history="1" w:anchor="_Toc203573645">
            <w:r w:rsidRPr="001A5593">
              <w:rPr>
                <w:rStyle w:val="Hyperlink"/>
                <w:rFonts w:eastAsiaTheme="minorHAnsi"/>
                <w:noProof/>
                <w:lang w:eastAsia="en-US"/>
              </w:rPr>
              <w:t>Appendix bij bijlage 3 monitorgegevens</w:t>
            </w:r>
            <w:r>
              <w:rPr>
                <w:noProof/>
                <w:webHidden/>
              </w:rPr>
              <w:tab/>
            </w:r>
            <w:r>
              <w:rPr>
                <w:noProof/>
                <w:webHidden/>
              </w:rPr>
              <w:fldChar w:fldCharType="begin"/>
            </w:r>
            <w:r>
              <w:rPr>
                <w:noProof/>
                <w:webHidden/>
              </w:rPr>
              <w:instrText xml:space="preserve"> PAGEREF _Toc203573645 \h </w:instrText>
            </w:r>
            <w:r>
              <w:rPr>
                <w:noProof/>
                <w:webHidden/>
              </w:rPr>
            </w:r>
            <w:r>
              <w:rPr>
                <w:noProof/>
                <w:webHidden/>
              </w:rPr>
              <w:fldChar w:fldCharType="separate"/>
            </w:r>
            <w:r>
              <w:rPr>
                <w:noProof/>
                <w:webHidden/>
              </w:rPr>
              <w:t>159</w:t>
            </w:r>
            <w:r>
              <w:rPr>
                <w:noProof/>
                <w:webHidden/>
              </w:rPr>
              <w:fldChar w:fldCharType="end"/>
            </w:r>
          </w:hyperlink>
        </w:p>
        <w:p w:rsidR="0078602D" w:rsidRDefault="0078602D" w14:paraId="1126F732" w14:textId="078A7550">
          <w:pPr>
            <w:pStyle w:val="Inhopg1"/>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646">
            <w:r w:rsidRPr="001A5593">
              <w:rPr>
                <w:rStyle w:val="Hyperlink"/>
                <w:noProof/>
              </w:rPr>
              <w:t>12</w:t>
            </w:r>
            <w:r>
              <w:rPr>
                <w:rFonts w:asciiTheme="minorHAnsi" w:hAnsiTheme="minorHAnsi" w:eastAsiaTheme="minorEastAsia" w:cstheme="minorBidi"/>
                <w:noProof/>
                <w:kern w:val="2"/>
                <w:sz w:val="24"/>
                <w14:ligatures w14:val="standardContextual"/>
              </w:rPr>
              <w:tab/>
            </w:r>
            <w:r w:rsidRPr="001A5593">
              <w:rPr>
                <w:rStyle w:val="Hyperlink"/>
                <w:noProof/>
              </w:rPr>
              <w:t>Bijlage 4: Beschikbaarheid voldoende docenten/instructeurs</w:t>
            </w:r>
            <w:r>
              <w:rPr>
                <w:noProof/>
                <w:webHidden/>
              </w:rPr>
              <w:tab/>
            </w:r>
            <w:r>
              <w:rPr>
                <w:noProof/>
                <w:webHidden/>
              </w:rPr>
              <w:fldChar w:fldCharType="begin"/>
            </w:r>
            <w:r>
              <w:rPr>
                <w:noProof/>
                <w:webHidden/>
              </w:rPr>
              <w:instrText xml:space="preserve"> PAGEREF _Toc203573646 \h </w:instrText>
            </w:r>
            <w:r>
              <w:rPr>
                <w:noProof/>
                <w:webHidden/>
              </w:rPr>
            </w:r>
            <w:r>
              <w:rPr>
                <w:noProof/>
                <w:webHidden/>
              </w:rPr>
              <w:fldChar w:fldCharType="separate"/>
            </w:r>
            <w:r>
              <w:rPr>
                <w:noProof/>
                <w:webHidden/>
              </w:rPr>
              <w:t>172</w:t>
            </w:r>
            <w:r>
              <w:rPr>
                <w:noProof/>
                <w:webHidden/>
              </w:rPr>
              <w:fldChar w:fldCharType="end"/>
            </w:r>
          </w:hyperlink>
        </w:p>
        <w:p w:rsidR="0078602D" w:rsidRDefault="0078602D" w14:paraId="1EE603E8" w14:textId="6FAD8512">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647">
            <w:r w:rsidRPr="001A5593">
              <w:rPr>
                <w:rStyle w:val="Hyperlink"/>
                <w:noProof/>
              </w:rPr>
              <w:t>12.1</w:t>
            </w:r>
            <w:r>
              <w:rPr>
                <w:rFonts w:asciiTheme="minorHAnsi" w:hAnsiTheme="minorHAnsi" w:eastAsiaTheme="minorEastAsia" w:cstheme="minorBidi"/>
                <w:noProof/>
                <w:kern w:val="2"/>
                <w:sz w:val="24"/>
                <w14:ligatures w14:val="standardContextual"/>
              </w:rPr>
              <w:tab/>
            </w:r>
            <w:r w:rsidRPr="001A5593">
              <w:rPr>
                <w:rStyle w:val="Hyperlink"/>
                <w:noProof/>
              </w:rPr>
              <w:t>Aantal lesgevenden</w:t>
            </w:r>
            <w:r>
              <w:rPr>
                <w:noProof/>
                <w:webHidden/>
              </w:rPr>
              <w:tab/>
            </w:r>
            <w:r>
              <w:rPr>
                <w:noProof/>
                <w:webHidden/>
              </w:rPr>
              <w:fldChar w:fldCharType="begin"/>
            </w:r>
            <w:r>
              <w:rPr>
                <w:noProof/>
                <w:webHidden/>
              </w:rPr>
              <w:instrText xml:space="preserve"> PAGEREF _Toc203573647 \h </w:instrText>
            </w:r>
            <w:r>
              <w:rPr>
                <w:noProof/>
                <w:webHidden/>
              </w:rPr>
            </w:r>
            <w:r>
              <w:rPr>
                <w:noProof/>
                <w:webHidden/>
              </w:rPr>
              <w:fldChar w:fldCharType="separate"/>
            </w:r>
            <w:r>
              <w:rPr>
                <w:noProof/>
                <w:webHidden/>
              </w:rPr>
              <w:t>172</w:t>
            </w:r>
            <w:r>
              <w:rPr>
                <w:noProof/>
                <w:webHidden/>
              </w:rPr>
              <w:fldChar w:fldCharType="end"/>
            </w:r>
          </w:hyperlink>
        </w:p>
        <w:p w:rsidR="0078602D" w:rsidRDefault="0078602D" w14:paraId="7930A917" w14:textId="7A029208">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648">
            <w:r w:rsidRPr="001A5593">
              <w:rPr>
                <w:rStyle w:val="Hyperlink"/>
                <w:noProof/>
              </w:rPr>
              <w:t>12.2</w:t>
            </w:r>
            <w:r>
              <w:rPr>
                <w:rFonts w:asciiTheme="minorHAnsi" w:hAnsiTheme="minorHAnsi" w:eastAsiaTheme="minorEastAsia" w:cstheme="minorBidi"/>
                <w:noProof/>
                <w:kern w:val="2"/>
                <w:sz w:val="24"/>
                <w14:ligatures w14:val="standardContextual"/>
              </w:rPr>
              <w:tab/>
            </w:r>
            <w:r w:rsidRPr="001A5593">
              <w:rPr>
                <w:rStyle w:val="Hyperlink"/>
                <w:noProof/>
              </w:rPr>
              <w:t>Aantal lesgevenden per school</w:t>
            </w:r>
            <w:r>
              <w:rPr>
                <w:noProof/>
                <w:webHidden/>
              </w:rPr>
              <w:tab/>
            </w:r>
            <w:r>
              <w:rPr>
                <w:noProof/>
                <w:webHidden/>
              </w:rPr>
              <w:fldChar w:fldCharType="begin"/>
            </w:r>
            <w:r>
              <w:rPr>
                <w:noProof/>
                <w:webHidden/>
              </w:rPr>
              <w:instrText xml:space="preserve"> PAGEREF _Toc203573648 \h </w:instrText>
            </w:r>
            <w:r>
              <w:rPr>
                <w:noProof/>
                <w:webHidden/>
              </w:rPr>
            </w:r>
            <w:r>
              <w:rPr>
                <w:noProof/>
                <w:webHidden/>
              </w:rPr>
              <w:fldChar w:fldCharType="separate"/>
            </w:r>
            <w:r>
              <w:rPr>
                <w:noProof/>
                <w:webHidden/>
              </w:rPr>
              <w:t>176</w:t>
            </w:r>
            <w:r>
              <w:rPr>
                <w:noProof/>
                <w:webHidden/>
              </w:rPr>
              <w:fldChar w:fldCharType="end"/>
            </w:r>
          </w:hyperlink>
        </w:p>
        <w:p w:rsidR="0078602D" w:rsidRDefault="0078602D" w14:paraId="5AD3DCB0" w14:textId="542AAA46">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649">
            <w:r w:rsidRPr="001A5593">
              <w:rPr>
                <w:rStyle w:val="Hyperlink"/>
                <w:noProof/>
              </w:rPr>
              <w:t>12.3</w:t>
            </w:r>
            <w:r>
              <w:rPr>
                <w:rFonts w:asciiTheme="minorHAnsi" w:hAnsiTheme="minorHAnsi" w:eastAsiaTheme="minorEastAsia" w:cstheme="minorBidi"/>
                <w:noProof/>
                <w:kern w:val="2"/>
                <w:sz w:val="24"/>
                <w14:ligatures w14:val="standardContextual"/>
              </w:rPr>
              <w:tab/>
            </w:r>
            <w:r w:rsidRPr="001A5593">
              <w:rPr>
                <w:rStyle w:val="Hyperlink"/>
                <w:noProof/>
              </w:rPr>
              <w:t>Kenmerken lesgevenden</w:t>
            </w:r>
            <w:r>
              <w:rPr>
                <w:noProof/>
                <w:webHidden/>
              </w:rPr>
              <w:tab/>
            </w:r>
            <w:r>
              <w:rPr>
                <w:noProof/>
                <w:webHidden/>
              </w:rPr>
              <w:fldChar w:fldCharType="begin"/>
            </w:r>
            <w:r>
              <w:rPr>
                <w:noProof/>
                <w:webHidden/>
              </w:rPr>
              <w:instrText xml:space="preserve"> PAGEREF _Toc203573649 \h </w:instrText>
            </w:r>
            <w:r>
              <w:rPr>
                <w:noProof/>
                <w:webHidden/>
              </w:rPr>
            </w:r>
            <w:r>
              <w:rPr>
                <w:noProof/>
                <w:webHidden/>
              </w:rPr>
              <w:fldChar w:fldCharType="separate"/>
            </w:r>
            <w:r>
              <w:rPr>
                <w:noProof/>
                <w:webHidden/>
              </w:rPr>
              <w:t>177</w:t>
            </w:r>
            <w:r>
              <w:rPr>
                <w:noProof/>
                <w:webHidden/>
              </w:rPr>
              <w:fldChar w:fldCharType="end"/>
            </w:r>
          </w:hyperlink>
        </w:p>
        <w:p w:rsidR="0078602D" w:rsidRDefault="0078602D" w14:paraId="0CC641CE" w14:textId="0AF74966">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650">
            <w:r w:rsidRPr="001A5593">
              <w:rPr>
                <w:rStyle w:val="Hyperlink"/>
                <w:noProof/>
              </w:rPr>
              <w:t>12.4</w:t>
            </w:r>
            <w:r>
              <w:rPr>
                <w:rFonts w:asciiTheme="minorHAnsi" w:hAnsiTheme="minorHAnsi" w:eastAsiaTheme="minorEastAsia" w:cstheme="minorBidi"/>
                <w:noProof/>
                <w:kern w:val="2"/>
                <w:sz w:val="24"/>
                <w14:ligatures w14:val="standardContextual"/>
              </w:rPr>
              <w:tab/>
            </w:r>
            <w:r w:rsidRPr="001A5593">
              <w:rPr>
                <w:rStyle w:val="Hyperlink"/>
                <w:noProof/>
              </w:rPr>
              <w:t>Loopbaan lesgevenden</w:t>
            </w:r>
            <w:r>
              <w:rPr>
                <w:noProof/>
                <w:webHidden/>
              </w:rPr>
              <w:tab/>
            </w:r>
            <w:r>
              <w:rPr>
                <w:noProof/>
                <w:webHidden/>
              </w:rPr>
              <w:fldChar w:fldCharType="begin"/>
            </w:r>
            <w:r>
              <w:rPr>
                <w:noProof/>
                <w:webHidden/>
              </w:rPr>
              <w:instrText xml:space="preserve"> PAGEREF _Toc203573650 \h </w:instrText>
            </w:r>
            <w:r>
              <w:rPr>
                <w:noProof/>
                <w:webHidden/>
              </w:rPr>
            </w:r>
            <w:r>
              <w:rPr>
                <w:noProof/>
                <w:webHidden/>
              </w:rPr>
              <w:fldChar w:fldCharType="separate"/>
            </w:r>
            <w:r>
              <w:rPr>
                <w:noProof/>
                <w:webHidden/>
              </w:rPr>
              <w:t>181</w:t>
            </w:r>
            <w:r>
              <w:rPr>
                <w:noProof/>
                <w:webHidden/>
              </w:rPr>
              <w:fldChar w:fldCharType="end"/>
            </w:r>
          </w:hyperlink>
        </w:p>
        <w:p w:rsidR="0078602D" w:rsidRDefault="0078602D" w14:paraId="2CD72499" w14:textId="6C355155">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651">
            <w:r w:rsidRPr="001A5593">
              <w:rPr>
                <w:rStyle w:val="Hyperlink"/>
                <w:noProof/>
              </w:rPr>
              <w:t>12.5</w:t>
            </w:r>
            <w:r>
              <w:rPr>
                <w:rFonts w:asciiTheme="minorHAnsi" w:hAnsiTheme="minorHAnsi" w:eastAsiaTheme="minorEastAsia" w:cstheme="minorBidi"/>
                <w:noProof/>
                <w:kern w:val="2"/>
                <w:sz w:val="24"/>
                <w14:ligatures w14:val="standardContextual"/>
              </w:rPr>
              <w:tab/>
            </w:r>
            <w:r w:rsidRPr="001A5593">
              <w:rPr>
                <w:rStyle w:val="Hyperlink"/>
                <w:noProof/>
              </w:rPr>
              <w:t>Toekomstige techniekdocenten</w:t>
            </w:r>
            <w:r>
              <w:rPr>
                <w:noProof/>
                <w:webHidden/>
              </w:rPr>
              <w:tab/>
            </w:r>
            <w:r>
              <w:rPr>
                <w:noProof/>
                <w:webHidden/>
              </w:rPr>
              <w:fldChar w:fldCharType="begin"/>
            </w:r>
            <w:r>
              <w:rPr>
                <w:noProof/>
                <w:webHidden/>
              </w:rPr>
              <w:instrText xml:space="preserve"> PAGEREF _Toc203573651 \h </w:instrText>
            </w:r>
            <w:r>
              <w:rPr>
                <w:noProof/>
                <w:webHidden/>
              </w:rPr>
            </w:r>
            <w:r>
              <w:rPr>
                <w:noProof/>
                <w:webHidden/>
              </w:rPr>
              <w:fldChar w:fldCharType="separate"/>
            </w:r>
            <w:r>
              <w:rPr>
                <w:noProof/>
                <w:webHidden/>
              </w:rPr>
              <w:t>183</w:t>
            </w:r>
            <w:r>
              <w:rPr>
                <w:noProof/>
                <w:webHidden/>
              </w:rPr>
              <w:fldChar w:fldCharType="end"/>
            </w:r>
          </w:hyperlink>
        </w:p>
        <w:p w:rsidR="0078602D" w:rsidRDefault="0078602D" w14:paraId="54A3D43A" w14:textId="4086968A">
          <w:pPr>
            <w:pStyle w:val="Inhopg2"/>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652">
            <w:r w:rsidRPr="001A5593">
              <w:rPr>
                <w:rStyle w:val="Hyperlink"/>
                <w:noProof/>
              </w:rPr>
              <w:t>12.6</w:t>
            </w:r>
            <w:r>
              <w:rPr>
                <w:rFonts w:asciiTheme="minorHAnsi" w:hAnsiTheme="minorHAnsi" w:eastAsiaTheme="minorEastAsia" w:cstheme="minorBidi"/>
                <w:noProof/>
                <w:kern w:val="2"/>
                <w:sz w:val="24"/>
                <w14:ligatures w14:val="standardContextual"/>
              </w:rPr>
              <w:tab/>
            </w:r>
            <w:r w:rsidRPr="001A5593">
              <w:rPr>
                <w:rStyle w:val="Hyperlink"/>
                <w:noProof/>
              </w:rPr>
              <w:t>Conclusie</w:t>
            </w:r>
            <w:r>
              <w:rPr>
                <w:noProof/>
                <w:webHidden/>
              </w:rPr>
              <w:tab/>
            </w:r>
            <w:r>
              <w:rPr>
                <w:noProof/>
                <w:webHidden/>
              </w:rPr>
              <w:fldChar w:fldCharType="begin"/>
            </w:r>
            <w:r>
              <w:rPr>
                <w:noProof/>
                <w:webHidden/>
              </w:rPr>
              <w:instrText xml:space="preserve"> PAGEREF _Toc203573652 \h </w:instrText>
            </w:r>
            <w:r>
              <w:rPr>
                <w:noProof/>
                <w:webHidden/>
              </w:rPr>
            </w:r>
            <w:r>
              <w:rPr>
                <w:noProof/>
                <w:webHidden/>
              </w:rPr>
              <w:fldChar w:fldCharType="separate"/>
            </w:r>
            <w:r>
              <w:rPr>
                <w:noProof/>
                <w:webHidden/>
              </w:rPr>
              <w:t>184</w:t>
            </w:r>
            <w:r>
              <w:rPr>
                <w:noProof/>
                <w:webHidden/>
              </w:rPr>
              <w:fldChar w:fldCharType="end"/>
            </w:r>
          </w:hyperlink>
        </w:p>
        <w:p w:rsidR="0078602D" w:rsidRDefault="0078602D" w14:paraId="2C119C53" w14:textId="0179DCE8">
          <w:pPr>
            <w:pStyle w:val="Inhopg1"/>
            <w:tabs>
              <w:tab w:val="right" w:leader="dot" w:pos="9350"/>
            </w:tabs>
            <w:rPr>
              <w:rFonts w:asciiTheme="minorHAnsi" w:hAnsiTheme="minorHAnsi" w:eastAsiaTheme="minorEastAsia" w:cstheme="minorBidi"/>
              <w:noProof/>
              <w:kern w:val="2"/>
              <w:sz w:val="24"/>
              <w14:ligatures w14:val="standardContextual"/>
            </w:rPr>
          </w:pPr>
          <w:hyperlink w:history="1" w:anchor="_Toc203573653">
            <w:r w:rsidRPr="001A5593">
              <w:rPr>
                <w:rStyle w:val="Hyperlink"/>
                <w:noProof/>
              </w:rPr>
              <w:t>Appendix bij bijlage 4 Verantwoording analyses docenten</w:t>
            </w:r>
            <w:r>
              <w:rPr>
                <w:noProof/>
                <w:webHidden/>
              </w:rPr>
              <w:tab/>
            </w:r>
            <w:r>
              <w:rPr>
                <w:noProof/>
                <w:webHidden/>
              </w:rPr>
              <w:fldChar w:fldCharType="begin"/>
            </w:r>
            <w:r>
              <w:rPr>
                <w:noProof/>
                <w:webHidden/>
              </w:rPr>
              <w:instrText xml:space="preserve"> PAGEREF _Toc203573653 \h </w:instrText>
            </w:r>
            <w:r>
              <w:rPr>
                <w:noProof/>
                <w:webHidden/>
              </w:rPr>
            </w:r>
            <w:r>
              <w:rPr>
                <w:noProof/>
                <w:webHidden/>
              </w:rPr>
              <w:fldChar w:fldCharType="separate"/>
            </w:r>
            <w:r>
              <w:rPr>
                <w:noProof/>
                <w:webHidden/>
              </w:rPr>
              <w:t>185</w:t>
            </w:r>
            <w:r>
              <w:rPr>
                <w:noProof/>
                <w:webHidden/>
              </w:rPr>
              <w:fldChar w:fldCharType="end"/>
            </w:r>
          </w:hyperlink>
        </w:p>
        <w:p w:rsidR="0078602D" w:rsidRDefault="0078602D" w14:paraId="3AA6DB2B" w14:textId="123A8D44">
          <w:pPr>
            <w:pStyle w:val="Inhopg1"/>
            <w:tabs>
              <w:tab w:val="left" w:pos="1077"/>
              <w:tab w:val="right" w:leader="dot" w:pos="9350"/>
            </w:tabs>
            <w:rPr>
              <w:rFonts w:asciiTheme="minorHAnsi" w:hAnsiTheme="minorHAnsi" w:eastAsiaTheme="minorEastAsia" w:cstheme="minorBidi"/>
              <w:noProof/>
              <w:kern w:val="2"/>
              <w:sz w:val="24"/>
              <w14:ligatures w14:val="standardContextual"/>
            </w:rPr>
          </w:pPr>
          <w:hyperlink w:history="1" w:anchor="_Toc203573654">
            <w:r w:rsidRPr="001A5593">
              <w:rPr>
                <w:rStyle w:val="Hyperlink"/>
                <w:noProof/>
              </w:rPr>
              <w:t>13</w:t>
            </w:r>
            <w:r>
              <w:rPr>
                <w:rFonts w:asciiTheme="minorHAnsi" w:hAnsiTheme="minorHAnsi" w:eastAsiaTheme="minorEastAsia" w:cstheme="minorBidi"/>
                <w:noProof/>
                <w:kern w:val="2"/>
                <w:sz w:val="24"/>
                <w14:ligatures w14:val="standardContextual"/>
              </w:rPr>
              <w:tab/>
            </w:r>
            <w:r w:rsidRPr="001A5593">
              <w:rPr>
                <w:rStyle w:val="Hyperlink"/>
                <w:noProof/>
              </w:rPr>
              <w:t>Bijlage 5 Referentielijst</w:t>
            </w:r>
            <w:r>
              <w:rPr>
                <w:noProof/>
                <w:webHidden/>
              </w:rPr>
              <w:tab/>
            </w:r>
            <w:r>
              <w:rPr>
                <w:noProof/>
                <w:webHidden/>
              </w:rPr>
              <w:fldChar w:fldCharType="begin"/>
            </w:r>
            <w:r>
              <w:rPr>
                <w:noProof/>
                <w:webHidden/>
              </w:rPr>
              <w:instrText xml:space="preserve"> PAGEREF _Toc203573654 \h </w:instrText>
            </w:r>
            <w:r>
              <w:rPr>
                <w:noProof/>
                <w:webHidden/>
              </w:rPr>
            </w:r>
            <w:r>
              <w:rPr>
                <w:noProof/>
                <w:webHidden/>
              </w:rPr>
              <w:fldChar w:fldCharType="separate"/>
            </w:r>
            <w:r>
              <w:rPr>
                <w:noProof/>
                <w:webHidden/>
              </w:rPr>
              <w:t>196</w:t>
            </w:r>
            <w:r>
              <w:rPr>
                <w:noProof/>
                <w:webHidden/>
              </w:rPr>
              <w:fldChar w:fldCharType="end"/>
            </w:r>
          </w:hyperlink>
        </w:p>
        <w:p w:rsidRPr="00C01750" w:rsidR="00193763" w:rsidRDefault="00193763" w14:paraId="1159A1B1" w14:textId="2E32D13F">
          <w:pPr>
            <w:rPr>
              <w:szCs w:val="18"/>
            </w:rPr>
          </w:pPr>
          <w:r w:rsidRPr="00C01750">
            <w:rPr>
              <w:b/>
              <w:bCs/>
              <w:noProof/>
              <w:szCs w:val="18"/>
            </w:rPr>
            <w:fldChar w:fldCharType="end"/>
          </w:r>
        </w:p>
      </w:sdtContent>
    </w:sdt>
    <w:p w:rsidR="00E64ECA" w:rsidP="00663676" w:rsidRDefault="00B937A8" w14:paraId="4A519243" w14:textId="477A2DC2">
      <w:pPr>
        <w:spacing w:after="160" w:line="259" w:lineRule="auto"/>
        <w:rPr>
          <w:rFonts w:cs="Arial"/>
          <w:szCs w:val="18"/>
        </w:rPr>
      </w:pPr>
      <w:bookmarkStart w:name="_Hlk158030143" w:id="3"/>
      <w:r>
        <w:br w:type="page"/>
      </w:r>
    </w:p>
    <w:p w:rsidRPr="00EC500C" w:rsidR="009E1D78" w:rsidP="00AC0671" w:rsidRDefault="00A45539" w14:paraId="0D8C1422" w14:textId="74A42A29">
      <w:pPr>
        <w:pStyle w:val="Kop1"/>
        <w:ind w:left="-284" w:firstLine="284"/>
      </w:pPr>
      <w:bookmarkStart w:name="_Toc203573556" w:id="4"/>
      <w:r w:rsidRPr="00F94B92">
        <w:lastRenderedPageBreak/>
        <w:t>Inleiding</w:t>
      </w:r>
      <w:bookmarkEnd w:id="4"/>
    </w:p>
    <w:p w:rsidR="009E1D78" w:rsidP="009E1D78" w:rsidRDefault="009E1D78" w14:paraId="51ED1A3E" w14:textId="06EE78A8">
      <w:r w:rsidRPr="00B249BE">
        <w:t>Tussen 2018 en 2024 is onder de noemer Sterk Techniekonderwijs (STO) gewerkt aan het versterken van het technisch vmbo in Nederland. In deze periode werd ruim €</w:t>
      </w:r>
      <w:r w:rsidR="00B71C68">
        <w:t>650</w:t>
      </w:r>
      <w:r w:rsidRPr="00B249BE" w:rsidR="00B71C68">
        <w:t xml:space="preserve"> </w:t>
      </w:r>
      <w:r w:rsidRPr="00B249BE">
        <w:t>miljoen geïnvesteerd in de zogenoemde ‘harde’ techniek</w:t>
      </w:r>
      <w:r>
        <w:t xml:space="preserve"> in het beroepsgerichte onderwijs</w:t>
      </w:r>
      <w:r w:rsidRPr="00B249BE">
        <w:t xml:space="preserve">. Aan deze impuls is een vervolg gegeven: de regeling wordt </w:t>
      </w:r>
      <w:r w:rsidR="008A4775">
        <w:t xml:space="preserve">structureel </w:t>
      </w:r>
      <w:r w:rsidRPr="008C2411">
        <w:t>gecontinueerd met een investering van €</w:t>
      </w:r>
      <w:r w:rsidR="008A4775">
        <w:t>100</w:t>
      </w:r>
      <w:r w:rsidRPr="008C2411" w:rsidR="008A4775">
        <w:t xml:space="preserve"> </w:t>
      </w:r>
      <w:r w:rsidRPr="008C2411">
        <w:t xml:space="preserve">miljoen </w:t>
      </w:r>
      <w:r w:rsidR="008A4775">
        <w:t>per jaar</w:t>
      </w:r>
      <w:r w:rsidRPr="008C2411">
        <w:t xml:space="preserve">. </w:t>
      </w:r>
    </w:p>
    <w:p w:rsidR="004F7478" w:rsidP="009E1D78" w:rsidRDefault="004F7478" w14:paraId="6C34641A" w14:textId="77777777"/>
    <w:p w:rsidR="009E1D78" w:rsidP="009E1D78" w:rsidRDefault="009E1D78" w14:paraId="101497B7" w14:textId="7FEFCD97">
      <w:r>
        <w:t xml:space="preserve">In de </w:t>
      </w:r>
      <w:r w:rsidR="00347DC2">
        <w:t>voorbereidende fase</w:t>
      </w:r>
      <w:r>
        <w:t xml:space="preserve"> (2018-</w:t>
      </w:r>
      <w:r w:rsidR="00347DC2">
        <w:t>2019</w:t>
      </w:r>
      <w:r>
        <w:t xml:space="preserve">) ontvingen </w:t>
      </w:r>
      <w:r w:rsidRPr="0097181C">
        <w:t>vmbo-scholen met techniekprofielen (PIE, BWI en M&amp;T) extra financiële ondersteuning om hun technische onderwijsvoorzieningen te verbeteren</w:t>
      </w:r>
      <w:r>
        <w:t xml:space="preserve">. Dit was bedoeld om deze zaken op orde te krijgen. </w:t>
      </w:r>
      <w:r w:rsidRPr="0097181C">
        <w:t>Met deze middelen konden zij onder andere investeren in machines, materialen en extra personeel</w:t>
      </w:r>
      <w:r>
        <w:t xml:space="preserve">. </w:t>
      </w:r>
      <w:r w:rsidRPr="0097181C">
        <w:t xml:space="preserve">Daarnaast kregen </w:t>
      </w:r>
      <w:r>
        <w:t>vmbo-</w:t>
      </w:r>
      <w:r w:rsidRPr="0097181C">
        <w:t>scholen budget om samen met regionale partners</w:t>
      </w:r>
      <w:r>
        <w:t xml:space="preserve">, </w:t>
      </w:r>
      <w:r w:rsidRPr="0097181C">
        <w:t>zoals mbo-instellingen, bedrijven en lokale overheden</w:t>
      </w:r>
      <w:r>
        <w:t>,</w:t>
      </w:r>
      <w:r w:rsidRPr="0097181C">
        <w:t xml:space="preserve"> een regioplan op te stellen</w:t>
      </w:r>
      <w:r>
        <w:t xml:space="preserve"> gericht op </w:t>
      </w:r>
      <w:r w:rsidRPr="0097181C">
        <w:t>het realiseren van een toekomstbestendig, breed en kwalitatief sterk technisch onderwijsaanbod in de regio. Dit leidde tot de vorming van 78 regio’s</w:t>
      </w:r>
      <w:r>
        <w:rPr>
          <w:rStyle w:val="Voetnootmarkering"/>
        </w:rPr>
        <w:footnoteReference w:id="2"/>
      </w:r>
      <w:r w:rsidRPr="0097181C">
        <w:t xml:space="preserve">, die samen </w:t>
      </w:r>
      <w:r>
        <w:t>bijna alle vmbo-scholen</w:t>
      </w:r>
      <w:r w:rsidRPr="0097181C">
        <w:t xml:space="preserve"> </w:t>
      </w:r>
      <w:r>
        <w:t>van Nederland omvatten</w:t>
      </w:r>
      <w:r w:rsidRPr="0097181C">
        <w:t xml:space="preserve">. De vmbo-scholen </w:t>
      </w:r>
      <w:r w:rsidR="00F51124">
        <w:t>war</w:t>
      </w:r>
      <w:r w:rsidR="00E14831">
        <w:t>en als penvoerder verantwoordelijk om het voortouw te nemen</w:t>
      </w:r>
      <w:r w:rsidRPr="0097181C">
        <w:t xml:space="preserve"> en bepaalden binnen landelijke kaders de invulling van hun regionale samenwerking. </w:t>
      </w:r>
      <w:r w:rsidRPr="0096311C" w:rsidR="00B908A5">
        <w:t>Voor elke regio is er landelijk en regionaal ondersteuning beschikbaar: landelijk via de site https://www.sterktechniekonderwijs.nl/ met regio-cijfers en kennisdeling; regionaal is er ondersteuning bij het maken en realiseren van plannen, onder meer door reflectiegesprekken.</w:t>
      </w:r>
      <w:r w:rsidRPr="0097181C" w:rsidR="00B908A5">
        <w:t xml:space="preserve"> </w:t>
      </w:r>
      <w:r w:rsidRPr="0097181C">
        <w:t xml:space="preserve">In de periode 2020 tot en met 2024 </w:t>
      </w:r>
      <w:r w:rsidR="004C47AF">
        <w:t xml:space="preserve">startte de uitvoering van STO en </w:t>
      </w:r>
      <w:r w:rsidRPr="0097181C">
        <w:t>richtten de regio’s zich op de uitvoering van hun plannen.</w:t>
      </w:r>
      <w:r>
        <w:t xml:space="preserve"> Daarin werd ook al door een aantal regio’s gericht op de borging en ver</w:t>
      </w:r>
      <w:r w:rsidR="00636CAC">
        <w:t>duur</w:t>
      </w:r>
      <w:r>
        <w:t xml:space="preserve">zamen van STO in de regio. </w:t>
      </w:r>
    </w:p>
    <w:p w:rsidR="004F7478" w:rsidP="009E1D78" w:rsidRDefault="004F7478" w14:paraId="4DB03722" w14:textId="77777777"/>
    <w:p w:rsidR="009E1D78" w:rsidP="009E1D78" w:rsidRDefault="009E1D78" w14:paraId="010CFD22" w14:textId="13EA2A10">
      <w:r w:rsidRPr="008C2411">
        <w:t>In</w:t>
      </w:r>
      <w:r>
        <w:t xml:space="preserve"> de nieuwe regeling </w:t>
      </w:r>
      <w:r w:rsidRPr="008C2411">
        <w:t xml:space="preserve">STO </w:t>
      </w:r>
      <w:r>
        <w:t>voor komende jaren (</w:t>
      </w:r>
      <w:r w:rsidRPr="008C2411">
        <w:t>2025-202</w:t>
      </w:r>
      <w:r w:rsidR="004F7478">
        <w:t>9</w:t>
      </w:r>
      <w:r>
        <w:t>)</w:t>
      </w:r>
      <w:r w:rsidRPr="008C2411">
        <w:t xml:space="preserve"> </w:t>
      </w:r>
      <w:r>
        <w:t>is</w:t>
      </w:r>
      <w:r w:rsidRPr="008C2411">
        <w:t xml:space="preserve"> de regeling verbreed</w:t>
      </w:r>
      <w:r>
        <w:t xml:space="preserve"> door te focussen op</w:t>
      </w:r>
      <w:r w:rsidRPr="008C2411">
        <w:t xml:space="preserve"> het gehele vmbo. Het doel is dat alle vmbo-leerlingen in aanraking komen met techniek</w:t>
      </w:r>
      <w:r w:rsidR="00F777FA">
        <w:t xml:space="preserve">, waarbij bijvoorbeeld </w:t>
      </w:r>
      <w:r w:rsidR="00725A90">
        <w:t>ook de praktijkgerichte programma’s (pgp’s) in vmbo gl en tl expliciet worden uitgeno</w:t>
      </w:r>
      <w:r w:rsidR="00D848FC">
        <w:t>digd</w:t>
      </w:r>
      <w:r w:rsidR="00725A90">
        <w:t xml:space="preserve"> om dee</w:t>
      </w:r>
      <w:r w:rsidR="00D848FC">
        <w:t>l</w:t>
      </w:r>
      <w:r w:rsidR="00725A90">
        <w:t xml:space="preserve"> te nemen aan STO.</w:t>
      </w:r>
      <w:r w:rsidR="00171F32">
        <w:t xml:space="preserve"> </w:t>
      </w:r>
      <w:r w:rsidR="00966CC1">
        <w:t xml:space="preserve">Ook is een beleidsdoel in de nieuwe periode om </w:t>
      </w:r>
      <w:r w:rsidR="00DB2725">
        <w:t>l</w:t>
      </w:r>
      <w:r w:rsidR="00966CC1">
        <w:t xml:space="preserve">eerlingen in niet-technische </w:t>
      </w:r>
      <w:r w:rsidR="00DB2725">
        <w:t>profielen de mogelijkheid te bieden techniek</w:t>
      </w:r>
      <w:r w:rsidR="00DF284E">
        <w:t>onderwijs te volgen</w:t>
      </w:r>
      <w:r w:rsidR="00DB2725">
        <w:t xml:space="preserve">. </w:t>
      </w:r>
      <w:r w:rsidRPr="008C2411" w:rsidR="00171F32">
        <w:t>De subsidie blijft regionaal ingericht</w:t>
      </w:r>
      <w:r w:rsidR="00171F32">
        <w:t xml:space="preserve"> met dezelfde doelen. </w:t>
      </w:r>
      <w:r w:rsidRPr="00F31161">
        <w:t>Het is aan de regio’s om te bepalen welke aanvullende initiatieven ter promotie van techniek in aanmerking komen voor subsidie.</w:t>
      </w:r>
      <w:r>
        <w:t xml:space="preserve"> </w:t>
      </w:r>
      <w:r w:rsidRPr="00F31161">
        <w:t xml:space="preserve">Met deze regeling wordt bovendien de samenwerking binnen regio’s verder versterkt. Naast de verplichte samenwerking tussen vmbo en mbo, is het voor het </w:t>
      </w:r>
      <w:r w:rsidR="004248AC">
        <w:t xml:space="preserve">behouden of </w:t>
      </w:r>
      <w:r w:rsidRPr="00F31161">
        <w:t xml:space="preserve">vergroten van de instroom en doorstroom van leerlingen in techniek belangrijk dat het vmbo nauwe banden onderhoudt met het primair onderwijs </w:t>
      </w:r>
      <w:r>
        <w:t xml:space="preserve">(po) </w:t>
      </w:r>
      <w:r w:rsidRPr="00F31161">
        <w:t>en andere sectoren van het voortgezet onderwijs</w:t>
      </w:r>
      <w:r>
        <w:t xml:space="preserve"> (vo)</w:t>
      </w:r>
      <w:r w:rsidRPr="00F31161">
        <w:t>. De regionale samenwerking vormt het fundament van STO.</w:t>
      </w:r>
    </w:p>
    <w:p w:rsidR="004F7478" w:rsidP="009E1D78" w:rsidRDefault="004F7478" w14:paraId="39701A03" w14:textId="77777777"/>
    <w:p w:rsidR="009E1D78" w:rsidP="009E1D78" w:rsidRDefault="009E1D78" w14:paraId="6A57B6EC" w14:textId="77777777">
      <w:r>
        <w:t xml:space="preserve">Het voorliggende eindrapport van het monitor- en evaluatieonderzoek STO richt zich op de resultaten van de eerste STO-periode 2020-2024, en geeft op basis van inzichten opgedaan in die periode een vooruitblik op komende jaren. </w:t>
      </w:r>
    </w:p>
    <w:p w:rsidRPr="00832357" w:rsidR="00832357" w:rsidP="009E1D78" w:rsidRDefault="00832357" w14:paraId="509DE5EE" w14:textId="77777777">
      <w:pPr>
        <w:rPr>
          <w:b/>
          <w:bCs/>
          <w:i/>
          <w:iCs/>
        </w:rPr>
      </w:pPr>
    </w:p>
    <w:p w:rsidR="009E1D78" w:rsidP="00283B39" w:rsidRDefault="00832357" w14:paraId="42117711" w14:textId="49631071">
      <w:pPr>
        <w:pStyle w:val="Kop2"/>
      </w:pPr>
      <w:bookmarkStart w:name="_Toc203573557" w:id="5"/>
      <w:r w:rsidRPr="003E00CB">
        <w:t>Achtergrond beleidsmaatregelen in het vmbo</w:t>
      </w:r>
      <w:bookmarkEnd w:id="5"/>
    </w:p>
    <w:p w:rsidR="009E43B6" w:rsidP="009E1D78" w:rsidRDefault="009E1D78" w14:paraId="47F5F5A2" w14:textId="2CE321D5">
      <w:r w:rsidRPr="007B362D">
        <w:t>Bijna tien jaar geleden, in 2016, werd het beroepsgerichte deel van het vmbo ingrijpend vernieuwd. Het aantal programma’s werd teruggebracht tot tien profielen, er kwam ruimte voor keuzevakken</w:t>
      </w:r>
      <w:r w:rsidR="004F7478">
        <w:t>,</w:t>
      </w:r>
      <w:r w:rsidRPr="007B362D">
        <w:t xml:space="preserve"> en loopbaanoriëntatie en -begeleiding (LOB) werd als vast onderdeel in de programma’s opgenomen.</w:t>
      </w:r>
      <w:r>
        <w:t xml:space="preserve"> Sindsdien zijn in het beroepsgerichte vmbo (d.w.z. </w:t>
      </w:r>
      <w:r w:rsidRPr="007A6F22">
        <w:t>basisberoepsgerichte</w:t>
      </w:r>
      <w:r>
        <w:t xml:space="preserve"> (bb)</w:t>
      </w:r>
      <w:r w:rsidRPr="007A6F22">
        <w:t xml:space="preserve">, de kaderberoepsgerichte </w:t>
      </w:r>
      <w:r>
        <w:t xml:space="preserve">(kb) </w:t>
      </w:r>
      <w:r w:rsidRPr="007A6F22">
        <w:t>en de gemengde leerweg</w:t>
      </w:r>
      <w:r>
        <w:t xml:space="preserve"> (gl)) de volgende tien profielen, opgedeeld in techniek en niet-techniek, ondergebracht: </w:t>
      </w:r>
    </w:p>
    <w:p w:rsidR="009E43B6" w:rsidRDefault="009E43B6" w14:paraId="2095B389" w14:textId="77777777">
      <w:pPr>
        <w:spacing w:after="160" w:line="259" w:lineRule="auto"/>
      </w:pPr>
      <w:r>
        <w:br w:type="page"/>
      </w:r>
    </w:p>
    <w:p w:rsidR="009E1D78" w:rsidP="009E1D78" w:rsidRDefault="009E1D78" w14:paraId="74E26900" w14:textId="77777777"/>
    <w:tbl>
      <w:tblPr>
        <w:tblStyle w:val="Tabelraster"/>
        <w:tblW w:w="0" w:type="auto"/>
        <w:tblLook w:val="04A0" w:firstRow="1" w:lastRow="0" w:firstColumn="1" w:lastColumn="0" w:noHBand="0" w:noVBand="1"/>
      </w:tblPr>
      <w:tblGrid>
        <w:gridCol w:w="4531"/>
        <w:gridCol w:w="4531"/>
      </w:tblGrid>
      <w:tr w:rsidR="009E1D78" w:rsidTr="00FC2172" w14:paraId="1FD9ACBB" w14:textId="77777777">
        <w:tc>
          <w:tcPr>
            <w:tcW w:w="4531" w:type="dxa"/>
          </w:tcPr>
          <w:p w:rsidRPr="00C27E4B" w:rsidR="009E1D78" w:rsidP="00FC2172" w:rsidRDefault="009E1D78" w14:paraId="41DD1361" w14:textId="77777777">
            <w:pPr>
              <w:rPr>
                <w:b/>
                <w:bCs/>
              </w:rPr>
            </w:pPr>
            <w:r w:rsidRPr="00C27E4B">
              <w:rPr>
                <w:b/>
                <w:bCs/>
              </w:rPr>
              <w:t>Techniek</w:t>
            </w:r>
          </w:p>
        </w:tc>
        <w:tc>
          <w:tcPr>
            <w:tcW w:w="4531" w:type="dxa"/>
          </w:tcPr>
          <w:p w:rsidRPr="00C27E4B" w:rsidR="009E1D78" w:rsidP="00FC2172" w:rsidRDefault="009E1D78" w14:paraId="593D4DAC" w14:textId="77777777">
            <w:pPr>
              <w:rPr>
                <w:b/>
                <w:bCs/>
              </w:rPr>
            </w:pPr>
            <w:r w:rsidRPr="00C27E4B">
              <w:rPr>
                <w:b/>
                <w:bCs/>
              </w:rPr>
              <w:t>Niet- techniek</w:t>
            </w:r>
          </w:p>
        </w:tc>
      </w:tr>
      <w:tr w:rsidR="009E1D78" w:rsidTr="00FC2172" w14:paraId="0ED436BE" w14:textId="77777777">
        <w:tc>
          <w:tcPr>
            <w:tcW w:w="4531" w:type="dxa"/>
          </w:tcPr>
          <w:p w:rsidR="009E1D78" w:rsidP="00FC2172" w:rsidRDefault="009E1D78" w14:paraId="7CC45553" w14:textId="77777777">
            <w:r w:rsidRPr="004247A2">
              <w:t xml:space="preserve">Produceren, Installeren </w:t>
            </w:r>
            <w:r>
              <w:t>en</w:t>
            </w:r>
            <w:r w:rsidRPr="004247A2">
              <w:t xml:space="preserve"> Energie</w:t>
            </w:r>
            <w:r>
              <w:t xml:space="preserve"> (PIE)</w:t>
            </w:r>
          </w:p>
        </w:tc>
        <w:tc>
          <w:tcPr>
            <w:tcW w:w="4531" w:type="dxa"/>
          </w:tcPr>
          <w:p w:rsidR="009E1D78" w:rsidP="00FC2172" w:rsidRDefault="009E1D78" w14:paraId="130A57BA" w14:textId="77777777">
            <w:r w:rsidRPr="00E96DA4">
              <w:t xml:space="preserve">Zorg </w:t>
            </w:r>
            <w:r>
              <w:t>en</w:t>
            </w:r>
            <w:r w:rsidRPr="00E96DA4">
              <w:t xml:space="preserve"> Welzijn</w:t>
            </w:r>
            <w:r>
              <w:t xml:space="preserve"> (Z&amp;W)</w:t>
            </w:r>
          </w:p>
        </w:tc>
      </w:tr>
      <w:tr w:rsidR="009E1D78" w:rsidTr="00FC2172" w14:paraId="66C3D96E" w14:textId="77777777">
        <w:tc>
          <w:tcPr>
            <w:tcW w:w="4531" w:type="dxa"/>
          </w:tcPr>
          <w:p w:rsidR="009E1D78" w:rsidP="00FC2172" w:rsidRDefault="009E1D78" w14:paraId="7E44C507" w14:textId="77777777">
            <w:r w:rsidRPr="004247A2">
              <w:t xml:space="preserve">Bouwen, Wonen </w:t>
            </w:r>
            <w:r>
              <w:t>en</w:t>
            </w:r>
            <w:r w:rsidRPr="004247A2">
              <w:t xml:space="preserve"> Interieur</w:t>
            </w:r>
            <w:r>
              <w:t xml:space="preserve"> (BWI)</w:t>
            </w:r>
          </w:p>
        </w:tc>
        <w:tc>
          <w:tcPr>
            <w:tcW w:w="4531" w:type="dxa"/>
          </w:tcPr>
          <w:p w:rsidR="009E1D78" w:rsidP="00FC2172" w:rsidRDefault="009E1D78" w14:paraId="2F478B9D" w14:textId="77777777">
            <w:r w:rsidRPr="00E96DA4">
              <w:t>Dienstverlening en Producten</w:t>
            </w:r>
            <w:r>
              <w:t xml:space="preserve"> (D&amp;P)</w:t>
            </w:r>
          </w:p>
        </w:tc>
      </w:tr>
      <w:tr w:rsidR="009E1D78" w:rsidTr="00FC2172" w14:paraId="48E4A98A" w14:textId="77777777">
        <w:tc>
          <w:tcPr>
            <w:tcW w:w="4531" w:type="dxa"/>
          </w:tcPr>
          <w:p w:rsidR="009E1D78" w:rsidP="00FC2172" w:rsidRDefault="009E1D78" w14:paraId="0279312C" w14:textId="77777777">
            <w:r w:rsidRPr="004247A2">
              <w:t xml:space="preserve">Maritiem </w:t>
            </w:r>
            <w:r>
              <w:t>en</w:t>
            </w:r>
            <w:r w:rsidRPr="004247A2">
              <w:t xml:space="preserve"> Techniek</w:t>
            </w:r>
            <w:r>
              <w:t xml:space="preserve"> (MaT)</w:t>
            </w:r>
          </w:p>
        </w:tc>
        <w:tc>
          <w:tcPr>
            <w:tcW w:w="4531" w:type="dxa"/>
          </w:tcPr>
          <w:p w:rsidR="009E1D78" w:rsidP="00FC2172" w:rsidRDefault="009E1D78" w14:paraId="7E602126" w14:textId="77777777">
            <w:r w:rsidRPr="00E96DA4">
              <w:t xml:space="preserve">Economie </w:t>
            </w:r>
            <w:r>
              <w:t>en</w:t>
            </w:r>
            <w:r w:rsidRPr="00E96DA4">
              <w:t xml:space="preserve"> Ondernemen</w:t>
            </w:r>
            <w:r>
              <w:t xml:space="preserve"> (E&amp;O)</w:t>
            </w:r>
          </w:p>
        </w:tc>
      </w:tr>
      <w:tr w:rsidR="009E1D78" w:rsidTr="00FC2172" w14:paraId="7DF8BE28" w14:textId="77777777">
        <w:tc>
          <w:tcPr>
            <w:tcW w:w="4531" w:type="dxa"/>
          </w:tcPr>
          <w:p w:rsidRPr="00283B39" w:rsidR="009E1D78" w:rsidP="00FC2172" w:rsidRDefault="009E1D78" w14:paraId="0748F1EC" w14:textId="77777777">
            <w:pPr>
              <w:rPr>
                <w:lang w:val="fr-FR"/>
              </w:rPr>
            </w:pPr>
            <w:r w:rsidRPr="00283B39">
              <w:rPr>
                <w:lang w:val="fr-FR"/>
              </w:rPr>
              <w:t>Mobiliteit en Transport (M&amp;T)</w:t>
            </w:r>
          </w:p>
        </w:tc>
        <w:tc>
          <w:tcPr>
            <w:tcW w:w="4531" w:type="dxa"/>
          </w:tcPr>
          <w:p w:rsidR="009E1D78" w:rsidP="00FC2172" w:rsidRDefault="009E1D78" w14:paraId="14759599" w14:textId="77777777">
            <w:r w:rsidRPr="00E96DA4">
              <w:t>Groen</w:t>
            </w:r>
            <w:r>
              <w:t xml:space="preserve"> (Groen)</w:t>
            </w:r>
          </w:p>
        </w:tc>
      </w:tr>
      <w:tr w:rsidR="009E1D78" w:rsidTr="00FC2172" w14:paraId="1E873318" w14:textId="77777777">
        <w:tc>
          <w:tcPr>
            <w:tcW w:w="4531" w:type="dxa"/>
          </w:tcPr>
          <w:p w:rsidRPr="00E6000F" w:rsidR="009E1D78" w:rsidP="00FC2172" w:rsidRDefault="009E1D78" w14:paraId="4AA411D8" w14:textId="77777777">
            <w:r w:rsidRPr="00E96DA4">
              <w:t>Media, Vormgeving &amp; ICT</w:t>
            </w:r>
            <w:r>
              <w:t xml:space="preserve"> (MVI)</w:t>
            </w:r>
          </w:p>
        </w:tc>
        <w:tc>
          <w:tcPr>
            <w:tcW w:w="4531" w:type="dxa"/>
          </w:tcPr>
          <w:p w:rsidR="009E1D78" w:rsidP="00FC2172" w:rsidRDefault="009E1D78" w14:paraId="134D7B7D" w14:textId="77777777">
            <w:r w:rsidRPr="00E96DA4">
              <w:t>Horeca, Bakkerij &amp; Recreatie</w:t>
            </w:r>
            <w:r>
              <w:t xml:space="preserve"> (HBR)</w:t>
            </w:r>
          </w:p>
        </w:tc>
      </w:tr>
    </w:tbl>
    <w:p w:rsidR="009E1D78" w:rsidP="009E1D78" w:rsidRDefault="009E1D78" w14:paraId="43BFDA8A" w14:textId="77777777"/>
    <w:p w:rsidR="009E1D78" w:rsidP="009E1D78" w:rsidRDefault="009E1D78" w14:paraId="322FAA2A" w14:textId="77777777">
      <w:r>
        <w:t xml:space="preserve">Vmbo-leerlingen kiezen aan het einde van het tweede leerjaar voor een profiel. Vmbo-scholen mogen deze profielen alleen aanbieden wanneer zij hiervoor een licentie hebben; de zogenaamde profiellicentie. </w:t>
      </w:r>
      <w:r w:rsidRPr="00165304">
        <w:t xml:space="preserve">Een licentie voor de profielen MVI en MaT kan alleen worden toegekend wanneer er een nieuwe school wordt opgericht. Dit betekent dat scholen die momenteel geen licentie voor deze (kleine) </w:t>
      </w:r>
      <w:r>
        <w:t>techniek-</w:t>
      </w:r>
      <w:r w:rsidRPr="00165304">
        <w:t>profielen hebben, deze ook in de toekomst niet kunnen verkrijgen. Met andere woorden: deze twee techniekprofielen zijn ‘niet onderhandelbaar’.</w:t>
      </w:r>
      <w:r>
        <w:t xml:space="preserve"> </w:t>
      </w:r>
    </w:p>
    <w:p w:rsidR="004F7478" w:rsidP="009E1D78" w:rsidRDefault="004F7478" w14:paraId="788FA9F0" w14:textId="77777777"/>
    <w:p w:rsidR="009E1D78" w:rsidP="009E1D78" w:rsidRDefault="009E1D78" w14:paraId="699FD26A" w14:textId="570511FB">
      <w:r>
        <w:t xml:space="preserve">Kort na deze vernieuwing in 2018 startte de eerste STO-regeling. De subsidie werd </w:t>
      </w:r>
      <w:r w:rsidR="004F7478">
        <w:t xml:space="preserve">vanwege corona </w:t>
      </w:r>
      <w:r>
        <w:t>verlengd in 2024 en vanaf 2025 loopt de nieuwe STO-periode 2025-202</w:t>
      </w:r>
      <w:r w:rsidR="004F7478">
        <w:t>9</w:t>
      </w:r>
      <w:r>
        <w:t xml:space="preserve">. </w:t>
      </w:r>
    </w:p>
    <w:p w:rsidR="004F7478" w:rsidP="009E1D78" w:rsidRDefault="004F7478" w14:paraId="047CFE9E" w14:textId="77777777"/>
    <w:p w:rsidR="009E1D78" w:rsidP="009E1D78" w:rsidRDefault="009E1D78" w14:paraId="33581F73" w14:textId="040C9B91">
      <w:r>
        <w:t>Tegelijkertijd vond in de periode 2020-2024 ook een pilot plaats onder ongeveer 150 scholen waarbij vmbo-scholen aan leerlingen uit de gemengde of theoretische leerweg (tl) een praktijkgericht programma (pgp) aanboden. Bij dit</w:t>
      </w:r>
      <w:r w:rsidRPr="0056432C">
        <w:t xml:space="preserve"> </w:t>
      </w:r>
      <w:r>
        <w:t>pgp</w:t>
      </w:r>
      <w:r w:rsidRPr="0056432C">
        <w:t xml:space="preserve">, dat vanaf 2024/2025 als </w:t>
      </w:r>
      <w:r>
        <w:t xml:space="preserve">wettelijk </w:t>
      </w:r>
      <w:r w:rsidRPr="0056432C">
        <w:t>examenvak geldt,</w:t>
      </w:r>
      <w:r>
        <w:t xml:space="preserve"> doen leerlingen een </w:t>
      </w:r>
      <w:r w:rsidRPr="00EB4823">
        <w:t xml:space="preserve">praktijkgerichte opdracht bij </w:t>
      </w:r>
      <w:r>
        <w:t xml:space="preserve">of voor </w:t>
      </w:r>
      <w:r w:rsidRPr="00EB4823">
        <w:t>bedrij</w:t>
      </w:r>
      <w:r>
        <w:t xml:space="preserve">f of instelling. Het is bedoeld om leerlingen te laten </w:t>
      </w:r>
      <w:r w:rsidRPr="004416BA">
        <w:t xml:space="preserve">ontdekken </w:t>
      </w:r>
      <w:r>
        <w:t>wat hun</w:t>
      </w:r>
      <w:r w:rsidRPr="004416BA">
        <w:t xml:space="preserve"> sterke en zwakke punten</w:t>
      </w:r>
      <w:r>
        <w:t xml:space="preserve"> zijn</w:t>
      </w:r>
      <w:r w:rsidRPr="004416BA">
        <w:t xml:space="preserve"> en</w:t>
      </w:r>
      <w:r>
        <w:t xml:space="preserve"> hen te laten</w:t>
      </w:r>
      <w:r w:rsidRPr="004416BA">
        <w:t xml:space="preserve"> oriënteren op vervolgopleidingen en de arbeidsmarkt. </w:t>
      </w:r>
      <w:r>
        <w:t xml:space="preserve">Hoewel de insteek hier niet alleen op techniek </w:t>
      </w:r>
      <w:r w:rsidR="004F7478">
        <w:t>gericht</w:t>
      </w:r>
      <w:r>
        <w:t xml:space="preserve"> is, overlappen de doelen wel deels met het STO-programma</w:t>
      </w:r>
      <w:r w:rsidR="00152038">
        <w:t>. O</w:t>
      </w:r>
      <w:r w:rsidR="00381510">
        <w:t>ok vallen de technische pgp’s onder STO</w:t>
      </w:r>
      <w:r>
        <w:t xml:space="preserve">. </w:t>
      </w:r>
    </w:p>
    <w:p w:rsidR="00F35435" w:rsidP="009E1D78" w:rsidRDefault="00F35435" w14:paraId="5C401F18" w14:textId="77777777"/>
    <w:p w:rsidR="00F35435" w:rsidP="009E1D78" w:rsidRDefault="7AD8F1E9" w14:paraId="6E944341" w14:textId="636879C1">
      <w:r w:rsidRPr="001738D8">
        <w:t xml:space="preserve">Experiment </w:t>
      </w:r>
      <w:r w:rsidRPr="001738D8" w:rsidR="00F35435">
        <w:t>PIE/BWI</w:t>
      </w:r>
      <w:r w:rsidRPr="001738D8" w:rsidR="75F9069B">
        <w:t>:</w:t>
      </w:r>
      <w:r w:rsidR="75F9069B">
        <w:t xml:space="preserve"> </w:t>
      </w:r>
      <w:r w:rsidR="54260D58">
        <w:t>Mede te</w:t>
      </w:r>
      <w:r w:rsidR="5B02E90D">
        <w:t>gen de achtergrond van dalende leerlin</w:t>
      </w:r>
      <w:r w:rsidR="5ED6EB18">
        <w:t>g</w:t>
      </w:r>
      <w:r w:rsidR="5B02E90D">
        <w:t xml:space="preserve">aantallen speelt de vraag in hoeverre het beroepsgerichte vmbo </w:t>
      </w:r>
      <w:r w:rsidR="5300D788">
        <w:t xml:space="preserve">ook </w:t>
      </w:r>
      <w:r w:rsidR="5B02E90D">
        <w:t xml:space="preserve">in de toekomst </w:t>
      </w:r>
      <w:r w:rsidR="047CBEC0">
        <w:t xml:space="preserve">eigentijds en </w:t>
      </w:r>
      <w:r w:rsidR="157AF07C">
        <w:t xml:space="preserve">organiseerbaar kan blijven. In het experiment PIE/BWI mogen scholen onder voorwaarden </w:t>
      </w:r>
      <w:r w:rsidR="119FC892">
        <w:t xml:space="preserve">experimenteren met een andere opbouw van het programma. Het experiment loopt van 2022-2028. Hoewel de doelen </w:t>
      </w:r>
      <w:r w:rsidR="46C5C286">
        <w:t>van STO en PIE/BWI overlappen</w:t>
      </w:r>
      <w:r w:rsidR="028499B9">
        <w:t>,</w:t>
      </w:r>
      <w:r w:rsidR="46C5C286">
        <w:t xml:space="preserve"> is het binnen STO de bedoeling dat scholen gezamenlijk tot een re</w:t>
      </w:r>
      <w:r w:rsidR="3BF96F8F">
        <w:t xml:space="preserve">gionale aanpak komen, terwijl scholen op individuele basis deelnemen aan het experiment (Mulder &amp; Voncken, 2025 i.v.) </w:t>
      </w:r>
      <w:r w:rsidR="157AF07C">
        <w:t xml:space="preserve"> </w:t>
      </w:r>
    </w:p>
    <w:p w:rsidRPr="004416BA" w:rsidR="004F7478" w:rsidP="009E1D78" w:rsidRDefault="004F7478" w14:paraId="10E97106" w14:textId="77777777"/>
    <w:p w:rsidR="00E66CE1" w:rsidP="009E1D78" w:rsidRDefault="009E1D78" w14:paraId="5AAE7963" w14:textId="6A108F9C">
      <w:r>
        <w:t>Kort gezegd zijn de effecten van ontwikkelingen, zoals de vernieuwing in het vmbo, en subsidies zoals STO</w:t>
      </w:r>
      <w:r w:rsidR="00E23F08">
        <w:t xml:space="preserve">, </w:t>
      </w:r>
      <w:r>
        <w:t>pgp</w:t>
      </w:r>
      <w:r w:rsidR="00E23F08">
        <w:t xml:space="preserve"> en experiment PIE/BWI</w:t>
      </w:r>
      <w:r>
        <w:t xml:space="preserve">, moeilijk te onderscheiden. Ze liggen in elkaars verlengde of overlappen in de doelen. Tegen deze achtergrond hebben we de impact van STO onderzocht. </w:t>
      </w:r>
    </w:p>
    <w:p w:rsidRPr="00832357" w:rsidR="009E1D78" w:rsidP="00283B39" w:rsidRDefault="009E1D78" w14:paraId="6A2CCF1F" w14:textId="112301B2">
      <w:bookmarkStart w:name="_Hlk199331225" w:id="6"/>
    </w:p>
    <w:p w:rsidRPr="00CF094C" w:rsidR="00832357" w:rsidP="00283B39" w:rsidRDefault="00832357" w14:paraId="5B88635F" w14:textId="11202C72">
      <w:pPr>
        <w:pStyle w:val="Kop2"/>
      </w:pPr>
      <w:bookmarkStart w:name="_Toc203573558" w:id="7"/>
      <w:r w:rsidRPr="00CF094C">
        <w:t>Actuele cijfers over leerlingenaantallen</w:t>
      </w:r>
      <w:bookmarkEnd w:id="7"/>
    </w:p>
    <w:p w:rsidR="009E1D78" w:rsidP="009E1D78" w:rsidRDefault="009E1D78" w14:paraId="5412D744" w14:textId="031DE2CE">
      <w:r>
        <w:t>In de eerste STO-periode is het absolute aantal leerlingen in het hele vo gedaald, en de verwachting is dat deze komende jaren nog verder gaat dalen</w:t>
      </w:r>
      <w:r>
        <w:rPr>
          <w:rStyle w:val="Voetnootmarkering"/>
        </w:rPr>
        <w:footnoteReference w:id="3"/>
      </w:r>
      <w:r>
        <w:t xml:space="preserve">. Deze ontwikkeling zorgt voor een extra uitdaging in het behalen van de doelen van STO. Ook de meest recente cijfers (voorlopige cijfers DUO februari 2025) laten een lichte daling van leerlingaantallen in het beroepsgerichte vmbo zien (0,5 procent) ten opzichte van het schooljaar ervoor. Binnen het beroepsgerichte vmbo blijkt uit de voorlopige cijfers dat de leerlingenaantallen in 2024-2025 in de </w:t>
      </w:r>
      <w:r w:rsidRPr="007A6F22">
        <w:t>basis</w:t>
      </w:r>
      <w:r>
        <w:t>- en</w:t>
      </w:r>
      <w:r w:rsidRPr="007A6F22">
        <w:t xml:space="preserve"> de kaderberoepsgerichte</w:t>
      </w:r>
      <w:r>
        <w:t xml:space="preserve"> leerwegen wel licht groeien (respectievelijk 2 en 1 procent), terwijl de leerlingenaantallen aanzienlijk afnemen bij de gemengde leerweg (6,7 procent oftewel meer dan 1000 leerlingen) </w:t>
      </w:r>
      <w:r w:rsidRPr="009B0070">
        <w:t>ten opzichte van schooljaar</w:t>
      </w:r>
      <w:r>
        <w:t xml:space="preserve"> 2023-2024. Bij drie van de vijf technische profielen (M&amp;T, MaT en MVI) is een toename te zien in het aantal leerlingen in vergelijking met vorig schooljaar. De grootste afnames zien we in de aantallen leerlingen in de technische profielen BWI (-4,8 procent) en PIE (-7,7 procent)</w:t>
      </w:r>
      <w:r w:rsidR="4A7477AE">
        <w:t>.</w:t>
      </w:r>
      <w:r>
        <w:t xml:space="preserve"> </w:t>
      </w:r>
      <w:r w:rsidRPr="666DCFC1" w:rsidR="3C1887E7">
        <w:rPr>
          <w:rFonts w:eastAsia="Trebuchet MS" w:cs="Trebuchet MS"/>
          <w:szCs w:val="18"/>
        </w:rPr>
        <w:t>Een deel van deze afname wordt mogelijk gecompenseerd door deelname aan het nieuwe combinatieprofiel ‘BWI en PIE’, al is dit op dit moment nog niet zichtbaar in de registergegevens van DUO.</w:t>
      </w:r>
      <w:r>
        <w:t xml:space="preserve"> ￼In dit rapport gaan we dieper in op ontwikkelingen in leerlingaantallen en doorstroom naar het (technisch) mbo in afgelopen jaren.</w:t>
      </w:r>
    </w:p>
    <w:p w:rsidRPr="00832357" w:rsidR="00AC0671" w:rsidP="009E1D78" w:rsidRDefault="00AC0671" w14:paraId="393908DD" w14:textId="77777777">
      <w:pPr>
        <w:rPr>
          <w:b/>
          <w:bCs/>
        </w:rPr>
      </w:pPr>
    </w:p>
    <w:p w:rsidRPr="00CF094C" w:rsidR="00832357" w:rsidP="00283B39" w:rsidRDefault="00832357" w14:paraId="512DC0B8" w14:textId="7FC656C3">
      <w:pPr>
        <w:pStyle w:val="Kop2"/>
      </w:pPr>
      <w:bookmarkStart w:name="_Toc203573559" w:id="8"/>
      <w:bookmarkEnd w:id="6"/>
      <w:r w:rsidRPr="00CF094C">
        <w:t>Evaluatie en monitoring STO</w:t>
      </w:r>
      <w:bookmarkEnd w:id="8"/>
    </w:p>
    <w:p w:rsidR="009E1D78" w:rsidP="009E1D78" w:rsidRDefault="009E1D78" w14:paraId="31D2BF0F" w14:textId="22B0F950">
      <w:r w:rsidRPr="000D2514">
        <w:t xml:space="preserve">Aan het begin van het huidige monitor- en evaluatieonderzoek is een achtergrondschets opgesteld van STO (zie </w:t>
      </w:r>
      <w:r>
        <w:t>kader</w:t>
      </w:r>
      <w:r w:rsidRPr="000D2514">
        <w:t>). Deze schets biedt inzicht in de context waarin STO plaatsvindt en maakt duidelijk welke resultaten worden nagestreefd en via welke mechanismen die bereikt kunnen worden. Daarnaast concretiseert de</w:t>
      </w:r>
      <w:r>
        <w:t xml:space="preserve"> </w:t>
      </w:r>
      <w:r w:rsidRPr="000D2514">
        <w:t>achtergrondschets de kernbegrippen van STO: een duurzaam, dekkend en kwalitatief sterk techniekonderwijsaanbod.</w:t>
      </w:r>
    </w:p>
    <w:p w:rsidR="009E1D78" w:rsidP="009E1D78" w:rsidRDefault="009E1D78" w14:paraId="7CF86AC0" w14:textId="77777777">
      <w:r w:rsidRPr="00F8096F">
        <w:rPr>
          <w:noProof/>
        </w:rPr>
        <w:drawing>
          <wp:inline distT="0" distB="0" distL="0" distR="0" wp14:anchorId="2B592579" wp14:editId="15FF5246">
            <wp:extent cx="5760720" cy="3260725"/>
            <wp:effectExtent l="0" t="0" r="0" b="0"/>
            <wp:docPr id="156373639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60725"/>
                    </a:xfrm>
                    <a:prstGeom prst="rect">
                      <a:avLst/>
                    </a:prstGeom>
                    <a:noFill/>
                    <a:ln>
                      <a:noFill/>
                    </a:ln>
                  </pic:spPr>
                </pic:pic>
              </a:graphicData>
            </a:graphic>
          </wp:inline>
        </w:drawing>
      </w:r>
    </w:p>
    <w:p w:rsidR="00832357" w:rsidP="009E1D78" w:rsidRDefault="00832357" w14:paraId="78DDC97A" w14:textId="77777777"/>
    <w:p w:rsidR="00106025" w:rsidP="00106025" w:rsidRDefault="00121379" w14:paraId="68872F0D" w14:textId="6B1AAC83">
      <w:pPr>
        <w:rPr>
          <w:lang w:eastAsia="en-US"/>
        </w:rPr>
      </w:pPr>
      <w:r>
        <w:rPr>
          <w:lang w:eastAsia="en-US"/>
        </w:rPr>
        <w:t>De</w:t>
      </w:r>
      <w:r w:rsidR="00E2328B">
        <w:rPr>
          <w:lang w:eastAsia="en-US"/>
        </w:rPr>
        <w:t xml:space="preserve"> beleidstheorie achter</w:t>
      </w:r>
      <w:r>
        <w:rPr>
          <w:lang w:eastAsia="en-US"/>
        </w:rPr>
        <w:t xml:space="preserve"> </w:t>
      </w:r>
      <w:r w:rsidR="00C71919">
        <w:rPr>
          <w:lang w:eastAsia="en-US"/>
        </w:rPr>
        <w:t xml:space="preserve">de </w:t>
      </w:r>
      <w:r>
        <w:rPr>
          <w:lang w:eastAsia="en-US"/>
        </w:rPr>
        <w:t>regeling STO</w:t>
      </w:r>
      <w:r w:rsidR="00106025">
        <w:rPr>
          <w:lang w:eastAsia="en-US"/>
        </w:rPr>
        <w:t xml:space="preserve"> is </w:t>
      </w:r>
      <w:r w:rsidR="002A3D98">
        <w:rPr>
          <w:lang w:eastAsia="en-US"/>
        </w:rPr>
        <w:t xml:space="preserve">dus </w:t>
      </w:r>
      <w:r w:rsidR="00106025">
        <w:rPr>
          <w:lang w:eastAsia="en-US"/>
        </w:rPr>
        <w:t>gericht op drie hoofddoelen: het realiseren van dekkend, duurzaam en hoogwaardig technisch onderwijs, met regionale samenwerking als cruciale voorwaarde. Het programma beoogt structurele versterking van het technisch vmbo en heeft invloed op verschillende niveaus: van leerlingen en docenten tot scholen, bedrijven en de maatschappij als geheel.</w:t>
      </w:r>
      <w:r w:rsidR="004638A1">
        <w:rPr>
          <w:lang w:eastAsia="en-US"/>
        </w:rPr>
        <w:t xml:space="preserve"> Deze driedeling van doelen en de regionale samenwerking lopen als een rode draad door het onderzoek heen.</w:t>
      </w:r>
    </w:p>
    <w:p w:rsidR="0099254C" w:rsidP="00106025" w:rsidRDefault="0099254C" w14:paraId="6EFC15B3" w14:textId="77777777">
      <w:pPr>
        <w:rPr>
          <w:lang w:eastAsia="en-US"/>
        </w:rPr>
      </w:pPr>
    </w:p>
    <w:p w:rsidR="0099254C" w:rsidP="00106025" w:rsidRDefault="0099254C" w14:paraId="770C14CA" w14:textId="60DC0267">
      <w:pPr>
        <w:rPr>
          <w:lang w:eastAsia="en-US"/>
        </w:rPr>
      </w:pPr>
      <w:r>
        <w:rPr>
          <w:lang w:eastAsia="en-US"/>
        </w:rPr>
        <w:t xml:space="preserve">De </w:t>
      </w:r>
      <w:r w:rsidR="00C71919">
        <w:rPr>
          <w:lang w:eastAsia="en-US"/>
        </w:rPr>
        <w:t>onderzoeks</w:t>
      </w:r>
      <w:r>
        <w:rPr>
          <w:lang w:eastAsia="en-US"/>
        </w:rPr>
        <w:t xml:space="preserve">vraag die centraal staat in dit eindrapport is: </w:t>
      </w:r>
      <w:r w:rsidRPr="0099254C">
        <w:rPr>
          <w:lang w:eastAsia="en-US"/>
        </w:rPr>
        <w:t>In hoeverre heeft de eerste fase van het programma Sterk Techniekonderwijs (2020–2024) bijgedragen aan het realiseren van duurzaam, dekkend en kwalitatief hoogstaand technisch onderwijs in de regio’s, en wat is de merkbare en meetbare impact hiervan op de betrokken actoren (leerlingen, docenten, scholen, bedrijven en regio’s)?</w:t>
      </w:r>
    </w:p>
    <w:p w:rsidR="007A65F6" w:rsidP="00106025" w:rsidRDefault="007A65F6" w14:paraId="67733CB2" w14:textId="77777777">
      <w:pPr>
        <w:rPr>
          <w:lang w:eastAsia="en-US"/>
        </w:rPr>
      </w:pPr>
    </w:p>
    <w:p w:rsidR="009E43B6" w:rsidP="00106025" w:rsidRDefault="007A65F6" w14:paraId="2EB1CD76" w14:textId="26905EF4">
      <w:pPr>
        <w:rPr>
          <w:lang w:eastAsia="en-US"/>
        </w:rPr>
      </w:pPr>
      <w:r w:rsidRPr="003E014E">
        <w:rPr>
          <w:b/>
          <w:bCs/>
          <w:i/>
          <w:iCs/>
          <w:lang w:eastAsia="en-US"/>
        </w:rPr>
        <w:t>Effectmeting en impactladder</w:t>
      </w:r>
      <w:r w:rsidR="006B099C">
        <w:rPr>
          <w:b/>
          <w:bCs/>
          <w:i/>
          <w:iCs/>
          <w:lang w:eastAsia="en-US"/>
        </w:rPr>
        <w:t xml:space="preserve">. </w:t>
      </w:r>
      <w:r w:rsidR="00106025">
        <w:rPr>
          <w:lang w:eastAsia="en-US"/>
        </w:rPr>
        <w:t xml:space="preserve">Aanvankelijk was het idee om de opbrengsten van STO via een kwantitatieve effectmeting in kaart te brengen. Al snel bleek dit ongeschikt: harde bewijsvoering is in een complexe, niet-experimentele context als STO niet goed mogelijk. Bovendien laat STO zich niet vangen in enkel cijfers; veel van de waarde ontstaat juist in ervaringen, samenwerking en houding – elementen die zich moeilijk </w:t>
      </w:r>
      <w:r w:rsidR="00D32F9F">
        <w:rPr>
          <w:lang w:eastAsia="en-US"/>
        </w:rPr>
        <w:t>kwantitatief</w:t>
      </w:r>
      <w:r w:rsidR="00106025">
        <w:rPr>
          <w:lang w:eastAsia="en-US"/>
        </w:rPr>
        <w:t xml:space="preserve"> laten meten.</w:t>
      </w:r>
      <w:r w:rsidR="004D287E">
        <w:rPr>
          <w:lang w:eastAsia="en-US"/>
        </w:rPr>
        <w:t xml:space="preserve"> </w:t>
      </w:r>
      <w:r w:rsidR="00106025">
        <w:rPr>
          <w:lang w:eastAsia="en-US"/>
        </w:rPr>
        <w:t>Daarom is gekozen voor een meer passende benadering: de impactladder. Dit model helpt om de relatie te beschrijven tussen wat er is geïnvesteerd en ondernomen (input en output) en wat dat concreet oplevert voor betrokkenen (outcome en impact). Daarbij wordt zichtbaar gemaakt hoe de inspanningen binnen STO bijdragen aan verandering – bij leerlingen, docenten, scholen en regio’s – en hoe dat in potentie doorwerkt op maatschappelijk niveau.</w:t>
      </w:r>
      <w:r w:rsidR="00340DBC">
        <w:rPr>
          <w:lang w:eastAsia="en-US"/>
        </w:rPr>
        <w:t xml:space="preserve"> </w:t>
      </w:r>
      <w:r w:rsidR="00106025">
        <w:rPr>
          <w:lang w:eastAsia="en-US"/>
        </w:rPr>
        <w:t>De impactladder biedt daarmee niet alleen inzicht in resultaten, maar ook in de dynamiek van verandering: hoe gedeelde inzet op regionaal niveau kan leiden tot duurzame verbeteringen in het technisch onderwijs.</w:t>
      </w:r>
    </w:p>
    <w:p w:rsidR="009E43B6" w:rsidRDefault="009E43B6" w14:paraId="0B978219" w14:textId="77777777">
      <w:pPr>
        <w:spacing w:after="160" w:line="259" w:lineRule="auto"/>
        <w:rPr>
          <w:lang w:eastAsia="en-US"/>
        </w:rPr>
      </w:pPr>
      <w:r>
        <w:rPr>
          <w:lang w:eastAsia="en-US"/>
        </w:rPr>
        <w:br w:type="page"/>
      </w:r>
    </w:p>
    <w:p w:rsidR="00AE56D1" w:rsidP="00106025" w:rsidRDefault="00AE56D1" w14:paraId="0DAC5047" w14:textId="77777777">
      <w:pPr>
        <w:rPr>
          <w:lang w:eastAsia="en-US"/>
        </w:rPr>
      </w:pPr>
    </w:p>
    <w:p w:rsidR="00025F33" w:rsidP="00106025" w:rsidRDefault="00025F33" w14:paraId="24E40C30" w14:textId="77777777">
      <w:pPr>
        <w:rPr>
          <w:lang w:eastAsia="en-US"/>
        </w:rPr>
      </w:pPr>
    </w:p>
    <w:p w:rsidR="00B232EC" w:rsidP="00106025" w:rsidRDefault="00025F33" w14:paraId="4DB1F521" w14:textId="51F3D607">
      <w:pPr>
        <w:rPr>
          <w:lang w:eastAsia="en-US"/>
        </w:rPr>
      </w:pPr>
      <w:r w:rsidRPr="003E014E">
        <w:rPr>
          <w:b/>
          <w:bCs/>
          <w:u w:val="single"/>
          <w:lang w:eastAsia="en-US"/>
        </w:rPr>
        <w:t>Aanpak van het onderzoek</w:t>
      </w:r>
    </w:p>
    <w:p w:rsidR="009E43B6" w:rsidP="006B099C" w:rsidRDefault="00126BD9" w14:paraId="5DBB705C" w14:textId="5927FF12">
      <w:pPr>
        <w:rPr>
          <w:lang w:eastAsia="en-US"/>
        </w:rPr>
      </w:pPr>
      <w:r>
        <w:rPr>
          <w:lang w:eastAsia="en-US"/>
        </w:rPr>
        <w:t xml:space="preserve">Om </w:t>
      </w:r>
      <w:r w:rsidR="00605473">
        <w:rPr>
          <w:lang w:eastAsia="en-US"/>
        </w:rPr>
        <w:t>de impact van STO zo goed mogelijk in kaart te brengen</w:t>
      </w:r>
      <w:r>
        <w:rPr>
          <w:lang w:eastAsia="en-US"/>
        </w:rPr>
        <w:t xml:space="preserve"> is een aantal stappen gezet. Eerst hebben we </w:t>
      </w:r>
      <w:r w:rsidR="00465770">
        <w:rPr>
          <w:lang w:eastAsia="en-US"/>
        </w:rPr>
        <w:t>volgens</w:t>
      </w:r>
      <w:r>
        <w:rPr>
          <w:lang w:eastAsia="en-US"/>
        </w:rPr>
        <w:t xml:space="preserve"> de structuur van de drie</w:t>
      </w:r>
      <w:r w:rsidR="00465770">
        <w:rPr>
          <w:lang w:eastAsia="en-US"/>
        </w:rPr>
        <w:t xml:space="preserve"> </w:t>
      </w:r>
      <w:r>
        <w:rPr>
          <w:lang w:eastAsia="en-US"/>
        </w:rPr>
        <w:t xml:space="preserve">hoofdoelen (dekkend, duurzaam en kwalitatief hoogstaand technisch vmbo, met regionale samenwerking als voorwaarde) indicatoren geformuleerd </w:t>
      </w:r>
      <w:r w:rsidR="00AC41E9">
        <w:rPr>
          <w:lang w:eastAsia="en-US"/>
        </w:rPr>
        <w:t>waaruit direct of indirect is af te lezen of de doelen bereikt worden. Deze indicatoren zijn zowel kwantitatief als kwalitatief van aard</w:t>
      </w:r>
      <w:r w:rsidR="00EE4B11">
        <w:rPr>
          <w:lang w:eastAsia="en-US"/>
        </w:rPr>
        <w:t xml:space="preserve">, omdat het gaat om ‘harde’ (meetbare) cijfers maar ook om </w:t>
      </w:r>
      <w:r w:rsidR="004032E4">
        <w:rPr>
          <w:lang w:eastAsia="en-US"/>
        </w:rPr>
        <w:t xml:space="preserve">doelen die vooral waarneembaar zijn in de beleving van betrokkenen. Om een volledig beeld te kunnen schetsen was het nodig om in totaal zeven verschillende bronnen te gebruiken. </w:t>
      </w:r>
      <w:r w:rsidR="00AC41E9">
        <w:rPr>
          <w:lang w:eastAsia="en-US"/>
        </w:rPr>
        <w:t xml:space="preserve">In </w:t>
      </w:r>
      <w:r w:rsidR="004032E4">
        <w:rPr>
          <w:lang w:eastAsia="en-US"/>
        </w:rPr>
        <w:t xml:space="preserve">tabel 1 </w:t>
      </w:r>
      <w:r w:rsidR="00AC41E9">
        <w:rPr>
          <w:lang w:eastAsia="en-US"/>
        </w:rPr>
        <w:t xml:space="preserve"> geven we op hooflijnen weer hoe de relevante indicatoren en gebruikte bronnen zich tot elkaar verhouden. </w:t>
      </w:r>
    </w:p>
    <w:p w:rsidR="009E43B6" w:rsidRDefault="009E43B6" w14:paraId="6E713944" w14:textId="77777777">
      <w:pPr>
        <w:spacing w:after="160" w:line="259" w:lineRule="auto"/>
        <w:rPr>
          <w:lang w:eastAsia="en-US"/>
        </w:rPr>
      </w:pPr>
      <w:r>
        <w:rPr>
          <w:lang w:eastAsia="en-US"/>
        </w:rPr>
        <w:br w:type="page"/>
      </w:r>
    </w:p>
    <w:p w:rsidR="00AC41E9" w:rsidP="006B099C" w:rsidRDefault="00AC41E9" w14:paraId="53756171" w14:textId="77777777">
      <w:pPr>
        <w:rPr>
          <w:lang w:eastAsia="en-US"/>
        </w:rPr>
      </w:pPr>
    </w:p>
    <w:p w:rsidR="004032E4" w:rsidP="003E014E" w:rsidRDefault="004032E4" w14:paraId="20E7BBCE" w14:textId="77777777">
      <w:pPr>
        <w:rPr>
          <w:lang w:eastAsia="en-US"/>
        </w:rPr>
      </w:pPr>
    </w:p>
    <w:p w:rsidR="00AC41E9" w:rsidP="00106025" w:rsidRDefault="00AC41E9" w14:paraId="4FC4D88C" w14:textId="6B8D3718">
      <w:pPr>
        <w:rPr>
          <w:lang w:eastAsia="en-US"/>
        </w:rPr>
      </w:pPr>
      <w:r>
        <w:rPr>
          <w:lang w:eastAsia="en-US"/>
        </w:rPr>
        <w:t xml:space="preserve">Tabel 1: Relatie tussen indicatoren </w:t>
      </w:r>
      <w:r w:rsidR="006163A5">
        <w:rPr>
          <w:lang w:eastAsia="en-US"/>
        </w:rPr>
        <w:t>van hoofddoelen STO</w:t>
      </w:r>
      <w:r>
        <w:rPr>
          <w:lang w:eastAsia="en-US"/>
        </w:rPr>
        <w:t xml:space="preserve"> naar bronnen</w:t>
      </w:r>
    </w:p>
    <w:tbl>
      <w:tblPr>
        <w:tblStyle w:val="Tabelraster"/>
        <w:tblW w:w="9069" w:type="dxa"/>
        <w:tblInd w:w="454" w:type="dxa"/>
        <w:tblLayout w:type="fixed"/>
        <w:tblLook w:val="04A0" w:firstRow="1" w:lastRow="0" w:firstColumn="1" w:lastColumn="0" w:noHBand="0" w:noVBand="1"/>
      </w:tblPr>
      <w:tblGrid>
        <w:gridCol w:w="5652"/>
        <w:gridCol w:w="488"/>
        <w:gridCol w:w="488"/>
        <w:gridCol w:w="488"/>
        <w:gridCol w:w="488"/>
        <w:gridCol w:w="488"/>
        <w:gridCol w:w="488"/>
        <w:gridCol w:w="489"/>
      </w:tblGrid>
      <w:tr w:rsidRPr="00AC41E9" w:rsidR="00AC41E9" w:rsidTr="005568E9" w14:paraId="251E7AC2" w14:textId="77777777">
        <w:trPr>
          <w:cantSplit/>
          <w:trHeight w:val="2820"/>
        </w:trPr>
        <w:tc>
          <w:tcPr>
            <w:tcW w:w="5652" w:type="dxa"/>
          </w:tcPr>
          <w:p w:rsidRPr="003E014E" w:rsidR="00AC41E9" w:rsidP="005568E9" w:rsidRDefault="00AC41E9" w14:paraId="0A3331A7" w14:textId="77777777">
            <w:pPr>
              <w:pStyle w:val="SEOTussenkop"/>
              <w:rPr>
                <w:rFonts w:ascii="Trebuchet MS" w:hAnsi="Trebuchet MS"/>
                <w:color w:val="auto"/>
                <w:sz w:val="16"/>
                <w:szCs w:val="16"/>
              </w:rPr>
            </w:pPr>
          </w:p>
        </w:tc>
        <w:tc>
          <w:tcPr>
            <w:tcW w:w="488" w:type="dxa"/>
            <w:textDirection w:val="tbRl"/>
          </w:tcPr>
          <w:p w:rsidRPr="003E014E" w:rsidR="00AC41E9" w:rsidP="005568E9" w:rsidRDefault="00AC41E9" w14:paraId="69048591" w14:textId="77777777">
            <w:pPr>
              <w:rPr>
                <w:sz w:val="16"/>
                <w:szCs w:val="16"/>
              </w:rPr>
            </w:pPr>
            <w:r w:rsidRPr="003E014E">
              <w:rPr>
                <w:sz w:val="16"/>
                <w:szCs w:val="16"/>
              </w:rPr>
              <w:t xml:space="preserve">   Data DUO</w:t>
            </w:r>
          </w:p>
          <w:p w:rsidRPr="003E014E" w:rsidR="00AC41E9" w:rsidP="005568E9" w:rsidRDefault="00AC41E9" w14:paraId="6D850AD4" w14:textId="77777777">
            <w:pPr>
              <w:rPr>
                <w:sz w:val="16"/>
                <w:szCs w:val="16"/>
              </w:rPr>
            </w:pPr>
          </w:p>
          <w:p w:rsidRPr="003E014E" w:rsidR="00AC41E9" w:rsidP="005568E9" w:rsidRDefault="00AC41E9" w14:paraId="23FD4A39" w14:textId="77777777">
            <w:pPr>
              <w:rPr>
                <w:sz w:val="16"/>
                <w:szCs w:val="16"/>
              </w:rPr>
            </w:pPr>
          </w:p>
          <w:p w:rsidRPr="003E014E" w:rsidR="00AC41E9" w:rsidP="005568E9" w:rsidRDefault="00AC41E9" w14:paraId="47153311" w14:textId="77777777">
            <w:pPr>
              <w:rPr>
                <w:sz w:val="16"/>
                <w:szCs w:val="16"/>
              </w:rPr>
            </w:pPr>
          </w:p>
          <w:p w:rsidRPr="003E014E" w:rsidR="00AC41E9" w:rsidP="005568E9" w:rsidRDefault="00AC41E9" w14:paraId="1354DC29" w14:textId="77777777">
            <w:pPr>
              <w:rPr>
                <w:sz w:val="16"/>
                <w:szCs w:val="16"/>
              </w:rPr>
            </w:pPr>
          </w:p>
          <w:p w:rsidRPr="003E014E" w:rsidR="00AC41E9" w:rsidP="005568E9" w:rsidRDefault="00AC41E9" w14:paraId="398EC139" w14:textId="77777777">
            <w:pPr>
              <w:rPr>
                <w:sz w:val="16"/>
                <w:szCs w:val="16"/>
              </w:rPr>
            </w:pPr>
          </w:p>
          <w:p w:rsidRPr="003E014E" w:rsidR="00AC41E9" w:rsidP="005568E9" w:rsidRDefault="00AC41E9" w14:paraId="3497879E" w14:textId="77777777">
            <w:pPr>
              <w:rPr>
                <w:sz w:val="16"/>
                <w:szCs w:val="16"/>
              </w:rPr>
            </w:pPr>
          </w:p>
          <w:p w:rsidRPr="003E014E" w:rsidR="00AC41E9" w:rsidP="005568E9" w:rsidRDefault="00AC41E9" w14:paraId="343A7F0F" w14:textId="77777777">
            <w:pPr>
              <w:rPr>
                <w:sz w:val="16"/>
                <w:szCs w:val="16"/>
              </w:rPr>
            </w:pPr>
          </w:p>
          <w:p w:rsidRPr="003E014E" w:rsidR="00AC41E9" w:rsidP="005568E9" w:rsidRDefault="00AC41E9" w14:paraId="432920F1" w14:textId="77777777">
            <w:pPr>
              <w:rPr>
                <w:sz w:val="16"/>
                <w:szCs w:val="16"/>
              </w:rPr>
            </w:pPr>
          </w:p>
          <w:p w:rsidRPr="003E014E" w:rsidR="00AC41E9" w:rsidP="005568E9" w:rsidRDefault="00AC41E9" w14:paraId="1BE183C3" w14:textId="77777777">
            <w:pPr>
              <w:rPr>
                <w:sz w:val="16"/>
                <w:szCs w:val="16"/>
              </w:rPr>
            </w:pPr>
          </w:p>
        </w:tc>
        <w:tc>
          <w:tcPr>
            <w:tcW w:w="488" w:type="dxa"/>
            <w:textDirection w:val="tbRl"/>
          </w:tcPr>
          <w:p w:rsidRPr="003E014E" w:rsidR="00AC41E9" w:rsidP="005568E9" w:rsidRDefault="00AC41E9" w14:paraId="35888AE2" w14:textId="77777777">
            <w:pPr>
              <w:spacing w:line="240" w:lineRule="auto"/>
              <w:ind w:left="113" w:right="113"/>
              <w:rPr>
                <w:sz w:val="16"/>
                <w:szCs w:val="16"/>
              </w:rPr>
            </w:pPr>
            <w:r w:rsidRPr="003E014E">
              <w:rPr>
                <w:sz w:val="16"/>
                <w:szCs w:val="16"/>
              </w:rPr>
              <w:t>Data IPTO/CBS</w:t>
            </w:r>
          </w:p>
        </w:tc>
        <w:tc>
          <w:tcPr>
            <w:tcW w:w="488" w:type="dxa"/>
            <w:textDirection w:val="tbRl"/>
          </w:tcPr>
          <w:p w:rsidRPr="003E014E" w:rsidR="00AC41E9" w:rsidP="005568E9" w:rsidRDefault="00AC41E9" w14:paraId="5244DF09" w14:textId="77777777">
            <w:pPr>
              <w:spacing w:line="240" w:lineRule="auto"/>
              <w:ind w:left="113" w:right="113"/>
              <w:rPr>
                <w:sz w:val="16"/>
                <w:szCs w:val="16"/>
              </w:rPr>
            </w:pPr>
            <w:r w:rsidRPr="003E014E">
              <w:rPr>
                <w:sz w:val="16"/>
                <w:szCs w:val="16"/>
              </w:rPr>
              <w:t>Casestudies</w:t>
            </w:r>
          </w:p>
        </w:tc>
        <w:tc>
          <w:tcPr>
            <w:tcW w:w="488" w:type="dxa"/>
            <w:textDirection w:val="tbRl"/>
          </w:tcPr>
          <w:p w:rsidRPr="003E014E" w:rsidR="00AC41E9" w:rsidP="005568E9" w:rsidRDefault="00AC41E9" w14:paraId="372D3B6E" w14:textId="77777777">
            <w:pPr>
              <w:spacing w:line="240" w:lineRule="auto"/>
              <w:ind w:left="113" w:right="113"/>
              <w:rPr>
                <w:sz w:val="16"/>
                <w:szCs w:val="16"/>
              </w:rPr>
            </w:pPr>
            <w:r w:rsidRPr="003E014E">
              <w:rPr>
                <w:sz w:val="16"/>
                <w:szCs w:val="16"/>
              </w:rPr>
              <w:t xml:space="preserve">Lesobservaties </w:t>
            </w:r>
          </w:p>
        </w:tc>
        <w:tc>
          <w:tcPr>
            <w:tcW w:w="488" w:type="dxa"/>
            <w:textDirection w:val="tbRl"/>
          </w:tcPr>
          <w:p w:rsidRPr="003E014E" w:rsidR="00AC41E9" w:rsidP="005568E9" w:rsidRDefault="00AC41E9" w14:paraId="5D4DB8A9" w14:textId="77777777">
            <w:pPr>
              <w:spacing w:line="240" w:lineRule="auto"/>
              <w:ind w:left="113" w:right="113"/>
              <w:rPr>
                <w:sz w:val="16"/>
                <w:szCs w:val="16"/>
              </w:rPr>
            </w:pPr>
            <w:r w:rsidRPr="003E014E">
              <w:rPr>
                <w:sz w:val="16"/>
                <w:szCs w:val="16"/>
              </w:rPr>
              <w:t>Vragenlijst lesgevenden</w:t>
            </w:r>
          </w:p>
        </w:tc>
        <w:tc>
          <w:tcPr>
            <w:tcW w:w="488" w:type="dxa"/>
            <w:textDirection w:val="tbRl"/>
          </w:tcPr>
          <w:p w:rsidRPr="003E014E" w:rsidR="00AC41E9" w:rsidP="005568E9" w:rsidRDefault="00AC41E9" w14:paraId="09B21319" w14:textId="77777777">
            <w:pPr>
              <w:spacing w:line="240" w:lineRule="auto"/>
              <w:ind w:left="113" w:right="113"/>
              <w:rPr>
                <w:sz w:val="16"/>
                <w:szCs w:val="16"/>
              </w:rPr>
            </w:pPr>
            <w:r w:rsidRPr="003E014E">
              <w:rPr>
                <w:sz w:val="16"/>
                <w:szCs w:val="16"/>
              </w:rPr>
              <w:t>Vragenlijst programmaleiders</w:t>
            </w:r>
          </w:p>
        </w:tc>
        <w:tc>
          <w:tcPr>
            <w:tcW w:w="489" w:type="dxa"/>
            <w:textDirection w:val="tbRl"/>
          </w:tcPr>
          <w:p w:rsidRPr="003E014E" w:rsidR="00AC41E9" w:rsidP="005568E9" w:rsidRDefault="00AC41E9" w14:paraId="0F93688C" w14:textId="77777777">
            <w:pPr>
              <w:spacing w:line="240" w:lineRule="auto"/>
              <w:ind w:left="113" w:right="113"/>
              <w:rPr>
                <w:sz w:val="16"/>
                <w:szCs w:val="16"/>
              </w:rPr>
            </w:pPr>
            <w:r w:rsidRPr="003E014E">
              <w:rPr>
                <w:sz w:val="16"/>
                <w:szCs w:val="16"/>
              </w:rPr>
              <w:t>Vragenlijst oud-vmbo leerlingen</w:t>
            </w:r>
          </w:p>
        </w:tc>
      </w:tr>
      <w:tr w:rsidRPr="00AC41E9" w:rsidR="00AC41E9" w:rsidTr="005568E9" w14:paraId="241E2C97" w14:textId="77777777">
        <w:tc>
          <w:tcPr>
            <w:tcW w:w="5652" w:type="dxa"/>
          </w:tcPr>
          <w:p w:rsidRPr="003E014E" w:rsidR="00AC41E9" w:rsidP="005568E9" w:rsidRDefault="00AC41E9" w14:paraId="1D582B49" w14:textId="77777777">
            <w:pPr>
              <w:pStyle w:val="SEOTussenkop"/>
              <w:rPr>
                <w:rFonts w:ascii="Trebuchet MS" w:hAnsi="Trebuchet MS"/>
                <w:color w:val="auto"/>
                <w:sz w:val="16"/>
                <w:szCs w:val="16"/>
              </w:rPr>
            </w:pPr>
            <w:r w:rsidRPr="003E014E">
              <w:rPr>
                <w:rFonts w:ascii="Trebuchet MS" w:hAnsi="Trebuchet MS"/>
                <w:color w:val="auto"/>
                <w:sz w:val="16"/>
                <w:szCs w:val="16"/>
              </w:rPr>
              <w:t>Duurzaam technisch vmbo</w:t>
            </w:r>
          </w:p>
        </w:tc>
        <w:tc>
          <w:tcPr>
            <w:tcW w:w="488" w:type="dxa"/>
          </w:tcPr>
          <w:p w:rsidRPr="003E014E" w:rsidR="00AC41E9" w:rsidP="005568E9" w:rsidRDefault="00AC41E9" w14:paraId="5A815BF2" w14:textId="77777777">
            <w:pPr>
              <w:pStyle w:val="SEOTussenkop"/>
              <w:rPr>
                <w:rFonts w:ascii="Trebuchet MS" w:hAnsi="Trebuchet MS"/>
                <w:b w:val="0"/>
                <w:bCs/>
                <w:color w:val="auto"/>
                <w:sz w:val="16"/>
                <w:szCs w:val="16"/>
              </w:rPr>
            </w:pPr>
          </w:p>
        </w:tc>
        <w:tc>
          <w:tcPr>
            <w:tcW w:w="488" w:type="dxa"/>
          </w:tcPr>
          <w:p w:rsidRPr="003E014E" w:rsidR="00AC41E9" w:rsidP="005568E9" w:rsidRDefault="00AC41E9" w14:paraId="2FB1373F" w14:textId="77777777">
            <w:pPr>
              <w:pStyle w:val="SEOTussenkop"/>
              <w:rPr>
                <w:rFonts w:ascii="Trebuchet MS" w:hAnsi="Trebuchet MS"/>
                <w:b w:val="0"/>
                <w:bCs/>
                <w:color w:val="auto"/>
                <w:sz w:val="16"/>
                <w:szCs w:val="16"/>
              </w:rPr>
            </w:pPr>
          </w:p>
        </w:tc>
        <w:tc>
          <w:tcPr>
            <w:tcW w:w="488" w:type="dxa"/>
          </w:tcPr>
          <w:p w:rsidRPr="003E014E" w:rsidR="00AC41E9" w:rsidP="005568E9" w:rsidRDefault="00AC41E9" w14:paraId="3CA127AE" w14:textId="77777777">
            <w:pPr>
              <w:pStyle w:val="SEOTussenkop"/>
              <w:rPr>
                <w:rFonts w:ascii="Trebuchet MS" w:hAnsi="Trebuchet MS"/>
                <w:b w:val="0"/>
                <w:bCs/>
                <w:color w:val="auto"/>
                <w:sz w:val="16"/>
                <w:szCs w:val="16"/>
              </w:rPr>
            </w:pPr>
          </w:p>
        </w:tc>
        <w:tc>
          <w:tcPr>
            <w:tcW w:w="488" w:type="dxa"/>
          </w:tcPr>
          <w:p w:rsidRPr="003E014E" w:rsidR="00AC41E9" w:rsidP="005568E9" w:rsidRDefault="00AC41E9" w14:paraId="0D7C161B" w14:textId="77777777">
            <w:pPr>
              <w:pStyle w:val="SEOTussenkop"/>
              <w:rPr>
                <w:rFonts w:ascii="Trebuchet MS" w:hAnsi="Trebuchet MS"/>
                <w:b w:val="0"/>
                <w:bCs/>
                <w:color w:val="auto"/>
                <w:sz w:val="16"/>
                <w:szCs w:val="16"/>
              </w:rPr>
            </w:pPr>
          </w:p>
        </w:tc>
        <w:tc>
          <w:tcPr>
            <w:tcW w:w="488" w:type="dxa"/>
          </w:tcPr>
          <w:p w:rsidRPr="003E014E" w:rsidR="00AC41E9" w:rsidP="005568E9" w:rsidRDefault="00AC41E9" w14:paraId="6C68BFC1" w14:textId="77777777">
            <w:pPr>
              <w:pStyle w:val="SEOTussenkop"/>
              <w:rPr>
                <w:rFonts w:ascii="Trebuchet MS" w:hAnsi="Trebuchet MS"/>
                <w:b w:val="0"/>
                <w:bCs/>
                <w:color w:val="auto"/>
                <w:sz w:val="16"/>
                <w:szCs w:val="16"/>
              </w:rPr>
            </w:pPr>
          </w:p>
        </w:tc>
        <w:tc>
          <w:tcPr>
            <w:tcW w:w="488" w:type="dxa"/>
          </w:tcPr>
          <w:p w:rsidRPr="003E014E" w:rsidR="00AC41E9" w:rsidP="005568E9" w:rsidRDefault="00AC41E9" w14:paraId="099146ED" w14:textId="77777777">
            <w:pPr>
              <w:pStyle w:val="SEOTussenkop"/>
              <w:rPr>
                <w:rFonts w:ascii="Trebuchet MS" w:hAnsi="Trebuchet MS"/>
                <w:b w:val="0"/>
                <w:bCs/>
                <w:color w:val="auto"/>
                <w:sz w:val="16"/>
                <w:szCs w:val="16"/>
              </w:rPr>
            </w:pPr>
          </w:p>
        </w:tc>
        <w:tc>
          <w:tcPr>
            <w:tcW w:w="489" w:type="dxa"/>
          </w:tcPr>
          <w:p w:rsidRPr="003E014E" w:rsidR="00AC41E9" w:rsidP="005568E9" w:rsidRDefault="00AC41E9" w14:paraId="255AB6A9" w14:textId="77777777">
            <w:pPr>
              <w:pStyle w:val="SEOTussenkop"/>
              <w:rPr>
                <w:rFonts w:ascii="Trebuchet MS" w:hAnsi="Trebuchet MS"/>
                <w:b w:val="0"/>
                <w:bCs/>
                <w:color w:val="auto"/>
                <w:sz w:val="16"/>
                <w:szCs w:val="16"/>
              </w:rPr>
            </w:pPr>
          </w:p>
        </w:tc>
      </w:tr>
      <w:tr w:rsidRPr="00AC41E9" w:rsidR="00AC41E9" w:rsidTr="005568E9" w14:paraId="07FF02AF" w14:textId="77777777">
        <w:tc>
          <w:tcPr>
            <w:tcW w:w="5652" w:type="dxa"/>
          </w:tcPr>
          <w:p w:rsidRPr="003E014E" w:rsidR="00AC41E9" w:rsidP="00426692" w:rsidRDefault="00AC41E9" w14:paraId="34A1635D" w14:textId="77777777">
            <w:pPr>
              <w:pStyle w:val="SEOOpsommingBulletL1"/>
              <w:numPr>
                <w:ilvl w:val="0"/>
                <w:numId w:val="68"/>
              </w:numPr>
              <w:rPr>
                <w:rFonts w:ascii="Trebuchet MS" w:hAnsi="Trebuchet MS"/>
                <w:bCs/>
                <w:color w:val="auto"/>
                <w:sz w:val="16"/>
                <w:szCs w:val="16"/>
              </w:rPr>
            </w:pPr>
            <w:r w:rsidRPr="003E014E">
              <w:rPr>
                <w:rFonts w:ascii="Trebuchet MS" w:hAnsi="Trebuchet MS"/>
                <w:bCs/>
                <w:color w:val="auto"/>
                <w:sz w:val="16"/>
                <w:szCs w:val="16"/>
              </w:rPr>
              <w:t>Instroom leerlingen in technisch vmbo en mbo (absoluut en relatief)</w:t>
            </w:r>
          </w:p>
        </w:tc>
        <w:tc>
          <w:tcPr>
            <w:tcW w:w="488" w:type="dxa"/>
            <w:shd w:val="clear" w:color="auto" w:fill="657C9C" w:themeFill="text2" w:themeFillTint="BF"/>
          </w:tcPr>
          <w:p w:rsidRPr="003E014E" w:rsidR="00AC41E9" w:rsidP="005568E9" w:rsidRDefault="00AC41E9" w14:paraId="2E6DBDB4" w14:textId="77777777">
            <w:pPr>
              <w:pStyle w:val="SEOOpsommingBulletL1"/>
              <w:numPr>
                <w:ilvl w:val="0"/>
                <w:numId w:val="0"/>
              </w:numPr>
              <w:ind w:left="720"/>
              <w:rPr>
                <w:rFonts w:ascii="Trebuchet MS" w:hAnsi="Trebuchet MS"/>
                <w:bCs/>
                <w:color w:val="auto"/>
                <w:sz w:val="16"/>
                <w:szCs w:val="16"/>
              </w:rPr>
            </w:pPr>
            <w:r w:rsidRPr="003E014E">
              <w:rPr>
                <w:rFonts w:ascii="Trebuchet MS" w:hAnsi="Trebuchet MS"/>
                <w:bCs/>
                <w:color w:val="auto"/>
                <w:sz w:val="16"/>
                <w:szCs w:val="16"/>
              </w:rPr>
              <w:t>v</w:t>
            </w:r>
          </w:p>
        </w:tc>
        <w:tc>
          <w:tcPr>
            <w:tcW w:w="488" w:type="dxa"/>
          </w:tcPr>
          <w:p w:rsidRPr="003E014E" w:rsidR="00AC41E9" w:rsidP="005568E9" w:rsidRDefault="00AC41E9" w14:paraId="431370D7"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5BDCC8C3"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400EC6D1" w14:textId="77777777">
            <w:pPr>
              <w:pStyle w:val="SEOOpsommingBulletL1"/>
              <w:numPr>
                <w:ilvl w:val="0"/>
                <w:numId w:val="0"/>
              </w:numPr>
              <w:ind w:left="720"/>
              <w:rPr>
                <w:rFonts w:ascii="Trebuchet MS" w:hAnsi="Trebuchet MS"/>
                <w:bCs/>
                <w:color w:val="auto"/>
                <w:sz w:val="16"/>
                <w:szCs w:val="16"/>
              </w:rPr>
            </w:pPr>
            <w:r w:rsidRPr="003E014E">
              <w:rPr>
                <w:rFonts w:ascii="Trebuchet MS" w:hAnsi="Trebuchet MS"/>
                <w:bCs/>
                <w:color w:val="auto"/>
                <w:sz w:val="16"/>
                <w:szCs w:val="16"/>
              </w:rPr>
              <w:t>]</w:t>
            </w:r>
          </w:p>
        </w:tc>
        <w:tc>
          <w:tcPr>
            <w:tcW w:w="488" w:type="dxa"/>
          </w:tcPr>
          <w:p w:rsidRPr="003E014E" w:rsidR="00AC41E9" w:rsidP="005568E9" w:rsidRDefault="00AC41E9" w14:paraId="11EE21EF"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779897C6" w14:textId="77777777">
            <w:pPr>
              <w:pStyle w:val="SEOOpsommingBulletL1"/>
              <w:numPr>
                <w:ilvl w:val="0"/>
                <w:numId w:val="0"/>
              </w:numPr>
              <w:ind w:left="720"/>
              <w:rPr>
                <w:rFonts w:ascii="Trebuchet MS" w:hAnsi="Trebuchet MS"/>
                <w:bCs/>
                <w:color w:val="auto"/>
                <w:sz w:val="16"/>
                <w:szCs w:val="16"/>
              </w:rPr>
            </w:pPr>
          </w:p>
        </w:tc>
        <w:tc>
          <w:tcPr>
            <w:tcW w:w="489" w:type="dxa"/>
          </w:tcPr>
          <w:p w:rsidRPr="003E014E" w:rsidR="00AC41E9" w:rsidP="005568E9" w:rsidRDefault="00AC41E9" w14:paraId="340391D9" w14:textId="77777777">
            <w:pPr>
              <w:pStyle w:val="SEOOpsommingBulletL1"/>
              <w:numPr>
                <w:ilvl w:val="0"/>
                <w:numId w:val="0"/>
              </w:numPr>
              <w:ind w:left="720"/>
              <w:rPr>
                <w:rFonts w:ascii="Trebuchet MS" w:hAnsi="Trebuchet MS"/>
                <w:bCs/>
                <w:color w:val="auto"/>
                <w:sz w:val="16"/>
                <w:szCs w:val="16"/>
              </w:rPr>
            </w:pPr>
          </w:p>
        </w:tc>
      </w:tr>
      <w:tr w:rsidRPr="00AC41E9" w:rsidR="00AC41E9" w:rsidTr="005568E9" w14:paraId="42F14E9C" w14:textId="77777777">
        <w:tc>
          <w:tcPr>
            <w:tcW w:w="5652" w:type="dxa"/>
          </w:tcPr>
          <w:p w:rsidRPr="003E014E" w:rsidR="00AC41E9" w:rsidP="00426692" w:rsidRDefault="00AC41E9" w14:paraId="5D16A6AD" w14:textId="77777777">
            <w:pPr>
              <w:pStyle w:val="SEOOpsommingBulletL1"/>
              <w:numPr>
                <w:ilvl w:val="0"/>
                <w:numId w:val="68"/>
              </w:numPr>
              <w:rPr>
                <w:rFonts w:ascii="Trebuchet MS" w:hAnsi="Trebuchet MS"/>
                <w:bCs/>
                <w:color w:val="auto"/>
                <w:sz w:val="16"/>
                <w:szCs w:val="16"/>
              </w:rPr>
            </w:pPr>
            <w:r w:rsidRPr="003E014E">
              <w:rPr>
                <w:rFonts w:ascii="Trebuchet MS" w:hAnsi="Trebuchet MS"/>
                <w:bCs/>
                <w:color w:val="auto"/>
                <w:sz w:val="16"/>
                <w:szCs w:val="16"/>
              </w:rPr>
              <w:t>‘Groepsgrootte’: leerlingen per profiel /vestiging</w:t>
            </w:r>
          </w:p>
        </w:tc>
        <w:tc>
          <w:tcPr>
            <w:tcW w:w="488" w:type="dxa"/>
            <w:shd w:val="clear" w:color="auto" w:fill="657C9C" w:themeFill="text2" w:themeFillTint="BF"/>
          </w:tcPr>
          <w:p w:rsidRPr="003E014E" w:rsidR="00AC41E9" w:rsidP="005568E9" w:rsidRDefault="00AC41E9" w14:paraId="4905100A"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62453DA0"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155A15D8"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3C04B677"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1BD8D983"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691D27BE" w14:textId="77777777">
            <w:pPr>
              <w:pStyle w:val="SEOOpsommingBulletL1"/>
              <w:numPr>
                <w:ilvl w:val="0"/>
                <w:numId w:val="0"/>
              </w:numPr>
              <w:ind w:left="720"/>
              <w:rPr>
                <w:rFonts w:ascii="Trebuchet MS" w:hAnsi="Trebuchet MS"/>
                <w:bCs/>
                <w:color w:val="auto"/>
                <w:sz w:val="16"/>
                <w:szCs w:val="16"/>
              </w:rPr>
            </w:pPr>
          </w:p>
        </w:tc>
        <w:tc>
          <w:tcPr>
            <w:tcW w:w="489" w:type="dxa"/>
          </w:tcPr>
          <w:p w:rsidRPr="003E014E" w:rsidR="00AC41E9" w:rsidP="005568E9" w:rsidRDefault="00AC41E9" w14:paraId="1E8A83DC" w14:textId="77777777">
            <w:pPr>
              <w:pStyle w:val="SEOOpsommingBulletL1"/>
              <w:numPr>
                <w:ilvl w:val="0"/>
                <w:numId w:val="0"/>
              </w:numPr>
              <w:ind w:left="720"/>
              <w:rPr>
                <w:rFonts w:ascii="Trebuchet MS" w:hAnsi="Trebuchet MS"/>
                <w:bCs/>
                <w:color w:val="auto"/>
                <w:sz w:val="16"/>
                <w:szCs w:val="16"/>
              </w:rPr>
            </w:pPr>
          </w:p>
        </w:tc>
      </w:tr>
      <w:tr w:rsidRPr="00AC41E9" w:rsidR="00AC41E9" w:rsidTr="005568E9" w14:paraId="4F2D81F9" w14:textId="77777777">
        <w:tc>
          <w:tcPr>
            <w:tcW w:w="5652" w:type="dxa"/>
          </w:tcPr>
          <w:p w:rsidRPr="003E014E" w:rsidR="00AC41E9" w:rsidP="00426692" w:rsidRDefault="00AC41E9" w14:paraId="3E619FA6" w14:textId="77777777">
            <w:pPr>
              <w:pStyle w:val="SEOOpsommingBulletL1"/>
              <w:numPr>
                <w:ilvl w:val="0"/>
                <w:numId w:val="68"/>
              </w:numPr>
              <w:rPr>
                <w:rFonts w:ascii="Trebuchet MS" w:hAnsi="Trebuchet MS"/>
                <w:bCs/>
                <w:color w:val="auto"/>
                <w:sz w:val="16"/>
                <w:szCs w:val="16"/>
              </w:rPr>
            </w:pPr>
            <w:r w:rsidRPr="003E014E">
              <w:rPr>
                <w:rFonts w:ascii="Trebuchet MS" w:hAnsi="Trebuchet MS"/>
                <w:bCs/>
                <w:color w:val="auto"/>
                <w:sz w:val="16"/>
                <w:szCs w:val="16"/>
              </w:rPr>
              <w:t>Aantal techniekdocenten / lesgevenden</w:t>
            </w:r>
          </w:p>
        </w:tc>
        <w:tc>
          <w:tcPr>
            <w:tcW w:w="488" w:type="dxa"/>
          </w:tcPr>
          <w:p w:rsidRPr="003E014E" w:rsidR="00AC41E9" w:rsidP="005568E9" w:rsidRDefault="00AC41E9" w14:paraId="42366923" w14:textId="77777777">
            <w:pPr>
              <w:pStyle w:val="SEOOpsommingBulletL1"/>
              <w:numPr>
                <w:ilvl w:val="0"/>
                <w:numId w:val="0"/>
              </w:numPr>
              <w:ind w:left="720"/>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3C6C48A5"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212BAF1F"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23E9EF30"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6089BD62"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1F33343E" w14:textId="77777777">
            <w:pPr>
              <w:pStyle w:val="SEOOpsommingBulletL1"/>
              <w:numPr>
                <w:ilvl w:val="0"/>
                <w:numId w:val="0"/>
              </w:numPr>
              <w:ind w:left="720"/>
              <w:rPr>
                <w:rFonts w:ascii="Trebuchet MS" w:hAnsi="Trebuchet MS"/>
                <w:bCs/>
                <w:color w:val="auto"/>
                <w:sz w:val="16"/>
                <w:szCs w:val="16"/>
              </w:rPr>
            </w:pPr>
          </w:p>
        </w:tc>
        <w:tc>
          <w:tcPr>
            <w:tcW w:w="489" w:type="dxa"/>
          </w:tcPr>
          <w:p w:rsidRPr="003E014E" w:rsidR="00AC41E9" w:rsidP="005568E9" w:rsidRDefault="00AC41E9" w14:paraId="0A67E79F" w14:textId="77777777">
            <w:pPr>
              <w:pStyle w:val="SEOOpsommingBulletL1"/>
              <w:numPr>
                <w:ilvl w:val="0"/>
                <w:numId w:val="0"/>
              </w:numPr>
              <w:ind w:left="720"/>
              <w:rPr>
                <w:rFonts w:ascii="Trebuchet MS" w:hAnsi="Trebuchet MS"/>
                <w:bCs/>
                <w:color w:val="auto"/>
                <w:sz w:val="16"/>
                <w:szCs w:val="16"/>
              </w:rPr>
            </w:pPr>
          </w:p>
        </w:tc>
      </w:tr>
      <w:tr w:rsidRPr="00AC41E9" w:rsidR="00AC41E9" w:rsidTr="005568E9" w14:paraId="799C961B" w14:textId="77777777">
        <w:tc>
          <w:tcPr>
            <w:tcW w:w="5652" w:type="dxa"/>
          </w:tcPr>
          <w:p w:rsidRPr="003E014E" w:rsidR="00AC41E9" w:rsidP="00426692" w:rsidRDefault="00AC41E9" w14:paraId="1FE004AD" w14:textId="77777777">
            <w:pPr>
              <w:pStyle w:val="SEOOpsommingBulletL1"/>
              <w:numPr>
                <w:ilvl w:val="0"/>
                <w:numId w:val="68"/>
              </w:numPr>
              <w:rPr>
                <w:rFonts w:ascii="Trebuchet MS" w:hAnsi="Trebuchet MS"/>
                <w:bCs/>
                <w:color w:val="auto"/>
                <w:sz w:val="16"/>
                <w:szCs w:val="16"/>
              </w:rPr>
            </w:pPr>
            <w:r w:rsidRPr="003E014E">
              <w:rPr>
                <w:rFonts w:ascii="Trebuchet MS" w:hAnsi="Trebuchet MS"/>
                <w:bCs/>
                <w:color w:val="auto"/>
                <w:sz w:val="16"/>
                <w:szCs w:val="16"/>
              </w:rPr>
              <w:t>Ervaren knelpunten en oplossingen rondom aantallen leerlingen en lesgevenden</w:t>
            </w:r>
          </w:p>
        </w:tc>
        <w:tc>
          <w:tcPr>
            <w:tcW w:w="488" w:type="dxa"/>
          </w:tcPr>
          <w:p w:rsidRPr="003E014E" w:rsidR="00AC41E9" w:rsidP="005568E9" w:rsidRDefault="00AC41E9" w14:paraId="702024CE"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1C30E960" w14:textId="77777777">
            <w:pPr>
              <w:pStyle w:val="SEOOpsommingBulletL1"/>
              <w:numPr>
                <w:ilvl w:val="0"/>
                <w:numId w:val="0"/>
              </w:numPr>
              <w:ind w:left="720"/>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1B75C924"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10B22593" w14:textId="77777777">
            <w:pPr>
              <w:pStyle w:val="SEOOpsommingBulletL1"/>
              <w:numPr>
                <w:ilvl w:val="0"/>
                <w:numId w:val="0"/>
              </w:numPr>
              <w:ind w:left="720"/>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1D58346C" w14:textId="77777777">
            <w:pPr>
              <w:pStyle w:val="SEOOpsommingBulletL1"/>
              <w:numPr>
                <w:ilvl w:val="0"/>
                <w:numId w:val="0"/>
              </w:numPr>
              <w:ind w:left="720"/>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5BDFD9AA" w14:textId="77777777">
            <w:pPr>
              <w:pStyle w:val="SEOOpsommingBulletL1"/>
              <w:numPr>
                <w:ilvl w:val="0"/>
                <w:numId w:val="0"/>
              </w:numPr>
              <w:ind w:left="720"/>
              <w:rPr>
                <w:rFonts w:ascii="Trebuchet MS" w:hAnsi="Trebuchet MS"/>
                <w:bCs/>
                <w:color w:val="auto"/>
                <w:sz w:val="16"/>
                <w:szCs w:val="16"/>
              </w:rPr>
            </w:pPr>
          </w:p>
        </w:tc>
        <w:tc>
          <w:tcPr>
            <w:tcW w:w="489" w:type="dxa"/>
          </w:tcPr>
          <w:p w:rsidRPr="003E014E" w:rsidR="00AC41E9" w:rsidP="005568E9" w:rsidRDefault="00AC41E9" w14:paraId="35AE4512" w14:textId="77777777">
            <w:pPr>
              <w:pStyle w:val="SEOOpsommingBulletL1"/>
              <w:numPr>
                <w:ilvl w:val="0"/>
                <w:numId w:val="0"/>
              </w:numPr>
              <w:ind w:left="720"/>
              <w:rPr>
                <w:rFonts w:ascii="Trebuchet MS" w:hAnsi="Trebuchet MS"/>
                <w:bCs/>
                <w:color w:val="auto"/>
                <w:sz w:val="16"/>
                <w:szCs w:val="16"/>
              </w:rPr>
            </w:pPr>
          </w:p>
        </w:tc>
      </w:tr>
      <w:tr w:rsidRPr="00AC41E9" w:rsidR="00AC41E9" w:rsidTr="005568E9" w14:paraId="26BAF7D9" w14:textId="77777777">
        <w:tc>
          <w:tcPr>
            <w:tcW w:w="5652" w:type="dxa"/>
          </w:tcPr>
          <w:p w:rsidRPr="003E014E" w:rsidR="00AC41E9" w:rsidP="005568E9" w:rsidRDefault="00AC41E9" w14:paraId="07379075" w14:textId="77777777">
            <w:pPr>
              <w:pStyle w:val="SEOTussenkop"/>
              <w:rPr>
                <w:rFonts w:ascii="Trebuchet MS" w:hAnsi="Trebuchet MS"/>
                <w:color w:val="auto"/>
                <w:sz w:val="16"/>
                <w:szCs w:val="16"/>
              </w:rPr>
            </w:pPr>
            <w:r w:rsidRPr="003E014E">
              <w:rPr>
                <w:rFonts w:ascii="Trebuchet MS" w:hAnsi="Trebuchet MS"/>
                <w:color w:val="auto"/>
                <w:sz w:val="16"/>
                <w:szCs w:val="16"/>
              </w:rPr>
              <w:t>Dekkend technisch vmbo</w:t>
            </w:r>
          </w:p>
        </w:tc>
        <w:tc>
          <w:tcPr>
            <w:tcW w:w="488" w:type="dxa"/>
          </w:tcPr>
          <w:p w:rsidRPr="003E014E" w:rsidR="00AC41E9" w:rsidP="005568E9" w:rsidRDefault="00AC41E9" w14:paraId="79AD9BB6" w14:textId="77777777">
            <w:pPr>
              <w:pStyle w:val="SEOTussenkop"/>
              <w:rPr>
                <w:rFonts w:ascii="Trebuchet MS" w:hAnsi="Trebuchet MS"/>
                <w:b w:val="0"/>
                <w:bCs/>
                <w:color w:val="auto"/>
                <w:sz w:val="16"/>
                <w:szCs w:val="16"/>
              </w:rPr>
            </w:pPr>
          </w:p>
        </w:tc>
        <w:tc>
          <w:tcPr>
            <w:tcW w:w="488" w:type="dxa"/>
          </w:tcPr>
          <w:p w:rsidRPr="003E014E" w:rsidR="00AC41E9" w:rsidP="005568E9" w:rsidRDefault="00AC41E9" w14:paraId="143B92B3" w14:textId="77777777">
            <w:pPr>
              <w:pStyle w:val="SEOTussenkop"/>
              <w:rPr>
                <w:rFonts w:ascii="Trebuchet MS" w:hAnsi="Trebuchet MS"/>
                <w:b w:val="0"/>
                <w:bCs/>
                <w:color w:val="auto"/>
                <w:sz w:val="16"/>
                <w:szCs w:val="16"/>
              </w:rPr>
            </w:pPr>
          </w:p>
        </w:tc>
        <w:tc>
          <w:tcPr>
            <w:tcW w:w="488" w:type="dxa"/>
          </w:tcPr>
          <w:p w:rsidRPr="003E014E" w:rsidR="00AC41E9" w:rsidP="005568E9" w:rsidRDefault="00AC41E9" w14:paraId="4C77A0FD" w14:textId="77777777">
            <w:pPr>
              <w:pStyle w:val="SEOTussenkop"/>
              <w:rPr>
                <w:rFonts w:ascii="Trebuchet MS" w:hAnsi="Trebuchet MS"/>
                <w:b w:val="0"/>
                <w:bCs/>
                <w:color w:val="auto"/>
                <w:sz w:val="16"/>
                <w:szCs w:val="16"/>
              </w:rPr>
            </w:pPr>
          </w:p>
        </w:tc>
        <w:tc>
          <w:tcPr>
            <w:tcW w:w="488" w:type="dxa"/>
          </w:tcPr>
          <w:p w:rsidRPr="003E014E" w:rsidR="00AC41E9" w:rsidP="005568E9" w:rsidRDefault="00AC41E9" w14:paraId="2467DA16" w14:textId="77777777">
            <w:pPr>
              <w:pStyle w:val="SEOTussenkop"/>
              <w:rPr>
                <w:rFonts w:ascii="Trebuchet MS" w:hAnsi="Trebuchet MS"/>
                <w:b w:val="0"/>
                <w:bCs/>
                <w:color w:val="auto"/>
                <w:sz w:val="16"/>
                <w:szCs w:val="16"/>
              </w:rPr>
            </w:pPr>
          </w:p>
        </w:tc>
        <w:tc>
          <w:tcPr>
            <w:tcW w:w="488" w:type="dxa"/>
          </w:tcPr>
          <w:p w:rsidRPr="003E014E" w:rsidR="00AC41E9" w:rsidP="005568E9" w:rsidRDefault="00AC41E9" w14:paraId="3F263F1B" w14:textId="77777777">
            <w:pPr>
              <w:pStyle w:val="SEOTussenkop"/>
              <w:rPr>
                <w:rFonts w:ascii="Trebuchet MS" w:hAnsi="Trebuchet MS"/>
                <w:b w:val="0"/>
                <w:bCs/>
                <w:color w:val="auto"/>
                <w:sz w:val="16"/>
                <w:szCs w:val="16"/>
              </w:rPr>
            </w:pPr>
          </w:p>
        </w:tc>
        <w:tc>
          <w:tcPr>
            <w:tcW w:w="488" w:type="dxa"/>
          </w:tcPr>
          <w:p w:rsidRPr="003E014E" w:rsidR="00AC41E9" w:rsidP="005568E9" w:rsidRDefault="00AC41E9" w14:paraId="394FC2BB" w14:textId="77777777">
            <w:pPr>
              <w:pStyle w:val="SEOTussenkop"/>
              <w:rPr>
                <w:rFonts w:ascii="Trebuchet MS" w:hAnsi="Trebuchet MS"/>
                <w:b w:val="0"/>
                <w:bCs/>
                <w:color w:val="auto"/>
                <w:sz w:val="16"/>
                <w:szCs w:val="16"/>
              </w:rPr>
            </w:pPr>
          </w:p>
        </w:tc>
        <w:tc>
          <w:tcPr>
            <w:tcW w:w="489" w:type="dxa"/>
          </w:tcPr>
          <w:p w:rsidRPr="003E014E" w:rsidR="00AC41E9" w:rsidP="005568E9" w:rsidRDefault="00AC41E9" w14:paraId="43EE4431" w14:textId="77777777">
            <w:pPr>
              <w:pStyle w:val="SEOTussenkop"/>
              <w:rPr>
                <w:rFonts w:ascii="Trebuchet MS" w:hAnsi="Trebuchet MS"/>
                <w:b w:val="0"/>
                <w:bCs/>
                <w:color w:val="auto"/>
                <w:sz w:val="16"/>
                <w:szCs w:val="16"/>
              </w:rPr>
            </w:pPr>
          </w:p>
        </w:tc>
      </w:tr>
      <w:tr w:rsidRPr="00AC41E9" w:rsidR="00AC41E9" w:rsidTr="005568E9" w14:paraId="6D159A13" w14:textId="77777777">
        <w:tc>
          <w:tcPr>
            <w:tcW w:w="5652" w:type="dxa"/>
          </w:tcPr>
          <w:p w:rsidRPr="003E014E" w:rsidR="00AC41E9" w:rsidP="00426692" w:rsidRDefault="00AC41E9" w14:paraId="6DC316D2" w14:textId="77777777">
            <w:pPr>
              <w:pStyle w:val="SEOOpsommingBulletL1"/>
              <w:numPr>
                <w:ilvl w:val="0"/>
                <w:numId w:val="69"/>
              </w:numPr>
              <w:rPr>
                <w:rFonts w:ascii="Trebuchet MS" w:hAnsi="Trebuchet MS"/>
                <w:bCs/>
                <w:color w:val="auto"/>
                <w:sz w:val="16"/>
                <w:szCs w:val="16"/>
              </w:rPr>
            </w:pPr>
            <w:r w:rsidRPr="003E014E">
              <w:rPr>
                <w:rFonts w:ascii="Trebuchet MS" w:hAnsi="Trebuchet MS"/>
                <w:bCs/>
                <w:color w:val="auto"/>
                <w:sz w:val="16"/>
                <w:szCs w:val="16"/>
              </w:rPr>
              <w:t>Aangeboden profielen (per vestiging en per regio)</w:t>
            </w:r>
          </w:p>
        </w:tc>
        <w:tc>
          <w:tcPr>
            <w:tcW w:w="488" w:type="dxa"/>
            <w:shd w:val="clear" w:color="auto" w:fill="657C9C" w:themeFill="text2" w:themeFillTint="BF"/>
          </w:tcPr>
          <w:p w:rsidRPr="003E014E" w:rsidR="00AC41E9" w:rsidP="005568E9" w:rsidRDefault="00AC41E9" w14:paraId="704F7211"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32D7F914"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227B3455"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6B935FF7"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0FD584B0"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0D501474" w14:textId="77777777">
            <w:pPr>
              <w:pStyle w:val="SEOOpsommingBulletL1"/>
              <w:numPr>
                <w:ilvl w:val="0"/>
                <w:numId w:val="0"/>
              </w:numPr>
              <w:ind w:left="720"/>
              <w:rPr>
                <w:rFonts w:ascii="Trebuchet MS" w:hAnsi="Trebuchet MS"/>
                <w:bCs/>
                <w:color w:val="auto"/>
                <w:sz w:val="16"/>
                <w:szCs w:val="16"/>
              </w:rPr>
            </w:pPr>
          </w:p>
        </w:tc>
        <w:tc>
          <w:tcPr>
            <w:tcW w:w="489" w:type="dxa"/>
          </w:tcPr>
          <w:p w:rsidRPr="003E014E" w:rsidR="00AC41E9" w:rsidP="005568E9" w:rsidRDefault="00AC41E9" w14:paraId="542D68AD" w14:textId="77777777">
            <w:pPr>
              <w:pStyle w:val="SEOOpsommingBulletL1"/>
              <w:numPr>
                <w:ilvl w:val="0"/>
                <w:numId w:val="0"/>
              </w:numPr>
              <w:ind w:left="720"/>
              <w:rPr>
                <w:rFonts w:ascii="Trebuchet MS" w:hAnsi="Trebuchet MS"/>
                <w:bCs/>
                <w:color w:val="auto"/>
                <w:sz w:val="16"/>
                <w:szCs w:val="16"/>
              </w:rPr>
            </w:pPr>
          </w:p>
        </w:tc>
      </w:tr>
      <w:tr w:rsidRPr="00AC41E9" w:rsidR="00AC41E9" w:rsidTr="005568E9" w14:paraId="6FA302E0" w14:textId="77777777">
        <w:tc>
          <w:tcPr>
            <w:tcW w:w="5652" w:type="dxa"/>
          </w:tcPr>
          <w:p w:rsidRPr="003E014E" w:rsidR="00AC41E9" w:rsidP="00426692" w:rsidRDefault="00AC41E9" w14:paraId="70C4B3F3" w14:textId="77777777">
            <w:pPr>
              <w:pStyle w:val="SEOOpsommingBulletL1"/>
              <w:numPr>
                <w:ilvl w:val="0"/>
                <w:numId w:val="69"/>
              </w:numPr>
              <w:rPr>
                <w:rFonts w:ascii="Trebuchet MS" w:hAnsi="Trebuchet MS"/>
                <w:bCs/>
                <w:color w:val="auto"/>
                <w:sz w:val="16"/>
                <w:szCs w:val="16"/>
              </w:rPr>
            </w:pPr>
            <w:r w:rsidRPr="003E014E">
              <w:rPr>
                <w:rFonts w:ascii="Trebuchet MS" w:hAnsi="Trebuchet MS"/>
                <w:bCs/>
                <w:color w:val="auto"/>
                <w:sz w:val="16"/>
                <w:szCs w:val="16"/>
              </w:rPr>
              <w:t>Aanbod keuzevakken (per vestiging en per regio)</w:t>
            </w:r>
          </w:p>
        </w:tc>
        <w:tc>
          <w:tcPr>
            <w:tcW w:w="488" w:type="dxa"/>
            <w:shd w:val="clear" w:color="auto" w:fill="657C9C" w:themeFill="text2" w:themeFillTint="BF"/>
          </w:tcPr>
          <w:p w:rsidRPr="003E014E" w:rsidR="00AC41E9" w:rsidP="005568E9" w:rsidRDefault="00AC41E9" w14:paraId="45386498"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1F77E3AD"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55663020"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4C511204"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5D2D0DDA"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24793B57" w14:textId="77777777">
            <w:pPr>
              <w:pStyle w:val="SEOOpsommingBulletL1"/>
              <w:numPr>
                <w:ilvl w:val="0"/>
                <w:numId w:val="0"/>
              </w:numPr>
              <w:ind w:left="720"/>
              <w:rPr>
                <w:rFonts w:ascii="Trebuchet MS" w:hAnsi="Trebuchet MS"/>
                <w:bCs/>
                <w:color w:val="auto"/>
                <w:sz w:val="16"/>
                <w:szCs w:val="16"/>
              </w:rPr>
            </w:pPr>
          </w:p>
        </w:tc>
        <w:tc>
          <w:tcPr>
            <w:tcW w:w="489" w:type="dxa"/>
          </w:tcPr>
          <w:p w:rsidRPr="003E014E" w:rsidR="00AC41E9" w:rsidP="005568E9" w:rsidRDefault="00AC41E9" w14:paraId="59E63599" w14:textId="77777777">
            <w:pPr>
              <w:pStyle w:val="SEOOpsommingBulletL1"/>
              <w:numPr>
                <w:ilvl w:val="0"/>
                <w:numId w:val="0"/>
              </w:numPr>
              <w:ind w:left="720"/>
              <w:rPr>
                <w:rFonts w:ascii="Trebuchet MS" w:hAnsi="Trebuchet MS"/>
                <w:bCs/>
                <w:color w:val="auto"/>
                <w:sz w:val="16"/>
                <w:szCs w:val="16"/>
              </w:rPr>
            </w:pPr>
          </w:p>
        </w:tc>
      </w:tr>
      <w:tr w:rsidRPr="00AC41E9" w:rsidR="00AC41E9" w:rsidTr="005568E9" w14:paraId="60754D99" w14:textId="77777777">
        <w:tc>
          <w:tcPr>
            <w:tcW w:w="5652" w:type="dxa"/>
          </w:tcPr>
          <w:p w:rsidRPr="003E014E" w:rsidR="00AC41E9" w:rsidP="00426692" w:rsidRDefault="00AC41E9" w14:paraId="5BB2327A" w14:textId="77777777">
            <w:pPr>
              <w:pStyle w:val="SEOOpsommingBulletL1"/>
              <w:numPr>
                <w:ilvl w:val="0"/>
                <w:numId w:val="69"/>
              </w:numPr>
              <w:rPr>
                <w:rFonts w:ascii="Trebuchet MS" w:hAnsi="Trebuchet MS"/>
                <w:bCs/>
                <w:color w:val="auto"/>
                <w:sz w:val="16"/>
                <w:szCs w:val="16"/>
              </w:rPr>
            </w:pPr>
            <w:r w:rsidRPr="003E014E">
              <w:rPr>
                <w:rFonts w:ascii="Trebuchet MS" w:hAnsi="Trebuchet MS"/>
                <w:bCs/>
                <w:color w:val="auto"/>
                <w:sz w:val="16"/>
                <w:szCs w:val="16"/>
              </w:rPr>
              <w:t>Wie volgt keuzevakken? (ook vanuit TL)</w:t>
            </w:r>
          </w:p>
        </w:tc>
        <w:tc>
          <w:tcPr>
            <w:tcW w:w="488" w:type="dxa"/>
            <w:shd w:val="clear" w:color="auto" w:fill="657C9C" w:themeFill="text2" w:themeFillTint="BF"/>
          </w:tcPr>
          <w:p w:rsidRPr="003E014E" w:rsidR="00AC41E9" w:rsidP="005568E9" w:rsidRDefault="00AC41E9" w14:paraId="5E4749C3"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6FE596B4"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55D36190"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2952B9FD"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65B5EF3B"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0FA79FD9" w14:textId="77777777">
            <w:pPr>
              <w:pStyle w:val="SEOOpsommingBulletL1"/>
              <w:numPr>
                <w:ilvl w:val="0"/>
                <w:numId w:val="0"/>
              </w:numPr>
              <w:ind w:left="720"/>
              <w:rPr>
                <w:rFonts w:ascii="Trebuchet MS" w:hAnsi="Trebuchet MS"/>
                <w:bCs/>
                <w:color w:val="auto"/>
                <w:sz w:val="16"/>
                <w:szCs w:val="16"/>
              </w:rPr>
            </w:pPr>
          </w:p>
        </w:tc>
        <w:tc>
          <w:tcPr>
            <w:tcW w:w="489" w:type="dxa"/>
          </w:tcPr>
          <w:p w:rsidRPr="003E014E" w:rsidR="00AC41E9" w:rsidP="005568E9" w:rsidRDefault="00AC41E9" w14:paraId="2CAC1383" w14:textId="77777777">
            <w:pPr>
              <w:pStyle w:val="SEOOpsommingBulletL1"/>
              <w:numPr>
                <w:ilvl w:val="0"/>
                <w:numId w:val="0"/>
              </w:numPr>
              <w:ind w:left="720"/>
              <w:rPr>
                <w:rFonts w:ascii="Trebuchet MS" w:hAnsi="Trebuchet MS"/>
                <w:bCs/>
                <w:color w:val="auto"/>
                <w:sz w:val="16"/>
                <w:szCs w:val="16"/>
              </w:rPr>
            </w:pPr>
          </w:p>
        </w:tc>
      </w:tr>
      <w:tr w:rsidRPr="00AC41E9" w:rsidR="00AC41E9" w:rsidTr="005568E9" w14:paraId="146AA83A" w14:textId="77777777">
        <w:tc>
          <w:tcPr>
            <w:tcW w:w="5652" w:type="dxa"/>
          </w:tcPr>
          <w:p w:rsidRPr="003E014E" w:rsidR="00AC41E9" w:rsidP="00426692" w:rsidRDefault="00AC41E9" w14:paraId="0F2ECB97" w14:textId="77777777">
            <w:pPr>
              <w:pStyle w:val="SEOOpsommingBulletL1"/>
              <w:numPr>
                <w:ilvl w:val="0"/>
                <w:numId w:val="69"/>
              </w:numPr>
              <w:rPr>
                <w:rFonts w:ascii="Trebuchet MS" w:hAnsi="Trebuchet MS"/>
                <w:bCs/>
                <w:color w:val="auto"/>
                <w:sz w:val="16"/>
                <w:szCs w:val="16"/>
              </w:rPr>
            </w:pPr>
            <w:r w:rsidRPr="003E014E">
              <w:rPr>
                <w:rFonts w:ascii="Trebuchet MS" w:hAnsi="Trebuchet MS"/>
                <w:bCs/>
                <w:color w:val="auto"/>
                <w:sz w:val="16"/>
                <w:szCs w:val="16"/>
              </w:rPr>
              <w:t>Aansluiting vervolgonderwijs (aandeel dat doorstroomt naar technische mbo-opleidingen)</w:t>
            </w:r>
          </w:p>
        </w:tc>
        <w:tc>
          <w:tcPr>
            <w:tcW w:w="488" w:type="dxa"/>
            <w:shd w:val="clear" w:color="auto" w:fill="657C9C" w:themeFill="text2" w:themeFillTint="BF"/>
          </w:tcPr>
          <w:p w:rsidRPr="003E014E" w:rsidR="00AC41E9" w:rsidP="005568E9" w:rsidRDefault="00AC41E9" w14:paraId="11450DA4"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2128FF62"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3CDA0BEC"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140834DA"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19E05A0D"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4EEB69CE" w14:textId="77777777">
            <w:pPr>
              <w:pStyle w:val="SEOOpsommingBulletL1"/>
              <w:numPr>
                <w:ilvl w:val="0"/>
                <w:numId w:val="0"/>
              </w:numPr>
              <w:ind w:left="720"/>
              <w:rPr>
                <w:rFonts w:ascii="Trebuchet MS" w:hAnsi="Trebuchet MS"/>
                <w:bCs/>
                <w:color w:val="auto"/>
                <w:sz w:val="16"/>
                <w:szCs w:val="16"/>
              </w:rPr>
            </w:pPr>
          </w:p>
        </w:tc>
        <w:tc>
          <w:tcPr>
            <w:tcW w:w="489" w:type="dxa"/>
          </w:tcPr>
          <w:p w:rsidRPr="003E014E" w:rsidR="00AC41E9" w:rsidP="005568E9" w:rsidRDefault="00AC41E9" w14:paraId="3846EFCF" w14:textId="77777777">
            <w:pPr>
              <w:pStyle w:val="SEOOpsommingBulletL1"/>
              <w:numPr>
                <w:ilvl w:val="0"/>
                <w:numId w:val="0"/>
              </w:numPr>
              <w:ind w:left="720"/>
              <w:rPr>
                <w:rFonts w:ascii="Trebuchet MS" w:hAnsi="Trebuchet MS"/>
                <w:bCs/>
                <w:color w:val="auto"/>
                <w:sz w:val="16"/>
                <w:szCs w:val="16"/>
              </w:rPr>
            </w:pPr>
          </w:p>
        </w:tc>
      </w:tr>
      <w:tr w:rsidRPr="00AC41E9" w:rsidR="00AC41E9" w:rsidTr="005568E9" w14:paraId="0E619149" w14:textId="77777777">
        <w:tc>
          <w:tcPr>
            <w:tcW w:w="5652" w:type="dxa"/>
          </w:tcPr>
          <w:p w:rsidRPr="003E014E" w:rsidR="00AC41E9" w:rsidP="00426692" w:rsidRDefault="00AC41E9" w14:paraId="5AC46C3F" w14:textId="77777777">
            <w:pPr>
              <w:pStyle w:val="SEOOpsommingBulletL1"/>
              <w:numPr>
                <w:ilvl w:val="0"/>
                <w:numId w:val="69"/>
              </w:numPr>
              <w:rPr>
                <w:rFonts w:ascii="Trebuchet MS" w:hAnsi="Trebuchet MS"/>
                <w:bCs/>
                <w:color w:val="auto"/>
                <w:sz w:val="16"/>
                <w:szCs w:val="16"/>
              </w:rPr>
            </w:pPr>
            <w:r w:rsidRPr="003E014E">
              <w:rPr>
                <w:rFonts w:ascii="Trebuchet MS" w:hAnsi="Trebuchet MS"/>
                <w:bCs/>
                <w:color w:val="auto"/>
                <w:sz w:val="16"/>
                <w:szCs w:val="16"/>
              </w:rPr>
              <w:t>Ervaringen m.b.t. ‘dekkendheid’ van het aanbod</w:t>
            </w:r>
          </w:p>
        </w:tc>
        <w:tc>
          <w:tcPr>
            <w:tcW w:w="488" w:type="dxa"/>
          </w:tcPr>
          <w:p w:rsidRPr="003E014E" w:rsidR="00AC41E9" w:rsidP="005568E9" w:rsidRDefault="00AC41E9" w14:paraId="3C79890D"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1D8B7B3C" w14:textId="77777777">
            <w:pPr>
              <w:pStyle w:val="SEOOpsommingBulletL1"/>
              <w:numPr>
                <w:ilvl w:val="0"/>
                <w:numId w:val="0"/>
              </w:numPr>
              <w:ind w:left="720"/>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0B037987"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1F59E385" w14:textId="77777777">
            <w:pPr>
              <w:pStyle w:val="SEOOpsommingBulletL1"/>
              <w:numPr>
                <w:ilvl w:val="0"/>
                <w:numId w:val="0"/>
              </w:numPr>
              <w:ind w:left="720"/>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567A36FD" w14:textId="77777777">
            <w:pPr>
              <w:pStyle w:val="SEOOpsommingBulletL1"/>
              <w:numPr>
                <w:ilvl w:val="0"/>
                <w:numId w:val="0"/>
              </w:numPr>
              <w:ind w:left="720"/>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299C614D" w14:textId="77777777">
            <w:pPr>
              <w:pStyle w:val="SEOOpsommingBulletL1"/>
              <w:numPr>
                <w:ilvl w:val="0"/>
                <w:numId w:val="0"/>
              </w:numPr>
              <w:ind w:left="720"/>
              <w:rPr>
                <w:rFonts w:ascii="Trebuchet MS" w:hAnsi="Trebuchet MS"/>
                <w:bCs/>
                <w:color w:val="auto"/>
                <w:sz w:val="16"/>
                <w:szCs w:val="16"/>
              </w:rPr>
            </w:pPr>
          </w:p>
        </w:tc>
        <w:tc>
          <w:tcPr>
            <w:tcW w:w="489" w:type="dxa"/>
          </w:tcPr>
          <w:p w:rsidRPr="003E014E" w:rsidR="00AC41E9" w:rsidP="005568E9" w:rsidRDefault="00AC41E9" w14:paraId="6F4D9532" w14:textId="77777777">
            <w:pPr>
              <w:pStyle w:val="SEOOpsommingBulletL1"/>
              <w:numPr>
                <w:ilvl w:val="0"/>
                <w:numId w:val="0"/>
              </w:numPr>
              <w:ind w:left="720"/>
              <w:rPr>
                <w:rFonts w:ascii="Trebuchet MS" w:hAnsi="Trebuchet MS"/>
                <w:bCs/>
                <w:color w:val="auto"/>
                <w:sz w:val="16"/>
                <w:szCs w:val="16"/>
              </w:rPr>
            </w:pPr>
          </w:p>
        </w:tc>
      </w:tr>
      <w:tr w:rsidRPr="00AC41E9" w:rsidR="00AC41E9" w:rsidTr="005568E9" w14:paraId="0351B4A6" w14:textId="77777777">
        <w:tc>
          <w:tcPr>
            <w:tcW w:w="5652" w:type="dxa"/>
          </w:tcPr>
          <w:p w:rsidRPr="003E014E" w:rsidR="00AC41E9" w:rsidP="005568E9" w:rsidRDefault="00AC41E9" w14:paraId="500F4335" w14:textId="77777777">
            <w:pPr>
              <w:pStyle w:val="SEOTussenkop"/>
              <w:rPr>
                <w:rFonts w:ascii="Trebuchet MS" w:hAnsi="Trebuchet MS"/>
                <w:color w:val="auto"/>
                <w:sz w:val="16"/>
                <w:szCs w:val="16"/>
              </w:rPr>
            </w:pPr>
            <w:r w:rsidRPr="003E014E">
              <w:rPr>
                <w:rFonts w:ascii="Trebuchet MS" w:hAnsi="Trebuchet MS"/>
                <w:color w:val="auto"/>
                <w:sz w:val="16"/>
                <w:szCs w:val="16"/>
              </w:rPr>
              <w:t>Kwalitatief hoogstaand</w:t>
            </w:r>
          </w:p>
        </w:tc>
        <w:tc>
          <w:tcPr>
            <w:tcW w:w="488" w:type="dxa"/>
          </w:tcPr>
          <w:p w:rsidRPr="003E014E" w:rsidR="00AC41E9" w:rsidP="005568E9" w:rsidRDefault="00AC41E9" w14:paraId="7492301A" w14:textId="77777777">
            <w:pPr>
              <w:pStyle w:val="SEOTussenkop"/>
              <w:rPr>
                <w:rFonts w:ascii="Trebuchet MS" w:hAnsi="Trebuchet MS"/>
                <w:b w:val="0"/>
                <w:bCs/>
                <w:color w:val="auto"/>
                <w:sz w:val="16"/>
                <w:szCs w:val="16"/>
              </w:rPr>
            </w:pPr>
          </w:p>
        </w:tc>
        <w:tc>
          <w:tcPr>
            <w:tcW w:w="488" w:type="dxa"/>
          </w:tcPr>
          <w:p w:rsidRPr="003E014E" w:rsidR="00AC41E9" w:rsidP="005568E9" w:rsidRDefault="00AC41E9" w14:paraId="274C4C35" w14:textId="77777777">
            <w:pPr>
              <w:pStyle w:val="SEOTussenkop"/>
              <w:rPr>
                <w:rFonts w:ascii="Trebuchet MS" w:hAnsi="Trebuchet MS"/>
                <w:b w:val="0"/>
                <w:bCs/>
                <w:color w:val="auto"/>
                <w:sz w:val="16"/>
                <w:szCs w:val="16"/>
              </w:rPr>
            </w:pPr>
          </w:p>
        </w:tc>
        <w:tc>
          <w:tcPr>
            <w:tcW w:w="488" w:type="dxa"/>
          </w:tcPr>
          <w:p w:rsidRPr="003E014E" w:rsidR="00AC41E9" w:rsidP="005568E9" w:rsidRDefault="00AC41E9" w14:paraId="35146359" w14:textId="77777777">
            <w:pPr>
              <w:pStyle w:val="SEOTussenkop"/>
              <w:rPr>
                <w:rFonts w:ascii="Trebuchet MS" w:hAnsi="Trebuchet MS"/>
                <w:b w:val="0"/>
                <w:bCs/>
                <w:color w:val="auto"/>
                <w:sz w:val="16"/>
                <w:szCs w:val="16"/>
              </w:rPr>
            </w:pPr>
          </w:p>
        </w:tc>
        <w:tc>
          <w:tcPr>
            <w:tcW w:w="488" w:type="dxa"/>
          </w:tcPr>
          <w:p w:rsidRPr="003E014E" w:rsidR="00AC41E9" w:rsidP="005568E9" w:rsidRDefault="00AC41E9" w14:paraId="6A341BDB" w14:textId="77777777">
            <w:pPr>
              <w:pStyle w:val="SEOTussenkop"/>
              <w:rPr>
                <w:rFonts w:ascii="Trebuchet MS" w:hAnsi="Trebuchet MS"/>
                <w:b w:val="0"/>
                <w:bCs/>
                <w:color w:val="auto"/>
                <w:sz w:val="16"/>
                <w:szCs w:val="16"/>
              </w:rPr>
            </w:pPr>
          </w:p>
        </w:tc>
        <w:tc>
          <w:tcPr>
            <w:tcW w:w="488" w:type="dxa"/>
          </w:tcPr>
          <w:p w:rsidRPr="003E014E" w:rsidR="00AC41E9" w:rsidP="005568E9" w:rsidRDefault="00AC41E9" w14:paraId="6C1D882F" w14:textId="77777777">
            <w:pPr>
              <w:pStyle w:val="SEOTussenkop"/>
              <w:rPr>
                <w:rFonts w:ascii="Trebuchet MS" w:hAnsi="Trebuchet MS"/>
                <w:b w:val="0"/>
                <w:bCs/>
                <w:color w:val="auto"/>
                <w:sz w:val="16"/>
                <w:szCs w:val="16"/>
              </w:rPr>
            </w:pPr>
          </w:p>
        </w:tc>
        <w:tc>
          <w:tcPr>
            <w:tcW w:w="488" w:type="dxa"/>
          </w:tcPr>
          <w:p w:rsidRPr="003E014E" w:rsidR="00AC41E9" w:rsidP="005568E9" w:rsidRDefault="00AC41E9" w14:paraId="43FE54EE" w14:textId="77777777">
            <w:pPr>
              <w:pStyle w:val="SEOTussenkop"/>
              <w:rPr>
                <w:rFonts w:ascii="Trebuchet MS" w:hAnsi="Trebuchet MS"/>
                <w:b w:val="0"/>
                <w:bCs/>
                <w:color w:val="auto"/>
                <w:sz w:val="16"/>
                <w:szCs w:val="16"/>
              </w:rPr>
            </w:pPr>
          </w:p>
        </w:tc>
        <w:tc>
          <w:tcPr>
            <w:tcW w:w="489" w:type="dxa"/>
          </w:tcPr>
          <w:p w:rsidRPr="003E014E" w:rsidR="00AC41E9" w:rsidP="005568E9" w:rsidRDefault="00AC41E9" w14:paraId="0F0D10FF" w14:textId="77777777">
            <w:pPr>
              <w:pStyle w:val="SEOTussenkop"/>
              <w:rPr>
                <w:rFonts w:ascii="Trebuchet MS" w:hAnsi="Trebuchet MS"/>
                <w:b w:val="0"/>
                <w:bCs/>
                <w:color w:val="auto"/>
                <w:sz w:val="16"/>
                <w:szCs w:val="16"/>
              </w:rPr>
            </w:pPr>
          </w:p>
        </w:tc>
      </w:tr>
      <w:tr w:rsidRPr="00AC41E9" w:rsidR="00AC41E9" w:rsidTr="005568E9" w14:paraId="38D04DB4" w14:textId="77777777">
        <w:tc>
          <w:tcPr>
            <w:tcW w:w="5652" w:type="dxa"/>
          </w:tcPr>
          <w:p w:rsidRPr="003E014E" w:rsidR="00AC41E9" w:rsidP="00426692" w:rsidRDefault="00AC41E9" w14:paraId="708BE5A5" w14:textId="77777777">
            <w:pPr>
              <w:pStyle w:val="SEOOpsommingBulletL1"/>
              <w:numPr>
                <w:ilvl w:val="0"/>
                <w:numId w:val="70"/>
              </w:numPr>
              <w:rPr>
                <w:rFonts w:ascii="Trebuchet MS" w:hAnsi="Trebuchet MS"/>
                <w:bCs/>
                <w:color w:val="auto"/>
                <w:sz w:val="16"/>
                <w:szCs w:val="16"/>
              </w:rPr>
            </w:pPr>
            <w:r w:rsidRPr="003E014E">
              <w:rPr>
                <w:rFonts w:ascii="Trebuchet MS" w:hAnsi="Trebuchet MS"/>
                <w:bCs/>
                <w:color w:val="auto"/>
                <w:sz w:val="16"/>
                <w:szCs w:val="16"/>
              </w:rPr>
              <w:t xml:space="preserve">Up-to-date faciliteiten en apparatuur </w:t>
            </w:r>
          </w:p>
        </w:tc>
        <w:tc>
          <w:tcPr>
            <w:tcW w:w="488" w:type="dxa"/>
          </w:tcPr>
          <w:p w:rsidRPr="003E014E" w:rsidR="00AC41E9" w:rsidP="005568E9" w:rsidRDefault="00AC41E9" w14:paraId="41F5E4A1"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1150BE72" w14:textId="77777777">
            <w:pPr>
              <w:pStyle w:val="SEOOpsommingBulletL1"/>
              <w:numPr>
                <w:ilvl w:val="0"/>
                <w:numId w:val="0"/>
              </w:numPr>
              <w:ind w:left="720"/>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61A6D99A" w14:textId="77777777">
            <w:pPr>
              <w:pStyle w:val="SEOOpsommingBulletL1"/>
              <w:numPr>
                <w:ilvl w:val="0"/>
                <w:numId w:val="0"/>
              </w:numPr>
              <w:ind w:left="720"/>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58F6E001" w14:textId="77777777">
            <w:pPr>
              <w:pStyle w:val="SEOOpsommingBulletL1"/>
              <w:numPr>
                <w:ilvl w:val="0"/>
                <w:numId w:val="0"/>
              </w:numPr>
              <w:ind w:left="720"/>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11FC7842" w14:textId="77777777">
            <w:pPr>
              <w:pStyle w:val="SEOOpsommingBulletL1"/>
              <w:numPr>
                <w:ilvl w:val="0"/>
                <w:numId w:val="0"/>
              </w:numPr>
              <w:ind w:left="720"/>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1D9E330D" w14:textId="77777777">
            <w:pPr>
              <w:pStyle w:val="SEOOpsommingBulletL1"/>
              <w:numPr>
                <w:ilvl w:val="0"/>
                <w:numId w:val="0"/>
              </w:numPr>
              <w:ind w:left="720"/>
              <w:rPr>
                <w:rFonts w:ascii="Trebuchet MS" w:hAnsi="Trebuchet MS"/>
                <w:bCs/>
                <w:color w:val="auto"/>
                <w:sz w:val="16"/>
                <w:szCs w:val="16"/>
              </w:rPr>
            </w:pPr>
          </w:p>
        </w:tc>
        <w:tc>
          <w:tcPr>
            <w:tcW w:w="489" w:type="dxa"/>
            <w:shd w:val="clear" w:color="auto" w:fill="657C9C" w:themeFill="text2" w:themeFillTint="BF"/>
          </w:tcPr>
          <w:p w:rsidRPr="003E014E" w:rsidR="00AC41E9" w:rsidP="005568E9" w:rsidRDefault="00AC41E9" w14:paraId="5919409B" w14:textId="77777777">
            <w:pPr>
              <w:pStyle w:val="SEOOpsommingBulletL1"/>
              <w:numPr>
                <w:ilvl w:val="0"/>
                <w:numId w:val="0"/>
              </w:numPr>
              <w:ind w:left="720"/>
              <w:rPr>
                <w:rFonts w:ascii="Trebuchet MS" w:hAnsi="Trebuchet MS"/>
                <w:bCs/>
                <w:color w:val="auto"/>
                <w:sz w:val="16"/>
                <w:szCs w:val="16"/>
              </w:rPr>
            </w:pPr>
          </w:p>
        </w:tc>
      </w:tr>
      <w:tr w:rsidRPr="00AC41E9" w:rsidR="00AC41E9" w:rsidTr="005568E9" w14:paraId="305FB43D" w14:textId="77777777">
        <w:tc>
          <w:tcPr>
            <w:tcW w:w="5652" w:type="dxa"/>
          </w:tcPr>
          <w:p w:rsidRPr="003E014E" w:rsidR="00AC41E9" w:rsidP="00426692" w:rsidRDefault="00AC41E9" w14:paraId="2A41D29A" w14:textId="77777777">
            <w:pPr>
              <w:pStyle w:val="SEOOpsommingBulletL2"/>
              <w:numPr>
                <w:ilvl w:val="2"/>
                <w:numId w:val="71"/>
              </w:numPr>
              <w:rPr>
                <w:rFonts w:ascii="Trebuchet MS" w:hAnsi="Trebuchet MS"/>
                <w:bCs/>
                <w:color w:val="auto"/>
                <w:sz w:val="16"/>
                <w:szCs w:val="16"/>
              </w:rPr>
            </w:pPr>
            <w:r w:rsidRPr="003E014E">
              <w:rPr>
                <w:rFonts w:ascii="Trebuchet MS" w:hAnsi="Trebuchet MS"/>
                <w:bCs/>
                <w:color w:val="auto"/>
                <w:sz w:val="16"/>
                <w:szCs w:val="16"/>
              </w:rPr>
              <w:t>Tevredenheid over faciliteiten en apparatuur</w:t>
            </w:r>
          </w:p>
        </w:tc>
        <w:tc>
          <w:tcPr>
            <w:tcW w:w="488" w:type="dxa"/>
          </w:tcPr>
          <w:p w:rsidRPr="003E014E" w:rsidR="00AC41E9" w:rsidP="005568E9" w:rsidRDefault="00AC41E9" w14:paraId="3A391A1D" w14:textId="77777777">
            <w:pPr>
              <w:pStyle w:val="SEOOpsommingBulletL2"/>
              <w:numPr>
                <w:ilvl w:val="0"/>
                <w:numId w:val="0"/>
              </w:numPr>
              <w:ind w:left="757"/>
              <w:rPr>
                <w:rFonts w:ascii="Trebuchet MS" w:hAnsi="Trebuchet MS"/>
                <w:bCs/>
                <w:color w:val="auto"/>
                <w:sz w:val="16"/>
                <w:szCs w:val="16"/>
              </w:rPr>
            </w:pPr>
          </w:p>
        </w:tc>
        <w:tc>
          <w:tcPr>
            <w:tcW w:w="488" w:type="dxa"/>
          </w:tcPr>
          <w:p w:rsidRPr="003E014E" w:rsidR="00AC41E9" w:rsidP="005568E9" w:rsidRDefault="00AC41E9" w14:paraId="3BAB9EE8" w14:textId="77777777">
            <w:pPr>
              <w:pStyle w:val="SEOOpsommingBulletL2"/>
              <w:numPr>
                <w:ilvl w:val="0"/>
                <w:numId w:val="0"/>
              </w:numPr>
              <w:ind w:left="757"/>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41FBF1FD" w14:textId="77777777">
            <w:pPr>
              <w:pStyle w:val="SEOOpsommingBulletL2"/>
              <w:numPr>
                <w:ilvl w:val="0"/>
                <w:numId w:val="0"/>
              </w:numPr>
              <w:ind w:left="757"/>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797F4A3A" w14:textId="77777777">
            <w:pPr>
              <w:pStyle w:val="SEOOpsommingBulletL2"/>
              <w:numPr>
                <w:ilvl w:val="0"/>
                <w:numId w:val="0"/>
              </w:numPr>
              <w:ind w:left="757"/>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234F92AD" w14:textId="77777777">
            <w:pPr>
              <w:pStyle w:val="SEOOpsommingBulletL2"/>
              <w:numPr>
                <w:ilvl w:val="0"/>
                <w:numId w:val="0"/>
              </w:numPr>
              <w:ind w:left="757"/>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3EBAB736" w14:textId="77777777">
            <w:pPr>
              <w:pStyle w:val="SEOOpsommingBulletL2"/>
              <w:numPr>
                <w:ilvl w:val="0"/>
                <w:numId w:val="0"/>
              </w:numPr>
              <w:ind w:left="757"/>
              <w:rPr>
                <w:rFonts w:ascii="Trebuchet MS" w:hAnsi="Trebuchet MS"/>
                <w:bCs/>
                <w:color w:val="auto"/>
                <w:sz w:val="16"/>
                <w:szCs w:val="16"/>
              </w:rPr>
            </w:pPr>
          </w:p>
        </w:tc>
        <w:tc>
          <w:tcPr>
            <w:tcW w:w="489" w:type="dxa"/>
            <w:shd w:val="clear" w:color="auto" w:fill="657C9C" w:themeFill="text2" w:themeFillTint="BF"/>
          </w:tcPr>
          <w:p w:rsidRPr="003E014E" w:rsidR="00AC41E9" w:rsidP="005568E9" w:rsidRDefault="00AC41E9" w14:paraId="1C136D95" w14:textId="77777777">
            <w:pPr>
              <w:pStyle w:val="SEOOpsommingBulletL2"/>
              <w:numPr>
                <w:ilvl w:val="0"/>
                <w:numId w:val="0"/>
              </w:numPr>
              <w:ind w:left="757"/>
              <w:rPr>
                <w:rFonts w:ascii="Trebuchet MS" w:hAnsi="Trebuchet MS"/>
                <w:bCs/>
                <w:color w:val="auto"/>
                <w:sz w:val="16"/>
                <w:szCs w:val="16"/>
              </w:rPr>
            </w:pPr>
          </w:p>
        </w:tc>
      </w:tr>
      <w:tr w:rsidRPr="00AC41E9" w:rsidR="00AC41E9" w:rsidTr="005568E9" w14:paraId="1DA3FBF1" w14:textId="77777777">
        <w:tc>
          <w:tcPr>
            <w:tcW w:w="5652" w:type="dxa"/>
          </w:tcPr>
          <w:p w:rsidRPr="003E014E" w:rsidR="00AC41E9" w:rsidP="00426692" w:rsidRDefault="00AC41E9" w14:paraId="62924A18" w14:textId="77777777">
            <w:pPr>
              <w:pStyle w:val="SEOOpsommingBulletL2"/>
              <w:numPr>
                <w:ilvl w:val="2"/>
                <w:numId w:val="71"/>
              </w:numPr>
              <w:rPr>
                <w:rFonts w:ascii="Trebuchet MS" w:hAnsi="Trebuchet MS"/>
                <w:bCs/>
                <w:color w:val="auto"/>
                <w:sz w:val="16"/>
                <w:szCs w:val="16"/>
              </w:rPr>
            </w:pPr>
            <w:r w:rsidRPr="003E014E">
              <w:rPr>
                <w:rFonts w:ascii="Trebuchet MS" w:hAnsi="Trebuchet MS"/>
                <w:bCs/>
                <w:color w:val="auto"/>
                <w:sz w:val="16"/>
                <w:szCs w:val="16"/>
              </w:rPr>
              <w:t>Investeringen in faciliteiten en apparatuur</w:t>
            </w:r>
          </w:p>
        </w:tc>
        <w:tc>
          <w:tcPr>
            <w:tcW w:w="488" w:type="dxa"/>
          </w:tcPr>
          <w:p w:rsidRPr="003E014E" w:rsidR="00AC41E9" w:rsidP="005568E9" w:rsidRDefault="00AC41E9" w14:paraId="213174EE" w14:textId="77777777">
            <w:pPr>
              <w:pStyle w:val="SEOOpsommingBulletL2"/>
              <w:numPr>
                <w:ilvl w:val="0"/>
                <w:numId w:val="0"/>
              </w:numPr>
              <w:ind w:left="757"/>
              <w:rPr>
                <w:rFonts w:ascii="Trebuchet MS" w:hAnsi="Trebuchet MS"/>
                <w:bCs/>
                <w:color w:val="auto"/>
                <w:sz w:val="16"/>
                <w:szCs w:val="16"/>
              </w:rPr>
            </w:pPr>
          </w:p>
        </w:tc>
        <w:tc>
          <w:tcPr>
            <w:tcW w:w="488" w:type="dxa"/>
          </w:tcPr>
          <w:p w:rsidRPr="003E014E" w:rsidR="00AC41E9" w:rsidP="005568E9" w:rsidRDefault="00AC41E9" w14:paraId="015F8BC2" w14:textId="77777777">
            <w:pPr>
              <w:pStyle w:val="SEOOpsommingBulletL2"/>
              <w:numPr>
                <w:ilvl w:val="0"/>
                <w:numId w:val="0"/>
              </w:numPr>
              <w:ind w:left="757"/>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498134EB" w14:textId="77777777">
            <w:pPr>
              <w:pStyle w:val="SEOOpsommingBulletL2"/>
              <w:numPr>
                <w:ilvl w:val="0"/>
                <w:numId w:val="0"/>
              </w:numPr>
              <w:ind w:left="757"/>
              <w:rPr>
                <w:rFonts w:ascii="Trebuchet MS" w:hAnsi="Trebuchet MS"/>
                <w:bCs/>
                <w:color w:val="auto"/>
                <w:sz w:val="16"/>
                <w:szCs w:val="16"/>
              </w:rPr>
            </w:pPr>
          </w:p>
        </w:tc>
        <w:tc>
          <w:tcPr>
            <w:tcW w:w="488" w:type="dxa"/>
          </w:tcPr>
          <w:p w:rsidRPr="003E014E" w:rsidR="00AC41E9" w:rsidP="005568E9" w:rsidRDefault="00AC41E9" w14:paraId="7CD7F1FC" w14:textId="77777777">
            <w:pPr>
              <w:pStyle w:val="SEOOpsommingBulletL2"/>
              <w:numPr>
                <w:ilvl w:val="0"/>
                <w:numId w:val="0"/>
              </w:numPr>
              <w:ind w:left="757"/>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036B5B51" w14:textId="77777777">
            <w:pPr>
              <w:pStyle w:val="SEOOpsommingBulletL2"/>
              <w:numPr>
                <w:ilvl w:val="0"/>
                <w:numId w:val="0"/>
              </w:numPr>
              <w:ind w:left="757"/>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489AF530" w14:textId="77777777">
            <w:pPr>
              <w:pStyle w:val="SEOOpsommingBulletL2"/>
              <w:numPr>
                <w:ilvl w:val="0"/>
                <w:numId w:val="0"/>
              </w:numPr>
              <w:ind w:left="757"/>
              <w:rPr>
                <w:rFonts w:ascii="Trebuchet MS" w:hAnsi="Trebuchet MS"/>
                <w:bCs/>
                <w:color w:val="auto"/>
                <w:sz w:val="16"/>
                <w:szCs w:val="16"/>
              </w:rPr>
            </w:pPr>
          </w:p>
        </w:tc>
        <w:tc>
          <w:tcPr>
            <w:tcW w:w="489" w:type="dxa"/>
          </w:tcPr>
          <w:p w:rsidRPr="003E014E" w:rsidR="00AC41E9" w:rsidP="005568E9" w:rsidRDefault="00AC41E9" w14:paraId="7BBD0634" w14:textId="77777777">
            <w:pPr>
              <w:pStyle w:val="SEOOpsommingBulletL2"/>
              <w:numPr>
                <w:ilvl w:val="0"/>
                <w:numId w:val="0"/>
              </w:numPr>
              <w:ind w:left="757"/>
              <w:rPr>
                <w:rFonts w:ascii="Trebuchet MS" w:hAnsi="Trebuchet MS"/>
                <w:bCs/>
                <w:color w:val="auto"/>
                <w:sz w:val="16"/>
                <w:szCs w:val="16"/>
              </w:rPr>
            </w:pPr>
          </w:p>
        </w:tc>
      </w:tr>
      <w:tr w:rsidRPr="00AC41E9" w:rsidR="00AC41E9" w:rsidTr="005568E9" w14:paraId="4C1A7542" w14:textId="77777777">
        <w:tc>
          <w:tcPr>
            <w:tcW w:w="5652" w:type="dxa"/>
          </w:tcPr>
          <w:p w:rsidRPr="003E014E" w:rsidR="00AC41E9" w:rsidP="00426692" w:rsidRDefault="00AC41E9" w14:paraId="37051A8D" w14:textId="77777777">
            <w:pPr>
              <w:pStyle w:val="SEOOpsommingBulletL1"/>
              <w:numPr>
                <w:ilvl w:val="0"/>
                <w:numId w:val="70"/>
              </w:numPr>
              <w:rPr>
                <w:rFonts w:ascii="Trebuchet MS" w:hAnsi="Trebuchet MS"/>
                <w:bCs/>
                <w:color w:val="auto"/>
                <w:sz w:val="16"/>
                <w:szCs w:val="16"/>
              </w:rPr>
            </w:pPr>
            <w:r w:rsidRPr="003E014E">
              <w:rPr>
                <w:rFonts w:ascii="Trebuchet MS" w:hAnsi="Trebuchet MS"/>
                <w:bCs/>
                <w:color w:val="auto"/>
                <w:sz w:val="16"/>
                <w:szCs w:val="16"/>
              </w:rPr>
              <w:t>Innovatief vermogen en structurele kennisdeling in de regio</w:t>
            </w:r>
          </w:p>
        </w:tc>
        <w:tc>
          <w:tcPr>
            <w:tcW w:w="488" w:type="dxa"/>
          </w:tcPr>
          <w:p w:rsidRPr="003E014E" w:rsidR="00AC41E9" w:rsidP="005568E9" w:rsidRDefault="00AC41E9" w14:paraId="59D8706F"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5F5E2AAA" w14:textId="77777777">
            <w:pPr>
              <w:pStyle w:val="SEOOpsommingBulletL1"/>
              <w:numPr>
                <w:ilvl w:val="0"/>
                <w:numId w:val="0"/>
              </w:numPr>
              <w:ind w:left="720"/>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3A979B84"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6535F609"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622CA45D" w14:textId="77777777">
            <w:pPr>
              <w:pStyle w:val="SEOOpsommingBulletL1"/>
              <w:numPr>
                <w:ilvl w:val="0"/>
                <w:numId w:val="0"/>
              </w:numPr>
              <w:ind w:left="720"/>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65AA6F9B" w14:textId="77777777">
            <w:pPr>
              <w:pStyle w:val="SEOOpsommingBulletL1"/>
              <w:numPr>
                <w:ilvl w:val="0"/>
                <w:numId w:val="0"/>
              </w:numPr>
              <w:ind w:left="720"/>
              <w:rPr>
                <w:rFonts w:ascii="Trebuchet MS" w:hAnsi="Trebuchet MS"/>
                <w:bCs/>
                <w:color w:val="auto"/>
                <w:sz w:val="16"/>
                <w:szCs w:val="16"/>
              </w:rPr>
            </w:pPr>
          </w:p>
        </w:tc>
        <w:tc>
          <w:tcPr>
            <w:tcW w:w="489" w:type="dxa"/>
          </w:tcPr>
          <w:p w:rsidRPr="003E014E" w:rsidR="00AC41E9" w:rsidP="005568E9" w:rsidRDefault="00AC41E9" w14:paraId="568875C2" w14:textId="77777777">
            <w:pPr>
              <w:pStyle w:val="SEOOpsommingBulletL1"/>
              <w:numPr>
                <w:ilvl w:val="0"/>
                <w:numId w:val="0"/>
              </w:numPr>
              <w:ind w:left="720"/>
              <w:rPr>
                <w:rFonts w:ascii="Trebuchet MS" w:hAnsi="Trebuchet MS"/>
                <w:bCs/>
                <w:color w:val="auto"/>
                <w:sz w:val="16"/>
                <w:szCs w:val="16"/>
              </w:rPr>
            </w:pPr>
          </w:p>
        </w:tc>
      </w:tr>
      <w:tr w:rsidRPr="00AC41E9" w:rsidR="00AC41E9" w:rsidTr="005568E9" w14:paraId="192B77B3" w14:textId="77777777">
        <w:tc>
          <w:tcPr>
            <w:tcW w:w="5652" w:type="dxa"/>
          </w:tcPr>
          <w:p w:rsidRPr="003E014E" w:rsidR="00AC41E9" w:rsidP="00426692" w:rsidRDefault="00AC41E9" w14:paraId="2E114064" w14:textId="77777777">
            <w:pPr>
              <w:pStyle w:val="SEOOpsommingBulletL1"/>
              <w:numPr>
                <w:ilvl w:val="0"/>
                <w:numId w:val="70"/>
              </w:numPr>
              <w:rPr>
                <w:rFonts w:ascii="Trebuchet MS" w:hAnsi="Trebuchet MS"/>
                <w:bCs/>
                <w:color w:val="auto"/>
                <w:sz w:val="16"/>
                <w:szCs w:val="16"/>
              </w:rPr>
            </w:pPr>
            <w:r w:rsidRPr="003E014E">
              <w:rPr>
                <w:rFonts w:ascii="Trebuchet MS" w:hAnsi="Trebuchet MS"/>
                <w:bCs/>
                <w:color w:val="auto"/>
                <w:sz w:val="16"/>
                <w:szCs w:val="16"/>
              </w:rPr>
              <w:t xml:space="preserve">Goed toegeruste techniekdocenten </w:t>
            </w:r>
          </w:p>
        </w:tc>
        <w:tc>
          <w:tcPr>
            <w:tcW w:w="488" w:type="dxa"/>
          </w:tcPr>
          <w:p w:rsidRPr="003E014E" w:rsidR="00AC41E9" w:rsidP="005568E9" w:rsidRDefault="00AC41E9" w14:paraId="66E006E1" w14:textId="77777777">
            <w:pPr>
              <w:pStyle w:val="SEOOpsommingBulletL1"/>
              <w:numPr>
                <w:ilvl w:val="0"/>
                <w:numId w:val="0"/>
              </w:numPr>
              <w:ind w:left="720"/>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3B74DBAD" w14:textId="77777777">
            <w:pPr>
              <w:pStyle w:val="SEOOpsommingBulletL1"/>
              <w:numPr>
                <w:ilvl w:val="0"/>
                <w:numId w:val="0"/>
              </w:numPr>
              <w:ind w:left="720"/>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0D1C51F2" w14:textId="77777777">
            <w:pPr>
              <w:pStyle w:val="SEOOpsommingBulletL1"/>
              <w:numPr>
                <w:ilvl w:val="0"/>
                <w:numId w:val="0"/>
              </w:numPr>
              <w:ind w:left="720"/>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12805914" w14:textId="77777777">
            <w:pPr>
              <w:pStyle w:val="SEOOpsommingBulletL1"/>
              <w:numPr>
                <w:ilvl w:val="0"/>
                <w:numId w:val="0"/>
              </w:numPr>
              <w:ind w:left="720"/>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60E61587" w14:textId="77777777">
            <w:pPr>
              <w:pStyle w:val="SEOOpsommingBulletL1"/>
              <w:numPr>
                <w:ilvl w:val="0"/>
                <w:numId w:val="0"/>
              </w:numPr>
              <w:ind w:left="720"/>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75D4BDE5" w14:textId="77777777">
            <w:pPr>
              <w:pStyle w:val="SEOOpsommingBulletL1"/>
              <w:numPr>
                <w:ilvl w:val="0"/>
                <w:numId w:val="0"/>
              </w:numPr>
              <w:ind w:left="720"/>
              <w:rPr>
                <w:rFonts w:ascii="Trebuchet MS" w:hAnsi="Trebuchet MS"/>
                <w:bCs/>
                <w:color w:val="auto"/>
                <w:sz w:val="16"/>
                <w:szCs w:val="16"/>
              </w:rPr>
            </w:pPr>
          </w:p>
        </w:tc>
        <w:tc>
          <w:tcPr>
            <w:tcW w:w="489" w:type="dxa"/>
            <w:shd w:val="clear" w:color="auto" w:fill="657C9C" w:themeFill="text2" w:themeFillTint="BF"/>
          </w:tcPr>
          <w:p w:rsidRPr="003E014E" w:rsidR="00AC41E9" w:rsidP="005568E9" w:rsidRDefault="00AC41E9" w14:paraId="7D8602EF" w14:textId="77777777">
            <w:pPr>
              <w:pStyle w:val="SEOOpsommingBulletL1"/>
              <w:numPr>
                <w:ilvl w:val="0"/>
                <w:numId w:val="0"/>
              </w:numPr>
              <w:ind w:left="720"/>
              <w:rPr>
                <w:rFonts w:ascii="Trebuchet MS" w:hAnsi="Trebuchet MS"/>
                <w:bCs/>
                <w:color w:val="auto"/>
                <w:sz w:val="16"/>
                <w:szCs w:val="16"/>
              </w:rPr>
            </w:pPr>
          </w:p>
        </w:tc>
      </w:tr>
      <w:tr w:rsidRPr="00AC41E9" w:rsidR="00AC41E9" w:rsidTr="005568E9" w14:paraId="4C02BEE7" w14:textId="77777777">
        <w:tc>
          <w:tcPr>
            <w:tcW w:w="5652" w:type="dxa"/>
          </w:tcPr>
          <w:p w:rsidRPr="003E014E" w:rsidR="00AC41E9" w:rsidP="00426692" w:rsidRDefault="00AC41E9" w14:paraId="339BBEA8" w14:textId="77777777">
            <w:pPr>
              <w:pStyle w:val="SEOOpsommingBulletL2"/>
              <w:numPr>
                <w:ilvl w:val="2"/>
                <w:numId w:val="72"/>
              </w:numPr>
              <w:rPr>
                <w:rFonts w:ascii="Trebuchet MS" w:hAnsi="Trebuchet MS"/>
                <w:bCs/>
                <w:color w:val="auto"/>
                <w:sz w:val="16"/>
                <w:szCs w:val="16"/>
              </w:rPr>
            </w:pPr>
            <w:r w:rsidRPr="003E014E">
              <w:rPr>
                <w:rFonts w:ascii="Trebuchet MS" w:hAnsi="Trebuchet MS"/>
                <w:bCs/>
                <w:color w:val="auto"/>
                <w:sz w:val="16"/>
                <w:szCs w:val="16"/>
              </w:rPr>
              <w:t>Opleidingsniveau docenten</w:t>
            </w:r>
          </w:p>
        </w:tc>
        <w:tc>
          <w:tcPr>
            <w:tcW w:w="488" w:type="dxa"/>
          </w:tcPr>
          <w:p w:rsidRPr="003E014E" w:rsidR="00AC41E9" w:rsidP="005568E9" w:rsidRDefault="00AC41E9" w14:paraId="78EE0872" w14:textId="77777777">
            <w:pPr>
              <w:pStyle w:val="SEOOpsommingBulletL2"/>
              <w:numPr>
                <w:ilvl w:val="0"/>
                <w:numId w:val="0"/>
              </w:numPr>
              <w:ind w:left="757"/>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5EC70050" w14:textId="77777777">
            <w:pPr>
              <w:pStyle w:val="SEOOpsommingBulletL2"/>
              <w:numPr>
                <w:ilvl w:val="0"/>
                <w:numId w:val="0"/>
              </w:numPr>
              <w:ind w:left="757"/>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1363E37E" w14:textId="77777777">
            <w:pPr>
              <w:pStyle w:val="SEOOpsommingBulletL2"/>
              <w:numPr>
                <w:ilvl w:val="0"/>
                <w:numId w:val="0"/>
              </w:numPr>
              <w:ind w:left="757"/>
              <w:rPr>
                <w:rFonts w:ascii="Trebuchet MS" w:hAnsi="Trebuchet MS"/>
                <w:bCs/>
                <w:color w:val="auto"/>
                <w:sz w:val="16"/>
                <w:szCs w:val="16"/>
              </w:rPr>
            </w:pPr>
          </w:p>
        </w:tc>
        <w:tc>
          <w:tcPr>
            <w:tcW w:w="488" w:type="dxa"/>
          </w:tcPr>
          <w:p w:rsidRPr="003E014E" w:rsidR="00AC41E9" w:rsidP="005568E9" w:rsidRDefault="00AC41E9" w14:paraId="7A1B17DC" w14:textId="77777777">
            <w:pPr>
              <w:pStyle w:val="SEOOpsommingBulletL2"/>
              <w:numPr>
                <w:ilvl w:val="0"/>
                <w:numId w:val="0"/>
              </w:numPr>
              <w:ind w:left="757"/>
              <w:rPr>
                <w:rFonts w:ascii="Trebuchet MS" w:hAnsi="Trebuchet MS"/>
                <w:bCs/>
                <w:color w:val="auto"/>
                <w:sz w:val="16"/>
                <w:szCs w:val="16"/>
              </w:rPr>
            </w:pPr>
          </w:p>
        </w:tc>
        <w:tc>
          <w:tcPr>
            <w:tcW w:w="488" w:type="dxa"/>
          </w:tcPr>
          <w:p w:rsidRPr="003E014E" w:rsidR="00AC41E9" w:rsidP="005568E9" w:rsidRDefault="00AC41E9" w14:paraId="7C6F50DF" w14:textId="77777777">
            <w:pPr>
              <w:pStyle w:val="SEOOpsommingBulletL2"/>
              <w:numPr>
                <w:ilvl w:val="0"/>
                <w:numId w:val="0"/>
              </w:numPr>
              <w:ind w:left="757"/>
              <w:rPr>
                <w:rFonts w:ascii="Trebuchet MS" w:hAnsi="Trebuchet MS"/>
                <w:bCs/>
                <w:color w:val="auto"/>
                <w:sz w:val="16"/>
                <w:szCs w:val="16"/>
              </w:rPr>
            </w:pPr>
          </w:p>
        </w:tc>
        <w:tc>
          <w:tcPr>
            <w:tcW w:w="488" w:type="dxa"/>
          </w:tcPr>
          <w:p w:rsidRPr="003E014E" w:rsidR="00AC41E9" w:rsidP="005568E9" w:rsidRDefault="00AC41E9" w14:paraId="557E8840" w14:textId="77777777">
            <w:pPr>
              <w:pStyle w:val="SEOOpsommingBulletL2"/>
              <w:numPr>
                <w:ilvl w:val="0"/>
                <w:numId w:val="0"/>
              </w:numPr>
              <w:ind w:left="757"/>
              <w:rPr>
                <w:rFonts w:ascii="Trebuchet MS" w:hAnsi="Trebuchet MS"/>
                <w:bCs/>
                <w:color w:val="auto"/>
                <w:sz w:val="16"/>
                <w:szCs w:val="16"/>
              </w:rPr>
            </w:pPr>
          </w:p>
        </w:tc>
        <w:tc>
          <w:tcPr>
            <w:tcW w:w="489" w:type="dxa"/>
          </w:tcPr>
          <w:p w:rsidRPr="003E014E" w:rsidR="00AC41E9" w:rsidP="005568E9" w:rsidRDefault="00AC41E9" w14:paraId="723DE839" w14:textId="77777777">
            <w:pPr>
              <w:pStyle w:val="SEOOpsommingBulletL2"/>
              <w:numPr>
                <w:ilvl w:val="0"/>
                <w:numId w:val="0"/>
              </w:numPr>
              <w:ind w:left="757"/>
              <w:rPr>
                <w:rFonts w:ascii="Trebuchet MS" w:hAnsi="Trebuchet MS"/>
                <w:bCs/>
                <w:color w:val="auto"/>
                <w:sz w:val="16"/>
                <w:szCs w:val="16"/>
              </w:rPr>
            </w:pPr>
          </w:p>
        </w:tc>
      </w:tr>
      <w:tr w:rsidRPr="00AC41E9" w:rsidR="00AC41E9" w:rsidTr="005568E9" w14:paraId="7AA4A87D" w14:textId="77777777">
        <w:tc>
          <w:tcPr>
            <w:tcW w:w="5652" w:type="dxa"/>
          </w:tcPr>
          <w:p w:rsidRPr="003E014E" w:rsidR="00AC41E9" w:rsidP="00426692" w:rsidRDefault="00AC41E9" w14:paraId="206288D9" w14:textId="77777777">
            <w:pPr>
              <w:pStyle w:val="SEOOpsommingBulletL2"/>
              <w:numPr>
                <w:ilvl w:val="2"/>
                <w:numId w:val="72"/>
              </w:numPr>
              <w:rPr>
                <w:rFonts w:ascii="Trebuchet MS" w:hAnsi="Trebuchet MS"/>
                <w:bCs/>
                <w:color w:val="auto"/>
                <w:sz w:val="16"/>
                <w:szCs w:val="16"/>
              </w:rPr>
            </w:pPr>
            <w:r w:rsidRPr="003E014E">
              <w:rPr>
                <w:rFonts w:ascii="Trebuchet MS" w:hAnsi="Trebuchet MS"/>
                <w:bCs/>
                <w:color w:val="auto"/>
                <w:sz w:val="16"/>
                <w:szCs w:val="16"/>
              </w:rPr>
              <w:t>Bijscholing/professionalisering docenten</w:t>
            </w:r>
          </w:p>
        </w:tc>
        <w:tc>
          <w:tcPr>
            <w:tcW w:w="488" w:type="dxa"/>
          </w:tcPr>
          <w:p w:rsidRPr="003E014E" w:rsidR="00AC41E9" w:rsidP="005568E9" w:rsidRDefault="00AC41E9" w14:paraId="7F28BA01" w14:textId="77777777">
            <w:pPr>
              <w:pStyle w:val="SEOOpsommingBulletL2"/>
              <w:numPr>
                <w:ilvl w:val="0"/>
                <w:numId w:val="0"/>
              </w:numPr>
              <w:ind w:left="757"/>
              <w:rPr>
                <w:rFonts w:ascii="Trebuchet MS" w:hAnsi="Trebuchet MS"/>
                <w:bCs/>
                <w:color w:val="auto"/>
                <w:sz w:val="16"/>
                <w:szCs w:val="16"/>
              </w:rPr>
            </w:pPr>
          </w:p>
        </w:tc>
        <w:tc>
          <w:tcPr>
            <w:tcW w:w="488" w:type="dxa"/>
          </w:tcPr>
          <w:p w:rsidRPr="003E014E" w:rsidR="00AC41E9" w:rsidP="005568E9" w:rsidRDefault="00AC41E9" w14:paraId="5874BC03" w14:textId="77777777">
            <w:pPr>
              <w:pStyle w:val="SEOOpsommingBulletL2"/>
              <w:numPr>
                <w:ilvl w:val="0"/>
                <w:numId w:val="0"/>
              </w:numPr>
              <w:ind w:left="757"/>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115D9E7A" w14:textId="77777777">
            <w:pPr>
              <w:pStyle w:val="SEOOpsommingBulletL2"/>
              <w:numPr>
                <w:ilvl w:val="0"/>
                <w:numId w:val="0"/>
              </w:numPr>
              <w:ind w:left="757"/>
              <w:rPr>
                <w:rFonts w:ascii="Trebuchet MS" w:hAnsi="Trebuchet MS"/>
                <w:bCs/>
                <w:color w:val="auto"/>
                <w:sz w:val="16"/>
                <w:szCs w:val="16"/>
              </w:rPr>
            </w:pPr>
          </w:p>
        </w:tc>
        <w:tc>
          <w:tcPr>
            <w:tcW w:w="488" w:type="dxa"/>
          </w:tcPr>
          <w:p w:rsidRPr="003E014E" w:rsidR="00AC41E9" w:rsidP="005568E9" w:rsidRDefault="00AC41E9" w14:paraId="4F956A90" w14:textId="77777777">
            <w:pPr>
              <w:pStyle w:val="SEOOpsommingBulletL2"/>
              <w:numPr>
                <w:ilvl w:val="0"/>
                <w:numId w:val="0"/>
              </w:numPr>
              <w:ind w:left="757"/>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3225F1A7" w14:textId="77777777">
            <w:pPr>
              <w:pStyle w:val="SEOOpsommingBulletL2"/>
              <w:numPr>
                <w:ilvl w:val="0"/>
                <w:numId w:val="0"/>
              </w:numPr>
              <w:ind w:left="757"/>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74B45740" w14:textId="77777777">
            <w:pPr>
              <w:pStyle w:val="SEOOpsommingBulletL2"/>
              <w:numPr>
                <w:ilvl w:val="0"/>
                <w:numId w:val="0"/>
              </w:numPr>
              <w:ind w:left="757"/>
              <w:rPr>
                <w:rFonts w:ascii="Trebuchet MS" w:hAnsi="Trebuchet MS"/>
                <w:bCs/>
                <w:color w:val="auto"/>
                <w:sz w:val="16"/>
                <w:szCs w:val="16"/>
              </w:rPr>
            </w:pPr>
          </w:p>
        </w:tc>
        <w:tc>
          <w:tcPr>
            <w:tcW w:w="489" w:type="dxa"/>
          </w:tcPr>
          <w:p w:rsidRPr="003E014E" w:rsidR="00AC41E9" w:rsidP="005568E9" w:rsidRDefault="00AC41E9" w14:paraId="45842C4F" w14:textId="77777777">
            <w:pPr>
              <w:pStyle w:val="SEOOpsommingBulletL2"/>
              <w:numPr>
                <w:ilvl w:val="0"/>
                <w:numId w:val="0"/>
              </w:numPr>
              <w:ind w:left="757"/>
              <w:rPr>
                <w:rFonts w:ascii="Trebuchet MS" w:hAnsi="Trebuchet MS"/>
                <w:bCs/>
                <w:color w:val="auto"/>
                <w:sz w:val="16"/>
                <w:szCs w:val="16"/>
              </w:rPr>
            </w:pPr>
          </w:p>
        </w:tc>
      </w:tr>
      <w:tr w:rsidRPr="00AC41E9" w:rsidR="00AC41E9" w:rsidTr="005568E9" w14:paraId="52096263" w14:textId="77777777">
        <w:tc>
          <w:tcPr>
            <w:tcW w:w="5652" w:type="dxa"/>
          </w:tcPr>
          <w:p w:rsidRPr="003E014E" w:rsidR="00AC41E9" w:rsidP="00426692" w:rsidRDefault="00AC41E9" w14:paraId="19E0C2CA" w14:textId="77777777">
            <w:pPr>
              <w:pStyle w:val="SEOOpsommingBulletL2"/>
              <w:numPr>
                <w:ilvl w:val="2"/>
                <w:numId w:val="72"/>
              </w:numPr>
              <w:rPr>
                <w:rFonts w:ascii="Trebuchet MS" w:hAnsi="Trebuchet MS"/>
                <w:bCs/>
                <w:color w:val="auto"/>
                <w:sz w:val="16"/>
                <w:szCs w:val="16"/>
              </w:rPr>
            </w:pPr>
            <w:r w:rsidRPr="003E014E">
              <w:rPr>
                <w:rFonts w:ascii="Trebuchet MS" w:hAnsi="Trebuchet MS"/>
                <w:bCs/>
                <w:color w:val="auto"/>
                <w:sz w:val="16"/>
                <w:szCs w:val="16"/>
              </w:rPr>
              <w:t>Aantal docenten dat afkomstig is uit bedrijfsleven</w:t>
            </w:r>
          </w:p>
        </w:tc>
        <w:tc>
          <w:tcPr>
            <w:tcW w:w="488" w:type="dxa"/>
          </w:tcPr>
          <w:p w:rsidRPr="003E014E" w:rsidR="00AC41E9" w:rsidP="005568E9" w:rsidRDefault="00AC41E9" w14:paraId="5E9D9121" w14:textId="77777777">
            <w:pPr>
              <w:pStyle w:val="SEOOpsommingBulletL2"/>
              <w:numPr>
                <w:ilvl w:val="0"/>
                <w:numId w:val="0"/>
              </w:numPr>
              <w:ind w:left="757"/>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5DD57F58" w14:textId="77777777">
            <w:pPr>
              <w:pStyle w:val="SEOOpsommingBulletL2"/>
              <w:numPr>
                <w:ilvl w:val="0"/>
                <w:numId w:val="0"/>
              </w:numPr>
              <w:ind w:left="757"/>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6283436F" w14:textId="77777777">
            <w:pPr>
              <w:pStyle w:val="SEOOpsommingBulletL2"/>
              <w:numPr>
                <w:ilvl w:val="0"/>
                <w:numId w:val="0"/>
              </w:numPr>
              <w:ind w:left="757"/>
              <w:rPr>
                <w:rFonts w:ascii="Trebuchet MS" w:hAnsi="Trebuchet MS"/>
                <w:bCs/>
                <w:color w:val="auto"/>
                <w:sz w:val="16"/>
                <w:szCs w:val="16"/>
              </w:rPr>
            </w:pPr>
          </w:p>
        </w:tc>
        <w:tc>
          <w:tcPr>
            <w:tcW w:w="488" w:type="dxa"/>
          </w:tcPr>
          <w:p w:rsidRPr="003E014E" w:rsidR="00AC41E9" w:rsidP="005568E9" w:rsidRDefault="00AC41E9" w14:paraId="60BEEBD0" w14:textId="77777777">
            <w:pPr>
              <w:pStyle w:val="SEOOpsommingBulletL2"/>
              <w:numPr>
                <w:ilvl w:val="0"/>
                <w:numId w:val="0"/>
              </w:numPr>
              <w:ind w:left="757"/>
              <w:rPr>
                <w:rFonts w:ascii="Trebuchet MS" w:hAnsi="Trebuchet MS"/>
                <w:bCs/>
                <w:color w:val="auto"/>
                <w:sz w:val="16"/>
                <w:szCs w:val="16"/>
              </w:rPr>
            </w:pPr>
          </w:p>
        </w:tc>
        <w:tc>
          <w:tcPr>
            <w:tcW w:w="488" w:type="dxa"/>
          </w:tcPr>
          <w:p w:rsidRPr="003E014E" w:rsidR="00AC41E9" w:rsidP="005568E9" w:rsidRDefault="00AC41E9" w14:paraId="17697962" w14:textId="77777777">
            <w:pPr>
              <w:pStyle w:val="SEOOpsommingBulletL2"/>
              <w:numPr>
                <w:ilvl w:val="0"/>
                <w:numId w:val="0"/>
              </w:numPr>
              <w:ind w:left="757"/>
              <w:rPr>
                <w:rFonts w:ascii="Trebuchet MS" w:hAnsi="Trebuchet MS"/>
                <w:bCs/>
                <w:color w:val="auto"/>
                <w:sz w:val="16"/>
                <w:szCs w:val="16"/>
              </w:rPr>
            </w:pPr>
          </w:p>
        </w:tc>
        <w:tc>
          <w:tcPr>
            <w:tcW w:w="488" w:type="dxa"/>
          </w:tcPr>
          <w:p w:rsidRPr="003E014E" w:rsidR="00AC41E9" w:rsidP="005568E9" w:rsidRDefault="00AC41E9" w14:paraId="446270E1" w14:textId="77777777">
            <w:pPr>
              <w:pStyle w:val="SEOOpsommingBulletL2"/>
              <w:numPr>
                <w:ilvl w:val="0"/>
                <w:numId w:val="0"/>
              </w:numPr>
              <w:ind w:left="757"/>
              <w:rPr>
                <w:rFonts w:ascii="Trebuchet MS" w:hAnsi="Trebuchet MS"/>
                <w:bCs/>
                <w:color w:val="auto"/>
                <w:sz w:val="16"/>
                <w:szCs w:val="16"/>
              </w:rPr>
            </w:pPr>
          </w:p>
        </w:tc>
        <w:tc>
          <w:tcPr>
            <w:tcW w:w="489" w:type="dxa"/>
          </w:tcPr>
          <w:p w:rsidRPr="003E014E" w:rsidR="00AC41E9" w:rsidP="005568E9" w:rsidRDefault="00AC41E9" w14:paraId="0F913E22" w14:textId="77777777">
            <w:pPr>
              <w:pStyle w:val="SEOOpsommingBulletL2"/>
              <w:numPr>
                <w:ilvl w:val="0"/>
                <w:numId w:val="0"/>
              </w:numPr>
              <w:ind w:left="757"/>
              <w:rPr>
                <w:rFonts w:ascii="Trebuchet MS" w:hAnsi="Trebuchet MS"/>
                <w:bCs/>
                <w:color w:val="auto"/>
                <w:sz w:val="16"/>
                <w:szCs w:val="16"/>
              </w:rPr>
            </w:pPr>
          </w:p>
        </w:tc>
      </w:tr>
      <w:tr w:rsidRPr="00AC41E9" w:rsidR="00AC41E9" w:rsidTr="005568E9" w14:paraId="511F8E21" w14:textId="77777777">
        <w:tc>
          <w:tcPr>
            <w:tcW w:w="5652" w:type="dxa"/>
          </w:tcPr>
          <w:p w:rsidRPr="003E014E" w:rsidR="00AC41E9" w:rsidP="00426692" w:rsidRDefault="00AC41E9" w14:paraId="4D10471B" w14:textId="77777777">
            <w:pPr>
              <w:pStyle w:val="SEOOpsommingBulletL1"/>
              <w:numPr>
                <w:ilvl w:val="0"/>
                <w:numId w:val="70"/>
              </w:numPr>
              <w:rPr>
                <w:rFonts w:ascii="Trebuchet MS" w:hAnsi="Trebuchet MS"/>
                <w:bCs/>
                <w:color w:val="auto"/>
                <w:sz w:val="16"/>
                <w:szCs w:val="16"/>
              </w:rPr>
            </w:pPr>
            <w:r w:rsidRPr="003E014E">
              <w:rPr>
                <w:rFonts w:ascii="Trebuchet MS" w:hAnsi="Trebuchet MS"/>
                <w:bCs/>
                <w:color w:val="auto"/>
                <w:sz w:val="16"/>
                <w:szCs w:val="16"/>
              </w:rPr>
              <w:t xml:space="preserve">Enthousiaste leerlingen </w:t>
            </w:r>
          </w:p>
        </w:tc>
        <w:tc>
          <w:tcPr>
            <w:tcW w:w="488" w:type="dxa"/>
          </w:tcPr>
          <w:p w:rsidRPr="003E014E" w:rsidR="00AC41E9" w:rsidP="005568E9" w:rsidRDefault="00AC41E9" w14:paraId="0484BA2B"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72E6B18D"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17365554" w14:textId="77777777">
            <w:pPr>
              <w:pStyle w:val="SEOOpsommingBulletL1"/>
              <w:numPr>
                <w:ilvl w:val="0"/>
                <w:numId w:val="0"/>
              </w:numPr>
              <w:ind w:left="720"/>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1A742899" w14:textId="77777777">
            <w:pPr>
              <w:pStyle w:val="SEOOpsommingBulletL1"/>
              <w:numPr>
                <w:ilvl w:val="0"/>
                <w:numId w:val="0"/>
              </w:numPr>
              <w:ind w:left="720"/>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75462815" w14:textId="77777777">
            <w:pPr>
              <w:pStyle w:val="SEOOpsommingBulletL1"/>
              <w:numPr>
                <w:ilvl w:val="0"/>
                <w:numId w:val="0"/>
              </w:numPr>
              <w:ind w:left="720"/>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1F7C97CE" w14:textId="77777777">
            <w:pPr>
              <w:pStyle w:val="SEOOpsommingBulletL1"/>
              <w:numPr>
                <w:ilvl w:val="0"/>
                <w:numId w:val="0"/>
              </w:numPr>
              <w:ind w:left="720"/>
              <w:rPr>
                <w:rFonts w:ascii="Trebuchet MS" w:hAnsi="Trebuchet MS"/>
                <w:bCs/>
                <w:color w:val="auto"/>
                <w:sz w:val="16"/>
                <w:szCs w:val="16"/>
              </w:rPr>
            </w:pPr>
          </w:p>
        </w:tc>
        <w:tc>
          <w:tcPr>
            <w:tcW w:w="489" w:type="dxa"/>
            <w:shd w:val="clear" w:color="auto" w:fill="657C9C" w:themeFill="text2" w:themeFillTint="BF"/>
          </w:tcPr>
          <w:p w:rsidRPr="003E014E" w:rsidR="00AC41E9" w:rsidP="005568E9" w:rsidRDefault="00AC41E9" w14:paraId="09D87C27" w14:textId="77777777">
            <w:pPr>
              <w:pStyle w:val="SEOOpsommingBulletL1"/>
              <w:numPr>
                <w:ilvl w:val="0"/>
                <w:numId w:val="0"/>
              </w:numPr>
              <w:ind w:left="720"/>
              <w:rPr>
                <w:rFonts w:ascii="Trebuchet MS" w:hAnsi="Trebuchet MS"/>
                <w:bCs/>
                <w:color w:val="auto"/>
                <w:sz w:val="16"/>
                <w:szCs w:val="16"/>
              </w:rPr>
            </w:pPr>
          </w:p>
        </w:tc>
      </w:tr>
      <w:tr w:rsidRPr="00AC41E9" w:rsidR="00AC41E9" w:rsidTr="005568E9" w14:paraId="32442E26" w14:textId="77777777">
        <w:tc>
          <w:tcPr>
            <w:tcW w:w="5652" w:type="dxa"/>
          </w:tcPr>
          <w:p w:rsidRPr="003E014E" w:rsidR="00AC41E9" w:rsidP="00426692" w:rsidRDefault="00AC41E9" w14:paraId="429C570A" w14:textId="77777777">
            <w:pPr>
              <w:pStyle w:val="SEOOpsommingBulletL2"/>
              <w:numPr>
                <w:ilvl w:val="2"/>
                <w:numId w:val="73"/>
              </w:numPr>
              <w:rPr>
                <w:rFonts w:ascii="Trebuchet MS" w:hAnsi="Trebuchet MS"/>
                <w:bCs/>
                <w:color w:val="auto"/>
                <w:sz w:val="16"/>
                <w:szCs w:val="16"/>
              </w:rPr>
            </w:pPr>
            <w:r w:rsidRPr="003E014E">
              <w:rPr>
                <w:rFonts w:ascii="Trebuchet MS" w:hAnsi="Trebuchet MS"/>
                <w:bCs/>
                <w:color w:val="auto"/>
                <w:sz w:val="16"/>
                <w:szCs w:val="16"/>
              </w:rPr>
              <w:t>Enthousiasme en interesse in techniek (oriëntatie en onderwijs)</w:t>
            </w:r>
          </w:p>
        </w:tc>
        <w:tc>
          <w:tcPr>
            <w:tcW w:w="488" w:type="dxa"/>
          </w:tcPr>
          <w:p w:rsidRPr="003E014E" w:rsidR="00AC41E9" w:rsidP="005568E9" w:rsidRDefault="00AC41E9" w14:paraId="02C3E650" w14:textId="77777777">
            <w:pPr>
              <w:pStyle w:val="SEOOpsommingBulletL2"/>
              <w:numPr>
                <w:ilvl w:val="0"/>
                <w:numId w:val="0"/>
              </w:numPr>
              <w:ind w:left="757"/>
              <w:rPr>
                <w:rFonts w:ascii="Trebuchet MS" w:hAnsi="Trebuchet MS"/>
                <w:bCs/>
                <w:color w:val="auto"/>
                <w:sz w:val="16"/>
                <w:szCs w:val="16"/>
              </w:rPr>
            </w:pPr>
          </w:p>
        </w:tc>
        <w:tc>
          <w:tcPr>
            <w:tcW w:w="488" w:type="dxa"/>
          </w:tcPr>
          <w:p w:rsidRPr="003E014E" w:rsidR="00AC41E9" w:rsidP="005568E9" w:rsidRDefault="00AC41E9" w14:paraId="30675013" w14:textId="77777777">
            <w:pPr>
              <w:pStyle w:val="SEOOpsommingBulletL2"/>
              <w:numPr>
                <w:ilvl w:val="0"/>
                <w:numId w:val="0"/>
              </w:numPr>
              <w:ind w:left="757"/>
              <w:rPr>
                <w:rFonts w:ascii="Trebuchet MS" w:hAnsi="Trebuchet MS"/>
                <w:bCs/>
                <w:color w:val="auto"/>
                <w:sz w:val="16"/>
                <w:szCs w:val="16"/>
              </w:rPr>
            </w:pPr>
          </w:p>
        </w:tc>
        <w:tc>
          <w:tcPr>
            <w:tcW w:w="488" w:type="dxa"/>
          </w:tcPr>
          <w:p w:rsidRPr="003E014E" w:rsidR="00AC41E9" w:rsidP="005568E9" w:rsidRDefault="00AC41E9" w14:paraId="0677A78C" w14:textId="77777777">
            <w:pPr>
              <w:pStyle w:val="SEOOpsommingBulletL2"/>
              <w:numPr>
                <w:ilvl w:val="0"/>
                <w:numId w:val="0"/>
              </w:numPr>
              <w:ind w:left="757"/>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37636AA5" w14:textId="77777777">
            <w:pPr>
              <w:pStyle w:val="SEOOpsommingBulletL2"/>
              <w:numPr>
                <w:ilvl w:val="0"/>
                <w:numId w:val="0"/>
              </w:numPr>
              <w:ind w:left="757"/>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7BFF0C09" w14:textId="77777777">
            <w:pPr>
              <w:pStyle w:val="SEOOpsommingBulletL2"/>
              <w:numPr>
                <w:ilvl w:val="0"/>
                <w:numId w:val="0"/>
              </w:numPr>
              <w:ind w:left="757"/>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027DBC25" w14:textId="77777777">
            <w:pPr>
              <w:pStyle w:val="SEOOpsommingBulletL2"/>
              <w:numPr>
                <w:ilvl w:val="0"/>
                <w:numId w:val="0"/>
              </w:numPr>
              <w:ind w:left="757"/>
              <w:rPr>
                <w:rFonts w:ascii="Trebuchet MS" w:hAnsi="Trebuchet MS"/>
                <w:bCs/>
                <w:color w:val="auto"/>
                <w:sz w:val="16"/>
                <w:szCs w:val="16"/>
              </w:rPr>
            </w:pPr>
          </w:p>
        </w:tc>
        <w:tc>
          <w:tcPr>
            <w:tcW w:w="489" w:type="dxa"/>
          </w:tcPr>
          <w:p w:rsidRPr="003E014E" w:rsidR="00AC41E9" w:rsidP="005568E9" w:rsidRDefault="00AC41E9" w14:paraId="2CA7891F" w14:textId="77777777">
            <w:pPr>
              <w:pStyle w:val="SEOOpsommingBulletL2"/>
              <w:numPr>
                <w:ilvl w:val="0"/>
                <w:numId w:val="0"/>
              </w:numPr>
              <w:ind w:left="757"/>
              <w:rPr>
                <w:rFonts w:ascii="Trebuchet MS" w:hAnsi="Trebuchet MS"/>
                <w:bCs/>
                <w:color w:val="auto"/>
                <w:sz w:val="16"/>
                <w:szCs w:val="16"/>
              </w:rPr>
            </w:pPr>
          </w:p>
        </w:tc>
      </w:tr>
      <w:tr w:rsidRPr="00AC41E9" w:rsidR="00AC41E9" w:rsidTr="005568E9" w14:paraId="767D6BE8" w14:textId="77777777">
        <w:tc>
          <w:tcPr>
            <w:tcW w:w="5652" w:type="dxa"/>
          </w:tcPr>
          <w:p w:rsidRPr="003E014E" w:rsidR="00AC41E9" w:rsidP="00426692" w:rsidRDefault="00AC41E9" w14:paraId="7CAB4802" w14:textId="77777777">
            <w:pPr>
              <w:pStyle w:val="SEOOpsommingBulletL2"/>
              <w:numPr>
                <w:ilvl w:val="2"/>
                <w:numId w:val="73"/>
              </w:numPr>
              <w:rPr>
                <w:rFonts w:ascii="Trebuchet MS" w:hAnsi="Trebuchet MS"/>
                <w:bCs/>
                <w:color w:val="auto"/>
                <w:sz w:val="16"/>
                <w:szCs w:val="16"/>
              </w:rPr>
            </w:pPr>
            <w:r w:rsidRPr="003E014E">
              <w:rPr>
                <w:rFonts w:ascii="Trebuchet MS" w:hAnsi="Trebuchet MS"/>
                <w:bCs/>
                <w:color w:val="auto"/>
                <w:sz w:val="16"/>
                <w:szCs w:val="16"/>
              </w:rPr>
              <w:t>Oordelen over gevolgde vmbo-opleiding</w:t>
            </w:r>
          </w:p>
        </w:tc>
        <w:tc>
          <w:tcPr>
            <w:tcW w:w="488" w:type="dxa"/>
          </w:tcPr>
          <w:p w:rsidRPr="003E014E" w:rsidR="00AC41E9" w:rsidP="005568E9" w:rsidRDefault="00AC41E9" w14:paraId="51F67D9F" w14:textId="77777777">
            <w:pPr>
              <w:pStyle w:val="SEOOpsommingBulletL2"/>
              <w:numPr>
                <w:ilvl w:val="0"/>
                <w:numId w:val="0"/>
              </w:numPr>
              <w:ind w:left="757"/>
              <w:rPr>
                <w:rFonts w:ascii="Trebuchet MS" w:hAnsi="Trebuchet MS"/>
                <w:bCs/>
                <w:color w:val="auto"/>
                <w:sz w:val="16"/>
                <w:szCs w:val="16"/>
              </w:rPr>
            </w:pPr>
          </w:p>
        </w:tc>
        <w:tc>
          <w:tcPr>
            <w:tcW w:w="488" w:type="dxa"/>
          </w:tcPr>
          <w:p w:rsidRPr="003E014E" w:rsidR="00AC41E9" w:rsidP="005568E9" w:rsidRDefault="00AC41E9" w14:paraId="783E1134" w14:textId="77777777">
            <w:pPr>
              <w:pStyle w:val="SEOOpsommingBulletL2"/>
              <w:numPr>
                <w:ilvl w:val="0"/>
                <w:numId w:val="0"/>
              </w:numPr>
              <w:ind w:left="757"/>
              <w:rPr>
                <w:rFonts w:ascii="Trebuchet MS" w:hAnsi="Trebuchet MS"/>
                <w:bCs/>
                <w:color w:val="auto"/>
                <w:sz w:val="16"/>
                <w:szCs w:val="16"/>
              </w:rPr>
            </w:pPr>
          </w:p>
        </w:tc>
        <w:tc>
          <w:tcPr>
            <w:tcW w:w="488" w:type="dxa"/>
          </w:tcPr>
          <w:p w:rsidRPr="003E014E" w:rsidR="00AC41E9" w:rsidP="005568E9" w:rsidRDefault="00AC41E9" w14:paraId="0026ECEF" w14:textId="77777777">
            <w:pPr>
              <w:pStyle w:val="SEOOpsommingBulletL2"/>
              <w:numPr>
                <w:ilvl w:val="0"/>
                <w:numId w:val="0"/>
              </w:numPr>
              <w:ind w:left="757"/>
              <w:rPr>
                <w:rFonts w:ascii="Trebuchet MS" w:hAnsi="Trebuchet MS"/>
                <w:bCs/>
                <w:color w:val="auto"/>
                <w:sz w:val="16"/>
                <w:szCs w:val="16"/>
              </w:rPr>
            </w:pPr>
          </w:p>
        </w:tc>
        <w:tc>
          <w:tcPr>
            <w:tcW w:w="488" w:type="dxa"/>
          </w:tcPr>
          <w:p w:rsidRPr="003E014E" w:rsidR="00AC41E9" w:rsidP="005568E9" w:rsidRDefault="00AC41E9" w14:paraId="705C35CF" w14:textId="77777777">
            <w:pPr>
              <w:pStyle w:val="SEOOpsommingBulletL2"/>
              <w:numPr>
                <w:ilvl w:val="0"/>
                <w:numId w:val="0"/>
              </w:numPr>
              <w:ind w:left="757"/>
              <w:rPr>
                <w:rFonts w:ascii="Trebuchet MS" w:hAnsi="Trebuchet MS"/>
                <w:bCs/>
                <w:color w:val="auto"/>
                <w:sz w:val="16"/>
                <w:szCs w:val="16"/>
              </w:rPr>
            </w:pPr>
          </w:p>
        </w:tc>
        <w:tc>
          <w:tcPr>
            <w:tcW w:w="488" w:type="dxa"/>
          </w:tcPr>
          <w:p w:rsidRPr="003E014E" w:rsidR="00AC41E9" w:rsidP="005568E9" w:rsidRDefault="00AC41E9" w14:paraId="1C892DC1" w14:textId="77777777">
            <w:pPr>
              <w:pStyle w:val="SEOOpsommingBulletL2"/>
              <w:numPr>
                <w:ilvl w:val="0"/>
                <w:numId w:val="0"/>
              </w:numPr>
              <w:ind w:left="757"/>
              <w:rPr>
                <w:rFonts w:ascii="Trebuchet MS" w:hAnsi="Trebuchet MS"/>
                <w:bCs/>
                <w:color w:val="auto"/>
                <w:sz w:val="16"/>
                <w:szCs w:val="16"/>
              </w:rPr>
            </w:pPr>
          </w:p>
        </w:tc>
        <w:tc>
          <w:tcPr>
            <w:tcW w:w="488" w:type="dxa"/>
          </w:tcPr>
          <w:p w:rsidRPr="003E014E" w:rsidR="00AC41E9" w:rsidP="005568E9" w:rsidRDefault="00AC41E9" w14:paraId="55AD0806" w14:textId="77777777">
            <w:pPr>
              <w:pStyle w:val="SEOOpsommingBulletL2"/>
              <w:numPr>
                <w:ilvl w:val="0"/>
                <w:numId w:val="0"/>
              </w:numPr>
              <w:ind w:left="757"/>
              <w:rPr>
                <w:rFonts w:ascii="Trebuchet MS" w:hAnsi="Trebuchet MS"/>
                <w:bCs/>
                <w:color w:val="auto"/>
                <w:sz w:val="16"/>
                <w:szCs w:val="16"/>
              </w:rPr>
            </w:pPr>
          </w:p>
        </w:tc>
        <w:tc>
          <w:tcPr>
            <w:tcW w:w="489" w:type="dxa"/>
            <w:shd w:val="clear" w:color="auto" w:fill="657C9C" w:themeFill="text2" w:themeFillTint="BF"/>
          </w:tcPr>
          <w:p w:rsidRPr="003E014E" w:rsidR="00AC41E9" w:rsidP="005568E9" w:rsidRDefault="00AC41E9" w14:paraId="6A19AFE2" w14:textId="77777777">
            <w:pPr>
              <w:pStyle w:val="SEOOpsommingBulletL2"/>
              <w:numPr>
                <w:ilvl w:val="0"/>
                <w:numId w:val="0"/>
              </w:numPr>
              <w:ind w:left="757"/>
              <w:rPr>
                <w:rFonts w:ascii="Trebuchet MS" w:hAnsi="Trebuchet MS"/>
                <w:bCs/>
                <w:color w:val="auto"/>
                <w:sz w:val="16"/>
                <w:szCs w:val="16"/>
              </w:rPr>
            </w:pPr>
          </w:p>
        </w:tc>
      </w:tr>
      <w:tr w:rsidRPr="00AC41E9" w:rsidR="00AC41E9" w:rsidTr="005568E9" w14:paraId="3BCCCF61" w14:textId="77777777">
        <w:tc>
          <w:tcPr>
            <w:tcW w:w="5652" w:type="dxa"/>
          </w:tcPr>
          <w:p w:rsidRPr="003E014E" w:rsidR="00AC41E9" w:rsidP="00426692" w:rsidRDefault="00AC41E9" w14:paraId="44A19852" w14:textId="77777777">
            <w:pPr>
              <w:pStyle w:val="SEOOpsommingBulletL2"/>
              <w:numPr>
                <w:ilvl w:val="2"/>
                <w:numId w:val="73"/>
              </w:numPr>
              <w:rPr>
                <w:rFonts w:ascii="Trebuchet MS" w:hAnsi="Trebuchet MS"/>
                <w:bCs/>
                <w:color w:val="auto"/>
                <w:sz w:val="16"/>
                <w:szCs w:val="16"/>
              </w:rPr>
            </w:pPr>
            <w:r w:rsidRPr="003E014E">
              <w:rPr>
                <w:rFonts w:ascii="Trebuchet MS" w:hAnsi="Trebuchet MS"/>
                <w:bCs/>
                <w:color w:val="auto"/>
                <w:sz w:val="16"/>
                <w:szCs w:val="16"/>
              </w:rPr>
              <w:t>Oordelen over voorbereiding en aansluiting op vervolgonderwijs</w:t>
            </w:r>
          </w:p>
        </w:tc>
        <w:tc>
          <w:tcPr>
            <w:tcW w:w="488" w:type="dxa"/>
          </w:tcPr>
          <w:p w:rsidRPr="003E014E" w:rsidR="00AC41E9" w:rsidP="005568E9" w:rsidRDefault="00AC41E9" w14:paraId="065D5124" w14:textId="77777777">
            <w:pPr>
              <w:pStyle w:val="SEOOpsommingBulletL2"/>
              <w:numPr>
                <w:ilvl w:val="0"/>
                <w:numId w:val="0"/>
              </w:numPr>
              <w:ind w:left="757"/>
              <w:rPr>
                <w:rFonts w:ascii="Trebuchet MS" w:hAnsi="Trebuchet MS"/>
                <w:bCs/>
                <w:color w:val="auto"/>
                <w:sz w:val="16"/>
                <w:szCs w:val="16"/>
              </w:rPr>
            </w:pPr>
          </w:p>
        </w:tc>
        <w:tc>
          <w:tcPr>
            <w:tcW w:w="488" w:type="dxa"/>
          </w:tcPr>
          <w:p w:rsidRPr="003E014E" w:rsidR="00AC41E9" w:rsidP="005568E9" w:rsidRDefault="00AC41E9" w14:paraId="44FE9344" w14:textId="77777777">
            <w:pPr>
              <w:pStyle w:val="SEOOpsommingBulletL2"/>
              <w:numPr>
                <w:ilvl w:val="0"/>
                <w:numId w:val="0"/>
              </w:numPr>
              <w:ind w:left="757"/>
              <w:rPr>
                <w:rFonts w:ascii="Trebuchet MS" w:hAnsi="Trebuchet MS"/>
                <w:bCs/>
                <w:color w:val="auto"/>
                <w:sz w:val="16"/>
                <w:szCs w:val="16"/>
              </w:rPr>
            </w:pPr>
          </w:p>
        </w:tc>
        <w:tc>
          <w:tcPr>
            <w:tcW w:w="488" w:type="dxa"/>
          </w:tcPr>
          <w:p w:rsidRPr="003E014E" w:rsidR="00AC41E9" w:rsidP="005568E9" w:rsidRDefault="00AC41E9" w14:paraId="75647297" w14:textId="77777777">
            <w:pPr>
              <w:pStyle w:val="SEOOpsommingBulletL2"/>
              <w:numPr>
                <w:ilvl w:val="0"/>
                <w:numId w:val="0"/>
              </w:numPr>
              <w:ind w:left="757"/>
              <w:rPr>
                <w:rFonts w:ascii="Trebuchet MS" w:hAnsi="Trebuchet MS"/>
                <w:bCs/>
                <w:color w:val="auto"/>
                <w:sz w:val="16"/>
                <w:szCs w:val="16"/>
              </w:rPr>
            </w:pPr>
          </w:p>
        </w:tc>
        <w:tc>
          <w:tcPr>
            <w:tcW w:w="488" w:type="dxa"/>
          </w:tcPr>
          <w:p w:rsidRPr="003E014E" w:rsidR="00AC41E9" w:rsidP="005568E9" w:rsidRDefault="00AC41E9" w14:paraId="298CF15C" w14:textId="77777777">
            <w:pPr>
              <w:pStyle w:val="SEOOpsommingBulletL2"/>
              <w:numPr>
                <w:ilvl w:val="0"/>
                <w:numId w:val="0"/>
              </w:numPr>
              <w:ind w:left="757"/>
              <w:rPr>
                <w:rFonts w:ascii="Trebuchet MS" w:hAnsi="Trebuchet MS"/>
                <w:bCs/>
                <w:color w:val="auto"/>
                <w:sz w:val="16"/>
                <w:szCs w:val="16"/>
              </w:rPr>
            </w:pPr>
          </w:p>
        </w:tc>
        <w:tc>
          <w:tcPr>
            <w:tcW w:w="488" w:type="dxa"/>
          </w:tcPr>
          <w:p w:rsidRPr="003E014E" w:rsidR="00AC41E9" w:rsidP="005568E9" w:rsidRDefault="00AC41E9" w14:paraId="1F141C7B" w14:textId="77777777">
            <w:pPr>
              <w:pStyle w:val="SEOOpsommingBulletL2"/>
              <w:numPr>
                <w:ilvl w:val="0"/>
                <w:numId w:val="0"/>
              </w:numPr>
              <w:ind w:left="757"/>
              <w:rPr>
                <w:rFonts w:ascii="Trebuchet MS" w:hAnsi="Trebuchet MS"/>
                <w:bCs/>
                <w:color w:val="auto"/>
                <w:sz w:val="16"/>
                <w:szCs w:val="16"/>
              </w:rPr>
            </w:pPr>
          </w:p>
        </w:tc>
        <w:tc>
          <w:tcPr>
            <w:tcW w:w="488" w:type="dxa"/>
          </w:tcPr>
          <w:p w:rsidRPr="003E014E" w:rsidR="00AC41E9" w:rsidP="005568E9" w:rsidRDefault="00AC41E9" w14:paraId="61956E27" w14:textId="77777777">
            <w:pPr>
              <w:pStyle w:val="SEOOpsommingBulletL2"/>
              <w:numPr>
                <w:ilvl w:val="0"/>
                <w:numId w:val="0"/>
              </w:numPr>
              <w:ind w:left="757"/>
              <w:rPr>
                <w:rFonts w:ascii="Trebuchet MS" w:hAnsi="Trebuchet MS"/>
                <w:bCs/>
                <w:color w:val="auto"/>
                <w:sz w:val="16"/>
                <w:szCs w:val="16"/>
              </w:rPr>
            </w:pPr>
          </w:p>
        </w:tc>
        <w:tc>
          <w:tcPr>
            <w:tcW w:w="489" w:type="dxa"/>
            <w:shd w:val="clear" w:color="auto" w:fill="657C9C" w:themeFill="text2" w:themeFillTint="BF"/>
          </w:tcPr>
          <w:p w:rsidRPr="003E014E" w:rsidR="00AC41E9" w:rsidP="005568E9" w:rsidRDefault="00AC41E9" w14:paraId="3CAFB558" w14:textId="77777777">
            <w:pPr>
              <w:pStyle w:val="SEOOpsommingBulletL2"/>
              <w:numPr>
                <w:ilvl w:val="0"/>
                <w:numId w:val="0"/>
              </w:numPr>
              <w:ind w:left="757"/>
              <w:rPr>
                <w:rFonts w:ascii="Trebuchet MS" w:hAnsi="Trebuchet MS"/>
                <w:bCs/>
                <w:color w:val="auto"/>
                <w:sz w:val="16"/>
                <w:szCs w:val="16"/>
              </w:rPr>
            </w:pPr>
          </w:p>
        </w:tc>
      </w:tr>
      <w:tr w:rsidRPr="00AC41E9" w:rsidR="00AC41E9" w:rsidTr="005568E9" w14:paraId="6E0CFCBF" w14:textId="77777777">
        <w:tc>
          <w:tcPr>
            <w:tcW w:w="5652" w:type="dxa"/>
          </w:tcPr>
          <w:p w:rsidRPr="003E014E" w:rsidR="00AC41E9" w:rsidP="00426692" w:rsidRDefault="00AC41E9" w14:paraId="3B3C90FC" w14:textId="77777777">
            <w:pPr>
              <w:pStyle w:val="SEOOpsommingBulletL1"/>
              <w:numPr>
                <w:ilvl w:val="0"/>
                <w:numId w:val="70"/>
              </w:numPr>
              <w:rPr>
                <w:rFonts w:ascii="Trebuchet MS" w:hAnsi="Trebuchet MS"/>
                <w:sz w:val="16"/>
                <w:szCs w:val="16"/>
              </w:rPr>
            </w:pPr>
            <w:r w:rsidRPr="003E014E">
              <w:rPr>
                <w:rFonts w:ascii="Trebuchet MS" w:hAnsi="Trebuchet MS"/>
                <w:bCs/>
                <w:color w:val="auto"/>
                <w:sz w:val="16"/>
                <w:szCs w:val="16"/>
              </w:rPr>
              <w:t xml:space="preserve">Studieresultaten &amp; doorstroom naar mbo </w:t>
            </w:r>
          </w:p>
        </w:tc>
        <w:tc>
          <w:tcPr>
            <w:tcW w:w="488" w:type="dxa"/>
            <w:shd w:val="clear" w:color="auto" w:fill="657C9C" w:themeFill="text2" w:themeFillTint="BF"/>
          </w:tcPr>
          <w:p w:rsidRPr="003E014E" w:rsidR="00AC41E9" w:rsidP="005568E9" w:rsidRDefault="00AC41E9" w14:paraId="1D92D7BC"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256B0604"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15D27C35"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46F3ABEF"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0D17CFE3" w14:textId="77777777">
            <w:pPr>
              <w:pStyle w:val="SEOOpsommingBulletL1"/>
              <w:numPr>
                <w:ilvl w:val="0"/>
                <w:numId w:val="0"/>
              </w:numPr>
              <w:ind w:left="720"/>
              <w:rPr>
                <w:rFonts w:ascii="Trebuchet MS" w:hAnsi="Trebuchet MS"/>
                <w:bCs/>
                <w:color w:val="auto"/>
                <w:sz w:val="16"/>
                <w:szCs w:val="16"/>
              </w:rPr>
            </w:pPr>
          </w:p>
        </w:tc>
        <w:tc>
          <w:tcPr>
            <w:tcW w:w="488" w:type="dxa"/>
          </w:tcPr>
          <w:p w:rsidRPr="003E014E" w:rsidR="00AC41E9" w:rsidP="005568E9" w:rsidRDefault="00AC41E9" w14:paraId="658EE5B2" w14:textId="77777777">
            <w:pPr>
              <w:pStyle w:val="SEOOpsommingBulletL1"/>
              <w:numPr>
                <w:ilvl w:val="0"/>
                <w:numId w:val="0"/>
              </w:numPr>
              <w:ind w:left="720"/>
              <w:rPr>
                <w:rFonts w:ascii="Trebuchet MS" w:hAnsi="Trebuchet MS"/>
                <w:bCs/>
                <w:color w:val="auto"/>
                <w:sz w:val="16"/>
                <w:szCs w:val="16"/>
              </w:rPr>
            </w:pPr>
          </w:p>
        </w:tc>
        <w:tc>
          <w:tcPr>
            <w:tcW w:w="489" w:type="dxa"/>
          </w:tcPr>
          <w:p w:rsidRPr="003E014E" w:rsidR="00AC41E9" w:rsidP="005568E9" w:rsidRDefault="00AC41E9" w14:paraId="360EBA47" w14:textId="77777777">
            <w:pPr>
              <w:pStyle w:val="SEOOpsommingBulletL1"/>
              <w:numPr>
                <w:ilvl w:val="0"/>
                <w:numId w:val="0"/>
              </w:numPr>
              <w:ind w:left="720"/>
              <w:rPr>
                <w:rFonts w:ascii="Trebuchet MS" w:hAnsi="Trebuchet MS"/>
                <w:bCs/>
                <w:color w:val="auto"/>
                <w:sz w:val="16"/>
                <w:szCs w:val="16"/>
              </w:rPr>
            </w:pPr>
          </w:p>
        </w:tc>
      </w:tr>
      <w:tr w:rsidRPr="00AC41E9" w:rsidR="00AC41E9" w:rsidTr="005568E9" w14:paraId="3FA17519" w14:textId="77777777">
        <w:tc>
          <w:tcPr>
            <w:tcW w:w="5652" w:type="dxa"/>
          </w:tcPr>
          <w:p w:rsidRPr="003E014E" w:rsidR="00AC41E9" w:rsidP="00426692" w:rsidRDefault="00AC41E9" w14:paraId="03492C1E" w14:textId="77777777">
            <w:pPr>
              <w:pStyle w:val="SEOOpsommingBulletL2"/>
              <w:numPr>
                <w:ilvl w:val="2"/>
                <w:numId w:val="74"/>
              </w:numPr>
              <w:rPr>
                <w:rFonts w:ascii="Trebuchet MS" w:hAnsi="Trebuchet MS"/>
                <w:bCs/>
                <w:color w:val="auto"/>
                <w:sz w:val="16"/>
                <w:szCs w:val="16"/>
              </w:rPr>
            </w:pPr>
            <w:r w:rsidRPr="003E014E">
              <w:rPr>
                <w:rFonts w:ascii="Trebuchet MS" w:hAnsi="Trebuchet MS"/>
                <w:bCs/>
                <w:color w:val="auto"/>
                <w:sz w:val="16"/>
                <w:szCs w:val="16"/>
              </w:rPr>
              <w:t>Uitval/switch op vmbo</w:t>
            </w:r>
          </w:p>
        </w:tc>
        <w:tc>
          <w:tcPr>
            <w:tcW w:w="488" w:type="dxa"/>
            <w:shd w:val="clear" w:color="auto" w:fill="657C9C" w:themeFill="text2" w:themeFillTint="BF"/>
          </w:tcPr>
          <w:p w:rsidRPr="003E014E" w:rsidR="00AC41E9" w:rsidP="005568E9" w:rsidRDefault="00AC41E9" w14:paraId="292E30C6" w14:textId="77777777">
            <w:pPr>
              <w:pStyle w:val="SEOOpsommingBulletL2"/>
              <w:numPr>
                <w:ilvl w:val="0"/>
                <w:numId w:val="0"/>
              </w:numPr>
              <w:ind w:left="2160"/>
              <w:rPr>
                <w:rFonts w:ascii="Trebuchet MS" w:hAnsi="Trebuchet MS"/>
                <w:bCs/>
                <w:color w:val="auto"/>
                <w:sz w:val="16"/>
                <w:szCs w:val="16"/>
              </w:rPr>
            </w:pPr>
          </w:p>
        </w:tc>
        <w:tc>
          <w:tcPr>
            <w:tcW w:w="488" w:type="dxa"/>
          </w:tcPr>
          <w:p w:rsidRPr="003E014E" w:rsidR="00AC41E9" w:rsidP="005568E9" w:rsidRDefault="00AC41E9" w14:paraId="6C11E669" w14:textId="77777777">
            <w:pPr>
              <w:pStyle w:val="SEOOpsommingBulletL2"/>
              <w:numPr>
                <w:ilvl w:val="0"/>
                <w:numId w:val="0"/>
              </w:numPr>
              <w:ind w:left="2160"/>
              <w:rPr>
                <w:rFonts w:ascii="Trebuchet MS" w:hAnsi="Trebuchet MS"/>
                <w:bCs/>
                <w:color w:val="auto"/>
                <w:sz w:val="16"/>
                <w:szCs w:val="16"/>
              </w:rPr>
            </w:pPr>
          </w:p>
        </w:tc>
        <w:tc>
          <w:tcPr>
            <w:tcW w:w="488" w:type="dxa"/>
          </w:tcPr>
          <w:p w:rsidRPr="003E014E" w:rsidR="00AC41E9" w:rsidP="005568E9" w:rsidRDefault="00AC41E9" w14:paraId="05C129C2" w14:textId="77777777">
            <w:pPr>
              <w:pStyle w:val="SEOOpsommingBulletL2"/>
              <w:numPr>
                <w:ilvl w:val="0"/>
                <w:numId w:val="0"/>
              </w:numPr>
              <w:ind w:left="2160"/>
              <w:rPr>
                <w:rFonts w:ascii="Trebuchet MS" w:hAnsi="Trebuchet MS"/>
                <w:bCs/>
                <w:color w:val="auto"/>
                <w:sz w:val="16"/>
                <w:szCs w:val="16"/>
              </w:rPr>
            </w:pPr>
          </w:p>
        </w:tc>
        <w:tc>
          <w:tcPr>
            <w:tcW w:w="488" w:type="dxa"/>
          </w:tcPr>
          <w:p w:rsidRPr="003E014E" w:rsidR="00AC41E9" w:rsidP="005568E9" w:rsidRDefault="00AC41E9" w14:paraId="5E6BA242" w14:textId="77777777">
            <w:pPr>
              <w:pStyle w:val="SEOOpsommingBulletL2"/>
              <w:numPr>
                <w:ilvl w:val="0"/>
                <w:numId w:val="0"/>
              </w:numPr>
              <w:ind w:left="2160"/>
              <w:rPr>
                <w:rFonts w:ascii="Trebuchet MS" w:hAnsi="Trebuchet MS"/>
                <w:bCs/>
                <w:color w:val="auto"/>
                <w:sz w:val="16"/>
                <w:szCs w:val="16"/>
              </w:rPr>
            </w:pPr>
          </w:p>
        </w:tc>
        <w:tc>
          <w:tcPr>
            <w:tcW w:w="488" w:type="dxa"/>
          </w:tcPr>
          <w:p w:rsidRPr="003E014E" w:rsidR="00AC41E9" w:rsidP="005568E9" w:rsidRDefault="00AC41E9" w14:paraId="623CB350" w14:textId="77777777">
            <w:pPr>
              <w:pStyle w:val="SEOOpsommingBulletL2"/>
              <w:numPr>
                <w:ilvl w:val="0"/>
                <w:numId w:val="0"/>
              </w:numPr>
              <w:ind w:left="2160"/>
              <w:rPr>
                <w:rFonts w:ascii="Trebuchet MS" w:hAnsi="Trebuchet MS"/>
                <w:bCs/>
                <w:color w:val="auto"/>
                <w:sz w:val="16"/>
                <w:szCs w:val="16"/>
              </w:rPr>
            </w:pPr>
          </w:p>
        </w:tc>
        <w:tc>
          <w:tcPr>
            <w:tcW w:w="488" w:type="dxa"/>
          </w:tcPr>
          <w:p w:rsidRPr="003E014E" w:rsidR="00AC41E9" w:rsidP="005568E9" w:rsidRDefault="00AC41E9" w14:paraId="4DB7EF22" w14:textId="77777777">
            <w:pPr>
              <w:pStyle w:val="SEOOpsommingBulletL2"/>
              <w:numPr>
                <w:ilvl w:val="0"/>
                <w:numId w:val="0"/>
              </w:numPr>
              <w:ind w:left="2160"/>
              <w:rPr>
                <w:rFonts w:ascii="Trebuchet MS" w:hAnsi="Trebuchet MS"/>
                <w:bCs/>
                <w:color w:val="auto"/>
                <w:sz w:val="16"/>
                <w:szCs w:val="16"/>
              </w:rPr>
            </w:pPr>
          </w:p>
        </w:tc>
        <w:tc>
          <w:tcPr>
            <w:tcW w:w="489" w:type="dxa"/>
          </w:tcPr>
          <w:p w:rsidRPr="003E014E" w:rsidR="00AC41E9" w:rsidP="005568E9" w:rsidRDefault="00AC41E9" w14:paraId="245DDAD9" w14:textId="77777777">
            <w:pPr>
              <w:pStyle w:val="SEOOpsommingBulletL2"/>
              <w:numPr>
                <w:ilvl w:val="0"/>
                <w:numId w:val="0"/>
              </w:numPr>
              <w:ind w:left="2160"/>
              <w:rPr>
                <w:rFonts w:ascii="Trebuchet MS" w:hAnsi="Trebuchet MS"/>
                <w:bCs/>
                <w:color w:val="auto"/>
                <w:sz w:val="16"/>
                <w:szCs w:val="16"/>
              </w:rPr>
            </w:pPr>
          </w:p>
        </w:tc>
      </w:tr>
      <w:tr w:rsidRPr="00AC41E9" w:rsidR="00AC41E9" w:rsidTr="005568E9" w14:paraId="265629B6" w14:textId="77777777">
        <w:tc>
          <w:tcPr>
            <w:tcW w:w="5652" w:type="dxa"/>
          </w:tcPr>
          <w:p w:rsidRPr="003E014E" w:rsidR="00AC41E9" w:rsidP="00426692" w:rsidRDefault="00AC41E9" w14:paraId="301617C0" w14:textId="77777777">
            <w:pPr>
              <w:pStyle w:val="SEOOpsommingBulletL2"/>
              <w:numPr>
                <w:ilvl w:val="2"/>
                <w:numId w:val="74"/>
              </w:numPr>
              <w:rPr>
                <w:rFonts w:ascii="Trebuchet MS" w:hAnsi="Trebuchet MS"/>
                <w:bCs/>
                <w:color w:val="auto"/>
                <w:sz w:val="16"/>
                <w:szCs w:val="16"/>
              </w:rPr>
            </w:pPr>
            <w:r w:rsidRPr="003E014E">
              <w:rPr>
                <w:rFonts w:ascii="Trebuchet MS" w:hAnsi="Trebuchet MS"/>
                <w:bCs/>
                <w:color w:val="auto"/>
                <w:sz w:val="16"/>
                <w:szCs w:val="16"/>
              </w:rPr>
              <w:t>Doorstroom naar mbo</w:t>
            </w:r>
          </w:p>
        </w:tc>
        <w:tc>
          <w:tcPr>
            <w:tcW w:w="488" w:type="dxa"/>
            <w:shd w:val="clear" w:color="auto" w:fill="657C9C" w:themeFill="text2" w:themeFillTint="BF"/>
          </w:tcPr>
          <w:p w:rsidRPr="003E014E" w:rsidR="00AC41E9" w:rsidP="005568E9" w:rsidRDefault="00AC41E9" w14:paraId="5A99E828" w14:textId="77777777">
            <w:pPr>
              <w:pStyle w:val="SEOOpsommingBulletL2"/>
              <w:numPr>
                <w:ilvl w:val="0"/>
                <w:numId w:val="0"/>
              </w:numPr>
              <w:ind w:left="2160"/>
              <w:rPr>
                <w:rFonts w:ascii="Trebuchet MS" w:hAnsi="Trebuchet MS"/>
                <w:bCs/>
                <w:color w:val="auto"/>
                <w:sz w:val="16"/>
                <w:szCs w:val="16"/>
              </w:rPr>
            </w:pPr>
          </w:p>
        </w:tc>
        <w:tc>
          <w:tcPr>
            <w:tcW w:w="488" w:type="dxa"/>
          </w:tcPr>
          <w:p w:rsidRPr="003E014E" w:rsidR="00AC41E9" w:rsidP="005568E9" w:rsidRDefault="00AC41E9" w14:paraId="5D6C2457" w14:textId="77777777">
            <w:pPr>
              <w:pStyle w:val="SEOOpsommingBulletL2"/>
              <w:numPr>
                <w:ilvl w:val="0"/>
                <w:numId w:val="0"/>
              </w:numPr>
              <w:ind w:left="2160"/>
              <w:rPr>
                <w:rFonts w:ascii="Trebuchet MS" w:hAnsi="Trebuchet MS"/>
                <w:bCs/>
                <w:color w:val="auto"/>
                <w:sz w:val="16"/>
                <w:szCs w:val="16"/>
              </w:rPr>
            </w:pPr>
          </w:p>
        </w:tc>
        <w:tc>
          <w:tcPr>
            <w:tcW w:w="488" w:type="dxa"/>
          </w:tcPr>
          <w:p w:rsidRPr="003E014E" w:rsidR="00AC41E9" w:rsidP="005568E9" w:rsidRDefault="00AC41E9" w14:paraId="18BB0755" w14:textId="77777777">
            <w:pPr>
              <w:pStyle w:val="SEOOpsommingBulletL2"/>
              <w:numPr>
                <w:ilvl w:val="0"/>
                <w:numId w:val="0"/>
              </w:numPr>
              <w:ind w:left="2160"/>
              <w:rPr>
                <w:rFonts w:ascii="Trebuchet MS" w:hAnsi="Trebuchet MS"/>
                <w:bCs/>
                <w:color w:val="auto"/>
                <w:sz w:val="16"/>
                <w:szCs w:val="16"/>
              </w:rPr>
            </w:pPr>
          </w:p>
        </w:tc>
        <w:tc>
          <w:tcPr>
            <w:tcW w:w="488" w:type="dxa"/>
          </w:tcPr>
          <w:p w:rsidRPr="003E014E" w:rsidR="00AC41E9" w:rsidP="005568E9" w:rsidRDefault="00AC41E9" w14:paraId="5A1506AB" w14:textId="77777777">
            <w:pPr>
              <w:pStyle w:val="SEOOpsommingBulletL2"/>
              <w:numPr>
                <w:ilvl w:val="0"/>
                <w:numId w:val="0"/>
              </w:numPr>
              <w:ind w:left="2160"/>
              <w:rPr>
                <w:rFonts w:ascii="Trebuchet MS" w:hAnsi="Trebuchet MS"/>
                <w:bCs/>
                <w:color w:val="auto"/>
                <w:sz w:val="16"/>
                <w:szCs w:val="16"/>
              </w:rPr>
            </w:pPr>
          </w:p>
        </w:tc>
        <w:tc>
          <w:tcPr>
            <w:tcW w:w="488" w:type="dxa"/>
          </w:tcPr>
          <w:p w:rsidRPr="003E014E" w:rsidR="00AC41E9" w:rsidP="005568E9" w:rsidRDefault="00AC41E9" w14:paraId="73ADB033" w14:textId="77777777">
            <w:pPr>
              <w:pStyle w:val="SEOOpsommingBulletL2"/>
              <w:numPr>
                <w:ilvl w:val="0"/>
                <w:numId w:val="0"/>
              </w:numPr>
              <w:ind w:left="2160"/>
              <w:rPr>
                <w:rFonts w:ascii="Trebuchet MS" w:hAnsi="Trebuchet MS"/>
                <w:bCs/>
                <w:color w:val="auto"/>
                <w:sz w:val="16"/>
                <w:szCs w:val="16"/>
              </w:rPr>
            </w:pPr>
          </w:p>
        </w:tc>
        <w:tc>
          <w:tcPr>
            <w:tcW w:w="488" w:type="dxa"/>
          </w:tcPr>
          <w:p w:rsidRPr="003E014E" w:rsidR="00AC41E9" w:rsidP="005568E9" w:rsidRDefault="00AC41E9" w14:paraId="694D8BD0" w14:textId="77777777">
            <w:pPr>
              <w:pStyle w:val="SEOOpsommingBulletL2"/>
              <w:numPr>
                <w:ilvl w:val="0"/>
                <w:numId w:val="0"/>
              </w:numPr>
              <w:ind w:left="2160"/>
              <w:rPr>
                <w:rFonts w:ascii="Trebuchet MS" w:hAnsi="Trebuchet MS"/>
                <w:bCs/>
                <w:color w:val="auto"/>
                <w:sz w:val="16"/>
                <w:szCs w:val="16"/>
              </w:rPr>
            </w:pPr>
          </w:p>
        </w:tc>
        <w:tc>
          <w:tcPr>
            <w:tcW w:w="489" w:type="dxa"/>
          </w:tcPr>
          <w:p w:rsidRPr="003E014E" w:rsidR="00AC41E9" w:rsidP="005568E9" w:rsidRDefault="00AC41E9" w14:paraId="5EF98AFE" w14:textId="77777777">
            <w:pPr>
              <w:pStyle w:val="SEOOpsommingBulletL2"/>
              <w:numPr>
                <w:ilvl w:val="0"/>
                <w:numId w:val="0"/>
              </w:numPr>
              <w:ind w:left="2160"/>
              <w:rPr>
                <w:rFonts w:ascii="Trebuchet MS" w:hAnsi="Trebuchet MS"/>
                <w:bCs/>
                <w:color w:val="auto"/>
                <w:sz w:val="16"/>
                <w:szCs w:val="16"/>
              </w:rPr>
            </w:pPr>
          </w:p>
        </w:tc>
      </w:tr>
      <w:tr w:rsidRPr="00AC41E9" w:rsidR="00AC41E9" w:rsidTr="005568E9" w14:paraId="6176F69F" w14:textId="77777777">
        <w:tc>
          <w:tcPr>
            <w:tcW w:w="5652" w:type="dxa"/>
          </w:tcPr>
          <w:p w:rsidRPr="003E014E" w:rsidR="00AC41E9" w:rsidP="00426692" w:rsidRDefault="00AC41E9" w14:paraId="528AF31F" w14:textId="77777777">
            <w:pPr>
              <w:pStyle w:val="SEOOpsommingBulletL2"/>
              <w:numPr>
                <w:ilvl w:val="2"/>
                <w:numId w:val="74"/>
              </w:numPr>
              <w:rPr>
                <w:rFonts w:ascii="Trebuchet MS" w:hAnsi="Trebuchet MS"/>
                <w:bCs/>
                <w:color w:val="auto"/>
                <w:sz w:val="16"/>
                <w:szCs w:val="16"/>
              </w:rPr>
            </w:pPr>
            <w:r w:rsidRPr="003E014E">
              <w:rPr>
                <w:rFonts w:ascii="Trebuchet MS" w:hAnsi="Trebuchet MS"/>
                <w:bCs/>
                <w:color w:val="auto"/>
                <w:sz w:val="16"/>
                <w:szCs w:val="16"/>
              </w:rPr>
              <w:t>Uitval/switch op mbo</w:t>
            </w:r>
          </w:p>
        </w:tc>
        <w:tc>
          <w:tcPr>
            <w:tcW w:w="488" w:type="dxa"/>
            <w:shd w:val="clear" w:color="auto" w:fill="657C9C" w:themeFill="text2" w:themeFillTint="BF"/>
          </w:tcPr>
          <w:p w:rsidRPr="003E014E" w:rsidR="00AC41E9" w:rsidP="005568E9" w:rsidRDefault="00AC41E9" w14:paraId="379DDB75" w14:textId="77777777">
            <w:pPr>
              <w:pStyle w:val="SEOOpsommingBulletL2"/>
              <w:numPr>
                <w:ilvl w:val="0"/>
                <w:numId w:val="0"/>
              </w:numPr>
              <w:ind w:left="2160"/>
              <w:rPr>
                <w:rFonts w:ascii="Trebuchet MS" w:hAnsi="Trebuchet MS"/>
                <w:bCs/>
                <w:color w:val="auto"/>
                <w:sz w:val="16"/>
                <w:szCs w:val="16"/>
              </w:rPr>
            </w:pPr>
          </w:p>
        </w:tc>
        <w:tc>
          <w:tcPr>
            <w:tcW w:w="488" w:type="dxa"/>
          </w:tcPr>
          <w:p w:rsidRPr="003E014E" w:rsidR="00AC41E9" w:rsidP="005568E9" w:rsidRDefault="00AC41E9" w14:paraId="3DF8E042" w14:textId="77777777">
            <w:pPr>
              <w:pStyle w:val="SEOOpsommingBulletL2"/>
              <w:numPr>
                <w:ilvl w:val="0"/>
                <w:numId w:val="0"/>
              </w:numPr>
              <w:ind w:left="2160"/>
              <w:rPr>
                <w:rFonts w:ascii="Trebuchet MS" w:hAnsi="Trebuchet MS"/>
                <w:bCs/>
                <w:color w:val="auto"/>
                <w:sz w:val="16"/>
                <w:szCs w:val="16"/>
              </w:rPr>
            </w:pPr>
          </w:p>
        </w:tc>
        <w:tc>
          <w:tcPr>
            <w:tcW w:w="488" w:type="dxa"/>
          </w:tcPr>
          <w:p w:rsidRPr="003E014E" w:rsidR="00AC41E9" w:rsidP="005568E9" w:rsidRDefault="00AC41E9" w14:paraId="0FC02C21" w14:textId="77777777">
            <w:pPr>
              <w:pStyle w:val="SEOOpsommingBulletL2"/>
              <w:numPr>
                <w:ilvl w:val="0"/>
                <w:numId w:val="0"/>
              </w:numPr>
              <w:ind w:left="2160"/>
              <w:rPr>
                <w:rFonts w:ascii="Trebuchet MS" w:hAnsi="Trebuchet MS"/>
                <w:bCs/>
                <w:color w:val="auto"/>
                <w:sz w:val="16"/>
                <w:szCs w:val="16"/>
              </w:rPr>
            </w:pPr>
          </w:p>
        </w:tc>
        <w:tc>
          <w:tcPr>
            <w:tcW w:w="488" w:type="dxa"/>
          </w:tcPr>
          <w:p w:rsidRPr="003E014E" w:rsidR="00AC41E9" w:rsidP="005568E9" w:rsidRDefault="00AC41E9" w14:paraId="5A69B3E5" w14:textId="77777777">
            <w:pPr>
              <w:pStyle w:val="SEOOpsommingBulletL2"/>
              <w:numPr>
                <w:ilvl w:val="0"/>
                <w:numId w:val="0"/>
              </w:numPr>
              <w:ind w:left="2160"/>
              <w:rPr>
                <w:rFonts w:ascii="Trebuchet MS" w:hAnsi="Trebuchet MS"/>
                <w:bCs/>
                <w:color w:val="auto"/>
                <w:sz w:val="16"/>
                <w:szCs w:val="16"/>
              </w:rPr>
            </w:pPr>
          </w:p>
        </w:tc>
        <w:tc>
          <w:tcPr>
            <w:tcW w:w="488" w:type="dxa"/>
          </w:tcPr>
          <w:p w:rsidRPr="003E014E" w:rsidR="00AC41E9" w:rsidP="005568E9" w:rsidRDefault="00AC41E9" w14:paraId="24274417" w14:textId="77777777">
            <w:pPr>
              <w:pStyle w:val="SEOOpsommingBulletL2"/>
              <w:numPr>
                <w:ilvl w:val="0"/>
                <w:numId w:val="0"/>
              </w:numPr>
              <w:ind w:left="2160"/>
              <w:rPr>
                <w:rFonts w:ascii="Trebuchet MS" w:hAnsi="Trebuchet MS"/>
                <w:bCs/>
                <w:color w:val="auto"/>
                <w:sz w:val="16"/>
                <w:szCs w:val="16"/>
              </w:rPr>
            </w:pPr>
          </w:p>
        </w:tc>
        <w:tc>
          <w:tcPr>
            <w:tcW w:w="488" w:type="dxa"/>
          </w:tcPr>
          <w:p w:rsidRPr="003E014E" w:rsidR="00AC41E9" w:rsidP="005568E9" w:rsidRDefault="00AC41E9" w14:paraId="116BEF6A" w14:textId="77777777">
            <w:pPr>
              <w:pStyle w:val="SEOOpsommingBulletL2"/>
              <w:numPr>
                <w:ilvl w:val="0"/>
                <w:numId w:val="0"/>
              </w:numPr>
              <w:ind w:left="2160"/>
              <w:rPr>
                <w:rFonts w:ascii="Trebuchet MS" w:hAnsi="Trebuchet MS"/>
                <w:bCs/>
                <w:color w:val="auto"/>
                <w:sz w:val="16"/>
                <w:szCs w:val="16"/>
              </w:rPr>
            </w:pPr>
          </w:p>
        </w:tc>
        <w:tc>
          <w:tcPr>
            <w:tcW w:w="489" w:type="dxa"/>
          </w:tcPr>
          <w:p w:rsidRPr="003E014E" w:rsidR="00AC41E9" w:rsidP="005568E9" w:rsidRDefault="00AC41E9" w14:paraId="74CC6CCD" w14:textId="77777777">
            <w:pPr>
              <w:pStyle w:val="SEOOpsommingBulletL2"/>
              <w:numPr>
                <w:ilvl w:val="0"/>
                <w:numId w:val="0"/>
              </w:numPr>
              <w:ind w:left="2160"/>
              <w:rPr>
                <w:rFonts w:ascii="Trebuchet MS" w:hAnsi="Trebuchet MS"/>
                <w:bCs/>
                <w:color w:val="auto"/>
                <w:sz w:val="16"/>
                <w:szCs w:val="16"/>
              </w:rPr>
            </w:pPr>
          </w:p>
        </w:tc>
      </w:tr>
      <w:tr w:rsidRPr="00AC41E9" w:rsidR="00AC41E9" w:rsidTr="005568E9" w14:paraId="2D592F4F" w14:textId="77777777">
        <w:tc>
          <w:tcPr>
            <w:tcW w:w="5652" w:type="dxa"/>
          </w:tcPr>
          <w:p w:rsidRPr="003E014E" w:rsidR="00AC41E9" w:rsidP="005568E9" w:rsidRDefault="00AC41E9" w14:paraId="2BE01F3C" w14:textId="77777777">
            <w:pPr>
              <w:pStyle w:val="SEOOpsommingBulletL2"/>
              <w:numPr>
                <w:ilvl w:val="0"/>
                <w:numId w:val="0"/>
              </w:numPr>
              <w:rPr>
                <w:rFonts w:ascii="Trebuchet MS" w:hAnsi="Trebuchet MS"/>
                <w:b/>
                <w:color w:val="auto"/>
                <w:sz w:val="16"/>
                <w:szCs w:val="16"/>
              </w:rPr>
            </w:pPr>
            <w:r w:rsidRPr="003E014E">
              <w:rPr>
                <w:rFonts w:ascii="Trebuchet MS" w:hAnsi="Trebuchet MS"/>
                <w:b/>
                <w:color w:val="auto"/>
                <w:sz w:val="16"/>
                <w:szCs w:val="16"/>
              </w:rPr>
              <w:t>Samenwerking in de regio met vmbo, mbo en bedrijfsleven</w:t>
            </w:r>
          </w:p>
        </w:tc>
        <w:tc>
          <w:tcPr>
            <w:tcW w:w="488" w:type="dxa"/>
          </w:tcPr>
          <w:p w:rsidRPr="003E014E" w:rsidR="00AC41E9" w:rsidP="005568E9" w:rsidRDefault="00AC41E9" w14:paraId="501B02BC" w14:textId="77777777">
            <w:pPr>
              <w:pStyle w:val="SEOOpsommingBulletL2"/>
              <w:numPr>
                <w:ilvl w:val="0"/>
                <w:numId w:val="0"/>
              </w:numPr>
              <w:ind w:left="2160"/>
              <w:rPr>
                <w:rFonts w:ascii="Trebuchet MS" w:hAnsi="Trebuchet MS"/>
                <w:bCs/>
                <w:color w:val="auto"/>
                <w:sz w:val="16"/>
                <w:szCs w:val="16"/>
              </w:rPr>
            </w:pPr>
          </w:p>
        </w:tc>
        <w:tc>
          <w:tcPr>
            <w:tcW w:w="488" w:type="dxa"/>
          </w:tcPr>
          <w:p w:rsidRPr="003E014E" w:rsidR="00AC41E9" w:rsidP="005568E9" w:rsidRDefault="00AC41E9" w14:paraId="3744BA24" w14:textId="77777777">
            <w:pPr>
              <w:pStyle w:val="SEOOpsommingBulletL2"/>
              <w:numPr>
                <w:ilvl w:val="0"/>
                <w:numId w:val="0"/>
              </w:numPr>
              <w:ind w:left="2160"/>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62A5DABB" w14:textId="77777777">
            <w:pPr>
              <w:pStyle w:val="SEOOpsommingBulletL2"/>
              <w:numPr>
                <w:ilvl w:val="0"/>
                <w:numId w:val="0"/>
              </w:numPr>
              <w:ind w:left="2160"/>
              <w:rPr>
                <w:rFonts w:ascii="Trebuchet MS" w:hAnsi="Trebuchet MS"/>
                <w:bCs/>
                <w:color w:val="auto"/>
                <w:sz w:val="16"/>
                <w:szCs w:val="16"/>
              </w:rPr>
            </w:pPr>
          </w:p>
        </w:tc>
        <w:tc>
          <w:tcPr>
            <w:tcW w:w="488" w:type="dxa"/>
          </w:tcPr>
          <w:p w:rsidRPr="003E014E" w:rsidR="00AC41E9" w:rsidP="005568E9" w:rsidRDefault="00AC41E9" w14:paraId="0FC5281B" w14:textId="77777777">
            <w:pPr>
              <w:pStyle w:val="SEOOpsommingBulletL2"/>
              <w:numPr>
                <w:ilvl w:val="0"/>
                <w:numId w:val="0"/>
              </w:numPr>
              <w:ind w:left="2160"/>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19A04411" w14:textId="77777777">
            <w:pPr>
              <w:pStyle w:val="SEOOpsommingBulletL2"/>
              <w:numPr>
                <w:ilvl w:val="0"/>
                <w:numId w:val="0"/>
              </w:numPr>
              <w:ind w:left="2160"/>
              <w:rPr>
                <w:rFonts w:ascii="Trebuchet MS" w:hAnsi="Trebuchet MS"/>
                <w:bCs/>
                <w:color w:val="auto"/>
                <w:sz w:val="16"/>
                <w:szCs w:val="16"/>
              </w:rPr>
            </w:pPr>
          </w:p>
        </w:tc>
        <w:tc>
          <w:tcPr>
            <w:tcW w:w="488" w:type="dxa"/>
            <w:shd w:val="clear" w:color="auto" w:fill="657C9C" w:themeFill="text2" w:themeFillTint="BF"/>
          </w:tcPr>
          <w:p w:rsidRPr="003E014E" w:rsidR="00AC41E9" w:rsidP="005568E9" w:rsidRDefault="00AC41E9" w14:paraId="345FF2C1" w14:textId="77777777">
            <w:pPr>
              <w:pStyle w:val="SEOOpsommingBulletL2"/>
              <w:numPr>
                <w:ilvl w:val="0"/>
                <w:numId w:val="0"/>
              </w:numPr>
              <w:ind w:left="2160"/>
              <w:rPr>
                <w:rFonts w:ascii="Trebuchet MS" w:hAnsi="Trebuchet MS"/>
                <w:bCs/>
                <w:color w:val="auto"/>
                <w:sz w:val="16"/>
                <w:szCs w:val="16"/>
              </w:rPr>
            </w:pPr>
          </w:p>
        </w:tc>
        <w:tc>
          <w:tcPr>
            <w:tcW w:w="489" w:type="dxa"/>
          </w:tcPr>
          <w:p w:rsidRPr="003E014E" w:rsidR="00AC41E9" w:rsidP="005568E9" w:rsidRDefault="00AC41E9" w14:paraId="5FF0A0E4" w14:textId="77777777">
            <w:pPr>
              <w:pStyle w:val="SEOOpsommingBulletL2"/>
              <w:numPr>
                <w:ilvl w:val="0"/>
                <w:numId w:val="0"/>
              </w:numPr>
              <w:ind w:left="2160"/>
              <w:rPr>
                <w:rFonts w:ascii="Trebuchet MS" w:hAnsi="Trebuchet MS"/>
                <w:bCs/>
                <w:color w:val="auto"/>
                <w:sz w:val="16"/>
                <w:szCs w:val="16"/>
              </w:rPr>
            </w:pPr>
          </w:p>
        </w:tc>
      </w:tr>
    </w:tbl>
    <w:p w:rsidR="00AE56D1" w:rsidP="00AE56D1" w:rsidRDefault="00AE56D1" w14:paraId="7DB018BD" w14:textId="48ABA72B">
      <w:pPr>
        <w:rPr>
          <w:lang w:eastAsia="en-US"/>
        </w:rPr>
      </w:pPr>
    </w:p>
    <w:p w:rsidR="004032E4" w:rsidP="00180187" w:rsidRDefault="004032E4" w14:paraId="188B16F1" w14:textId="77777777">
      <w:pPr>
        <w:rPr>
          <w:lang w:eastAsia="en-US"/>
        </w:rPr>
      </w:pPr>
    </w:p>
    <w:p w:rsidR="004032E4" w:rsidP="00180187" w:rsidRDefault="004032E4" w14:paraId="31062573" w14:textId="77777777">
      <w:pPr>
        <w:rPr>
          <w:lang w:eastAsia="en-US"/>
        </w:rPr>
      </w:pPr>
    </w:p>
    <w:p w:rsidR="00BE30EC" w:rsidP="00180187" w:rsidRDefault="00C5350B" w14:paraId="42B110AF" w14:textId="4FEC5BB4">
      <w:pPr>
        <w:rPr>
          <w:lang w:eastAsia="en-US"/>
        </w:rPr>
      </w:pPr>
      <w:r>
        <w:rPr>
          <w:lang w:eastAsia="en-US"/>
        </w:rPr>
        <w:lastRenderedPageBreak/>
        <w:t xml:space="preserve">Ook was het belangrijk </w:t>
      </w:r>
      <w:r w:rsidR="006A2536">
        <w:rPr>
          <w:lang w:eastAsia="en-US"/>
        </w:rPr>
        <w:t xml:space="preserve">om andere </w:t>
      </w:r>
      <w:r w:rsidR="001A6899">
        <w:rPr>
          <w:lang w:eastAsia="en-US"/>
        </w:rPr>
        <w:t>factoren</w:t>
      </w:r>
      <w:r w:rsidR="006A2536">
        <w:rPr>
          <w:lang w:eastAsia="en-US"/>
        </w:rPr>
        <w:t xml:space="preserve"> mee te nemen in het onderzoek die mogelijk een verklaring bieden voor het al dan niet behalen van de beleidsdoelen. Het gaat hier deels om factoren die we vooraf hebben kunnen formuleren, zoals </w:t>
      </w:r>
      <w:r w:rsidR="005318E9">
        <w:rPr>
          <w:lang w:eastAsia="en-US"/>
        </w:rPr>
        <w:t xml:space="preserve">regionale kenmerken of </w:t>
      </w:r>
      <w:r w:rsidR="001A6899">
        <w:rPr>
          <w:lang w:eastAsia="en-US"/>
        </w:rPr>
        <w:t xml:space="preserve">landelijke (beleids)ontwikkelingen. Deels gaat het ook om factoren die respondenten of deelnemers zelf </w:t>
      </w:r>
      <w:r w:rsidR="000A2D8B">
        <w:rPr>
          <w:lang w:eastAsia="en-US"/>
        </w:rPr>
        <w:t xml:space="preserve">inbrengen in casestudies en vragenlijsten, die van invloed zouden kunnen zijn op de effectiviteit van STO. </w:t>
      </w:r>
      <w:r w:rsidR="00080A84">
        <w:rPr>
          <w:lang w:eastAsia="en-US"/>
        </w:rPr>
        <w:t xml:space="preserve">Een voorbeeld hiervan is </w:t>
      </w:r>
      <w:r w:rsidR="00246385">
        <w:rPr>
          <w:lang w:eastAsia="en-US"/>
        </w:rPr>
        <w:t>de manier waarop</w:t>
      </w:r>
      <w:r w:rsidR="00080A84">
        <w:rPr>
          <w:lang w:eastAsia="en-US"/>
        </w:rPr>
        <w:t xml:space="preserve"> regio’s de middelen </w:t>
      </w:r>
      <w:r w:rsidR="00246385">
        <w:rPr>
          <w:lang w:eastAsia="en-US"/>
        </w:rPr>
        <w:t>verdelen</w:t>
      </w:r>
      <w:r w:rsidR="00080A84">
        <w:rPr>
          <w:lang w:eastAsia="en-US"/>
        </w:rPr>
        <w:t xml:space="preserve"> (via een verdeelsleutel per school, of regionaal beheer)</w:t>
      </w:r>
      <w:r w:rsidR="00246385">
        <w:rPr>
          <w:lang w:eastAsia="en-US"/>
        </w:rPr>
        <w:t xml:space="preserve">, of </w:t>
      </w:r>
      <w:r w:rsidR="00780367">
        <w:rPr>
          <w:lang w:eastAsia="en-US"/>
        </w:rPr>
        <w:t>de visie van scholen op het aanbod van techniekonderwijs</w:t>
      </w:r>
      <w:r w:rsidR="00080A84">
        <w:rPr>
          <w:lang w:eastAsia="en-US"/>
        </w:rPr>
        <w:t xml:space="preserve">. </w:t>
      </w:r>
      <w:r w:rsidR="00BE30EC">
        <w:rPr>
          <w:lang w:eastAsia="en-US"/>
        </w:rPr>
        <w:t xml:space="preserve">Dit soort factoren zijn </w:t>
      </w:r>
      <w:r w:rsidR="007814D1">
        <w:rPr>
          <w:lang w:eastAsia="en-US"/>
        </w:rPr>
        <w:t xml:space="preserve">waar </w:t>
      </w:r>
      <w:r w:rsidR="00BE30EC">
        <w:rPr>
          <w:lang w:eastAsia="en-US"/>
        </w:rPr>
        <w:t xml:space="preserve">mogelijk meegenomen in de vragenlijsten en </w:t>
      </w:r>
      <w:r w:rsidR="00177C52">
        <w:rPr>
          <w:lang w:eastAsia="en-US"/>
        </w:rPr>
        <w:t>casestudies</w:t>
      </w:r>
      <w:r w:rsidR="00BE30EC">
        <w:rPr>
          <w:lang w:eastAsia="en-US"/>
        </w:rPr>
        <w:t xml:space="preserve">. </w:t>
      </w:r>
    </w:p>
    <w:p w:rsidR="00BE30EC" w:rsidP="00180187" w:rsidRDefault="00BE30EC" w14:paraId="0560D6E9" w14:textId="77777777">
      <w:pPr>
        <w:rPr>
          <w:lang w:eastAsia="en-US"/>
        </w:rPr>
      </w:pPr>
    </w:p>
    <w:p w:rsidR="00123160" w:rsidP="00180187" w:rsidRDefault="00BB6A80" w14:paraId="0F8AAB33" w14:textId="051BBA73">
      <w:pPr>
        <w:rPr>
          <w:lang w:eastAsia="en-US"/>
        </w:rPr>
      </w:pPr>
      <w:r>
        <w:rPr>
          <w:lang w:eastAsia="en-US"/>
        </w:rPr>
        <w:t xml:space="preserve">Vervolgens hebben we per bron </w:t>
      </w:r>
      <w:r w:rsidR="00FA2C65">
        <w:rPr>
          <w:lang w:eastAsia="en-US"/>
        </w:rPr>
        <w:t xml:space="preserve">afzonderlijk </w:t>
      </w:r>
      <w:r>
        <w:rPr>
          <w:lang w:eastAsia="en-US"/>
        </w:rPr>
        <w:t xml:space="preserve">de resultaten geanalyseerd en gerapporteerd en zijn we ingegaan op de verklarende mechanismen </w:t>
      </w:r>
      <w:r w:rsidR="00FA2C65">
        <w:rPr>
          <w:lang w:eastAsia="en-US"/>
        </w:rPr>
        <w:t>die een rol kunnen spelen in</w:t>
      </w:r>
      <w:r>
        <w:rPr>
          <w:lang w:eastAsia="en-US"/>
        </w:rPr>
        <w:t xml:space="preserve"> de resultaten. </w:t>
      </w:r>
      <w:r w:rsidR="00446A36">
        <w:rPr>
          <w:lang w:eastAsia="en-US"/>
        </w:rPr>
        <w:t>Deze analyses zijn opgenomen in de afzonderlijke hoofstukken 2 tm 6 en bijlage</w:t>
      </w:r>
      <w:r w:rsidR="003D4C35">
        <w:rPr>
          <w:lang w:eastAsia="en-US"/>
        </w:rPr>
        <w:t xml:space="preserve">n. </w:t>
      </w:r>
    </w:p>
    <w:p w:rsidR="00123160" w:rsidP="00180187" w:rsidRDefault="00123160" w14:paraId="21F61823" w14:textId="77777777">
      <w:pPr>
        <w:rPr>
          <w:lang w:eastAsia="en-US"/>
        </w:rPr>
      </w:pPr>
    </w:p>
    <w:p w:rsidR="00180187" w:rsidP="00180187" w:rsidRDefault="00123160" w14:paraId="27C4E411" w14:textId="24F91FC8">
      <w:pPr>
        <w:rPr>
          <w:lang w:eastAsia="en-US"/>
        </w:rPr>
      </w:pPr>
      <w:r>
        <w:rPr>
          <w:lang w:eastAsia="en-US"/>
        </w:rPr>
        <w:t>Tot slot</w:t>
      </w:r>
      <w:r w:rsidR="003D4C35">
        <w:rPr>
          <w:lang w:eastAsia="en-US"/>
        </w:rPr>
        <w:t xml:space="preserve"> konden we de stap zetten naar het invullen van de impactladder. </w:t>
      </w:r>
      <w:r w:rsidRPr="00180187" w:rsidR="00180187">
        <w:rPr>
          <w:lang w:eastAsia="en-US"/>
        </w:rPr>
        <w:t>De impactladder</w:t>
      </w:r>
      <w:r w:rsidR="008D0BB1">
        <w:rPr>
          <w:lang w:eastAsia="en-US"/>
        </w:rPr>
        <w:t xml:space="preserve"> </w:t>
      </w:r>
      <w:r w:rsidRPr="00180187" w:rsidR="00180187">
        <w:rPr>
          <w:lang w:eastAsia="en-US"/>
        </w:rPr>
        <w:t>helpt om inzichtelijk te maken hoe de inzet binnen STO – in de vorm van middelen en activiteiten – doorwerkt naar concrete resultaten voor verschillende betrokkenen: leerlingen, docenten, scholen, regio’s en zelfs op nationaal niveau. Het model maakt zichtbaar wat er gebeurt tussen de startvoorwaarden en de uiteindelijke maatschappelijke veranderingen die STO beoogt. Hoewel het hoogste niveau, maatschappelijke impact, in de praktijk zelden volledig wordt bereikt, kan het zich bijvoorbeeld uiten in een positiever beeld van het technisch vmbo in de samenleving.</w:t>
      </w:r>
    </w:p>
    <w:p w:rsidRPr="00180187" w:rsidR="00102CB4" w:rsidP="00180187" w:rsidRDefault="00102CB4" w14:paraId="70943F8F" w14:textId="77777777">
      <w:pPr>
        <w:rPr>
          <w:lang w:eastAsia="en-US"/>
        </w:rPr>
      </w:pPr>
    </w:p>
    <w:p w:rsidRPr="00180187" w:rsidR="00180187" w:rsidP="003E014E" w:rsidRDefault="00180187" w14:paraId="476E3957" w14:textId="77777777">
      <w:pPr>
        <w:ind w:left="360"/>
        <w:rPr>
          <w:lang w:eastAsia="en-US"/>
        </w:rPr>
      </w:pPr>
      <w:r w:rsidRPr="00180187">
        <w:rPr>
          <w:lang w:eastAsia="en-US"/>
        </w:rPr>
        <w:t>De impactladder bestaat uit verschillende treden:</w:t>
      </w:r>
      <w:r w:rsidRPr="00180187">
        <w:rPr>
          <w:lang w:eastAsia="en-US"/>
        </w:rPr>
        <w:br/>
        <w:t>0. Input</w:t>
      </w:r>
    </w:p>
    <w:p w:rsidRPr="00180187" w:rsidR="00180187" w:rsidP="00426692" w:rsidRDefault="00180187" w14:paraId="6A9A9E49" w14:textId="77777777">
      <w:pPr>
        <w:numPr>
          <w:ilvl w:val="0"/>
          <w:numId w:val="75"/>
        </w:numPr>
        <w:rPr>
          <w:lang w:eastAsia="en-US"/>
        </w:rPr>
      </w:pPr>
      <w:r w:rsidRPr="00180187">
        <w:rPr>
          <w:lang w:eastAsia="en-US"/>
        </w:rPr>
        <w:t>Output: Activiteiten (volgens plan uitgevoerd)</w:t>
      </w:r>
    </w:p>
    <w:p w:rsidRPr="00180187" w:rsidR="00180187" w:rsidP="00426692" w:rsidRDefault="00180187" w14:paraId="48B75500" w14:textId="77777777">
      <w:pPr>
        <w:numPr>
          <w:ilvl w:val="0"/>
          <w:numId w:val="75"/>
        </w:numPr>
        <w:rPr>
          <w:lang w:eastAsia="en-US"/>
        </w:rPr>
      </w:pPr>
      <w:r w:rsidRPr="00180187">
        <w:rPr>
          <w:lang w:eastAsia="en-US"/>
        </w:rPr>
        <w:t>Output: Bereik van doelgroepen</w:t>
      </w:r>
    </w:p>
    <w:p w:rsidRPr="00180187" w:rsidR="00180187" w:rsidP="00426692" w:rsidRDefault="00180187" w14:paraId="3C44ABDB" w14:textId="77777777">
      <w:pPr>
        <w:numPr>
          <w:ilvl w:val="0"/>
          <w:numId w:val="75"/>
        </w:numPr>
        <w:rPr>
          <w:lang w:eastAsia="en-US"/>
        </w:rPr>
      </w:pPr>
      <w:r w:rsidRPr="00180187">
        <w:rPr>
          <w:lang w:eastAsia="en-US"/>
        </w:rPr>
        <w:t>Output: Acceptatie door doelgroepen</w:t>
      </w:r>
    </w:p>
    <w:p w:rsidRPr="00180187" w:rsidR="00180187" w:rsidP="00426692" w:rsidRDefault="00180187" w14:paraId="3181B5A5" w14:textId="77777777">
      <w:pPr>
        <w:numPr>
          <w:ilvl w:val="0"/>
          <w:numId w:val="75"/>
        </w:numPr>
        <w:rPr>
          <w:lang w:eastAsia="en-US"/>
        </w:rPr>
      </w:pPr>
      <w:r w:rsidRPr="00180187">
        <w:rPr>
          <w:lang w:eastAsia="en-US"/>
        </w:rPr>
        <w:t>Outcome: Verandering bij doelgroepen (leren, verandering van houding)</w:t>
      </w:r>
    </w:p>
    <w:p w:rsidRPr="00180187" w:rsidR="00180187" w:rsidP="00426692" w:rsidRDefault="00180187" w14:paraId="5822408C" w14:textId="77777777">
      <w:pPr>
        <w:numPr>
          <w:ilvl w:val="0"/>
          <w:numId w:val="75"/>
        </w:numPr>
        <w:rPr>
          <w:lang w:eastAsia="en-US"/>
        </w:rPr>
      </w:pPr>
      <w:r w:rsidRPr="00180187">
        <w:rPr>
          <w:lang w:eastAsia="en-US"/>
        </w:rPr>
        <w:t>Outcome: Aanpassing van gedrag bij doelgroepen</w:t>
      </w:r>
    </w:p>
    <w:p w:rsidRPr="00180187" w:rsidR="00180187" w:rsidP="00426692" w:rsidRDefault="00180187" w14:paraId="3513313F" w14:textId="77777777">
      <w:pPr>
        <w:numPr>
          <w:ilvl w:val="0"/>
          <w:numId w:val="75"/>
        </w:numPr>
        <w:rPr>
          <w:lang w:eastAsia="en-US"/>
        </w:rPr>
      </w:pPr>
      <w:r w:rsidRPr="00180187">
        <w:rPr>
          <w:lang w:eastAsia="en-US"/>
        </w:rPr>
        <w:t>Outcome: De situatie/omgeving van doelgroepen verandert</w:t>
      </w:r>
    </w:p>
    <w:p w:rsidRPr="00180187" w:rsidR="00180187" w:rsidP="00426692" w:rsidRDefault="00180187" w14:paraId="3C55176D" w14:textId="77777777">
      <w:pPr>
        <w:numPr>
          <w:ilvl w:val="0"/>
          <w:numId w:val="75"/>
        </w:numPr>
        <w:rPr>
          <w:lang w:eastAsia="en-US"/>
        </w:rPr>
      </w:pPr>
      <w:r w:rsidRPr="00180187">
        <w:rPr>
          <w:lang w:eastAsia="en-US"/>
        </w:rPr>
        <w:t>Impact: Maatschappij/systeem verandert</w:t>
      </w:r>
    </w:p>
    <w:p w:rsidR="00BE1E1F" w:rsidP="00180187" w:rsidRDefault="00BE1E1F" w14:paraId="23B9BE4B" w14:textId="77777777">
      <w:pPr>
        <w:rPr>
          <w:lang w:eastAsia="en-US"/>
        </w:rPr>
      </w:pPr>
    </w:p>
    <w:p w:rsidR="00A84B03" w:rsidP="00AE56D1" w:rsidRDefault="00180187" w14:paraId="308EE389" w14:textId="55009A95">
      <w:pPr>
        <w:rPr>
          <w:lang w:eastAsia="en-US"/>
        </w:rPr>
      </w:pPr>
      <w:r w:rsidRPr="00180187">
        <w:rPr>
          <w:lang w:eastAsia="en-US"/>
        </w:rPr>
        <w:t>De onderste treden van de ladder – input en output – gaan over de beschikbare middelen, de opzet van de samenwerking (zoals regioplannen en -vorming) en de uitvoering van activiteiten. Deze onderdelen zijn relatief goed te sturen door de betrokken partijen. Outcome en impact verwijzen naar de effecten op doelgroepen en de bredere context. Deze worden slechts deels beïnvloed door wat er is gedaan, en hangen daarnaast samen met externe factoren. Daarbij is het goed te beseffen dat het onderscheid tussen output en outcome in de praktijk niet altijd eenduidig is.</w:t>
      </w:r>
      <w:r w:rsidR="00A84B03">
        <w:rPr>
          <w:lang w:eastAsia="en-US"/>
        </w:rPr>
        <w:t xml:space="preserve"> </w:t>
      </w:r>
      <w:r w:rsidRPr="00180187">
        <w:rPr>
          <w:lang w:eastAsia="en-US"/>
        </w:rPr>
        <w:t xml:space="preserve">Door de samenhang tussen input, output, outcome en impact in kaart te brengen, kunnen we beter begrijpen in hoeverre STO daadwerkelijk bijdraagt aan het aanpakken van de uitdagingen waarvoor het programma is gestart. </w:t>
      </w:r>
    </w:p>
    <w:p w:rsidR="00A84B03" w:rsidP="00AE56D1" w:rsidRDefault="00A84B03" w14:paraId="0E92F74C" w14:textId="77777777">
      <w:pPr>
        <w:rPr>
          <w:lang w:eastAsia="en-US"/>
        </w:rPr>
      </w:pPr>
    </w:p>
    <w:p w:rsidR="00AC41E9" w:rsidP="00AE56D1" w:rsidRDefault="00923D6D" w14:paraId="5479F6F6" w14:textId="33A33491">
      <w:pPr>
        <w:rPr>
          <w:lang w:eastAsia="en-US"/>
        </w:rPr>
      </w:pPr>
      <w:r w:rsidRPr="780653D5">
        <w:rPr>
          <w:lang w:eastAsia="en-US"/>
        </w:rPr>
        <w:t xml:space="preserve">In hoofdstuk </w:t>
      </w:r>
      <w:r w:rsidR="00BD7C6F">
        <w:rPr>
          <w:lang w:eastAsia="en-US"/>
        </w:rPr>
        <w:t>8</w:t>
      </w:r>
      <w:r w:rsidRPr="780653D5">
        <w:rPr>
          <w:lang w:eastAsia="en-US"/>
        </w:rPr>
        <w:t xml:space="preserve"> doen we verslag van </w:t>
      </w:r>
      <w:r w:rsidRPr="780653D5" w:rsidR="001B76AD">
        <w:rPr>
          <w:lang w:eastAsia="en-US"/>
        </w:rPr>
        <w:t xml:space="preserve">de eindconclusies en </w:t>
      </w:r>
      <w:r w:rsidRPr="780653D5">
        <w:rPr>
          <w:lang w:eastAsia="en-US"/>
        </w:rPr>
        <w:t xml:space="preserve">deze impactladder. Voor lezers die direct opzoek zijn naar de grotere samenhang tussen de afzonderlijke onderdelen van het onderzoek, is het raadzaam </w:t>
      </w:r>
      <w:r w:rsidRPr="780653D5" w:rsidR="008007CC">
        <w:rPr>
          <w:lang w:eastAsia="en-US"/>
        </w:rPr>
        <w:t xml:space="preserve">zich te beperken tot het lezen van dit hoofdstuk. </w:t>
      </w:r>
    </w:p>
    <w:p w:rsidRPr="00B62EAF" w:rsidR="00AC41E9" w:rsidP="003E014E" w:rsidRDefault="00AC41E9" w14:paraId="4469928A" w14:textId="77777777"/>
    <w:p w:rsidR="009E1D78" w:rsidP="00283B39" w:rsidRDefault="009E1D78" w14:paraId="306EB0C5" w14:textId="77777777">
      <w:pPr>
        <w:pStyle w:val="Kop2"/>
      </w:pPr>
      <w:bookmarkStart w:name="_Toc203573560" w:id="9"/>
      <w:r w:rsidRPr="00AC0671">
        <w:t>Leeswijzer</w:t>
      </w:r>
      <w:bookmarkEnd w:id="9"/>
    </w:p>
    <w:bookmarkEnd w:id="1"/>
    <w:bookmarkEnd w:id="2"/>
    <w:p w:rsidR="004F7478" w:rsidP="004F7478" w:rsidRDefault="004F7478" w14:paraId="6120922E" w14:textId="65141864">
      <w:r>
        <w:t xml:space="preserve">Hoofdstuk 2 start met casestudies verspreid over regio’s in Nederland waarin wordt verkend wat STO in de praktijk betekent voor leerlingen, docenten en het onderwijs. In hoofdstuk 3 worden de observaties van </w:t>
      </w:r>
      <w:r w:rsidR="006E788D">
        <w:t xml:space="preserve">buitenschoolse activiteiten gericht op oriëntatie op techniek </w:t>
      </w:r>
      <w:r>
        <w:t xml:space="preserve">besproken. Aan de hand van observaties is er gekeken naar de invulling van </w:t>
      </w:r>
      <w:r w:rsidR="006E788D">
        <w:t xml:space="preserve">dit </w:t>
      </w:r>
      <w:r>
        <w:t xml:space="preserve">aanbod en de interesseontwikkeling van leerlingen. In hoofdstuk 4 presenteren we vervolgens de resultaten van een vragenlijst afgenomen onder programmaleiders van STO in april 2025. Hoofdstuk 5 bespreekt de uitkomsten van een vragenlijst die in het voorjaar van 2025 is afgenomen onder lesgevenden in de beroepsgerichte profielen van de bovenbouw van het vmbo. </w:t>
      </w:r>
      <w:r w:rsidR="00BD7C6F">
        <w:t xml:space="preserve">In hoofdstuk 6 rapporteren we over gegevens uit een vragenlijst onder vmbo-leerlingen. </w:t>
      </w:r>
      <w:r>
        <w:t xml:space="preserve">Hoofdstuk </w:t>
      </w:r>
      <w:r w:rsidR="00BD7C6F">
        <w:t>7</w:t>
      </w:r>
      <w:r>
        <w:t xml:space="preserve"> schetst op basis van DUO-data en een schoolverlatersenquête een kwantitatief beeld </w:t>
      </w:r>
      <w:r>
        <w:lastRenderedPageBreak/>
        <w:t xml:space="preserve">van de instroom, doorstroom en het onderwijsaanbod in het vmbo en mbo en gaat in op de beschikbaarheid van lesgevenden in de techniek. Hoofdstuk </w:t>
      </w:r>
      <w:r w:rsidR="00BD7C6F">
        <w:t>8</w:t>
      </w:r>
      <w:r>
        <w:t xml:space="preserve"> betreft tot slot de overkoepelende samenvatting en conclusie inclusief impactladder van de evaluatie en monitoring. </w:t>
      </w:r>
    </w:p>
    <w:p w:rsidR="00AC0671" w:rsidP="00AC0671" w:rsidRDefault="00AC0671" w14:paraId="68FF8D95" w14:textId="77777777">
      <w:pPr>
        <w:pStyle w:val="Kop1"/>
      </w:pPr>
      <w:bookmarkStart w:name="_Toc203573561" w:id="10"/>
      <w:r>
        <w:lastRenderedPageBreak/>
        <w:t>De leerlingenreis in de praktijk: regioportretten STO</w:t>
      </w:r>
      <w:bookmarkEnd w:id="10"/>
      <w:r>
        <w:t xml:space="preserve"> </w:t>
      </w:r>
    </w:p>
    <w:p w:rsidRPr="00AC0671" w:rsidR="00AC0671" w:rsidP="00AC0671" w:rsidRDefault="00AC0671" w14:paraId="2EE782D8" w14:textId="77777777">
      <w:pPr>
        <w:pStyle w:val="Kop4"/>
        <w:rPr>
          <w:rFonts w:ascii="Trebuchet MS" w:hAnsi="Trebuchet MS"/>
          <w:szCs w:val="18"/>
        </w:rPr>
      </w:pPr>
      <w:r w:rsidRPr="00AC0671">
        <w:rPr>
          <w:rFonts w:ascii="Trebuchet MS" w:hAnsi="Trebuchet MS"/>
          <w:szCs w:val="18"/>
        </w:rPr>
        <w:t>Aanpak casussen</w:t>
      </w:r>
    </w:p>
    <w:p w:rsidR="00AC0671" w:rsidP="00AC0671" w:rsidRDefault="00AC0671" w14:paraId="029359A9" w14:textId="77777777">
      <w:pPr>
        <w:rPr>
          <w:szCs w:val="18"/>
        </w:rPr>
      </w:pPr>
      <w:r w:rsidRPr="00AC0671">
        <w:rPr>
          <w:szCs w:val="18"/>
        </w:rPr>
        <w:t xml:space="preserve">Vanaf eind 2024 tot mei 2025 is in een aantal STO-regio’s in casestudies nader bekeken welke keuzes in STO zijn gemaakt, wat in de praktijk tot stand is gebracht en wat leerlingen en docenten concreet daarvan (kunnen) merken. Ingezoomd is op wat er door STO veranderd is: waar krijgen leerlingen tijdens hun route van het basisonderwijs door het vmbo naar het mbo mee te maken, wat doen ze binnen- en wat doen ze buitenschools? Daarnaast is bekeken wat er concreet voor docenten en het onderwijs veranderd is, bijvoorbeeld wat betreft professionalisering en nieuwe (keuze)vakken.  </w:t>
      </w:r>
    </w:p>
    <w:p w:rsidRPr="00AC0671" w:rsidR="00AC0671" w:rsidP="00AC0671" w:rsidRDefault="00AC0671" w14:paraId="55AD1CC8" w14:textId="77777777">
      <w:pPr>
        <w:rPr>
          <w:szCs w:val="18"/>
        </w:rPr>
      </w:pPr>
    </w:p>
    <w:p w:rsidR="00AC0671" w:rsidP="00AC0671" w:rsidRDefault="00AC0671" w14:paraId="69E35CEB" w14:textId="77777777">
      <w:pPr>
        <w:rPr>
          <w:szCs w:val="18"/>
        </w:rPr>
      </w:pPr>
      <w:r w:rsidRPr="00AC0671">
        <w:rPr>
          <w:szCs w:val="18"/>
        </w:rPr>
        <w:t xml:space="preserve">Er zijn tien regio’s geselecteerd, waarbij gelet is op spreiding over Nederland, vertegenwoordiging van techniekrijke en techniekluwe regio’s, verschillen in de wijze waarop STO-middelen worden beheerd (regionaal beheer versus verdeling over scholen) en het aantal vmbo-scholen in een regio. Bij de selectie is tevens gebruik gemaakt van de regiokennis van de STO-ondersteuners, waarbij het accent lag op </w:t>
      </w:r>
      <w:r w:rsidRPr="00AC0671">
        <w:rPr>
          <w:i/>
          <w:iCs/>
          <w:szCs w:val="18"/>
        </w:rPr>
        <w:t xml:space="preserve">good practices </w:t>
      </w:r>
      <w:r w:rsidRPr="00AC0671">
        <w:rPr>
          <w:szCs w:val="18"/>
        </w:rPr>
        <w:t>als het gaat</w:t>
      </w:r>
      <w:r w:rsidRPr="00AC0671">
        <w:rPr>
          <w:i/>
          <w:iCs/>
          <w:szCs w:val="18"/>
        </w:rPr>
        <w:t xml:space="preserve"> </w:t>
      </w:r>
      <w:r w:rsidRPr="00AC0671">
        <w:rPr>
          <w:szCs w:val="18"/>
        </w:rPr>
        <w:t xml:space="preserve">om doorwerking van STO-activiteiten naar leerlingen en docenten. De casusportretten geven hierdoor niet per se een representatief beeld van alle regio’s, maar geven wel een goed beeld van wat in regio’s tot stand is gebracht.  </w:t>
      </w:r>
    </w:p>
    <w:p w:rsidR="00AC0671" w:rsidP="00AC0671" w:rsidRDefault="00AC0671" w14:paraId="04A23680" w14:textId="77777777">
      <w:pPr>
        <w:rPr>
          <w:szCs w:val="18"/>
        </w:rPr>
      </w:pPr>
    </w:p>
    <w:p w:rsidR="00AC0671" w:rsidP="00AC0671" w:rsidRDefault="00AC0671" w14:paraId="527089E0" w14:textId="7033A014">
      <w:pPr>
        <w:rPr>
          <w:szCs w:val="18"/>
        </w:rPr>
      </w:pPr>
      <w:r w:rsidRPr="00AC0671">
        <w:rPr>
          <w:szCs w:val="18"/>
        </w:rPr>
        <w:t xml:space="preserve">De casestudies bestonden uit het volgende: </w:t>
      </w:r>
    </w:p>
    <w:p w:rsidRPr="00AC0671" w:rsidR="00AC0671" w:rsidP="00AC0671" w:rsidRDefault="00AC0671" w14:paraId="07D921B4" w14:textId="77777777">
      <w:pPr>
        <w:rPr>
          <w:szCs w:val="18"/>
        </w:rPr>
      </w:pPr>
    </w:p>
    <w:p w:rsidRPr="00AC0671" w:rsidR="00AC0671" w:rsidP="00426692" w:rsidRDefault="00AC0671" w14:paraId="42663370" w14:textId="77777777">
      <w:pPr>
        <w:pStyle w:val="Lijstalinea"/>
        <w:numPr>
          <w:ilvl w:val="0"/>
          <w:numId w:val="25"/>
        </w:numPr>
        <w:spacing w:after="160" w:line="278" w:lineRule="auto"/>
        <w:rPr>
          <w:szCs w:val="18"/>
        </w:rPr>
      </w:pPr>
      <w:r w:rsidRPr="00AC0671">
        <w:rPr>
          <w:szCs w:val="18"/>
        </w:rPr>
        <w:t>Individuele of groepsgesprekken met vertegenwoordigers van po, vmbo (onder- en bovenbouw), mbo en bedrijfsleven. In elke regio was er een startgesprek met het programmamanagement</w:t>
      </w:r>
    </w:p>
    <w:p w:rsidRPr="00AC0671" w:rsidR="00AC0671" w:rsidP="00426692" w:rsidRDefault="00AC0671" w14:paraId="65D01A17" w14:textId="77777777">
      <w:pPr>
        <w:pStyle w:val="Lijstalinea"/>
        <w:numPr>
          <w:ilvl w:val="0"/>
          <w:numId w:val="25"/>
        </w:numPr>
        <w:spacing w:after="160" w:line="278" w:lineRule="auto"/>
        <w:rPr>
          <w:szCs w:val="18"/>
        </w:rPr>
      </w:pPr>
      <w:r w:rsidRPr="00AC0671">
        <w:rPr>
          <w:szCs w:val="18"/>
        </w:rPr>
        <w:t xml:space="preserve">Per regio zijn relevante documenten bestudeerd (regiovisies en activiteitenplannen 2020-2025, voortgangsrapportages en waar beschikbaar het nieuwe STO-plan en regiovisie 2025-2029). </w:t>
      </w:r>
    </w:p>
    <w:p w:rsidRPr="00AC0671" w:rsidR="00AC0671" w:rsidP="00426692" w:rsidRDefault="00AC0671" w14:paraId="7B85CC5A" w14:textId="77777777">
      <w:pPr>
        <w:pStyle w:val="Lijstalinea"/>
        <w:numPr>
          <w:ilvl w:val="0"/>
          <w:numId w:val="25"/>
        </w:numPr>
        <w:spacing w:after="160" w:line="278" w:lineRule="auto"/>
        <w:rPr>
          <w:szCs w:val="18"/>
        </w:rPr>
      </w:pPr>
      <w:r w:rsidRPr="00AC0671">
        <w:rPr>
          <w:szCs w:val="18"/>
        </w:rPr>
        <w:t xml:space="preserve">Voor elke regio zijn gegevens verwerkt over de instroom van leerlingen in profielen en over de doorstroom naar het mbo gerelateerd aan profielkeuze en deelname aan (technische) keuzevakken. </w:t>
      </w:r>
    </w:p>
    <w:p w:rsidRPr="00AC0671" w:rsidR="00AC0671" w:rsidP="00426692" w:rsidRDefault="00AC0671" w14:paraId="56FD9D64" w14:textId="77777777">
      <w:pPr>
        <w:pStyle w:val="Lijstalinea"/>
        <w:numPr>
          <w:ilvl w:val="0"/>
          <w:numId w:val="25"/>
        </w:numPr>
        <w:spacing w:after="160" w:line="278" w:lineRule="auto"/>
        <w:rPr>
          <w:szCs w:val="18"/>
        </w:rPr>
      </w:pPr>
      <w:r w:rsidRPr="00AC0671">
        <w:rPr>
          <w:szCs w:val="18"/>
        </w:rPr>
        <w:t xml:space="preserve">Tenslotte is een korte serie lesobservaties uitgevoerd van een buitenschoolse activiteit in de regio’s. Het aantal lesobservaties per regio is echter veel te klein om dit onderdeel te betrekken in de afzonderlijke regioportretten; de resultaten van de lesobservaties beschrijven we daarom enkel in de overkoepelende resultaten. </w:t>
      </w:r>
    </w:p>
    <w:p w:rsidR="00AC0671" w:rsidP="780653D5" w:rsidRDefault="00AC0671" w14:paraId="5A8BF98A" w14:textId="506F9018">
      <w:r>
        <w:t>Bij de selectie en benadering van regio’s voor dit onderzoek zijn om verschillende redenen enkele benaderde regio’s direct of na het startgesprek afgehaakt. Meestal had dat te maken met drukte of een wisseling van een programmaleider. Voor die regio’s zijn andere regio’s benaderd. Dit hoofdstuk is gebaseerd op de bevindingen bij zeven complete casussen</w:t>
      </w:r>
      <w:r w:rsidR="003E014E">
        <w:t>.</w:t>
      </w:r>
    </w:p>
    <w:p w:rsidRPr="00AC0671" w:rsidR="00AC0671" w:rsidP="00AC0671" w:rsidRDefault="00AC0671" w14:paraId="7250974F" w14:textId="77777777">
      <w:pPr>
        <w:rPr>
          <w:szCs w:val="18"/>
        </w:rPr>
      </w:pPr>
    </w:p>
    <w:p w:rsidRPr="00AC0671" w:rsidR="00AC0671" w:rsidP="00AC0671" w:rsidRDefault="00AC0671" w14:paraId="46F118C5" w14:textId="59F6808B">
      <w:r>
        <w:t xml:space="preserve">In de vele gevoerde gesprekken bleek vaak de grote betrokkenheid in regio’s bij STO: het waren gesprekken met doorgaans enthousiaste en betrokken personen die vaak tevreden waren over STO. Ook gebleken is dat er binnen STO véél activiteiten tot stand zijn gekomen. Het voert te ver om in de voorliggende rapportage al die activiteiten in hun volle omvang per casus te beschrijven; dat doen regio’s bovendien zelf al in hun voortgangsrapportages en plannen. Het voorliggende hoofdstuk geeft een algemener beeld van wat er in verschillende regio’s binnen STO tot stand is gebracht en hoe dat ervaren wordt. Doel is om de lezer een beeld te geven van hoe STO wordt ingevuld per regio, hoe dat uitpakt en waarin die regio’s van elkaar verschillen en overeenkomen, en wat het oplevert, tegen de achtergrond van de leerlingenreis. Als een activiteit bij de ene regio wordt belicht, wil dat dus niet per se zeggen dat die in een andere niet voorkomt. Vanwege de leesbaarheid en de omvang is ervoor gekozen om vier </w:t>
      </w:r>
      <w:r w:rsidR="2B8C09EC">
        <w:t xml:space="preserve">complete </w:t>
      </w:r>
      <w:r>
        <w:t xml:space="preserve">regiobeschrijvingen op te nemen in dit hoofdstuk. De bevindingen uit de andere casussen zijn meegenomen in de conclusies van dit hoofdstuk. </w:t>
      </w:r>
    </w:p>
    <w:p w:rsidRPr="00AC0671" w:rsidR="00AC0671" w:rsidP="00AC0671" w:rsidRDefault="00AC0671" w14:paraId="2A501E27" w14:textId="77777777">
      <w:pPr>
        <w:rPr>
          <w:szCs w:val="18"/>
        </w:rPr>
      </w:pPr>
      <w:r w:rsidRPr="00AC0671">
        <w:rPr>
          <w:szCs w:val="18"/>
        </w:rPr>
        <w:t xml:space="preserve"> </w:t>
      </w:r>
    </w:p>
    <w:p w:rsidRPr="00AC0671" w:rsidR="00AC0671" w:rsidP="00AC0671" w:rsidRDefault="00AC0671" w14:paraId="5EA176D0" w14:textId="1578930B">
      <w:pPr>
        <w:rPr>
          <w:szCs w:val="18"/>
        </w:rPr>
      </w:pPr>
      <w:r w:rsidRPr="00AC0671">
        <w:rPr>
          <w:szCs w:val="18"/>
        </w:rPr>
        <w:t>Een opmerking vooraf: In de gesprekken met en over het po viel vaak de term ‘W&amp;T’. Bij W&amp;T zijn onderzoeken en ontwerpen de leidende vaardigheden of activiteiten. Door onderzoekend en ontwerpend te leren (</w:t>
      </w:r>
      <w:r w:rsidRPr="00AC0671">
        <w:rPr>
          <w:i/>
          <w:iCs/>
          <w:szCs w:val="18"/>
        </w:rPr>
        <w:t>learning by inquiry and design</w:t>
      </w:r>
      <w:r w:rsidRPr="00AC0671">
        <w:rPr>
          <w:szCs w:val="18"/>
        </w:rPr>
        <w:t xml:space="preserve">), worden houding, vaardigheden, denkwijzen en kennis in samenhang ontwikkeld. W&amp;T is een </w:t>
      </w:r>
      <w:r w:rsidRPr="00AC0671">
        <w:rPr>
          <w:szCs w:val="18"/>
        </w:rPr>
        <w:lastRenderedPageBreak/>
        <w:t xml:space="preserve">benadering van leren, en wordt toegepast op het leergebied oriëntatie op jezelf en de wereld (OJW). OJW is een verzamelnaam voor verschillende vakken (voorheen: wereldoriëntatie) die allemaal een gemeenschappelijk doel hebben: het wereldbeeld van leerlingen uitbreiden. Onder OJW vallen de vakken geschiedenis, aardrijkskunde en natuur &amp; techniek. Dat is een breder gebied dan techniek en technologie. W&amp;T is ook niet per se terug te vinden in het rooster, omdat het een benadering van leren is die wordt toegepast in OJW. Om die reden hanteren we in de casussen de aanduiding ‘techniek- en technologielessen’. </w:t>
      </w:r>
    </w:p>
    <w:p w:rsidRPr="00AC0671" w:rsidR="00AC0671" w:rsidP="00AC0671" w:rsidRDefault="00AC0671" w14:paraId="7357EFB0" w14:textId="77777777">
      <w:pPr>
        <w:rPr>
          <w:szCs w:val="18"/>
        </w:rPr>
      </w:pPr>
    </w:p>
    <w:p w:rsidRPr="00AC0671" w:rsidR="00AC0671" w:rsidP="00832357" w:rsidRDefault="00AC0671" w14:paraId="0F9322E2" w14:textId="77777777">
      <w:pPr>
        <w:pStyle w:val="Kop3"/>
      </w:pPr>
      <w:bookmarkStart w:name="_Toc203573562" w:id="11"/>
      <w:bookmarkStart w:name="_Hlk198114937" w:id="12"/>
      <w:r w:rsidRPr="00AC0671">
        <w:t>STO-regio A</w:t>
      </w:r>
      <w:bookmarkEnd w:id="11"/>
    </w:p>
    <w:bookmarkEnd w:id="12"/>
    <w:p w:rsidR="00AC0671" w:rsidP="00AC0671" w:rsidRDefault="00AC0671" w14:paraId="1AADF9F7" w14:textId="40E4A892">
      <w:r>
        <w:t xml:space="preserve">Regio A ligt in het midden van het land en is een </w:t>
      </w:r>
      <w:r w:rsidR="443B23AC">
        <w:t xml:space="preserve">zeer uitgestrekte </w:t>
      </w:r>
      <w:r>
        <w:t xml:space="preserve">regio </w:t>
      </w:r>
      <w:r w:rsidR="23E4BFF1">
        <w:t xml:space="preserve">(meerdere gemeenten, provincies en arbeidsmarktregio's) </w:t>
      </w:r>
      <w:r>
        <w:t xml:space="preserve">met een al bestaande ‘techniekbodem’ onder STO. Regionaal zijn er 120 basisscholen, 14 vo-scholen met vmbo, pro, vso en er is samenwerking met vier mbo’s (met ook uitstroom van leerlingen naar nog andere mbo’s). De regio telt vier </w:t>
      </w:r>
      <w:r w:rsidR="00C26563">
        <w:t>v</w:t>
      </w:r>
      <w:r w:rsidR="40000278">
        <w:t>mb</w:t>
      </w:r>
      <w:r w:rsidR="00C26563">
        <w:t>o-</w:t>
      </w:r>
      <w:r>
        <w:t>scholen met harde techniekprofielen, de overige vmbo-scholen zijn aangeduid als ‘techniekverwante scholen’. Scholen in beide groepen hebben (zeer) verschillende uitgangsposities. Er bestond voorafgaand aan STO wel al overleg tussen de techniekscholen maar “</w:t>
      </w:r>
      <w:r w:rsidRPr="780653D5">
        <w:rPr>
          <w:i/>
          <w:iCs/>
        </w:rPr>
        <w:t>op een laag pitje</w:t>
      </w:r>
      <w:r>
        <w:t>.”</w:t>
      </w:r>
    </w:p>
    <w:p w:rsidRPr="00AC0671" w:rsidR="00AC0671" w:rsidP="00AC0671" w:rsidRDefault="00AC0671" w14:paraId="02D58F3D" w14:textId="77777777">
      <w:pPr>
        <w:rPr>
          <w:szCs w:val="18"/>
        </w:rPr>
      </w:pPr>
    </w:p>
    <w:p w:rsidR="00AC0671" w:rsidP="00AC0671" w:rsidRDefault="00AC0671" w14:paraId="1F5B459C" w14:textId="7DB1A962">
      <w:r>
        <w:t>Bij aanvang van STO in 2020 telde de regio ongeveer 600 leerlingen in een technisch profiel (ruim 30 procent van alle vmbo-leerlingen). Dat aandeel lag bij aanvang van STO fors boven het landelijk gemiddelde (20%)</w:t>
      </w:r>
      <w:r w:rsidR="00F11464">
        <w:t>.</w:t>
      </w:r>
      <w:r>
        <w:t xml:space="preserve"> </w:t>
      </w:r>
      <w:r w:rsidR="00F11464">
        <w:t>G</w:t>
      </w:r>
      <w:r>
        <w:t>edurende STO is het aandeel verder gestegen naar omstreeks 35 procent. Er is in de regio (nog) geen docententekort, wel wordt het moeilijker om docenten te werven. Het gaat om een krimpregio.</w:t>
      </w:r>
    </w:p>
    <w:p w:rsidRPr="00AC0671" w:rsidR="00AC0671" w:rsidP="00AC0671" w:rsidRDefault="00AC0671" w14:paraId="195459A1" w14:textId="77777777">
      <w:pPr>
        <w:rPr>
          <w:szCs w:val="18"/>
        </w:rPr>
      </w:pPr>
    </w:p>
    <w:p w:rsidR="00AC0671" w:rsidP="00AC0671" w:rsidRDefault="00AC0671" w14:paraId="0B8A3316" w14:textId="657DFCA4">
      <w:r>
        <w:t xml:space="preserve">De regio ligt op de grens van verschillende arbeidsmarktregio’s en kent grote en diverse bedrijvigheid in de techniek, bouw, ict en maritiem, met veel mkb-bedrijven. Een deel van de vmbo-scholen had al een samenwerking met een bedrijvennetwerk waarin veel bedrijven zijn aangesloten. Overkoepelende doel van de STO-regio is om via kwalitatief hoogstaand onderwijs samen genoeg technische mensen op te leiden voor de regionale arbeidsmarkt.  </w:t>
      </w:r>
    </w:p>
    <w:p w:rsidRPr="00AC0671" w:rsidR="00AC0671" w:rsidP="00AC0671" w:rsidRDefault="00AC0671" w14:paraId="0AC3B33A" w14:textId="77777777">
      <w:pPr>
        <w:rPr>
          <w:szCs w:val="18"/>
        </w:rPr>
      </w:pPr>
    </w:p>
    <w:p w:rsidRPr="00AC0671" w:rsidR="00AC0671" w:rsidP="00AC0671" w:rsidRDefault="00AC0671" w14:paraId="4FD69C6C" w14:textId="77777777">
      <w:pPr>
        <w:rPr>
          <w:i/>
          <w:iCs/>
          <w:szCs w:val="18"/>
        </w:rPr>
      </w:pPr>
      <w:r w:rsidRPr="00AC0671">
        <w:rPr>
          <w:i/>
          <w:iCs/>
          <w:szCs w:val="18"/>
        </w:rPr>
        <w:t xml:space="preserve">Middelenverdeling, programmastructuur en activiteitenplan </w:t>
      </w:r>
    </w:p>
    <w:p w:rsidRPr="00AC0671" w:rsidR="000511C2" w:rsidP="780653D5" w:rsidRDefault="00AC0671" w14:paraId="61489BB7" w14:textId="0E27F72C">
      <w:r>
        <w:t xml:space="preserve">De regio heeft een budget van ongeveer 10 miljoen per planperiode van vier jaar. In de eerste fase is dat direct verdeeld naar scholen, met name voor de inzet van docenten in de STO-programmalijnen. Negentig procent ging naar de techniekscholen, tien procent naar de techniekverwante scholen. Ongeveer 3 miljoen euro is gegaan naar materiaalkosten en </w:t>
      </w:r>
      <w:r w:rsidR="00820C4D">
        <w:t xml:space="preserve">zevenhonderdduizend </w:t>
      </w:r>
      <w:r>
        <w:t xml:space="preserve">euro naar machines en apparatuur. </w:t>
      </w:r>
    </w:p>
    <w:p w:rsidR="780653D5" w:rsidRDefault="780653D5" w14:paraId="0340B753" w14:textId="55A5B033"/>
    <w:p w:rsidRPr="00AC0671" w:rsidR="00AC0671" w:rsidP="00AC0671" w:rsidRDefault="00AC0671" w14:paraId="48A9EB0F" w14:textId="77777777">
      <w:pPr>
        <w:rPr>
          <w:szCs w:val="18"/>
        </w:rPr>
      </w:pPr>
      <w:r w:rsidRPr="00AC0671">
        <w:rPr>
          <w:szCs w:val="18"/>
        </w:rPr>
        <w:t>De programmastructuur is over de jaren stabiel gebleven, ook qua bezetting van de stuurgroep/directeuren en het programmamanagement. De scholen zijn vertegenwoordigd in werk- en ontwikkelgroepen rondom de programmalijnen, die 6-8 keer per schooljaar bij elkaar komen. Trekkers van programmalijnen komen voor de helft uit de scholen en zijn voor de andere helft externen. Drie vmbo-scholen hadden een al langer lopende individuele samenwerking met elk een ander mbo, waarbij leerlingen binnen het eigen vmbo een mbo-2 diploma of hoger kunnen behalen. Geïnterviewden onderkennen het belang van de juiste personen op de juiste plek, ook om de doorwerking in de scholen te bevorderen. “</w:t>
      </w:r>
      <w:r w:rsidRPr="00AC0671">
        <w:rPr>
          <w:i/>
          <w:iCs/>
          <w:szCs w:val="18"/>
        </w:rPr>
        <w:t>We hebben het gevoel dat dat steeds beter klopt.”</w:t>
      </w:r>
    </w:p>
    <w:p w:rsidRPr="00AC0671" w:rsidR="00AC0671" w:rsidP="00AC0671" w:rsidRDefault="00AC0671" w14:paraId="39AB6781" w14:textId="77777777">
      <w:pPr>
        <w:rPr>
          <w:szCs w:val="18"/>
        </w:rPr>
      </w:pPr>
      <w:r w:rsidRPr="00AC0671">
        <w:rPr>
          <w:szCs w:val="18"/>
        </w:rPr>
        <w:t xml:space="preserve">Het activiteitenplan bestaat uit </w:t>
      </w:r>
      <w:r w:rsidRPr="00AC0671">
        <w:rPr>
          <w:i/>
          <w:iCs/>
          <w:szCs w:val="18"/>
        </w:rPr>
        <w:t>zeven programmalijnen</w:t>
      </w:r>
      <w:r w:rsidRPr="00AC0671">
        <w:rPr>
          <w:szCs w:val="18"/>
        </w:rPr>
        <w:t xml:space="preserve"> die specifiek gericht zijn op het po, het vmbo, de aansluiting vmbo-mbo, de techniekverwante scholen, professionalisering, de ontwikkeling van nieuw aanbod en (met een grote, overkoepelende programmalijn) op ‘de basis op orde’. </w:t>
      </w:r>
    </w:p>
    <w:p w:rsidR="00AC0671" w:rsidRDefault="00AC0671" w14:paraId="432AD8D0" w14:textId="77777777">
      <w:pPr>
        <w:spacing w:after="160" w:line="259" w:lineRule="auto"/>
        <w:rPr>
          <w:rFonts w:eastAsiaTheme="majorEastAsia" w:cstheme="majorBidi"/>
          <w:bCs/>
          <w:iCs/>
          <w:color w:val="1D509A"/>
          <w:szCs w:val="18"/>
          <w:lang w:eastAsia="en-US"/>
        </w:rPr>
      </w:pPr>
      <w:r>
        <w:rPr>
          <w:szCs w:val="18"/>
        </w:rPr>
        <w:br w:type="page"/>
      </w:r>
    </w:p>
    <w:p w:rsidR="00AC0671" w:rsidP="00AC0671" w:rsidRDefault="00AC0671" w14:paraId="7FAE9D85" w14:textId="55E4BCC6">
      <w:pPr>
        <w:pStyle w:val="Kop4"/>
        <w:rPr>
          <w:rFonts w:ascii="Trebuchet MS" w:hAnsi="Trebuchet MS"/>
          <w:szCs w:val="18"/>
        </w:rPr>
      </w:pPr>
      <w:bookmarkStart w:name="_Hlk199767837" w:id="13"/>
      <w:r w:rsidRPr="00AC0671">
        <w:rPr>
          <w:rFonts w:ascii="Trebuchet MS" w:hAnsi="Trebuchet MS"/>
          <w:szCs w:val="18"/>
        </w:rPr>
        <w:lastRenderedPageBreak/>
        <w:t>Leerlingenreis</w:t>
      </w:r>
      <w:bookmarkEnd w:id="13"/>
      <w:r w:rsidRPr="00AC0671">
        <w:rPr>
          <w:rFonts w:ascii="Trebuchet MS" w:hAnsi="Trebuchet MS"/>
          <w:szCs w:val="18"/>
        </w:rPr>
        <w:t>: van po naar mbo</w:t>
      </w:r>
    </w:p>
    <w:p w:rsidR="00AC0671" w:rsidP="00AC0671" w:rsidRDefault="00AC0671" w14:paraId="48644906" w14:textId="77777777">
      <w:pPr>
        <w:pStyle w:val="Plattetekst"/>
        <w:rPr>
          <w:lang w:eastAsia="en-US"/>
        </w:rPr>
      </w:pPr>
    </w:p>
    <w:p w:rsidR="00AC0671" w:rsidP="00AC0671" w:rsidRDefault="00AC0671" w14:paraId="5447FECB" w14:textId="366095F6">
      <w:pPr>
        <w:pStyle w:val="Plattetekst"/>
        <w:rPr>
          <w:u w:val="single"/>
          <w:lang w:eastAsia="en-US"/>
        </w:rPr>
      </w:pPr>
      <w:r w:rsidRPr="00AC0671">
        <w:rPr>
          <w:u w:val="single"/>
          <w:lang w:eastAsia="en-US"/>
        </w:rPr>
        <w:t>Primair onderwijs</w:t>
      </w:r>
    </w:p>
    <w:p w:rsidR="00AC0671" w:rsidP="00AC0671" w:rsidRDefault="00AC0671" w14:paraId="04F99F66" w14:textId="77777777">
      <w:pPr>
        <w:pStyle w:val="Plattetekst"/>
        <w:rPr>
          <w:u w:val="single"/>
          <w:lang w:eastAsia="en-US"/>
        </w:rPr>
      </w:pPr>
    </w:p>
    <w:p w:rsidR="00AC0671" w:rsidP="00AC0671" w:rsidRDefault="00AC0671" w14:paraId="26B837B4" w14:textId="748D9FA5">
      <w:r>
        <w:t>De samenwerking met het po heeft in deze regio vanaf de start een hoge prioriteit, om kinderen en hun ouders vroegtijdig te laten kennismaken met techniek en technologie. Veel basisscholen hebben ook in deze regio last van een overladen programma</w:t>
      </w:r>
      <w:r w:rsidR="00FB1E5B">
        <w:t>.</w:t>
      </w:r>
      <w:r>
        <w:t xml:space="preserve"> </w:t>
      </w:r>
      <w:r w:rsidR="00FB1E5B">
        <w:t>B</w:t>
      </w:r>
      <w:r>
        <w:t xml:space="preserve">ovendien is de aandacht voor techniek- en technologie vaak afhankelijk van de affiniteit </w:t>
      </w:r>
      <w:r w:rsidR="1F7CA891">
        <w:t xml:space="preserve">en expertise </w:t>
      </w:r>
      <w:r>
        <w:t xml:space="preserve">van de individuele leerkracht. Ook zijn handenarbeidlokalen op veel basisscholen verdwenen. Soms is er aandacht voor techniek in een extra programma (bijvoorbeeld een klusklas). </w:t>
      </w:r>
    </w:p>
    <w:p w:rsidRPr="00AC0671" w:rsidR="00AC0671" w:rsidP="00AC0671" w:rsidRDefault="00AC0671" w14:paraId="751A5173" w14:textId="77777777">
      <w:pPr>
        <w:rPr>
          <w:szCs w:val="18"/>
        </w:rPr>
      </w:pPr>
    </w:p>
    <w:p w:rsidR="00AC0671" w:rsidP="00AC0671" w:rsidRDefault="00AC0671" w14:paraId="3EF96748" w14:textId="77777777">
      <w:pPr>
        <w:rPr>
          <w:szCs w:val="18"/>
        </w:rPr>
      </w:pPr>
      <w:r w:rsidRPr="00AC0671">
        <w:rPr>
          <w:szCs w:val="18"/>
        </w:rPr>
        <w:t xml:space="preserve">Doel van de STO-regio is om basisscholen mogelijkheden te geven om wel met techniek en technologie bezig te zijn. Dat gebeurt op de po-scholen zelf en in de vorm van techniekoriëntatie voor po-leerlingen op de locatie van vmbo-scholen. De vmbo-scholen hebben hiertoe gezamenlijk lessen en een leerlijn/lessenserie van groep 5-8 ontwikkeld, er zijn materialen aangeschaft (gereedschaps- en leskisten) en er zijn bussen voor het vervoer van materialen geregeld. Po-scholen uit de hele regio kunnen intekenen op dit aanbod en ook op gastlessen met opdrachten op locatie van de po-school, die verzorgd worden door vmbo-docenten, soms afkomstig uit het bedrijfsleven. Via een reserveringssysteem wordt bewaakt dat niet steeds dezelfde basisscholen intekenen. </w:t>
      </w:r>
    </w:p>
    <w:p w:rsidRPr="00AC0671" w:rsidR="00AC0671" w:rsidP="00AC0671" w:rsidRDefault="00AC0671" w14:paraId="043DB655" w14:textId="0DB39F78">
      <w:pPr>
        <w:rPr>
          <w:szCs w:val="18"/>
        </w:rPr>
      </w:pPr>
      <w:r w:rsidRPr="00AC0671">
        <w:rPr>
          <w:szCs w:val="18"/>
        </w:rPr>
        <w:t xml:space="preserve"> </w:t>
      </w:r>
    </w:p>
    <w:p w:rsidRPr="00AC0671" w:rsidR="00AC0671" w:rsidP="00AC0671" w:rsidRDefault="00AC0671" w14:paraId="4E88885C" w14:textId="15603228">
      <w:pPr>
        <w:spacing w:after="120"/>
      </w:pPr>
      <w:r>
        <w:t xml:space="preserve">Vanwege de (te) grote belangstelling voor dit aanbod, is er een </w:t>
      </w:r>
      <w:r w:rsidRPr="46AF5C4D">
        <w:rPr>
          <w:i/>
          <w:iCs/>
        </w:rPr>
        <w:t>teach the teacher</w:t>
      </w:r>
      <w:r>
        <w:t xml:space="preserve">- en </w:t>
      </w:r>
      <w:r w:rsidRPr="46AF5C4D">
        <w:rPr>
          <w:i/>
          <w:iCs/>
        </w:rPr>
        <w:t>teach the coördinatoren</w:t>
      </w:r>
      <w:r>
        <w:t>-programma opgezet. Via instructievideo’s, lesbrieven en powerpoints worden leerkrachten in het po ondersteund om zelf techniek- en technologielessen te kunnen geven. Door tijdgebrek en andere prioriteiten aan de kant van het po leverde dit echter minder op dan verwacht</w:t>
      </w:r>
      <w:r w:rsidR="003C72D8">
        <w:t>.</w:t>
      </w:r>
      <w:r>
        <w:t xml:space="preserve"> </w:t>
      </w:r>
      <w:r w:rsidR="003C72D8">
        <w:t>Er</w:t>
      </w:r>
      <w:r>
        <w:t xml:space="preserve"> wordt nu gewerkt met laagdrempelige workshops waarin leerkrachten met lessen en materialen een basis krijgen om zelf technologielessen te kunnen geven. </w:t>
      </w:r>
    </w:p>
    <w:p w:rsidR="00AC0671" w:rsidP="00AC0671" w:rsidRDefault="00AC0671" w14:paraId="66E41513" w14:textId="77777777">
      <w:pPr>
        <w:rPr>
          <w:szCs w:val="18"/>
        </w:rPr>
      </w:pPr>
      <w:r w:rsidRPr="00AC0671">
        <w:rPr>
          <w:szCs w:val="18"/>
          <w:u w:val="single"/>
        </w:rPr>
        <w:t>Deelname en bereik in het po</w:t>
      </w:r>
      <w:r w:rsidRPr="00AC0671">
        <w:rPr>
          <w:szCs w:val="18"/>
        </w:rPr>
        <w:t xml:space="preserve">: Er is een dashboard ontwikkeld om de deelname en bereik binnen het basisonderwijs te monitoren. Alle basisscholen kunnen gebruik maken van het aanbod. In de eerste fase van STO  deed 60 procent van de basisscholen mee en op die scholen is driekwart van de leerlingen uit groep 3-8 bereikt (cijfers 2023-2024). In toenemende mate gebeurt dat op de locatie van po-school zelf en is er een verschuiving naar jongere leeftijdsgroepen. </w:t>
      </w:r>
    </w:p>
    <w:p w:rsidRPr="00AC0671" w:rsidR="00F54D4D" w:rsidP="00AC0671" w:rsidRDefault="00F54D4D" w14:paraId="7D4BED5A" w14:textId="77777777">
      <w:pPr>
        <w:rPr>
          <w:szCs w:val="18"/>
        </w:rPr>
      </w:pPr>
    </w:p>
    <w:p w:rsidR="00AC0671" w:rsidP="00AC0671" w:rsidRDefault="00AC0671" w14:paraId="57096A12" w14:textId="77777777">
      <w:pPr>
        <w:rPr>
          <w:i/>
          <w:iCs/>
          <w:szCs w:val="18"/>
        </w:rPr>
      </w:pPr>
      <w:r w:rsidRPr="00AC0671">
        <w:rPr>
          <w:szCs w:val="18"/>
          <w:u w:val="single"/>
        </w:rPr>
        <w:t>Effect op leerlingen</w:t>
      </w:r>
      <w:r w:rsidRPr="00AC0671">
        <w:rPr>
          <w:szCs w:val="18"/>
        </w:rPr>
        <w:t>: Leerlingen genieten volgens betrokkenen van de technieklessen, ze zijn enthousiast en gemotiveerd: “</w:t>
      </w:r>
      <w:r w:rsidRPr="00AC0671">
        <w:rPr>
          <w:i/>
          <w:iCs/>
          <w:szCs w:val="18"/>
        </w:rPr>
        <w:t>Ze willen na schooltijd graag nog blijven en verder gaan. Dat hoor je nóóit bij begrijpend lezen</w:t>
      </w:r>
      <w:r w:rsidRPr="00AC0671">
        <w:rPr>
          <w:szCs w:val="18"/>
        </w:rPr>
        <w:t>.”  “</w:t>
      </w:r>
      <w:r w:rsidRPr="00AC0671">
        <w:rPr>
          <w:i/>
          <w:iCs/>
          <w:szCs w:val="18"/>
        </w:rPr>
        <w:t>Waarom stoppen we, ik wil geen pauze.” “Het helpt kinderen om niet bang te zijn voor techniek; voor een boormachientje of schroefmachine. Technieklessen zijn een prachtige manier om te laten merken: ‘Ik kan het, ik kan het zelf’.”</w:t>
      </w:r>
    </w:p>
    <w:p w:rsidRPr="00AC0671" w:rsidR="00D57393" w:rsidP="00AC0671" w:rsidRDefault="00D57393" w14:paraId="05D2F6DA" w14:textId="77777777">
      <w:pPr>
        <w:rPr>
          <w:szCs w:val="18"/>
        </w:rPr>
      </w:pPr>
    </w:p>
    <w:p w:rsidR="00AC0671" w:rsidP="00AC0671" w:rsidRDefault="00AC0671" w14:paraId="1F370B29" w14:textId="77777777">
      <w:pPr>
        <w:rPr>
          <w:szCs w:val="18"/>
        </w:rPr>
      </w:pPr>
      <w:r w:rsidRPr="00AC0671">
        <w:rPr>
          <w:szCs w:val="18"/>
        </w:rPr>
        <w:t>Praktijkoefeningen maakt dat leerlingen een doorkijkje krijgen naar de toekomst van beroepen plus iets maken waar ze trots op zijn en dat mee naar huis nemen. “</w:t>
      </w:r>
      <w:r w:rsidRPr="00AC0671">
        <w:rPr>
          <w:i/>
          <w:iCs/>
          <w:szCs w:val="18"/>
        </w:rPr>
        <w:t>Dat is goud waard</w:t>
      </w:r>
      <w:r w:rsidRPr="00AC0671">
        <w:rPr>
          <w:szCs w:val="18"/>
        </w:rPr>
        <w:t xml:space="preserve">.” </w:t>
      </w:r>
    </w:p>
    <w:p w:rsidRPr="00AC0671" w:rsidR="00D57393" w:rsidP="00AC0671" w:rsidRDefault="00D57393" w14:paraId="6DEA72BC" w14:textId="77777777">
      <w:pPr>
        <w:rPr>
          <w:szCs w:val="18"/>
        </w:rPr>
      </w:pPr>
    </w:p>
    <w:p w:rsidRPr="00AC0671" w:rsidR="00AC0671" w:rsidP="00AC0671" w:rsidRDefault="00AC0671" w14:paraId="1DB3D679" w14:textId="77777777">
      <w:pPr>
        <w:rPr>
          <w:szCs w:val="18"/>
        </w:rPr>
      </w:pPr>
      <w:r w:rsidRPr="00AC0671">
        <w:rPr>
          <w:szCs w:val="18"/>
        </w:rPr>
        <w:t>Het techniekaanbod voor de basisscholen is gericht op zelf doen en maken. Dat doet ook recht aan po-leerlingen die praktische talenten hebben, die door het reguliere po-aanbod weinig aangesproken worden. “</w:t>
      </w:r>
      <w:r w:rsidRPr="00AC0671">
        <w:rPr>
          <w:i/>
          <w:iCs/>
          <w:szCs w:val="18"/>
        </w:rPr>
        <w:t xml:space="preserve">Kinderen die bij rekenen, taal of spelling altijd extra hulp of zorg nodig hebben, worden nu door andere kinderen gevraagd om ze te helpen bij de maakopdrachten, omdat ze daar inzicht in hebben.” </w:t>
      </w:r>
      <w:r w:rsidRPr="00AC0671">
        <w:rPr>
          <w:szCs w:val="18"/>
        </w:rPr>
        <w:t>Leerlingen doen algemene vaardigheden op met deze lessen: van banden plakken tot een gat boren in de muur tot een lamp aansluiten met een schakelaar.</w:t>
      </w:r>
    </w:p>
    <w:p w:rsidRPr="00AC0671" w:rsidR="00AC0671" w:rsidP="00AC0671" w:rsidRDefault="00AC0671" w14:paraId="1737AABD" w14:textId="77777777">
      <w:pPr>
        <w:rPr>
          <w:i/>
          <w:iCs/>
          <w:szCs w:val="18"/>
        </w:rPr>
      </w:pPr>
    </w:p>
    <w:p w:rsidRPr="00AC0671" w:rsidR="00AC0671" w:rsidP="46AF5C4D" w:rsidRDefault="00AC0671" w14:paraId="4D9DD2C6" w14:textId="35F033D8">
      <w:pPr>
        <w:rPr>
          <w:i/>
          <w:iCs/>
        </w:rPr>
      </w:pPr>
      <w:r w:rsidRPr="46AF5C4D">
        <w:rPr>
          <w:u w:val="single"/>
        </w:rPr>
        <w:t xml:space="preserve">Effect op leerkrachten </w:t>
      </w:r>
      <w:r>
        <w:t>po: de reacties bij de leerkrachten po verschillen, sommigen raken enthousiast als ze zien wat het met leerlingen doet, of als ze ervaren dat het minder ingewikkeld is dan ze dachten: “</w:t>
      </w:r>
      <w:r w:rsidRPr="46AF5C4D">
        <w:rPr>
          <w:i/>
          <w:iCs/>
        </w:rPr>
        <w:t>Terwijl we ’s ochtend om 8 uur het lokaal aan het opbouwen waren zei de juf: ‘ik weet niks van een stroomkring’. Nog geen 2</w:t>
      </w:r>
      <w:r w:rsidRPr="46AF5C4D" w:rsidR="00910A0F">
        <w:rPr>
          <w:i/>
          <w:iCs/>
        </w:rPr>
        <w:t xml:space="preserve">,5 </w:t>
      </w:r>
      <w:r w:rsidRPr="46AF5C4D">
        <w:rPr>
          <w:i/>
          <w:iCs/>
        </w:rPr>
        <w:t>uur later wist ze dat wel, had ze er lol in en kon ze kinderen helpen met vragen.”</w:t>
      </w:r>
      <w:r>
        <w:t xml:space="preserve"> Sommige leerkrachten zijn afwachtend en soms zijn leerkrachten verbaasd, omdat ze de praktische talenten van leerlingen voor het eerst zien. De kernvraag blijft voor hen wel: Hoe krijg je techniek- en technologieonderwijs en de didactische benadering van onderzoekend en ontdekkend leren beter structureel ingebed in het basisonderwijs? Oplossingen </w:t>
      </w:r>
      <w:r>
        <w:lastRenderedPageBreak/>
        <w:t>worden onder meer gezocht in het verbinden met leerdoelen van andere vakken bijvoorbeeld binnen wereldoriëntatie. Er is daarbij een beweging gaande van het ontzorgen van het basisonderwijs naar toerusten: “</w:t>
      </w:r>
      <w:r w:rsidRPr="46AF5C4D">
        <w:rPr>
          <w:i/>
          <w:iCs/>
        </w:rPr>
        <w:t xml:space="preserve">We geven ze een vis, maar moeten ze een hengel bieden.” </w:t>
      </w:r>
    </w:p>
    <w:p w:rsidR="00420DA0" w:rsidP="00420DA0" w:rsidRDefault="00420DA0" w14:paraId="7D334D05" w14:textId="77777777">
      <w:pPr>
        <w:pStyle w:val="Geenafstand"/>
      </w:pPr>
      <w:bookmarkStart w:name="_Hlk196406010" w:id="14"/>
    </w:p>
    <w:p w:rsidRPr="00283B39" w:rsidR="00AC0671" w:rsidP="00283B39" w:rsidRDefault="00AC0671" w14:paraId="3AABE606" w14:textId="77777777">
      <w:pPr>
        <w:pStyle w:val="Geenafstand"/>
        <w:rPr>
          <w:u w:val="single"/>
        </w:rPr>
      </w:pPr>
      <w:r w:rsidRPr="00283B39">
        <w:rPr>
          <w:u w:val="single"/>
        </w:rPr>
        <w:t>Vmbo</w:t>
      </w:r>
      <w:bookmarkEnd w:id="14"/>
    </w:p>
    <w:p w:rsidRPr="00AC0671" w:rsidR="00420DA0" w:rsidP="00283B39" w:rsidRDefault="00420DA0" w14:paraId="334ED3A2" w14:textId="77777777">
      <w:pPr>
        <w:pStyle w:val="Geenafstand"/>
      </w:pPr>
    </w:p>
    <w:p w:rsidRPr="00AC0671" w:rsidR="00AC0671" w:rsidP="00AC0671" w:rsidRDefault="00AC0671" w14:paraId="6FA443D3" w14:textId="07E413AF">
      <w:pPr>
        <w:spacing w:after="120"/>
        <w:rPr>
          <w:color w:val="000000"/>
          <w:szCs w:val="18"/>
          <w:shd w:val="clear" w:color="auto" w:fill="FFFFFF"/>
        </w:rPr>
      </w:pPr>
      <w:r w:rsidRPr="00AC0671">
        <w:rPr>
          <w:szCs w:val="18"/>
        </w:rPr>
        <w:t xml:space="preserve">De technische vmbo-scholen hebben zich in deze regio in eerste instantie toegelegd op </w:t>
      </w:r>
      <w:r w:rsidRPr="00AC0671">
        <w:rPr>
          <w:i/>
          <w:iCs/>
          <w:szCs w:val="18"/>
        </w:rPr>
        <w:t>de basis op orde</w:t>
      </w:r>
      <w:r w:rsidRPr="00AC0671">
        <w:rPr>
          <w:szCs w:val="18"/>
        </w:rPr>
        <w:t xml:space="preserve"> krijgen. In dat kader is ingezet op investeringen in </w:t>
      </w:r>
      <w:r w:rsidRPr="00AC0671">
        <w:rPr>
          <w:color w:val="000000"/>
          <w:szCs w:val="18"/>
          <w:shd w:val="clear" w:color="auto" w:fill="FFFFFF"/>
        </w:rPr>
        <w:t xml:space="preserve">een moderne en innovatieve leeromgeving, voldoende mensen en verhoging van het kennisniveau van docenten zoals </w:t>
      </w:r>
      <w:r w:rsidRPr="00AC0671">
        <w:rPr>
          <w:rStyle w:val="markp7xaygbok"/>
          <w:color w:val="000000"/>
          <w:szCs w:val="18"/>
          <w:bdr w:val="none" w:color="auto" w:sz="0" w:space="0" w:frame="1"/>
        </w:rPr>
        <w:t>door kennisdeling met bedrijven</w:t>
      </w:r>
      <w:r w:rsidRPr="00AC0671">
        <w:rPr>
          <w:color w:val="000000"/>
          <w:szCs w:val="18"/>
          <w:shd w:val="clear" w:color="auto" w:fill="FFFFFF"/>
        </w:rPr>
        <w:t>. Op de scholen die werkten met een ouderbijdrage voor een technisch profiel is de ouderbijdrage vervallen</w:t>
      </w:r>
      <w:r w:rsidR="00140ABE">
        <w:rPr>
          <w:color w:val="000000"/>
          <w:szCs w:val="18"/>
          <w:shd w:val="clear" w:color="auto" w:fill="FFFFFF"/>
        </w:rPr>
        <w:t>,</w:t>
      </w:r>
      <w:r w:rsidRPr="00AC0671">
        <w:rPr>
          <w:color w:val="000000"/>
          <w:szCs w:val="18"/>
          <w:shd w:val="clear" w:color="auto" w:fill="FFFFFF"/>
        </w:rPr>
        <w:t xml:space="preserve"> omdat ouders/leerlingen soms vanwege hogere kosten voor andere profielen kozen. </w:t>
      </w:r>
    </w:p>
    <w:p w:rsidRPr="00AC0671" w:rsidR="00AC0671" w:rsidP="1AD40CF6" w:rsidRDefault="00AC0671" w14:paraId="0BCAF915" w14:textId="77777777">
      <w:pPr>
        <w:shd w:val="clear" w:color="auto" w:fill="FFFFFF" w:themeFill="background1"/>
        <w:textAlignment w:val="baseline"/>
        <w:rPr>
          <w:rFonts w:cstheme="minorBidi"/>
        </w:rPr>
      </w:pPr>
      <w:r w:rsidRPr="1AD40CF6">
        <w:rPr>
          <w:color w:val="000000"/>
          <w:shd w:val="clear" w:color="auto" w:fill="FFFFFF"/>
        </w:rPr>
        <w:t xml:space="preserve">Er zijn criteria ontwikkeld waaraan een innovatieve, aantrekkelijke </w:t>
      </w:r>
      <w:r w:rsidRPr="1AD40CF6">
        <w:rPr>
          <w:shd w:val="clear" w:color="auto" w:fill="FFFFFF"/>
        </w:rPr>
        <w:t xml:space="preserve">leeromgeving moet voldoen, toegesneden op de school. Daarop zijn lokalen, machines en gereedschappen aangepast, waardoor leerlingen nu kunnen kennismaken met onder meer </w:t>
      </w:r>
      <w:r w:rsidRPr="1AD40CF6">
        <w:rPr>
          <w:rFonts w:cstheme="minorBidi"/>
        </w:rPr>
        <w:t>elektrische auto’s, VR-brillen, drones, lasersnijders en lassimulatoren. Op alle scholen is de groepsgrootte in de basisberoepsgerichte -, kader en gemengde leerweg verkleind en zijn extra instructeurs geworven. Het bedrijvennetwerk van elke vmbo-scholen is uitgebreid.</w:t>
      </w:r>
    </w:p>
    <w:p w:rsidRPr="00AC0671" w:rsidR="008C0E84" w:rsidP="1AD40CF6" w:rsidRDefault="008C0E84" w14:paraId="2E2FDF37" w14:textId="2AE9E336">
      <w:pPr>
        <w:shd w:val="clear" w:color="auto" w:fill="FFFFFF" w:themeFill="background1"/>
        <w:textAlignment w:val="baseline"/>
        <w:rPr>
          <w:rFonts w:cstheme="minorBidi"/>
        </w:rPr>
      </w:pPr>
    </w:p>
    <w:p w:rsidR="00AC0671" w:rsidP="00AC0671" w:rsidRDefault="00AC0671" w14:paraId="04C23ED3" w14:textId="77777777">
      <w:pPr>
        <w:rPr>
          <w:rFonts w:cstheme="minorHAnsi"/>
          <w:szCs w:val="18"/>
        </w:rPr>
      </w:pPr>
      <w:r w:rsidRPr="00AC0671">
        <w:rPr>
          <w:szCs w:val="18"/>
        </w:rPr>
        <w:t xml:space="preserve">In de </w:t>
      </w:r>
      <w:r w:rsidRPr="00AC0671">
        <w:rPr>
          <w:szCs w:val="18"/>
          <w:u w:val="single"/>
        </w:rPr>
        <w:t xml:space="preserve">onderbouw </w:t>
      </w:r>
      <w:r w:rsidRPr="00AC0671">
        <w:rPr>
          <w:szCs w:val="18"/>
        </w:rPr>
        <w:t xml:space="preserve">wordt er op elke school aan techniek gedaan, maar dat </w:t>
      </w:r>
      <w:r w:rsidRPr="00AC0671">
        <w:rPr>
          <w:rFonts w:cstheme="minorHAnsi"/>
          <w:szCs w:val="18"/>
        </w:rPr>
        <w:t xml:space="preserve">techniekaanbod loopt sterk uiteen qua omvang en inhoud. Qua omvang van een uur techniek op een techniekverwante school tot tien uur/week op een vakcollege, qua inhoud van programmeren tot zorgtechnologie, dronewedstrijden/challenges en een ‘timmerklas’ voor de onderbouw. </w:t>
      </w:r>
    </w:p>
    <w:p w:rsidRPr="00AC0671" w:rsidR="00F54D4D" w:rsidP="00AC0671" w:rsidRDefault="00F54D4D" w14:paraId="2031B3E4" w14:textId="77777777">
      <w:pPr>
        <w:rPr>
          <w:szCs w:val="18"/>
        </w:rPr>
      </w:pPr>
    </w:p>
    <w:p w:rsidRPr="00AC0671" w:rsidR="00F54D4D" w:rsidP="00AC0671" w:rsidRDefault="00AC0671" w14:paraId="7A0B1BC8" w14:textId="48D3C460">
      <w:pPr>
        <w:rPr>
          <w:szCs w:val="18"/>
        </w:rPr>
      </w:pPr>
      <w:r w:rsidRPr="00AC0671">
        <w:rPr>
          <w:szCs w:val="18"/>
        </w:rPr>
        <w:t xml:space="preserve">In de </w:t>
      </w:r>
      <w:r w:rsidRPr="00AC0671">
        <w:rPr>
          <w:szCs w:val="18"/>
          <w:u w:val="single"/>
        </w:rPr>
        <w:t>bovenbouw</w:t>
      </w:r>
      <w:r w:rsidRPr="00AC0671">
        <w:rPr>
          <w:szCs w:val="18"/>
        </w:rPr>
        <w:t xml:space="preserve"> is het volgende tot stand gekomen:</w:t>
      </w:r>
    </w:p>
    <w:p w:rsidRPr="00AC0671" w:rsidR="00AC0671" w:rsidP="00426692" w:rsidRDefault="00AC0671" w14:paraId="73166D60" w14:textId="77777777">
      <w:pPr>
        <w:pStyle w:val="Lijstalinea"/>
        <w:numPr>
          <w:ilvl w:val="0"/>
          <w:numId w:val="26"/>
        </w:numPr>
        <w:spacing w:after="160" w:line="278" w:lineRule="auto"/>
        <w:rPr>
          <w:szCs w:val="18"/>
        </w:rPr>
      </w:pPr>
      <w:r w:rsidRPr="00AC0671">
        <w:rPr>
          <w:szCs w:val="18"/>
        </w:rPr>
        <w:t xml:space="preserve">Het aantal technische (innovatieve) keuzevakken in de regio is uitgebreid (zoals dronetechniek en koudetechniek). Het aantal unieke technische keuzevakken dat in de regio wordt aangeboden is gestegen naar boven de 60 en was van oudsher al hoger dan het aantal niet-technische keuzevakken. De verhouding technische versus niet-technische keuzevakken is nu bijna 60-40. Landelijk is na het tweede jaar van STO die verhouding veranderd in het voordeel van de techniek naar 52-48. </w:t>
      </w:r>
    </w:p>
    <w:p w:rsidRPr="00AC0671" w:rsidR="00AC0671" w:rsidP="00426692" w:rsidRDefault="00AC0671" w14:paraId="3E6EF0C3" w14:textId="77777777">
      <w:pPr>
        <w:pStyle w:val="Lijstalinea"/>
        <w:numPr>
          <w:ilvl w:val="0"/>
          <w:numId w:val="26"/>
        </w:numPr>
        <w:spacing w:after="160" w:line="278" w:lineRule="auto"/>
        <w:rPr>
          <w:szCs w:val="18"/>
        </w:rPr>
      </w:pPr>
      <w:r w:rsidRPr="00AC0671">
        <w:rPr>
          <w:szCs w:val="18"/>
        </w:rPr>
        <w:t>De technische vmbo-scholen hebben voor keuzevakken samen met bedrijven ‘hotspots’ op locaties van bedrijven ontwikkeld. Op een hotspot wordt een deel van een keuzevak uitgevoerd op een bedrijf. Op school krijgen leerlingen een theoretische voorbereiding en in het bedrijf de praktische toepassing die vaak niet op school uitgevoerd kan worden (zoals leidingen traceren en in de grond leggen). Er zijn meer hotspots ontwikkeld en uitgevoerd dan beoogd (mede doordat: “</w:t>
      </w:r>
      <w:r w:rsidRPr="00AC0671">
        <w:rPr>
          <w:i/>
          <w:iCs/>
          <w:szCs w:val="18"/>
        </w:rPr>
        <w:t>bedrijven in de rij staan</w:t>
      </w:r>
      <w:r w:rsidRPr="00AC0671">
        <w:rPr>
          <w:szCs w:val="18"/>
        </w:rPr>
        <w:t>”), er zijn nu acht hotspots voor alle technische profielen die meerdere malen zijn aangeboden en waar ongeveer 375 leerlingen aan deelgenomen hebben. “</w:t>
      </w:r>
      <w:r w:rsidRPr="00AC0671">
        <w:rPr>
          <w:i/>
          <w:iCs/>
          <w:szCs w:val="18"/>
        </w:rPr>
        <w:t>Het geeft docenten nieuwe energie.”</w:t>
      </w:r>
      <w:r w:rsidRPr="00AC0671">
        <w:rPr>
          <w:szCs w:val="18"/>
        </w:rPr>
        <w:t xml:space="preserve">  Vanwege dit succes zijn er ook voor techniekverwante scholen </w:t>
      </w:r>
      <w:r w:rsidRPr="00AC0671">
        <w:rPr>
          <w:szCs w:val="18"/>
          <w:u w:val="single"/>
        </w:rPr>
        <w:t>‘ontdekspots’</w:t>
      </w:r>
      <w:r w:rsidRPr="00AC0671">
        <w:rPr>
          <w:szCs w:val="18"/>
        </w:rPr>
        <w:t xml:space="preserve"> ingericht die meer op LOB zijn toegesneden en uitgevoerd worden op een gemeentelijk innovatielab. </w:t>
      </w:r>
    </w:p>
    <w:p w:rsidRPr="00AC0671" w:rsidR="00AC0671" w:rsidP="00426692" w:rsidRDefault="00AC0671" w14:paraId="41175077" w14:textId="60127850">
      <w:pPr>
        <w:pStyle w:val="Lijstalinea"/>
        <w:numPr>
          <w:ilvl w:val="0"/>
          <w:numId w:val="26"/>
        </w:numPr>
        <w:spacing w:after="160" w:line="278" w:lineRule="auto"/>
      </w:pPr>
      <w:r>
        <w:t xml:space="preserve">Er is een </w:t>
      </w:r>
      <w:r w:rsidR="4259087E">
        <w:t xml:space="preserve">doorlopende leerlijn en </w:t>
      </w:r>
      <w:r>
        <w:t xml:space="preserve">lesprogramma </w:t>
      </w:r>
      <w:r w:rsidRPr="780653D5">
        <w:rPr>
          <w:i/>
          <w:iCs/>
        </w:rPr>
        <w:t>computational thinking</w:t>
      </w:r>
      <w:r>
        <w:t xml:space="preserve"> ontwikkeld voor alle scholen. </w:t>
      </w:r>
    </w:p>
    <w:p w:rsidRPr="00AC0671" w:rsidR="00AC0671" w:rsidP="00426692" w:rsidRDefault="00AC0671" w14:paraId="3676C716" w14:textId="5D07CBB0">
      <w:pPr>
        <w:pStyle w:val="Lijstalinea"/>
        <w:numPr>
          <w:ilvl w:val="0"/>
          <w:numId w:val="26"/>
        </w:numPr>
        <w:spacing w:after="160" w:line="278" w:lineRule="auto"/>
      </w:pPr>
      <w:r>
        <w:t xml:space="preserve">Voor techniekdocenten van alle scholen is er een professionaliseringsaanbod naar behoefte opgezet met </w:t>
      </w:r>
      <w:r w:rsidRPr="780653D5">
        <w:rPr>
          <w:rFonts w:cstheme="minorBidi"/>
        </w:rPr>
        <w:t>stages, bedrijfsbezoeken en gastlessen. Er zijn naast andere scholingsactiviteiten zo’n 35 cursussen georganiseerd met 300 deelnemers en er zijn tien instructeurs opgeleid</w:t>
      </w:r>
      <w:r w:rsidRPr="780653D5" w:rsidR="41D89463">
        <w:rPr>
          <w:rFonts w:cstheme="minorBidi"/>
        </w:rPr>
        <w:t>, waarvan er vijf zijn doorgestroomd naar een docentopleiding Techniek</w:t>
      </w:r>
      <w:r w:rsidRPr="780653D5">
        <w:rPr>
          <w:rFonts w:cstheme="minorBidi"/>
        </w:rPr>
        <w:t xml:space="preserve">. </w:t>
      </w:r>
      <w:r w:rsidRPr="780653D5">
        <w:rPr>
          <w:rFonts w:cstheme="minorBidi"/>
          <w:i/>
          <w:iCs/>
        </w:rPr>
        <w:t xml:space="preserve"> </w:t>
      </w:r>
      <w:r>
        <w:t xml:space="preserve">  </w:t>
      </w:r>
    </w:p>
    <w:p w:rsidRPr="00AC0671" w:rsidR="00AC0671" w:rsidP="00426692" w:rsidRDefault="00AC0671" w14:paraId="05C07960" w14:textId="77777777">
      <w:pPr>
        <w:pStyle w:val="Lijstalinea"/>
        <w:numPr>
          <w:ilvl w:val="0"/>
          <w:numId w:val="26"/>
        </w:numPr>
        <w:spacing w:after="160" w:line="278" w:lineRule="auto"/>
        <w:rPr>
          <w:szCs w:val="18"/>
        </w:rPr>
      </w:pPr>
      <w:r w:rsidRPr="00AC0671">
        <w:rPr>
          <w:szCs w:val="18"/>
        </w:rPr>
        <w:t xml:space="preserve">Alle techniekprofielen in de regio zijn behouden tussen 2020 en 2024 (vanaf 2024 zijn op een vmbo-school de profielen PIE en BWI samengevoegd/experiment PIE/BWI). </w:t>
      </w:r>
    </w:p>
    <w:p w:rsidRPr="00AC0671" w:rsidR="00AC0671" w:rsidP="00AC0671" w:rsidRDefault="00AC0671" w14:paraId="43FD1E4F" w14:textId="23FCE176">
      <w:r w:rsidRPr="0C21A21C">
        <w:rPr>
          <w:u w:val="single"/>
        </w:rPr>
        <w:t>Effect op het vmbo</w:t>
      </w:r>
      <w:r>
        <w:t>: In de vmbo-techniekscholen is de basis (lokaalinrichting, materieel en personeel) nu op orde, onder impuls van STO. Voor leerlingen betekent het dat ze les krijgen in een nieuwe leeromgeving. “</w:t>
      </w:r>
      <w:r w:rsidRPr="0C21A21C">
        <w:rPr>
          <w:i/>
        </w:rPr>
        <w:t>Oud-leerlingen die de school bezoeken laten zich wel eens ontvallen dat ze jaloers zijn op de faciliteiten van nu.”</w:t>
      </w:r>
      <w:r>
        <w:t xml:space="preserve"> Zowel voor leerlingen als docenten is de omgeving motiverender. Er zijn leerlingen die naschools blijven om gebruik te maken van de techniekfaciliteiten. De groepen zijn kleiner, waardoor leerlingen meer aandacht en betere begeleiding krijgen van de docenten. De toegankelijkheid van de technische profielen is vergroot door het afschaffen van de ouderbijdrage. Er is voorts een sterkere verbinding van de bedrijven bij het vmbo-onderwijs tot </w:t>
      </w:r>
      <w:r>
        <w:lastRenderedPageBreak/>
        <w:t xml:space="preserve">stand gebracht, waardoor scholen ook hun programma-aanbod aanpassen aan de behoefte van het bedrijfsleven. Het buitenschools leren is met de hotspots uitgebreid, tot genoegen van zowel leerlingen als docenten. Bedrijven geven ook aan dat ze vinden dat de kloof tussen onderwijs en praktijk kleiner is. </w:t>
      </w:r>
    </w:p>
    <w:p w:rsidRPr="00AC0671" w:rsidR="00357C6C" w:rsidP="00AC0671" w:rsidRDefault="00357C6C" w14:paraId="33F5ACAF" w14:textId="05F736AF"/>
    <w:p w:rsidR="00AC0671" w:rsidP="00AC0671" w:rsidRDefault="00AC0671" w14:paraId="60808CA5" w14:textId="77777777">
      <w:pPr>
        <w:rPr>
          <w:i/>
          <w:iCs/>
          <w:szCs w:val="18"/>
        </w:rPr>
      </w:pPr>
      <w:r w:rsidRPr="00AC0671">
        <w:rPr>
          <w:szCs w:val="18"/>
        </w:rPr>
        <w:t xml:space="preserve">Ook bij de techniekverwante scholen komen leerlingen meer met (brede) techniek in aanraking, niet alleen met ‘maken’, maar ook met bijvoorbeeld programmeren. Ze komen vaker bij bedrijven en vinden dat interessant. Er zijn meer activiteiten dan aantal jaren geleden en meer buitenschoolse activiteiten. </w:t>
      </w:r>
      <w:r w:rsidRPr="00AC0671">
        <w:rPr>
          <w:i/>
          <w:iCs/>
          <w:szCs w:val="18"/>
        </w:rPr>
        <w:t>“Leerlingen op onze school zijn niet gefocust op techniek, maar de leerlingen van wie we denken: ‘dat zou een goede zijn’, proberen we wel te enthousiasmeren door workshops en activiteiten. Daarin vinden leerlingen soms hun talent waarvan ze niet wisten dat ze dat hadden.”</w:t>
      </w:r>
      <w:r w:rsidRPr="00AC0671">
        <w:rPr>
          <w:szCs w:val="18"/>
        </w:rPr>
        <w:t xml:space="preserve"> Er is onder invloed van STO ook een groei van technische praktijkgerichte programma’s in vmbo-gl/tl. Door STO hebben ook de techniekverwante scholen een netwerk kunnen opbouwen en waren er middelen voor apparatuur en faciliteiten. Dat wordt als waardevol ervaren door docenten, naast de mogelijkheid om te ontwikkelen als school door onderlinge samenwerking en om vaak als enige techniekdocent binnen de eigen school te kunnen sparren met andere docenten: “</w:t>
      </w:r>
      <w:r w:rsidRPr="00AC0671">
        <w:rPr>
          <w:i/>
          <w:iCs/>
          <w:szCs w:val="18"/>
        </w:rPr>
        <w:t>De contacten met de andere scholen zou ik voor geen goud willen missen.</w:t>
      </w:r>
      <w:r w:rsidRPr="00AC0671">
        <w:rPr>
          <w:szCs w:val="18"/>
        </w:rPr>
        <w:t>” STO heeft ook iets gedaan met de waardering voor het vak: “</w:t>
      </w:r>
      <w:r w:rsidRPr="00AC0671">
        <w:rPr>
          <w:i/>
          <w:iCs/>
          <w:szCs w:val="18"/>
        </w:rPr>
        <w:t>We worden nu wel eens het paradepaardje van de school genoemd. Dat was écht anders: we waren het ondergeschoven kindje.”</w:t>
      </w:r>
    </w:p>
    <w:p w:rsidRPr="00AC0671" w:rsidR="00F54D4D" w:rsidP="00AC0671" w:rsidRDefault="00F54D4D" w14:paraId="05F06CB5" w14:textId="77777777">
      <w:pPr>
        <w:rPr>
          <w:i/>
          <w:iCs/>
          <w:szCs w:val="18"/>
        </w:rPr>
      </w:pPr>
    </w:p>
    <w:p w:rsidRPr="00AC0671" w:rsidR="00AC0671" w:rsidP="00AC0671" w:rsidRDefault="00AC0671" w14:paraId="3EA08EE0" w14:textId="176ED5E7">
      <w:r w:rsidRPr="780653D5">
        <w:rPr>
          <w:u w:val="single"/>
        </w:rPr>
        <w:t>Effecten op keuzes leerlingen</w:t>
      </w:r>
      <w:r>
        <w:t>: Het aantal leerlingen in de regio met een niet-technisch profiel dat minstens één technisch keuzevak kiest, is vanaf 2020 toegenomen. Dit aandeel leerlingen is in de regio gestegen naar 27%</w:t>
      </w:r>
      <w:r w:rsidR="44388E4F">
        <w:t xml:space="preserve"> in 2023</w:t>
      </w:r>
      <w:r>
        <w:t xml:space="preserve">; landelijk is dat aandeel gestegen van 26% in 2018 naar 30% in 2023. Mede doordat in deze regio er in het programma aandacht wordt besteed aan innovatieve en creatieve technieken worden op sommige scholen meer meiden aangetrokken. Ook een vrouwelijke docent als rolmodel helpt daarin. </w:t>
      </w:r>
    </w:p>
    <w:p w:rsidR="00420DA0" w:rsidP="00420DA0" w:rsidRDefault="00420DA0" w14:paraId="026DB5AC" w14:textId="77777777">
      <w:pPr>
        <w:pStyle w:val="Geenafstand"/>
      </w:pPr>
    </w:p>
    <w:p w:rsidRPr="00283B39" w:rsidR="00AC0671" w:rsidP="00283B39" w:rsidRDefault="00AC0671" w14:paraId="309607A9" w14:textId="77777777">
      <w:pPr>
        <w:pStyle w:val="Geenafstand"/>
        <w:rPr>
          <w:u w:val="single"/>
        </w:rPr>
      </w:pPr>
      <w:r w:rsidRPr="00283B39">
        <w:rPr>
          <w:u w:val="single"/>
        </w:rPr>
        <w:t>Vmbo-mbo</w:t>
      </w:r>
    </w:p>
    <w:p w:rsidR="00420DA0" w:rsidP="00AC0671" w:rsidRDefault="00420DA0" w14:paraId="3C4E5D99" w14:textId="77777777"/>
    <w:p w:rsidRPr="00AC0671" w:rsidR="00AC0671" w:rsidP="00AC0671" w:rsidRDefault="00AC0671" w14:paraId="06B0A189" w14:textId="2831DDBC">
      <w:pPr>
        <w:rPr>
          <w:rFonts w:cstheme="minorBidi"/>
        </w:rPr>
      </w:pPr>
      <w:r>
        <w:t>Bij de start van STO hadden de vmbo’s het plan om samen</w:t>
      </w:r>
      <w:r w:rsidRPr="0C21A21C">
        <w:rPr>
          <w:i/>
        </w:rPr>
        <w:t xml:space="preserve"> </w:t>
      </w:r>
      <w:r>
        <w:t>doorlopende leerlijnen met het mbo te ontwikkelen. Maar doordat de scholen met techniek zo van elkaar verschilden, bleek dat voor het mbo niet mogelijk. Bovendien hadden drie van de vier vmbo’s al een s</w:t>
      </w:r>
      <w:r w:rsidRPr="0C21A21C">
        <w:rPr>
          <w:rFonts w:cstheme="minorBidi"/>
        </w:rPr>
        <w:t xml:space="preserve">tevige samenwerking met een ‘eigen’ mbo (mede vanwege denominatie). Binnen die verbanden zijn er nieuwe lijnen tot stand gekomen en de bestaande doorlopende lijnen naar mbo-2 en 3 niveau (aangeboden op de vmbo-locatie) versterkt. </w:t>
      </w:r>
    </w:p>
    <w:p w:rsidRPr="00AC0671" w:rsidR="00A84346" w:rsidP="00AC0671" w:rsidRDefault="00A84346" w14:paraId="3E9FAB76" w14:textId="06F7942B">
      <w:pPr>
        <w:rPr>
          <w:rFonts w:cstheme="minorBidi"/>
        </w:rPr>
      </w:pPr>
    </w:p>
    <w:p w:rsidR="00AC0671" w:rsidP="780653D5" w:rsidRDefault="00AC0671" w14:paraId="4131AEA8" w14:textId="1B68171A">
      <w:pPr>
        <w:rPr>
          <w:rFonts w:cstheme="minorBidi"/>
        </w:rPr>
      </w:pPr>
      <w:r w:rsidRPr="780653D5">
        <w:rPr>
          <w:rFonts w:cstheme="minorBidi"/>
        </w:rPr>
        <w:t>De samenwerking met het andere mbo, dat instroom kent vanuit alle technische vmbo’s, is van recente datum. “</w:t>
      </w:r>
      <w:r w:rsidRPr="780653D5">
        <w:rPr>
          <w:rFonts w:cstheme="minorBidi"/>
          <w:i/>
          <w:iCs/>
        </w:rPr>
        <w:t xml:space="preserve">Er is veel te kiezen voor leerlingen in de regio, dat maakt de samenwerking voor het mbo lastig. Bovendien gaat maar </w:t>
      </w:r>
      <w:r w:rsidRPr="780653D5" w:rsidR="580C2E2A">
        <w:rPr>
          <w:rFonts w:cstheme="minorBidi"/>
          <w:i/>
          <w:iCs/>
        </w:rPr>
        <w:t xml:space="preserve">een deel van de </w:t>
      </w:r>
      <w:r w:rsidRPr="780653D5">
        <w:rPr>
          <w:rFonts w:cstheme="minorBidi"/>
          <w:i/>
          <w:iCs/>
        </w:rPr>
        <w:t>leerlingen uit het vmbo ‘perfect’ door in dezelfde richting en wisselt twee derde, bijvoorbeeld van vmbo bwi naar mbo installatie. Dat maakt doorlopende leerlijnen lastig, ook omdat daar massa voor nodig is.”</w:t>
      </w:r>
      <w:r w:rsidRPr="780653D5">
        <w:rPr>
          <w:rFonts w:cstheme="minorBidi"/>
        </w:rPr>
        <w:t xml:space="preserve"> Het mbo is betrokken in meerdere STO-regio’s en heeft daarom een menukaart ontwikkeld voor de vmbo-scholen met een vast aanbod (b</w:t>
      </w:r>
      <w:r w:rsidRPr="780653D5" w:rsidR="00C72C8C">
        <w:rPr>
          <w:rFonts w:cstheme="minorBidi"/>
        </w:rPr>
        <w:t>ij</w:t>
      </w:r>
      <w:r w:rsidRPr="780653D5">
        <w:rPr>
          <w:rFonts w:cstheme="minorBidi"/>
        </w:rPr>
        <w:t>v</w:t>
      </w:r>
      <w:r w:rsidRPr="780653D5" w:rsidR="00C72C8C">
        <w:rPr>
          <w:rFonts w:cstheme="minorBidi"/>
        </w:rPr>
        <w:t>.</w:t>
      </w:r>
      <w:r w:rsidRPr="780653D5">
        <w:rPr>
          <w:rFonts w:cstheme="minorBidi"/>
        </w:rPr>
        <w:t xml:space="preserve"> wekelijkse pgp-middagen, keuzevakken die leerlingen niet op school kunnen doen, elke maand </w:t>
      </w:r>
      <w:r w:rsidRPr="780653D5">
        <w:rPr>
          <w:rFonts w:cstheme="minorBidi"/>
          <w:i/>
          <w:iCs/>
        </w:rPr>
        <w:t>edutalks</w:t>
      </w:r>
      <w:r w:rsidRPr="780653D5">
        <w:rPr>
          <w:rFonts w:cstheme="minorBidi"/>
        </w:rPr>
        <w:t xml:space="preserve"> over nieuwe technologische ontwikkelingen door gastsprekers uit het bedrijfsleven voor docenten uit alle regio’s). </w:t>
      </w:r>
    </w:p>
    <w:p w:rsidRPr="00AC0671" w:rsidR="00F54D4D" w:rsidP="00AC0671" w:rsidRDefault="00F54D4D" w14:paraId="21E11F45" w14:textId="77777777">
      <w:pPr>
        <w:rPr>
          <w:rFonts w:cstheme="minorHAnsi"/>
          <w:szCs w:val="18"/>
        </w:rPr>
      </w:pPr>
    </w:p>
    <w:p w:rsidR="009E43B6" w:rsidP="00AC0671" w:rsidRDefault="00AC0671" w14:paraId="2A062B1D" w14:textId="37B90B01">
      <w:pPr>
        <w:rPr>
          <w:szCs w:val="18"/>
        </w:rPr>
      </w:pPr>
      <w:r w:rsidRPr="00AC0671">
        <w:rPr>
          <w:rFonts w:cstheme="minorHAnsi"/>
          <w:i/>
          <w:iCs/>
          <w:szCs w:val="18"/>
          <w:u w:val="single"/>
        </w:rPr>
        <w:t>Effecten van de inzet op vmbo-mbo</w:t>
      </w:r>
      <w:r w:rsidRPr="00AC0671">
        <w:rPr>
          <w:rFonts w:cstheme="minorHAnsi"/>
          <w:szCs w:val="18"/>
        </w:rPr>
        <w:t xml:space="preserve">: </w:t>
      </w:r>
      <w:r w:rsidRPr="00AC0671">
        <w:rPr>
          <w:szCs w:val="18"/>
        </w:rPr>
        <w:t xml:space="preserve">Met de ‘eigen’ mbo’s zijn de relaties goed en scholen hebben geen behoefte dat te veranderen. Wel zijn ze meer kennis rondom doorlopende leerlijnen gaan delen met elkaar, bijvoorbeeld: wat is nodig voor succes in het mbo? Het afgelopen jaar is meer verbinding tot stand gekomen met het andere mbo. Dat kan een basis zijn waarop nieuwe activiteiten kunnen groeien. </w:t>
      </w:r>
    </w:p>
    <w:p w:rsidR="009E43B6" w:rsidRDefault="009E43B6" w14:paraId="50E7E461" w14:textId="77777777">
      <w:pPr>
        <w:spacing w:after="160" w:line="259" w:lineRule="auto"/>
        <w:rPr>
          <w:szCs w:val="18"/>
        </w:rPr>
      </w:pPr>
      <w:r>
        <w:rPr>
          <w:szCs w:val="18"/>
        </w:rPr>
        <w:br w:type="page"/>
      </w:r>
    </w:p>
    <w:p w:rsidRPr="00AC0671" w:rsidR="00AC0671" w:rsidP="00AC0671" w:rsidRDefault="00AC0671" w14:paraId="375AF6C1" w14:textId="77777777">
      <w:pPr>
        <w:rPr>
          <w:szCs w:val="18"/>
        </w:rPr>
      </w:pPr>
    </w:p>
    <w:p w:rsidRPr="00AC0671" w:rsidR="00AC0671" w:rsidP="00AC0671" w:rsidRDefault="00AC0671" w14:paraId="49B0C755" w14:textId="77777777">
      <w:pPr>
        <w:rPr>
          <w:szCs w:val="18"/>
        </w:rPr>
      </w:pPr>
    </w:p>
    <w:p w:rsidRPr="00AC0671" w:rsidR="00AC0671" w:rsidP="00AC0671" w:rsidRDefault="00AC0671" w14:paraId="1DDBF2E1" w14:textId="77777777">
      <w:pPr>
        <w:pBdr>
          <w:top w:val="single" w:color="auto" w:sz="4" w:space="1"/>
          <w:left w:val="single" w:color="auto" w:sz="4" w:space="4"/>
          <w:bottom w:val="single" w:color="auto" w:sz="4" w:space="1"/>
          <w:right w:val="single" w:color="auto" w:sz="4" w:space="4"/>
        </w:pBdr>
        <w:spacing w:line="240" w:lineRule="auto"/>
        <w:rPr>
          <w:szCs w:val="18"/>
        </w:rPr>
      </w:pPr>
      <w:r w:rsidRPr="00AC0671">
        <w:rPr>
          <w:szCs w:val="18"/>
        </w:rPr>
        <w:t>Het techiek(profielen)aanbod in de regio is behouden. Het aandeel jongeren dat techniek volgt in leerjaar 4 in de regio is op een hoogtepunt sinds 2018: 37% in de regio in leerjaar 4, 33% in leerjaar 3 (versus 20% landelijk).</w:t>
      </w:r>
    </w:p>
    <w:p w:rsidRPr="00AC0671" w:rsidR="00AC0671" w:rsidP="780653D5" w:rsidRDefault="00AC0671" w14:paraId="1A0163E7" w14:textId="284EA409">
      <w:pPr>
        <w:pBdr>
          <w:top w:val="single" w:color="auto" w:sz="4" w:space="1"/>
          <w:left w:val="single" w:color="auto" w:sz="4" w:space="4"/>
          <w:bottom w:val="single" w:color="auto" w:sz="4" w:space="1"/>
          <w:right w:val="single" w:color="auto" w:sz="4" w:space="4"/>
        </w:pBdr>
        <w:spacing w:line="240" w:lineRule="auto"/>
      </w:pPr>
      <w:r>
        <w:t>De doorstroom naar technisch mbo vanuit de technische en niet-technische vmbo-profielen is (beduidend) hoger dan landelijk het geval is (landelijk: 74% - 21%); in de regio bedraagt dat 84% - 26%</w:t>
      </w:r>
      <w:r w:rsidR="41930875">
        <w:t xml:space="preserve"> (cijfers: 2023)</w:t>
      </w:r>
      <w:r>
        <w:t>.</w:t>
      </w:r>
    </w:p>
    <w:p w:rsidR="00AC0671" w:rsidP="0704D9E2" w:rsidRDefault="00AC0671" w14:paraId="4262574E" w14:textId="1C977A2A">
      <w:pPr>
        <w:pBdr>
          <w:top w:val="single" w:color="auto" w:sz="4" w:space="1"/>
          <w:left w:val="single" w:color="auto" w:sz="4" w:space="4"/>
          <w:bottom w:val="single" w:color="auto" w:sz="4" w:space="1"/>
          <w:right w:val="single" w:color="auto" w:sz="4" w:space="4"/>
        </w:pBdr>
        <w:spacing w:line="240" w:lineRule="auto"/>
      </w:pPr>
      <w:r>
        <w:t xml:space="preserve">Er stromen in de regio relatief meer leerlingen met een niet-technisch profiel en minstens één technisch keuzevak naar het technisch mbo, dan leerlingen uit niet-technische profielen zonder een technisch keuzevak in hun programma (15%-11%). </w:t>
      </w:r>
    </w:p>
    <w:p w:rsidRPr="00AC0671" w:rsidR="009C5218" w:rsidP="0704D9E2" w:rsidRDefault="009C5218" w14:paraId="084D728B" w14:textId="44535387">
      <w:pPr>
        <w:pBdr>
          <w:top w:val="single" w:color="auto" w:sz="4" w:space="1"/>
          <w:left w:val="single" w:color="auto" w:sz="4" w:space="4"/>
          <w:bottom w:val="single" w:color="auto" w:sz="4" w:space="1"/>
          <w:right w:val="single" w:color="auto" w:sz="4" w:space="4"/>
        </w:pBdr>
        <w:spacing w:line="240" w:lineRule="auto"/>
      </w:pPr>
    </w:p>
    <w:p w:rsidRPr="00AC0671" w:rsidR="00AC0671" w:rsidP="00AC0671" w:rsidRDefault="00AC0671" w14:paraId="51BC22A0" w14:textId="77777777">
      <w:pPr>
        <w:pBdr>
          <w:top w:val="single" w:color="auto" w:sz="4" w:space="1"/>
          <w:left w:val="single" w:color="auto" w:sz="4" w:space="4"/>
          <w:bottom w:val="single" w:color="auto" w:sz="4" w:space="1"/>
          <w:right w:val="single" w:color="auto" w:sz="4" w:space="4"/>
        </w:pBdr>
        <w:spacing w:line="240" w:lineRule="auto"/>
        <w:rPr>
          <w:szCs w:val="18"/>
        </w:rPr>
      </w:pPr>
      <w:r w:rsidRPr="00AC0671">
        <w:rPr>
          <w:szCs w:val="18"/>
        </w:rPr>
        <w:t xml:space="preserve">De doorstroom vanuit tl/mavo naar technisch mbo bedraagt landelijk 25%, vanuit de gl is die doorstroom 29%. Voor de regio geldt dat 41% van de gl doorstroomt naar technisch mbo en 27% vanuit de tl naar technisch mbo (gebaseerd op </w:t>
      </w:r>
      <w:r w:rsidRPr="00AC0671">
        <w:rPr>
          <w:szCs w:val="18"/>
          <w:u w:val="single"/>
        </w:rPr>
        <w:t>alle</w:t>
      </w:r>
      <w:r w:rsidRPr="00AC0671">
        <w:rPr>
          <w:szCs w:val="18"/>
        </w:rPr>
        <w:t xml:space="preserve"> gl en tl in de regio). </w:t>
      </w:r>
    </w:p>
    <w:p w:rsidRPr="00AC0671" w:rsidR="00AC0671" w:rsidP="00AC0671" w:rsidRDefault="00AC0671" w14:paraId="3989456B" w14:textId="77777777">
      <w:pPr>
        <w:pBdr>
          <w:top w:val="single" w:color="auto" w:sz="4" w:space="1"/>
          <w:left w:val="single" w:color="auto" w:sz="4" w:space="4"/>
          <w:bottom w:val="single" w:color="auto" w:sz="4" w:space="1"/>
          <w:right w:val="single" w:color="auto" w:sz="4" w:space="4"/>
        </w:pBdr>
        <w:rPr>
          <w:szCs w:val="18"/>
        </w:rPr>
      </w:pPr>
      <w:r w:rsidRPr="00AC0671">
        <w:rPr>
          <w:szCs w:val="18"/>
        </w:rPr>
        <w:t xml:space="preserve">Bron: bewerking ROA, </w:t>
      </w:r>
      <w:r w:rsidRPr="00AC0671">
        <w:rPr>
          <w:szCs w:val="18"/>
          <w:u w:val="single"/>
        </w:rPr>
        <w:t xml:space="preserve">op basis van DUO-gegevens, scholen met basis, kader en gl (8) en tl. </w:t>
      </w:r>
    </w:p>
    <w:p w:rsidRPr="00AC0671" w:rsidR="00AC0671" w:rsidP="00AC0671" w:rsidRDefault="00AC0671" w14:paraId="6238E5EC" w14:textId="77777777">
      <w:pPr>
        <w:rPr>
          <w:szCs w:val="18"/>
        </w:rPr>
      </w:pPr>
    </w:p>
    <w:p w:rsidRPr="00AC0671" w:rsidR="00AC0671" w:rsidP="00AC0671" w:rsidRDefault="00AC0671" w14:paraId="3BD97696" w14:textId="77777777">
      <w:pPr>
        <w:pStyle w:val="Kop4"/>
        <w:rPr>
          <w:rFonts w:ascii="Trebuchet MS" w:hAnsi="Trebuchet MS"/>
          <w:szCs w:val="18"/>
        </w:rPr>
      </w:pPr>
      <w:r w:rsidRPr="00AC0671">
        <w:rPr>
          <w:rFonts w:ascii="Trebuchet MS" w:hAnsi="Trebuchet MS"/>
          <w:szCs w:val="18"/>
        </w:rPr>
        <w:t>Overall beeld</w:t>
      </w:r>
    </w:p>
    <w:p w:rsidRPr="00AC0671" w:rsidR="00AC0671" w:rsidP="00AC0671" w:rsidRDefault="00AC0671" w14:paraId="20A728E4" w14:textId="7D2D7754">
      <w:r>
        <w:t xml:space="preserve">In deze regio is ten eerste veel aandacht uitgegaan naar het realiseren van aanbod voor het po, op de locatie van het po en binnen het vmbo. Dat heeft onder meer geleid tot meer techniekbewustzijn van kinderen en enthousiasme voor maak- en doelessen. En vaak ook tot techniekbewustzijn en een attitudeverandering bij leerkrachten, maar nog niet op grote schaal tot een echte ‘gedragsverandering’. Er is veel aanbod aan professionalisering voor leerkrachten; de benutting daarvan blijft echter nog achter. </w:t>
      </w:r>
    </w:p>
    <w:p w:rsidRPr="00AC0671" w:rsidR="009C5218" w:rsidP="00AC0671" w:rsidRDefault="009C5218" w14:paraId="6B337DF4" w14:textId="2BDFDC76"/>
    <w:p w:rsidRPr="00AC0671" w:rsidR="00AC0671" w:rsidP="00AC0671" w:rsidRDefault="00AC0671" w14:paraId="47D888D8" w14:textId="77777777">
      <w:pPr>
        <w:rPr>
          <w:szCs w:val="18"/>
        </w:rPr>
      </w:pPr>
      <w:r w:rsidRPr="00AC0671">
        <w:rPr>
          <w:szCs w:val="18"/>
        </w:rPr>
        <w:t>In</w:t>
      </w:r>
      <w:r w:rsidRPr="00AC0671">
        <w:rPr>
          <w:rFonts w:cs="Segoe UI"/>
          <w:szCs w:val="18"/>
        </w:rPr>
        <w:t xml:space="preserve"> het technisch vmbo heeft STO ertoe geleid dat de basis nu op orde is, met aandacht voor versterking en actualisering van het techniekaanbod van de scholen, dat gezamenlijk ontwikkeld is en uitgevoerd wordt op de scholen afzonderlijk. Door samen te werken aan ontwikkeling en in werkgroepen ontmoeten de scholen elkaar, ontstaat er vertrouwen, leren ze van elkaar en wisselen ze uit. Daardoor neemt het gevoel van onderlinge concurrentie af. Het bedrijvennetwerk per school is uitgebreid en de betrokkenheid van bedrijven bij vmbo en po is toegenomen. Vmbo-techniekverwante scholen hebben een relatief klein budget, maar kunnen wel profiteren van wat er ontwikkeld is. Wat betreft de samenwerking vmbo-mbo lagen er voor een deel van de vmbo-technische scholen al afspraken rondom doorlopende routes op het vmbo; de samenwerking is verder uitgebreid en er bestaat geen urgentie om de lopende praktijk door gezamenlijke afspraken te vervangen. De samenwerking met het andere mbo komt langzamerhand op gang. </w:t>
      </w:r>
    </w:p>
    <w:p w:rsidRPr="00AC0671" w:rsidR="00AC0671" w:rsidP="008224AB" w:rsidRDefault="00AC0671" w14:paraId="5906B463" w14:textId="77777777">
      <w:pPr>
        <w:pStyle w:val="Plattetekst"/>
      </w:pPr>
    </w:p>
    <w:p w:rsidRPr="00AC0671" w:rsidR="00AC0671" w:rsidP="00832357" w:rsidRDefault="00AC0671" w14:paraId="714325B6" w14:textId="77777777">
      <w:pPr>
        <w:pStyle w:val="Kop3"/>
      </w:pPr>
      <w:bookmarkStart w:name="_Toc203573563" w:id="15"/>
      <w:r>
        <w:t>STO-regio B</w:t>
      </w:r>
      <w:bookmarkEnd w:id="15"/>
    </w:p>
    <w:p w:rsidR="00AC0671" w:rsidP="68DA9CCC" w:rsidRDefault="00AC0671" w14:paraId="380A989A" w14:textId="13703927">
      <w:r>
        <w:t xml:space="preserve">Deze regio beslaat een relatief groot oppervlakte, met in totaal 8 vmbo-scholen met technische profielen die verspreid over de regio elk </w:t>
      </w:r>
      <w:r w:rsidR="3E10FEC3">
        <w:t xml:space="preserve">een eigen wervingsgebied </w:t>
      </w:r>
      <w:r>
        <w:t xml:space="preserve"> bedienen. Betrokken organisaties zijn 8 vmbo-scholen met technische profielen, 6 vmbo-locaties zonder technisch profiel, 1 mbo (na fusie), 9 vso-locaties en 7 Pro-locaties. Voorts ruim 400 (opleidings)bedrijven, 9 gemeenten en 1 netwerkorganisatie/arbeidsmarktregio. Acht vmbo-locaties bieden PIE en BWI aan, op vier locaties wordt ook het profiel M&amp;T aangeboden en 1 locatie biedt ook het profiel MVI aan. In 2024 zijn er in totaal 1203 vmbo-leerlingen in een technisch profiel (BWI, PIE, M&amp;T, MVI), </w:t>
      </w:r>
      <w:r w:rsidR="00C6431E">
        <w:t>waarvan</w:t>
      </w:r>
      <w:r>
        <w:t xml:space="preserve"> 1099 b/k-leerlingen en 96 gl-leerlingen in het 3</w:t>
      </w:r>
      <w:r w:rsidRPr="68DA9CCC">
        <w:rPr>
          <w:vertAlign w:val="superscript"/>
        </w:rPr>
        <w:t>e</w:t>
      </w:r>
      <w:r>
        <w:t xml:space="preserve"> en 4</w:t>
      </w:r>
      <w:r w:rsidRPr="68DA9CCC">
        <w:rPr>
          <w:vertAlign w:val="superscript"/>
        </w:rPr>
        <w:t>e</w:t>
      </w:r>
      <w:r>
        <w:t xml:space="preserve"> jaar. De instroom in technische profielen en de doorstroom naar technisch mbo is in deze regio landelijk gezien </w:t>
      </w:r>
      <w:r w:rsidRPr="68DA9CCC">
        <w:rPr>
          <w:i/>
          <w:iCs/>
        </w:rPr>
        <w:t>bovengemiddeld</w:t>
      </w:r>
      <w:r>
        <w:t xml:space="preserve">. </w:t>
      </w:r>
    </w:p>
    <w:p w:rsidRPr="00AC0671" w:rsidR="006E54BD" w:rsidP="00AC0671" w:rsidRDefault="006E54BD" w14:paraId="2CE20F82" w14:textId="77777777">
      <w:pPr>
        <w:rPr>
          <w:szCs w:val="18"/>
        </w:rPr>
      </w:pPr>
    </w:p>
    <w:p w:rsidR="00AC0671" w:rsidP="00AC0671" w:rsidRDefault="00AC0671" w14:paraId="098D0B90" w14:textId="77777777">
      <w:pPr>
        <w:rPr>
          <w:szCs w:val="18"/>
        </w:rPr>
      </w:pPr>
      <w:r w:rsidRPr="00AC0671">
        <w:rPr>
          <w:szCs w:val="18"/>
        </w:rPr>
        <w:t xml:space="preserve">Deze regio richtte zich aanvankelijk vooral op de versterking van de technische profielen in de </w:t>
      </w:r>
      <w:r w:rsidRPr="00AC0671">
        <w:rPr>
          <w:i/>
          <w:iCs/>
          <w:szCs w:val="18"/>
        </w:rPr>
        <w:t>bovenbouw</w:t>
      </w:r>
      <w:r w:rsidRPr="00AC0671">
        <w:rPr>
          <w:szCs w:val="18"/>
        </w:rPr>
        <w:t xml:space="preserve"> vmbo, met investeringen in materialen, apparaten en machines en een versterking/uitbreiding van het personele bestand, zodat ook in deze regio de ‘basis weer op orde is’. In de regio is afgesproken dat voor de praktijklessen techniek er op elke school een docent/leerlingen ratio is van 1:15. Doel is het behoud van de huidige technische profielen per partnerschool en waar mogelijk uitbreiding/aanpassing van het aanbod aan keuzevakken in de techniek. Bij de leerlingen is het doel het stabiliseren van het al hoge aandeel b/k-leerlingen in de techniek en de vergroting van de uitstroom van gl/tl-leerlingen naar technisch mbo. Voor de regio wordt in de komende jaren een krimp van leerlingaantallen in het vmbo voorzien van ongeveer vijf procent.</w:t>
      </w:r>
    </w:p>
    <w:p w:rsidRPr="00AC0671" w:rsidR="006E54BD" w:rsidP="00AC0671" w:rsidRDefault="006E54BD" w14:paraId="422C8D5C" w14:textId="77777777">
      <w:pPr>
        <w:rPr>
          <w:szCs w:val="18"/>
        </w:rPr>
      </w:pPr>
    </w:p>
    <w:p w:rsidR="00AC0671" w:rsidP="00AC0671" w:rsidRDefault="00AC0671" w14:paraId="03014EF6" w14:textId="5F05A417">
      <w:pPr>
        <w:rPr>
          <w:szCs w:val="18"/>
        </w:rPr>
      </w:pPr>
      <w:r w:rsidRPr="00AC0671">
        <w:rPr>
          <w:szCs w:val="18"/>
        </w:rPr>
        <w:lastRenderedPageBreak/>
        <w:t xml:space="preserve">Naast het accent op de bovenbouw is gaandeweg ook een steeds sterker accent gelegd op de kennismaking met technologie voor leerlingen in de bovenbouw van het </w:t>
      </w:r>
      <w:r w:rsidR="00177448">
        <w:rPr>
          <w:szCs w:val="18"/>
        </w:rPr>
        <w:t>po</w:t>
      </w:r>
      <w:r w:rsidRPr="00AC0671">
        <w:rPr>
          <w:szCs w:val="18"/>
        </w:rPr>
        <w:t xml:space="preserve"> en in de onderbouw vmbo, met de opzet van </w:t>
      </w:r>
      <w:r w:rsidRPr="00AC0671">
        <w:rPr>
          <w:i/>
          <w:iCs/>
          <w:szCs w:val="18"/>
        </w:rPr>
        <w:t>techlabs</w:t>
      </w:r>
      <w:r w:rsidRPr="00AC0671">
        <w:rPr>
          <w:szCs w:val="18"/>
        </w:rPr>
        <w:t xml:space="preserve"> in elke vmbo-school met techniekprofielen in de regio. Het po is in de nieuwe planperiode expliciet partner in de STO-regio geworden en er is personele inzet vanuit het vmbo voor het po; er gaat geen STO-geld direct naar het po.</w:t>
      </w:r>
    </w:p>
    <w:p w:rsidRPr="009E43B6" w:rsidR="009E43B6" w:rsidP="00AC0671" w:rsidRDefault="00AC0671" w14:paraId="58B93BD8" w14:textId="77777777">
      <w:pPr>
        <w:pStyle w:val="Kop4"/>
        <w:rPr>
          <w:rFonts w:ascii="Trebuchet MS" w:hAnsi="Trebuchet MS" w:eastAsia="Times New Roman" w:cs="Times New Roman"/>
          <w:bCs w:val="0"/>
          <w:iCs w:val="0"/>
          <w:color w:val="auto"/>
          <w:szCs w:val="24"/>
          <w:lang w:eastAsia="nl-NL"/>
        </w:rPr>
      </w:pPr>
      <w:r w:rsidRPr="009E43B6">
        <w:rPr>
          <w:rFonts w:ascii="Trebuchet MS" w:hAnsi="Trebuchet MS" w:eastAsia="Times New Roman" w:cs="Times New Roman"/>
          <w:bCs w:val="0"/>
          <w:iCs w:val="0"/>
          <w:color w:val="auto"/>
          <w:szCs w:val="24"/>
          <w:lang w:eastAsia="nl-NL"/>
        </w:rPr>
        <w:t xml:space="preserve">Vanwege de relatief grote reisafstand voor leerlingen tussen vmbo-scholen met technische profielen is in deze regio niet </w:t>
      </w:r>
      <w:r w:rsidRPr="009E43B6" w:rsidR="332A9F42">
        <w:rPr>
          <w:rFonts w:ascii="Trebuchet MS" w:hAnsi="Trebuchet MS" w:eastAsia="Times New Roman" w:cs="Times New Roman"/>
          <w:bCs w:val="0"/>
          <w:iCs w:val="0"/>
          <w:color w:val="auto"/>
          <w:szCs w:val="24"/>
          <w:lang w:eastAsia="nl-NL"/>
        </w:rPr>
        <w:t>gekozen</w:t>
      </w:r>
      <w:r w:rsidRPr="009E43B6">
        <w:rPr>
          <w:rFonts w:ascii="Trebuchet MS" w:hAnsi="Trebuchet MS" w:eastAsia="Times New Roman" w:cs="Times New Roman"/>
          <w:bCs w:val="0"/>
          <w:iCs w:val="0"/>
          <w:color w:val="auto"/>
          <w:szCs w:val="24"/>
          <w:lang w:eastAsia="nl-NL"/>
        </w:rPr>
        <w:t xml:space="preserve"> om in te zetten op bovenschoolse voorzieningen of bovenschoolse keuzevakken; elke vmbo-school/subregio moet in principe zoveel mogelijk zelfvoorzienend zijn. </w:t>
      </w:r>
    </w:p>
    <w:p w:rsidRPr="00AC0671" w:rsidR="00AC0671" w:rsidP="00AC0671" w:rsidRDefault="00AC0671" w14:paraId="59C9598F" w14:textId="6B312DDC">
      <w:pPr>
        <w:pStyle w:val="Kop4"/>
        <w:rPr>
          <w:rFonts w:ascii="Trebuchet MS" w:hAnsi="Trebuchet MS"/>
          <w:szCs w:val="18"/>
        </w:rPr>
      </w:pPr>
      <w:r w:rsidRPr="00AC0671">
        <w:rPr>
          <w:rFonts w:ascii="Trebuchet MS" w:hAnsi="Trebuchet MS"/>
          <w:szCs w:val="18"/>
        </w:rPr>
        <w:t>Historie, bedrijfsleven</w:t>
      </w:r>
    </w:p>
    <w:p w:rsidRPr="00AC0671" w:rsidR="00AC0671" w:rsidP="68DA9CCC" w:rsidRDefault="00AC0671" w14:paraId="1C7DAAA7" w14:textId="69E62476">
      <w:pPr>
        <w:rPr>
          <w:rStyle w:val="Hyperlink"/>
        </w:rPr>
      </w:pPr>
      <w:r>
        <w:t xml:space="preserve">Er is in deze regio mede voortgebouwd op </w:t>
      </w:r>
      <w:r w:rsidR="00E3340D">
        <w:t xml:space="preserve">een </w:t>
      </w:r>
      <w:r w:rsidR="000B2E8B">
        <w:t xml:space="preserve">ouder </w:t>
      </w:r>
      <w:r>
        <w:t xml:space="preserve">programma waarin het mbo het voortouw had en het mbo zich samen met het vmbo richtte op een versterking van de leerlijnen vmbo-mbo in de techniek en op een sterkere rol van het regionale bedrijfsleven daarin. Regionale netwerkvorming stond in </w:t>
      </w:r>
      <w:r w:rsidR="000B2E8B">
        <w:t>dat programma</w:t>
      </w:r>
      <w:r>
        <w:t xml:space="preserve"> centraal; dat is in STO voortgezet. Het bedrijfsleven is in STO vertegenwoordigd met ruim 400 partners, waaronder opleidingsbedrijven zoals Bouwmensen en Installatiewerk.</w:t>
      </w:r>
      <w:r w:rsidRPr="68DA9CCC">
        <w:rPr>
          <w:rStyle w:val="Hyperlink"/>
          <w:color w:val="auto"/>
        </w:rPr>
        <w:t xml:space="preserve"> </w:t>
      </w:r>
    </w:p>
    <w:p w:rsidRPr="00AC0671" w:rsidR="00AC0671" w:rsidP="00AC0671" w:rsidRDefault="00AC0671" w14:paraId="1C088B22" w14:textId="77777777">
      <w:pPr>
        <w:pStyle w:val="Kop4"/>
        <w:rPr>
          <w:rFonts w:ascii="Trebuchet MS" w:hAnsi="Trebuchet MS"/>
          <w:szCs w:val="18"/>
        </w:rPr>
      </w:pPr>
      <w:r w:rsidRPr="00AC0671">
        <w:rPr>
          <w:rFonts w:ascii="Trebuchet MS" w:hAnsi="Trebuchet MS"/>
          <w:szCs w:val="18"/>
        </w:rPr>
        <w:t>Programmastructuur/budgetverdeling</w:t>
      </w:r>
    </w:p>
    <w:p w:rsidRPr="00AC0671" w:rsidR="00AC0671" w:rsidP="00AC0671" w:rsidRDefault="00AC0671" w14:paraId="0ECE4F40" w14:textId="77777777">
      <w:pPr>
        <w:rPr>
          <w:szCs w:val="18"/>
        </w:rPr>
      </w:pPr>
      <w:r w:rsidRPr="00AC0671">
        <w:rPr>
          <w:szCs w:val="18"/>
        </w:rPr>
        <w:t xml:space="preserve">Het STO-budget in deze regio is ongeveer 18 mln. euro per periode (circa 4,5 mln. euro/jaar). Dit is relatief veel doordat het een techniekrijke regio is. Er is een tweekoppig programmamanagement en tegelijkertijd zijn vooral de 8 technische vmbo’s zelf aan zet om STO invulling te geven. Daartoe wordt in de afgelopen paar jaar, tot tevredenheid, explicieter gewerkt met eigen </w:t>
      </w:r>
      <w:r w:rsidRPr="00AC0671">
        <w:rPr>
          <w:i/>
          <w:iCs/>
          <w:szCs w:val="18"/>
        </w:rPr>
        <w:t>STO-regisseurs</w:t>
      </w:r>
      <w:r w:rsidRPr="00AC0671">
        <w:rPr>
          <w:szCs w:val="18"/>
        </w:rPr>
        <w:t xml:space="preserve"> per school. De invulling daarvan wisselt wel, soms is het een docent, soms een extern ingehuurde kracht en soms een MT-lid van een vmbo-school. Dat kan allemaal in principe goed werken. Op de school waar de afdelingsdirecteur vmbo ook de intern projectleider voor STO is, is dit een goede combinatie doordat die persoon overal aan tafel zit, het overzicht heeft en waar nodig ook doorzettingsmacht heeft. </w:t>
      </w:r>
    </w:p>
    <w:p w:rsidRPr="00AC0671" w:rsidR="00AC0671" w:rsidP="00AC0671" w:rsidRDefault="00AC0671" w14:paraId="1BC3110F" w14:textId="77777777">
      <w:pPr>
        <w:rPr>
          <w:szCs w:val="18"/>
        </w:rPr>
      </w:pPr>
      <w:r w:rsidRPr="00AC0671">
        <w:rPr>
          <w:szCs w:val="18"/>
        </w:rPr>
        <w:t xml:space="preserve">  </w:t>
      </w:r>
    </w:p>
    <w:p w:rsidRPr="00AC0671" w:rsidR="00AC0671" w:rsidP="00AC0671" w:rsidRDefault="00AC0671" w14:paraId="257238E1" w14:textId="259CA976">
      <w:r>
        <w:t xml:space="preserve">Ongeveer 80% van de middelen gaat in deze regio naar de acht scholen met harde techniek. Er zijn voorts gereserveerde middelen voor pro, vso, de overige vmbo-scholen (vmbo-t) en mbo. Dat betreft in totaal ongeveer 2,5 mln. euro per periode. De overige middelen (circa 1,65 mln. euro) gaan in de periode 2025-2028 naar het programmamanagement, ontwikkelgroepen en -uren, communicatie, evenementen  en overige zaken/nog ongelabeld.    </w:t>
      </w:r>
    </w:p>
    <w:p w:rsidRPr="00AC0671" w:rsidR="00AC0671" w:rsidP="00F54D4D" w:rsidRDefault="00AC0671" w14:paraId="70F456BF" w14:textId="77777777">
      <w:pPr>
        <w:pStyle w:val="Kop4"/>
        <w:rPr>
          <w:rFonts w:ascii="Trebuchet MS" w:hAnsi="Trebuchet MS"/>
          <w:szCs w:val="18"/>
        </w:rPr>
      </w:pPr>
      <w:r w:rsidRPr="00AC0671">
        <w:rPr>
          <w:rFonts w:ascii="Trebuchet MS" w:hAnsi="Trebuchet MS"/>
          <w:szCs w:val="18"/>
        </w:rPr>
        <w:t>Leerlingenreis: van po naar mbo</w:t>
      </w:r>
    </w:p>
    <w:p w:rsidRPr="00283B39" w:rsidR="00AC0671" w:rsidP="00283B39" w:rsidRDefault="00AC0671" w14:paraId="68B0E00F" w14:textId="77777777">
      <w:pPr>
        <w:pStyle w:val="Geenafstand"/>
        <w:rPr>
          <w:i/>
        </w:rPr>
      </w:pPr>
      <w:r w:rsidRPr="00283B39">
        <w:rPr>
          <w:i/>
        </w:rPr>
        <w:t>Primair onderwijs</w:t>
      </w:r>
    </w:p>
    <w:p w:rsidRPr="00AC0671" w:rsidR="00AC0671" w:rsidP="00AC0671" w:rsidRDefault="00AC0671" w14:paraId="64909742" w14:textId="77777777">
      <w:pPr>
        <w:rPr>
          <w:szCs w:val="18"/>
        </w:rPr>
      </w:pPr>
      <w:r w:rsidRPr="00AC0671">
        <w:rPr>
          <w:szCs w:val="18"/>
        </w:rPr>
        <w:t xml:space="preserve">In elke subregio kunnen nu basisscholieren gebruik maken van een techlab binnen de vmbo-school met technische profielen. Dit is (overwegend) per school betaald met STO-middelen. Er zijn tussen de 8 vmbo-locaties enkele verschillen: </w:t>
      </w:r>
    </w:p>
    <w:p w:rsidRPr="00AC0671" w:rsidR="00AC0671" w:rsidP="00426692" w:rsidRDefault="00516DBE" w14:paraId="1A07A9D4" w14:textId="2345B675">
      <w:pPr>
        <w:pStyle w:val="Lijstalinea"/>
        <w:numPr>
          <w:ilvl w:val="0"/>
          <w:numId w:val="23"/>
        </w:numPr>
        <w:spacing w:line="259" w:lineRule="auto"/>
        <w:rPr>
          <w:szCs w:val="18"/>
        </w:rPr>
      </w:pPr>
      <w:r>
        <w:rPr>
          <w:i/>
          <w:iCs/>
          <w:szCs w:val="18"/>
        </w:rPr>
        <w:t>F</w:t>
      </w:r>
      <w:r w:rsidRPr="00AC0671" w:rsidR="00AC0671">
        <w:rPr>
          <w:i/>
          <w:iCs/>
          <w:szCs w:val="18"/>
        </w:rPr>
        <w:t>ase</w:t>
      </w:r>
      <w:r w:rsidRPr="00AC0671" w:rsidR="00AC0671">
        <w:rPr>
          <w:szCs w:val="18"/>
        </w:rPr>
        <w:t xml:space="preserve">: op sommige vmbo-scholen is er al langer zo’n ontdek- en doe-lab voor het po (op 2 scholen was dat al opgezet voor STO), op enkele andere scholen is dat pas recent gereed gekomen of start dat nu. </w:t>
      </w:r>
    </w:p>
    <w:p w:rsidRPr="00AC0671" w:rsidR="00AC0671" w:rsidP="00426692" w:rsidRDefault="00516DBE" w14:paraId="330ADE3E" w14:textId="44756465">
      <w:pPr>
        <w:pStyle w:val="Lijstalinea"/>
        <w:numPr>
          <w:ilvl w:val="0"/>
          <w:numId w:val="23"/>
        </w:numPr>
        <w:spacing w:line="259" w:lineRule="auto"/>
        <w:rPr>
          <w:szCs w:val="18"/>
        </w:rPr>
      </w:pPr>
      <w:r>
        <w:rPr>
          <w:i/>
          <w:iCs/>
          <w:szCs w:val="18"/>
        </w:rPr>
        <w:t>D</w:t>
      </w:r>
      <w:r w:rsidRPr="00AC0671" w:rsidR="00AC0671">
        <w:rPr>
          <w:i/>
          <w:iCs/>
          <w:szCs w:val="18"/>
        </w:rPr>
        <w:t>oelgroep</w:t>
      </w:r>
      <w:r w:rsidRPr="00AC0671" w:rsidR="00AC0671">
        <w:rPr>
          <w:szCs w:val="18"/>
        </w:rPr>
        <w:t xml:space="preserve">: altijd is het po </w:t>
      </w:r>
      <w:r w:rsidR="00B6013F">
        <w:rPr>
          <w:szCs w:val="18"/>
        </w:rPr>
        <w:t xml:space="preserve">de </w:t>
      </w:r>
      <w:r w:rsidRPr="00AC0671" w:rsidR="00AC0671">
        <w:rPr>
          <w:szCs w:val="18"/>
        </w:rPr>
        <w:t xml:space="preserve">doelgroep en vaak, maar niet overal kunnen ook vmbo-leerlingen (soms ook bovenbouw) gebruik maken van het lab. De labs </w:t>
      </w:r>
      <w:r w:rsidR="004B6A7F">
        <w:rPr>
          <w:szCs w:val="18"/>
        </w:rPr>
        <w:t>worden</w:t>
      </w:r>
      <w:r w:rsidRPr="00AC0671" w:rsidR="004B6A7F">
        <w:rPr>
          <w:szCs w:val="18"/>
        </w:rPr>
        <w:t xml:space="preserve"> </w:t>
      </w:r>
      <w:r w:rsidRPr="00AC0671" w:rsidR="00AC0671">
        <w:rPr>
          <w:szCs w:val="18"/>
        </w:rPr>
        <w:t xml:space="preserve">doorgaans ook ingezet voor andere groepen zoals vanuit pro en (v)so en bij vrijwel alle labs ook voor groepen leerlingen van verschillende basisscholen die gebaat zijn bij leren in de praktijk (‘Doe-klassen’) en waarschijnlijk doorstromen naar pro of vmbo-basis.  </w:t>
      </w:r>
    </w:p>
    <w:p w:rsidRPr="00AC0671" w:rsidR="00AC0671" w:rsidP="00426692" w:rsidRDefault="00516DBE" w14:paraId="42FCBB27" w14:textId="11A943D9">
      <w:pPr>
        <w:pStyle w:val="Lijstalinea"/>
        <w:numPr>
          <w:ilvl w:val="0"/>
          <w:numId w:val="23"/>
        </w:numPr>
        <w:spacing w:line="259" w:lineRule="auto"/>
        <w:rPr>
          <w:szCs w:val="18"/>
        </w:rPr>
      </w:pPr>
      <w:r w:rsidRPr="68DA9CCC">
        <w:rPr>
          <w:i/>
          <w:iCs/>
        </w:rPr>
        <w:t>D</w:t>
      </w:r>
      <w:r w:rsidRPr="68DA9CCC" w:rsidR="00AC0671">
        <w:rPr>
          <w:i/>
          <w:iCs/>
        </w:rPr>
        <w:t>eelname</w:t>
      </w:r>
      <w:r w:rsidR="00AC0671">
        <w:t xml:space="preserve">: het bereik onder de basisscholen wisselt nog, met overal nog ruimte voor groei. </w:t>
      </w:r>
      <w:r w:rsidR="452B3B30">
        <w:t xml:space="preserve">In doorsnee wordt ongeveer de helft van de basisscholen bereikt. </w:t>
      </w:r>
      <w:r w:rsidR="00AC0671">
        <w:t xml:space="preserve">De basisscholen doen </w:t>
      </w:r>
      <w:r w:rsidR="0026D51D">
        <w:t xml:space="preserve">deels </w:t>
      </w:r>
      <w:r w:rsidR="00AC0671">
        <w:t xml:space="preserve">zelf weinig tot niks aan techniekonderwijs. Sommige </w:t>
      </w:r>
      <w:r w:rsidR="08C9C7A6">
        <w:t>basis</w:t>
      </w:r>
      <w:r w:rsidR="00AC0671">
        <w:t>scholen komen vaker dan andere</w:t>
      </w:r>
      <w:r w:rsidR="7C75ED73">
        <w:t xml:space="preserve"> naar een techlab</w:t>
      </w:r>
      <w:r w:rsidR="00AC0671">
        <w:t xml:space="preserve">, sommige scholen komen structureel en andere scholen eenmalig. Op de meeste basisscholen in de regio is een  bezoek aan een techlab </w:t>
      </w:r>
      <w:r w:rsidRPr="68DA9CCC" w:rsidR="00AC0671">
        <w:rPr>
          <w:i/>
          <w:iCs/>
        </w:rPr>
        <w:t>geen</w:t>
      </w:r>
      <w:r w:rsidR="00AC0671">
        <w:t xml:space="preserve"> structureel ingeroosterd onderdeel. De vmbo-scholen en techlab-coördinatoren werken eraan om dat op meer scholen te bereiken.    </w:t>
      </w:r>
    </w:p>
    <w:p w:rsidRPr="00AC0671" w:rsidR="00AC0671" w:rsidP="00426692" w:rsidRDefault="00516DBE" w14:paraId="74A49DB5" w14:textId="7817C7A3">
      <w:pPr>
        <w:pStyle w:val="Lijstalinea"/>
        <w:numPr>
          <w:ilvl w:val="0"/>
          <w:numId w:val="23"/>
        </w:numPr>
        <w:spacing w:line="259" w:lineRule="auto"/>
      </w:pPr>
      <w:r w:rsidRPr="68DA9CCC">
        <w:rPr>
          <w:i/>
          <w:iCs/>
        </w:rPr>
        <w:t>O</w:t>
      </w:r>
      <w:r w:rsidRPr="68DA9CCC" w:rsidR="00AC0671">
        <w:rPr>
          <w:i/>
          <w:iCs/>
        </w:rPr>
        <w:t>riëntatie</w:t>
      </w:r>
      <w:r w:rsidR="00AC0671">
        <w:t xml:space="preserve">: de labs zijn overwegend gericht op onderzoeken &amp; ontdekken en het laten zien van de ‘7 werelden van techniek’. Op 1 vmbo-school is het lab juist meer gericht op harde techniek en </w:t>
      </w:r>
      <w:r w:rsidR="00AC0671">
        <w:lastRenderedPageBreak/>
        <w:t xml:space="preserve">maakvaardigheden, omdat in die subregio het po zelf al een lab had opgezet volgens een STEAM-benadering (met design thinking en onderzoekend &amp; ontdekkend leren als basis). Dat is kenmerkend voor STO; met STO wordt aangevuld wat er regionaal of lokaal nog mist.   </w:t>
      </w:r>
    </w:p>
    <w:p w:rsidRPr="00AC0671" w:rsidR="00AC0671" w:rsidP="00426692" w:rsidRDefault="00516DBE" w14:paraId="6A432116" w14:textId="4352ACBA">
      <w:pPr>
        <w:pStyle w:val="Lijstalinea"/>
        <w:numPr>
          <w:ilvl w:val="0"/>
          <w:numId w:val="23"/>
        </w:numPr>
        <w:spacing w:line="259" w:lineRule="auto"/>
        <w:rPr>
          <w:szCs w:val="18"/>
        </w:rPr>
      </w:pPr>
      <w:r>
        <w:rPr>
          <w:i/>
          <w:iCs/>
          <w:szCs w:val="18"/>
        </w:rPr>
        <w:t>O</w:t>
      </w:r>
      <w:r w:rsidRPr="00AC0671" w:rsidR="00AC0671">
        <w:rPr>
          <w:i/>
          <w:iCs/>
          <w:szCs w:val="18"/>
        </w:rPr>
        <w:t>utreach aan basisscholen</w:t>
      </w:r>
      <w:r w:rsidRPr="00AC0671" w:rsidR="00AC0671">
        <w:rPr>
          <w:szCs w:val="18"/>
        </w:rPr>
        <w:t>: soms zijn er lessen op de po-locatie mogelijk met inzet van vmbo-docenten. De meeste vmbo-scholen hebben (deels sinds kort) leskisten of lesmateriaal beschikbaar voor po-scholen om uit te lenen.</w:t>
      </w:r>
    </w:p>
    <w:p w:rsidRPr="00AC0671" w:rsidR="00AC0671" w:rsidP="00426692" w:rsidRDefault="00516DBE" w14:paraId="2C593E68" w14:textId="55B946CB">
      <w:pPr>
        <w:pStyle w:val="Lijstalinea"/>
        <w:numPr>
          <w:ilvl w:val="0"/>
          <w:numId w:val="23"/>
        </w:numPr>
        <w:spacing w:line="259" w:lineRule="auto"/>
        <w:rPr>
          <w:szCs w:val="18"/>
        </w:rPr>
      </w:pPr>
      <w:r>
        <w:rPr>
          <w:i/>
          <w:iCs/>
          <w:szCs w:val="18"/>
        </w:rPr>
        <w:t>I</w:t>
      </w:r>
      <w:r w:rsidRPr="00AC0671" w:rsidR="00AC0671">
        <w:rPr>
          <w:i/>
          <w:iCs/>
          <w:szCs w:val="18"/>
        </w:rPr>
        <w:t>nbedding in het eigen lesprogramma van de basisschool</w:t>
      </w:r>
      <w:r w:rsidRPr="00AC0671" w:rsidR="00AC0671">
        <w:rPr>
          <w:szCs w:val="18"/>
        </w:rPr>
        <w:t xml:space="preserve">; soms staat het lab-bezoek los van het lesprogramma van de basisschool en is het een aanvulling daarop, soms is het bezoek aan het lab ingebed in een (korte) lessenreeks binnen de basisschool, met één of enkele voor- en nabereidende lessen op de basisschool zelf. Bij een vmbo-school is het een eis bij een bezoek aan het techlab om er vooraf en erna aandacht aan te besteden in enkele lessen op de basisschool zelf. Een sterkere inbedding in het po-curriculum is overal wel een ambitie. </w:t>
      </w:r>
    </w:p>
    <w:p w:rsidRPr="00AC0671" w:rsidR="00AC0671" w:rsidP="00426692" w:rsidRDefault="00516DBE" w14:paraId="76BBE775" w14:textId="3FDDB0D0">
      <w:pPr>
        <w:pStyle w:val="Lijstalinea"/>
        <w:numPr>
          <w:ilvl w:val="0"/>
          <w:numId w:val="23"/>
        </w:numPr>
        <w:spacing w:line="259" w:lineRule="auto"/>
        <w:rPr>
          <w:szCs w:val="18"/>
        </w:rPr>
      </w:pPr>
      <w:r>
        <w:rPr>
          <w:i/>
          <w:iCs/>
          <w:szCs w:val="18"/>
        </w:rPr>
        <w:t>P</w:t>
      </w:r>
      <w:r w:rsidRPr="00AC0671" w:rsidR="00AC0671">
        <w:rPr>
          <w:i/>
          <w:iCs/>
          <w:szCs w:val="18"/>
        </w:rPr>
        <w:t>rofessionalisering van po-leerkrachten</w:t>
      </w:r>
      <w:r w:rsidRPr="00AC0671" w:rsidR="00AC0671">
        <w:rPr>
          <w:szCs w:val="18"/>
        </w:rPr>
        <w:t xml:space="preserve">: po-scholen doen zelf vaak weinig aan techniek-/technologieonderwijs en leerkrachten in het po zijn vaak handelingsverlegen/-onbekwaam. Po-leerkrachten daarin professionaliseren is vaak wel een ambitie of deel van de inzet, maar is nog nergens in de regio echt goed en dekkend ingevuld. </w:t>
      </w:r>
    </w:p>
    <w:p w:rsidRPr="00AC0671" w:rsidR="00AC0671" w:rsidP="00AC0671" w:rsidRDefault="00AC0671" w14:paraId="21AB5EE1" w14:textId="77777777">
      <w:pPr>
        <w:rPr>
          <w:szCs w:val="18"/>
        </w:rPr>
      </w:pPr>
    </w:p>
    <w:p w:rsidRPr="00AC0671" w:rsidR="00AC0671" w:rsidP="00AC0671" w:rsidRDefault="00AC0671" w14:paraId="7675E940" w14:textId="77777777">
      <w:pPr>
        <w:rPr>
          <w:szCs w:val="18"/>
        </w:rPr>
      </w:pPr>
    </w:p>
    <w:p w:rsidRPr="00AC0671" w:rsidR="00AC0671" w:rsidP="00AC0671" w:rsidRDefault="00AC0671" w14:paraId="248237A9" w14:textId="77777777">
      <w:pPr>
        <w:rPr>
          <w:i/>
          <w:iCs/>
          <w:szCs w:val="18"/>
        </w:rPr>
      </w:pPr>
      <w:r w:rsidRPr="00AC0671">
        <w:rPr>
          <w:szCs w:val="18"/>
        </w:rPr>
        <w:t>Basisscholen zijn vaak wel enthousiast, maar hebben niet altijd tijd en ruimte om naar een techlab te komen. Daarom gaan in een aantal subregio’s ook techniekdocenten vanuit het vmbo naar de basisscholen toe. Mogelijkheden biedt de relatief nieuwe lesmethode ‘</w:t>
      </w:r>
      <w:r w:rsidRPr="00AC0671">
        <w:rPr>
          <w:i/>
          <w:iCs/>
          <w:szCs w:val="18"/>
        </w:rPr>
        <w:t xml:space="preserve">Blink’ </w:t>
      </w:r>
      <w:r w:rsidRPr="00AC0671">
        <w:rPr>
          <w:szCs w:val="18"/>
        </w:rPr>
        <w:t>die</w:t>
      </w:r>
      <w:r w:rsidRPr="00AC0671">
        <w:rPr>
          <w:i/>
          <w:iCs/>
          <w:szCs w:val="18"/>
        </w:rPr>
        <w:t xml:space="preserve"> </w:t>
      </w:r>
      <w:r w:rsidRPr="00AC0671">
        <w:rPr>
          <w:szCs w:val="18"/>
        </w:rPr>
        <w:t>een geïntegreerde methode voor de wereldvakken biedt, met nadruk op onderzoekend en ontdekkend leren. Dat biedt nieuwe mogelijkheden om er in een techlab op aan te haken. Ook vanuit het po is in deze regio de wens geuit om dat nauw op elkaar aan te sluiten en initiatieven elkaar te laten versterken (‘</w:t>
      </w:r>
      <w:r w:rsidRPr="00AC0671">
        <w:rPr>
          <w:i/>
          <w:iCs/>
          <w:szCs w:val="18"/>
        </w:rPr>
        <w:t>po en vo moeten geen verschillende werelden zijn als leerlingen van het po naar het vo gaan’).</w:t>
      </w:r>
    </w:p>
    <w:p w:rsidRPr="00AC0671" w:rsidR="00AC0671" w:rsidP="00AC0671" w:rsidRDefault="00AC0671" w14:paraId="329E082A" w14:textId="77777777">
      <w:pPr>
        <w:rPr>
          <w:szCs w:val="18"/>
        </w:rPr>
      </w:pPr>
    </w:p>
    <w:p w:rsidRPr="00AC0671" w:rsidR="00AC0671" w:rsidP="00AC0671" w:rsidRDefault="00AC0671" w14:paraId="73AC0ED1" w14:textId="19D803C2">
      <w:r>
        <w:t>Binnen de STO-regio is een ontwikkelgroep gericht op de ontwikkeling van content en challenges voor techlabs en deze groep functioneert als lerend netwerk.</w:t>
      </w:r>
    </w:p>
    <w:p w:rsidRPr="00AC0671" w:rsidR="00AC0671" w:rsidP="00AC0671" w:rsidRDefault="00AC0671" w14:paraId="2AC166C8" w14:textId="77777777">
      <w:pPr>
        <w:rPr>
          <w:szCs w:val="18"/>
        </w:rPr>
      </w:pPr>
    </w:p>
    <w:p w:rsidRPr="00AC0671" w:rsidR="00AC0671" w:rsidP="00AC0671" w:rsidRDefault="00AC0671" w14:paraId="5890CE10" w14:textId="50162581">
      <w:r>
        <w:t xml:space="preserve">Naast of vanuit de techlabs is er bij de meeste van de </w:t>
      </w:r>
      <w:r w:rsidR="71384AA9">
        <w:t>acht</w:t>
      </w:r>
      <w:r>
        <w:t xml:space="preserve"> technische vmbo-scholen ook een aanbod aan regionale </w:t>
      </w:r>
      <w:r w:rsidRPr="68DA9CCC">
        <w:rPr>
          <w:i/>
          <w:iCs/>
        </w:rPr>
        <w:t>challenges</w:t>
      </w:r>
      <w:r>
        <w:t xml:space="preserve"> waaraan po-leerlingen/basisscholen kunnen meedoen.  Die challenges zijn vaak ingebed in een korte lessenreeks/workshops (op de basisschool en/of het lab), waarin de leerlingen zich voorbereiden op de challenge en die deels worden begeleid vanuit het vmbo (en soms ook het mbo) en deels ook door vmbo-scholieren vanuit de techniekprofielen.</w:t>
      </w:r>
    </w:p>
    <w:p w:rsidR="001C4669" w:rsidP="001C4669" w:rsidRDefault="001C4669" w14:paraId="73F6FB1B" w14:textId="77777777">
      <w:pPr>
        <w:pStyle w:val="Geenafstand"/>
        <w:rPr>
          <w:i/>
          <w:iCs/>
        </w:rPr>
      </w:pPr>
    </w:p>
    <w:p w:rsidRPr="00283B39" w:rsidR="00AC0671" w:rsidP="00283B39" w:rsidRDefault="00AC0671" w14:paraId="5769D27C" w14:textId="6FD25AEC">
      <w:pPr>
        <w:pStyle w:val="Geenafstand"/>
        <w:rPr>
          <w:i/>
        </w:rPr>
      </w:pPr>
      <w:r w:rsidRPr="00283B39">
        <w:rPr>
          <w:i/>
        </w:rPr>
        <w:t>Onderbouw vmbo</w:t>
      </w:r>
    </w:p>
    <w:p w:rsidRPr="00AC0671" w:rsidR="00AC0671" w:rsidP="00AC0671" w:rsidRDefault="00AC0671" w14:paraId="11BCC434" w14:textId="061DCE3D">
      <w:r>
        <w:t>In de onderbouw is er op alle vmbo-scholen een brede oriëntatie op alle beschikbare profielen, met een rondgang langs alle aangeboden profielen met lessen en korte opdrachten. (. Dit beslaat per school een wisselend aantal uren (1,5 – 4 uur/week, meestal 2 uur/week). In jaar 2 wordt vaak nader gefocust op enkele profielen van voorkeur. Op een school in deze regio is er een geïntegreerd project in de onderbouw (1 uur/week) waarin meerdere thema’s samenkomen. Op een andere school in de regio kunnen leerlingen kiezen voor een nadere focus op techniek binnen hun talentprogramma door deelname aan een ‘techniekklas’ (2 uur/week). Soms zijn er ook korte stages en bedrijfsbezoeken in de onderbouw, dat wisselt.</w:t>
      </w:r>
    </w:p>
    <w:p w:rsidRPr="00AC0671" w:rsidR="00AC0671" w:rsidP="00AC0671" w:rsidRDefault="00AC0671" w14:paraId="11BFBA9D" w14:textId="77777777">
      <w:pPr>
        <w:rPr>
          <w:szCs w:val="18"/>
        </w:rPr>
      </w:pPr>
    </w:p>
    <w:p w:rsidRPr="00AC0671" w:rsidR="00AC0671" w:rsidP="00AC0671" w:rsidRDefault="00AC0671" w14:paraId="4531179A" w14:textId="30B337E0">
      <w:r>
        <w:t xml:space="preserve">Op alle vmbo-scholen in deze regio met technische profielen zijn er in de onderbouw vast ingeroosterde technieklessen (N&amp;T, NaSk, Mens &amp; techniek). Dat wisselt van 2 tot 4 uur/week. De invulling wisselt; op de meeste scholen is de invulling praktisch met accent op maakvaardigheden. </w:t>
      </w:r>
      <w:r w:rsidR="6D32CBD5">
        <w:t xml:space="preserve">Veel vmbo-scholen in deze regio willen met deze lessen sterker de kant op van brede technologie en sommige scholen hebben daar al concrete stappen in gezet. Op een van de vmbo-scholen zijn sinds kort in schooljaar 2 de lessen techniek en creatieve &amp; kunstzinnige vorming samengevoegd tot gezamenlijke lessen waarin ‘creatief design’ centraal staat (4 uur/week). De opdrachten passen in de ‘zeven werelden van techniek’. De taak van docenten verschuift hierbij van doceren naar assisteren en begeleiden. Op een andere vmbo-school is een docent deels vrijgesteld om het techniekonderwijs in de onderbouw te herontwerpen en beter onderdeel te laten zijn van een ‘doorlopende technologieketen’ van het </w:t>
      </w:r>
      <w:r w:rsidR="6D32CBD5">
        <w:lastRenderedPageBreak/>
        <w:t>po naar het mbo. Basale vraag is daarbij hoe (met welke opdrachten en uitdagingen in een ontwerpcyclus) de leerlingen in de onderbouw geïnteresseerd in technologie kunnen worden/blijven. Doel van deze initiatieven op scholen is ook een bewustwording bij leerlingen creëren dat techniek niet alleen slaat op PIE en BWI, maar dat technologie overal is. Voor het ontwikkelen van die meer op technologie en design geënte aanpakken, worden op de scholen STO-middelen ingezet (ontwikkeluren).</w:t>
      </w:r>
    </w:p>
    <w:p w:rsidRPr="00AC0671" w:rsidR="00AC0671" w:rsidP="00AC0671" w:rsidRDefault="00AC0671" w14:paraId="343C301E" w14:textId="169EEDCA"/>
    <w:p w:rsidRPr="00AC0671" w:rsidR="00AC0671" w:rsidP="68DA9CCC" w:rsidRDefault="00AC0671" w14:paraId="0366C399" w14:textId="27E2CD23">
      <w:r>
        <w:t>Verder zijn de STO-middelen benut om de technieklessen en de oriëntatie op technologie beter aan te kleden met materialen en apparaten, mede via het techlab binnen de school. Ook in de onderbouw kunnen leerlingen deelnemen aan de regionale challenges (zoals bootjesrace, go-karts).</w:t>
      </w:r>
      <w:r w:rsidR="6FA3E8C3">
        <w:t xml:space="preserve"> </w:t>
      </w:r>
    </w:p>
    <w:p w:rsidR="001C4669" w:rsidP="001C4669" w:rsidRDefault="001C4669" w14:paraId="28E56DE2" w14:textId="77777777">
      <w:pPr>
        <w:pStyle w:val="Geenafstand"/>
        <w:rPr>
          <w:i/>
          <w:iCs/>
        </w:rPr>
      </w:pPr>
    </w:p>
    <w:p w:rsidRPr="00283B39" w:rsidR="00AC0671" w:rsidP="00283B39" w:rsidRDefault="00AC0671" w14:paraId="48899DBD" w14:textId="1C133BAF">
      <w:pPr>
        <w:pStyle w:val="Geenafstand"/>
        <w:rPr>
          <w:i/>
        </w:rPr>
      </w:pPr>
      <w:r w:rsidRPr="00283B39">
        <w:rPr>
          <w:i/>
        </w:rPr>
        <w:t>Bovenbouw vmbo</w:t>
      </w:r>
    </w:p>
    <w:p w:rsidRPr="00AC0671" w:rsidR="00AC0671" w:rsidP="00AC0671" w:rsidRDefault="00AC0671" w14:paraId="62754A07" w14:textId="77777777">
      <w:pPr>
        <w:rPr>
          <w:szCs w:val="18"/>
        </w:rPr>
      </w:pPr>
      <w:r w:rsidRPr="00AC0671">
        <w:rPr>
          <w:szCs w:val="18"/>
        </w:rPr>
        <w:t xml:space="preserve">In alle acht technische vmbo-scholen is met de STO-middelen extra geïnvesteerd in de bemensing (zowel extra instructeurs als docenten om te voldoen aan de regionale doelstelling van een docent-leerling ratio van 1:15) en in een modernisering van de aanwezige apparaten en machines die nogal eens verouderd waren. </w:t>
      </w:r>
    </w:p>
    <w:p w:rsidRPr="00AC0671" w:rsidR="00AC0671" w:rsidP="00AC0671" w:rsidRDefault="00AC0671" w14:paraId="48A5DDBD" w14:textId="77777777">
      <w:pPr>
        <w:rPr>
          <w:szCs w:val="18"/>
        </w:rPr>
      </w:pPr>
    </w:p>
    <w:p w:rsidR="00AC0671" w:rsidP="00AC0671" w:rsidRDefault="00AC0671" w14:paraId="2D5C17F0" w14:textId="66735D12">
      <w:r>
        <w:t xml:space="preserve">In de regio worden meer dan 50 verschillende keuzevakken aangeboden. Deels betreft dat ‘traditionele’ keuzevakken die nauw verwant zijn aan het profielvak en anderzijds ook nieuwe cross-overs en profieloverstijgende keuzevakken, die soms ook extra aantrekkelijk zijn voor </w:t>
      </w:r>
      <w:r w:rsidR="0008529D">
        <w:t>meiden</w:t>
      </w:r>
      <w:r>
        <w:t xml:space="preserve">. Alle vmbo-scholen hebben ontwikkeluren om in die innovatie te steken. Sommige scholen zijn daar verder mee dan andere; een van de scholen streeft naar een </w:t>
      </w:r>
      <w:r w:rsidRPr="68DA9CCC">
        <w:rPr>
          <w:i/>
          <w:iCs/>
        </w:rPr>
        <w:t>innovatielab</w:t>
      </w:r>
      <w:r>
        <w:t xml:space="preserve"> voor de bovenbouw waar leerlingen meer thematisch, projectmatig en profieloverstijgend kunnen werken. </w:t>
      </w:r>
      <w:r w:rsidR="23CC4019">
        <w:t>Een andere school heeft een coördinator buitenschools leren aangesteld met STO-middelen, om het leren buiten de school extra te stimuleren.</w:t>
      </w:r>
    </w:p>
    <w:p w:rsidRPr="00AC0671" w:rsidR="00F54D4D" w:rsidP="00AC0671" w:rsidRDefault="00F54D4D" w14:paraId="13F6CC15" w14:textId="77777777">
      <w:pPr>
        <w:rPr>
          <w:szCs w:val="18"/>
        </w:rPr>
      </w:pPr>
    </w:p>
    <w:p w:rsidRPr="00AC0671" w:rsidR="00AC0671" w:rsidP="00AC0671" w:rsidRDefault="00AC0671" w14:paraId="74711EA8" w14:textId="77777777">
      <w:pPr>
        <w:rPr>
          <w:i/>
          <w:iCs/>
          <w:szCs w:val="18"/>
        </w:rPr>
      </w:pPr>
      <w:r w:rsidRPr="00AC0671">
        <w:rPr>
          <w:i/>
          <w:iCs/>
          <w:szCs w:val="18"/>
        </w:rPr>
        <w:t>Groter aandeel technische keuzevakken, maar relatief minder deelname</w:t>
      </w:r>
    </w:p>
    <w:p w:rsidR="00AC0671" w:rsidP="00AC0671" w:rsidRDefault="00AC0671" w14:paraId="32B1FF4E" w14:textId="41FC23C3">
      <w:pPr>
        <w:rPr>
          <w:szCs w:val="18"/>
        </w:rPr>
      </w:pPr>
      <w:r w:rsidRPr="00AC0671">
        <w:rPr>
          <w:szCs w:val="18"/>
        </w:rPr>
        <w:t xml:space="preserve">Het deel van de keuzevakken die binnen de techniek vakken (aangeboden door een techniekprofiel) </w:t>
      </w:r>
      <w:r w:rsidR="000F0922">
        <w:rPr>
          <w:szCs w:val="18"/>
        </w:rPr>
        <w:t xml:space="preserve">valt </w:t>
      </w:r>
      <w:r w:rsidRPr="00AC0671">
        <w:rPr>
          <w:szCs w:val="18"/>
        </w:rPr>
        <w:t>is licht gestegen, van 53% in 2018 tot 56-58% in 2023.</w:t>
      </w:r>
      <w:r w:rsidRPr="00AC0671">
        <w:rPr>
          <w:rFonts w:ascii="Arial" w:hAnsi="Arial" w:cs="Arial"/>
          <w:szCs w:val="18"/>
        </w:rPr>
        <w:t> </w:t>
      </w:r>
      <w:r w:rsidRPr="00AC0671">
        <w:rPr>
          <w:szCs w:val="18"/>
        </w:rPr>
        <w:t>Het aandeel technische keuzevakken in de regio is daarmee wat hoger dan landelijk.</w:t>
      </w:r>
      <w:r w:rsidRPr="00AC0671">
        <w:rPr>
          <w:rFonts w:cs="Trebuchet MS"/>
          <w:szCs w:val="18"/>
        </w:rPr>
        <w:t> </w:t>
      </w:r>
      <w:r w:rsidRPr="00AC0671">
        <w:rPr>
          <w:szCs w:val="18"/>
        </w:rPr>
        <w:t xml:space="preserve">In de regio kiest ook een groeiend deel van de leerlingen voor tenminste 1 (extra) technisch keuzevak. Dit aandeel is gegroeid van 26% in 2018 naar 35-36% in 2022. Dit aandeel is echter </w:t>
      </w:r>
      <w:r w:rsidRPr="00AC0671">
        <w:rPr>
          <w:i/>
          <w:iCs/>
          <w:szCs w:val="18"/>
        </w:rPr>
        <w:t>kleiner</w:t>
      </w:r>
      <w:r w:rsidRPr="00AC0671">
        <w:rPr>
          <w:szCs w:val="18"/>
        </w:rPr>
        <w:t xml:space="preserve"> dan het landelijke aandeel (47-49% in 2018 en 50-52% in 2022), onverlet dus het relatief grotere aanbod aan technische keuzevakken. Dit kan mede samenhangen met de situatie in deze regio dat er juist relatief veel leerlingen in de technische profielen zitten; de belangstelling voor technische vakken is daarmee al relatief sterk afgeroomd.  </w:t>
      </w:r>
    </w:p>
    <w:p w:rsidRPr="00AC0671" w:rsidR="00F54D4D" w:rsidP="00AC0671" w:rsidRDefault="00F54D4D" w14:paraId="6192C5A6" w14:textId="77777777">
      <w:pPr>
        <w:rPr>
          <w:szCs w:val="18"/>
        </w:rPr>
      </w:pPr>
    </w:p>
    <w:p w:rsidRPr="00AC0671" w:rsidR="00AC0671" w:rsidP="00AC0671" w:rsidRDefault="00AC0671" w14:paraId="719C18F1" w14:textId="407DC0BE">
      <w:r>
        <w:t xml:space="preserve">In de regio wordt sinds kort extra ingezet op </w:t>
      </w:r>
      <w:r w:rsidRPr="68DA9CCC">
        <w:rPr>
          <w:i/>
          <w:iCs/>
        </w:rPr>
        <w:t>praktijkgerichte programma’s</w:t>
      </w:r>
      <w:r>
        <w:t xml:space="preserve"> voor vmbo-gl/tl. Enkele scholen hebben al langer een of meerdere pgp’s, de helft van de technische vmbo-scholen is daarmee net gestart of gaat daarmee starten. Stand is dat nu de meeste vmbo-scholen met een technisch profiel voor de gl/tl een pgp hebben. Inzet is steeds om dat pgp (mede) een technologische invulling te geven, met een keuze voor Technologie &amp; Toepassing of D&amp;P met ook technische opdrachten. Een van de vmbo-scholen in de regio kiest binnen het pgp nu voor een innovatieve invulling met </w:t>
      </w:r>
      <w:r w:rsidR="17832D36">
        <w:t xml:space="preserve">meerdere </w:t>
      </w:r>
      <w:r>
        <w:t>pgp’s met deels gemeenschappelijke elementen en deels specifieke invullingen en die  mede een interdisciplinaire invulling krijgen.</w:t>
      </w:r>
      <w:r w:rsidR="00973C79">
        <w:t xml:space="preserve"> </w:t>
      </w:r>
      <w:r>
        <w:t>In dat interdisciplinaire deel ligt een accent op onderzoekend leren en crossovers</w:t>
      </w:r>
      <w:r w:rsidR="00D776F4">
        <w:t xml:space="preserve"> </w:t>
      </w:r>
      <w:r>
        <w:t xml:space="preserve">naar technologie.       </w:t>
      </w:r>
    </w:p>
    <w:p w:rsidR="001C4669" w:rsidP="001C4669" w:rsidRDefault="001C4669" w14:paraId="6C26DB03" w14:textId="77777777">
      <w:pPr>
        <w:pStyle w:val="Geenafstand"/>
        <w:rPr>
          <w:i/>
          <w:iCs/>
        </w:rPr>
      </w:pPr>
    </w:p>
    <w:p w:rsidRPr="00283B39" w:rsidR="00AC0671" w:rsidP="00283B39" w:rsidRDefault="00AC0671" w14:paraId="1E1D8FBB" w14:textId="607463D5">
      <w:pPr>
        <w:pStyle w:val="Geenafstand"/>
        <w:rPr>
          <w:i/>
        </w:rPr>
      </w:pPr>
      <w:r w:rsidRPr="00283B39">
        <w:rPr>
          <w:i/>
        </w:rPr>
        <w:t>Samenwerking vmbo-mbo</w:t>
      </w:r>
    </w:p>
    <w:p w:rsidR="00AC0671" w:rsidP="00AC0671" w:rsidRDefault="00AC0671" w14:paraId="6F1FAEBB" w14:textId="191C3497">
      <w:pPr>
        <w:rPr>
          <w:rFonts w:cs="Arial"/>
        </w:rPr>
      </w:pPr>
      <w:r w:rsidRPr="68DA9CCC">
        <w:rPr>
          <w:rFonts w:cs="Arial"/>
        </w:rPr>
        <w:t xml:space="preserve">Door </w:t>
      </w:r>
      <w:r w:rsidRPr="68DA9CCC" w:rsidR="00D776F4">
        <w:rPr>
          <w:rFonts w:cs="Arial"/>
        </w:rPr>
        <w:t>STO-</w:t>
      </w:r>
      <w:r w:rsidRPr="68DA9CCC">
        <w:rPr>
          <w:rFonts w:cs="Arial"/>
        </w:rPr>
        <w:t xml:space="preserve">gelden zijn in de regio de contacten tussen vo en mbo docenten warmer geworden. </w:t>
      </w:r>
      <w:r>
        <w:t xml:space="preserve">Vanuit de technische profielen is in de regio de samenwerking met het mbo versterkt, vooral door een gezamenlijke aanpak van projectonderwijs/challenges, door afstemming van de didactische aanpak (challenge based learning) </w:t>
      </w:r>
      <w:r w:rsidRPr="68DA9CCC">
        <w:rPr>
          <w:rFonts w:cs="Arial"/>
        </w:rPr>
        <w:t>zodat het onderwijs op het vmbo beter aansluit op het mbo</w:t>
      </w:r>
      <w:r w:rsidRPr="68DA9CCC" w:rsidR="2AC9C7E7">
        <w:rPr>
          <w:rFonts w:cs="Arial"/>
        </w:rPr>
        <w:t>. Ook krijgt de samenwerking vorm</w:t>
      </w:r>
      <w:r w:rsidRPr="68DA9CCC" w:rsidR="73D7AF16">
        <w:rPr>
          <w:rFonts w:cs="Arial"/>
        </w:rPr>
        <w:t xml:space="preserve"> via</w:t>
      </w:r>
      <w:r w:rsidRPr="68DA9CCC" w:rsidR="2AC9C7E7">
        <w:rPr>
          <w:rFonts w:cs="Arial"/>
        </w:rPr>
        <w:t xml:space="preserve"> </w:t>
      </w:r>
      <w:r>
        <w:t xml:space="preserve">gastlessen en excursies naar mbo, door keuzevakken aan te bieden in samenwerking met mbo en bij een technisch profiel in te zetten op een doorlopende leerroute met het mbo. </w:t>
      </w:r>
      <w:r w:rsidRPr="68DA9CCC">
        <w:rPr>
          <w:rFonts w:cs="Arial"/>
        </w:rPr>
        <w:t xml:space="preserve">Concrete samenwerking is voorts dat </w:t>
      </w:r>
      <w:r w:rsidRPr="68DA9CCC" w:rsidR="4C13726B">
        <w:rPr>
          <w:rFonts w:cs="Arial"/>
        </w:rPr>
        <w:t xml:space="preserve">binnen het profiel PIE </w:t>
      </w:r>
      <w:r w:rsidRPr="68DA9CCC">
        <w:rPr>
          <w:rFonts w:cs="Arial"/>
        </w:rPr>
        <w:t>een doorgaande leerlijn is afgesproken voor technisch tekenen; vmbo-leerlingen die in het vmbo al een vak CAD-tekenen hebben gevolgd, krijgen daarvoor in het mbo een vrijstelling. Vmbo en mbo gebruiken hetzelfde 3D tekenprogramma, met dezelfde tutorials met opdrachten en dezelfde opbouw.</w:t>
      </w:r>
    </w:p>
    <w:p w:rsidRPr="00AC0671" w:rsidR="00F54D4D" w:rsidP="00AC0671" w:rsidRDefault="00F54D4D" w14:paraId="41F68171" w14:textId="77777777">
      <w:pPr>
        <w:rPr>
          <w:rFonts w:cs="Arial"/>
          <w:szCs w:val="18"/>
        </w:rPr>
      </w:pPr>
    </w:p>
    <w:p w:rsidR="00AC0671" w:rsidP="68DA9CCC" w:rsidRDefault="00AC0671" w14:paraId="01DA4301" w14:textId="024650B1">
      <w:pPr>
        <w:rPr>
          <w:rFonts w:cs="Arial"/>
        </w:rPr>
      </w:pPr>
      <w:r w:rsidRPr="68DA9CCC">
        <w:rPr>
          <w:rFonts w:cs="Arial"/>
        </w:rPr>
        <w:lastRenderedPageBreak/>
        <w:t>Vanuit het mbo wordt beaamd dat de relatie met de vmbo-scholen in de regio heel goed is; er is structureel contact op docenten-, bestuurs- en managementniveau.  Het mbo denkt mee over doorlopende leerlijnen; een hele opleiding voor mbo en vmbo op elkaar afstemmen</w:t>
      </w:r>
      <w:r w:rsidRPr="68DA9CCC" w:rsidR="1F80604B">
        <w:rPr>
          <w:rFonts w:cs="Arial"/>
        </w:rPr>
        <w:t xml:space="preserve">wordt </w:t>
      </w:r>
      <w:r w:rsidRPr="68DA9CCC">
        <w:rPr>
          <w:rFonts w:cs="Arial"/>
        </w:rPr>
        <w:t>echter onmogelijk</w:t>
      </w:r>
      <w:r w:rsidRPr="68DA9CCC" w:rsidR="1D13B512">
        <w:rPr>
          <w:rFonts w:cs="Arial"/>
        </w:rPr>
        <w:t xml:space="preserve"> geacht</w:t>
      </w:r>
      <w:r w:rsidRPr="68DA9CCC">
        <w:rPr>
          <w:rFonts w:cs="Arial"/>
        </w:rPr>
        <w:t>, vanwege de verschillende vooropleidingen en daarmee de verschillen in kennis en vaardigheden van leerlingen die op het mbo komen. Studenten die met voorkennis binnenkomen, kunnen op het mbo wel sneller door de stof. Zij hebben de mogelijkheid om te versnellen of te verdiepen of te verbreden door verzwaarde opdrachten. Zij krijgen dan een ‘open batch’ (waardering voor de vaardigheden die ze hebben). Deze open batch wordt erkend door bedrijven in de regio en heeft daarmee niet alleen betekenis binnen de opleiding (vrijstelling) maar ook op de arbeidsmarkt. STO heeft volgens de partner in het mbo ervoor gezorgd dat niet iedereen enkel binnen de eigen kaders aan het lesgeven is, maar dat alle partijen de noodzaak inzien van elkaar ontmoeten. Het mbo krijgt in deze regio ook middelen van STO</w:t>
      </w:r>
      <w:r w:rsidRPr="68DA9CCC" w:rsidR="001D2579">
        <w:rPr>
          <w:rFonts w:cs="Arial"/>
        </w:rPr>
        <w:t>.</w:t>
      </w:r>
      <w:r w:rsidRPr="68DA9CCC">
        <w:rPr>
          <w:rFonts w:cs="Arial"/>
        </w:rPr>
        <w:t xml:space="preserve"> </w:t>
      </w:r>
      <w:r w:rsidRPr="68DA9CCC" w:rsidR="001D2579">
        <w:rPr>
          <w:rFonts w:cs="Arial"/>
        </w:rPr>
        <w:t>D</w:t>
      </w:r>
      <w:r w:rsidRPr="68DA9CCC">
        <w:rPr>
          <w:rFonts w:cs="Arial"/>
        </w:rPr>
        <w:t xml:space="preserve">aarmee kan het mbo enkele opleidingen beter overeind houden, maar het meeste STO-geld gaat binnen het mbo naar overleg en de ontwikkeling van doorlopende leerlijnen. Het mbo biedt voorts ook docentstages voor vmbo-docenten, maar daarvan is nog weinig gebruik gemaakt. </w:t>
      </w:r>
    </w:p>
    <w:p w:rsidRPr="00AC0671" w:rsidR="00F54D4D" w:rsidP="00AC0671" w:rsidRDefault="00F54D4D" w14:paraId="69A0D4AB" w14:textId="77777777">
      <w:pPr>
        <w:rPr>
          <w:rFonts w:cs="Arial"/>
          <w:szCs w:val="18"/>
        </w:rPr>
      </w:pPr>
    </w:p>
    <w:tbl>
      <w:tblPr>
        <w:tblStyle w:val="Tabelraster"/>
        <w:tblW w:w="0" w:type="auto"/>
        <w:tblLook w:val="04A0" w:firstRow="1" w:lastRow="0" w:firstColumn="1" w:lastColumn="0" w:noHBand="0" w:noVBand="1"/>
      </w:tblPr>
      <w:tblGrid>
        <w:gridCol w:w="9062"/>
      </w:tblGrid>
      <w:tr w:rsidRPr="00AC0671" w:rsidR="00AC0671" w:rsidTr="68DA9CCC" w14:paraId="6284B5B6" w14:textId="77777777">
        <w:tc>
          <w:tcPr>
            <w:tcW w:w="9062" w:type="dxa"/>
          </w:tcPr>
          <w:p w:rsidRPr="00AC0671" w:rsidR="00AC0671" w:rsidP="00FC2172" w:rsidRDefault="00AC0671" w14:paraId="2D4937CF" w14:textId="77777777">
            <w:pPr>
              <w:rPr>
                <w:b/>
                <w:bCs/>
                <w:szCs w:val="18"/>
              </w:rPr>
            </w:pPr>
            <w:r w:rsidRPr="00AC0671">
              <w:rPr>
                <w:b/>
                <w:bCs/>
                <w:szCs w:val="18"/>
              </w:rPr>
              <w:t xml:space="preserve">Aandeel leerlingen in technisch profiel duidelijk hoger dan landelijk gemiddelde </w:t>
            </w:r>
          </w:p>
          <w:p w:rsidRPr="00AC0671" w:rsidR="00AC0671" w:rsidP="00FC2172" w:rsidRDefault="00AC0671" w14:paraId="6CEECDC0" w14:textId="63D6F9C1">
            <w:pPr>
              <w:tabs>
                <w:tab w:val="num" w:pos="720"/>
              </w:tabs>
            </w:pPr>
            <w:r>
              <w:t xml:space="preserve">Het percentage leerlingen in een technisch profiel in jaar 3 neemt in deze regio, na een stijging van 2018 tot 2022 naar 32%, in 2023 weer af tot 30%. . Het aandeel leerlingen in een technisch profiel </w:t>
            </w:r>
            <w:r w:rsidR="714E7CDC">
              <w:t>blijft</w:t>
            </w:r>
            <w:r>
              <w:t xml:space="preserve"> in de regio hiermee </w:t>
            </w:r>
            <w:r w:rsidR="475F0A0D">
              <w:t xml:space="preserve">wel </w:t>
            </w:r>
            <w:r>
              <w:t>duidelijk hoger dan landelijk (20%).  </w:t>
            </w:r>
          </w:p>
          <w:p w:rsidRPr="00AC0671" w:rsidR="001D2579" w:rsidP="00FC2172" w:rsidRDefault="001D2579" w14:paraId="631DC883" w14:textId="0DD9FD95">
            <w:pPr>
              <w:tabs>
                <w:tab w:val="num" w:pos="720"/>
              </w:tabs>
            </w:pPr>
          </w:p>
          <w:p w:rsidRPr="00AC0671" w:rsidR="00AC0671" w:rsidP="00FC2172" w:rsidRDefault="00AC0671" w14:paraId="20582F85" w14:textId="77777777">
            <w:pPr>
              <w:rPr>
                <w:b/>
                <w:bCs/>
                <w:szCs w:val="18"/>
              </w:rPr>
            </w:pPr>
            <w:r w:rsidRPr="00AC0671">
              <w:rPr>
                <w:b/>
                <w:bCs/>
                <w:szCs w:val="18"/>
              </w:rPr>
              <w:t xml:space="preserve">Doorstroom naar technisch mbo: hoger dan landelijk gemiddelde </w:t>
            </w:r>
          </w:p>
          <w:p w:rsidRPr="00AC0671" w:rsidR="00AC0671" w:rsidP="00FC2172" w:rsidRDefault="00AC0671" w14:paraId="7223C307" w14:textId="77777777">
            <w:pPr>
              <w:rPr>
                <w:szCs w:val="18"/>
              </w:rPr>
            </w:pPr>
            <w:r w:rsidRPr="00AC0671">
              <w:rPr>
                <w:szCs w:val="18"/>
              </w:rPr>
              <w:t>80% of meer van de leerlingen uit de profielen MVI, M&amp;T en PIE stroomt door naar een technische vervolgopleiding in het mbo; voor BWI is dit iets boven de 70%. Vanuit de niet-technische profielen D&amp;P, Economie en Ondernemen en Groen ligt het doorstroompercentage naar mbo-techniek rond de 30%, voor HBR en Z&amp;W is dat veel lager. Van de tl-leerlingen stroomt rond de 25% door naar technisch mbo. </w:t>
            </w:r>
          </w:p>
          <w:p w:rsidR="00AC0671" w:rsidP="00FC2172" w:rsidRDefault="00AC0671" w14:paraId="030EF67E" w14:textId="2C535008">
            <w:pPr>
              <w:tabs>
                <w:tab w:val="num" w:pos="720"/>
              </w:tabs>
              <w:rPr>
                <w:szCs w:val="18"/>
              </w:rPr>
            </w:pPr>
            <w:r>
              <w:t>In 2022 kiest 80% van de leerlingen in een technisch profiel een technische mbo-opleiding, in 2018 was dit echter 84%. Dit aandeel is dus gedaald. Dit aandeel ligt wel nog steeds hoger dan het landelijk gemiddelde (74% in 2022</w:t>
            </w:r>
            <w:r w:rsidR="72B520C2">
              <w:t>-2023</w:t>
            </w:r>
            <w:r>
              <w:t>).  </w:t>
            </w:r>
            <w:r w:rsidRPr="00AC0671">
              <w:rPr>
                <w:szCs w:val="18"/>
              </w:rPr>
              <w:t>Het deel van de leerlingen uit niet-technische profielen dat kiest voor een technische mbo-opleiding is in de regio gedaald van 21% in 2018 tot 19% in 2022. Dit komt overeen met het landelijke beeld. </w:t>
            </w:r>
          </w:p>
          <w:p w:rsidRPr="00AC0671" w:rsidR="00182C1D" w:rsidP="00FC2172" w:rsidRDefault="00182C1D" w14:paraId="2CDCACE7" w14:textId="77777777">
            <w:pPr>
              <w:tabs>
                <w:tab w:val="num" w:pos="720"/>
              </w:tabs>
              <w:rPr>
                <w:szCs w:val="18"/>
              </w:rPr>
            </w:pPr>
          </w:p>
          <w:p w:rsidRPr="00AC0671" w:rsidR="00AC0671" w:rsidP="00FC2172" w:rsidRDefault="00AC0671" w14:paraId="7012E217" w14:textId="77777777">
            <w:pPr>
              <w:rPr>
                <w:szCs w:val="18"/>
              </w:rPr>
            </w:pPr>
            <w:r w:rsidRPr="00AC0671">
              <w:rPr>
                <w:szCs w:val="18"/>
              </w:rPr>
              <w:t xml:space="preserve">Het aandeel leerlingen dat vanuit een niet-techniek profiel doorstroomt naar een mbo techniek opleiding is in de regio hoger onder de leerlingen die ten minste één (extra) techniek keuzevak hebben gevolgd i.v.t. leerlingen die geen techniek keuzevak hebben gevolgd. Dat is overeenkomstig het landelijke beeld. </w:t>
            </w:r>
          </w:p>
          <w:p w:rsidR="00AC0671" w:rsidP="00FC2172" w:rsidRDefault="00AC0671" w14:paraId="1F786D8B" w14:textId="69D8655D">
            <w:r>
              <w:t>Het percentage leerlingen dat vanuit een niet-technisch profiel, met minstens één (extra) technisch keuzevak, doorstroomt naar een technische mbo</w:t>
            </w:r>
            <w:r w:rsidR="7BF3324D">
              <w:t>-</w:t>
            </w:r>
            <w:r>
              <w:t>opleiding neemt na een daling tussen 2018 (12%) en 2020 (10%), weer toe tot 11% in 2022</w:t>
            </w:r>
            <w:r w:rsidR="5A5EE6FC">
              <w:t xml:space="preserve"> (hoger dan het </w:t>
            </w:r>
            <w:r w:rsidR="7B1CC233">
              <w:t>l</w:t>
            </w:r>
            <w:r>
              <w:t xml:space="preserve">andelijk </w:t>
            </w:r>
            <w:r w:rsidR="6A608918">
              <w:t>gemiddelde).</w:t>
            </w:r>
            <w:r>
              <w:t xml:space="preserve"> </w:t>
            </w:r>
          </w:p>
          <w:p w:rsidRPr="00AC0671" w:rsidR="00182C1D" w:rsidP="00FC2172" w:rsidRDefault="00182C1D" w14:paraId="1690590D" w14:textId="77777777">
            <w:pPr>
              <w:rPr>
                <w:szCs w:val="18"/>
              </w:rPr>
            </w:pPr>
          </w:p>
          <w:p w:rsidRPr="00AC0671" w:rsidR="00AC0671" w:rsidP="00FC2172" w:rsidRDefault="00AC0671" w14:paraId="6A0F282A" w14:textId="77777777">
            <w:pPr>
              <w:tabs>
                <w:tab w:val="num" w:pos="720"/>
              </w:tabs>
              <w:rPr>
                <w:szCs w:val="18"/>
              </w:rPr>
            </w:pPr>
            <w:r w:rsidRPr="00AC0671">
              <w:rPr>
                <w:szCs w:val="18"/>
              </w:rPr>
              <w:t xml:space="preserve">Bron: bewerking ROA, </w:t>
            </w:r>
            <w:r w:rsidRPr="00AC0671">
              <w:rPr>
                <w:szCs w:val="18"/>
                <w:u w:val="single"/>
              </w:rPr>
              <w:t>op basis van DUO-gegevens.</w:t>
            </w:r>
          </w:p>
        </w:tc>
      </w:tr>
    </w:tbl>
    <w:p w:rsidR="00F54D4D" w:rsidP="00AC0671" w:rsidRDefault="00F54D4D" w14:paraId="0FB8A5C8" w14:textId="77777777">
      <w:pPr>
        <w:rPr>
          <w:rFonts w:cs="Arial"/>
          <w:szCs w:val="18"/>
        </w:rPr>
      </w:pPr>
    </w:p>
    <w:p w:rsidRPr="00283B39" w:rsidR="00F54D4D" w:rsidP="001C4669" w:rsidRDefault="00F23432" w14:paraId="53C72BAC" w14:textId="583E80D4">
      <w:pPr>
        <w:pStyle w:val="Kop4"/>
        <w:rPr>
          <w:rFonts w:ascii="Trebuchet MS" w:hAnsi="Trebuchet MS"/>
        </w:rPr>
      </w:pPr>
      <w:r w:rsidRPr="68DA9CCC">
        <w:rPr>
          <w:rFonts w:ascii="Trebuchet MS" w:hAnsi="Trebuchet MS"/>
        </w:rPr>
        <w:lastRenderedPageBreak/>
        <w:t>Overall beeld</w:t>
      </w:r>
    </w:p>
    <w:p w:rsidR="086F0F8F" w:rsidP="003E014E" w:rsidRDefault="086F0F8F" w14:paraId="54CCBF5D" w14:textId="6520CF5D">
      <w:pPr>
        <w:pStyle w:val="Plattetekst"/>
      </w:pPr>
      <w:r>
        <w:t xml:space="preserve">Deze regio richtte zich aanvankelijk vooral op de versterking van de technische profielen in de bovenbouw vmbo bij acht vmbo-scholen, met investeringen in materialen, apparaten en machines en een versterking en uitbreiding van het personele bestand. Primaire doelen in deze regio waren daarbij het behoud van de technische profielen bij die vmbo-scholen en waar mogelijk uitbreiding/aanpassing van het aanbod aan keuzevakken in de techniek, die ook door leerlingen in andere profielen gevolgd kunnen worden. Die doelen zijn behaald en uit de cijfers blijkt ook dat een groeiend aandeel leerlingen kiest voor een technisch keuzevak. Leerlingen kunnen technische keuzedelen kiezen buiten hun eigen niet-technische profiel en er zijn diverse crossovers van techniek met andere profielen gekomen. Ook zijn scholen nog bezig met het ontwikkelen van technologisch getinte keuzevakken voor leerlingen van niet-technische profielen. In de regio is voorts afgesproken dat voor de praktijklessen techniek er op elk school een docent/leerlingen ratio is van 1:15. Uit de cijfers tot en met 2022 blijkt nog niet dat de absolute capaciteit aan techniekdocenten (in personen en fte) in de regio is gestegen. Maar relatief gezien telt de regio wel meer techniekdocenten, doordat de capaciteit bij de niet-technische vakken wel afnam (vermoedelijk vanwege krimp). </w:t>
      </w:r>
    </w:p>
    <w:p w:rsidR="086F0F8F" w:rsidP="003E014E" w:rsidRDefault="086F0F8F" w14:paraId="2EA705AC" w14:textId="0A4ED602">
      <w:pPr>
        <w:pStyle w:val="Plattetekst"/>
      </w:pPr>
      <w:r>
        <w:t xml:space="preserve">Bij de leerlingen was het doel het stabiliseren van het al hoge aandeel b/k-leerlingen in de techniek en de vergroting van de uitstroom van gl/tl-leerlingen naar technisch mbo. Uit de cijfers blijkt dat ook dit doel is behaald. </w:t>
      </w:r>
    </w:p>
    <w:p w:rsidR="086F0F8F" w:rsidP="68DA9CCC" w:rsidRDefault="086F0F8F" w14:paraId="3FBB53AC" w14:textId="1A51EA6F">
      <w:pPr>
        <w:pStyle w:val="Plattetekst"/>
      </w:pPr>
      <w:r>
        <w:t>De overall impact van STO wordt in de regio over het algemeen als groot ervaren. In de gesprekken in de regio is vaak benoemd dat vóór STO de materiële situatie bij de techniekafdelingen binnen scholen verouderd was met vaak ook een personele onderbezetting.  STO-middelen zijn daarom met name ingezet voor extra materieel en formatie voor de techniekafdelingen. Voor het behoud van de huidige opzet van technieklessen is STO van essentieel belang</w:t>
      </w:r>
      <w:r w:rsidR="6D40517D">
        <w:t xml:space="preserve"> genoemd</w:t>
      </w:r>
      <w:r>
        <w:t>, dat kan vaak zonder STO niet overeind blijven. Netwerken, kennisdeling en de verbinding tussen docenten zijn ook verbeterd en er zijn meer ontwikkeluren voor docenten gekomen. Ook is volgens geïnterviewden dankzij STO de samenwerking met het mbo en het bedrijfsleven verstevigd. Techniekbedrijven zijn aan scholen gebonden met cofinanciering, gastlessen, excursies en praktijkopdrachten (en als stagebedrijven). Vaak gemeld is ook dat er in het algemeen een impuls is uitgegaan van STO op de samenwerking in de regio. Voor STO voelden partijen vaak lokaal wel de verantwoordelijkheid maar ging dat lokaal belang voor regionaal belang. Nu voelen betrokkenen ook regionaal de verantwoordelijkheid voor goed en dekkend techniekonderwijs. Ten opzichte van eerdere impulsregelingen is de concrete impact van STO ook veel meer tastbaar in de scholen terug te zien. In het begin is hierbij in deze regio vanuit STO veel gestuurd op de harde techniek, nu wordt er meer gestuurd op brede techniek en technologie. Vier jaar geleden waren veel projecten los en bleef de impact lokaal. Nu melden geïnterviewden dat er een meer schoolbrede aanpak is, met lijnen tussen po en vmbo en tussen vmbo en mbo en dat aansluitende leerlijnen binnen de school (in ontwikkeling) zijn. Ook zijn er meer verbindingen tussen profielen. STO-middelen heeft volgens geïnterviewden ook gezorgd voor professionalisering en een grotere betrokkenheid bij technologie. Zo meldt een vmbo-school dat er binnen de school zo’n 25-30 collega’s rechtstreeks met STO te maken hebben.</w:t>
      </w:r>
    </w:p>
    <w:p w:rsidR="68DA9CCC" w:rsidP="003E014E" w:rsidRDefault="68DA9CCC" w14:paraId="78A610E1" w14:textId="73D3487D">
      <w:pPr>
        <w:pStyle w:val="Plattetekst"/>
      </w:pPr>
    </w:p>
    <w:p w:rsidR="086F0F8F" w:rsidP="003E014E" w:rsidRDefault="086F0F8F" w14:paraId="2DE8D8BD" w14:textId="0483B9E7">
      <w:pPr>
        <w:pStyle w:val="Plattetekst"/>
      </w:pPr>
      <w:r>
        <w:t>Net als voor veel andere regio’s is per saldo voor de</w:t>
      </w:r>
      <w:r w:rsidR="07BD5F08">
        <w:t>ze</w:t>
      </w:r>
      <w:r>
        <w:t xml:space="preserve"> regio te concluderen dat de eerste STO-jaren nodig zijn geweest voor noodzakelijke investeringen in verouderd materieel en in mensen en ten tweede om verspreid over de regio binnen vmbo-scholen een aantal activiteiten en techlabs op te zetten. Daarmee is een goede basis gelegd voor verdergaande samenwerking en invulling van STO in de komende periode. Activiteiten hebben een bijdrage geleverd aan een groter bewustzijn en eigenaarschap bij scholen. Er wordt aan gewerkt om het bereik van techlabs te vergroten en er wordt gezocht naar verbindingen tussen technische profielen met meer projectmatige, thematische en interdisciplinaire aanpakken in zowel de onderbouw als in de bovenbouw van het vmbo. Een bèta-mind en zelfstandig werken aan opdrachten worden daarbij doelen, naast de maakvaardigheden en reguliere exameneisen die voor de techniekprofielen van belang blijven. Volgens alle geïnterviewden is STO voor deze investeringen en ontwikkelingen bepalend geweest. In de eerste paar jaar door ruimte te bieden voor noodzakelijke investeringen en in de laatste jaren mede door ontwikkeluren mogelijk te maken die nodig zijn voor verdere vernieuwing. De technische vmbo-scholen in de regio hebben hierbij vergelijkbare ambities, maar verschillen in de concrete aanpak en in de fase in de bredere ontwikkeling waarin ze zitten. </w:t>
      </w:r>
    </w:p>
    <w:p w:rsidR="68DA9CCC" w:rsidP="003E014E" w:rsidRDefault="68DA9CCC" w14:paraId="55275A5A" w14:textId="0CDB339C">
      <w:pPr>
        <w:pStyle w:val="Plattetekst"/>
      </w:pPr>
    </w:p>
    <w:p w:rsidRPr="00AC0671" w:rsidR="00F54D4D" w:rsidP="00AC0671" w:rsidRDefault="00F54D4D" w14:paraId="61FDA610" w14:textId="77777777">
      <w:pPr>
        <w:rPr>
          <w:rFonts w:cs="Arial"/>
          <w:szCs w:val="18"/>
        </w:rPr>
      </w:pPr>
    </w:p>
    <w:p w:rsidRPr="00AC0671" w:rsidR="00AC0671" w:rsidP="00832357" w:rsidRDefault="00AC0671" w14:paraId="3BBB9186" w14:textId="77777777">
      <w:pPr>
        <w:pStyle w:val="Kop3"/>
      </w:pPr>
      <w:bookmarkStart w:name="_Toc203573564" w:id="16"/>
      <w:r w:rsidRPr="00AC0671">
        <w:lastRenderedPageBreak/>
        <w:t>STO-regio C</w:t>
      </w:r>
      <w:bookmarkEnd w:id="16"/>
    </w:p>
    <w:p w:rsidR="00AC0671" w:rsidP="00AC0671" w:rsidRDefault="00AC0671" w14:paraId="25CAA57C" w14:textId="2DC7E780">
      <w:r>
        <w:t>Regio C is een subregio van een STO-regio in het oosten van het land. Tot aan de start van STO is het aandeel techniekleerlingen op het vmbo in de hele STO-regio afgenomen tot ongeveer 588 en voor de komende jaren wordt een forse leerlingenkrimp verwacht. In 2023-2024 bedraagt het aantal techniekleerlingen 534. In de subregio is er sprake van een lichte stijging tussen 2020 en 2024. De subregio startte met acht vmbo-vestigingen in de stad en omliggende gemeenten. Vanwege de krimp was er al voor de start van STO een bestuurlijke samenwerking in de stad, waardoor drie scholen in één gebouw/campus zijn samengekomen. “</w:t>
      </w:r>
      <w:r w:rsidRPr="780653D5">
        <w:rPr>
          <w:i/>
          <w:iCs/>
        </w:rPr>
        <w:t>Dat proces heeft geholpen in STO en STO heeft dat verder versterkt, waardoor de onderlinge concurrentie steeds verder afnam.</w:t>
      </w:r>
      <w:r>
        <w:t>” Achterliggende gedachte was ook dat op deze manier het profielenaanbod in de stad behouden kon worden. Het aanbod aan technische profielen is tussen 2018 en 2023 ge</w:t>
      </w:r>
      <w:r w:rsidR="7E273E08">
        <w:t>lijk gebleven</w:t>
      </w:r>
      <w:r>
        <w:t>; zoals vermeld zijn drie scholen samengegaan en biedt de nieuwe school 8 profielen aan, waaronder alle technische profielen. Er is een intensieve samenwerking met de groene vmbo-school in de regio en een andere school die voorheen technische profielen bood</w:t>
      </w:r>
      <w:r w:rsidR="00B55054">
        <w:t>,</w:t>
      </w:r>
      <w:r>
        <w:t xml:space="preserve"> heeft een sterk technische invulling van D&amp;P. </w:t>
      </w:r>
    </w:p>
    <w:p w:rsidRPr="00AC0671" w:rsidR="00F54D4D" w:rsidP="00AC0671" w:rsidRDefault="00F54D4D" w14:paraId="3E65E482" w14:textId="77777777">
      <w:pPr>
        <w:rPr>
          <w:szCs w:val="18"/>
        </w:rPr>
      </w:pPr>
    </w:p>
    <w:p w:rsidR="00AC0671" w:rsidP="00AC0671" w:rsidRDefault="00AC0671" w14:paraId="6A3B5DC9" w14:textId="1E6A5E96">
      <w:pPr>
        <w:rPr>
          <w:szCs w:val="18"/>
        </w:rPr>
      </w:pPr>
      <w:r w:rsidRPr="00AC0671">
        <w:rPr>
          <w:szCs w:val="18"/>
        </w:rPr>
        <w:t>Regionaal zijn er verschillende po-besturen, waarvan er drie actief in STO participeren. Naast met het ‘eigen’ roc is er samenwerking met roc’s in andere regio’s, bijvoorbeeld voor geïntegreerde leerroutes. Zes scholen in de subregio participeren in STO. Naast de vier scholen met techniek is er een vmbo met een sterk technische invulling van D&amp;P, het groene vmbo participeert en het vso en de pro-school zijn betrokken. Het tekort aan bevoegde docenten loopt op. In de grote STO-regio doen 22 scholen mee, waarvan 14 subsidiegerechtigd, en een roc. Daarnaast loopt -</w:t>
      </w:r>
      <w:r w:rsidR="00A415C4">
        <w:rPr>
          <w:szCs w:val="18"/>
        </w:rPr>
        <w:t xml:space="preserve"> </w:t>
      </w:r>
      <w:r w:rsidRPr="00AC0671">
        <w:rPr>
          <w:szCs w:val="18"/>
        </w:rPr>
        <w:t>door de grote flexibiliteit - de samenwerking met de bedrijfsvakscholen in de hele regio “</w:t>
      </w:r>
      <w:r w:rsidRPr="00AC0671">
        <w:rPr>
          <w:i/>
          <w:iCs/>
          <w:szCs w:val="18"/>
        </w:rPr>
        <w:t>als een trein</w:t>
      </w:r>
      <w:r w:rsidRPr="00AC0671">
        <w:rPr>
          <w:szCs w:val="18"/>
        </w:rPr>
        <w:t>”.</w:t>
      </w:r>
    </w:p>
    <w:p w:rsidRPr="00AC0671" w:rsidR="00F54D4D" w:rsidP="00AC0671" w:rsidRDefault="00F54D4D" w14:paraId="44FDA074" w14:textId="77777777">
      <w:pPr>
        <w:rPr>
          <w:szCs w:val="18"/>
        </w:rPr>
      </w:pPr>
    </w:p>
    <w:p w:rsidR="00AC0671" w:rsidP="00AC0671" w:rsidRDefault="00AC0671" w14:paraId="0289DCC3" w14:textId="77777777">
      <w:pPr>
        <w:rPr>
          <w:szCs w:val="18"/>
        </w:rPr>
      </w:pPr>
      <w:r w:rsidRPr="00AC0671">
        <w:rPr>
          <w:szCs w:val="18"/>
        </w:rPr>
        <w:t>In de (sub)regio is er veel bedrijvigheid in de maakindustrie (van bouw, metaal tot procesindustrie), logistiek en zowel hightech als ambachtelijke bedrijven, met een groeiend mkb. “</w:t>
      </w:r>
      <w:r w:rsidRPr="00AC0671">
        <w:rPr>
          <w:i/>
          <w:iCs/>
          <w:szCs w:val="18"/>
        </w:rPr>
        <w:t>Bij uitstek heeft onze regio onze leerling nodig in de zachte en harde techniek</w:t>
      </w:r>
      <w:r w:rsidRPr="00AC0671">
        <w:rPr>
          <w:szCs w:val="18"/>
        </w:rPr>
        <w:t xml:space="preserve">.” De vraag naar technisch opgeleiden op mbo-niveau is hoog, ook steeds meer vanuit de zorgsector. </w:t>
      </w:r>
    </w:p>
    <w:p w:rsidRPr="00AC0671" w:rsidR="00F54D4D" w:rsidP="00AC0671" w:rsidRDefault="00F54D4D" w14:paraId="155E873F" w14:textId="77777777">
      <w:pPr>
        <w:rPr>
          <w:szCs w:val="18"/>
        </w:rPr>
      </w:pPr>
    </w:p>
    <w:p w:rsidRPr="00AC0671" w:rsidR="00A415C4" w:rsidP="00AC0671" w:rsidRDefault="00AC0671" w14:paraId="4011A37F" w14:textId="5B2C1E7F">
      <w:r>
        <w:t xml:space="preserve">Op het gebied van techniek kent de regio een grote hoeveelheid projecten, structuren en samenwerkingsverbanden. Het doel van de regio is dan ook leerlingen toekomstbestendig op te leiden voor een goede plek op de veranderende arbeidsmarkt en ze te behouden voor de regio. </w:t>
      </w:r>
    </w:p>
    <w:p w:rsidR="00F54D4D" w:rsidP="00283B39" w:rsidRDefault="00F54D4D" w14:paraId="090FAA0B" w14:textId="5F5375EA">
      <w:pPr>
        <w:rPr>
          <w:i/>
          <w:iCs/>
          <w:szCs w:val="18"/>
        </w:rPr>
      </w:pPr>
    </w:p>
    <w:p w:rsidRPr="004A153D" w:rsidR="00AC0671" w:rsidP="00283B39" w:rsidRDefault="00AC0671" w14:paraId="3AAA74C5" w14:textId="667747F0">
      <w:pPr>
        <w:pStyle w:val="Geenafstand"/>
        <w:rPr>
          <w:i/>
        </w:rPr>
      </w:pPr>
      <w:r w:rsidRPr="004A153D">
        <w:rPr>
          <w:i/>
        </w:rPr>
        <w:t xml:space="preserve">Middelenverdeling, programmastructuur en activiteitenplan </w:t>
      </w:r>
    </w:p>
    <w:p w:rsidR="00AC0671" w:rsidP="00AC0671" w:rsidRDefault="00AC0671" w14:paraId="384E74F2" w14:textId="77777777">
      <w:pPr>
        <w:rPr>
          <w:szCs w:val="18"/>
        </w:rPr>
      </w:pPr>
      <w:r w:rsidRPr="00AC0671">
        <w:rPr>
          <w:szCs w:val="18"/>
        </w:rPr>
        <w:t>De subregio heeft een budget van ongeveer 4,5 miljoen, waarvan 60% wordt ingezet in personeel. Van meet af aan is de keuze gemaakt om middelen en activiteiten niet te gaan verdelen, maar om het samen te gaan doen: “</w:t>
      </w:r>
      <w:r w:rsidRPr="00AC0671">
        <w:rPr>
          <w:i/>
          <w:iCs/>
          <w:szCs w:val="18"/>
        </w:rPr>
        <w:t>Het geld is niet van de techniekscholen op basis van leerlingenaantallen, maar voor de sub-regio en voor de leerling.”</w:t>
      </w:r>
      <w:r w:rsidRPr="00AC0671">
        <w:rPr>
          <w:szCs w:val="18"/>
        </w:rPr>
        <w:t xml:space="preserve"> Het geld volgt de personele inzet op activiteiten, ongeacht welke school (techniek of niet) die uitvoert. </w:t>
      </w:r>
    </w:p>
    <w:p w:rsidRPr="00AC0671" w:rsidR="00F54D4D" w:rsidP="00AC0671" w:rsidRDefault="00F54D4D" w14:paraId="12EF92ED" w14:textId="77777777">
      <w:pPr>
        <w:rPr>
          <w:szCs w:val="18"/>
        </w:rPr>
      </w:pPr>
    </w:p>
    <w:p w:rsidR="00AC0671" w:rsidP="00AC0671" w:rsidRDefault="00AC0671" w14:paraId="34E9376A" w14:textId="40233C36">
      <w:r>
        <w:t>De subregio heeft binnen de grotere regio een eigen koers gevaren met veel nadruk op ‘de regio als klaslokaal’</w:t>
      </w:r>
      <w:r w:rsidR="6B131F9A">
        <w:t xml:space="preserve"> (en niet alleen de school)</w:t>
      </w:r>
      <w:r>
        <w:t xml:space="preserve">. Vanuit de geformuleerde doelen en de wens om STO duurzaam te maken is stevig geïnvesteerd in een samenwerkende structuur/netwerk. De complexe situatie (en krimp) met voorheen nog 8 vmbo-scholen maakte samenwerking nodig. Er is gekozen voor een onafhankelijk projectleiderscollectief vanuit ondernemers en overheid, met een bedrijfs- en veranderkundige aanpak aan de hand van een gedeelde visie, missie, strategie en doelen en is er tijd uitgetrokken voor het opzetten van een passende STO-organisatie: </w:t>
      </w:r>
      <w:r w:rsidRPr="780653D5">
        <w:rPr>
          <w:i/>
          <w:iCs/>
        </w:rPr>
        <w:t>“</w:t>
      </w:r>
      <w:r w:rsidRPr="780653D5">
        <w:rPr>
          <w:rStyle w:val="wixui-rich-texttext"/>
          <w:i/>
          <w:iCs/>
        </w:rPr>
        <w:t>Als je de leerlingenreis volgt van groep 5 tot en met arbeidsmarkt met als missie: ‘leerlingen opleiden voor een goede plek op de regionale arbeidsmarkt’</w:t>
      </w:r>
      <w:r w:rsidRPr="780653D5">
        <w:rPr>
          <w:rStyle w:val="wixui-rich-texttext"/>
        </w:rPr>
        <w:t xml:space="preserve">, </w:t>
      </w:r>
      <w:r w:rsidRPr="780653D5">
        <w:rPr>
          <w:rStyle w:val="wixui-rich-texttext"/>
          <w:i/>
          <w:iCs/>
        </w:rPr>
        <w:t>dan is de hele leerlingenreis ook een gezamenlijke verantwoordelijkheid en heb je een gezamenlijke STO-organisatie nodig, waarin alle partijen aangesloten zijn</w:t>
      </w:r>
      <w:r w:rsidRPr="780653D5">
        <w:rPr>
          <w:i/>
          <w:iCs/>
        </w:rPr>
        <w:t>.”</w:t>
      </w:r>
      <w:r>
        <w:t xml:space="preserve"> “</w:t>
      </w:r>
      <w:r w:rsidRPr="780653D5">
        <w:rPr>
          <w:i/>
          <w:iCs/>
        </w:rPr>
        <w:t>Een beweging of transitie als STO vraagt om leiderschap en niet om projectmanagement</w:t>
      </w:r>
      <w:r>
        <w:t xml:space="preserve">.” De organisatie die is opgezet kent verschillende rollen, waarvoor mensen getraind zijn: kartrekkers per </w:t>
      </w:r>
      <w:r w:rsidR="2255331A">
        <w:t>activiteit</w:t>
      </w:r>
      <w:r>
        <w:t xml:space="preserve">, die samenwerken met docenten van andere scholen, netwerkers (soms oorspronkelijk afkomstig uit </w:t>
      </w:r>
      <w:r w:rsidR="00884D60">
        <w:t xml:space="preserve">het </w:t>
      </w:r>
      <w:r>
        <w:t xml:space="preserve">bedrijfsleven) en interne en externe aanjagers. De STO-organisatie telt zo’n 100 deelnemers, die maandelijks fysiek overleggen en afspraken maken. Aan die structuur nemen ook vertegenwoordigers van po-besturen (elk 1 dag per week betaald vanuit de STO-middelen), mbo-verbinders en bedrijven deel; bij de internationale studiereizen gaan bedrijven en scholen mee. De </w:t>
      </w:r>
      <w:r>
        <w:lastRenderedPageBreak/>
        <w:t xml:space="preserve">aanvankelijk bedachte eigen slogan van de subregio is verruild voor de term ‘STO’, toen bedrijven op de grens van subregio’s in verwarring raakten. </w:t>
      </w:r>
    </w:p>
    <w:p w:rsidRPr="00AC0671" w:rsidR="00F54D4D" w:rsidP="00AC0671" w:rsidRDefault="00F54D4D" w14:paraId="51B6D36A" w14:textId="77777777">
      <w:pPr>
        <w:rPr>
          <w:szCs w:val="18"/>
        </w:rPr>
      </w:pPr>
    </w:p>
    <w:p w:rsidRPr="00AC0671" w:rsidR="00AC0671" w:rsidP="00AC0671" w:rsidRDefault="00AC0671" w14:paraId="71FFACA1" w14:textId="77777777">
      <w:pPr>
        <w:rPr>
          <w:szCs w:val="18"/>
        </w:rPr>
      </w:pPr>
      <w:r w:rsidRPr="00AC0671">
        <w:rPr>
          <w:szCs w:val="18"/>
        </w:rPr>
        <w:t xml:space="preserve">De subregio volgt het activiteitenplan van de regio, dat gestart is met vier strategische doelen (gericht op in- en doorstroom vmbo, kwaliteit en docenten, met als basis de versterking en verduurzaming van het netwerk). De subregio heeft daarbinnen gekozen voor 12 activiteiten, die gekoppeld zijn enerzijds aan de visie en anderzijds aan kartrekkers. Men werkt met canvassen als sturingsmodel. </w:t>
      </w:r>
    </w:p>
    <w:p w:rsidRPr="00AC0671" w:rsidR="00AC0671" w:rsidP="00AC0671" w:rsidRDefault="00AC0671" w14:paraId="788E957F" w14:textId="77777777">
      <w:pPr>
        <w:rPr>
          <w:szCs w:val="18"/>
        </w:rPr>
      </w:pPr>
    </w:p>
    <w:p w:rsidRPr="00AC0671" w:rsidR="00AC0671" w:rsidP="00AC0671" w:rsidRDefault="00AC0671" w14:paraId="110A1077" w14:textId="77777777">
      <w:pPr>
        <w:rPr>
          <w:i/>
          <w:iCs/>
          <w:szCs w:val="18"/>
        </w:rPr>
      </w:pPr>
      <w:r w:rsidRPr="00AC0671">
        <w:rPr>
          <w:i/>
          <w:iCs/>
          <w:szCs w:val="18"/>
        </w:rPr>
        <w:t>Impact structuur</w:t>
      </w:r>
    </w:p>
    <w:p w:rsidR="00AC0671" w:rsidP="780653D5" w:rsidRDefault="00AC0671" w14:paraId="4A266B4A" w14:textId="6011D416">
      <w:pPr>
        <w:rPr>
          <w:i/>
          <w:iCs/>
        </w:rPr>
      </w:pPr>
      <w:r>
        <w:t>De eigen aanpak van de subregio met veel aandacht voor visie en missie, identiteit en het opzetten van de samenwerkingsstructuur kostte tijd, en werd door andere subregio’s ‘apart’ gevonden. Het gevolg was dat het tot in jaar 2 van STO duurde voordat er activiteiten werden uitgevoerd, maar: “</w:t>
      </w:r>
      <w:r w:rsidRPr="780653D5">
        <w:rPr>
          <w:i/>
          <w:iCs/>
        </w:rPr>
        <w:t>Toen we eenmaal in de actie gingen, ging het als een dolle</w:t>
      </w:r>
      <w:r>
        <w:t>” en zagen ook de andere subregio’s dat de aanpak vruchten afwierp: “</w:t>
      </w:r>
      <w:r w:rsidRPr="780653D5">
        <w:rPr>
          <w:i/>
          <w:iCs/>
        </w:rPr>
        <w:t xml:space="preserve">Er bestaat oprecht het gevoel ‘we doen dit met z’n allen.’ Daardoor kent men elkaar en elkaars cultuur goed, is het </w:t>
      </w:r>
      <w:r w:rsidRPr="780653D5" w:rsidR="755FCF6B">
        <w:rPr>
          <w:i/>
          <w:iCs/>
        </w:rPr>
        <w:t>ge</w:t>
      </w:r>
      <w:r w:rsidRPr="780653D5">
        <w:rPr>
          <w:i/>
          <w:iCs/>
        </w:rPr>
        <w:t xml:space="preserve">makkelijker de juiste persoon op de juiste plek te krijgen, gebruikt men elkaars kennis en kunde, is het </w:t>
      </w:r>
      <w:r w:rsidRPr="780653D5" w:rsidR="01A827B0">
        <w:rPr>
          <w:i/>
          <w:iCs/>
        </w:rPr>
        <w:t>ge</w:t>
      </w:r>
      <w:r w:rsidRPr="780653D5">
        <w:rPr>
          <w:i/>
          <w:iCs/>
        </w:rPr>
        <w:t xml:space="preserve">makkelijk ergens binnen te lopen en is de concurrentie verdwenen. Ook op andere gebieden is er meer overleg tussen de scholen. Met alle vmbo-scholen samen promoten we het techniekonderwijs en bereiden </w:t>
      </w:r>
      <w:r w:rsidRPr="780653D5" w:rsidR="5A1FDC5D">
        <w:rPr>
          <w:i/>
          <w:iCs/>
        </w:rPr>
        <w:t xml:space="preserve">we </w:t>
      </w:r>
      <w:r w:rsidRPr="780653D5">
        <w:rPr>
          <w:i/>
          <w:iCs/>
        </w:rPr>
        <w:t>leerlingen voor op de keuze.</w:t>
      </w:r>
      <w:r>
        <w:t>” Dat ervaren de scholen ook als de grootste verandering door STO. De structuur en de samenwerking vanuit één visie heeft er volgens de subregio voor gezorgd dat er “</w:t>
      </w:r>
      <w:r w:rsidRPr="780653D5">
        <w:rPr>
          <w:i/>
          <w:iCs/>
        </w:rPr>
        <w:t xml:space="preserve">vanuit verbinding vernieuwd is, op een manier die het activiteitenplan overstijgt: door intensieve samenwerking realiseren we doorlopende leeromgevingen, binnen en buiten de school, waarin leerlingen up-to-date worden opgeleid.” </w:t>
      </w:r>
      <w:r>
        <w:t>“</w:t>
      </w:r>
      <w:r w:rsidRPr="780653D5">
        <w:rPr>
          <w:i/>
          <w:iCs/>
        </w:rPr>
        <w:t>In STO is de focus verlegd van ‘een diploma halen’ binnen de eigen school naar het besef dat je als school in een keten verantwoordelijk bent, niet alleen op je eigen stukje, maar voor de hele reis. Dus moeten we voortdurend kijken waar we de keten sterker kunnen maken.”</w:t>
      </w:r>
    </w:p>
    <w:p w:rsidRPr="00AC0671" w:rsidR="00F54D4D" w:rsidP="00AC0671" w:rsidRDefault="00F54D4D" w14:paraId="48EA51D0" w14:textId="77777777">
      <w:pPr>
        <w:rPr>
          <w:i/>
          <w:iCs/>
          <w:szCs w:val="18"/>
        </w:rPr>
      </w:pPr>
    </w:p>
    <w:p w:rsidRPr="00AC0671" w:rsidR="00AC0671" w:rsidP="00AC0671" w:rsidRDefault="00AC0671" w14:paraId="3EEEC95A" w14:textId="77777777">
      <w:pPr>
        <w:rPr>
          <w:szCs w:val="18"/>
        </w:rPr>
      </w:pPr>
      <w:r w:rsidRPr="00AC0671">
        <w:rPr>
          <w:szCs w:val="18"/>
        </w:rPr>
        <w:t>Wie je ook spreekt vanuit vmbo, po of vanuit de deelnemende bedrijven: iedereen deelt de mening dat STO door alle aandacht voor de netwerkstructuur en de gezamenlijkheid in visie en missie een beweging is geworden: “</w:t>
      </w:r>
      <w:r w:rsidRPr="00AC0671">
        <w:rPr>
          <w:i/>
          <w:iCs/>
          <w:szCs w:val="18"/>
        </w:rPr>
        <w:t xml:space="preserve">De gekozen structuur is misschien complex, maar helpend in alles wat we doen en bereiken.” </w:t>
      </w:r>
      <w:r w:rsidRPr="00AC0671">
        <w:rPr>
          <w:szCs w:val="18"/>
        </w:rPr>
        <w:t xml:space="preserve">Men vindt het plezierig en productief om bij elkaar te komen en elkaar op te zoeken, afspraken te maken en zaken te ontwikkelen, al klinkt er hier en daar vanuit het bedrijfsleven dat men moet wennen aan verschil in tempo/slagkracht met wat ze als ondernemers gewend zijn. Ook sommige docenten vinden veel overleg “minder”. </w:t>
      </w:r>
    </w:p>
    <w:p w:rsidR="00AC0671" w:rsidP="00AC0671" w:rsidRDefault="00AC0671" w14:paraId="69AF68DF" w14:textId="77777777">
      <w:pPr>
        <w:rPr>
          <w:i/>
          <w:iCs/>
          <w:szCs w:val="18"/>
        </w:rPr>
      </w:pPr>
      <w:r w:rsidRPr="00AC0671">
        <w:rPr>
          <w:szCs w:val="18"/>
        </w:rPr>
        <w:t>In de contacten met bedrijven is meer eenheid gekomen. Het helpt als er een duidelijk aanspreekpunt op de scholen is voor bedrijven.</w:t>
      </w:r>
      <w:r w:rsidRPr="00AC0671">
        <w:rPr>
          <w:i/>
          <w:iCs/>
          <w:szCs w:val="18"/>
        </w:rPr>
        <w:t xml:space="preserve"> </w:t>
      </w:r>
      <w:r w:rsidRPr="00AC0671">
        <w:rPr>
          <w:szCs w:val="18"/>
        </w:rPr>
        <w:t xml:space="preserve">Zo heeft een van de scholen een bijzonder actieve netwerker, die gedurende een deel van de week expliciet voor STO werkt en door bedrijven ook echt wordt herkend als aanspreekpunt. Door de contacten in STO kunnen scholen en bedrijven van elkaar profiteren en leren: </w:t>
      </w:r>
      <w:r w:rsidRPr="00AC0671">
        <w:rPr>
          <w:i/>
          <w:iCs/>
          <w:szCs w:val="18"/>
        </w:rPr>
        <w:t xml:space="preserve">“Het bedrijfsleven mist vaak de didactische vaardigheden om hun praktijkkennis over te brengen, terwijl het onderwijs de aansluiting met het bedrijfsleven mist.” </w:t>
      </w:r>
    </w:p>
    <w:p w:rsidRPr="00AC5BD6" w:rsidR="00AC0671" w:rsidP="00283B39" w:rsidRDefault="00AC0671" w14:paraId="0957116D" w14:textId="57DE7723">
      <w:pPr>
        <w:pStyle w:val="Kop4"/>
        <w:rPr>
          <w:szCs w:val="18"/>
        </w:rPr>
      </w:pPr>
      <w:r w:rsidRPr="00283B39">
        <w:rPr>
          <w:rFonts w:ascii="Trebuchet MS" w:hAnsi="Trebuchet MS"/>
          <w:szCs w:val="18"/>
        </w:rPr>
        <w:t>Leerlingenreis: van po naar mbo</w:t>
      </w:r>
    </w:p>
    <w:p w:rsidRPr="00AC0671" w:rsidR="00F54D4D" w:rsidP="46AF5C4D" w:rsidRDefault="00F54D4D" w14:paraId="2CCEF2DC" w14:textId="1463CF81"/>
    <w:p w:rsidRPr="00AC0671" w:rsidR="00AC0671" w:rsidP="00AC0671" w:rsidRDefault="00AC0671" w14:paraId="6C4430FA" w14:textId="77777777">
      <w:pPr>
        <w:rPr>
          <w:i/>
          <w:iCs/>
          <w:szCs w:val="18"/>
        </w:rPr>
      </w:pPr>
      <w:r w:rsidRPr="00AC0671">
        <w:rPr>
          <w:i/>
          <w:iCs/>
          <w:szCs w:val="18"/>
        </w:rPr>
        <w:t>Primair onderwijs: welk aanbod is er tot stand gekomen?</w:t>
      </w:r>
    </w:p>
    <w:p w:rsidR="00AC0671" w:rsidP="00AC0671" w:rsidRDefault="00AC0671" w14:paraId="0F17D15F" w14:textId="17C434B2">
      <w:r>
        <w:t xml:space="preserve">Voor het po (leerlingen én leerkrachten) zijn er </w:t>
      </w:r>
      <w:r w:rsidRPr="46AF5C4D">
        <w:rPr>
          <w:i/>
          <w:iCs/>
        </w:rPr>
        <w:t>masterclass</w:t>
      </w:r>
      <w:r>
        <w:t xml:space="preserve"> gerealiseerd voor groep 6/7/8, die de zeven werelden van techniek omvatten. Op die manier wordt het po ontlast. Op één school na bieden alle vmbo-scholen meerdere masterclasses. Bepaalde masterclasses bestaan uit een drieluik: een voorbereidende les op de eigen po-school, de echte masterclass en verwerking van de opdracht doen ze in het vo – in een Technolab of in praktijk/technieklokalen van de vmbo-scholen - en daaraan gekoppeld is een bedrijfsbezoek (bv thema groeien en bloeien, zie lesobservaties). Dit gebeurt minimaal eens per jaar. Elke po-school heeft hier via een reserveringssysteem toegang toe. Er zijn Techniekevents (zoals Techniek Tastbaar, ook voor ouders), die de trigger moeten vormen voor de masterclasses. Leerkrachten po krijgen voorlichting over activiteiten binnen STO. Met de door STO-betaalde po-collega’s wordt bekeken wat nodig is om techniek te laten aansluiten bij kerndoelen po (wereldoriëntatie) en een structurele plek in het jaarrooster en de jaaragenda te realiseren, omdat het anders </w:t>
      </w:r>
      <w:r w:rsidRPr="46AF5C4D">
        <w:rPr>
          <w:i/>
          <w:iCs/>
        </w:rPr>
        <w:lastRenderedPageBreak/>
        <w:t xml:space="preserve">“verdwijnt in de overladenheid en de persoonsafhankelijkheid.” </w:t>
      </w:r>
      <w:r>
        <w:t>STO helpt, omdat de po-scholen de faciliteiten voor techniek niet in huis hebben. Busvervoer boven 6 km wordt geregeld. Het aanbod voor scholing</w:t>
      </w:r>
      <w:r w:rsidR="005B5056">
        <w:t xml:space="preserve"> van</w:t>
      </w:r>
      <w:r>
        <w:t xml:space="preserve"> leerkrachten wordt vooralsnog weinig gebruikt. </w:t>
      </w:r>
    </w:p>
    <w:p w:rsidRPr="00AC0671" w:rsidR="00F54D4D" w:rsidP="00AC0671" w:rsidRDefault="00F54D4D" w14:paraId="482CB0DD" w14:textId="77777777">
      <w:pPr>
        <w:rPr>
          <w:szCs w:val="18"/>
        </w:rPr>
      </w:pPr>
    </w:p>
    <w:p w:rsidRPr="00AC0671" w:rsidR="00AC0671" w:rsidP="00AC0671" w:rsidRDefault="00AC0671" w14:paraId="1FC7E861" w14:textId="77777777">
      <w:pPr>
        <w:rPr>
          <w:b/>
          <w:bCs/>
          <w:szCs w:val="18"/>
        </w:rPr>
      </w:pPr>
      <w:r w:rsidRPr="00AC0671">
        <w:rPr>
          <w:i/>
          <w:iCs/>
          <w:szCs w:val="18"/>
        </w:rPr>
        <w:t>Het effect van de inzet in het primair onderwijs</w:t>
      </w:r>
    </w:p>
    <w:p w:rsidR="00AC0671" w:rsidP="00AC0671" w:rsidRDefault="00AC0671" w14:paraId="532A93EC" w14:textId="77777777">
      <w:pPr>
        <w:rPr>
          <w:i/>
          <w:iCs/>
          <w:szCs w:val="18"/>
        </w:rPr>
      </w:pPr>
      <w:r w:rsidRPr="00AC0671">
        <w:rPr>
          <w:szCs w:val="18"/>
        </w:rPr>
        <w:t>In 2023/24 zijn er 83 masterclasses gegeven aan meer dan 1600 po-leerlingen. Het contact met de po-scholen is toegenomen. Collega’s zijn gefaciliteerd en hebben meer tijd de scholen te bezoeken. Het belang van po-leerlingen ‘kennis te laten maken met techniek’ wordt breder gedeeld. Basisschoolleerkrachten zijn enthousiast over de koppeling en goede organisatie. “</w:t>
      </w:r>
      <w:r w:rsidRPr="00AC0671">
        <w:rPr>
          <w:i/>
          <w:iCs/>
          <w:szCs w:val="18"/>
        </w:rPr>
        <w:t>Op het niveau van bestuurders zijn er toezeggingen, maar op schoolniveau speelt ook dat elk uitstapje een halve dag kost, dus daar is men selectief in.</w:t>
      </w:r>
      <w:r w:rsidRPr="00AC0671">
        <w:rPr>
          <w:szCs w:val="18"/>
        </w:rPr>
        <w:t>” Het helpt als techniekonderwijs vanuit het bestuur gestimuleerd wordt; en leerkrachten die eenmaal geweest zijn, besteden vaker aandacht aan techniek. In het aanbod helpt het als het po zelf betrokken is/invloed heeft. “</w:t>
      </w:r>
      <w:r w:rsidRPr="00AC0671">
        <w:rPr>
          <w:i/>
          <w:iCs/>
          <w:szCs w:val="18"/>
        </w:rPr>
        <w:t>We zien dat het aanbod wat doet met de motivatie en het plezier van po-leerlingen.”</w:t>
      </w:r>
      <w:r w:rsidRPr="00AC0671">
        <w:rPr>
          <w:szCs w:val="18"/>
        </w:rPr>
        <w:t xml:space="preserve"> Ook geeft men aan dat leerlingen een doorkijkje krijgen naar wat er met techniek allemaal mogelijk is. Er lijkt meer aanmelding/ belangstelling van po-scholen met een groter aandeel toekomstige vmbo-leerlingen. Ook leerlingen die later niet naar het vmbo gaan, komen hierdoor het vmbo binnen. “</w:t>
      </w:r>
      <w:r w:rsidRPr="00AC0671">
        <w:rPr>
          <w:i/>
          <w:iCs/>
          <w:szCs w:val="18"/>
        </w:rPr>
        <w:t>De deuren gaan letterlijk open: alle leerlingen (en ouders) krijgen inzicht in wat er in het vmbo gebeurt.”</w:t>
      </w:r>
    </w:p>
    <w:p w:rsidRPr="00AC0671" w:rsidR="00F54D4D" w:rsidP="00AC0671" w:rsidRDefault="00F54D4D" w14:paraId="466727A0" w14:textId="77777777">
      <w:pPr>
        <w:rPr>
          <w:szCs w:val="18"/>
        </w:rPr>
      </w:pPr>
    </w:p>
    <w:p w:rsidRPr="004A153D" w:rsidR="00AC0671" w:rsidP="00283B39" w:rsidRDefault="00AC0671" w14:paraId="2379B7E7" w14:textId="77777777">
      <w:pPr>
        <w:pStyle w:val="Geenafstand"/>
        <w:rPr>
          <w:i/>
        </w:rPr>
      </w:pPr>
      <w:r w:rsidRPr="004A153D">
        <w:rPr>
          <w:i/>
        </w:rPr>
        <w:t>Vmbo: welk aanbod is er tot stand gekomen?</w:t>
      </w:r>
    </w:p>
    <w:p w:rsidRPr="00AC0671" w:rsidR="00AC0671" w:rsidP="00AC0671" w:rsidRDefault="00AC0671" w14:paraId="0F90D35E" w14:textId="77777777">
      <w:pPr>
        <w:rPr>
          <w:szCs w:val="18"/>
        </w:rPr>
      </w:pPr>
      <w:r w:rsidRPr="00AC0671">
        <w:rPr>
          <w:szCs w:val="18"/>
        </w:rPr>
        <w:t xml:space="preserve">Binnen bijna alle techniekscholen zijn recent technolabs ingericht, bedoeld om leerlingen in aanraking te brengen met moderne techniek. Deze labs worden gebruikt voor de eigen leerlingen, po-leerlingen en voor leerlingen van bijvoorbeeld het groene onderwijs, ter oriëntatie op de keuze voor een groene wereld in de bovenbouw.  </w:t>
      </w:r>
    </w:p>
    <w:p w:rsidR="00AC0671" w:rsidP="00AC0671" w:rsidRDefault="00AC0671" w14:paraId="42096456" w14:textId="77777777">
      <w:pPr>
        <w:rPr>
          <w:i/>
          <w:iCs/>
          <w:szCs w:val="18"/>
        </w:rPr>
      </w:pPr>
      <w:r w:rsidRPr="00AC0671">
        <w:rPr>
          <w:szCs w:val="18"/>
        </w:rPr>
        <w:t>Door de technolabs is (moderne) techniek in de school voor alle leerlingen zichtbaarder geworden. De technieklessen voor alle onderbouwleerlingen zijn inhoudelijk veranderd door nieuwe apparatuur en materiaal (robots, laserprinters etc.). In de onderbouw is er op alle scholen aandacht voor techniek, per school verschillend. Zo stelt een school: “</w:t>
      </w:r>
      <w:r w:rsidRPr="00AC0671">
        <w:rPr>
          <w:i/>
          <w:iCs/>
          <w:szCs w:val="18"/>
        </w:rPr>
        <w:t>We zouden meer met het technolab willen doen voor onderbouwleerlingen, maar alles wat er staat heeft een handleiding en er is capaciteit nodig om dat te doen. Bovendien moet het iets anders zijn dan wat po-leerlingen al gedaan hebben.”</w:t>
      </w:r>
    </w:p>
    <w:p w:rsidRPr="00AC0671" w:rsidR="00F54D4D" w:rsidP="00AC0671" w:rsidRDefault="00F54D4D" w14:paraId="763A2093" w14:textId="77777777">
      <w:pPr>
        <w:rPr>
          <w:i/>
          <w:iCs/>
          <w:szCs w:val="18"/>
        </w:rPr>
      </w:pPr>
    </w:p>
    <w:p w:rsidR="00AC0671" w:rsidP="00AC0671" w:rsidRDefault="00AC0671" w14:paraId="7D5B1101" w14:textId="77777777">
      <w:pPr>
        <w:rPr>
          <w:i/>
          <w:iCs/>
          <w:szCs w:val="18"/>
        </w:rPr>
      </w:pPr>
      <w:r w:rsidRPr="00AC0671">
        <w:rPr>
          <w:szCs w:val="18"/>
        </w:rPr>
        <w:t>Van meet af aan heeft de subregio de blik naar buiten gericht in STO. Zo is door STO de invulling van LOB veel praktischer en gebeurt deze meer in de praktijk, in bedrijven en innovatiehubs, dan voorheen. Leerlingen bezoeken bedrijven en onderzoeken de techniek, ook in niet-technische bedrijven. “</w:t>
      </w:r>
      <w:r w:rsidRPr="00AC0671">
        <w:rPr>
          <w:i/>
          <w:iCs/>
          <w:szCs w:val="18"/>
        </w:rPr>
        <w:t xml:space="preserve">We laten leerlingen leren op de plek waar dat het beste kan, op school, op een andere school of in een bedrijf. Dat doen we samen en dan is STO meer LOB.” </w:t>
      </w:r>
    </w:p>
    <w:p w:rsidRPr="00AC0671" w:rsidR="00F54D4D" w:rsidP="00AC0671" w:rsidRDefault="00F54D4D" w14:paraId="43146621" w14:textId="77777777">
      <w:pPr>
        <w:rPr>
          <w:i/>
          <w:iCs/>
          <w:szCs w:val="18"/>
        </w:rPr>
      </w:pPr>
    </w:p>
    <w:p w:rsidRPr="00AC0671" w:rsidR="00AC0671" w:rsidP="00AC0671" w:rsidRDefault="00AC0671" w14:paraId="29A8446F" w14:textId="77777777">
      <w:pPr>
        <w:rPr>
          <w:i/>
          <w:iCs/>
          <w:szCs w:val="18"/>
        </w:rPr>
      </w:pPr>
      <w:r w:rsidRPr="00AC0671">
        <w:rPr>
          <w:i/>
          <w:iCs/>
          <w:szCs w:val="18"/>
        </w:rPr>
        <w:t xml:space="preserve">Keuzevakken: uitwisseling onderling, bij bedrijven en bij mbo </w:t>
      </w:r>
    </w:p>
    <w:p w:rsidRPr="00AC0671" w:rsidR="00AC0671" w:rsidP="00AC0671" w:rsidRDefault="00AC0671" w14:paraId="7B5288AD" w14:textId="6A1C48E1">
      <w:pPr>
        <w:rPr>
          <w:szCs w:val="18"/>
        </w:rPr>
      </w:pPr>
      <w:r w:rsidRPr="00AC0671">
        <w:rPr>
          <w:szCs w:val="18"/>
        </w:rPr>
        <w:t>Het aanbod aan keuzevakken is vergroot en er is aandacht voor de kwaliteit ervan. Het aantal unieke technische keuzevakken in de subregio is gestegen naar rond de 60. Naar verhouding waren er altijd al meer technische dan niet</w:t>
      </w:r>
      <w:r w:rsidR="00743DB3">
        <w:rPr>
          <w:szCs w:val="18"/>
        </w:rPr>
        <w:t>-</w:t>
      </w:r>
      <w:r w:rsidRPr="00AC0671">
        <w:rPr>
          <w:szCs w:val="18"/>
        </w:rPr>
        <w:t>technische keuzevakken; dat is nog iets verder toegenomen naar 60-40%. Het aantal leerlingen dat examen aflegt in een technisch keuzevak is behoorlijk toegenomen tussen 2020 en 2024. Het aandeel leerlingen uit een niet-technisch profiel dat minstens één technisch keuzevak volgt lag al hoog, maar is sinds 2020 nog verder toegenomen naar 61%.</w:t>
      </w:r>
    </w:p>
    <w:p w:rsidRPr="00AC0671" w:rsidR="00AC0671" w:rsidP="00AC0671" w:rsidRDefault="00AC0671" w14:paraId="2852465E" w14:textId="77777777">
      <w:pPr>
        <w:rPr>
          <w:szCs w:val="18"/>
        </w:rPr>
      </w:pPr>
    </w:p>
    <w:p w:rsidRPr="00AC0671" w:rsidR="00AC0671" w:rsidP="00AC0671" w:rsidRDefault="00AC0671" w14:paraId="77623ED0" w14:textId="63B0072B">
      <w:r>
        <w:t>Daarnaast zijn door de samenwerkende scholen afspraken gemaakt om allemaal dezelfde middag in de week voor techniek centraal te roosteren. Scholen bepalen vervolgens welke keuzevakken ze openzetten voor leerlingen van andere scholen, die dus één van hun keuzevakken op een andere plek kunnen volgen. Op sommige scholen worden de keuzevakken meer door leerlingen van buiten dan van de eigen school gevolgd. Inmiddels hebben 67 leerlingen een keuzevak bij een andere dan hun eigen school gevolgd. Dat kan overigens ook bij een bedrijf (b</w:t>
      </w:r>
      <w:r w:rsidR="00904783">
        <w:t>ij</w:t>
      </w:r>
      <w:r>
        <w:t>v</w:t>
      </w:r>
      <w:r w:rsidR="00904783">
        <w:t>.</w:t>
      </w:r>
      <w:r>
        <w:t xml:space="preserve"> schadeherstel of duurzame energie): “</w:t>
      </w:r>
      <w:r w:rsidRPr="780653D5">
        <w:rPr>
          <w:i/>
          <w:iCs/>
        </w:rPr>
        <w:t>We moeten op zoek naar extra bedrijven om het volgend jaar mogelijk te maken.”</w:t>
      </w:r>
      <w:r>
        <w:t xml:space="preserve"> Leerlingen leggen drie bedrijfsbezoeken af. Het aantal aangesloten bedrijven is fors toegenomen en de lijnen zijn korter. Leerlingen kunnen gebruik maken van de infrastructuur met moderne apparatuur van andere dan alleen hun eigen school. Er worden afspraken gemaakt dat niet alle scholen hetzelfde aanschaffen en er is een </w:t>
      </w:r>
      <w:r>
        <w:lastRenderedPageBreak/>
        <w:t>uitleenlab, waardoor “</w:t>
      </w:r>
      <w:r w:rsidRPr="780653D5">
        <w:rPr>
          <w:i/>
          <w:iCs/>
        </w:rPr>
        <w:t xml:space="preserve">we in staat zijn grotere groepen te bedienen met dezelfde moderne tools.” </w:t>
      </w:r>
      <w:r>
        <w:t xml:space="preserve">In de subregio is </w:t>
      </w:r>
      <w:r w:rsidR="7C1DF29E">
        <w:t xml:space="preserve">het initiatief </w:t>
      </w:r>
      <w:r w:rsidR="49855E74">
        <w:t>voor</w:t>
      </w:r>
      <w:r w:rsidR="7C1DF29E">
        <w:t xml:space="preserve"> </w:t>
      </w:r>
      <w:r>
        <w:t>een</w:t>
      </w:r>
      <w:r w:rsidRPr="780653D5">
        <w:rPr>
          <w:i/>
          <w:iCs/>
        </w:rPr>
        <w:t xml:space="preserve"> </w:t>
      </w:r>
      <w:r w:rsidRPr="780653D5" w:rsidR="3F052F01">
        <w:rPr>
          <w:i/>
          <w:iCs/>
        </w:rPr>
        <w:t>s</w:t>
      </w:r>
      <w:r>
        <w:t>am</w:t>
      </w:r>
      <w:r w:rsidR="41DCD7C9">
        <w:t>/</w:t>
      </w:r>
      <w:r w:rsidR="22C09AA2">
        <w:t>s</w:t>
      </w:r>
      <w:r>
        <w:t xml:space="preserve">am app </w:t>
      </w:r>
      <w:r w:rsidR="3E7DA3B5">
        <w:t xml:space="preserve">genomen, die het hybride leren ondersteunt en die met regionale steun </w:t>
      </w:r>
      <w:r w:rsidR="2B288C92">
        <w:t xml:space="preserve">verder </w:t>
      </w:r>
      <w:r w:rsidR="3E7DA3B5">
        <w:t xml:space="preserve">is </w:t>
      </w:r>
      <w:r>
        <w:t>ontwikkel</w:t>
      </w:r>
      <w:r w:rsidR="26CB25C2">
        <w:t>d. In de komende periode wordt de app regionaal uitgerold</w:t>
      </w:r>
      <w:r w:rsidR="04C5EF28">
        <w:t>, en gaan alle subregio's ermee werken</w:t>
      </w:r>
      <w:r w:rsidR="26CB25C2">
        <w:t xml:space="preserve">. </w:t>
      </w:r>
      <w:r>
        <w:t xml:space="preserve">Via de app kunnen modules, keuzevakken en opdrachten gedeeld worden, kunnen scholen gezamenlijke planningen maken en het ondersteunt efficiënte samenwerken tussen docenten, leerlingen en (stage)begeleiders in het bedrijf. </w:t>
      </w:r>
    </w:p>
    <w:p w:rsidRPr="00AC0671" w:rsidR="00AC0671" w:rsidP="00AC0671" w:rsidRDefault="00AC0671" w14:paraId="0F10BA63" w14:textId="77777777">
      <w:pPr>
        <w:rPr>
          <w:i/>
          <w:iCs/>
          <w:szCs w:val="18"/>
        </w:rPr>
      </w:pPr>
    </w:p>
    <w:p w:rsidRPr="00AC0671" w:rsidR="00AC0671" w:rsidP="00AC0671" w:rsidRDefault="00AC0671" w14:paraId="0FCB0F28" w14:textId="77777777">
      <w:pPr>
        <w:rPr>
          <w:szCs w:val="18"/>
        </w:rPr>
      </w:pPr>
      <w:r w:rsidRPr="00AC0671">
        <w:rPr>
          <w:i/>
          <w:iCs/>
          <w:szCs w:val="18"/>
        </w:rPr>
        <w:t>Het effect van de inzet in vmbo onder- en bovenbouw</w:t>
      </w:r>
    </w:p>
    <w:p w:rsidR="00AC0671" w:rsidP="00AC0671" w:rsidRDefault="00AC0671" w14:paraId="7C1124EE" w14:textId="77777777">
      <w:pPr>
        <w:rPr>
          <w:szCs w:val="18"/>
        </w:rPr>
      </w:pPr>
      <w:r w:rsidRPr="00AC0671">
        <w:rPr>
          <w:szCs w:val="18"/>
          <w:u w:val="single"/>
        </w:rPr>
        <w:t>Voor leerlingen</w:t>
      </w:r>
      <w:r w:rsidRPr="00AC0671">
        <w:rPr>
          <w:szCs w:val="18"/>
        </w:rPr>
        <w:t xml:space="preserve">: Door STO is er meer aanbod voor leerlingen en komen ze met moderne technieken in aanraking. Door het systeem van keuzevakken buiten de deur volgen kunnen leerlingen kiezen uit een veel breder pallet aan keuzevakken. Na wat koudwatervrees bij leerlingen is het nu gewoon geworden. Ook zijn de leeromgevingen fors uitgebreid. Leerlingen (ook meiden) ontvangen dat enthousiast, hebben een beter beeld van welke beroepen er allemaal mogelijk zijn in de (bredere) techniek door buitenschools leren, en een beter beeld van waarom ze iets leren. In enquêtes zeggen leerlingen beter hun vervolgkeuze te kunnen maken. Er is in de subregio een lichte stijging in deelname aan technische profielen. </w:t>
      </w:r>
    </w:p>
    <w:p w:rsidRPr="00AC0671" w:rsidR="00F54D4D" w:rsidP="00AC0671" w:rsidRDefault="00F54D4D" w14:paraId="6AA6F9B5" w14:textId="77777777">
      <w:pPr>
        <w:rPr>
          <w:szCs w:val="18"/>
        </w:rPr>
      </w:pPr>
    </w:p>
    <w:p w:rsidR="00AC0671" w:rsidP="00AC0671" w:rsidRDefault="00AC0671" w14:paraId="38C2AF87" w14:textId="77777777">
      <w:pPr>
        <w:rPr>
          <w:szCs w:val="18"/>
        </w:rPr>
      </w:pPr>
      <w:r w:rsidRPr="00AC0671">
        <w:rPr>
          <w:szCs w:val="18"/>
          <w:u w:val="single"/>
        </w:rPr>
        <w:t>Voor docenten:</w:t>
      </w:r>
      <w:r w:rsidRPr="00AC0671">
        <w:rPr>
          <w:szCs w:val="18"/>
        </w:rPr>
        <w:t xml:space="preserve"> Docenten ervaren STO als meer aandacht voor hun vak, uitbreiding van leeromgevingen en een motiverender leeromgeving in de school: “</w:t>
      </w:r>
      <w:r w:rsidRPr="00AC0671">
        <w:rPr>
          <w:i/>
          <w:iCs/>
          <w:szCs w:val="18"/>
        </w:rPr>
        <w:t>Zowel docenten als leerlingen worden enthousiaster van moderne apparatuur dan van de traditionele handzaag.” “Het lesrooster is vol, maar door de koppeling aan keuzevakken voelen ze ruimte. Hun praktijkkennis neemt toe en deze brengen ze terug de school in</w:t>
      </w:r>
      <w:r w:rsidRPr="00AC0671">
        <w:rPr>
          <w:szCs w:val="18"/>
        </w:rPr>
        <w:t>.” Het netwerk van docenten is uitgebreid. Soms is het lastig STO-tijd te scheiden van schooltijd; “</w:t>
      </w:r>
      <w:r w:rsidRPr="00AC0671">
        <w:rPr>
          <w:i/>
          <w:iCs/>
          <w:szCs w:val="18"/>
        </w:rPr>
        <w:t>Het helpt als docenten ervaren dat de activiteiten echt ten goede komen van leerlingen</w:t>
      </w:r>
      <w:r w:rsidRPr="00AC0671">
        <w:rPr>
          <w:szCs w:val="18"/>
        </w:rPr>
        <w:t xml:space="preserve">.” </w:t>
      </w:r>
    </w:p>
    <w:p w:rsidRPr="00AC0671" w:rsidR="00F54D4D" w:rsidP="00AC0671" w:rsidRDefault="00F54D4D" w14:paraId="37A0B464" w14:textId="77777777">
      <w:pPr>
        <w:rPr>
          <w:szCs w:val="18"/>
        </w:rPr>
      </w:pPr>
    </w:p>
    <w:p w:rsidR="00AC0671" w:rsidP="780653D5" w:rsidRDefault="00AC0671" w14:paraId="1FD4ABA1" w14:textId="7C7F135E">
      <w:r>
        <w:t>Het onder begeleiding van hybride instructeurs leren bij bedrijven en bedrijfsvakscholen loopt goed. Het werken met hybride docenten binnen de school kwam niet goed uit de verf: “</w:t>
      </w:r>
      <w:r w:rsidRPr="780653D5">
        <w:rPr>
          <w:i/>
          <w:iCs/>
        </w:rPr>
        <w:t>Twee middagen in de week is te weinig om binding te krijgen met vmbo-leerlingen.”</w:t>
      </w:r>
      <w:r>
        <w:t xml:space="preserve"> </w:t>
      </w:r>
    </w:p>
    <w:p w:rsidRPr="00AC0671" w:rsidR="00F54D4D" w:rsidP="00AC0671" w:rsidRDefault="00F54D4D" w14:paraId="3216EB8A" w14:textId="77777777">
      <w:pPr>
        <w:rPr>
          <w:szCs w:val="18"/>
        </w:rPr>
      </w:pPr>
    </w:p>
    <w:p w:rsidR="00AC0671" w:rsidP="00AC0671" w:rsidRDefault="00AC0671" w14:paraId="3CC9144F" w14:textId="77777777">
      <w:pPr>
        <w:rPr>
          <w:szCs w:val="18"/>
        </w:rPr>
      </w:pPr>
      <w:r w:rsidRPr="00AC0671">
        <w:rPr>
          <w:szCs w:val="18"/>
        </w:rPr>
        <w:t>“</w:t>
      </w:r>
      <w:r w:rsidRPr="00AC0671">
        <w:rPr>
          <w:i/>
          <w:iCs/>
          <w:szCs w:val="18"/>
        </w:rPr>
        <w:t>Door STO hebben bedrijven doorgekregen, dat het vmbo en jongere leerlingen belangrijk voor ze zijn en dat ze in die leerlingen moeten investeren opdat ze doorleren aan een technisch mbo”.</w:t>
      </w:r>
      <w:r w:rsidRPr="00AC0671">
        <w:rPr>
          <w:szCs w:val="18"/>
        </w:rPr>
        <w:t xml:space="preserve"> Bedrijven hebben hun aandacht verlegd van vooral het mbo-niveau, naar vmbo en po. Er is wel een verschil in slagkracht/tempo tussen ondernemers en onderwijs. “</w:t>
      </w:r>
      <w:r w:rsidRPr="00AC0671">
        <w:rPr>
          <w:i/>
          <w:iCs/>
          <w:szCs w:val="18"/>
        </w:rPr>
        <w:t>Als het te langzaam gaat binnen STO is het risico: als we toch geld investeren, dan doen we het wel zelf.” Datzelfde geldt voor als het in de lumpsum terecht zou komen, dan zeggen bedrijven: ‘Dan gaan we ons eigen plan trekken.’”</w:t>
      </w:r>
      <w:r w:rsidRPr="00AC0671">
        <w:rPr>
          <w:szCs w:val="18"/>
        </w:rPr>
        <w:t xml:space="preserve"> </w:t>
      </w:r>
    </w:p>
    <w:p w:rsidRPr="00AC0671" w:rsidR="00F54D4D" w:rsidP="00AC0671" w:rsidRDefault="00F54D4D" w14:paraId="01D41391" w14:textId="77777777">
      <w:pPr>
        <w:rPr>
          <w:szCs w:val="18"/>
        </w:rPr>
      </w:pPr>
    </w:p>
    <w:p w:rsidRPr="004A153D" w:rsidR="00AC0671" w:rsidP="00283B39" w:rsidRDefault="00AC0671" w14:paraId="091CE5DB" w14:textId="77777777">
      <w:pPr>
        <w:pStyle w:val="Geenafstand"/>
        <w:rPr>
          <w:i/>
        </w:rPr>
      </w:pPr>
      <w:r w:rsidRPr="004A153D">
        <w:rPr>
          <w:i/>
        </w:rPr>
        <w:t>Vmbo-mbo: welk aanbod is er tot stand gekomen?</w:t>
      </w:r>
    </w:p>
    <w:p w:rsidR="00AC0671" w:rsidP="00AC0671" w:rsidRDefault="00AC0671" w14:paraId="34AABD27" w14:textId="77777777">
      <w:pPr>
        <w:rPr>
          <w:szCs w:val="18"/>
        </w:rPr>
      </w:pPr>
      <w:r w:rsidRPr="00AC0671">
        <w:rPr>
          <w:szCs w:val="18"/>
        </w:rPr>
        <w:t>Aansluiting is al lang een thema in de regio. Het contact met de bedrijfsvakscholen loopt prima, maar “d</w:t>
      </w:r>
      <w:r w:rsidRPr="00AC0671">
        <w:rPr>
          <w:i/>
          <w:iCs/>
          <w:szCs w:val="18"/>
        </w:rPr>
        <w:t>oor STO is er nog niet genoeg veranderd in de contacten met het mbo.”</w:t>
      </w:r>
      <w:r w:rsidRPr="00AC0671">
        <w:rPr>
          <w:szCs w:val="18"/>
        </w:rPr>
        <w:t xml:space="preserve"> Het blijkt lastig om structurele afspraken te maken met het roc, onder meer vanwege de gelaagdheid van de organisatie. “</w:t>
      </w:r>
      <w:r w:rsidRPr="00AC0671">
        <w:rPr>
          <w:i/>
          <w:iCs/>
          <w:szCs w:val="18"/>
        </w:rPr>
        <w:t>Contact lukt voornamelijk als het persoonlijk contact is en dat is heel kwetsbaar</w:t>
      </w:r>
      <w:r w:rsidRPr="00AC0671">
        <w:rPr>
          <w:szCs w:val="18"/>
        </w:rPr>
        <w:t xml:space="preserve">.” Gericht op het uitvoeren van keuzevakken bij het mbo waren er twee mbo-docenten als verbinders aangesteld, maar door een te sterke gerichtheid op het eigen vakgebied werkte dat niet. Het doen van keuzevakken bij het mbo is dus in opbouw, er wordt gezocht naar een model dat voor de techniekprofielen werkt en uitgerold kan worden. Dat staat op de rol voor komende periode. Wel wordt er veel samengewerkt met de bedrijfsvakscholen: zij werken met een keuzemenu gemaakt voor de vmbo-scholen. De grote flexibiliteit van de bedrijfsvakscholen is een belangrijke factor in het goede verloop van de samenwerking. Met een mbo buiten de regio worden afspraken gemaakt over geïntegreerde routes (basisberoepsgerichte leerweg naar mbo2 waarin geen vmbo-examen gedaan hoeft te worden). </w:t>
      </w:r>
    </w:p>
    <w:p w:rsidRPr="00AC0671" w:rsidR="00F54D4D" w:rsidP="00AC0671" w:rsidRDefault="00F54D4D" w14:paraId="43DF6EE8" w14:textId="77777777">
      <w:pPr>
        <w:rPr>
          <w:szCs w:val="18"/>
        </w:rPr>
      </w:pPr>
    </w:p>
    <w:tbl>
      <w:tblPr>
        <w:tblStyle w:val="Tabelraster"/>
        <w:tblW w:w="0" w:type="auto"/>
        <w:tblLook w:val="04A0" w:firstRow="1" w:lastRow="0" w:firstColumn="1" w:lastColumn="0" w:noHBand="0" w:noVBand="1"/>
      </w:tblPr>
      <w:tblGrid>
        <w:gridCol w:w="9062"/>
      </w:tblGrid>
      <w:tr w:rsidRPr="00AC0671" w:rsidR="00AC0671" w:rsidTr="780653D5" w14:paraId="6FC66DCC" w14:textId="77777777">
        <w:tc>
          <w:tcPr>
            <w:tcW w:w="9062" w:type="dxa"/>
          </w:tcPr>
          <w:p w:rsidRPr="00AC0671" w:rsidR="00AC0671" w:rsidP="00FC2172" w:rsidRDefault="00AC0671" w14:paraId="15275CA9" w14:textId="77777777">
            <w:pPr>
              <w:rPr>
                <w:b/>
                <w:bCs/>
                <w:szCs w:val="18"/>
              </w:rPr>
            </w:pPr>
            <w:r w:rsidRPr="00AC0671">
              <w:rPr>
                <w:b/>
                <w:bCs/>
                <w:szCs w:val="18"/>
              </w:rPr>
              <w:t>Lichte stijging in aandeel leerlingen in technische profielen</w:t>
            </w:r>
          </w:p>
          <w:p w:rsidRPr="00AC0671" w:rsidR="00AC0671" w:rsidP="00FC2172" w:rsidRDefault="68E7F9AD" w14:paraId="221A6A8E" w14:textId="04C2ABF7">
            <w:r>
              <w:t xml:space="preserve">Landelijk is het leerlingaantal in vmbo afgelopen jaren gedaald. </w:t>
            </w:r>
            <w:r w:rsidR="00AC0671">
              <w:t xml:space="preserve">Het aantal leerlingen in technische profielen in de subregio is in leerjaar 3 van 177 in 2019-2020 naar 124 in leerjaar 2023-24 afgenomen; leerjaar 4 laat een afname zien van 159 naar 114 leerlingen. Het totaal aantal leerlingen bedroeg bij </w:t>
            </w:r>
            <w:r w:rsidR="00AC0671">
              <w:lastRenderedPageBreak/>
              <w:t xml:space="preserve">aanvang 336 en is afgenomen naar 238. </w:t>
            </w:r>
            <w:r w:rsidR="770C7A27">
              <w:t xml:space="preserve">Vanwege de </w:t>
            </w:r>
            <w:r w:rsidR="3C437FBF">
              <w:t>algehele</w:t>
            </w:r>
            <w:r w:rsidR="770C7A27">
              <w:t xml:space="preserve"> leerlingdaling </w:t>
            </w:r>
            <w:r w:rsidR="3C437FBF">
              <w:t xml:space="preserve">in het vmbo </w:t>
            </w:r>
            <w:r w:rsidR="770C7A27">
              <w:t>is er p</w:t>
            </w:r>
            <w:r w:rsidR="00AC0671">
              <w:t xml:space="preserve">ercentueel in deze periode een </w:t>
            </w:r>
            <w:r w:rsidR="770C7A27">
              <w:t xml:space="preserve">relatieve </w:t>
            </w:r>
            <w:r w:rsidR="00AC0671">
              <w:t xml:space="preserve">stijging van leerlingen in de technische profielen van 21 naar 23%. </w:t>
            </w:r>
          </w:p>
          <w:p w:rsidRPr="00AC0671" w:rsidR="00A02E89" w:rsidP="00FC2172" w:rsidRDefault="00A02E89" w14:paraId="0AA8713E" w14:textId="77777777">
            <w:pPr>
              <w:rPr>
                <w:szCs w:val="18"/>
              </w:rPr>
            </w:pPr>
          </w:p>
          <w:p w:rsidRPr="00AC0671" w:rsidR="00AC0671" w:rsidP="00FC2172" w:rsidRDefault="00AC0671" w14:paraId="6A769509" w14:textId="77777777">
            <w:pPr>
              <w:rPr>
                <w:b/>
                <w:bCs/>
                <w:szCs w:val="18"/>
              </w:rPr>
            </w:pPr>
            <w:r w:rsidRPr="00AC0671">
              <w:rPr>
                <w:b/>
                <w:bCs/>
                <w:szCs w:val="18"/>
              </w:rPr>
              <w:t>Stijging aandeel doorstromers naar mbo-techniek uit niet-technische profielen</w:t>
            </w:r>
          </w:p>
          <w:p w:rsidRPr="00AC0671" w:rsidR="00AC0671" w:rsidP="00FC2172" w:rsidRDefault="00AC0671" w14:paraId="62407719" w14:textId="082D84DD">
            <w:r>
              <w:t>Het aandeel leerlingen met een niet-technisch profiel met minstens één keuzevak techniek dat doorstroomt naar mbo-techniek is gestegen naar 22% (cijfers examenjaar 2022). Het aandeel leerlingen met een technisch profiel dat doorstroomt naar technisch mbo is wat afgenomen naar 71% in 2022/23; het aandeel leerlingen dat doorstroomt naar een technische opleiding in het mbo vanuit een niet-technisch profiel is juist toegenomen naar 29%.</w:t>
            </w:r>
          </w:p>
          <w:p w:rsidRPr="00AC0671" w:rsidR="00A02E89" w:rsidP="00FC2172" w:rsidRDefault="00A02E89" w14:paraId="1400D642" w14:textId="77777777"/>
          <w:p w:rsidRPr="00AC0671" w:rsidR="00AC0671" w:rsidP="00FC2172" w:rsidRDefault="00AC0671" w14:paraId="5E25EB72" w14:textId="77777777">
            <w:pPr>
              <w:rPr>
                <w:szCs w:val="18"/>
              </w:rPr>
            </w:pPr>
            <w:r w:rsidRPr="00AC0671">
              <w:rPr>
                <w:szCs w:val="18"/>
              </w:rPr>
              <w:t xml:space="preserve">Bron: bewerking ROA </w:t>
            </w:r>
            <w:r w:rsidRPr="00AC0671">
              <w:rPr>
                <w:szCs w:val="18"/>
                <w:u w:val="single"/>
              </w:rPr>
              <w:t xml:space="preserve">op basis van DUO-gegevens, groen vmbo is niet meegerekend. </w:t>
            </w:r>
          </w:p>
        </w:tc>
      </w:tr>
    </w:tbl>
    <w:p w:rsidRPr="00AC0671" w:rsidR="00AC0671" w:rsidP="00AC0671" w:rsidRDefault="00AC0671" w14:paraId="2A6F0ED7" w14:textId="77777777">
      <w:pPr>
        <w:rPr>
          <w:szCs w:val="18"/>
        </w:rPr>
      </w:pPr>
    </w:p>
    <w:p w:rsidRPr="00F23432" w:rsidR="00AC0671" w:rsidP="00283B39" w:rsidRDefault="00AC0671" w14:paraId="01991EF5" w14:textId="77777777">
      <w:pPr>
        <w:pStyle w:val="Kop4"/>
      </w:pPr>
      <w:r w:rsidRPr="00283B39">
        <w:rPr>
          <w:rFonts w:ascii="Trebuchet MS" w:hAnsi="Trebuchet MS"/>
        </w:rPr>
        <w:t>Overall beeld</w:t>
      </w:r>
    </w:p>
    <w:p w:rsidRPr="00AC0671" w:rsidR="00AC0671" w:rsidP="00AC0671" w:rsidRDefault="00AC0671" w14:paraId="6A45501A" w14:textId="77777777">
      <w:pPr>
        <w:rPr>
          <w:szCs w:val="18"/>
        </w:rPr>
      </w:pPr>
      <w:r w:rsidRPr="00AC0671">
        <w:rPr>
          <w:szCs w:val="18"/>
        </w:rPr>
        <w:t xml:space="preserve">De subregio heeft ervoor gekozen om fors in te zetten op de organisatie van samenwerking binnen STO, met een gedeelde visie en missie. Dat betekent dat er in tweede instantie (pas) activiteiten zijn uitgevoerd, maar dat men er in samenwerking altijd uitkomt. Er wordt kritisch gekeken naar wat nodig is, ook faciliteiten deelt men. Niet-technische scholen - hoewel de school met een technische invulling van D&amp;P en ook de groene school nauwelijks zo genoemd kan worden - doen even hard mee. Een wapenfeit van de subregio, tot stand gekomen door de intensieve samenwerking, is dat leerlingen op andere scholen keuzevakken kunnen volgen. Dat past bij de visie van de subregio dat leerlingen in de regio moeten leren waar dat het beste kan, binnen- of buitenschools. De komende jaren gaat men verder op de lijn van hybride leren met ‘de regio als klaslokaal’. Het aanbod voor leerlingen is uitgebreid. Op de techniekscholen zijn technolabs gekomen of in aanbouw, die voor een brede groep leerlingen worden opengesteld. Er gaat steeds meer aandacht naar het po, om de aandacht voor techniek een structurele plek te geven en er is aandacht voor de leerlingenreis vanaf het po. De bedrijfsvakscholen nemen een belangrijke plaats in, en met het mbo zijn hernieuwde pogingen om doorlopende routes rondom keuzevakken tot stand te brengen. </w:t>
      </w:r>
    </w:p>
    <w:p w:rsidRPr="00AC0671" w:rsidR="00AC0671" w:rsidP="008224AB" w:rsidRDefault="00AC0671" w14:paraId="001EF102" w14:textId="77777777">
      <w:pPr>
        <w:pStyle w:val="Plattetekst"/>
      </w:pPr>
    </w:p>
    <w:p w:rsidRPr="00AC0671" w:rsidR="00AC0671" w:rsidP="00832357" w:rsidRDefault="00AC0671" w14:paraId="3E108676" w14:textId="77777777">
      <w:pPr>
        <w:pStyle w:val="Kop3"/>
      </w:pPr>
      <w:bookmarkStart w:name="_Toc203573565" w:id="17"/>
      <w:r w:rsidRPr="00AC0671">
        <w:t>STO-regio D</w:t>
      </w:r>
      <w:bookmarkEnd w:id="17"/>
    </w:p>
    <w:p w:rsidR="00AC0671" w:rsidP="00AC0671" w:rsidRDefault="00AC0671" w14:paraId="1B032135" w14:textId="77777777">
      <w:pPr>
        <w:rPr>
          <w:szCs w:val="18"/>
        </w:rPr>
      </w:pPr>
      <w:r w:rsidRPr="00AC0671">
        <w:rPr>
          <w:szCs w:val="18"/>
        </w:rPr>
        <w:t xml:space="preserve">Deze regio omspant een vrij compact gebied met een duidelijke centrumgemeente en een aantal omliggende kleinere gemeenten. De meeste vmbo-scholen vallen onder hetzelfde schoolbestuur. Er zijn (slechts) twee vmbo-locaties met harde techniekprofielen (beide PIE en BWI). De overige vmbo-scholen hebben (enkel of ook) een D&amp;P-profiel met wel een vaak sterke technische component. Enkele vmbo-scholen hadden recent wel meerdere technische profielen, maar bieden nu het profiel D&amp;P aan met gebruikmaking van de technische infrastructuur die al beschikbaar was binnen de school. Daardoor is toch techniekrijk onderwijs mogelijk.   </w:t>
      </w:r>
    </w:p>
    <w:p w:rsidRPr="00AC0671" w:rsidR="00F54D4D" w:rsidP="00AC0671" w:rsidRDefault="00F54D4D" w14:paraId="5FAB8174" w14:textId="77777777">
      <w:pPr>
        <w:rPr>
          <w:szCs w:val="18"/>
        </w:rPr>
      </w:pPr>
    </w:p>
    <w:p w:rsidR="00AC0671" w:rsidP="00AC0671" w:rsidRDefault="00AC0671" w14:paraId="621DA2ED" w14:textId="77777777">
      <w:pPr>
        <w:rPr>
          <w:szCs w:val="18"/>
        </w:rPr>
      </w:pPr>
      <w:r w:rsidRPr="00AC0671">
        <w:rPr>
          <w:szCs w:val="18"/>
        </w:rPr>
        <w:t xml:space="preserve">De regio STO werkte in de periode 2020-2024 samen met 11 vmbo-locaties, 1 mbo, 1 vso-locatie en 1 Pro-college. De regio telt ongeveer 140 basisscholen. In de actuele, nieuwe periode is het netwerk uitgebreid naar 17 vmbo-locaties, 1 mbo, 2 Pro-scholen, 2 vso-scholen en 5 po schoolbesturen (ruim 60 basisscholen). Er is dus een vrij groot aantal scholen die nieuwe partners in STO zijn en het po is nieuw als formele partner in STO. </w:t>
      </w:r>
    </w:p>
    <w:p w:rsidR="00F54D4D" w:rsidP="00AC0671" w:rsidRDefault="00F54D4D" w14:paraId="7197F005" w14:textId="77777777">
      <w:pPr>
        <w:rPr>
          <w:szCs w:val="18"/>
        </w:rPr>
      </w:pPr>
    </w:p>
    <w:p w:rsidRPr="00F54D4D" w:rsidR="00F54D4D" w:rsidP="00AC0671" w:rsidRDefault="00F54D4D" w14:paraId="12CEA1E0" w14:textId="3B6BE430">
      <w:pPr>
        <w:rPr>
          <w:i/>
          <w:iCs/>
          <w:szCs w:val="18"/>
        </w:rPr>
      </w:pPr>
      <w:r w:rsidRPr="00F54D4D">
        <w:rPr>
          <w:i/>
          <w:iCs/>
          <w:szCs w:val="18"/>
        </w:rPr>
        <w:t>Middelen, verdeling budget</w:t>
      </w:r>
    </w:p>
    <w:p w:rsidRPr="00AC0671" w:rsidR="00AC0671" w:rsidP="00AC0671" w:rsidRDefault="00AC0671" w14:paraId="756B35F2" w14:textId="3F729515">
      <w:pPr>
        <w:rPr>
          <w:szCs w:val="18"/>
        </w:rPr>
      </w:pPr>
      <w:r w:rsidRPr="00AC0671">
        <w:rPr>
          <w:szCs w:val="18"/>
        </w:rPr>
        <w:t>De regio heeft een budget van ongeveer 5 miljoen euro per STO-periode (circa 1,3 mln euro/jaar) dat voornamelijk (ca. 80%) naar loonkosten gaat. Het budget wordt regionaal beheerd en verdeeld. STO-partners kunnen onderbouwde aanvragen indienen voor activiteiten, voorzieningen en investeringen. Voorwaarde is dat de aanvraag een meerwaarde moet hebben voor anderen in de regio. Investeringen in zuiver schoolse voorzieningen zijn in principe dus niet de bedoeling; het regio-belang staat voorop en STO-voorzieningen moeten in principe voor iedereen toegankelijk zijn. Er is in het algemeen binnen de regio tevredenheid over deze aanpak (“</w:t>
      </w:r>
      <w:r w:rsidRPr="00AC0671">
        <w:rPr>
          <w:i/>
          <w:iCs/>
          <w:szCs w:val="18"/>
        </w:rPr>
        <w:t>is voor alle partijen beter</w:t>
      </w:r>
      <w:r w:rsidRPr="00AC0671">
        <w:rPr>
          <w:szCs w:val="18"/>
        </w:rPr>
        <w:t>”). Het stimuleert de samenwerking en de regionale doorwerking van projecten en voorzieningen</w:t>
      </w:r>
      <w:r w:rsidR="007D1D6A">
        <w:rPr>
          <w:szCs w:val="18"/>
        </w:rPr>
        <w:t>,</w:t>
      </w:r>
      <w:r w:rsidRPr="00AC0671">
        <w:rPr>
          <w:szCs w:val="18"/>
        </w:rPr>
        <w:t xml:space="preserve"> en het stimuleert tevens de kwaliteit van investeringen doordat aanvragen goed onderbouwd moeten worden richting het regionaal programmamanagement. De twee techlabs binnen de regio die met STO-middelen zijn opgezet zijn </w:t>
      </w:r>
      <w:r w:rsidRPr="00AC0671">
        <w:rPr>
          <w:szCs w:val="18"/>
        </w:rPr>
        <w:lastRenderedPageBreak/>
        <w:t xml:space="preserve">weliswaar gehuisvest binnen de beide vmbo-scholen met PIE en BWI, waardoor de leerlingen van die scholen ook meer gebruik maken van het lab (andere scholen kunnen op afspraak een bezoek brengen). Maar in het algemeen is er consensus dat de STO-middelen voor de hele regio zijn en niet met name voor de beide technische scholen. </w:t>
      </w:r>
    </w:p>
    <w:p w:rsidR="00F54D4D" w:rsidP="00AC0671" w:rsidRDefault="00AC0671" w14:paraId="089D8FF4" w14:textId="427D3AED">
      <w:r>
        <w:t>Het regionale beheer van het budget lijkt ook tot eigen accenten bij de inzet van middelen te leiden, in vergelijking tot andere regio’s waar het budget rechtstreeks naar de vmbo-scholen gaat. In deze regio is in de afgelopen jaren vooral geïnvesteerd in regionale hotspots en in ontwikkeluren (zoals ten behoeve van bovenschoolse keuzevakken in de techniek)</w:t>
      </w:r>
      <w:r w:rsidR="684E69A6">
        <w:t xml:space="preserve">. </w:t>
      </w:r>
      <w:r>
        <w:t xml:space="preserve"> </w:t>
      </w:r>
    </w:p>
    <w:p w:rsidR="009E43B6" w:rsidP="00AC0671" w:rsidRDefault="009E43B6" w14:paraId="5573B2F9" w14:textId="77777777">
      <w:pPr>
        <w:rPr>
          <w:szCs w:val="18"/>
        </w:rPr>
      </w:pPr>
    </w:p>
    <w:p w:rsidR="00F54D4D" w:rsidP="00AC0671" w:rsidRDefault="00F54D4D" w14:paraId="14208E06" w14:textId="4A28EB15">
      <w:pPr>
        <w:rPr>
          <w:i/>
          <w:iCs/>
          <w:szCs w:val="18"/>
        </w:rPr>
      </w:pPr>
      <w:r w:rsidRPr="00F54D4D">
        <w:rPr>
          <w:i/>
          <w:iCs/>
          <w:szCs w:val="18"/>
        </w:rPr>
        <w:t>Eerdere en bestaande samenwerking</w:t>
      </w:r>
    </w:p>
    <w:p w:rsidR="00AC0671" w:rsidP="00AC0671" w:rsidRDefault="00AC0671" w14:paraId="0F92C5FB" w14:textId="1500CA92">
      <w:r>
        <w:t xml:space="preserve">Deze regio kent vanaf 2005 een samenwerking gericht op de afstemming van de onderwijs-arbeidsmarkt en de doorstroom vmbo-mbo. Vmbo- en mbo-scholen, opleidingsbedrijven, de techniekcentra en het bedrijfsleven werkten hierin al samen en zijn daarmee in STO-verband doorgegaan.De regio kent voorts een al langer (vóór STO) bestaande regionale structuur voor techniekonderwijs en -promotie. Die al langer bestaande voorzieningen richten zich met name op het basisonderwijs en daarnaast ook op de onderbouw van het vo. Ten eerste is er een door het mbo opgezet, goed geëquipeerd techlab (vanaf 2006), waarvan basisscholen (en later ook onderbouw vo) gebruik kunnen maken. In de randgemeenten zijn er ook meerdere technieklokalen voor met name het basisonderwijs, die zijn opgezet door netwerken van gemeenten, po en lokaal bedrijfsleven. Ook is er een vmbo-school die al voor STO een ontdeklab voor het basisonderwijs in de omgeving had opgezet. Deze al voor STO opgezette voorzieningen hebben eigen stuur- en regiegroepen die losstaan (losstonden) van STO. Vanuit met name het door het mbo beheerde techlab voor het po wordt vanaf 2020 wel afgestemd en samengewerkt met STO en ook kan het mbo voor dat techlab een aanvraag doen bij de regionaal beheerde STO-middelen. Het techlab van het mbo fungeert nu naast de twee direct vanuit STO opgezette en bekostigde regionale voorzieningen als één van de </w:t>
      </w:r>
      <w:r w:rsidRPr="0704D9E2">
        <w:rPr>
          <w:i/>
          <w:iCs/>
        </w:rPr>
        <w:t>drie regionale hotspots</w:t>
      </w:r>
      <w:r>
        <w:t xml:space="preserve"> voor techniek/technologie voor het po en vmbo. De drie regionale hotspots zijn ook de drie plekken waar leerlingen in de onderbouw vmbo heen gaan als onderdeel van hun Oriëntatieroute technologie. </w:t>
      </w:r>
    </w:p>
    <w:p w:rsidR="00F54D4D" w:rsidP="00AC0671" w:rsidRDefault="00F54D4D" w14:paraId="3E285AFD" w14:textId="77777777">
      <w:pPr>
        <w:rPr>
          <w:szCs w:val="18"/>
        </w:rPr>
      </w:pPr>
    </w:p>
    <w:p w:rsidRPr="00F54D4D" w:rsidR="00F54D4D" w:rsidP="00AC0671" w:rsidRDefault="00F54D4D" w14:paraId="411AD60A" w14:textId="4BDD9914">
      <w:pPr>
        <w:rPr>
          <w:i/>
          <w:iCs/>
          <w:szCs w:val="18"/>
        </w:rPr>
      </w:pPr>
      <w:r w:rsidRPr="00F54D4D">
        <w:rPr>
          <w:i/>
          <w:iCs/>
          <w:szCs w:val="18"/>
        </w:rPr>
        <w:t>Accenten in STO</w:t>
      </w:r>
    </w:p>
    <w:p w:rsidR="00AC0671" w:rsidP="00AC0671" w:rsidRDefault="00AC0671" w14:paraId="07F49FCC" w14:textId="6157B866">
      <w:r>
        <w:t xml:space="preserve">De belangrijkste inhoudelijke verandering in deze regio is het sterkere accent in de actuele periode op het </w:t>
      </w:r>
      <w:r w:rsidR="006833FF">
        <w:t>po</w:t>
      </w:r>
      <w:r>
        <w:t xml:space="preserve"> (laten kennismaken en ontdekken) en het nauwer en meer betrekken van </w:t>
      </w:r>
      <w:r w:rsidR="4274DA8E">
        <w:t xml:space="preserve">het </w:t>
      </w:r>
      <w:r>
        <w:t>pr</w:t>
      </w:r>
      <w:r w:rsidR="41C07368">
        <w:t xml:space="preserve">aktijkonderwijs </w:t>
      </w:r>
      <w:r>
        <w:t xml:space="preserve">en </w:t>
      </w:r>
      <w:r w:rsidR="07E591EA">
        <w:t xml:space="preserve">het speciaal onderwijs. </w:t>
      </w:r>
      <w:r>
        <w:t xml:space="preserve">. Belangrijk doel is om meer techniek in andere profielen te integreren, met keuzevakken en crossovers van techniek en andere sectoren. Kern van de recente aanpak (vanaf 2024) is om de tech-hotspots nog meer nabij scholen voor po en vmbo te plaatsen, omdat reisafstand een obstakel is gebleken voor een bezoek aan een van de drie regionale tech-hotspot. Sinds kort zijn er 6 regionale hotspots die jaarlijks via STO worden bezocht door meerdere duizenden individuele vmbo- en po-leerlingen. </w:t>
      </w:r>
    </w:p>
    <w:p w:rsidRPr="00AC0671" w:rsidR="00F54D4D" w:rsidP="00AC0671" w:rsidRDefault="00F54D4D" w14:paraId="3B19F217" w14:textId="77777777">
      <w:pPr>
        <w:rPr>
          <w:szCs w:val="18"/>
        </w:rPr>
      </w:pPr>
    </w:p>
    <w:p w:rsidRPr="00AC0671" w:rsidR="00AC0671" w:rsidP="00AC0671" w:rsidRDefault="00AC0671" w14:paraId="4EA31C97" w14:textId="084D0AE4">
      <w:r>
        <w:t xml:space="preserve">Voor de bovenbouw is een belangrijke inzet in deze regio om </w:t>
      </w:r>
      <w:r w:rsidRPr="68DA9CCC">
        <w:rPr>
          <w:i/>
          <w:iCs/>
        </w:rPr>
        <w:t>bovenschoolse</w:t>
      </w:r>
      <w:r>
        <w:t xml:space="preserve"> keuzevakken in de techniek te ontwikkelen en aan te bieden. Leerlingen kunnen, nadrukkelijk ook vanuit niet-technische profielen, zo kiezen uit een groter en meer aantrekkelijk aanbod aan keuzevakken in de techniek. Er zijn nu drie van deze bovenschoolse keuzevakken en enkele zijn nog in ontwikkeling. </w:t>
      </w:r>
      <w:r w:rsidR="5141FEDF">
        <w:t xml:space="preserve">De overige keuzevakken zijn eveneens te volgen door leerlingen van een andere school. </w:t>
      </w:r>
    </w:p>
    <w:p w:rsidRPr="00AC0671" w:rsidR="00AC0671" w:rsidP="00AC0671" w:rsidRDefault="00AC0671" w14:paraId="628CB1A2" w14:textId="77777777">
      <w:pPr>
        <w:pStyle w:val="Kop4"/>
        <w:rPr>
          <w:rFonts w:ascii="Trebuchet MS" w:hAnsi="Trebuchet MS"/>
          <w:szCs w:val="18"/>
        </w:rPr>
      </w:pPr>
      <w:r w:rsidRPr="00AC0671">
        <w:rPr>
          <w:rFonts w:ascii="Trebuchet MS" w:hAnsi="Trebuchet MS"/>
          <w:szCs w:val="18"/>
        </w:rPr>
        <w:t>Programmastructuur</w:t>
      </w:r>
    </w:p>
    <w:p w:rsidRPr="00D43F8C" w:rsidR="00D43F8C" w:rsidP="00283B39" w:rsidRDefault="00AC0671" w14:paraId="2A2BEBDF" w14:textId="77777777">
      <w:pPr>
        <w:pStyle w:val="Kop4"/>
        <w:rPr>
          <w:rFonts w:ascii="Trebuchet MS" w:hAnsi="Trebuchet MS" w:eastAsia="Times New Roman" w:cs="Times New Roman"/>
          <w:bCs w:val="0"/>
          <w:iCs w:val="0"/>
          <w:color w:val="auto"/>
          <w:szCs w:val="24"/>
          <w:lang w:eastAsia="nl-NL"/>
        </w:rPr>
      </w:pPr>
      <w:r w:rsidRPr="00D43F8C">
        <w:rPr>
          <w:rFonts w:ascii="Trebuchet MS" w:hAnsi="Trebuchet MS" w:eastAsia="Times New Roman" w:cs="Times New Roman"/>
          <w:bCs w:val="0"/>
          <w:iCs w:val="0"/>
          <w:color w:val="auto"/>
          <w:szCs w:val="24"/>
          <w:lang w:eastAsia="nl-NL"/>
        </w:rPr>
        <w:t xml:space="preserve">Er is een regionale Stuurgroep en een tweekoppig programma-management dat het regionale budget beheert. Scholen zijn vertegenwoordigd in de werkgroepen en ontwikkelgroepen rondom de programmalijnen. </w:t>
      </w:r>
    </w:p>
    <w:p w:rsidRPr="00337E1F" w:rsidR="00F54D4D" w:rsidP="00283B39" w:rsidRDefault="00F54D4D" w14:paraId="6C8FB653" w14:textId="1AE3A489">
      <w:pPr>
        <w:pStyle w:val="Kop4"/>
      </w:pPr>
      <w:r w:rsidRPr="00283B39">
        <w:rPr>
          <w:rFonts w:ascii="Trebuchet MS" w:hAnsi="Trebuchet MS"/>
        </w:rPr>
        <w:t>Leerlingreis po-mbo</w:t>
      </w:r>
    </w:p>
    <w:p w:rsidR="00B64458" w:rsidP="00B64458" w:rsidRDefault="00B64458" w14:paraId="02109541" w14:textId="77777777">
      <w:pPr>
        <w:pStyle w:val="Geenafstand"/>
        <w:rPr>
          <w:i/>
          <w:iCs/>
        </w:rPr>
      </w:pPr>
    </w:p>
    <w:p w:rsidRPr="00283B39" w:rsidR="00F54D4D" w:rsidP="00283B39" w:rsidRDefault="00F54D4D" w14:paraId="5316C7AF" w14:textId="35E3DFE1">
      <w:pPr>
        <w:pStyle w:val="Geenafstand"/>
        <w:rPr>
          <w:i/>
          <w:u w:val="single"/>
        </w:rPr>
      </w:pPr>
      <w:r w:rsidRPr="00283B39">
        <w:rPr>
          <w:i/>
          <w:iCs/>
        </w:rPr>
        <w:t>Bovenbouw basisonderwijs</w:t>
      </w:r>
    </w:p>
    <w:p w:rsidRPr="00AC0671" w:rsidR="00AC0671" w:rsidP="00AC0671" w:rsidRDefault="00AC0671" w14:paraId="5334D7E4" w14:textId="659C1D3F">
      <w:r>
        <w:t>De oriëntatie op techniek/technologie in het po is tot 2025 formeel geen onderdeel van STO in deze regio en w</w:t>
      </w:r>
      <w:r w:rsidR="0D32C62C">
        <w:t>e</w:t>
      </w:r>
      <w:r>
        <w:t>rd grotendeels door anderen (mbo, po, gemeenten, bedrijven, losse vmbo-scholen) min of meer los van STO ingevuld. Dit aanbod buiten STO voorziet al in een behoefte bij basisscholen, maar heeft ook enige beperkingen:</w:t>
      </w:r>
    </w:p>
    <w:p w:rsidRPr="00AC0671" w:rsidR="00AC0671" w:rsidP="00426692" w:rsidRDefault="00AC0671" w14:paraId="2D4B2823" w14:textId="0E40B504">
      <w:pPr>
        <w:pStyle w:val="Lijstalinea"/>
        <w:numPr>
          <w:ilvl w:val="0"/>
          <w:numId w:val="28"/>
        </w:numPr>
        <w:spacing w:after="160" w:line="278" w:lineRule="auto"/>
      </w:pPr>
      <w:r>
        <w:lastRenderedPageBreak/>
        <w:t>Niet alle basisscholen in de regio hebben op korte afstand een technieklokaal o</w:t>
      </w:r>
      <w:r w:rsidR="5DBBE121">
        <w:t>f</w:t>
      </w:r>
      <w:r>
        <w:t xml:space="preserve"> techlab ter beschikking. </w:t>
      </w:r>
    </w:p>
    <w:p w:rsidRPr="00AC0671" w:rsidR="00AC0671" w:rsidP="00426692" w:rsidRDefault="00AC0671" w14:paraId="374F862E" w14:textId="311AF25F">
      <w:pPr>
        <w:pStyle w:val="Lijstalinea"/>
        <w:numPr>
          <w:ilvl w:val="0"/>
          <w:numId w:val="28"/>
        </w:numPr>
        <w:spacing w:after="160" w:line="278" w:lineRule="auto"/>
      </w:pPr>
      <w:r>
        <w:t xml:space="preserve">De aansluiting van de activiteiten in een technieklokaal/-lab op het eigen lesprogramma van basisscholen is vaak beperkt of afwezig. Voor de meeste leerlingen in het po zijn de één of enkele dagdelen per jaar bij een techlab de belangrijkste kennismaking met technologie vanuit school. Afzonderlijke basisscholen doen zelf vaak weinig tot niks aan techniekonderwijs en technologie. Een ambitie is daarom om de activiteiten bij de regionale techlabs meer in te bedden in het lesprogramma binnen een basisschool. Dat kan worden gecoördineerd en gestimuleerd door regionale afstemming en afspraken in STO-verband (en nu ook in verband van Techkwadraat). </w:t>
      </w:r>
    </w:p>
    <w:p w:rsidRPr="00AC0671" w:rsidR="00AC0671" w:rsidP="00426692" w:rsidRDefault="00AC0671" w14:paraId="00DB66C9" w14:textId="77777777">
      <w:pPr>
        <w:pStyle w:val="Lijstalinea"/>
        <w:numPr>
          <w:ilvl w:val="0"/>
          <w:numId w:val="28"/>
        </w:numPr>
        <w:spacing w:after="160" w:line="278" w:lineRule="auto"/>
        <w:rPr>
          <w:szCs w:val="18"/>
        </w:rPr>
      </w:pPr>
      <w:r w:rsidRPr="00AC0671">
        <w:rPr>
          <w:szCs w:val="18"/>
        </w:rPr>
        <w:t xml:space="preserve">Doordat de dagdelen die leerlingen invullen in een techlab vaak losse elementen zijn, blijven leerkrachten in het po zelf vaak handelingsverlegen/-onbekwaam ten aanzien van technologie en techniekonderwijs; er is nog geen sterke professionaliseringslijn voor het basisonderwijs in de regio.      </w:t>
      </w:r>
    </w:p>
    <w:p w:rsidRPr="00AC0671" w:rsidR="00AC0671" w:rsidP="00AC0671" w:rsidRDefault="00AC0671" w14:paraId="7C02D8D9" w14:textId="71D10358">
      <w:r>
        <w:t xml:space="preserve">Vanaf 2024/2025 is er een nieuwe impuls op de inzet op techniekonderwijs voor het po, mede vanwege Techkwadraat, en is de inzet op het po nu ook een pijler in het regionale STO-plan. Daarin is er het expliciete streven om alle leerlingen in het po in de regio te laten kennismaken met techniek en technologie. </w:t>
      </w:r>
    </w:p>
    <w:p w:rsidR="00B64458" w:rsidP="00B64458" w:rsidRDefault="00B64458" w14:paraId="3760BED2" w14:textId="77777777">
      <w:pPr>
        <w:pStyle w:val="Geenafstand"/>
        <w:rPr>
          <w:i/>
          <w:iCs/>
        </w:rPr>
      </w:pPr>
    </w:p>
    <w:p w:rsidRPr="00283B39" w:rsidR="00AC0671" w:rsidP="00283B39" w:rsidRDefault="00AC0671" w14:paraId="14460701" w14:textId="62CB96B0">
      <w:pPr>
        <w:pStyle w:val="Geenafstand"/>
        <w:rPr>
          <w:i/>
        </w:rPr>
      </w:pPr>
      <w:r w:rsidRPr="00283B39">
        <w:rPr>
          <w:i/>
          <w:iCs/>
        </w:rPr>
        <w:t xml:space="preserve">Onderbouw vmbo </w:t>
      </w:r>
    </w:p>
    <w:p w:rsidRPr="00AC0671" w:rsidR="00AC0671" w:rsidP="00AC0671" w:rsidRDefault="00AC0671" w14:paraId="5D876E47" w14:textId="77777777">
      <w:pPr>
        <w:rPr>
          <w:szCs w:val="18"/>
        </w:rPr>
      </w:pPr>
      <w:r w:rsidRPr="00AC0671">
        <w:rPr>
          <w:szCs w:val="18"/>
        </w:rPr>
        <w:t>De oriëntatie op technologie in de onderbouw vmbo is vanaf de start van STO een pijler in de regionale STO-aanpak. Dit krijgt met name vorm in een Oriëntatieroute voor alle vmbo-leerlingen in de regio, die ook een bezoek aan één van de regionale hotspots voor techniek omvat. In de Oriëntatieroute maken leerlingen uit de onderbouw spelenderwijs kennis met techniek en technologie, binnen de eigen school en op de hotspots. De route bestaat uit drie onderdelen:</w:t>
      </w:r>
    </w:p>
    <w:p w:rsidRPr="00AC0671" w:rsidR="00AC0671" w:rsidP="00426692" w:rsidRDefault="00AC0671" w14:paraId="2F9E8D7C" w14:textId="77777777">
      <w:pPr>
        <w:pStyle w:val="Lijstalinea"/>
        <w:numPr>
          <w:ilvl w:val="0"/>
          <w:numId w:val="27"/>
        </w:numPr>
        <w:spacing w:after="160" w:line="278" w:lineRule="auto"/>
        <w:rPr>
          <w:szCs w:val="18"/>
        </w:rPr>
      </w:pPr>
      <w:r w:rsidRPr="00AC0671">
        <w:rPr>
          <w:szCs w:val="18"/>
        </w:rPr>
        <w:t>Introductieles (op de eigen school)</w:t>
      </w:r>
    </w:p>
    <w:p w:rsidRPr="00AC0671" w:rsidR="00AC0671" w:rsidP="00426692" w:rsidRDefault="00AC0671" w14:paraId="70A692E7" w14:textId="77777777">
      <w:pPr>
        <w:pStyle w:val="Lijstalinea"/>
        <w:numPr>
          <w:ilvl w:val="0"/>
          <w:numId w:val="27"/>
        </w:numPr>
        <w:spacing w:after="160" w:line="278" w:lineRule="auto"/>
        <w:rPr>
          <w:szCs w:val="18"/>
        </w:rPr>
      </w:pPr>
      <w:r w:rsidRPr="00AC0671">
        <w:rPr>
          <w:szCs w:val="18"/>
        </w:rPr>
        <w:t>Voorbereidingsles bezoek hotspot (op de eigen school)</w:t>
      </w:r>
    </w:p>
    <w:p w:rsidRPr="00AC0671" w:rsidR="00AC0671" w:rsidP="00426692" w:rsidRDefault="00AC0671" w14:paraId="415EA559" w14:textId="77777777">
      <w:pPr>
        <w:pStyle w:val="Lijstalinea"/>
        <w:numPr>
          <w:ilvl w:val="0"/>
          <w:numId w:val="27"/>
        </w:numPr>
        <w:spacing w:after="160" w:line="278" w:lineRule="auto"/>
        <w:rPr>
          <w:szCs w:val="18"/>
        </w:rPr>
      </w:pPr>
      <w:r w:rsidRPr="00AC0671">
        <w:rPr>
          <w:szCs w:val="18"/>
        </w:rPr>
        <w:t>Bezoek aan een regionale tech hotspot.</w:t>
      </w:r>
    </w:p>
    <w:p w:rsidRPr="00AC0671" w:rsidR="00AC0671" w:rsidP="00AC0671" w:rsidRDefault="00AC0671" w14:paraId="66FA23DE" w14:textId="79047230">
      <w:pPr>
        <w:rPr>
          <w:szCs w:val="18"/>
        </w:rPr>
      </w:pPr>
      <w:r w:rsidRPr="00AC0671">
        <w:rPr>
          <w:szCs w:val="18"/>
        </w:rPr>
        <w:t>Vanaf 2024 is zoals gezegd ingezet op meer techlabs in de regio, zodat leerlingen dichterbij hun school of binnen de eigen school gebruik kunnen maken van een techlab. De regio doet sinds kort ook mee aan de JINC ‘bliksemstages’ (</w:t>
      </w:r>
      <w:r w:rsidR="00814C04">
        <w:rPr>
          <w:szCs w:val="18"/>
        </w:rPr>
        <w:t xml:space="preserve">d.w.z. </w:t>
      </w:r>
      <w:r w:rsidRPr="00AC0671">
        <w:rPr>
          <w:szCs w:val="18"/>
        </w:rPr>
        <w:t>korte bedrijfsstages van 1 dag voor leerlingen in po en onderbouw vmbo).</w:t>
      </w:r>
    </w:p>
    <w:p w:rsidR="00B64458" w:rsidP="00B64458" w:rsidRDefault="00B64458" w14:paraId="13BA1DCC" w14:textId="77777777">
      <w:pPr>
        <w:pStyle w:val="Geenafstand"/>
        <w:rPr>
          <w:i/>
          <w:iCs/>
        </w:rPr>
      </w:pPr>
    </w:p>
    <w:p w:rsidRPr="00283B39" w:rsidR="00AC0671" w:rsidP="00283B39" w:rsidRDefault="00AC0671" w14:paraId="253EE201" w14:textId="78EC13A2">
      <w:pPr>
        <w:pStyle w:val="Geenafstand"/>
        <w:rPr>
          <w:i/>
        </w:rPr>
      </w:pPr>
      <w:r w:rsidRPr="00283B39">
        <w:rPr>
          <w:i/>
          <w:iCs/>
        </w:rPr>
        <w:t>Bovenbouw vmbo</w:t>
      </w:r>
    </w:p>
    <w:p w:rsidRPr="00AC0671" w:rsidR="00AC0671" w:rsidP="00AC0671" w:rsidRDefault="00AC0671" w14:paraId="7870F87B" w14:textId="1420DEE2">
      <w:r>
        <w:t xml:space="preserve">In de bovenbouw vmbo ligt het accent binnen STO in deze regio op aantrekkelijke technische keuzevakken, regionale challenges en op diverse regionale evenementen die leerlingen laten kennismaken met bedrijven, beroepen en opleidingen in de techniek. </w:t>
      </w:r>
      <w:r w:rsidR="31EC5363">
        <w:t xml:space="preserve">, </w:t>
      </w:r>
      <w:r>
        <w:t xml:space="preserve">en Samengevat is voor leerlingen in de bovenbouw vmbo het volgende relevant:  </w:t>
      </w:r>
    </w:p>
    <w:p w:rsidRPr="00AC0671" w:rsidR="00AC0671" w:rsidP="00426692" w:rsidRDefault="00AC0671" w14:paraId="20F988C3" w14:textId="797F2BEC">
      <w:pPr>
        <w:pStyle w:val="Lijstalinea"/>
        <w:numPr>
          <w:ilvl w:val="0"/>
          <w:numId w:val="27"/>
        </w:numPr>
        <w:spacing w:after="160" w:line="278" w:lineRule="auto"/>
      </w:pPr>
      <w:r>
        <w:t>Aanbod van drie bovenschoolse keuzevakken in de techniek</w:t>
      </w:r>
      <w:r w:rsidR="09D78C45">
        <w:t xml:space="preserve"> </w:t>
      </w:r>
      <w:r>
        <w:t>en de ontwikkeling van enkele nieuwe bovenschoolse keuzevakken.</w:t>
      </w:r>
    </w:p>
    <w:p w:rsidRPr="00AC0671" w:rsidR="00AC0671" w:rsidP="00426692" w:rsidRDefault="00AC0671" w14:paraId="200060E8" w14:textId="31E5D212">
      <w:pPr>
        <w:pStyle w:val="Lijstalinea"/>
        <w:numPr>
          <w:ilvl w:val="0"/>
          <w:numId w:val="27"/>
        </w:numPr>
        <w:spacing w:after="160" w:line="278" w:lineRule="auto"/>
      </w:pPr>
      <w:r>
        <w:t>Ontwikkeling van nieuwe keuzevakken per school</w:t>
      </w:r>
      <w:r w:rsidR="668D02B5">
        <w:t>, eveneens bovenschools te volgen</w:t>
      </w:r>
      <w:r>
        <w:t xml:space="preserve">. </w:t>
      </w:r>
    </w:p>
    <w:p w:rsidRPr="00AC0671" w:rsidR="00AC0671" w:rsidP="00426692" w:rsidRDefault="00AC0671" w14:paraId="4992635F" w14:textId="77777777">
      <w:pPr>
        <w:pStyle w:val="Lijstalinea"/>
        <w:numPr>
          <w:ilvl w:val="0"/>
          <w:numId w:val="27"/>
        </w:numPr>
        <w:spacing w:after="160" w:line="278" w:lineRule="auto"/>
        <w:rPr>
          <w:szCs w:val="18"/>
        </w:rPr>
      </w:pPr>
      <w:r w:rsidRPr="00AC0671">
        <w:rPr>
          <w:szCs w:val="18"/>
        </w:rPr>
        <w:t xml:space="preserve">Mogelijkheden binnen de regionale hotspots (inmiddels zes) om daar opdrachten te doen. </w:t>
      </w:r>
    </w:p>
    <w:p w:rsidRPr="00AC0671" w:rsidR="00AC0671" w:rsidP="00426692" w:rsidRDefault="00AC0671" w14:paraId="0FFB0B1B" w14:textId="77777777">
      <w:pPr>
        <w:pStyle w:val="Lijstalinea"/>
        <w:numPr>
          <w:ilvl w:val="0"/>
          <w:numId w:val="27"/>
        </w:numPr>
        <w:spacing w:after="160" w:line="278" w:lineRule="auto"/>
        <w:rPr>
          <w:szCs w:val="18"/>
        </w:rPr>
      </w:pPr>
      <w:r w:rsidRPr="00AC0671">
        <w:rPr>
          <w:szCs w:val="18"/>
        </w:rPr>
        <w:t>Het project ‘Leren in bedrijf’ dat praktijkopdrachten binnen technische keuzevakken stimuleert. Die kunnen (deels) ook in technische bedrijven uitgevoerd worden.</w:t>
      </w:r>
    </w:p>
    <w:p w:rsidRPr="00AC0671" w:rsidR="00AC0671" w:rsidP="00426692" w:rsidRDefault="00AC0671" w14:paraId="06B311D2" w14:textId="77777777">
      <w:pPr>
        <w:pStyle w:val="Lijstalinea"/>
        <w:numPr>
          <w:ilvl w:val="0"/>
          <w:numId w:val="27"/>
        </w:numPr>
        <w:spacing w:after="160" w:line="278" w:lineRule="auto"/>
        <w:rPr>
          <w:szCs w:val="18"/>
        </w:rPr>
      </w:pPr>
      <w:r w:rsidRPr="00AC0671">
        <w:rPr>
          <w:szCs w:val="18"/>
        </w:rPr>
        <w:t xml:space="preserve">Deelname van vmbo-leerlingen aan regionale challenges zoals een </w:t>
      </w:r>
      <w:r w:rsidRPr="00AC0671">
        <w:rPr>
          <w:i/>
          <w:iCs/>
          <w:szCs w:val="18"/>
        </w:rPr>
        <w:t>racecar challenge,</w:t>
      </w:r>
      <w:r w:rsidRPr="00AC0671">
        <w:rPr>
          <w:szCs w:val="18"/>
        </w:rPr>
        <w:t xml:space="preserve"> die ingebed kunnen worden in technische keuzevakken. In de </w:t>
      </w:r>
      <w:r w:rsidRPr="00AC0671">
        <w:rPr>
          <w:i/>
          <w:iCs/>
          <w:szCs w:val="18"/>
        </w:rPr>
        <w:t>racecar challenge</w:t>
      </w:r>
      <w:r w:rsidRPr="00AC0671">
        <w:rPr>
          <w:szCs w:val="18"/>
        </w:rPr>
        <w:t xml:space="preserve"> maken leerlingen kennis met diverse technische vaardigheden rondom metaal, installatie, carrosserie etc. Afhankelijk van de leeftijd en het leerjaar van de leerling is het programma gekoppeld aan (delen van) keuzevakken in de bovenbouw. Ook wordt met STO-steun de First Lego League aangeboden, waarin in zes maanden leerlingen in groepjes een robot bouwen en programmeren. Hierin leren ze samenwerken, creatief denken en oplossingsgericht werken. Verder is er een </w:t>
      </w:r>
      <w:r w:rsidRPr="00AC0671">
        <w:rPr>
          <w:i/>
          <w:iCs/>
          <w:szCs w:val="18"/>
        </w:rPr>
        <w:t>Logistic challenge</w:t>
      </w:r>
      <w:r w:rsidRPr="00AC0671">
        <w:rPr>
          <w:szCs w:val="18"/>
        </w:rPr>
        <w:t xml:space="preserve"> waarin leerlingen leren een productieproces zo efficiënt mogelijk in te richten aan de hand van het Virtual skills lab warehouse game voor vmbo-leerlingen.</w:t>
      </w:r>
    </w:p>
    <w:p w:rsidRPr="00AC0671" w:rsidR="00AC0671" w:rsidP="00426692" w:rsidRDefault="00AC0671" w14:paraId="1EBF6847" w14:textId="77777777">
      <w:pPr>
        <w:pStyle w:val="Lijstalinea"/>
        <w:numPr>
          <w:ilvl w:val="0"/>
          <w:numId w:val="27"/>
        </w:numPr>
        <w:spacing w:after="160" w:line="278" w:lineRule="auto"/>
        <w:rPr>
          <w:szCs w:val="18"/>
        </w:rPr>
      </w:pPr>
      <w:r w:rsidRPr="00AC0671">
        <w:rPr>
          <w:szCs w:val="18"/>
        </w:rPr>
        <w:t>Diverse regionale beurzen en events (jaarlijs) gericht op studie- en beroepskeuze:</w:t>
      </w:r>
    </w:p>
    <w:p w:rsidRPr="00AC0671" w:rsidR="00AC0671" w:rsidP="00426692" w:rsidRDefault="00AC0671" w14:paraId="30102E1B" w14:textId="77777777">
      <w:pPr>
        <w:pStyle w:val="Lijstalinea"/>
        <w:numPr>
          <w:ilvl w:val="1"/>
          <w:numId w:val="27"/>
        </w:numPr>
        <w:spacing w:after="160" w:line="278" w:lineRule="auto"/>
        <w:rPr>
          <w:szCs w:val="18"/>
        </w:rPr>
      </w:pPr>
      <w:r w:rsidRPr="00AC0671">
        <w:rPr>
          <w:szCs w:val="18"/>
        </w:rPr>
        <w:t xml:space="preserve">Blik in de bedrijven, waarbij leerlingen een kijkje bij technische bedrijven nemen. </w:t>
      </w:r>
    </w:p>
    <w:p w:rsidRPr="00AC0671" w:rsidR="00AC0671" w:rsidP="00426692" w:rsidRDefault="00AC0671" w14:paraId="77C59221" w14:textId="77777777">
      <w:pPr>
        <w:pStyle w:val="Lijstalinea"/>
        <w:numPr>
          <w:ilvl w:val="1"/>
          <w:numId w:val="27"/>
        </w:numPr>
        <w:spacing w:after="160" w:line="278" w:lineRule="auto"/>
        <w:rPr>
          <w:szCs w:val="18"/>
        </w:rPr>
      </w:pPr>
      <w:r w:rsidRPr="00AC0671">
        <w:rPr>
          <w:szCs w:val="18"/>
        </w:rPr>
        <w:lastRenderedPageBreak/>
        <w:t>Regio On Stage &amp; ‘Doe Dag’ waarbij vmbo-leerlingen en bedrijven met elkaar in gesprek gaan over het beroep en een afspraak kunnen maken voor een werkbezoek op de ‘Doe Dag’ enkele weken later.</w:t>
      </w:r>
    </w:p>
    <w:p w:rsidRPr="00AC0671" w:rsidR="00AC0671" w:rsidP="00426692" w:rsidRDefault="00AC0671" w14:paraId="7183F166" w14:textId="77777777">
      <w:pPr>
        <w:pStyle w:val="Lijstalinea"/>
        <w:numPr>
          <w:ilvl w:val="1"/>
          <w:numId w:val="27"/>
        </w:numPr>
        <w:spacing w:after="160" w:line="278" w:lineRule="auto"/>
        <w:rPr>
          <w:szCs w:val="18"/>
        </w:rPr>
      </w:pPr>
      <w:r w:rsidRPr="00AC0671">
        <w:rPr>
          <w:szCs w:val="18"/>
        </w:rPr>
        <w:t xml:space="preserve">Top2Do Xperience waarbij groepen leerlingen binnen een tech-hotspottechniekworkshops volgen en bedrijven ontmoeten. </w:t>
      </w:r>
    </w:p>
    <w:p w:rsidRPr="00283B39" w:rsidR="00AC0671" w:rsidP="00283B39" w:rsidRDefault="00AC0671" w14:paraId="6DD0C82B" w14:textId="78057200">
      <w:pPr>
        <w:pStyle w:val="Geenafstand"/>
        <w:rPr>
          <w:i/>
        </w:rPr>
      </w:pPr>
      <w:r w:rsidRPr="00283B39">
        <w:rPr>
          <w:i/>
          <w:iCs/>
        </w:rPr>
        <w:t>Vmbo-mbo/ bedrijven</w:t>
      </w:r>
    </w:p>
    <w:p w:rsidRPr="00AC0671" w:rsidR="00AC0671" w:rsidP="00AC0671" w:rsidRDefault="00AC0671" w14:paraId="7D9C0C08" w14:textId="77777777">
      <w:pPr>
        <w:rPr>
          <w:szCs w:val="18"/>
        </w:rPr>
      </w:pPr>
      <w:r w:rsidRPr="00AC0671">
        <w:rPr>
          <w:szCs w:val="18"/>
        </w:rPr>
        <w:t xml:space="preserve">STO heeft in deze regio volgens bedrijven zelf geleid tot meer samenwerking en warmere contacten (sneller schakelen) tussen scholen en bedrijven. Bedrijven staan vaker en meer open voor bedrijfsbezoeken, gastcolleges, praktijkopdrachten, workshops en deelname aan regionale beurzen en zijn actief betrokken bij STO-activiteiten in de tech-hotspots en bij de events. Het mbo is mede actief betrokken vanwege de primaire verantwoordelijkheid voor en huisvesting en bemensing van het eigen techlab voor het po en de onderbouw vo.  </w:t>
      </w:r>
    </w:p>
    <w:p w:rsidRPr="00AC0671" w:rsidR="00AC0671" w:rsidP="00AC0671" w:rsidRDefault="00AC0671" w14:paraId="66869D31" w14:textId="77777777">
      <w:pPr>
        <w:pStyle w:val="Kop4"/>
        <w:rPr>
          <w:rFonts w:ascii="Trebuchet MS" w:hAnsi="Trebuchet MS"/>
          <w:szCs w:val="18"/>
        </w:rPr>
      </w:pPr>
      <w:r w:rsidRPr="00AC0671">
        <w:rPr>
          <w:rFonts w:ascii="Trebuchet MS" w:hAnsi="Trebuchet MS"/>
          <w:szCs w:val="18"/>
        </w:rPr>
        <w:t>Effect op leerlingen</w:t>
      </w:r>
    </w:p>
    <w:p w:rsidR="00AC0671" w:rsidP="00AC0671" w:rsidRDefault="00AC0671" w14:paraId="55495E9B" w14:textId="3C3B73D5">
      <w:pPr>
        <w:pBdr>
          <w:top w:val="single" w:color="auto" w:sz="4" w:space="1"/>
          <w:left w:val="single" w:color="auto" w:sz="4" w:space="4"/>
          <w:bottom w:val="single" w:color="auto" w:sz="4" w:space="1"/>
          <w:right w:val="single" w:color="auto" w:sz="4" w:space="4"/>
        </w:pBdr>
        <w:spacing w:line="259" w:lineRule="auto"/>
      </w:pPr>
      <w:r>
        <w:t xml:space="preserve">Het percentage leerlingen in een technisch profiel in jaar 3 is in deze regio, na een stijging in 2021 en 2022, in 2023 weer afgenomen tot 8%. In leerjaar 4 zit in 2023 nog 10% van de leerlingen in een technisch profiel; dit percentage is na een sterke daling tot 2021 de afgelopen twee jaar weer wat gestegen (maar de trend in leerjaar 4 loopt logischerwijze een jaar achter op de trend in leerjaar 3). Dit is fors onder het landelijk gemiddelde van 20 procent. </w:t>
      </w:r>
    </w:p>
    <w:p w:rsidRPr="00AC0671" w:rsidR="002E2BEF" w:rsidP="00AC0671" w:rsidRDefault="002E2BEF" w14:paraId="6F8E7FA9" w14:textId="0245AFD8">
      <w:pPr>
        <w:pBdr>
          <w:top w:val="single" w:color="auto" w:sz="4" w:space="1"/>
          <w:left w:val="single" w:color="auto" w:sz="4" w:space="4"/>
          <w:bottom w:val="single" w:color="auto" w:sz="4" w:space="1"/>
          <w:right w:val="single" w:color="auto" w:sz="4" w:space="4"/>
        </w:pBdr>
        <w:spacing w:line="259" w:lineRule="auto"/>
      </w:pPr>
    </w:p>
    <w:p w:rsidR="00AC0671" w:rsidP="00AC0671" w:rsidRDefault="00AC0671" w14:paraId="7ABF392C" w14:textId="15E4D22F">
      <w:pPr>
        <w:pBdr>
          <w:top w:val="single" w:color="auto" w:sz="4" w:space="1"/>
          <w:left w:val="single" w:color="auto" w:sz="4" w:space="4"/>
          <w:bottom w:val="single" w:color="auto" w:sz="4" w:space="1"/>
          <w:right w:val="single" w:color="auto" w:sz="4" w:space="4"/>
        </w:pBdr>
        <w:spacing w:line="259" w:lineRule="auto"/>
      </w:pPr>
      <w:r>
        <w:t>De meeste leerlingen (88% in 2022) in technische profielen kiezen voor een technische mbo-studie. Dit aandeel is gegroeid, in 2018 was dit aandeel nog 81 procent.  Ook het aandeel leerlingen in niet-technische profielen dat kiest voor een technische opleiding is gegroeid. In 2022 koos 27</w:t>
      </w:r>
      <w:r w:rsidRPr="497DFB35">
        <w:rPr>
          <w:b/>
        </w:rPr>
        <w:t xml:space="preserve"> </w:t>
      </w:r>
      <w:r>
        <w:t xml:space="preserve">procent van die leerlingen voor technische mbo, in 2018 was dit nog 19 procent. Dit is voor deze regio met name belangrijk, omdat relatief veel leerlingen in een niet-technisch profiel zitten.    </w:t>
      </w:r>
    </w:p>
    <w:p w:rsidRPr="00AC0671" w:rsidR="002E2BEF" w:rsidP="00AC0671" w:rsidRDefault="002E2BEF" w14:paraId="42809323" w14:textId="2C39563B">
      <w:pPr>
        <w:pBdr>
          <w:top w:val="single" w:color="auto" w:sz="4" w:space="1"/>
          <w:left w:val="single" w:color="auto" w:sz="4" w:space="4"/>
          <w:bottom w:val="single" w:color="auto" w:sz="4" w:space="1"/>
          <w:right w:val="single" w:color="auto" w:sz="4" w:space="4"/>
        </w:pBdr>
        <w:spacing w:line="259" w:lineRule="auto"/>
      </w:pPr>
    </w:p>
    <w:p w:rsidR="00AC0671" w:rsidP="780653D5" w:rsidRDefault="00AC0671" w14:paraId="15013729" w14:textId="791E92C0">
      <w:pPr>
        <w:pBdr>
          <w:top w:val="single" w:color="auto" w:sz="4" w:space="1"/>
          <w:left w:val="single" w:color="auto" w:sz="4" w:space="4"/>
          <w:bottom w:val="single" w:color="auto" w:sz="4" w:space="1"/>
          <w:right w:val="single" w:color="auto" w:sz="4" w:space="4"/>
        </w:pBdr>
        <w:spacing w:line="259" w:lineRule="auto"/>
      </w:pPr>
      <w:r>
        <w:t>Ruim de helft van alle (extra) aangeboden keuzevakken in leerjaar 4 in de regio is een techniek keuzevak (i.e. aangeboden vanuit een technisch profiel). Uitzondering is het schooljaar 2020/21 (tevens start van STO) toen het aandeel technische keuzevakken rond de 45 procent lag. Daarna groeit het aandeel weer. Een groeiend aandeel leerlingen kiest in deze regio voor tenminste 1 technisch keuzevak. Dit lag in 2018 en 2019 nog op een kwart van alle leerlingen en dit groeit vanaf 2020 naar ruim de helft van alle leerlingen. </w:t>
      </w:r>
    </w:p>
    <w:p w:rsidRPr="00AC0671" w:rsidR="002E2BEF" w:rsidP="00AC0671" w:rsidRDefault="002E2BEF" w14:paraId="4A638300" w14:textId="7A2B5C12">
      <w:pPr>
        <w:pBdr>
          <w:top w:val="single" w:color="auto" w:sz="4" w:space="1"/>
          <w:left w:val="single" w:color="auto" w:sz="4" w:space="4"/>
          <w:bottom w:val="single" w:color="auto" w:sz="4" w:space="1"/>
          <w:right w:val="single" w:color="auto" w:sz="4" w:space="4"/>
        </w:pBdr>
        <w:spacing w:line="259" w:lineRule="auto"/>
      </w:pPr>
    </w:p>
    <w:p w:rsidRPr="00AC0671" w:rsidR="00AC0671" w:rsidP="780653D5" w:rsidRDefault="00AC0671" w14:paraId="6AADE234" w14:textId="525399E9">
      <w:pPr>
        <w:pBdr>
          <w:top w:val="single" w:color="auto" w:sz="4" w:space="1"/>
          <w:left w:val="single" w:color="auto" w:sz="4" w:space="4"/>
          <w:bottom w:val="single" w:color="auto" w:sz="4" w:space="1"/>
          <w:right w:val="single" w:color="auto" w:sz="4" w:space="4"/>
        </w:pBdr>
      </w:pPr>
      <w:r>
        <w:t>Het aandeel leerlingen dat vanuit een niet-technisch profiel doorstroomt naar technisch mbo is hoger bij de leerlingen die ten minste één (extra) techniek keuzevak hebben gevolgd dan bij de leerlingen die geen keuzevak in de techniek hebben gevolgd. Het aandeel leerlingen dat vanuit een niet-technisch profiel, met minstens één technisch keuzevak doorstroomt naar een technische mbo-opleiding neemt bovendien toe, terwijl dit percentage afneemt voor leerlingen zonder technisch keuzevak. Dit indiceert dat het van belang is om vooral de leerlingen in een niet-technisch profiel te bewegen om een technisch georiënteerd keuzevak te volgen.     </w:t>
      </w:r>
    </w:p>
    <w:p w:rsidRPr="00AC0671" w:rsidR="00AC0671" w:rsidP="00AC0671" w:rsidRDefault="00AC0671" w14:paraId="2BCBDB94" w14:textId="77777777">
      <w:pPr>
        <w:pStyle w:val="Kop4"/>
        <w:rPr>
          <w:rFonts w:ascii="Trebuchet MS" w:hAnsi="Trebuchet MS"/>
          <w:szCs w:val="18"/>
        </w:rPr>
      </w:pPr>
      <w:r w:rsidRPr="00AC0671">
        <w:rPr>
          <w:rFonts w:ascii="Trebuchet MS" w:hAnsi="Trebuchet MS"/>
          <w:szCs w:val="18"/>
        </w:rPr>
        <w:t>Overall beeld</w:t>
      </w:r>
    </w:p>
    <w:p w:rsidRPr="00AC0671" w:rsidR="00AC0671" w:rsidP="00AC0671" w:rsidRDefault="00AC0671" w14:paraId="71079C9A" w14:textId="57474A1F">
      <w:r>
        <w:t>HPer saldo is in deze regio, net als in veel andere regio’s, in de eerste jaren veel geïnvesteerd in de ontwikkeling en opzet van een aantal basisvoorzieningen, in deze regio met name de regionale tech-hotspots, bovenschoolse keuzevakken en regionale evenementen die leerlingen en bedrijven in de techniek met elkaar laten kennismaken. Daardoor is in de afgelopen jaren een vrij omvangrijk geheel aan schoolse en bovenschoolse voorzieningen en evenementen ontstaan. Daarmee is, tezamen met een betrokken bedrijfsleven, een goede basis gelegd voor een effectieve STO-aanpak. Zichtbaar is/was nog wel dat die voorzieningen en aanpakken</w:t>
      </w:r>
      <w:r w:rsidR="00EE0C35">
        <w:t>:</w:t>
      </w:r>
      <w:r>
        <w:t xml:space="preserve"> </w:t>
      </w:r>
    </w:p>
    <w:p w:rsidRPr="00AC0671" w:rsidR="00AC0671" w:rsidP="00426692" w:rsidRDefault="00AC0671" w14:paraId="4C0FAB51" w14:textId="77777777">
      <w:pPr>
        <w:pStyle w:val="Lijstalinea"/>
        <w:numPr>
          <w:ilvl w:val="0"/>
          <w:numId w:val="27"/>
        </w:numPr>
        <w:spacing w:after="160" w:line="278" w:lineRule="auto"/>
        <w:rPr>
          <w:szCs w:val="18"/>
        </w:rPr>
      </w:pPr>
      <w:r w:rsidRPr="00AC0671">
        <w:rPr>
          <w:szCs w:val="18"/>
        </w:rPr>
        <w:t xml:space="preserve">deels niet onder dezelfde regie vallen, </w:t>
      </w:r>
    </w:p>
    <w:p w:rsidRPr="00AC0671" w:rsidR="00AC0671" w:rsidP="00426692" w:rsidRDefault="00AC0671" w14:paraId="102C2782" w14:textId="77777777">
      <w:pPr>
        <w:pStyle w:val="Lijstalinea"/>
        <w:numPr>
          <w:ilvl w:val="0"/>
          <w:numId w:val="27"/>
        </w:numPr>
        <w:spacing w:after="160" w:line="278" w:lineRule="auto"/>
        <w:rPr>
          <w:szCs w:val="18"/>
        </w:rPr>
      </w:pPr>
      <w:r w:rsidRPr="00AC0671">
        <w:rPr>
          <w:szCs w:val="18"/>
        </w:rPr>
        <w:t xml:space="preserve">deels nog niet optimaal op elkaar of op lesonderdelen in het reguliere schoolprogramma in het po en het vmbo aansluiten, </w:t>
      </w:r>
    </w:p>
    <w:p w:rsidRPr="00AC0671" w:rsidR="00AC0671" w:rsidP="00426692" w:rsidRDefault="00AC0671" w14:paraId="08F45AFB" w14:textId="77777777">
      <w:pPr>
        <w:pStyle w:val="Lijstalinea"/>
        <w:numPr>
          <w:ilvl w:val="0"/>
          <w:numId w:val="27"/>
        </w:numPr>
        <w:spacing w:after="160" w:line="278" w:lineRule="auto"/>
        <w:rPr>
          <w:szCs w:val="18"/>
        </w:rPr>
      </w:pPr>
      <w:r w:rsidRPr="00AC0671">
        <w:rPr>
          <w:szCs w:val="18"/>
        </w:rPr>
        <w:t xml:space="preserve">niet alle leerlingen in po en vmbo bereiken, mede doordat reisafstanden een obstakel zijn,  </w:t>
      </w:r>
    </w:p>
    <w:p w:rsidRPr="00AC0671" w:rsidR="00AC0671" w:rsidP="00426692" w:rsidRDefault="00AC0671" w14:paraId="2152FDDE" w14:textId="77777777">
      <w:pPr>
        <w:pStyle w:val="Lijstalinea"/>
        <w:numPr>
          <w:ilvl w:val="0"/>
          <w:numId w:val="27"/>
        </w:numPr>
        <w:spacing w:after="160" w:line="278" w:lineRule="auto"/>
        <w:rPr>
          <w:szCs w:val="18"/>
        </w:rPr>
      </w:pPr>
      <w:r w:rsidRPr="00AC0671">
        <w:rPr>
          <w:szCs w:val="18"/>
        </w:rPr>
        <w:t xml:space="preserve">en dat leraren in po en vmbo nog verder geprofessionaliseerd kunnen worden in het verzorgen van technieklessen en wat betreft de benutting van de mogelijkheden van crossovers vanuit de technologie in andere vakken en profielen. </w:t>
      </w:r>
    </w:p>
    <w:p w:rsidR="00AC0671" w:rsidP="00AC0671" w:rsidRDefault="3FE82B00" w14:paraId="07E1E759" w14:textId="6E07B672">
      <w:pPr>
        <w:rPr>
          <w:szCs w:val="18"/>
        </w:rPr>
      </w:pPr>
      <w:r>
        <w:lastRenderedPageBreak/>
        <w:t>E</w:t>
      </w:r>
      <w:r w:rsidR="00AC0671">
        <w:t xml:space="preserve">en belangrijke inzet </w:t>
      </w:r>
      <w:r w:rsidR="6F65733D">
        <w:t xml:space="preserve">is </w:t>
      </w:r>
      <w:r w:rsidR="00AC0671">
        <w:t xml:space="preserve">om activiteiten en professionalisering nauwer op elkaar aan te sluiten. In de regio is daarin onder meer een  stap gezet door het primair onderwijs formeel als STO-partner aan te haken. </w:t>
      </w:r>
      <w:r w:rsidRPr="00AC0671" w:rsidR="00AC0671">
        <w:rPr>
          <w:szCs w:val="18"/>
        </w:rPr>
        <w:t xml:space="preserve"> </w:t>
      </w:r>
    </w:p>
    <w:p w:rsidRPr="00AC0671" w:rsidR="00D43F8C" w:rsidP="00AC0671" w:rsidRDefault="00D43F8C" w14:paraId="2C71DC50" w14:textId="77777777">
      <w:pPr>
        <w:rPr>
          <w:szCs w:val="18"/>
        </w:rPr>
      </w:pPr>
    </w:p>
    <w:p w:rsidRPr="00F54D4D" w:rsidR="00AC0671" w:rsidP="00832357" w:rsidRDefault="00AC0671" w14:paraId="0074EF91" w14:textId="77777777">
      <w:pPr>
        <w:pStyle w:val="Kop3"/>
      </w:pPr>
      <w:bookmarkStart w:name="_Toc203573566" w:id="18"/>
      <w:r w:rsidRPr="00F54D4D">
        <w:t>Een voorbeeld uit STO-regio E</w:t>
      </w:r>
      <w:bookmarkEnd w:id="18"/>
    </w:p>
    <w:p w:rsidRPr="00AC0671" w:rsidR="00AC0671" w:rsidP="00AC0671" w:rsidRDefault="00AC0671" w14:paraId="211743ED" w14:textId="38EF3664">
      <w:r>
        <w:t>In deze kleine STO-regio bestond er al een actief Technolab, een stichting opgezet door de 3O’s (overheid, ondernemers, onderwijs), met als missie ‘kinderen enthousiasmeren voor natuur, techniek en wetenschap. Kort na de start is het centrale Technolab bij STO betrokken geraakt en wordt voor het STO-deel betaald uit de middelen van de regio. “</w:t>
      </w:r>
      <w:r w:rsidRPr="780653D5">
        <w:rPr>
          <w:i/>
          <w:iCs/>
        </w:rPr>
        <w:t>Het had een geweldige infrastructuur en liep zo goed, dat we er niet iets naast wilden zetten maar het Technolab volledig omarmd hebben</w:t>
      </w:r>
      <w:r>
        <w:t>.” Het Technolab speelt een belangrijke rol in de activiteiten gericht op po-vmbo (vooral onderbouw), waar bij deze regio in de eerste fase STO het accent lag. Het Technolab is daarin een spil, er bestaat een intensieve samenwerking tussen de scholen, het Technol</w:t>
      </w:r>
      <w:r w:rsidR="56A1FCCF">
        <w:t>a</w:t>
      </w:r>
      <w:r>
        <w:t>b en met bedrijven. Het Technolab voert programma’s en workshops uit op de eigen locatie, op de locatie van het po, binnen vmbo-locaties, gebruikmakend van de faciliteiten aldaar, en op andere buitenschoolse locaties, zoals bij een bedrijf. “</w:t>
      </w:r>
      <w:r w:rsidRPr="780653D5">
        <w:rPr>
          <w:i/>
          <w:iCs/>
        </w:rPr>
        <w:t>Het biedt leerlingen een bredere oriëntatie, op school wordt nabeschouwd wat een leerling ervaren heeft en welke perspectieven techniek biedt. Leerkrachten zien in die buitenschoolse situaties soms tot dan toe onvermoede praktische talenten bij leerlingen</w:t>
      </w:r>
      <w:r>
        <w:t xml:space="preserve">.” Een voorbeeld van een activiteit is een workshop, uitgevoerd samen met een Nutsbedrijf, op de bouwplaats waar een nieuw hoogspanningsstation wordt gebouwd met opdrachten voor bijvoorbeeld basisschoolleerlingen groep 7/8 of voor leerlingen uit niet-technische profielen (zie ook hoofdstuk Lesobservaties). Aanvankelijk ging het vooral om interessante doe-activiteiten, later kwam het accent sterker te liggen op LOB als strategie door de hele keten heen. </w:t>
      </w:r>
    </w:p>
    <w:p w:rsidRPr="00AC0671" w:rsidR="00EE25F2" w:rsidP="00AC0671" w:rsidRDefault="00EE25F2" w14:paraId="29CDCACB" w14:textId="17C1268F"/>
    <w:p w:rsidRPr="00AC0671" w:rsidR="00AC0671" w:rsidP="00AC0671" w:rsidRDefault="00AC0671" w14:paraId="1495A20F" w14:textId="61818721">
      <w:pPr>
        <w:rPr>
          <w:szCs w:val="18"/>
        </w:rPr>
      </w:pPr>
      <w:r w:rsidRPr="00AC0671">
        <w:rPr>
          <w:szCs w:val="18"/>
        </w:rPr>
        <w:t>Vrijwilligers van het Technolab bezoeken de scholen actief. “</w:t>
      </w:r>
      <w:r w:rsidRPr="00AC0671">
        <w:rPr>
          <w:i/>
          <w:iCs/>
          <w:szCs w:val="18"/>
        </w:rPr>
        <w:t>Voordeel van deze [centrale] aanpak is de neutrale positie; dat je geen zieltjes aan het winnen bent</w:t>
      </w:r>
      <w:r w:rsidRPr="00AC0671">
        <w:rPr>
          <w:szCs w:val="18"/>
        </w:rPr>
        <w:t>.” Voor het po is techniek en W&amp;T het aanknopingspunt. Gemiddeld komen po-scholen 3-4 keer per jaar langs. Het Technolab ‘ontzorgt’ het po. Zo vertelt een leerkracht van een po-school: “</w:t>
      </w:r>
      <w:r w:rsidRPr="00AC0671">
        <w:rPr>
          <w:i/>
          <w:iCs/>
          <w:szCs w:val="18"/>
        </w:rPr>
        <w:t>Techniek was een ondergeschoven kindje en omvatte voornamelijk k’nex en lego, omdat we de mogelijkheden en materialen niet hadden. Belangrijk is dat techniek een plek krijgt in het schoolprogramma. Het stimuleert dat onze school de aandacht voor techniek ondersteunt.”</w:t>
      </w:r>
      <w:r w:rsidRPr="00AC0671">
        <w:rPr>
          <w:szCs w:val="18"/>
        </w:rPr>
        <w:t xml:space="preserve"> De school neemt deel aan een pilot die het Technolab is gestart om po-leerkrachten iets in handen te geven om zelf activiteiten in de les in te passen. Er zijn 5000 maakboeken aangeschaft met opdrachten die aansluiten bij verschillende po-vakken en onderwerpen, die kinderen laten zien “</w:t>
      </w:r>
      <w:r w:rsidRPr="00AC0671">
        <w:rPr>
          <w:i/>
          <w:iCs/>
          <w:szCs w:val="18"/>
        </w:rPr>
        <w:t>dat techniek om hen heen is.</w:t>
      </w:r>
      <w:r w:rsidRPr="00AC0671">
        <w:rPr>
          <w:szCs w:val="18"/>
        </w:rPr>
        <w:t xml:space="preserve">” Leerlingen maken die opdrachten naar eigen interesse en doordat andere leerlingen dat zien, wordt bij hen weer interesse aangewakkerd. Voor de school past het maakboek ook prima bij het Daltonprincipe van het maken van een portfolio, dat leerlingen mee kunnen nemen naar het vo. Geconstateerd wordt dat de behoefte aan praktijkvakken niet beperkt is tot leerlingen die naar het vmbo gaan en dat er nog een brug te bouwen is naar meer praktijkgericht onderwijs in havo/vwo. </w:t>
      </w:r>
    </w:p>
    <w:p w:rsidRPr="00AC0671" w:rsidR="00AC0671" w:rsidP="00AC0671" w:rsidRDefault="00AC0671" w14:paraId="4B76D8F3" w14:textId="77777777">
      <w:pPr>
        <w:rPr>
          <w:szCs w:val="18"/>
        </w:rPr>
      </w:pPr>
    </w:p>
    <w:p w:rsidRPr="00AC0671" w:rsidR="00AC0671" w:rsidP="00AC0671" w:rsidRDefault="00AC0671" w14:paraId="296DCD04" w14:textId="77777777">
      <w:pPr>
        <w:pStyle w:val="Kop2"/>
        <w:rPr>
          <w:szCs w:val="18"/>
        </w:rPr>
      </w:pPr>
      <w:bookmarkStart w:name="_Toc203573567" w:id="19"/>
      <w:r w:rsidRPr="00AC0671">
        <w:rPr>
          <w:szCs w:val="18"/>
        </w:rPr>
        <w:t>Conclusies op basis van de casussen</w:t>
      </w:r>
      <w:bookmarkEnd w:id="19"/>
    </w:p>
    <w:p w:rsidRPr="00AC0671" w:rsidR="00AC0671" w:rsidP="00AC0671" w:rsidRDefault="00AC0671" w14:paraId="745ECF71" w14:textId="1C5B18D5">
      <w:r>
        <w:t>In de casussen is veel informatie opgehaald. Op deze plaats beschrijven we een aantal overkoepelende observaties en conclusies op basis van de gesprekken in de casussen</w:t>
      </w:r>
      <w:r w:rsidR="5C5DDC7C">
        <w:t>,</w:t>
      </w:r>
      <w:r>
        <w:t xml:space="preserve"> en zoomen we in op de leerlingenreis van po naar mbo. </w:t>
      </w:r>
      <w:r w:rsidR="00E866AF">
        <w:t>Deze conclusies baseren we op zeven casestudies en zijn dus niet zonder mee</w:t>
      </w:r>
      <w:r w:rsidR="143EAEA1">
        <w:t>r</w:t>
      </w:r>
      <w:r w:rsidR="00E866AF">
        <w:t xml:space="preserve"> generaliseerbaar naar alle STO-regio’s. </w:t>
      </w:r>
    </w:p>
    <w:p w:rsidR="7E505C3C" w:rsidRDefault="7E505C3C" w14:paraId="0833500F" w14:textId="03FC791C"/>
    <w:p w:rsidRPr="00AC0671" w:rsidR="00AC0671" w:rsidP="00426692" w:rsidRDefault="00AC0671" w14:paraId="74491CB5" w14:textId="77777777">
      <w:pPr>
        <w:pStyle w:val="Lijstalinea"/>
        <w:numPr>
          <w:ilvl w:val="0"/>
          <w:numId w:val="24"/>
        </w:numPr>
        <w:spacing w:line="278" w:lineRule="auto"/>
        <w:rPr>
          <w:szCs w:val="18"/>
        </w:rPr>
      </w:pPr>
      <w:r w:rsidRPr="00AC0671">
        <w:rPr>
          <w:szCs w:val="18"/>
        </w:rPr>
        <w:t>Algemene conclusies</w:t>
      </w:r>
    </w:p>
    <w:p w:rsidR="00AC0671" w:rsidP="7E505C3C" w:rsidRDefault="00AC0671" w14:paraId="7B7261C0" w14:textId="7A9DB793">
      <w:pPr>
        <w:spacing w:after="120"/>
      </w:pPr>
      <w:r>
        <w:t xml:space="preserve">Door STO is er veel in beweging gezet in de regio’s. Het vmbo was daarbij </w:t>
      </w:r>
      <w:r w:rsidRPr="7E505C3C">
        <w:rPr>
          <w:i/>
          <w:iCs/>
        </w:rPr>
        <w:t>in the lead</w:t>
      </w:r>
      <w:r>
        <w:t>. Er is meer ondernemerschap in de vmbo-scholen en er heeft professionalisering plaatsgevonden in het uitvoeren van grote</w:t>
      </w:r>
      <w:r w:rsidR="5C215A50">
        <w:t xml:space="preserve"> </w:t>
      </w:r>
      <w:r>
        <w:t xml:space="preserve">projecten. </w:t>
      </w:r>
    </w:p>
    <w:p w:rsidR="00AC0671" w:rsidP="7E505C3C" w:rsidRDefault="00AC0671" w14:paraId="14B1B2F3" w14:textId="491BBD4F">
      <w:pPr>
        <w:spacing w:after="120"/>
      </w:pPr>
      <w:r>
        <w:t xml:space="preserve">Met de (samenwerkings)opdracht van STO is het vmbo in de onderzochte regio’s zich sterker bewust geworden van de </w:t>
      </w:r>
      <w:r w:rsidRPr="7E505C3C">
        <w:rPr>
          <w:i/>
          <w:iCs/>
        </w:rPr>
        <w:t>schakelfunctie</w:t>
      </w:r>
      <w:r>
        <w:t xml:space="preserve"> die het heeft in de keten, als scharnierpunt tussen basisonderwijs en mbo. Daarbij is de aandacht/focus verlegd van intern ‘het halen van een diploma van de school’ naar de</w:t>
      </w:r>
      <w:r w:rsidRPr="7E505C3C">
        <w:rPr>
          <w:i/>
          <w:iCs/>
        </w:rPr>
        <w:t xml:space="preserve"> reis</w:t>
      </w:r>
      <w:r>
        <w:t xml:space="preserve"> die leerlingen afleggen van po naar mbo. Samenwerking in de keten is daarvoor onontbeerlijk en het is duidelijk dat niet iets is wat het vmbo zomaar ‘regelen’ kan, maar dat de invloed om partijen in de keten mee te krijgen ook begrensd is. Uitvoering geven aan de ‘regierol’ blijkt niet eenvoudig: voor sommige regio’s blijft het bijvoorbeeld lastig om tot concrete afspraken te komen met het mbo.</w:t>
      </w:r>
    </w:p>
    <w:p w:rsidR="00AC0671" w:rsidP="00AC0671" w:rsidRDefault="00AC0671" w14:paraId="002AC9A1" w14:textId="77777777">
      <w:pPr>
        <w:rPr>
          <w:szCs w:val="18"/>
        </w:rPr>
      </w:pPr>
      <w:r w:rsidRPr="00AC0671">
        <w:rPr>
          <w:szCs w:val="18"/>
        </w:rPr>
        <w:lastRenderedPageBreak/>
        <w:t xml:space="preserve">Vaak is er in STO een programmastructuur ingericht op wat er ontwikkeld moest worden, en minder op hoe het moest landen (implementatiestrategie). Mede door de aandacht voor de leerlingenreis zijn in veel regio’s op de overgangen in de keten nieuwe rollen ontstaan van verbinders (‘oliemannetjes’) die vaak beide organisaties/schooltypen goed kennen. Het belang van de goede personen op de juiste plekken en van een sterk programmamanagement wordt in STO vanuit alle betrokken partners vaak benadrukt. </w:t>
      </w:r>
    </w:p>
    <w:p w:rsidRPr="00AC0671" w:rsidR="00F54D4D" w:rsidP="00AC0671" w:rsidRDefault="00F54D4D" w14:paraId="314CEFEA" w14:textId="77777777">
      <w:pPr>
        <w:rPr>
          <w:szCs w:val="18"/>
        </w:rPr>
      </w:pPr>
    </w:p>
    <w:p w:rsidRPr="00AC0671" w:rsidR="00AC0671" w:rsidP="7E505C3C" w:rsidRDefault="00AC0671" w14:paraId="0485E58E" w14:textId="5A79630B">
      <w:r>
        <w:t xml:space="preserve">De verschillende casussen laten zien dat in sommige regio’s het accent ligt op het versterken van de individuele scholen en in andere regio’s meer op de versterking van de regio met regionaal beheerde budgetten. Soms heeft dat ook logische redenen, zoals in een landelijke regio die feitelijk bestaat uit subregio’s die wat techniekonderwijs zoveel mogelijk ‘zelfvoorzienend’ moeten zijn. Soms is het een expliciete keuze om gelden regionaal te houden en vooral te werken aan een sterke regionale infrastructuur voor technologie en techniekonderwijs. Vaak zitten regio’s er ergens tussenin; ook in regio’s waar STO-gelden direct doorgesluisd worden naar scholen, worden die scholen wel geacht die middelen te besteden binnen de regionale STO-kaders waarbij doorgaans ook investeringen zoveel mogelijk ten goede van de hele regio dienen te komen. Per saldo heeft STO bijgedragen aan een sterker gevoel van gezamenlijke, regionale verantwoordelijkheid voor sterk techniekonderwijs. Wat bindt de scholen dan concreet in STO? Er zijn regio’s waar het uitvoeren van het activiteitenplan heeft geleid tot het leren kennen van elkaar, waardoor er vertrouwen ontstaat, men meer bij elkaar over de vloer komt en de onderlinge concurrentie afneemt. Er is ook het voorbeeld van een subregio waar het opzetten van een STO-organisatie met een gedeelde missie en visie met alle actoren expliciet eerst is opgepakt, om daarna activiteiten uit te gaan voeren. In de aanloop naar het plan 2025-2029 benutten regio’s het proces om de binding te versterken.  </w:t>
      </w:r>
    </w:p>
    <w:p w:rsidRPr="00AC0671" w:rsidR="006040BF" w:rsidP="7E505C3C" w:rsidRDefault="006040BF" w14:paraId="67BA9C2F" w14:textId="77777777"/>
    <w:p w:rsidR="00AC0671" w:rsidP="00AC0671" w:rsidRDefault="00AC0671" w14:paraId="1FC437AE" w14:textId="77777777">
      <w:pPr>
        <w:rPr>
          <w:szCs w:val="18"/>
        </w:rPr>
      </w:pPr>
      <w:r w:rsidRPr="00AC0671">
        <w:rPr>
          <w:szCs w:val="18"/>
        </w:rPr>
        <w:t xml:space="preserve">Een winst van STO in de beschreven regio’s is al met al dat de concurrentie tussen vmbo-scholen lijkt te zijn afgenomen. Docenten kennen elkaar, springen bij waar nodig en er zijn voorbeelden van gezamenlijk naar vacatures kijken en personeel van elkaar overnemen en het delen van apparatuur. Scholen geven aan ook uit op andere onderwerpen uit te wisselen dan alleen techniek. Concurrentie komt echter vooral voort uit ‘de strijd om de leerling’. De komende 15 jaar gaat het aantal leerlingen in het vmbo nog dalen; daarmee bestaat het risico dat de verhoudingen weer op scherp gaan.   </w:t>
      </w:r>
    </w:p>
    <w:p w:rsidRPr="00AC0671" w:rsidR="00F54D4D" w:rsidP="00AC0671" w:rsidRDefault="00F54D4D" w14:paraId="66E7B0A5" w14:textId="77777777">
      <w:pPr>
        <w:rPr>
          <w:szCs w:val="18"/>
        </w:rPr>
      </w:pPr>
    </w:p>
    <w:p w:rsidRPr="00D73A40" w:rsidR="00AC0671" w:rsidP="00426692" w:rsidRDefault="00AC0671" w14:paraId="4598CDD0" w14:textId="77777777">
      <w:pPr>
        <w:pStyle w:val="Lijstalinea"/>
        <w:numPr>
          <w:ilvl w:val="0"/>
          <w:numId w:val="24"/>
        </w:numPr>
        <w:spacing w:line="278" w:lineRule="auto"/>
        <w:ind w:left="714" w:hanging="357"/>
        <w:rPr>
          <w:b/>
          <w:bCs/>
          <w:szCs w:val="18"/>
        </w:rPr>
      </w:pPr>
      <w:r w:rsidRPr="00D73A40">
        <w:rPr>
          <w:b/>
          <w:bCs/>
          <w:szCs w:val="18"/>
        </w:rPr>
        <w:t>Het perspectief van de leerlingenreis in de casussen</w:t>
      </w:r>
    </w:p>
    <w:p w:rsidRPr="00AC0671" w:rsidR="00AC0671" w:rsidP="00AC0671" w:rsidRDefault="00AC0671" w14:paraId="121C6FAE" w14:textId="77777777">
      <w:pPr>
        <w:rPr>
          <w:szCs w:val="18"/>
        </w:rPr>
      </w:pPr>
      <w:r w:rsidRPr="00AC0671">
        <w:rPr>
          <w:szCs w:val="18"/>
        </w:rPr>
        <w:t xml:space="preserve">De casussen in dit hoofdstuk verschillen in omvang, in te besteden middelen en de manier waarop ze die verdelen en inzetten: verdeling onder de techniekscholen, regionaal beheer met een toedeling oe aan onderbouwde plannen of een verdeling naar inzet van scholen ongeacht of ze techniekschool zijn, of een inzet op specifieke regionale voorzieningen.  </w:t>
      </w:r>
    </w:p>
    <w:p w:rsidRPr="00AC0671" w:rsidR="00E91752" w:rsidP="00AC0671" w:rsidRDefault="00E91752" w14:paraId="10079D54" w14:textId="77777777">
      <w:pPr>
        <w:rPr>
          <w:szCs w:val="18"/>
        </w:rPr>
      </w:pPr>
    </w:p>
    <w:p w:rsidR="00F54D4D" w:rsidP="00AC0671" w:rsidRDefault="00AC0671" w14:paraId="39282B87" w14:textId="77777777">
      <w:pPr>
        <w:rPr>
          <w:szCs w:val="18"/>
        </w:rPr>
      </w:pPr>
      <w:r w:rsidRPr="00AC0671">
        <w:rPr>
          <w:szCs w:val="18"/>
        </w:rPr>
        <w:t xml:space="preserve">Naast verschillen zijn er ook overeenkomsten zichtbaar in aanpak in de beschreven regio’s. Zo is er over de hele linie veel aanbod tot stand gekomen, waarbij een slag is gemaakt van ‘onderwijs aanbieden’ naar ‘onderwijs </w:t>
      </w:r>
      <w:r w:rsidRPr="00AC0671">
        <w:rPr>
          <w:i/>
          <w:iCs/>
          <w:szCs w:val="18"/>
        </w:rPr>
        <w:t>organiseren</w:t>
      </w:r>
      <w:r w:rsidRPr="00AC0671">
        <w:rPr>
          <w:szCs w:val="18"/>
        </w:rPr>
        <w:t xml:space="preserve">’. Vaak worden er door scholen samen zaken ontwikkeld die vervolgens op de eigen school worden uitgevoerd. Andersom komt ook voor: scholen ontwikkelen binnen de regionale STO-kaders eigen aanpakken en wisselen daarover vervolgens ervaringen uit. Ook niet-techniekscholen kunnen profiteren van wat er in STO ontwikkeld is. In alle regio’s is geïnvesteerd in een </w:t>
      </w:r>
      <w:r w:rsidRPr="00AC0671">
        <w:rPr>
          <w:i/>
          <w:iCs/>
          <w:szCs w:val="18"/>
        </w:rPr>
        <w:t>betere basis voor techniekonderwijs</w:t>
      </w:r>
      <w:r w:rsidRPr="00AC0671">
        <w:rPr>
          <w:szCs w:val="18"/>
        </w:rPr>
        <w:t>, met investeringen in mensen, capaciteit, gemoderniseerd materieel en nieuwe inhoud (keuzevakken).</w:t>
      </w:r>
    </w:p>
    <w:p w:rsidRPr="00AC0671" w:rsidR="00AC0671" w:rsidP="00AC0671" w:rsidRDefault="00AC0671" w14:paraId="67F5308A" w14:textId="6170A2F3">
      <w:pPr>
        <w:rPr>
          <w:szCs w:val="18"/>
        </w:rPr>
      </w:pPr>
      <w:r w:rsidRPr="00AC0671">
        <w:rPr>
          <w:szCs w:val="18"/>
        </w:rPr>
        <w:t xml:space="preserve"> </w:t>
      </w:r>
    </w:p>
    <w:p w:rsidRPr="00AC0671" w:rsidR="00AC0671" w:rsidP="00AC0671" w:rsidRDefault="00AC0671" w14:paraId="4453FF2A" w14:textId="77777777">
      <w:pPr>
        <w:rPr>
          <w:i/>
          <w:iCs/>
          <w:szCs w:val="18"/>
        </w:rPr>
      </w:pPr>
      <w:r w:rsidRPr="00AC0671">
        <w:rPr>
          <w:i/>
          <w:iCs/>
          <w:szCs w:val="18"/>
        </w:rPr>
        <w:t>Primair onderwijs</w:t>
      </w:r>
    </w:p>
    <w:p w:rsidR="00AC0671" w:rsidP="00AC0671" w:rsidRDefault="00AC0671" w14:paraId="6570D0B6" w14:textId="77777777">
      <w:pPr>
        <w:rPr>
          <w:szCs w:val="18"/>
        </w:rPr>
      </w:pPr>
      <w:r w:rsidRPr="00AC0671">
        <w:rPr>
          <w:szCs w:val="18"/>
        </w:rPr>
        <w:t xml:space="preserve">Niet overal vanaf de start maar wel gaandeweg is in elke regio een sterk speerpunt van STO geworden om zo vroeg mogelijk te starten in het basisonderwijs met de kennismaking met techniek en technologie. Groepen 7/8 krijgen daarbij de meeste aandacht, maar ook groepen 5-6 en er zijn ambities om ook de jongere leerlingen te betrekken. De bedoeling is bij po-leerlingen een zaadje te planten, zodat er belangstelling ontstaat voor techniek/technologie. Door vroeg te beginnen (aan de start van de keten) met kinderen kennis te laten maken met techniek en technologie, krijgen ze een beter beeld van de inhoud en de mogelijkheden en kunnen ze het meenemen in hun keuzeoverwegingen. Techniek (ontdekken, doen, maken) leent zich daar goed voor. </w:t>
      </w:r>
    </w:p>
    <w:p w:rsidRPr="00AC0671" w:rsidR="00F54D4D" w:rsidP="00AC0671" w:rsidRDefault="00F54D4D" w14:paraId="7E2E62DB" w14:textId="77777777">
      <w:pPr>
        <w:rPr>
          <w:szCs w:val="18"/>
        </w:rPr>
      </w:pPr>
    </w:p>
    <w:p w:rsidR="00AC0671" w:rsidP="00AC0671" w:rsidRDefault="00AC0671" w14:paraId="3403C9E2" w14:textId="0C951859">
      <w:r>
        <w:t xml:space="preserve">In nagenoeg alle regio’s blijft het lastig om techniek/technologie structureel in het primair onderwijs en op de agenda van alle scholen te krijgen (onverlet initiatieven van afzonderlijke po-besturen en scholen); het blijft vaak persoonsafhankelijk (de ‘affiniteit van de juf’) en sneeuwt onder in de overladenheid van het programma. Daarom heeft in nagenoeg elke regio het vmbo hierin (mede) het voortouw genomen, om een aanbod voor het po te faciliteren. Voor het po worden activiteiten uitgevoerd die vaak het karakter dragen van de po-scholen </w:t>
      </w:r>
      <w:r w:rsidRPr="46AF5C4D">
        <w:rPr>
          <w:i/>
          <w:iCs/>
        </w:rPr>
        <w:t>ontlasten</w:t>
      </w:r>
      <w:r>
        <w:t xml:space="preserve">, soms op de po-scholen door docenten van buiten, in een (neutraal) technieklab van de regio of op technolabs of technieklokalen van vmbo-scholen. Daarmee worden in de regio’s meer po-leerlingen dan voorheen bereikt. Ook leerlingen die doorstromen naar havo/vwo komen zo met techniek/technologie in aanraking en zijn bij een vmbo-school of techlab binnen geweest. </w:t>
      </w:r>
    </w:p>
    <w:p w:rsidRPr="00AC0671" w:rsidR="00F54D4D" w:rsidP="00AC0671" w:rsidRDefault="00F54D4D" w14:paraId="33698E51" w14:textId="77777777">
      <w:pPr>
        <w:rPr>
          <w:szCs w:val="18"/>
        </w:rPr>
      </w:pPr>
    </w:p>
    <w:p w:rsidR="00AC0671" w:rsidP="00AC0671" w:rsidRDefault="00AC0671" w14:paraId="1064AEEF" w14:textId="77777777">
      <w:pPr>
        <w:rPr>
          <w:szCs w:val="18"/>
        </w:rPr>
      </w:pPr>
      <w:r w:rsidRPr="00AC0671">
        <w:rPr>
          <w:szCs w:val="18"/>
        </w:rPr>
        <w:t xml:space="preserve">Omdat een te grote reisafstand van een basisschool tot een techlab een obstakel is gebleken, is in elke regio zichtbaar dat wordt gestreefd naar een fijnmaziger aanbod aan techlabs, binnen en buiten vmbo-scholen. Waar dat niet kan of niet afdoende is, bezoeken medewerkers van techlabs zelf basisscholen voor een of enkele ‘doe-dagen’. Ook in opkomst is dat een mobiel techlab wordt ingericht in een bus, waarmee scholen worden bezocht. Het bereik van techlabs onder basisscholen wisselt wel nog vrij sterk per (deel)regio. In veel deelregio’s heeft een minderheid van de basisscholen aandacht voor technologie en techniekonderwijs - inclusief een bezoek aan een techlab - structureel ingeroosterd. </w:t>
      </w:r>
    </w:p>
    <w:p w:rsidRPr="00AC0671" w:rsidR="00F54D4D" w:rsidP="00AC0671" w:rsidRDefault="00F54D4D" w14:paraId="64951EB6" w14:textId="77777777">
      <w:pPr>
        <w:rPr>
          <w:szCs w:val="18"/>
        </w:rPr>
      </w:pPr>
    </w:p>
    <w:p w:rsidR="00F54D4D" w:rsidP="00AC0671" w:rsidRDefault="00AC0671" w14:paraId="63B56A57" w14:textId="71912C52">
      <w:r>
        <w:t xml:space="preserve">De vanuit STO opgezette techlabs bestaan in veel (deel)regio’s naast andere, soms al langer bestaande initiatieven met techlabs vanuit het mbo, po-besturen of de gemeente. Sommige po-besturen stellen een bezoek aan zo’n techlab verplicht voor alle aangesloten basisscholen; dat betreft dan doorgaans een eigen, vanuit het po zelf opgezet techlab. Ambitie vanuit STO is in alle onderzochte regio’s dat de activiteiten bij een techlab ingebed zijn in een langere lessenreeks binnen de basisschool zelf of aansluiten op eigen projecten, thema’s of lesprogramma’s van basisscholen. Deels lukt dat op veel plekken door vanuit de techlabs maatwerk te bieden, door workshops samen met het po te ontwikkelen, of door als voorwaarde bij deelname aan een techlab te stellen dat basisscholen voor en na het bezoek er zelf ook mee aan de slag gaan. Vaak echter vormen de enkele dagdelen bij een techlab de enige kennismaking met technologie voor basisscholieren. Om hierin verdere stappen te kunnen zetten, is het ook nodig om de vaak handelingsverlegen po-leerkrachten te professionaliseren met betrekking tot technieklessen. Onverlet de bestaande inspanningen is hierin in elke regio nog (veel) winst te behalen.    </w:t>
      </w:r>
    </w:p>
    <w:p w:rsidRPr="00AC0671" w:rsidR="00AC0671" w:rsidP="00AC0671" w:rsidRDefault="00AC0671" w14:paraId="0197B369" w14:textId="47C82161">
      <w:pPr>
        <w:rPr>
          <w:szCs w:val="18"/>
        </w:rPr>
      </w:pPr>
      <w:r w:rsidRPr="00AC0671">
        <w:rPr>
          <w:szCs w:val="18"/>
        </w:rPr>
        <w:t xml:space="preserve">        </w:t>
      </w:r>
    </w:p>
    <w:p w:rsidRPr="00AC0671" w:rsidR="00AC0671" w:rsidP="00AC0671" w:rsidRDefault="00AC0671" w14:paraId="33CA798B" w14:textId="77777777">
      <w:pPr>
        <w:spacing w:line="259" w:lineRule="auto"/>
        <w:rPr>
          <w:i/>
          <w:iCs/>
          <w:szCs w:val="18"/>
        </w:rPr>
      </w:pPr>
      <w:r w:rsidRPr="00AC0671">
        <w:rPr>
          <w:i/>
          <w:iCs/>
          <w:szCs w:val="18"/>
        </w:rPr>
        <w:t>Onderbouw vmbo</w:t>
      </w:r>
    </w:p>
    <w:p w:rsidR="00812193" w:rsidP="00AC0671" w:rsidRDefault="00AC0671" w14:paraId="6448CBD8" w14:textId="77777777">
      <w:pPr>
        <w:spacing w:line="259" w:lineRule="auto"/>
      </w:pPr>
      <w:r>
        <w:t xml:space="preserve">In de </w:t>
      </w:r>
      <w:r w:rsidRPr="780653D5">
        <w:rPr>
          <w:i/>
          <w:iCs/>
        </w:rPr>
        <w:t>onderbouw van het vmbo</w:t>
      </w:r>
      <w:r>
        <w:t xml:space="preserve"> is een belangrijke winst in de regio’s, dat de oriëntatie op technologie voor vmbo-leerlingen is verbeterd en dat die aantrekkelijker is gemaakt. De techlabs spelen hierin doorgaans ook een rol; zo is er in een regio een standaard oriëntatieroute voor </w:t>
      </w:r>
      <w:r w:rsidRPr="780653D5">
        <w:rPr>
          <w:i/>
          <w:iCs/>
        </w:rPr>
        <w:t>alle</w:t>
      </w:r>
      <w:r>
        <w:t xml:space="preserve"> vmbo-leerlingen ingevoerd, waarvan een bezoek aan een regionale hotspot techniek een verplicht onderdeel is. Ook zichtbaar is dat technieklessen in de onderbouw profiteren van de investeringen vanuit STO in betere lokalen, materieel en personeel. In opkomst in de onderbouw vmbo zijn initiatieven die ook de </w:t>
      </w:r>
      <w:r w:rsidRPr="780653D5">
        <w:rPr>
          <w:i/>
          <w:iCs/>
        </w:rPr>
        <w:t>inhoud</w:t>
      </w:r>
      <w:r>
        <w:t xml:space="preserve"> en didactiek van het techniekonderwijs innoveren; meer nadruk komt er daarin te liggen op combinaties van techniek met creativiteit, waarbij er soms lessen voor techniek en kunstzinnige vorming worden samengevoegd tot lessen waarin design en creatief werken worden gecombineerd met techniek en technologie. De manier van leren sluit dan beter aan op wat in het basisonderwijs en in de diverse tech-labs gebruikelijk is (met meer aandacht voor eigen inbreng en creativiteit en design-thinking)</w:t>
      </w:r>
      <w:r w:rsidR="00812193">
        <w:t>.</w:t>
      </w:r>
    </w:p>
    <w:p w:rsidRPr="00AC0671" w:rsidR="00AC0671" w:rsidP="00AC0671" w:rsidRDefault="00AC0671" w14:paraId="79A59E63" w14:textId="6B70DFDB">
      <w:pPr>
        <w:spacing w:line="259" w:lineRule="auto"/>
      </w:pPr>
      <w:r>
        <w:t xml:space="preserve">   </w:t>
      </w:r>
    </w:p>
    <w:p w:rsidRPr="00AC0671" w:rsidR="00AC0671" w:rsidP="00AC0671" w:rsidRDefault="00AC0671" w14:paraId="61BA3FF3" w14:textId="77777777">
      <w:pPr>
        <w:spacing w:line="259" w:lineRule="auto"/>
        <w:rPr>
          <w:i/>
          <w:iCs/>
          <w:szCs w:val="18"/>
        </w:rPr>
      </w:pPr>
      <w:r w:rsidRPr="00AC0671">
        <w:rPr>
          <w:i/>
          <w:iCs/>
          <w:szCs w:val="18"/>
        </w:rPr>
        <w:t>Bovenbouw vmbo</w:t>
      </w:r>
    </w:p>
    <w:p w:rsidR="00AC0671" w:rsidP="00AC0671" w:rsidRDefault="00AC0671" w14:paraId="413438CD" w14:textId="77777777">
      <w:pPr>
        <w:rPr>
          <w:szCs w:val="18"/>
        </w:rPr>
      </w:pPr>
      <w:r w:rsidRPr="00AC0671">
        <w:rPr>
          <w:szCs w:val="18"/>
        </w:rPr>
        <w:t xml:space="preserve">In de </w:t>
      </w:r>
      <w:r w:rsidRPr="00AC0671">
        <w:rPr>
          <w:i/>
          <w:iCs/>
          <w:szCs w:val="18"/>
        </w:rPr>
        <w:t>bovenbouw vmbo</w:t>
      </w:r>
      <w:r w:rsidRPr="00AC0671">
        <w:rPr>
          <w:szCs w:val="18"/>
        </w:rPr>
        <w:t xml:space="preserve"> lag en ligt het accent vanuit STO op een versterking van de technische profielen met investeringen in mensen, in (vaak verouderd) materieel en huisvesting. De </w:t>
      </w:r>
      <w:r w:rsidRPr="00AC0671">
        <w:rPr>
          <w:i/>
          <w:iCs/>
          <w:szCs w:val="18"/>
        </w:rPr>
        <w:t>inhoudelijke</w:t>
      </w:r>
      <w:r w:rsidRPr="00AC0671">
        <w:rPr>
          <w:szCs w:val="18"/>
        </w:rPr>
        <w:t xml:space="preserve"> vernieuwing zit in de bovenbouw met name bij de keuzevakken, die zijn uitgebreid met nieuwe vakken, soms op het snijvlak van techniek en design of op het snijvlak van profielen, zoals zorg &amp; technologie. Binnen STO is een grote rol weggelegd voor de keuzevakken. Dankzij de flexibiliteit en inhoud van de keuzevakken is er veel mogelijk: keuzevakken zijn uitgebreid, vaak toegankelijk voor leerlingen uit niet-technische profielen en worden deels ook buitenschools bij mbo, bedrijven, bedrijfsvakscholen of bij andere scholen uitgevoerd. De koppeling aan een keuzevak heeft als voordeel dat het onderwijs geborgd is in het curriculum. STO faciliteert in regio’s ook dat ’ </w:t>
      </w:r>
      <w:r w:rsidRPr="00AC0671">
        <w:rPr>
          <w:szCs w:val="18"/>
        </w:rPr>
        <w:lastRenderedPageBreak/>
        <w:t xml:space="preserve">technisch georiënteerde praktijkgerichte programma’s voor vmbo-gl/tl worden opgezet en/of een goede invulling krijgen.  </w:t>
      </w:r>
    </w:p>
    <w:p w:rsidRPr="00AC0671" w:rsidR="00812193" w:rsidP="00AC0671" w:rsidRDefault="00812193" w14:paraId="21D957FE" w14:textId="77777777">
      <w:pPr>
        <w:rPr>
          <w:szCs w:val="18"/>
        </w:rPr>
      </w:pPr>
    </w:p>
    <w:p w:rsidR="00AC0671" w:rsidP="00AC0671" w:rsidRDefault="00AC0671" w14:paraId="0B73DD0E" w14:textId="19C3C9AB">
      <w:pPr>
        <w:spacing w:line="259" w:lineRule="auto"/>
      </w:pPr>
      <w:r>
        <w:t xml:space="preserve">Ook is zichtbaar dat in de bovenbouw met behulp van STO en het vanwege STO ontstane bedrijvennetwerk, vaker </w:t>
      </w:r>
      <w:r w:rsidRPr="46AF5C4D">
        <w:rPr>
          <w:i/>
          <w:iCs/>
        </w:rPr>
        <w:t>praktijkgericht en buitenschools</w:t>
      </w:r>
      <w:r>
        <w:t>, in en samen met bedrijven wordt geleerd. Door STO heeft het buitenschools leren een grotere vlucht genomen. Er worden afspraken gemaakt met ketenpartners, de leeromgevingen voor leerlingen worden uitgebreid. (</w:t>
      </w:r>
      <w:r w:rsidR="00AE63F9">
        <w:t>vb.</w:t>
      </w:r>
      <w:r>
        <w:t xml:space="preserve">: ‘De regio als klaslokaal’, ‘doorlopende leeromgevingen’) en bedrijven staan daarvoor meer open, mede vanwege het STO-netwerk. </w:t>
      </w:r>
    </w:p>
    <w:p w:rsidRPr="00AC0671" w:rsidR="00812193" w:rsidP="00AC0671" w:rsidRDefault="00812193" w14:paraId="7A8059FC" w14:textId="77777777">
      <w:pPr>
        <w:spacing w:line="259" w:lineRule="auto"/>
        <w:rPr>
          <w:szCs w:val="18"/>
        </w:rPr>
      </w:pPr>
    </w:p>
    <w:p w:rsidR="00AC0671" w:rsidP="00AC0671" w:rsidRDefault="00AC0671" w14:paraId="76F4079F" w14:textId="7EF8ECEC">
      <w:pPr>
        <w:rPr>
          <w:szCs w:val="18"/>
        </w:rPr>
      </w:pPr>
      <w:r w:rsidRPr="00AC0671">
        <w:rPr>
          <w:szCs w:val="18"/>
        </w:rPr>
        <w:t>Daarmee gaat LOB sterker hand in hand met het onderwijs en ontstaan er meer mogelijkheden voor LOB, in de zin van ervaringen opdoen (mogelijkheden om te ontdekken). Kwalitatief goede LOB bestaat uit ervaringen opdoen en het goede loopbaangesprek daarover. In de aflopen periode is er in de regio’s meer oog gekomen voor de rol van LOB in STO. In de nieuwe periode zal die rol nog belangrijker worden (bijvoorbeeld vanwege nieuwe doelgroepen, andere profielen). Wat LOB betreft heeft STO ook een impuls gegeven aan allerlei regionale evenementen, waarin bedrijven en opleidingen in de techniek zich op een aantrekkelijke manier aan vmbo-leerlingen presenteren en leerlingen een doorkijkje krijgen naar wat er mogelijk is met techniek/technologie. Vanuit die contacten ontstaan vaak ook korte stages of praktijkopdrachten bij een bedrijf, ondersteund vanuit het regionaal STO-verband.</w:t>
      </w:r>
    </w:p>
    <w:p w:rsidRPr="00AC0671" w:rsidR="00812193" w:rsidP="00AC0671" w:rsidRDefault="00812193" w14:paraId="5A77ECFB" w14:textId="77777777">
      <w:pPr>
        <w:rPr>
          <w:szCs w:val="18"/>
        </w:rPr>
      </w:pPr>
    </w:p>
    <w:p w:rsidRPr="00AC0671" w:rsidR="00AC0671" w:rsidP="00AC0671" w:rsidRDefault="00AC0671" w14:paraId="0AD55F0B" w14:textId="77777777">
      <w:pPr>
        <w:rPr>
          <w:i/>
          <w:iCs/>
          <w:szCs w:val="18"/>
        </w:rPr>
      </w:pPr>
      <w:r w:rsidRPr="00AC0671">
        <w:rPr>
          <w:i/>
          <w:iCs/>
          <w:szCs w:val="18"/>
        </w:rPr>
        <w:t>Van vmbo naar mbo</w:t>
      </w:r>
    </w:p>
    <w:p w:rsidRPr="00AC0671" w:rsidR="00AC0671" w:rsidP="00AC0671" w:rsidRDefault="00AC0671" w14:paraId="36ABDB46" w14:textId="4129E8F6">
      <w:pPr>
        <w:rPr>
          <w:szCs w:val="18"/>
        </w:rPr>
      </w:pPr>
      <w:r w:rsidRPr="00AC0671">
        <w:rPr>
          <w:szCs w:val="18"/>
        </w:rPr>
        <w:t xml:space="preserve">De samenwerking met het mbo is het onderwerp waarop de regio’s misschien wel het meest verschillen. In de ene regio loopt (en liep dit al van oudsher of door eerdere techniekinitiatieven) dit gesmeerd, in andere regio’s is het nog echt zoeken naar productieve modellen van samenwerking (individueel, met vmbo via menukaart, bovenregionaal). In de meeste regio’s wordt de samenwerking met de bedrijfsvakscholen vanwege de grote flexibiliteit omarmd. Voor de komende periode staat bij een aantal regio’s het verbeteren van de samenwerking met het mbo op de rol. </w:t>
      </w:r>
    </w:p>
    <w:p w:rsidR="00AC0671" w:rsidP="00AC0671" w:rsidRDefault="00AC0671" w14:paraId="7A07E1B2" w14:textId="77777777">
      <w:pPr>
        <w:rPr>
          <w:szCs w:val="18"/>
        </w:rPr>
      </w:pPr>
    </w:p>
    <w:p w:rsidRPr="00E30DFE" w:rsidR="00566993" w:rsidP="00AC0671" w:rsidRDefault="00566993" w14:paraId="7845360F" w14:textId="1AE47896">
      <w:pPr>
        <w:rPr>
          <w:i/>
          <w:iCs/>
          <w:szCs w:val="18"/>
        </w:rPr>
      </w:pPr>
      <w:r>
        <w:rPr>
          <w:i/>
          <w:iCs/>
          <w:szCs w:val="18"/>
        </w:rPr>
        <w:t>Samenwerking met bedrijven</w:t>
      </w:r>
    </w:p>
    <w:p w:rsidRPr="00AC0671" w:rsidR="00AC0671" w:rsidP="00AC0671" w:rsidRDefault="00AC0671" w14:paraId="1B6A5EA1" w14:textId="532DEAA5">
      <w:r>
        <w:t xml:space="preserve">Bedrijven hebben in STO een slag gemaakt van aandacht voor vooral het mbo, naar aandacht voor ook het vmbo en het po: ze hebben het vmbo en po ‘ontdekt’. Ze zijn op vele manieren betrokken, ook in het lesprogramma, en de praktijk komt via instructeurs en (gast)docenten die meer contact hebben met bedrijven het leslokaal in. Voor leerlingen en docenten blijken de contacten motiverend. Door het tekort aan personeel zijn veel bedrijven gemotiveerd om bij te dragen. Er ontstaat bij onderwijs en bedrijven meer begrip voor elkaars werkwijze en cultuur. Er wordt wel een risico gesignaleerd dat de urgentie bij bedrijven hoog is en men STO traag vindt gaan (verschil tussen de onderwijscultuur en een ondernemende cultuur), met als risico dat bedrijven gaan afhaken en het zelf gaan organiseren. </w:t>
      </w:r>
    </w:p>
    <w:p w:rsidR="00AC0671" w:rsidP="00AC0671" w:rsidRDefault="00AC0671" w14:paraId="5ABD0ECB" w14:textId="77777777">
      <w:pPr>
        <w:spacing w:line="259" w:lineRule="auto"/>
        <w:rPr>
          <w:szCs w:val="18"/>
        </w:rPr>
      </w:pPr>
    </w:p>
    <w:p w:rsidRPr="00E30DFE" w:rsidR="00566993" w:rsidP="00AC0671" w:rsidRDefault="00566993" w14:paraId="4B2A5A84" w14:textId="1356A8C0">
      <w:pPr>
        <w:spacing w:line="259" w:lineRule="auto"/>
        <w:rPr>
          <w:i/>
          <w:iCs/>
          <w:szCs w:val="18"/>
        </w:rPr>
      </w:pPr>
      <w:r>
        <w:rPr>
          <w:i/>
          <w:iCs/>
          <w:szCs w:val="18"/>
        </w:rPr>
        <w:t>Algemeen beeld</w:t>
      </w:r>
    </w:p>
    <w:p w:rsidR="00AC0671" w:rsidP="00AC0671" w:rsidRDefault="00AC0671" w14:paraId="21ED6674" w14:textId="77777777">
      <w:pPr>
        <w:rPr>
          <w:szCs w:val="18"/>
        </w:rPr>
      </w:pPr>
      <w:r w:rsidRPr="00AC0671">
        <w:rPr>
          <w:szCs w:val="18"/>
        </w:rPr>
        <w:t>Alles overziend is er in elke regio in de afgelopen periode veel ontwikkeld en geïnvesteerd. De basis lijkt nu overal op orde, met geschikte ruimtes, gemoderniseerd materieel, uitbreidingen en versterkingen bij het personeel, een aanbod aan techlabs en een uitbreiding van de keuzevakken en cross-overs in de techniek. Relatief veel tijd en geld is in de regio’s gestoken in ‘ontwikkeluren’. De aandacht voor techniek is hiermee concreter dan ooit tevoren. Tegelijkertijd hebben betrokkenen inmiddels weer nieuwe of verdergaande ambities ontwikkeld, die deels ook zijn opgenomen in de plannen voor de nieuwe STO-periode. Om die ambities te bereiken zal nog meer tijd, afstemming en samenwerking nodig zijn. Dat betreft met name:</w:t>
      </w:r>
    </w:p>
    <w:p w:rsidRPr="00AC0671" w:rsidR="00812193" w:rsidP="00AC0671" w:rsidRDefault="00812193" w14:paraId="233FB303" w14:textId="77777777">
      <w:pPr>
        <w:rPr>
          <w:szCs w:val="18"/>
        </w:rPr>
      </w:pPr>
    </w:p>
    <w:p w:rsidRPr="00AC0671" w:rsidR="00AC0671" w:rsidP="00426692" w:rsidRDefault="00AC0671" w14:paraId="2B80286A" w14:textId="7FDAF563">
      <w:pPr>
        <w:pStyle w:val="Lijstalinea"/>
        <w:numPr>
          <w:ilvl w:val="0"/>
          <w:numId w:val="53"/>
        </w:numPr>
        <w:spacing w:after="160" w:line="259" w:lineRule="auto"/>
        <w:rPr>
          <w:szCs w:val="18"/>
        </w:rPr>
      </w:pPr>
      <w:r w:rsidRPr="00AC0671">
        <w:rPr>
          <w:szCs w:val="18"/>
        </w:rPr>
        <w:t>Een groter, indien mogelijk compleet bereik (</w:t>
      </w:r>
      <w:r w:rsidRPr="00AC0671" w:rsidR="00375267">
        <w:rPr>
          <w:szCs w:val="18"/>
        </w:rPr>
        <w:t>o.a.</w:t>
      </w:r>
      <w:r w:rsidRPr="00AC0671">
        <w:rPr>
          <w:szCs w:val="18"/>
        </w:rPr>
        <w:t xml:space="preserve"> met de techlabs) van alle basisscholen, (structurele) inbedding van techniekonderwijs en aandacht voor technologie in het lesprogramma, aansluiting daarvan op het aanbod van techlabs en verdere professionalisering van het personeel in het po. </w:t>
      </w:r>
    </w:p>
    <w:p w:rsidRPr="00AC0671" w:rsidR="00AC0671" w:rsidP="00426692" w:rsidRDefault="00AC0671" w14:paraId="6E9B2DCA" w14:textId="77777777">
      <w:pPr>
        <w:pStyle w:val="Lijstalinea"/>
        <w:numPr>
          <w:ilvl w:val="0"/>
          <w:numId w:val="53"/>
        </w:numPr>
        <w:spacing w:after="160" w:line="259" w:lineRule="auto"/>
        <w:rPr>
          <w:szCs w:val="18"/>
        </w:rPr>
      </w:pPr>
      <w:r w:rsidRPr="00AC0671">
        <w:rPr>
          <w:szCs w:val="18"/>
        </w:rPr>
        <w:t xml:space="preserve">Verdere vernieuwing van het techniekonderwijs in de onderbouw, waarbij dat – net als bij techlabs - meer op de leest van ontdekken en uitproberen kan worden geschoeid en waarbij de techlabs vaker ook voor de vmbo-leerlingen worden ingezet.  </w:t>
      </w:r>
    </w:p>
    <w:p w:rsidRPr="00AC0671" w:rsidR="00AC0671" w:rsidP="00426692" w:rsidRDefault="00AC0671" w14:paraId="5238A2EE" w14:textId="77777777">
      <w:pPr>
        <w:pStyle w:val="Lijstalinea"/>
        <w:numPr>
          <w:ilvl w:val="0"/>
          <w:numId w:val="53"/>
        </w:numPr>
        <w:spacing w:after="160" w:line="259" w:lineRule="auto"/>
        <w:rPr>
          <w:szCs w:val="18"/>
        </w:rPr>
      </w:pPr>
      <w:r w:rsidRPr="00AC0671">
        <w:rPr>
          <w:szCs w:val="18"/>
        </w:rPr>
        <w:t xml:space="preserve">Aansluiting van de didactische aanpakken (praktijkgericht, ontdekkend, creatief, projectmatig, interdisciplinair) in de hele keten van po tot mbo, met name ook in de bovenbouw (met inbegrip van de </w:t>
      </w:r>
      <w:r w:rsidRPr="00AC0671">
        <w:rPr>
          <w:szCs w:val="18"/>
        </w:rPr>
        <w:lastRenderedPageBreak/>
        <w:t xml:space="preserve">praktijkgerichte programma’s voor vmbo-gl/tl), waarbij de tech- of innovatielabs een rol kunnen vervullen bij de verbinding van profielen tot een interdisciplinaire benadering (met technologie), die aantrekkelijk zijn voor leerlingen en hen (qua studiehouding en zelfstandigheid) ook beter zouden kunnen voorbereiden op een beroepsopleiding in het mbo.   </w:t>
      </w:r>
    </w:p>
    <w:p w:rsidRPr="00AC0671" w:rsidR="00AC0671" w:rsidP="00426692" w:rsidRDefault="00AC0671" w14:paraId="61CF6ABC" w14:textId="6499A049">
      <w:pPr>
        <w:pStyle w:val="Lijstalinea"/>
        <w:numPr>
          <w:ilvl w:val="0"/>
          <w:numId w:val="53"/>
        </w:numPr>
        <w:spacing w:after="160" w:line="259" w:lineRule="auto"/>
      </w:pPr>
      <w:r>
        <w:t xml:space="preserve">Afstemming van alle nu vaak nogal van elkaar losstaande initiatieven en labs in regio’s, die deels van STO komen en deels zijn opgezet vanuit het po of mbo of door gezamenlijke initiatieven van lokale overheden, bedrijvennetwerken en onderwijs.     </w:t>
      </w:r>
    </w:p>
    <w:p w:rsidRPr="00AC0671" w:rsidR="00AC0671" w:rsidP="00AC0671" w:rsidRDefault="00AC0671" w14:paraId="6D3EAC2D" w14:textId="77777777">
      <w:pPr>
        <w:rPr>
          <w:szCs w:val="18"/>
        </w:rPr>
      </w:pPr>
      <w:r w:rsidRPr="00AC0671">
        <w:rPr>
          <w:szCs w:val="18"/>
        </w:rPr>
        <w:t xml:space="preserve">De impulsen die Techkwadraat en de aandacht voor praktijkgericht werken in het hele vo aan deze ontwikkeling geven, bieden hiertoe nieuwe kansen. </w:t>
      </w:r>
    </w:p>
    <w:p w:rsidRPr="00AC0671" w:rsidR="00AC0671" w:rsidP="00AC0671" w:rsidRDefault="00AC0671" w14:paraId="2DC86DC8" w14:textId="77777777">
      <w:pPr>
        <w:pStyle w:val="Plattetekst"/>
        <w:rPr>
          <w:szCs w:val="18"/>
          <w:lang w:eastAsia="en-US"/>
        </w:rPr>
      </w:pPr>
    </w:p>
    <w:p w:rsidRPr="00AC0671" w:rsidR="00AC0671" w:rsidP="00AC0671" w:rsidRDefault="00AC0671" w14:paraId="527B7839" w14:textId="77777777">
      <w:pPr>
        <w:pStyle w:val="Plattetekst"/>
        <w:rPr>
          <w:szCs w:val="18"/>
          <w:lang w:eastAsia="en-US"/>
        </w:rPr>
      </w:pPr>
    </w:p>
    <w:p w:rsidR="00CF15B7" w:rsidP="00686F3D" w:rsidRDefault="00E30DFE" w14:paraId="27055032" w14:textId="16C9F85A">
      <w:pPr>
        <w:pStyle w:val="Kop1"/>
        <w:rPr>
          <w:sz w:val="18"/>
          <w:szCs w:val="18"/>
        </w:rPr>
      </w:pPr>
      <w:bookmarkStart w:name="_Toc203573568" w:id="20"/>
      <w:r w:rsidRPr="780653D5">
        <w:rPr>
          <w:sz w:val="18"/>
          <w:szCs w:val="18"/>
        </w:rPr>
        <w:lastRenderedPageBreak/>
        <w:t>O</w:t>
      </w:r>
      <w:r w:rsidRPr="780653D5" w:rsidR="00CF15B7">
        <w:rPr>
          <w:sz w:val="18"/>
          <w:szCs w:val="18"/>
        </w:rPr>
        <w:t xml:space="preserve">bservaties </w:t>
      </w:r>
      <w:r w:rsidRPr="780653D5">
        <w:rPr>
          <w:sz w:val="18"/>
          <w:szCs w:val="18"/>
        </w:rPr>
        <w:t xml:space="preserve">oriëntatie op techniek </w:t>
      </w:r>
      <w:r w:rsidRPr="780653D5" w:rsidR="721FB825">
        <w:rPr>
          <w:sz w:val="18"/>
          <w:szCs w:val="18"/>
        </w:rPr>
        <w:t>in</w:t>
      </w:r>
      <w:r w:rsidRPr="780653D5">
        <w:rPr>
          <w:sz w:val="18"/>
          <w:szCs w:val="18"/>
        </w:rPr>
        <w:t xml:space="preserve"> </w:t>
      </w:r>
      <w:r w:rsidRPr="780653D5" w:rsidR="00CF15B7">
        <w:rPr>
          <w:sz w:val="18"/>
          <w:szCs w:val="18"/>
        </w:rPr>
        <w:t xml:space="preserve">buitenschoolse </w:t>
      </w:r>
      <w:r w:rsidRPr="780653D5">
        <w:rPr>
          <w:sz w:val="18"/>
          <w:szCs w:val="18"/>
        </w:rPr>
        <w:t xml:space="preserve">activiteiten </w:t>
      </w:r>
      <w:r w:rsidRPr="780653D5" w:rsidR="00CF15B7">
        <w:rPr>
          <w:sz w:val="18"/>
          <w:szCs w:val="18"/>
        </w:rPr>
        <w:t>STO</w:t>
      </w:r>
      <w:bookmarkEnd w:id="20"/>
    </w:p>
    <w:p w:rsidRPr="002F5527" w:rsidR="002F5527" w:rsidP="002F5527" w:rsidRDefault="00BF4020" w14:paraId="1D361A5D" w14:textId="45D10B2C">
      <w:pPr>
        <w:pStyle w:val="Geenafstand"/>
      </w:pPr>
      <w:r>
        <w:t>Om meer en beter zicht te krijgen op de invulling van het buitenschoolse techniekaanbod dat in het kader van STO wordt georganiseerd voor leerlingen om kennis te maken met techniek, zijn observaties uitgevoerd.</w:t>
      </w:r>
      <w:r w:rsidR="00D94D4C">
        <w:t xml:space="preserve"> Het gaat hier om activiteiten die worden georganiseerd voor leerlingen in po en de onderbouw vo</w:t>
      </w:r>
      <w:r w:rsidR="00891715">
        <w:t xml:space="preserve"> </w:t>
      </w:r>
      <w:r w:rsidR="00D94D4C">
        <w:t xml:space="preserve">om </w:t>
      </w:r>
      <w:r w:rsidR="00935CF5">
        <w:t>hen in contact te brengen met techniek en zo de interesse op de wekken of de versterken.</w:t>
      </w:r>
      <w:r w:rsidRPr="00D43F8C" w:rsidR="002F5527">
        <w:t xml:space="preserve"> </w:t>
      </w:r>
      <w:r w:rsidRPr="002F5527" w:rsidR="002F5527">
        <w:t xml:space="preserve">Ook in de bovenbouw van het vmbo zijn er door STO veel buitenschoolse activiteiten, zoals het volgen van keuzevakken in een bedrijf of op het mbo. Dit hoofdstuk beperkt zich tot buitenschoolse activiteiten in het po en een enkele activiteit in de onderbouw vmbo. </w:t>
      </w:r>
    </w:p>
    <w:p w:rsidRPr="008C4AC8" w:rsidR="00BF4020" w:rsidP="00BF4020" w:rsidRDefault="00935CF5" w14:paraId="1297EDAD" w14:textId="3F9E121D">
      <w:pPr>
        <w:pStyle w:val="Geenafstand"/>
      </w:pPr>
      <w:r>
        <w:t xml:space="preserve"> </w:t>
      </w:r>
    </w:p>
    <w:p w:rsidR="00067C00" w:rsidP="00CF15B7" w:rsidRDefault="00067C00" w14:paraId="6879057F" w14:textId="77777777">
      <w:pPr>
        <w:jc w:val="both"/>
      </w:pPr>
    </w:p>
    <w:p w:rsidR="00CF15B7" w:rsidP="00CF15B7" w:rsidRDefault="00CF15B7" w14:paraId="30291CC1" w14:textId="77777777">
      <w:pPr>
        <w:jc w:val="both"/>
      </w:pPr>
      <w:r>
        <w:t>Dit hoofdstuk start met een toelichting op de theoretische achtergrond en ontwikkeling van het observatieschema. Vervolgens wordt per geobserveerde ‘les’ een beschrijving gegeven van de doelgroep, het thema, de context (locatie) en activiteiten van de leerlingen. Tot slot beschrijven we overkoepelende conclusies op basis van de observaties.</w:t>
      </w:r>
    </w:p>
    <w:p w:rsidR="00F563E8" w:rsidP="00CF15B7" w:rsidRDefault="00F563E8" w14:paraId="6006D460" w14:textId="77777777">
      <w:pPr>
        <w:jc w:val="both"/>
      </w:pPr>
    </w:p>
    <w:p w:rsidRPr="00F563E8" w:rsidR="00CF15B7" w:rsidP="00CF15B7" w:rsidRDefault="00F563E8" w14:paraId="6AE88F68" w14:textId="6D5A06D3">
      <w:pPr>
        <w:jc w:val="both"/>
        <w:rPr>
          <w:b/>
          <w:bCs/>
        </w:rPr>
      </w:pPr>
      <w:r w:rsidRPr="00F563E8">
        <w:rPr>
          <w:b/>
          <w:bCs/>
        </w:rPr>
        <w:t>Inhoud en aanpak observaties</w:t>
      </w:r>
    </w:p>
    <w:p w:rsidR="00CF15B7" w:rsidP="00CF15B7" w:rsidRDefault="00CF15B7" w14:paraId="3A47128C" w14:textId="77777777">
      <w:pPr>
        <w:jc w:val="both"/>
      </w:pPr>
      <w:r>
        <w:t xml:space="preserve">Kenmerkend aan de invulling van STO is dat er vaak verrijkende activiteiten worden aangeboden aan leerlingen in het basisonderwijs en vmbo die te maken hebben met techniek. Deze buitenschoolse activiteiten zijn bedoeld om leerlingen kennis te laten maken met techniek en hun interesse te wekken of te versterken. Daarnaast is het vaak ook expliciet de bedoeling dat het aanbod leerzaam is, en de leerlingen kennis opdoen en/of vaardigheden ontwikkelen die met techniek te maken hebben. Het kan bijvoorbeeld gaan om één of meer bezoeken aan bedrijven, andere scholen, of speciale voorzieningen zoals techlabs, voor workshops of andere bijeenkomsten. Soms gaat het om een eenmalig bezoek dat losstaat van andere lessen, maar ook kan het onderdeel zijn van een groter project of een leerlijn. In het onderzoek hebben we dit uiteenlopende aanbod geobserveerd om er een beter beeld van te krijgen. Daarbij hebben we ons gericht op de invulling van het aanbod, de rol van de lesgevenden hierin, en de beleving door de leerlingen. </w:t>
      </w:r>
    </w:p>
    <w:p w:rsidR="00CF15B7" w:rsidP="00CF15B7" w:rsidRDefault="00CF15B7" w14:paraId="035A1A44" w14:textId="77777777">
      <w:pPr>
        <w:jc w:val="both"/>
      </w:pPr>
    </w:p>
    <w:p w:rsidRPr="00173D05" w:rsidR="00CF15B7" w:rsidP="00CF15B7" w:rsidRDefault="00CF15B7" w14:paraId="539F522F" w14:textId="77777777">
      <w:pPr>
        <w:jc w:val="both"/>
        <w:rPr>
          <w:i/>
          <w:iCs/>
        </w:rPr>
      </w:pPr>
      <w:r w:rsidRPr="00173D05">
        <w:rPr>
          <w:i/>
          <w:iCs/>
        </w:rPr>
        <w:t>Invulling van het aanbod</w:t>
      </w:r>
    </w:p>
    <w:p w:rsidR="00CF15B7" w:rsidP="00CF15B7" w:rsidRDefault="00CF15B7" w14:paraId="2220C04C" w14:textId="03F6C451">
      <w:pPr>
        <w:jc w:val="both"/>
      </w:pPr>
      <w:r>
        <w:t>Ten eerste willen we zicht krijgen op de invulling van het aanbod door na te gaan welke vorm(en) van ‘praktisch leren’ er gehanteerd wordt (Lucas &amp; Hanson, 2021). Praktisch leren kan gedefinieerd worden</w:t>
      </w:r>
      <w:r w:rsidRPr="005D3306">
        <w:t xml:space="preserve"> als een leerbenadering waarbij leerlingen actief betrokken zijn bij betekenisvolle, contextuele en vaak </w:t>
      </w:r>
      <w:r w:rsidRPr="000206E5">
        <w:rPr>
          <w:i/>
          <w:iCs/>
        </w:rPr>
        <w:t>hands-on</w:t>
      </w:r>
      <w:r w:rsidRPr="005D3306">
        <w:t xml:space="preserve"> activiteiten die hen helpen om vaardigheden, kennis en attitudes te ontwikkelen die relevant zijn voor de echte wereld. Deze benadering </w:t>
      </w:r>
      <w:r>
        <w:t xml:space="preserve">van leren </w:t>
      </w:r>
      <w:r w:rsidRPr="005D3306">
        <w:t xml:space="preserve">benadrukt het belang van leren door </w:t>
      </w:r>
      <w:r w:rsidR="0096716F">
        <w:t xml:space="preserve">te </w:t>
      </w:r>
      <w:r w:rsidRPr="005D3306">
        <w:t>doen, waarbij leerlingen niet alleen theoretische kennis opdoen, maar deze ook toepassen in praktische situaties.</w:t>
      </w:r>
      <w:r>
        <w:t xml:space="preserve"> </w:t>
      </w:r>
      <w:r w:rsidRPr="005D3306">
        <w:t xml:space="preserve">Dit type leren bereidt leerlingen voor op de complexiteit van de </w:t>
      </w:r>
      <w:r>
        <w:t xml:space="preserve">echte wereld en laat hen kennismaken met levensechte situaties. </w:t>
      </w:r>
    </w:p>
    <w:p w:rsidR="00CF15B7" w:rsidP="00CF15B7" w:rsidRDefault="00CF15B7" w14:paraId="6685E4DD" w14:textId="77777777">
      <w:pPr>
        <w:jc w:val="both"/>
      </w:pPr>
    </w:p>
    <w:p w:rsidR="00CF15B7" w:rsidP="00CF15B7" w:rsidRDefault="00CF15B7" w14:paraId="45069B3C" w14:textId="6ADA7D79">
      <w:pPr>
        <w:jc w:val="both"/>
      </w:pPr>
      <w:r>
        <w:t xml:space="preserve">Praktisch leren kan grofweg onderverdeeld worden in drie categorieën, die deels ook kunnen overlappen. De eerste </w:t>
      </w:r>
      <w:r w:rsidRPr="00F713E9">
        <w:t xml:space="preserve">categorie, </w:t>
      </w:r>
      <w:r w:rsidRPr="000206E5">
        <w:rPr>
          <w:i/>
          <w:iCs/>
        </w:rPr>
        <w:t>project-based learning</w:t>
      </w:r>
      <w:r w:rsidRPr="00173D05">
        <w:t>,</w:t>
      </w:r>
      <w:r w:rsidRPr="00F713E9">
        <w:t xml:space="preserve"> is praktisch leren gestructureerd rondom een </w:t>
      </w:r>
      <w:r>
        <w:t>(</w:t>
      </w:r>
      <w:r w:rsidRPr="00F713E9">
        <w:t>uitgebreid</w:t>
      </w:r>
      <w:r>
        <w:t>)</w:t>
      </w:r>
      <w:r w:rsidRPr="00F713E9">
        <w:t xml:space="preserve"> project. Kenmerkend is dat het gaat om realistische projecten: Leerlingen werken aan projecten die verband houden met echte situaties of problemen, waardoor het leren relevant en betekenisvol wordt. De tweede categorie, </w:t>
      </w:r>
      <w:r w:rsidRPr="000206E5">
        <w:rPr>
          <w:i/>
          <w:iCs/>
        </w:rPr>
        <w:t>inquiry-based learning</w:t>
      </w:r>
      <w:r w:rsidRPr="00F713E9">
        <w:t xml:space="preserve">, in het Nederlands ‘onderzoekend leren’, is een vorm van praktisch leren waarbij leerlingen actief op zoek gaan naar antwoorden op vragen, problemen of onderwerpen die hen interesseren. In plaats van passief kennis op te nemen, </w:t>
      </w:r>
      <w:r w:rsidRPr="00173D05">
        <w:t>leren ze door vragen te stellen, te onderzoeken, informatie te analyseren en conclusies te trekken</w:t>
      </w:r>
      <w:r w:rsidRPr="00F713E9">
        <w:t xml:space="preserve">. </w:t>
      </w:r>
      <w:r w:rsidR="00FA7E88">
        <w:t xml:space="preserve">Deze vorm van praktisch leren wordt ook gebruikt in het po als het gaat om Wetenschap en Techniek. </w:t>
      </w:r>
      <w:r w:rsidRPr="00F713E9">
        <w:t xml:space="preserve">De derde categorie, </w:t>
      </w:r>
      <w:r w:rsidRPr="000206E5">
        <w:rPr>
          <w:i/>
          <w:iCs/>
        </w:rPr>
        <w:t>problem-based learning</w:t>
      </w:r>
      <w:r w:rsidRPr="00F713E9">
        <w:t xml:space="preserve"> gebruikt complexe problemen uit de echte wereld om begrippen te leren begrijpen en kennis en begrip te vergaren in een context. Hierbij wordt geen gebruik gemaakt van directe</w:t>
      </w:r>
      <w:r>
        <w:t xml:space="preserve"> instructie. In deze aanpak van praktisch leren is het de bedoeling dat leerlingen zelf een probleem proberen op te lossen</w:t>
      </w:r>
      <w:r w:rsidR="00B05735">
        <w:t>, een aanpak die soms zichtbaar is in de praktijkgerichte programma’s vmbo gl/tl.</w:t>
      </w:r>
      <w:r w:rsidR="007879B0">
        <w:t xml:space="preserve"> </w:t>
      </w:r>
      <w:r>
        <w:t>Bij de observaties is nagegaan welke van deze vormen van praktisch leren worden toegepast in het buitenschoolse aanbod</w:t>
      </w:r>
      <w:r w:rsidR="007879B0">
        <w:t>.</w:t>
      </w:r>
      <w:r>
        <w:t xml:space="preserve"> </w:t>
      </w:r>
    </w:p>
    <w:p w:rsidR="00CF15B7" w:rsidP="00CF15B7" w:rsidRDefault="00CF15B7" w14:paraId="429872D5" w14:textId="77777777">
      <w:pPr>
        <w:jc w:val="both"/>
      </w:pPr>
    </w:p>
    <w:p w:rsidR="00D43F8C" w:rsidP="00CF15B7" w:rsidRDefault="00D43F8C" w14:paraId="177ADFC0" w14:textId="77777777">
      <w:pPr>
        <w:jc w:val="both"/>
        <w:rPr>
          <w:i/>
          <w:iCs/>
        </w:rPr>
      </w:pPr>
    </w:p>
    <w:p w:rsidRPr="00173D05" w:rsidR="00CF15B7" w:rsidP="00CF15B7" w:rsidRDefault="00CF15B7" w14:paraId="297E2537" w14:textId="09D6FB7F">
      <w:pPr>
        <w:jc w:val="both"/>
        <w:rPr>
          <w:i/>
          <w:iCs/>
        </w:rPr>
      </w:pPr>
      <w:r w:rsidRPr="00173D05">
        <w:rPr>
          <w:i/>
          <w:iCs/>
        </w:rPr>
        <w:lastRenderedPageBreak/>
        <w:t>Rol van lesgevenden</w:t>
      </w:r>
    </w:p>
    <w:p w:rsidR="00CF15B7" w:rsidP="00CF15B7" w:rsidRDefault="00CF15B7" w14:paraId="67666F57" w14:textId="52A42C7B">
      <w:r w:rsidRPr="00686949">
        <w:t xml:space="preserve">Het doel van </w:t>
      </w:r>
      <w:r>
        <w:t>het buitenschoolse</w:t>
      </w:r>
      <w:r w:rsidRPr="00686949">
        <w:t xml:space="preserve"> aanbod is om leerlingen te interesseren en motiveren voor techniek, en </w:t>
      </w:r>
      <w:r>
        <w:t xml:space="preserve">vaak ook om </w:t>
      </w:r>
      <w:r w:rsidRPr="00686949">
        <w:t>hen tegelijkertijd nieuwe kennis en vaardigheden bij te brengen. Om dit te bereiken is het essentieel dat de leraar pedagogisch-didactisch handelt op een manier die tegemoetkomt aan de psychologische basisbehoeften van</w:t>
      </w:r>
      <w:r>
        <w:t xml:space="preserve"> leerlingen: a</w:t>
      </w:r>
      <w:r w:rsidRPr="00686949">
        <w:t xml:space="preserve">utonomie, </w:t>
      </w:r>
      <w:r>
        <w:t>v</w:t>
      </w:r>
      <w:r w:rsidRPr="00686949">
        <w:t xml:space="preserve">erbondenheid en competentie. Volgens de </w:t>
      </w:r>
      <w:r w:rsidRPr="00173D05">
        <w:t>Self-Determination Theory</w:t>
      </w:r>
      <w:r w:rsidRPr="00686949">
        <w:t xml:space="preserve"> van Deci en Ryan (2000) zijn deze drie behoeften fundamenteel voor het ontwikkelen van intrinsieke motivatie. </w:t>
      </w:r>
      <w:r>
        <w:t xml:space="preserve">Bij autonomie gaat het erom dat leerlingen zelf een bepaalde mate van invloed hebben op het leerproces. Competentie verwijst naar de ervaring ergens bekwaam in te zijn, en wordt versterkt door succeservaringen. Verbondenheid tot slot gaat om de ervaring van leerlingen gehoord en gezien te worden door anderen (lesgevende en medeleerlingen). </w:t>
      </w:r>
      <w:r w:rsidRPr="00686949">
        <w:t>Wanneer leerlingen zich gehoord en gezien voelen, succeservaringen opdoen en ruimte krijgen om zelfstandig keuzes te maken, versterkt dit hun motivatie en betrokkenheid bij het techniek</w:t>
      </w:r>
      <w:r>
        <w:t>aanbod</w:t>
      </w:r>
      <w:r w:rsidRPr="00686949">
        <w:t>.</w:t>
      </w:r>
      <w:r>
        <w:t xml:space="preserve"> Om deze </w:t>
      </w:r>
      <w:r w:rsidR="008E40D9">
        <w:t xml:space="preserve">drie </w:t>
      </w:r>
      <w:r>
        <w:t xml:space="preserve">elementen met behulp van observaties in kaart te brengen, </w:t>
      </w:r>
      <w:r w:rsidRPr="00DF1922">
        <w:t xml:space="preserve">maken we gebruik van </w:t>
      </w:r>
      <w:r w:rsidR="00DE372D">
        <w:t xml:space="preserve">een </w:t>
      </w:r>
      <w:r w:rsidR="008E40D9">
        <w:t>bestaand observatie</w:t>
      </w:r>
      <w:r>
        <w:t xml:space="preserve">model </w:t>
      </w:r>
      <w:r w:rsidR="008E40D9">
        <w:t>(</w:t>
      </w:r>
      <w:r>
        <w:t>Stevens</w:t>
      </w:r>
      <w:r w:rsidR="008E40D9">
        <w:t xml:space="preserve">, </w:t>
      </w:r>
      <w:r>
        <w:t xml:space="preserve">2004). </w:t>
      </w:r>
    </w:p>
    <w:p w:rsidR="00CF15B7" w:rsidP="00CF15B7" w:rsidRDefault="00CF15B7" w14:paraId="013EE25E" w14:textId="77777777"/>
    <w:p w:rsidR="00CF15B7" w:rsidP="00CF15B7" w:rsidRDefault="00CF15B7" w14:paraId="5FCA5DEE" w14:textId="77777777">
      <w:pPr>
        <w:jc w:val="both"/>
        <w:rPr>
          <w:i/>
          <w:iCs/>
        </w:rPr>
      </w:pPr>
      <w:r w:rsidRPr="00173D05">
        <w:rPr>
          <w:i/>
          <w:iCs/>
        </w:rPr>
        <w:t xml:space="preserve">Beleving leerlingen </w:t>
      </w:r>
    </w:p>
    <w:p w:rsidRPr="002C17DA" w:rsidR="00CF15B7" w:rsidP="00CF15B7" w:rsidRDefault="00CF15B7" w14:paraId="718260EE" w14:textId="77777777">
      <w:pPr>
        <w:jc w:val="both"/>
        <w:rPr>
          <w:b/>
          <w:bCs/>
          <w:i/>
          <w:iCs/>
        </w:rPr>
      </w:pPr>
      <w:r>
        <w:t xml:space="preserve">Omdat het aanwakkeren van interesse voor techniek een belangrijk hoofddoel is van het buitenschoolse aanbod, letten we in de observaties ook specifiek op zichtbare signalen van interesse en enthousiasme bij leerlingen. Hierbij wordt gekeken hoe leerlingen reageren op het buitenschoolse techniekaanbod en in hoeverre er sprake is van zichtbare betrokkenheid, interesse en enthousiasme. Om dit met een observatie in kaart te kunnen brengen, maken we gebruik van het ‘vier fasen model van interesseontwikkeling’ van Hidi &amp; Renninger (2006). Dit model ziet er als volgt uit: </w:t>
      </w:r>
    </w:p>
    <w:p w:rsidRPr="000206E5" w:rsidR="00CF15B7" w:rsidP="00426692" w:rsidRDefault="00CF15B7" w14:paraId="31CD72C3" w14:textId="77777777">
      <w:pPr>
        <w:pStyle w:val="Lijstalinea"/>
        <w:numPr>
          <w:ilvl w:val="0"/>
          <w:numId w:val="29"/>
        </w:numPr>
        <w:spacing w:after="160" w:line="259" w:lineRule="auto"/>
        <w:jc w:val="both"/>
        <w:rPr>
          <w:i/>
          <w:iCs/>
        </w:rPr>
      </w:pPr>
      <w:r w:rsidRPr="000206E5">
        <w:rPr>
          <w:i/>
          <w:iCs/>
        </w:rPr>
        <w:t>Triggered situational interest</w:t>
      </w:r>
    </w:p>
    <w:p w:rsidR="00CF15B7" w:rsidP="00CF15B7" w:rsidRDefault="00CF15B7" w14:paraId="31B876B0" w14:textId="77777777">
      <w:pPr>
        <w:pStyle w:val="Lijstalinea"/>
        <w:ind w:left="1440"/>
        <w:jc w:val="both"/>
      </w:pPr>
      <w:r w:rsidRPr="00DC6999">
        <w:t>Kortstondige interesse die wordt opgewekt door externe prikkels (bijvoorbeeld een leuke activiteit of experiment).</w:t>
      </w:r>
    </w:p>
    <w:p w:rsidRPr="000206E5" w:rsidR="00CF15B7" w:rsidP="00426692" w:rsidRDefault="00CF15B7" w14:paraId="0CADFB3B" w14:textId="77777777">
      <w:pPr>
        <w:pStyle w:val="Lijstalinea"/>
        <w:numPr>
          <w:ilvl w:val="0"/>
          <w:numId w:val="29"/>
        </w:numPr>
        <w:spacing w:after="160" w:line="259" w:lineRule="auto"/>
        <w:jc w:val="both"/>
        <w:rPr>
          <w:i/>
          <w:iCs/>
        </w:rPr>
      </w:pPr>
      <w:r w:rsidRPr="000206E5">
        <w:rPr>
          <w:i/>
          <w:iCs/>
        </w:rPr>
        <w:t>Maintained situational interest</w:t>
      </w:r>
    </w:p>
    <w:p w:rsidR="00CF15B7" w:rsidP="00CF15B7" w:rsidRDefault="00CF15B7" w14:paraId="098BD03E" w14:textId="77777777">
      <w:pPr>
        <w:pStyle w:val="Lijstalinea"/>
        <w:ind w:left="1440"/>
        <w:jc w:val="both"/>
      </w:pPr>
      <w:r w:rsidRPr="00DC6999">
        <w:t>Situatiegebonden interesse die wordt vastgehouden door betekenisvolle en aantrekkelijke activiteiten.</w:t>
      </w:r>
    </w:p>
    <w:p w:rsidRPr="000206E5" w:rsidR="00CF15B7" w:rsidP="00426692" w:rsidRDefault="00CF15B7" w14:paraId="53C08AC7" w14:textId="77777777">
      <w:pPr>
        <w:pStyle w:val="Lijstalinea"/>
        <w:numPr>
          <w:ilvl w:val="0"/>
          <w:numId w:val="29"/>
        </w:numPr>
        <w:spacing w:after="160" w:line="259" w:lineRule="auto"/>
        <w:jc w:val="both"/>
        <w:rPr>
          <w:i/>
          <w:iCs/>
        </w:rPr>
      </w:pPr>
      <w:r w:rsidRPr="000206E5">
        <w:rPr>
          <w:i/>
          <w:iCs/>
        </w:rPr>
        <w:t>Emerging individual interest</w:t>
      </w:r>
    </w:p>
    <w:p w:rsidR="00CF15B7" w:rsidP="00CF15B7" w:rsidRDefault="00CF15B7" w14:paraId="1C98CD3C" w14:textId="77777777">
      <w:pPr>
        <w:pStyle w:val="Lijstalinea"/>
        <w:ind w:left="1440"/>
        <w:jc w:val="both"/>
      </w:pPr>
      <w:r w:rsidRPr="00DC6999">
        <w:t>Een meer persoonlijke, ontwikkelde interesse waarbij leerlingen zelf gemotiveerd raken om meer te leren.</w:t>
      </w:r>
    </w:p>
    <w:p w:rsidRPr="000206E5" w:rsidR="00CF15B7" w:rsidP="00426692" w:rsidRDefault="00CF15B7" w14:paraId="2D064194" w14:textId="77777777">
      <w:pPr>
        <w:pStyle w:val="Lijstalinea"/>
        <w:numPr>
          <w:ilvl w:val="0"/>
          <w:numId w:val="29"/>
        </w:numPr>
        <w:spacing w:after="160" w:line="259" w:lineRule="auto"/>
        <w:jc w:val="both"/>
        <w:rPr>
          <w:i/>
          <w:iCs/>
        </w:rPr>
      </w:pPr>
      <w:r w:rsidRPr="000206E5">
        <w:rPr>
          <w:i/>
          <w:iCs/>
        </w:rPr>
        <w:t>Well-developed individual interest</w:t>
      </w:r>
    </w:p>
    <w:p w:rsidR="00CF15B7" w:rsidP="00CF15B7" w:rsidRDefault="00CF15B7" w14:paraId="640E88E1" w14:textId="77777777">
      <w:pPr>
        <w:pStyle w:val="Lijstalinea"/>
        <w:ind w:left="1440"/>
        <w:jc w:val="both"/>
      </w:pPr>
      <w:r w:rsidRPr="00DC6999">
        <w:t>Een diepgaande, langdurige interesse waarbij leerlingen actief op zoek gaan naar nieuwe kennis en activiteiten binnen dat domein.</w:t>
      </w:r>
    </w:p>
    <w:p w:rsidR="00CF15B7" w:rsidP="00CF15B7" w:rsidRDefault="00CF15B7" w14:paraId="1CA60FD5" w14:textId="77777777">
      <w:pPr>
        <w:jc w:val="both"/>
      </w:pPr>
      <w:r>
        <w:t>Aan de hand van dit model zijn gedragsindicatoren zoals focus, initiatief, actieve deelname en non-verbale signalen (zoals klappen of mimiek) meegenomen in het observatieschema. De derde en vierde fase zijn op basis van één lesobservatie niet van elkaar te onderscheiden en zijn voor dit onderzoek daarom samengevoegd.</w:t>
      </w:r>
    </w:p>
    <w:p w:rsidR="00CF15B7" w:rsidP="00CF15B7" w:rsidRDefault="00CF15B7" w14:paraId="29BA2E08" w14:textId="77777777">
      <w:pPr>
        <w:jc w:val="both"/>
      </w:pPr>
    </w:p>
    <w:p w:rsidRPr="00173D05" w:rsidR="00CF15B7" w:rsidP="00CF15B7" w:rsidRDefault="00CF15B7" w14:paraId="08EBC7B7" w14:textId="77777777">
      <w:pPr>
        <w:jc w:val="both"/>
        <w:rPr>
          <w:i/>
          <w:iCs/>
        </w:rPr>
      </w:pPr>
      <w:r w:rsidRPr="00173D05">
        <w:rPr>
          <w:i/>
          <w:iCs/>
        </w:rPr>
        <w:t>Aanpak</w:t>
      </w:r>
    </w:p>
    <w:p w:rsidR="00CF15B7" w:rsidP="00CF15B7" w:rsidRDefault="00CF15B7" w14:paraId="5859791E" w14:textId="77777777">
      <w:pPr>
        <w:jc w:val="both"/>
      </w:pPr>
      <w:r>
        <w:t xml:space="preserve">In totaal zijn zeven STO-regio’s benaderd met de vraag of onderzoekers op bezoek zouden mogen komen om het buitenschool aanbod te observeren. Hier hebben vijf regio’s positief op gereageerd. </w:t>
      </w:r>
      <w:r w:rsidRPr="00135BC3">
        <w:t xml:space="preserve">In totaal zijn er vijf regio’s bezocht waar er bij zeven verschillende </w:t>
      </w:r>
      <w:r>
        <w:t>‘lessen’</w:t>
      </w:r>
      <w:r w:rsidRPr="00135BC3">
        <w:t xml:space="preserve"> zijn geobserveerd. </w:t>
      </w:r>
    </w:p>
    <w:p w:rsidR="00137804" w:rsidP="00CF15B7" w:rsidRDefault="00137804" w14:paraId="30A19598" w14:textId="77777777">
      <w:pPr>
        <w:jc w:val="both"/>
      </w:pPr>
    </w:p>
    <w:p w:rsidR="00CF15B7" w:rsidP="00CF15B7" w:rsidRDefault="00CF15B7" w14:paraId="7B88523B" w14:textId="77777777">
      <w:pPr>
        <w:jc w:val="both"/>
      </w:pPr>
      <w:r>
        <w:t>Alle lessen zijn door één onderzoeker geobserveerd aan de hand van het observatieschema. In eerste instantie is daarin geregistreerd of een bepaalde handeling of activiteit plaatsvindt (ja, nee, n.v.t.). Daarnaast was er ruimte voor een kwalitatieve toelichting, waarin de onderzoeker kon beschrijven hoe de activiteit of handeling zich manifesteerde en voor hoeveel leerlingen dit opging. Het doel was uitdrukkelijk niet om te beoordelen hoe goed of slecht de les of activiteit wordt uitgevoerd, maar om vast te leggen wat er tijdens zo’n bijeenkomst gebeurt, hoe leerlingen hierop reageren en welke rol de lesgevenden hierin spelen.</w:t>
      </w:r>
      <w:r w:rsidRPr="00D408FE">
        <w:t xml:space="preserve"> </w:t>
      </w:r>
    </w:p>
    <w:p w:rsidRPr="00B9388A" w:rsidR="00CF15B7" w:rsidP="00CF15B7" w:rsidRDefault="00CF15B7" w14:paraId="37C79593" w14:textId="77777777">
      <w:pPr>
        <w:pStyle w:val="Geenafstand"/>
        <w:jc w:val="both"/>
      </w:pPr>
    </w:p>
    <w:p w:rsidRPr="00363FC3" w:rsidR="00CF15B7" w:rsidP="00CF15B7" w:rsidRDefault="00CF15B7" w14:paraId="7EC1F0DB" w14:textId="77777777">
      <w:pPr>
        <w:jc w:val="both"/>
        <w:rPr>
          <w:b/>
          <w:bCs/>
          <w:i/>
        </w:rPr>
      </w:pPr>
      <w:r w:rsidRPr="00363FC3">
        <w:rPr>
          <w:b/>
          <w:bCs/>
          <w:i/>
        </w:rPr>
        <w:t>Samenvattend</w:t>
      </w:r>
    </w:p>
    <w:p w:rsidRPr="00361085" w:rsidR="00CF15B7" w:rsidP="00CF15B7" w:rsidRDefault="00CF15B7" w14:paraId="7141F432" w14:textId="7F4B3EC0">
      <w:pPr>
        <w:jc w:val="both"/>
        <w:rPr>
          <w:iCs/>
        </w:rPr>
      </w:pPr>
      <w:r>
        <w:rPr>
          <w:iCs/>
        </w:rPr>
        <w:t xml:space="preserve">Met de toepassing van dit observatieschema beschrijven wij de invulling van het buitenschoolse techniekaanbod en proberen we de interesseontwikkeling van leerlingen te vangen. Wat houdt een leerling betrokken? Waar gaat een leerling van ‘aan’ staan en hoe kunnen lesgevenden dit versterken? Met de drie uitgangpunten van praktisch leren </w:t>
      </w:r>
      <w:r>
        <w:rPr>
          <w:iCs/>
        </w:rPr>
        <w:lastRenderedPageBreak/>
        <w:t xml:space="preserve">wordt er gekeken naar de opzet en de structuur van de lessen. Vervolgens wordt </w:t>
      </w:r>
      <w:r w:rsidR="00F35165">
        <w:rPr>
          <w:iCs/>
        </w:rPr>
        <w:t>een observatieschema</w:t>
      </w:r>
      <w:r>
        <w:rPr>
          <w:iCs/>
        </w:rPr>
        <w:t xml:space="preserve"> gebruikt om te kijken hoe lesgevende pedagogisch didactisch handelen gebruiken om leerlingen kennis te laten maken met techniek en hun interesse op te wekken of te versterken. Tot slot wordt er specifiek gekeken naar de interesse van leerlingen aan de hand van de vier fases van ontwikkeling. De observaties zijn niet bedoeld als een representatief beeld van STO, maar als een inkijkje in verschillende STO-lessen en de manier waarop de ‘magie van techniek’ overgebracht kan worden op leerlingen.  </w:t>
      </w:r>
      <w:r w:rsidRPr="00DC6999">
        <w:br w:type="page"/>
      </w:r>
    </w:p>
    <w:p w:rsidRPr="000B7B1F" w:rsidR="00CF15B7" w:rsidP="00832357" w:rsidRDefault="00CF15B7" w14:paraId="0A421F13" w14:textId="77777777">
      <w:pPr>
        <w:pStyle w:val="Kop3"/>
      </w:pPr>
      <w:bookmarkStart w:name="_Toc203573569" w:id="21"/>
      <w:r w:rsidRPr="000B7B1F">
        <w:lastRenderedPageBreak/>
        <w:t>Lesobservatie 1:</w:t>
      </w:r>
      <w:bookmarkEnd w:id="21"/>
      <w:r w:rsidRPr="000B7B1F">
        <w:t xml:space="preserve"> </w:t>
      </w:r>
    </w:p>
    <w:p w:rsidR="00CF15B7" w:rsidP="00CF15B7" w:rsidRDefault="00CF15B7" w14:paraId="25AEC796" w14:textId="77777777">
      <w:pPr>
        <w:jc w:val="both"/>
      </w:pPr>
      <w:r>
        <w:t xml:space="preserve">De eerste lesobservatie vond plaats bij een organisatie die voor duizenden leerlingen interactieve en informatieve workshops, activiteiten en projecten organiseert. Dit doet ze samen met alle schoolbesturen voor het basis- en voortgezet onderwijs in deze regio en een groot netwerk aan bedrijven en organisaties. </w:t>
      </w:r>
    </w:p>
    <w:p w:rsidR="00CF15B7" w:rsidP="00CF15B7" w:rsidRDefault="00CF15B7" w14:paraId="3D2B9B5C" w14:textId="77777777">
      <w:pPr>
        <w:jc w:val="both"/>
      </w:pPr>
      <w:r>
        <w:rPr>
          <w:noProof/>
        </w:rPr>
        <w:drawing>
          <wp:anchor distT="0" distB="0" distL="114300" distR="114300" simplePos="0" relativeHeight="251658242" behindDoc="0" locked="0" layoutInCell="1" allowOverlap="1" wp14:editId="63F9CE76" wp14:anchorId="718A5C0A">
            <wp:simplePos x="0" y="0"/>
            <wp:positionH relativeFrom="margin">
              <wp:posOffset>2956560</wp:posOffset>
            </wp:positionH>
            <wp:positionV relativeFrom="paragraph">
              <wp:posOffset>3066415</wp:posOffset>
            </wp:positionV>
            <wp:extent cx="2763520" cy="2790825"/>
            <wp:effectExtent l="5397" t="0" r="4128" b="4127"/>
            <wp:wrapSquare wrapText="bothSides"/>
            <wp:docPr id="37628019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861" t="2072" b="-555"/>
                    <a:stretch/>
                  </pic:blipFill>
                  <pic:spPr bwMode="auto">
                    <a:xfrm rot="5400000">
                      <a:off x="0" y="0"/>
                      <a:ext cx="2763520" cy="279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0" locked="0" layoutInCell="1" allowOverlap="1" wp14:editId="1F0670A1" wp14:anchorId="01727530">
            <wp:simplePos x="0" y="0"/>
            <wp:positionH relativeFrom="margin">
              <wp:align>left</wp:align>
            </wp:positionH>
            <wp:positionV relativeFrom="paragraph">
              <wp:posOffset>2983865</wp:posOffset>
            </wp:positionV>
            <wp:extent cx="2755900" cy="2976880"/>
            <wp:effectExtent l="3810" t="0" r="0" b="0"/>
            <wp:wrapSquare wrapText="bothSides"/>
            <wp:docPr id="61608510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150" r="11806" b="1998"/>
                    <a:stretch/>
                  </pic:blipFill>
                  <pic:spPr bwMode="auto">
                    <a:xfrm rot="5400000">
                      <a:off x="0" y="0"/>
                      <a:ext cx="2755900" cy="2976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editId="20038578" wp14:anchorId="551BA130">
            <wp:simplePos x="0" y="0"/>
            <wp:positionH relativeFrom="margin">
              <wp:align>right</wp:align>
            </wp:positionH>
            <wp:positionV relativeFrom="paragraph">
              <wp:posOffset>300355</wp:posOffset>
            </wp:positionV>
            <wp:extent cx="2103755" cy="1543050"/>
            <wp:effectExtent l="0" t="5397" r="5397" b="5398"/>
            <wp:wrapSquare wrapText="bothSides"/>
            <wp:docPr id="174482939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438" t="17640" r="6790" b="18032"/>
                    <a:stretch/>
                  </pic:blipFill>
                  <pic:spPr bwMode="auto">
                    <a:xfrm rot="5400000">
                      <a:off x="0" y="0"/>
                      <a:ext cx="2103755"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De workshop die is geobserveerd, vond plaats op een bouwlocatie van een hoogspanningsstation waar leerlingen uit groep 7 en 8 spelenderwijs kunnen leren over energie en techniek. Meerdere aspecten maken deze locatie bijzonder. Ten eerste is het een echte bouwlocatie, leerlingen zien daadwerkelijk mensen aan het werk en krijgen hiermee een praktijkgerichte kennismaking met techniek. Het geeft een inkijkje in het werkproces achter de stroomvoorziening, waarmee de aanbieders leerlingen hopen te enthousiasmeren voor een toekomst in de technische sector. Omdat het een bouwlocatie is, moeten leerlingen zich ook aan veiligheidsmaatregelen houden, zoals het dragen van een veiligheidshelm. Daarnaast zijn er grote containers neergezet op de bouwlocatie, waar leerlingen zelf aan de slag kunnen met materialen, die zijn aangepast voor de veiligheid van de leerlingen. Een voorbeeld hiervan is dat de voltage van verschillende apparatuur verlaagd is. Leerlingen keken hoe windturbines energie opwekten en hoe een hoogspanningsstation dat vervolgens transporteert naar elektriciteitsverbindingen. </w:t>
      </w:r>
    </w:p>
    <w:p w:rsidR="00CF15B7" w:rsidP="00CF15B7" w:rsidRDefault="00CF15B7" w14:paraId="4CF3F868" w14:textId="77777777">
      <w:pPr>
        <w:jc w:val="both"/>
      </w:pPr>
    </w:p>
    <w:p w:rsidR="00CF15B7" w:rsidP="00CF15B7" w:rsidRDefault="00CF15B7" w14:paraId="468D7B68" w14:textId="77777777">
      <w:pPr>
        <w:jc w:val="both"/>
      </w:pPr>
      <w:r>
        <w:t xml:space="preserve">De </w:t>
      </w:r>
      <w:r w:rsidRPr="003F0C04">
        <w:t>leerlingen werden onderverdeeld</w:t>
      </w:r>
      <w:r>
        <w:t xml:space="preserve"> in kleine groepjes, zodat elk groepje bij een ander onderdeel kon starten. De onderdelen verschillen sterk van elkaar. Met behulp van een VR-bril konden de leerlingen een virtueel kijkje nemen in een windturbine op zee, terwijl ze uitleg ontvingen over het stroomproces. Daarnaast waren er verschillende aspecten van het hoogspanningsstation tentoongesteld, zoals het aansluiten van een ‘combitrafo’ het oplossen van een storing in een middenspanningsruimte, het in elkaar zetten van een windmolen, het verbinden van stroompunten en de verbinding van stroomdraden naar de huizen. In totaal waren er vier lesgevenden die de workshop begeleidden. Daarnaast waren de reguliere leerkrachten ook aanwezig en enkele ouders voor het vervoer naar de locatie. Leerlingen kregen veel aandacht tijdens de opdrachten. Na afloop vroegen de lesgevenden wat de leerlingen het allerleukste vonden om te doen, bijna elke leerling stak zijn of haar hand op om te vertellen over hun favoriete activiteit. De lesgevenden sloten de les als volgt af: </w:t>
      </w:r>
      <w:r w:rsidRPr="006C4484">
        <w:t>‘</w:t>
      </w:r>
      <w:r w:rsidRPr="00971EE6">
        <w:rPr>
          <w:i/>
          <w:iCs/>
        </w:rPr>
        <w:t>misschien vond je het leuk, misschien wel niet, maar zo kan je wel eens kijken wat je misschien later wilt worden</w:t>
      </w:r>
      <w:r>
        <w:rPr>
          <w:i/>
          <w:iCs/>
        </w:rPr>
        <w:t>’ én ‘H</w:t>
      </w:r>
      <w:r w:rsidRPr="00971EE6">
        <w:rPr>
          <w:i/>
          <w:iCs/>
        </w:rPr>
        <w:t>opelijk hebben we enkele van jullie kunnen interesseren in het technische beroep, want wij zijn altijd hard opzoek naar collega’s’</w:t>
      </w:r>
      <w:r w:rsidRPr="006C4484">
        <w:t>. De</w:t>
      </w:r>
      <w:r>
        <w:t xml:space="preserve"> leerlingen ontvingen tot slot nog een cadeautasje van de verschillende betrokken partijen en bedrijven. </w:t>
      </w:r>
    </w:p>
    <w:p w:rsidR="00CF15B7" w:rsidP="00CF15B7" w:rsidRDefault="00CF15B7" w14:paraId="3CC42584" w14:textId="77777777">
      <w:pPr>
        <w:jc w:val="both"/>
      </w:pPr>
    </w:p>
    <w:p w:rsidRPr="000B7B1F" w:rsidR="00CF15B7" w:rsidP="00832357" w:rsidRDefault="00CF15B7" w14:paraId="4FCD0927" w14:textId="77777777">
      <w:pPr>
        <w:pStyle w:val="Kop3"/>
      </w:pPr>
      <w:bookmarkStart w:name="_Toc203573570" w:id="22"/>
      <w:r w:rsidRPr="000B7B1F">
        <w:lastRenderedPageBreak/>
        <w:t>Lesobservatie 2:</w:t>
      </w:r>
      <w:bookmarkEnd w:id="22"/>
      <w:r w:rsidRPr="000B7B1F">
        <w:t xml:space="preserve"> </w:t>
      </w:r>
    </w:p>
    <w:p w:rsidR="00CF15B7" w:rsidP="00CF15B7" w:rsidRDefault="00CF15B7" w14:paraId="07E4F909" w14:textId="77777777">
      <w:pPr>
        <w:jc w:val="both"/>
      </w:pPr>
      <w:r w:rsidRPr="005A7685">
        <w:rPr>
          <w:noProof/>
        </w:rPr>
        <w:drawing>
          <wp:anchor distT="0" distB="0" distL="114300" distR="114300" simplePos="0" relativeHeight="251658244" behindDoc="0" locked="0" layoutInCell="1" allowOverlap="1" wp14:editId="7CDE04C8" wp14:anchorId="42241247">
            <wp:simplePos x="0" y="0"/>
            <wp:positionH relativeFrom="margin">
              <wp:align>right</wp:align>
            </wp:positionH>
            <wp:positionV relativeFrom="paragraph">
              <wp:posOffset>2857500</wp:posOffset>
            </wp:positionV>
            <wp:extent cx="2323465" cy="2011045"/>
            <wp:effectExtent l="3810" t="0" r="4445" b="4445"/>
            <wp:wrapSquare wrapText="bothSides"/>
            <wp:docPr id="3000133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958" t="7538" r="17440" b="7531"/>
                    <a:stretch/>
                  </pic:blipFill>
                  <pic:spPr bwMode="auto">
                    <a:xfrm rot="5400000">
                      <a:off x="0" y="0"/>
                      <a:ext cx="2323465" cy="2011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7685">
        <w:t xml:space="preserve">De tweede </w:t>
      </w:r>
      <w:r>
        <w:t xml:space="preserve">observatie </w:t>
      </w:r>
      <w:r w:rsidRPr="005A7685">
        <w:t>v</w:t>
      </w:r>
      <w:r>
        <w:t>ond</w:t>
      </w:r>
      <w:r w:rsidRPr="005A7685">
        <w:t xml:space="preserve"> plaats </w:t>
      </w:r>
      <w:r>
        <w:t>in een vmbo-school</w:t>
      </w:r>
      <w:r w:rsidRPr="005A7685">
        <w:t xml:space="preserve"> waar een groep </w:t>
      </w:r>
      <w:r>
        <w:t>basisschool</w:t>
      </w:r>
      <w:r w:rsidRPr="005A7685">
        <w:t xml:space="preserve">leerlingen </w:t>
      </w:r>
      <w:r>
        <w:t xml:space="preserve">op bezoek </w:t>
      </w:r>
      <w:r w:rsidRPr="005A7685">
        <w:t>k</w:t>
      </w:r>
      <w:r>
        <w:t>wam</w:t>
      </w:r>
      <w:r w:rsidRPr="005A7685">
        <w:t xml:space="preserve"> voor een workshop. Vooraf</w:t>
      </w:r>
      <w:r>
        <w:t xml:space="preserve">gaand aan het bezoek hadden de leerlingen een keuze mogen maken uit twee workshops. Dit resulteerde (onbedoeld) in de splitsing van de jongens en de meisjes. De volgende keer dat de leerlingen bij de vmbo-school op bezoek zullen komen, wisselen ze van workshop. </w:t>
      </w:r>
    </w:p>
    <w:p w:rsidR="00CF15B7" w:rsidP="00CF15B7" w:rsidRDefault="00CF15B7" w14:paraId="763275E7" w14:textId="77777777">
      <w:pPr>
        <w:jc w:val="both"/>
      </w:pPr>
      <w:r>
        <w:t>De ene groep (de jongens) gingen aan de slag met het ontwerpen van een 3D sleutelhanger. Elke leerling kon achter een computer werken met een speciaal programma. De lesgevende begon eerst met een klassikale uitleg over hoe ze het programma konden gebruiken. Er was maar één regel verbonden aan het ontwerp, namelijk; de sleutelhanger mocht maximaal twee bij twee centimeter zijn. De sleutelhangers die de leerlingen ontwierpen, werden namelijk dezelfde dag nog geprint door een 3D-printer, zodat de leerlingen de sleutelhanger mee naar huis konden nemen. De leerlingen gingen fanatiek aan de slag met het ontwerpen. Er waren verschillende benaderingen zichtbaar: sommige leerlingen begonnen met digitale tekeningen, andere voegden objecten en vormen toe aan hun sleutelhangerontwerp, en weer andere leerlingen experimenteerden met tekstuele elementen. Tijdens de opdracht werkten de leerlingen geconcentreerd achter hun eigen scherm, sommigen begonnen spontaan te klappen als er iets goed lukte. Na een korte instructie over het gebruik van de ontwerptool kregen de leerlingen de ruimte om zelfstandig te exploreren en vorm te geven aan hun ontwerp. Toen de sleutels af waren, werden ze naar de 3D-printer gestuurd om te drukken. In de tussentijd mochten de leerlingen aan de slag met een 3D-pen. In de afbeelding is een voorbeeld te zien van een ontwerp dat in een</w:t>
      </w:r>
      <w:r w:rsidDel="009167C6">
        <w:t xml:space="preserve"> </w:t>
      </w:r>
      <w:r>
        <w:t>eerdere les is gemaakt door een leerling met behulp van een 3D-pen. Tijdens de geobserveerde workshop waren er twee lesgevenden aanwezig</w:t>
      </w:r>
      <w:r w:rsidDel="00274DDE">
        <w:t>,</w:t>
      </w:r>
      <w:r>
        <w:t xml:space="preserve"> alsook de reguliere leerkracht van de leerlingen en een ouder die hielp met vervoer. </w:t>
      </w:r>
    </w:p>
    <w:p w:rsidR="00137804" w:rsidP="00CF15B7" w:rsidRDefault="00137804" w14:paraId="31E0161F" w14:textId="77777777">
      <w:pPr>
        <w:jc w:val="both"/>
      </w:pPr>
    </w:p>
    <w:p w:rsidRPr="002B288F" w:rsidR="00CF15B7" w:rsidP="00CF15B7" w:rsidRDefault="00CF15B7" w14:paraId="08E2227F" w14:textId="77777777">
      <w:pPr>
        <w:jc w:val="both"/>
        <w:rPr>
          <w:rFonts w:asciiTheme="majorHAnsi" w:hAnsiTheme="majorHAnsi" w:eastAsiaTheme="majorEastAsia" w:cstheme="majorBidi"/>
          <w:color w:val="2E74B5" w:themeColor="accent1" w:themeShade="BF"/>
          <w:sz w:val="32"/>
          <w:szCs w:val="32"/>
        </w:rPr>
      </w:pPr>
      <w:r>
        <w:rPr>
          <w:noProof/>
        </w:rPr>
        <w:drawing>
          <wp:anchor distT="0" distB="0" distL="114300" distR="114300" simplePos="0" relativeHeight="251658245" behindDoc="0" locked="0" layoutInCell="1" allowOverlap="1" wp14:editId="49356D39" wp14:anchorId="6C6A686F">
            <wp:simplePos x="0" y="0"/>
            <wp:positionH relativeFrom="margin">
              <wp:align>right</wp:align>
            </wp:positionH>
            <wp:positionV relativeFrom="paragraph">
              <wp:posOffset>379730</wp:posOffset>
            </wp:positionV>
            <wp:extent cx="2474595" cy="2005965"/>
            <wp:effectExtent l="5715" t="0" r="7620" b="7620"/>
            <wp:wrapSquare wrapText="bothSides"/>
            <wp:docPr id="92057836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766" t="6501" r="13060" b="4662"/>
                    <a:stretch/>
                  </pic:blipFill>
                  <pic:spPr bwMode="auto">
                    <a:xfrm rot="5400000">
                      <a:off x="0" y="0"/>
                      <a:ext cx="2474595" cy="2005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De tweede groep (de meisjes) ging aan de slag met het ontwerpen en bedrukken van een stoffen tas. De leerlingen kregen eerst uitleg over de materialen, wat ze gingen doen en ze kregen een aantal voorbeelden te zien. Vervolgens ging iedereen individueel aan de slag met het ontwerpen van stempels die ze later op de tassen konden drukken. Tijdens de les kregen de leerlingen de mogelijkheid om te experimenteren met kleuren en verf, bijvoorbeeld hoe je dat in elkaar kon laten overlopen of juist niet. Aan het einde van de les konden zij deze technieken toepassen op hun eigen stoffen tasje. Deze mochten ze later die dag ook mee naar huis nemen. De leerlingen werkten geconcentreerd aan hun eigen ontwerpen en toonden tegelijkertijd betrokkenheid bij elkaars werk door deze onderling te laten zien en te bespreken. Ook hier waren twee lesgevenden aanwezig en een ouder. Een van de lesgevenden was een vrijwilligster die zelf haar eigen bruidswinkel heeft. Met haar ervaring ondersteunde ze de leerlingen in hun eigen creatieve proces. </w:t>
      </w:r>
      <w:r>
        <w:br w:type="page"/>
      </w:r>
    </w:p>
    <w:p w:rsidR="00CF15B7" w:rsidP="00832357" w:rsidRDefault="00CF15B7" w14:paraId="6652141D" w14:textId="77777777">
      <w:pPr>
        <w:pStyle w:val="Kop3"/>
      </w:pPr>
      <w:bookmarkStart w:name="_Toc203573571" w:id="23"/>
      <w:r>
        <w:lastRenderedPageBreak/>
        <w:t>Lesobservatie 3:</w:t>
      </w:r>
      <w:bookmarkEnd w:id="23"/>
      <w:r>
        <w:t xml:space="preserve"> </w:t>
      </w:r>
    </w:p>
    <w:p w:rsidR="00CF15B7" w:rsidP="00CF15B7" w:rsidRDefault="00CF15B7" w14:paraId="75DA7C4A" w14:textId="77777777">
      <w:pPr>
        <w:jc w:val="both"/>
      </w:pPr>
      <w:r w:rsidRPr="00D71D0C">
        <w:t xml:space="preserve">De derde activiteit die is geobserveerd vond plaats op een </w:t>
      </w:r>
      <w:r>
        <w:t>vmbo-</w:t>
      </w:r>
      <w:r w:rsidRPr="00D71D0C">
        <w:t>school bij leerlingen</w:t>
      </w:r>
      <w:r>
        <w:t xml:space="preserve"> uit de onderbouw. De twee lesgevenden verzorgden verschillende STO-lessen op deze school. De leerlingen waren de vorige les al aan de slag gegaan met het bouwen van een schakeling voor aanraakgeluid. Dit deden ze in tweetallen. In de les die is geobserveerd werkten de leerlingen opnieuw met dezelfde schakeling, zodat beide leerlingen een eigen eindproduct konden meenemen naar huis. Volgens de directeur die het buitenschoolse techniek aanbod organiseert is dit cruciaal om ook ouders en familie enthousiast te maken. Wanneer leerlingen iets tastbaars mee naar huis nemen, kunnen ze laten zien wat ze hebben gemaakt en geleerd. Dat leidt tot gesprekken thuis en vergroot de betrokkenheid bij techniekonderwijs. Ouders spelen volgens hem een belangrijke rol in de keuze voor techniek onderwijs. </w:t>
      </w:r>
    </w:p>
    <w:p w:rsidR="00CF15B7" w:rsidP="00CF15B7" w:rsidRDefault="00CF15B7" w14:paraId="59DF2854" w14:textId="6DC4709D">
      <w:pPr>
        <w:jc w:val="both"/>
      </w:pPr>
      <w:r>
        <w:t>De leerlingen ontvingen geen klassikale uitleg aangezien zij die de vorige les al hadden ontvangen en deze les daar een vervolg op was. Leerlingen konden direct zelfstandig aan de slag met de uitgeschreven opdracht. Hieronder is een weergave van de schakeling die ze moesten maken middels het solderen van een stroomkring. De opdracht</w:t>
      </w:r>
      <w:r w:rsidDel="00D15C64">
        <w:t xml:space="preserve"> </w:t>
      </w:r>
      <w:r>
        <w:t>was zodanig ontworpen dat er één juiste uitkomst is: een werkende schakeling die geluid maakt bij het indrukken van de knop. Hierdoor</w:t>
      </w:r>
      <w:r w:rsidDel="00D15C64">
        <w:t xml:space="preserve"> </w:t>
      </w:r>
      <w:r>
        <w:t>lag de nadruk op het nauwkeurig volgen van de instructies met technische precisie, beide essentieel bij solderen. Er</w:t>
      </w:r>
      <w:r w:rsidDel="00D15C64">
        <w:t xml:space="preserve"> </w:t>
      </w:r>
      <w:r>
        <w:t xml:space="preserve">was geen bredere vraag, project of probleem bij de opdracht beschreven. Leerlingen focusten zich op het leren van een specifieke vaardigheid: solderen. </w:t>
      </w:r>
    </w:p>
    <w:p w:rsidR="00CF15B7" w:rsidP="00CF15B7" w:rsidRDefault="00CF15B7" w14:paraId="611B0BAF" w14:textId="54158160">
      <w:pPr>
        <w:jc w:val="both"/>
      </w:pPr>
    </w:p>
    <w:p w:rsidR="00CF15B7" w:rsidP="00CF15B7" w:rsidRDefault="008E58E5" w14:paraId="659C2B5D" w14:textId="4EDE58B5">
      <w:pPr>
        <w:jc w:val="both"/>
      </w:pPr>
      <w:r>
        <w:rPr>
          <w:noProof/>
        </w:rPr>
        <w:drawing>
          <wp:anchor distT="0" distB="0" distL="114300" distR="114300" simplePos="0" relativeHeight="251658241" behindDoc="1" locked="0" layoutInCell="1" allowOverlap="1" wp14:editId="5FDA1A3C" wp14:anchorId="21AC0A23">
            <wp:simplePos x="0" y="0"/>
            <wp:positionH relativeFrom="margin">
              <wp:align>left</wp:align>
            </wp:positionH>
            <wp:positionV relativeFrom="paragraph">
              <wp:posOffset>148318</wp:posOffset>
            </wp:positionV>
            <wp:extent cx="5888355" cy="4490085"/>
            <wp:effectExtent l="0" t="0" r="0" b="5715"/>
            <wp:wrapTight wrapText="bothSides">
              <wp:wrapPolygon edited="0">
                <wp:start x="21600" y="21600"/>
                <wp:lineTo x="21600" y="64"/>
                <wp:lineTo x="77" y="64"/>
                <wp:lineTo x="77" y="21600"/>
                <wp:lineTo x="21600" y="21600"/>
              </wp:wrapPolygon>
            </wp:wrapTight>
            <wp:docPr id="22329698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115" t="12021" r="8433" b="7212"/>
                    <a:stretch/>
                  </pic:blipFill>
                  <pic:spPr bwMode="auto">
                    <a:xfrm rot="10800000">
                      <a:off x="0" y="0"/>
                      <a:ext cx="5896633" cy="44962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15B7" w:rsidP="00CF15B7" w:rsidRDefault="00CF15B7" w14:paraId="3338731E" w14:textId="703D155C">
      <w:pPr>
        <w:jc w:val="both"/>
      </w:pPr>
    </w:p>
    <w:p w:rsidR="00CF15B7" w:rsidP="00CF15B7" w:rsidRDefault="00CF15B7" w14:paraId="17A501B2" w14:textId="77777777">
      <w:pPr>
        <w:jc w:val="both"/>
        <w:rPr>
          <w:noProof/>
        </w:rPr>
      </w:pPr>
    </w:p>
    <w:p w:rsidRPr="00F46E6B" w:rsidR="00CF15B7" w:rsidP="00CF15B7" w:rsidRDefault="00CF15B7" w14:paraId="303EBB31" w14:textId="5D959768">
      <w:pPr>
        <w:jc w:val="both"/>
      </w:pPr>
      <w:r>
        <w:br w:type="page"/>
      </w:r>
    </w:p>
    <w:p w:rsidR="00CF15B7" w:rsidP="00832357" w:rsidRDefault="00CF15B7" w14:paraId="71A0231C" w14:textId="77777777">
      <w:pPr>
        <w:pStyle w:val="Kop3"/>
      </w:pPr>
      <w:bookmarkStart w:name="_Toc203573572" w:id="24"/>
      <w:r>
        <w:lastRenderedPageBreak/>
        <w:t>Lesobservatie 4:</w:t>
      </w:r>
      <w:bookmarkEnd w:id="24"/>
      <w:r>
        <w:t xml:space="preserve"> </w:t>
      </w:r>
    </w:p>
    <w:p w:rsidR="00CF15B7" w:rsidP="00CF15B7" w:rsidRDefault="00CF15B7" w14:paraId="276FE0FC" w14:textId="77777777">
      <w:pPr>
        <w:jc w:val="both"/>
      </w:pPr>
      <w:r w:rsidRPr="000F2D6E">
        <w:t xml:space="preserve">De vierde observatie is uitgevoerd op een </w:t>
      </w:r>
      <w:r>
        <w:t>vmbo-</w:t>
      </w:r>
      <w:r w:rsidRPr="000F2D6E">
        <w:t>school waar een technieklokaal is ingericht voor ‘nieuwe’ technieken.</w:t>
      </w:r>
      <w:r w:rsidRPr="000F2D6E">
        <w:rPr>
          <w:rFonts w:ascii="Segoe UI" w:hAnsi="Segoe UI" w:cs="Segoe UI"/>
          <w:szCs w:val="18"/>
        </w:rPr>
        <w:t xml:space="preserve"> </w:t>
      </w:r>
      <w:r w:rsidRPr="000F2D6E">
        <w:t>De STO-les die is geobserveerd is een oriëntatie op techniek voor leerlingen van andere vmbo-scholen uit de buurt.</w:t>
      </w:r>
      <w:r>
        <w:t xml:space="preserve"> De leerlingen maken kennis met een breed spectrum van techniek en technologie, breder dan alleen ‘traditionele’ techniek. Het doel van de les is om de leerlingen een positieve ervaring met techniek te laten opdoen. Het lokaal is ingericht om jongeren aan te spreken, vertelt de lesgevende. Door het gebruik van lichten en beamers krijgt het lokaal een futuristische uitstraling. </w:t>
      </w:r>
    </w:p>
    <w:p w:rsidR="00137804" w:rsidP="00CF15B7" w:rsidRDefault="00137804" w14:paraId="0BD08704" w14:textId="77777777">
      <w:pPr>
        <w:jc w:val="both"/>
      </w:pPr>
    </w:p>
    <w:p w:rsidR="00CF15B7" w:rsidP="00CF15B7" w:rsidRDefault="00CF15B7" w14:paraId="0A16E81C" w14:textId="77777777">
      <w:pPr>
        <w:jc w:val="both"/>
      </w:pPr>
      <w:r>
        <w:t xml:space="preserve">De les startte met een introductie van het onderwerp: techniek is breder dan alleen de ‘traditionele’ techniek. Er werd gebruik gemaakt van een quiz over oude apparatuur. Leerlingen moesten gokken wat oudere apparatuur vroeger voor een functie had.  Voorbeelden van gebruikte apparaten uit de quiz zijn een langspeelplaat, een walkman, een floppydisk en een mp3-speler. Het doel van deze quiz was om te laten zien hoe snel techniek verandert. Vervolgens werd aan de leerlingen de vraag gesteld: </w:t>
      </w:r>
      <w:r w:rsidRPr="00BA1E34">
        <w:rPr>
          <w:i/>
          <w:iCs/>
        </w:rPr>
        <w:t>hoe denk jij dat de toekomst eruitziet</w:t>
      </w:r>
      <w:r>
        <w:t xml:space="preserve">? Leerlingen gaven niet veel reactie op deze vraag. Hierop werd door de lesgevende geanticipeerd, en de leerlingen kregen een filmpje te zien waarin ideeën over de toekomst naar voren kwamen. Het enthousiasme in de les groeide, en leerlingen begonnen hierover met elkaar in gesprek te raken. Vervolgens werd er een XR-bril gebruikt om de leerlingen te laten zien wat allemaal al mogelijk is. Zo werd er een dinosaurus, maar ook een spin, leeuw en andere dieren geplaatst in de ruimte om de leerlingen heen. De bril was verbonden met het bord, zodat de leerlingen konden zien wat de lesgevende zag. Ze konden ook zelf even door de bril kijken, om dit te ervaren. </w:t>
      </w:r>
    </w:p>
    <w:p w:rsidR="00CF15B7" w:rsidP="00CF15B7" w:rsidRDefault="00CF15B7" w14:paraId="2BD3355E" w14:textId="77777777">
      <w:pPr>
        <w:jc w:val="both"/>
      </w:pPr>
      <w:r>
        <w:rPr>
          <w:noProof/>
        </w:rPr>
        <w:drawing>
          <wp:anchor distT="0" distB="0" distL="114300" distR="114300" simplePos="0" relativeHeight="251658246" behindDoc="1" locked="0" layoutInCell="1" allowOverlap="1" wp14:editId="11173167" wp14:anchorId="05B8796E">
            <wp:simplePos x="0" y="0"/>
            <wp:positionH relativeFrom="margin">
              <wp:align>right</wp:align>
            </wp:positionH>
            <wp:positionV relativeFrom="paragraph">
              <wp:posOffset>1939925</wp:posOffset>
            </wp:positionV>
            <wp:extent cx="3619500" cy="2665095"/>
            <wp:effectExtent l="0" t="0" r="0" b="1905"/>
            <wp:wrapTight wrapText="bothSides">
              <wp:wrapPolygon edited="0">
                <wp:start x="0" y="0"/>
                <wp:lineTo x="0" y="21461"/>
                <wp:lineTo x="21486" y="21461"/>
                <wp:lineTo x="21486" y="0"/>
                <wp:lineTo x="0" y="0"/>
              </wp:wrapPolygon>
            </wp:wrapTight>
            <wp:docPr id="1051082714" name="Afbeelding 1" descr="Afbeelding met overdekt, plafond, vloer, taf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82714" name="Afbeelding 1" descr="Afbeelding met overdekt, plafond, vloer, tafel&#10;&#10;Door AI gegenereerde inhoud is mogelijk onjuist."/>
                    <pic:cNvPicPr/>
                  </pic:nvPicPr>
                  <pic:blipFill>
                    <a:blip r:embed="rId18">
                      <a:extLst>
                        <a:ext uri="{28A0092B-C50C-407E-A947-70E740481C1C}">
                          <a14:useLocalDpi xmlns:a14="http://schemas.microsoft.com/office/drawing/2010/main" val="0"/>
                        </a:ext>
                      </a:extLst>
                    </a:blip>
                    <a:stretch>
                      <a:fillRect/>
                    </a:stretch>
                  </pic:blipFill>
                  <pic:spPr>
                    <a:xfrm>
                      <a:off x="0" y="0"/>
                      <a:ext cx="3619500" cy="2665095"/>
                    </a:xfrm>
                    <a:prstGeom prst="rect">
                      <a:avLst/>
                    </a:prstGeom>
                  </pic:spPr>
                </pic:pic>
              </a:graphicData>
            </a:graphic>
            <wp14:sizeRelH relativeFrom="page">
              <wp14:pctWidth>0</wp14:pctWidth>
            </wp14:sizeRelH>
            <wp14:sizeRelV relativeFrom="page">
              <wp14:pctHeight>0</wp14:pctHeight>
            </wp14:sizeRelV>
          </wp:anchor>
        </w:drawing>
      </w:r>
      <w:r>
        <w:t xml:space="preserve">Het grootste deel van de les waren de leerlingen bezig met kleine opdrachten met nieuwe technieken. In rondes van ongeveer vijf minuten gingen leerlingen verschillende opdrachten af. Hierbij werd maatwerk geboden; als leerlingen een opdracht leuk vonden, was er de mogelijkheid om hier langer te blijven en niet te wisselen. Dit gebeurde bij twee jongens tijdens de observatie. Zij wilden graag doorgaan met het programmeren van een LEGO-auto en dat werd ook toegestaan. Het enige wat elke leerling ‘moest’ doen, was een VR spel waarbij leerlingen een kat moesten redden van een hoge wolkenkrabber. Veel leerlingen vonden dit eng (leerlingen gaven aan dat ze er hoogtevrees van kregen), maar andere leerlingen lieten juist zien dat ze niet bang zijn (redden de kat en gooien hem vervolgens van de wolkenkrabber af). Leerlingen werkten voor het grootste deel zelfstandig. Wanneer het nodig was, hielpen de lesgevenden. De lesgevenden zorgde er ook voor dat leerlingen op tijd door gingen naar een volgende opdracht. Er waren twee lesgevenden aanwezig vanuit de les, maar er waren ook twee docenten van de bezoekende klas aanwezig. Zij hielpen de leerlingen ook. </w:t>
      </w:r>
    </w:p>
    <w:p w:rsidR="00137804" w:rsidP="00CF15B7" w:rsidRDefault="00137804" w14:paraId="18D75E4C" w14:textId="77777777">
      <w:pPr>
        <w:jc w:val="both"/>
      </w:pPr>
    </w:p>
    <w:p w:rsidR="00CF15B7" w:rsidP="00CF15B7" w:rsidRDefault="00CF15B7" w14:paraId="60B31DA7" w14:textId="77777777">
      <w:pPr>
        <w:jc w:val="both"/>
        <w:rPr>
          <w:rFonts w:asciiTheme="majorHAnsi" w:hAnsiTheme="majorHAnsi" w:eastAsiaTheme="majorEastAsia" w:cstheme="majorBidi"/>
          <w:color w:val="2E74B5" w:themeColor="accent1" w:themeShade="BF"/>
          <w:sz w:val="32"/>
          <w:szCs w:val="32"/>
        </w:rPr>
      </w:pPr>
      <w:r>
        <w:t>De les werd afgesloten door te verzamelen in een cirkel en te bespreken wat de leerlingen van de les vonden. Leerlingen gaven de les een cijfer, mochten een tip geven en benoemden wat ze het leukst vonden in de les.</w:t>
      </w:r>
      <w:r w:rsidRPr="00777B22">
        <w:rPr>
          <w:noProof/>
        </w:rPr>
        <w:t xml:space="preserve"> </w:t>
      </w:r>
      <w:r>
        <w:rPr>
          <w:rFonts w:asciiTheme="majorHAnsi" w:hAnsiTheme="majorHAnsi" w:eastAsiaTheme="majorEastAsia" w:cstheme="majorBidi"/>
          <w:color w:val="2E74B5" w:themeColor="accent1" w:themeShade="BF"/>
          <w:sz w:val="32"/>
          <w:szCs w:val="32"/>
        </w:rPr>
        <w:br w:type="page"/>
      </w:r>
    </w:p>
    <w:p w:rsidR="00CF15B7" w:rsidP="00832357" w:rsidRDefault="00CF15B7" w14:paraId="52858CF2" w14:textId="77777777">
      <w:pPr>
        <w:pStyle w:val="Kop3"/>
      </w:pPr>
      <w:bookmarkStart w:name="_Toc203573573" w:id="25"/>
      <w:r>
        <w:lastRenderedPageBreak/>
        <w:t>Lesobservatie 5:</w:t>
      </w:r>
      <w:bookmarkEnd w:id="25"/>
      <w:r>
        <w:t xml:space="preserve"> </w:t>
      </w:r>
    </w:p>
    <w:p w:rsidR="00CF15B7" w:rsidP="00CF15B7" w:rsidRDefault="00CF15B7" w14:paraId="687D14BA" w14:textId="77777777">
      <w:pPr>
        <w:jc w:val="both"/>
      </w:pPr>
      <w:r>
        <w:t xml:space="preserve">Binnen één van de STO-regio’s worden er op verschillende vmbo-scholen masterclasses verzorgd voor leerlingen van het primair onderwijs. De geobserveerde masterclass ging over het thema </w:t>
      </w:r>
      <w:r w:rsidRPr="00575216">
        <w:rPr>
          <w:i/>
          <w:iCs/>
        </w:rPr>
        <w:t>Groeien en bloeien</w:t>
      </w:r>
      <w:r>
        <w:t xml:space="preserve"> en was onderdeel van een lessenreeks. De eerste les werd op de eigen basisschool gegeven, de tweede les op de vmbo-school, en de laatste les in de praktijk. Niet alle scholen nemen deel aan de derde les, omdat er niet genoeg budget is om dit te faciliteren. De observatie vond plaats bij de tweede les binnen de reeks. Bij de geobserveerde les namen leerlingen uit groep zes deel aan de masterclass. De les werd gestart met een algemene introductie, waarna de leerlingen in twee groepen uiteengingen. Na de pauze wisselden ze van opdracht. Leerlingen voerden twee verschillende opdrachten uit, die beide te maken hebben met groeien en bloeien van planten. Bij allebei de onderdelen was een lesgevende aanwezig, en de reguliere leerkracht van groep zes.</w:t>
      </w:r>
    </w:p>
    <w:p w:rsidR="00137804" w:rsidP="00CF15B7" w:rsidRDefault="00137804" w14:paraId="7DE89ABF" w14:textId="77777777">
      <w:pPr>
        <w:jc w:val="both"/>
      </w:pPr>
    </w:p>
    <w:p w:rsidR="00CF15B7" w:rsidP="00CF15B7" w:rsidRDefault="00CF15B7" w14:paraId="2191043B" w14:textId="77777777">
      <w:pPr>
        <w:jc w:val="both"/>
      </w:pPr>
      <w:r>
        <w:t xml:space="preserve">Het eerste onderdeel waar de lesobservatie is uitgevoerd, ging over het leren werken met een brander. Leerlingen gingen zelf met een brander een plantensteker versieren. De leerlingen kregen eerst uitleg over de brander, waarbij de lesgevende de veiligheidsinstructie gaf. De leerlingen zetten de brander zelf in elkaar en zochten naar manieren om hem aan te krijgen. Leerlingen zetten stroom aan en gingen daarna zelf zoeken welke temperatuur de juiste was om te kunnen tekenen. Ze kregen een oefenblokje om dit te testen. Leerlingen gingen met elkaar in gesprek over het branden, ze spraken over de temperatuur en daagden elkaar uit om zelf de juiste temperatuur te zoeken. Tijdens het maken van de plantensteker (dus na het oefenblokje) gingen leerlingen ook bij elkaar kijken en gaven ze elkaar complimenten. De lesgevende eindigde dit onderdeel centraal. Hierbij werden vragen gesteld zoals: wat gebeurt er als de brander de draad raakt? Leerlingen waren serieus bezig met nadenken hierover. Ze dachten dat het ‘ging ontploffen’. De lesgevende legde vervolgens uit welke reactie plaats zou vinden als de draad verbrand zou worden. </w:t>
      </w:r>
    </w:p>
    <w:p w:rsidR="00CF15B7" w:rsidP="00CF15B7" w:rsidRDefault="00CF15B7" w14:paraId="535C0B0C" w14:textId="77777777">
      <w:pPr>
        <w:jc w:val="both"/>
      </w:pPr>
      <w:r>
        <w:t>Bij het tweede deel van de les kregen de leerlingen eerst uitleg over hoe kassen werken, en wat er gebeurt voordat voeding in de supermarkt ligt. Er werd bijvoorbeeld uitgelegd hoe een kas werkt (schaduwdoek etc.) en hoe de veiling van fruit en groenten gaat. De uitleg ging langzaam richting het thema water. Deze opdracht bestond uit kleine deelopdrachtjes. Bij de eerste opdracht moesten de leerlingen een tafeltje bouwen (blokjes aan elkaar zetten). Nadat de leerlingen de vochtmeter in elkaar hadden gezet (tafeltje, daarna een computer, meter en monitor), mochten ze naar buiten om te kijken of de vochtmeter werkte. Leerlingen renden naar buiten en maten op verschillende plekken het vochtgehalte van de grond.</w:t>
      </w:r>
    </w:p>
    <w:p w:rsidR="00137804" w:rsidP="00CF15B7" w:rsidRDefault="00137804" w14:paraId="57551572" w14:textId="77777777">
      <w:pPr>
        <w:jc w:val="both"/>
      </w:pPr>
    </w:p>
    <w:p w:rsidRPr="00BC3528" w:rsidR="00CF15B7" w:rsidP="00CF15B7" w:rsidRDefault="00CF15B7" w14:paraId="0D20AD5E" w14:textId="77777777">
      <w:pPr>
        <w:jc w:val="both"/>
      </w:pPr>
      <w:r>
        <w:t>Leerlingen praatten veel na over het meten van de vochtwaarde van de grond, maar ze waren ook een klein beetje afgeleid door de vondst van een kikker bij de vijver waar ze aan het meten waren. Hoewel deze opdracht eigenlijk uit meerdere onderdelen bestond, was de tijd voor de les al om voordat deze onderdelen allemaal waren uitgevoerd. Tijdens de centrale nabespreking stonden de volgende vragen centraal: vond je het leuk, heb je iets geleerd? Hierbij kwamen ook de leerlingen van de tweede groep erbij om de les gezamenlijk af te sluiten.</w:t>
      </w:r>
    </w:p>
    <w:p w:rsidR="00CF15B7" w:rsidP="00CF15B7" w:rsidRDefault="00CF15B7" w14:paraId="39A7B91A" w14:textId="77777777">
      <w:pPr>
        <w:jc w:val="both"/>
        <w:rPr>
          <w:rFonts w:asciiTheme="majorHAnsi" w:hAnsiTheme="majorHAnsi" w:eastAsiaTheme="majorEastAsia" w:cstheme="majorBidi"/>
          <w:color w:val="2E74B5" w:themeColor="accent1" w:themeShade="BF"/>
          <w:sz w:val="32"/>
          <w:szCs w:val="32"/>
        </w:rPr>
      </w:pPr>
      <w:r>
        <w:br w:type="page"/>
      </w:r>
    </w:p>
    <w:p w:rsidR="00CF15B7" w:rsidP="00832357" w:rsidRDefault="00CF15B7" w14:paraId="7274FEFF" w14:textId="77777777">
      <w:pPr>
        <w:pStyle w:val="Kop3"/>
      </w:pPr>
      <w:bookmarkStart w:name="_Toc203573574" w:id="26"/>
      <w:r>
        <w:lastRenderedPageBreak/>
        <w:t>Lesobservatie 6:</w:t>
      </w:r>
      <w:bookmarkEnd w:id="26"/>
      <w:r>
        <w:t xml:space="preserve"> </w:t>
      </w:r>
    </w:p>
    <w:p w:rsidR="00CF15B7" w:rsidP="00CF15B7" w:rsidRDefault="00CF15B7" w14:paraId="0D6773B4" w14:textId="77777777">
      <w:r>
        <w:t xml:space="preserve">De observatie is uitgevoerd op een vmbo-school waar een locatie voor buitenschools techniekaanbod aanwezig is. Voor leerlingen van groep zes uit de omgeving is een </w:t>
      </w:r>
      <w:r w:rsidRPr="00AB55B3">
        <w:rPr>
          <w:i/>
          <w:iCs/>
        </w:rPr>
        <w:t>challenge</w:t>
      </w:r>
      <w:r>
        <w:t xml:space="preserve"> uitgezet. Tijdens de les die is geobserveerd, werd een race uitgevoerd tussen vier basisscholen die meededen aan de lessenreeks. Binnen deze STO-regio werd deze lessenreeks ook op andere locaties voor buitenschools techniekaanbod uitgevoerd.</w:t>
      </w:r>
    </w:p>
    <w:p w:rsidR="00CF15B7" w:rsidP="00CF15B7" w:rsidRDefault="00CF15B7" w14:paraId="54CE65A1" w14:textId="77777777">
      <w:pPr>
        <w:jc w:val="both"/>
      </w:pPr>
      <w:r>
        <w:t xml:space="preserve">Het pakket bestond uit drie lessen. De eerste les ging over wat drijft en wat zinkt. Op één school na werd deze les uitgevoerd op de eigen basisschool. De lesgevende van het buitenschoolse techniekaanbod kwam dan naar de leerlingen toe om de les te verzorgen. Bij les twee gingen de leerlingen een boot bouwen. Hiervoor kwamen alle scholen naar de locatie voor het buitenschoolse techniekaanbod toe. De lesgevende gaf aan dat vooral bij dit onderdeel het enthousiasme van de leerlingen goed zichtbaar was. Ze hebben tegen hun klasgenoten geracet en de snelste bootjes gingen door naar les drie: de finale. </w:t>
      </w:r>
    </w:p>
    <w:p w:rsidR="00137804" w:rsidP="00CF15B7" w:rsidRDefault="00137804" w14:paraId="14BF2562" w14:textId="77777777">
      <w:pPr>
        <w:jc w:val="both"/>
      </w:pPr>
    </w:p>
    <w:p w:rsidR="00CF15B7" w:rsidP="00CF15B7" w:rsidRDefault="00CF15B7" w14:paraId="0D1DB5E5" w14:textId="77777777">
      <w:pPr>
        <w:jc w:val="both"/>
      </w:pPr>
      <w:r>
        <w:t xml:space="preserve">In de finale deden tien bootjes mee, twee bootjes per klas. Eerst racete alle bootjes solo, waarbij de tijd werd genoteerd per bootje. De twee langzaamste bootjes vielen af. Hierna werd een knock-out systeem toegepast tussen de verschillende bootjes. Als de laatste twee bootjes even snel zouden zijn, zou de winnaar gebaseerd worden op welke bootje de leerlingen het mooist vonden. </w:t>
      </w:r>
    </w:p>
    <w:p w:rsidR="00137804" w:rsidP="00CF15B7" w:rsidRDefault="00137804" w14:paraId="2C7ECDDA" w14:textId="77777777">
      <w:pPr>
        <w:jc w:val="both"/>
      </w:pPr>
    </w:p>
    <w:p w:rsidR="00CF15B7" w:rsidP="00CF15B7" w:rsidRDefault="00CF15B7" w14:paraId="47D7D4F4" w14:textId="77777777">
      <w:pPr>
        <w:jc w:val="both"/>
      </w:pPr>
      <w:r>
        <w:t xml:space="preserve">De finaledag startte met een uitleg over de wedstrijd. Na de uitleg over hoe de wedstrijd werkt, mochten de leerlingen hun bootjes aanmoedigen. Na de eerste ronde (waar dus twee bootjes zijn afgevallen), was het tijd voor een pauze. In de pauze stonden foto’s van de bootjes op het bord, waar de leerlingen op konden reageren. De lesgevende liep rondjes en ging in gesprek met alle reguliere leerkrachten van de genodigde scholen en met sommige leerlingen. </w:t>
      </w:r>
    </w:p>
    <w:p w:rsidR="00137804" w:rsidP="00CF15B7" w:rsidRDefault="00137804" w14:paraId="49843A5F" w14:textId="1432E44A">
      <w:pPr>
        <w:jc w:val="both"/>
      </w:pPr>
    </w:p>
    <w:p w:rsidRPr="00F42222" w:rsidR="00CF15B7" w:rsidP="00CF15B7" w:rsidRDefault="00137804" w14:paraId="3E116869" w14:textId="77777777">
      <w:pPr>
        <w:jc w:val="both"/>
        <w:rPr>
          <w:i/>
          <w:iCs/>
        </w:rPr>
      </w:pPr>
      <w:r>
        <w:rPr>
          <w:rFonts w:asciiTheme="majorHAnsi" w:hAnsiTheme="majorHAnsi" w:eastAsiaTheme="majorEastAsia" w:cstheme="majorBidi"/>
          <w:noProof/>
          <w:color w:val="2E74B5" w:themeColor="accent1" w:themeShade="BF"/>
          <w:sz w:val="32"/>
          <w:szCs w:val="32"/>
        </w:rPr>
        <w:drawing>
          <wp:anchor distT="0" distB="0" distL="114300" distR="114300" simplePos="0" relativeHeight="251658250" behindDoc="1" locked="0" layoutInCell="1" allowOverlap="1" wp14:editId="08276379" wp14:anchorId="41CEF7FC">
            <wp:simplePos x="0" y="0"/>
            <wp:positionH relativeFrom="margin">
              <wp:align>left</wp:align>
            </wp:positionH>
            <wp:positionV relativeFrom="paragraph">
              <wp:posOffset>7620</wp:posOffset>
            </wp:positionV>
            <wp:extent cx="2657475" cy="3543300"/>
            <wp:effectExtent l="0" t="0" r="9525" b="0"/>
            <wp:wrapTight wrapText="bothSides">
              <wp:wrapPolygon edited="0">
                <wp:start x="0" y="0"/>
                <wp:lineTo x="0" y="21484"/>
                <wp:lineTo x="21523" y="21484"/>
                <wp:lineTo x="21523" y="0"/>
                <wp:lineTo x="0" y="0"/>
              </wp:wrapPolygon>
            </wp:wrapTight>
            <wp:docPr id="1906775717" name="Afbeelding 2" descr="Afbeelding met overdekt, plastic, muur, taf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75717" name="Afbeelding 2" descr="Afbeelding met overdekt, plastic, muur, tafel&#10;&#10;Door AI gegenereerde inhoud is mogelijk onjuis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7475" cy="3543300"/>
                    </a:xfrm>
                    <a:prstGeom prst="rect">
                      <a:avLst/>
                    </a:prstGeom>
                  </pic:spPr>
                </pic:pic>
              </a:graphicData>
            </a:graphic>
            <wp14:sizeRelH relativeFrom="page">
              <wp14:pctWidth>0</wp14:pctWidth>
            </wp14:sizeRelH>
            <wp14:sizeRelV relativeFrom="page">
              <wp14:pctHeight>0</wp14:pctHeight>
            </wp14:sizeRelV>
          </wp:anchor>
        </w:drawing>
      </w:r>
      <w:r w:rsidRPr="00F42222" w:rsidR="00CF15B7">
        <w:rPr>
          <w:i/>
          <w:iCs/>
        </w:rPr>
        <w:t>‘Die van ons was heel snel, wel tien seconden!’ ‘Nee, echt niet, hij was maar negen seconden!’.</w:t>
      </w:r>
    </w:p>
    <w:p w:rsidR="00CF15B7" w:rsidP="00CF15B7" w:rsidRDefault="00CF15B7" w14:paraId="3CDF60D5" w14:textId="77777777">
      <w:pPr>
        <w:jc w:val="both"/>
      </w:pPr>
      <w:r>
        <w:t xml:space="preserve">Na afronding van de eerste ronde, en vóór het starten van de tweede ronde, werd niet verteld welke twee bootjes waren afgevallen. Voor de uitleg van de volgende ronde gaf de lesgevende duidelijk aan dat leerlingen geen ‘boe’ gingen roepen, omdat dat niet leuk was voor de andere groepen. Alle leerlingen waren het hiermee eens. Leerlingen keken naar de lesgevende tijdens de uitleg en knikten terwijl dit werd verteld. In de eerste ronde van de knock-outs moesten de twee bootjes van één klas tegen elkaar. Tijdens alle rondes waren de leerlingen enthousiast, telden ze af wanneer de lesgevende hierom vroeg en juichten ze voor hun eigen bootjes. </w:t>
      </w:r>
    </w:p>
    <w:p w:rsidR="00CF15B7" w:rsidP="00CF15B7" w:rsidRDefault="00CF15B7" w14:paraId="6092994D" w14:textId="77777777">
      <w:pPr>
        <w:jc w:val="both"/>
        <w:rPr>
          <w:rFonts w:asciiTheme="majorHAnsi" w:hAnsiTheme="majorHAnsi" w:eastAsiaTheme="majorEastAsia" w:cstheme="majorBidi"/>
          <w:color w:val="2E74B5" w:themeColor="accent1" w:themeShade="BF"/>
          <w:sz w:val="32"/>
          <w:szCs w:val="32"/>
        </w:rPr>
      </w:pPr>
      <w:r>
        <w:t xml:space="preserve">Leerlingen keken verdrietig wanneer hun bootje verloor, maar liepen rustig terug naar de eigen plek. Ze keken aandachtig mee met de race tegen de andere bootjes. Ze gingen niet tegen de juf in wanneer zij aangaf welk bootje had gewonnen. </w:t>
      </w:r>
    </w:p>
    <w:p w:rsidR="00CF15B7" w:rsidP="00CF15B7" w:rsidRDefault="00CF15B7" w14:paraId="73101B93" w14:textId="77777777">
      <w:pPr>
        <w:rPr>
          <w:rFonts w:asciiTheme="majorHAnsi" w:hAnsiTheme="majorHAnsi" w:eastAsiaTheme="majorEastAsia" w:cstheme="majorBidi"/>
          <w:color w:val="2E74B5" w:themeColor="accent1" w:themeShade="BF"/>
          <w:sz w:val="32"/>
          <w:szCs w:val="32"/>
        </w:rPr>
      </w:pPr>
      <w:r>
        <w:rPr>
          <w:rFonts w:asciiTheme="majorHAnsi" w:hAnsiTheme="majorHAnsi" w:eastAsiaTheme="majorEastAsia" w:cstheme="majorBidi"/>
          <w:color w:val="2E74B5" w:themeColor="accent1" w:themeShade="BF"/>
          <w:sz w:val="32"/>
          <w:szCs w:val="32"/>
        </w:rPr>
        <w:br w:type="page"/>
      </w:r>
    </w:p>
    <w:p w:rsidR="00CF15B7" w:rsidP="00832357" w:rsidRDefault="00CF15B7" w14:paraId="4BFED93A" w14:textId="77777777">
      <w:pPr>
        <w:pStyle w:val="Kop3"/>
      </w:pPr>
      <w:bookmarkStart w:name="_Toc203573575" w:id="27"/>
      <w:r>
        <w:lastRenderedPageBreak/>
        <w:t>Lesobservatie 7:</w:t>
      </w:r>
      <w:bookmarkEnd w:id="27"/>
      <w:r>
        <w:t xml:space="preserve"> </w:t>
      </w:r>
    </w:p>
    <w:p w:rsidR="00CF15B7" w:rsidP="00CF15B7" w:rsidRDefault="00CF15B7" w14:paraId="0AE0659C" w14:textId="77777777">
      <w:pPr>
        <w:jc w:val="both"/>
      </w:pPr>
      <w:r>
        <w:t>De 7</w:t>
      </w:r>
      <w:r w:rsidRPr="00F11F42">
        <w:rPr>
          <w:vertAlign w:val="superscript"/>
        </w:rPr>
        <w:t>e</w:t>
      </w:r>
      <w:r>
        <w:t xml:space="preserve"> lesobservatie vond plaats op een school voor pro en vmbo-basis/kader, waar leerlingen uit groep 8 langskwamen voor een techniekcarrousel. De afgelopen jaren is er binnen de regio een PO-pakket ontwikkeld en één van de elementen van dit PO-pakket is de techniekcarrousel. De techniekcarrousel bestaat uit drie delen; de eerste introductie-les werd op de eigen basisschool gegeven, de tweede les op de vo-school, en de laatste les in de praktijk. De lesgevende gaf echter wel aan dat de laatste les in de praktijk vaak niet wordt uitgevoerd, omdat reguliere leerkrachten aangeven het te druk te hebben. </w:t>
      </w:r>
    </w:p>
    <w:p w:rsidR="00137804" w:rsidP="00CF15B7" w:rsidRDefault="00137804" w14:paraId="430458F8" w14:textId="77777777">
      <w:pPr>
        <w:jc w:val="both"/>
      </w:pPr>
    </w:p>
    <w:p w:rsidR="00CF15B7" w:rsidP="00CF15B7" w:rsidRDefault="00CF15B7" w14:paraId="5DA6B57C" w14:textId="77777777">
      <w:pPr>
        <w:jc w:val="both"/>
      </w:pPr>
      <w:r>
        <w:rPr>
          <w:noProof/>
        </w:rPr>
        <w:drawing>
          <wp:anchor distT="0" distB="0" distL="114300" distR="114300" simplePos="0" relativeHeight="251658240" behindDoc="0" locked="0" layoutInCell="1" allowOverlap="1" wp14:editId="2493A8F9" wp14:anchorId="42FAA4DE">
            <wp:simplePos x="0" y="0"/>
            <wp:positionH relativeFrom="margin">
              <wp:align>right</wp:align>
            </wp:positionH>
            <wp:positionV relativeFrom="paragraph">
              <wp:posOffset>1322705</wp:posOffset>
            </wp:positionV>
            <wp:extent cx="2755900" cy="2355215"/>
            <wp:effectExtent l="0" t="9208" r="0" b="0"/>
            <wp:wrapSquare wrapText="bothSides"/>
            <wp:docPr id="15853937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764" r="4684" b="342"/>
                    <a:stretch/>
                  </pic:blipFill>
                  <pic:spPr bwMode="auto">
                    <a:xfrm rot="5400000">
                      <a:off x="0" y="0"/>
                      <a:ext cx="2755900" cy="2355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De lesgevende die de techniekcarrousel verzorgde, heeft ook de eerste introductie-les gegeven op de eigen school. Hier was besproken wat techniek nu eigenlijk inhoudt en dat het overal om ons heen bestaat. De leerlingen waren dus al bekend met de lesgevende. In de geobserveerde les gingen de leerlingen aan de slag met het maken van een energiemolen. De leerlingen kregen een korte introductie over het lokaal en de materialen, waarna ze zelfstandig aan de slag gingen met het bouwpakket. Elke leerling beschikte over een eigen bouwpakket en werkblad zoals te zien is op de foto. Het was een gesloten opdracht met slechts één juiste uitkomst; een werkend lampje na het opwekken van windenergie. Er waren in totaal drie lesgevenden aanwezig om de leerlingen te ondersteunen tijdens de opdracht. Daarnaast waren de twee reguliere leerkrachten ook aanwezig. </w:t>
      </w:r>
    </w:p>
    <w:p w:rsidR="00137804" w:rsidP="00CF15B7" w:rsidRDefault="00137804" w14:paraId="5FBD9023" w14:textId="77777777">
      <w:pPr>
        <w:jc w:val="both"/>
      </w:pPr>
    </w:p>
    <w:p w:rsidR="00CF15B7" w:rsidP="00CF15B7" w:rsidRDefault="00CF15B7" w14:paraId="5F8D4F81" w14:textId="77777777">
      <w:pPr>
        <w:jc w:val="both"/>
      </w:pPr>
      <w:r>
        <w:rPr>
          <w:noProof/>
        </w:rPr>
        <w:drawing>
          <wp:anchor distT="0" distB="0" distL="114300" distR="114300" simplePos="0" relativeHeight="251658247" behindDoc="0" locked="0" layoutInCell="1" allowOverlap="1" wp14:editId="7FE671E7" wp14:anchorId="4FC62781">
            <wp:simplePos x="0" y="0"/>
            <wp:positionH relativeFrom="margin">
              <wp:align>right</wp:align>
            </wp:positionH>
            <wp:positionV relativeFrom="paragraph">
              <wp:posOffset>1891030</wp:posOffset>
            </wp:positionV>
            <wp:extent cx="2903220" cy="2338070"/>
            <wp:effectExtent l="0" t="3175" r="8255" b="8255"/>
            <wp:wrapSquare wrapText="bothSides"/>
            <wp:docPr id="173145726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898" r="10432"/>
                    <a:stretch/>
                  </pic:blipFill>
                  <pic:spPr bwMode="auto">
                    <a:xfrm rot="5400000">
                      <a:off x="0" y="0"/>
                      <a:ext cx="2903220" cy="2338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De succeservaring van het brandende lampje werd uitbundig met elkaar gevierd. Een van de lesgevende had een luchtcompressor waarmee de energiemolen getest kon worden. Wanneer de energiemolen begon te draaien en het lampje oplichtte, reageerde de leerlingen enthousiast, wat zich uitte in gejuich en applaus. Zo zei een leerling tegen een klasgenoot: </w:t>
      </w:r>
      <w:r w:rsidRPr="008A56C0">
        <w:rPr>
          <w:i/>
          <w:iCs/>
        </w:rPr>
        <w:t>‘Mijne doet het al, hij doet het! Ik heb hem getest!</w:t>
      </w:r>
      <w:r>
        <w:rPr>
          <w:i/>
          <w:iCs/>
        </w:rPr>
        <w:t xml:space="preserve">’ </w:t>
      </w:r>
      <w:r>
        <w:t xml:space="preserve">Naast het gebruik van de luchtcompressor gebruikten leerlingen ook hun eigen ademkracht door zo hard mogelijk tegen de wieken van de molen te blazen. Na ongeveer twintig minuten hadden de eerste leerlingen hun energiemolen voltooid en succesvol het lampje laten branden. Deze vroege successen leken bij sommige andere leerlingen, die hun opdracht nog niet hadden voltooid, tot ontmoediging te leiden. Tegen het einde van les had iedereen de energiemolen af. De leerlingen mochten de energiemolen mee naar huis nemen. </w:t>
      </w:r>
    </w:p>
    <w:p w:rsidR="00137804" w:rsidP="00CF15B7" w:rsidRDefault="00137804" w14:paraId="4A11621C" w14:textId="77777777">
      <w:pPr>
        <w:jc w:val="both"/>
      </w:pPr>
    </w:p>
    <w:p w:rsidRPr="006F1A74" w:rsidR="00CF15B7" w:rsidP="00CF15B7" w:rsidRDefault="00CF15B7" w14:paraId="4B2FF290" w14:textId="77777777">
      <w:pPr>
        <w:jc w:val="both"/>
      </w:pPr>
      <w:r>
        <w:t>De lesgevende vertelde pas aan het einde van de les wat het belang is van windenergie en waar je windenergie voor kan gebruiken. Zoals bijvoorbeeld voor het opladen van je telefoon. Daarnaast stelde hij de vraag:</w:t>
      </w:r>
      <w:r w:rsidRPr="008F5366">
        <w:rPr>
          <w:i/>
          <w:iCs/>
        </w:rPr>
        <w:t xml:space="preserve"> ‘wat kan je verbeteren?’</w:t>
      </w:r>
      <w:r>
        <w:t xml:space="preserve"> Dit werd klassikaal besproken. </w:t>
      </w:r>
      <w:r>
        <w:br w:type="page"/>
      </w:r>
    </w:p>
    <w:p w:rsidRPr="0095088E" w:rsidR="0095088E" w:rsidP="00CF15B7" w:rsidRDefault="0095088E" w14:paraId="580B9E21" w14:textId="6CF49ED8">
      <w:pPr>
        <w:jc w:val="both"/>
        <w:rPr>
          <w:i/>
          <w:iCs/>
          <w:u w:val="single"/>
        </w:rPr>
      </w:pPr>
      <w:r w:rsidRPr="0095088E">
        <w:rPr>
          <w:i/>
          <w:iCs/>
          <w:u w:val="single"/>
        </w:rPr>
        <w:lastRenderedPageBreak/>
        <w:t>Samenvatting bevindingen</w:t>
      </w:r>
    </w:p>
    <w:p w:rsidR="00CF15B7" w:rsidP="00CF15B7" w:rsidRDefault="00CF15B7" w14:paraId="7C2413CB" w14:textId="4D4BC5ED">
      <w:pPr>
        <w:jc w:val="both"/>
      </w:pPr>
      <w:r w:rsidRPr="00BC1650">
        <w:t>De geobserveerde lessen zijn aan de hand van de verzamelde observatieschema’s geanalyseerd. Hieronder worden de</w:t>
      </w:r>
      <w:r>
        <w:t xml:space="preserve"> belangrijkste overkoepelende bevindingen besproken. Het doel van de observaties is niet om te oordelen over de kwaliteit, maar om vast te leggen wat er precies tijdens zo’n les gebeurt en hoe leerlingen hierop reageren.</w:t>
      </w:r>
      <w:r w:rsidR="00A8029A">
        <w:t xml:space="preserve"> We baseren deze conclusies op zeven observaties, waarmee de conclusies dus niet zonder meer te generaliseren zijn naar alle buitenschoolse aanbod gericht op oriëntatie. </w:t>
      </w:r>
    </w:p>
    <w:p w:rsidRPr="000503F4" w:rsidR="00CF15B7" w:rsidP="00CF15B7" w:rsidRDefault="00CF15B7" w14:paraId="0D3DB89B" w14:textId="0F1855A6">
      <w:pPr>
        <w:jc w:val="both"/>
      </w:pPr>
      <w:r>
        <w:t xml:space="preserve"> </w:t>
      </w:r>
    </w:p>
    <w:p w:rsidR="00CF15B7" w:rsidP="00CF15B7" w:rsidRDefault="00CF15B7" w14:paraId="7CF773F8" w14:textId="2C3135E0"/>
    <w:p w:rsidRPr="00283B39" w:rsidR="00CF15B7" w:rsidP="00CF15B7" w:rsidRDefault="00CF15B7" w14:paraId="4FC47926" w14:textId="77777777">
      <w:pPr>
        <w:rPr>
          <w:b/>
          <w:u w:val="single"/>
          <w:lang w:val="en-US"/>
        </w:rPr>
      </w:pPr>
      <w:r w:rsidRPr="00283B39">
        <w:rPr>
          <w:b/>
          <w:u w:val="single"/>
          <w:lang w:val="en-US"/>
        </w:rPr>
        <w:t>Project, Inquiry en Problem based learning</w:t>
      </w:r>
    </w:p>
    <w:p w:rsidR="00CF15B7" w:rsidP="00CF15B7" w:rsidRDefault="00CF15B7" w14:paraId="0A1848AE" w14:textId="6DF4B4A2">
      <w:r w:rsidRPr="00160CFF">
        <w:t>Tijdens de observaties is e</w:t>
      </w:r>
      <w:r>
        <w:t xml:space="preserve">r gekeken naar de opzet van het leren. Omdat er steeds maar één les is geobserveerd, was niet altijd goed te bepalen welke vorm van praktisch leren werd toegepast. Wel was duidelijk dat veel lessen </w:t>
      </w:r>
      <w:r w:rsidRPr="00160CFF">
        <w:rPr>
          <w:i/>
          <w:iCs/>
        </w:rPr>
        <w:t>project-based</w:t>
      </w:r>
      <w:r>
        <w:t xml:space="preserve"> zijn, waarbij leerlingen een lessenpakket over een thema moesten afwerken. In het po bestonden deze lessen regelmatig uit een drieluik; eerst een les op school, dan een les op een vmbo-school en tot slot een les in de praktijk (bijvoorbeeld in een bedrijf). Een kanttekening hierbij is dat verschillende lesgevenden aangaven dat de laatste les in de praktijk meestal niet plaatsvindt, vanwege een gebrek aan tijd en/of geld. Leren vanuit een daadwerkelijk probleem dat zich voordoet in de wereld is één keer geobserveerd. In de geobserveerde lessen kwam het niet voor dat leerlingen aan de slag gingen vanuit onderzoeksvragen. De opdrachten hadden in sommigen gevallen een enigszins artificieel karakter, omdat ze geen direct verband hadden met realistische problemen, vragen of situaties uit de echte wereld. Veel lessen waren meer vormgegeven als een ‘inkijkje’ in een bepaald vakgebied, zoals het bezoek aan het hoogspanningsstation. Hier waren vakmensen daadwerkelijk aan het werk, terwijl leerlingen in verschillende containers zelf ook aan de slag konden. Door de lesgevende van de workshops werd een directe link gelegd tussen de activiteit en het werk dat leerlingen in de toekomst kunnen doen. De les werd afgesloten met de quote: ‘</w:t>
      </w:r>
      <w:r w:rsidRPr="009B6118">
        <w:rPr>
          <w:i/>
        </w:rPr>
        <w:t>misschien vond je het leuk, misschien wel niet, maar zo kan je wel eens kijken wat je misschien later wilt worden</w:t>
      </w:r>
      <w:r>
        <w:t>’ én ‘</w:t>
      </w:r>
      <w:r w:rsidRPr="008A4DA5">
        <w:rPr>
          <w:i/>
          <w:iCs/>
        </w:rPr>
        <w:t>hopelijk</w:t>
      </w:r>
      <w:r w:rsidRPr="008A4DA5">
        <w:rPr>
          <w:i/>
        </w:rPr>
        <w:t xml:space="preserve"> hebben we enkele van jullie kunnen interesseren in het technische beroep, want wij zijn altijd hard opzoek naar collega’s’</w:t>
      </w:r>
      <w:r>
        <w:t>.</w:t>
      </w:r>
    </w:p>
    <w:p w:rsidR="00137804" w:rsidP="00CF15B7" w:rsidRDefault="00137804" w14:paraId="67679A1A" w14:textId="77777777"/>
    <w:p w:rsidR="00CF15B7" w:rsidP="00CF15B7" w:rsidRDefault="00CF15B7" w14:paraId="60A8E698" w14:textId="3B5B5E45">
      <w:pPr>
        <w:jc w:val="both"/>
      </w:pPr>
      <w:r>
        <w:t>De meeste lessen vonden plaats op een school</w:t>
      </w:r>
      <w:r w:rsidR="00776987">
        <w:t xml:space="preserve"> (andere school dan waar de leerlingen </w:t>
      </w:r>
      <w:r w:rsidR="002E6B41">
        <w:t>doorgaans les krijgen)</w:t>
      </w:r>
      <w:r>
        <w:t xml:space="preserve">. Een voorbeeld hiervan is het organiseren van verschillende workshops voor basisschoolleerlingen op vmbo-scholen. Basisscholen kunnen hierbij kiezen uit een breed aanbod, waarbij verschillende techniekdisciplines gekozen kunnen worden. Zo kunnen ze kiezen wat aansluit bij de interesses van hun eigen leerlingen. </w:t>
      </w:r>
    </w:p>
    <w:p w:rsidR="00137804" w:rsidP="00CF15B7" w:rsidRDefault="00137804" w14:paraId="1CBA95CD" w14:textId="77777777">
      <w:pPr>
        <w:jc w:val="both"/>
      </w:pPr>
    </w:p>
    <w:p w:rsidR="00CF15B7" w:rsidP="00CF15B7" w:rsidRDefault="00CF15B7" w14:paraId="4AA33594" w14:textId="556FF642">
      <w:pPr>
        <w:jc w:val="both"/>
      </w:pPr>
      <w:r>
        <w:t>Na afloop van de observatie is er met meerdere lesgevenden gesproken over de observaties. Wat opvalt is dat veel lesgevenden aangeven dat ze vinden dat iedereen zelf het wiel aan het uitvinden is wat betreft de inhoud en de vorm van de STO-lessen. Ze geven aan dat er weinig uitwisseling is over de lesinhoud, didactische aanpakken en manieren om leerlingen actief te betrekken. De meeste locaties gaan zelfstandig aan de slag en zijn hierdoor genoodzaakt te experimenteren en veel zelf uit te zoeken.</w:t>
      </w:r>
    </w:p>
    <w:p w:rsidR="00CF15B7" w:rsidP="00CF15B7" w:rsidRDefault="00CF15B7" w14:paraId="1D448D18" w14:textId="77777777">
      <w:pPr>
        <w:jc w:val="both"/>
      </w:pPr>
    </w:p>
    <w:p w:rsidRPr="0095088E" w:rsidR="00CF15B7" w:rsidP="00CF15B7" w:rsidRDefault="00CF15B7" w14:paraId="5B83FC5C" w14:textId="199C4CC6">
      <w:pPr>
        <w:jc w:val="both"/>
        <w:rPr>
          <w:b/>
          <w:bCs/>
          <w:u w:val="single"/>
        </w:rPr>
      </w:pPr>
      <w:r w:rsidRPr="0095088E">
        <w:rPr>
          <w:b/>
          <w:bCs/>
          <w:u w:val="single"/>
        </w:rPr>
        <w:t>Rol van lesgevenden</w:t>
      </w:r>
    </w:p>
    <w:p w:rsidR="001F3D0D" w:rsidP="00CF15B7" w:rsidRDefault="00CF15B7" w14:paraId="4CC27BB1" w14:textId="21E53086">
      <w:pPr>
        <w:jc w:val="both"/>
      </w:pPr>
      <w:r>
        <w:t xml:space="preserve">Tijdens de observaties is er ook gekeken naar de drie fundamentele basisbehoeften van leerlingen die essentieel zijn voor hun motivatie, welzijn en leerproces. </w:t>
      </w:r>
    </w:p>
    <w:p w:rsidRPr="00BB36E2" w:rsidR="00CF15B7" w:rsidP="00283B39" w:rsidRDefault="00CF15B7" w14:paraId="7A7C7346" w14:textId="77777777">
      <w:pPr>
        <w:jc w:val="both"/>
      </w:pPr>
    </w:p>
    <w:p w:rsidR="00CF15B7" w:rsidP="00CF15B7" w:rsidRDefault="00CF15B7" w14:paraId="646D2088" w14:textId="77777777">
      <w:pPr>
        <w:jc w:val="both"/>
        <w:rPr>
          <w:b/>
          <w:bCs/>
          <w:i/>
          <w:iCs/>
        </w:rPr>
      </w:pPr>
      <w:r>
        <w:rPr>
          <w:b/>
          <w:bCs/>
          <w:i/>
          <w:iCs/>
        </w:rPr>
        <w:t>Competentie</w:t>
      </w:r>
    </w:p>
    <w:p w:rsidR="00CF15B7" w:rsidP="00CF15B7" w:rsidRDefault="00CF15B7" w14:paraId="4985F40C" w14:textId="77777777">
      <w:pPr>
        <w:jc w:val="both"/>
      </w:pPr>
      <w:r>
        <w:t xml:space="preserve">Wanneer leerlingen het gevoel hebben dat ze bekwaam zijn in de taken die ze uitvoeren en succes ervaren in wat ze doen en weten waarom ze dit doen, krijgen leerlingen een gevoel van competentie. In een groot deel van de STO-lessen brengen lesgevenden het belang van de les (en soms ook techniek in het algemeen) onder de aandacht van de leerlingen. De feedback die leerlingen ontvangen van lesgevenden is dan ook vaak gericht op het opwekken van interesse bij leerlingen. De lesgevenden willen de leerlingen stimuleren om te proberen en proeven van de techniek. De lesgevenden van STO doen hun best om leuke en positieve ervaringen voor de leerlingen te creëren. Succeservaringen worden gestimuleerd en regelmatig gevierd door de lesgevenden. Bij een van de geobserveerde lessen </w:t>
      </w:r>
      <w:r w:rsidRPr="005323ED">
        <w:t xml:space="preserve">verhielp een leerling een storing waarop de </w:t>
      </w:r>
      <w:r>
        <w:t>lesgevende</w:t>
      </w:r>
      <w:r w:rsidRPr="005323ED">
        <w:t xml:space="preserve"> reageerde met: ‘</w:t>
      </w:r>
      <w:r w:rsidRPr="00EF29E8">
        <w:rPr>
          <w:i/>
          <w:iCs/>
        </w:rPr>
        <w:t>ey goed gedaan, tik hem aan</w:t>
      </w:r>
      <w:r>
        <w:rPr>
          <w:i/>
          <w:iCs/>
        </w:rPr>
        <w:t>!</w:t>
      </w:r>
      <w:r w:rsidRPr="00EF29E8">
        <w:rPr>
          <w:i/>
          <w:iCs/>
        </w:rPr>
        <w:t xml:space="preserve"> [bo</w:t>
      </w:r>
      <w:r>
        <w:rPr>
          <w:i/>
          <w:iCs/>
        </w:rPr>
        <w:t>ks</w:t>
      </w:r>
      <w:r w:rsidRPr="00EF29E8">
        <w:rPr>
          <w:i/>
          <w:iCs/>
        </w:rPr>
        <w:t>]</w:t>
      </w:r>
      <w:r w:rsidRPr="005323ED">
        <w:t>’</w:t>
      </w:r>
      <w:r>
        <w:t xml:space="preserve">. Met name in het po was er vanuit de lesgevenden veel persoonlijke aandacht en tijd voor wat de leerlingen gemaakt </w:t>
      </w:r>
      <w:r>
        <w:lastRenderedPageBreak/>
        <w:t>hadden. Leerlingen riepen regelmatig ook zelf klasgenoten en lesgevenden (zowel de eigen leerkracht als de STO lesgevenden) erbij om hun creatie te bewonderen.</w:t>
      </w:r>
    </w:p>
    <w:p w:rsidR="00CF15B7" w:rsidP="00CF15B7" w:rsidRDefault="00CF15B7" w14:paraId="32F046C1" w14:textId="77777777">
      <w:pPr>
        <w:jc w:val="both"/>
      </w:pPr>
      <w:r>
        <w:t>Daarnaast lijken de lessen goed aan te sluiten bij het niveau van de leerling. Doordat de taken uitdagend en haalbaar waren, ervaren de leerling dat hun inzet leidt tot resultaat. Leerlingen haakten maar zelden af omdat het té moeilijk of té makkelijk was. Dit vergroot het gevoel van competentie.</w:t>
      </w:r>
    </w:p>
    <w:p w:rsidRPr="003456B0" w:rsidR="00CF15B7" w:rsidP="00CF15B7" w:rsidRDefault="00CF15B7" w14:paraId="3851A451" w14:textId="77777777">
      <w:pPr>
        <w:jc w:val="both"/>
      </w:pPr>
    </w:p>
    <w:p w:rsidR="00CF15B7" w:rsidP="00CF15B7" w:rsidRDefault="00CF15B7" w14:paraId="46D71E26" w14:textId="77777777">
      <w:pPr>
        <w:jc w:val="both"/>
        <w:rPr>
          <w:b/>
          <w:bCs/>
          <w:i/>
          <w:iCs/>
        </w:rPr>
      </w:pPr>
      <w:r>
        <w:rPr>
          <w:b/>
          <w:bCs/>
          <w:i/>
          <w:iCs/>
        </w:rPr>
        <w:t>Autonomie</w:t>
      </w:r>
    </w:p>
    <w:p w:rsidR="00CF15B7" w:rsidP="00CF15B7" w:rsidRDefault="00CF15B7" w14:paraId="45AC6EF2" w14:textId="77777777">
      <w:pPr>
        <w:jc w:val="both"/>
      </w:pPr>
      <w:r>
        <w:t>Autonomie gaat om de ervaring van leerlingen dat zij een bepaalde mate van zeggenschap hebben over het leerproces. Een groot deel van de geobserveerde STO-lessen zijn bedoeld als introductie, met een korte reeks aan lessen. Hierdoor is de opzet van de STO-lessen meestal duidelijk en gestructureerd, wat soms weinig ruimte biedt voor de zeggenschap van leerlingen. Zo waren er twee lessen waar leerlingen aan de slag moesten met een werkblad, zonder ruimte voor eigen input of creativiteit. Deze vorm van werken kwam twee keer voor tijdens de observaties. Binnen de gekaderde opzet van de andere lessen was er regelmatig wel wat ruimte voor de eigen creativiteit en interesses van leerlingen. Een voorbeeld hiervan is een les waar leerlingen verschillende werkstations langsgaan. Wanneer leerlingen interesse tonen in één van de stations, werd geprobeerd de leerlingen daar meer tijd en ruimte te geven. Daarnaast was er ook een les waarbij leerlingen met een 3D-printer hun eigen sleutelhanger mochten ontwerpen. Ze hadden zelf de keuze hoe die sleutelhanger eruit kwam te zien, inclusief het design dat op de sleutelhanger kwam. Bij een andere observatie werden plantenstekers versierd door gebruik te maken van branders, waarbij leerlingen de vrijheid hadden om zelf te bedenken hoe ze de plantenstekers wilden versieren.</w:t>
      </w:r>
    </w:p>
    <w:p w:rsidR="00CF15B7" w:rsidP="00CF15B7" w:rsidRDefault="00CF15B7" w14:paraId="03291D46" w14:textId="77777777">
      <w:pPr>
        <w:jc w:val="both"/>
      </w:pPr>
      <w:r>
        <w:t>Er is één les geobserveerd waar de leerlingen vooraf de keuzemogelijkheid hadden om te kiezen welk van de twee workshop ze wilden volgen.</w:t>
      </w:r>
    </w:p>
    <w:p w:rsidR="00CF15B7" w:rsidP="00CF15B7" w:rsidRDefault="00CF15B7" w14:paraId="000F7019" w14:textId="77777777">
      <w:pPr>
        <w:jc w:val="both"/>
      </w:pPr>
    </w:p>
    <w:p w:rsidR="00CF15B7" w:rsidP="00CF15B7" w:rsidRDefault="00CF15B7" w14:paraId="5B54B45C" w14:textId="77777777">
      <w:pPr>
        <w:jc w:val="both"/>
        <w:rPr>
          <w:b/>
          <w:bCs/>
          <w:i/>
          <w:iCs/>
        </w:rPr>
      </w:pPr>
      <w:r>
        <w:rPr>
          <w:b/>
          <w:bCs/>
          <w:i/>
          <w:iCs/>
        </w:rPr>
        <w:t>Relatie</w:t>
      </w:r>
    </w:p>
    <w:p w:rsidR="00CF15B7" w:rsidP="00CF15B7" w:rsidRDefault="00CF15B7" w14:paraId="5B981486" w14:textId="5751956E">
      <w:pPr>
        <w:jc w:val="both"/>
      </w:pPr>
      <w:r>
        <w:t>Voor het creëren van een veilige en respectvolle leeromgeving is het van belang tegemoet te komen aan de behoefte van leerlingen om zich verbonden te voelen met anderen. Het gaat om verbondenheid tussen leerling en lesgevende, maar ook tussen klasgenoten onderling en andere betrokkenen. De band tussen de lesgevende en de leerling die is geobserveerd, bestond vaak uit het motiveren en stimuleren van interesse, nieuwsgierigheid en enthousiasme. Lesgevenden willen de leerlingen graag meenemen in ‘de magie van de techniek</w:t>
      </w:r>
      <w:r w:rsidR="0B37095B">
        <w:t>’</w:t>
      </w:r>
      <w:r>
        <w:t xml:space="preserve">. De lesgevenden van de buitenschoolse techniekactiviteiten zijn doorgaans bevlogen over het onderwerp en de leerlingen. De lesgevenden hebben meestal een specifieke achtergrond in de technieklessen die ze verzorgen. Zo was er een lesgevende die de leerlingen ondersteunde bij een workshop over het bedrukken van stoffen tassen, die zelf een eigen bruidszaak heeft. Het enthousiasme dat de lesgevenden in de lessen brengen, lijkt bij te dragen aan het enthousiasme van leerlingen. De lesgevenden waren ervaren in het geven van de les, waardoor leerlingen vrij konden bewegen en veel persoonlijke aandacht kregen. Hoewel het overbrengen van een specifieke vaardigheid onderdeel kan zijn van een STO-les, stond de verwondering over techniek en de interesse in techniek centraal. </w:t>
      </w:r>
    </w:p>
    <w:p w:rsidR="00137804" w:rsidP="00CF15B7" w:rsidRDefault="00137804" w14:paraId="7A8092C0" w14:textId="77777777">
      <w:pPr>
        <w:jc w:val="both"/>
      </w:pPr>
    </w:p>
    <w:p w:rsidR="00CF15B7" w:rsidP="00CF15B7" w:rsidRDefault="00CF15B7" w14:paraId="7458471F" w14:textId="77777777">
      <w:pPr>
        <w:jc w:val="both"/>
      </w:pPr>
      <w:r>
        <w:t xml:space="preserve">Daarnaast was zichtbaar dat de lesgevenden hun best deden om aan te sluiten bij de belevingswereld van de leerlingen. Tijdens een les moesten leerlingen raden hoe diep stroomkabels in de grond lagen. Een leerling antwoordde </w:t>
      </w:r>
      <w:r w:rsidRPr="005323ED">
        <w:t>‘</w:t>
      </w:r>
      <w:r w:rsidRPr="00EF29E8">
        <w:rPr>
          <w:i/>
          <w:iCs/>
        </w:rPr>
        <w:t>100 meter!</w:t>
      </w:r>
      <w:r w:rsidRPr="005323ED">
        <w:t>’</w:t>
      </w:r>
      <w:r>
        <w:t>,</w:t>
      </w:r>
      <w:r w:rsidRPr="005323ED">
        <w:t xml:space="preserve"> waarop de </w:t>
      </w:r>
      <w:r>
        <w:t>lesgevende</w:t>
      </w:r>
      <w:r w:rsidRPr="005323ED">
        <w:t xml:space="preserve"> zei: ‘</w:t>
      </w:r>
      <w:r w:rsidRPr="00EF29E8">
        <w:rPr>
          <w:i/>
          <w:iCs/>
        </w:rPr>
        <w:t>Een gat van 100 meter diep? Dan moet ik wel een verrekijker gebruiken of niet?</w:t>
      </w:r>
      <w:r w:rsidRPr="005323ED">
        <w:t>’.</w:t>
      </w:r>
      <w:r>
        <w:t xml:space="preserve"> De reactie van de lesgevende stuurde de leerling indirect naar het juist antwoord, zonder het antwoord voor te zeggen of te beoordelen als goed of fout. De lesgevende creëert hier ruimte voor het onderzoekende leerproces van de leerling om tot een oplossing te komen. </w:t>
      </w:r>
    </w:p>
    <w:p w:rsidR="00137804" w:rsidP="00CF15B7" w:rsidRDefault="00137804" w14:paraId="0D5304D1" w14:textId="77777777">
      <w:pPr>
        <w:jc w:val="both"/>
      </w:pPr>
    </w:p>
    <w:p w:rsidRPr="00D511C7" w:rsidR="00CF15B7" w:rsidP="00CF15B7" w:rsidRDefault="00CF15B7" w14:paraId="79AD666C" w14:textId="77777777">
      <w:pPr>
        <w:jc w:val="both"/>
      </w:pPr>
      <w:r>
        <w:t xml:space="preserve">Samenwerking tussen leerlingen wordt in de lessen regelmatig gestimuleerd. Leerlingen krijgen vaak de ruimte om te overleggen of in tweetallen of groepjes te werken. </w:t>
      </w:r>
    </w:p>
    <w:p w:rsidR="00CF15B7" w:rsidP="00CF15B7" w:rsidRDefault="00CF15B7" w14:paraId="0C3F284F" w14:textId="77777777">
      <w:pPr>
        <w:pStyle w:val="Geenafstand"/>
        <w:jc w:val="both"/>
      </w:pPr>
      <w:r>
        <w:t xml:space="preserve"> </w:t>
      </w:r>
    </w:p>
    <w:p w:rsidRPr="008E0979" w:rsidR="00CF15B7" w:rsidP="00CF15B7" w:rsidRDefault="00CF15B7" w14:paraId="6DFA27E7" w14:textId="77777777">
      <w:pPr>
        <w:pStyle w:val="Geenafstand"/>
        <w:jc w:val="both"/>
        <w:rPr>
          <w:b/>
          <w:bCs/>
          <w:i/>
          <w:iCs/>
        </w:rPr>
      </w:pPr>
      <w:r w:rsidRPr="008E0979">
        <w:rPr>
          <w:b/>
          <w:bCs/>
          <w:i/>
          <w:iCs/>
        </w:rPr>
        <w:t>Samenvattend</w:t>
      </w:r>
    </w:p>
    <w:p w:rsidR="00CF15B7" w:rsidP="00CF15B7" w:rsidRDefault="00CF15B7" w14:paraId="30D9B484" w14:textId="7B317891">
      <w:pPr>
        <w:jc w:val="both"/>
      </w:pPr>
      <w:r>
        <w:t>De lesgevenden gebruiken hun eigen enthousiasme en bevlogenheid om leerlingen te interesseren en stimuleren. De opdrachten zijn uitdagend en haalbaar waardoor leerlingen ervaren dat hun inzet leidt tot succeservaringen. De succeservaringen worden met name in het po met elkaar gevierd. Leerlingen hebben geen directe zeggenschap over de opdrachten die ze uitvoeren, maar er is vaak wel ruimte voor creativiteit en het volgen van eigen interesses.</w:t>
      </w:r>
    </w:p>
    <w:p w:rsidR="00CF15B7" w:rsidRDefault="00CF15B7" w14:paraId="33EB49F6" w14:textId="77777777">
      <w:pPr>
        <w:spacing w:after="160" w:line="259" w:lineRule="auto"/>
      </w:pPr>
      <w:r>
        <w:br w:type="page"/>
      </w:r>
    </w:p>
    <w:p w:rsidR="00CF15B7" w:rsidP="00CF15B7" w:rsidRDefault="00CF15B7" w14:paraId="63CAEEA1" w14:textId="77777777">
      <w:pPr>
        <w:jc w:val="both"/>
      </w:pPr>
    </w:p>
    <w:p w:rsidRPr="0095088E" w:rsidR="00F563E8" w:rsidP="00CF15B7" w:rsidRDefault="00F563E8" w14:paraId="6BA5F6C6" w14:textId="621A015B">
      <w:pPr>
        <w:jc w:val="both"/>
        <w:rPr>
          <w:b/>
          <w:bCs/>
          <w:u w:val="single"/>
        </w:rPr>
      </w:pPr>
      <w:r w:rsidRPr="0095088E">
        <w:rPr>
          <w:b/>
          <w:bCs/>
          <w:u w:val="single"/>
        </w:rPr>
        <w:t>Interesse-ontwikkeling leerlingen</w:t>
      </w:r>
    </w:p>
    <w:p w:rsidR="00CF15B7" w:rsidP="00CF15B7" w:rsidRDefault="00CF15B7" w14:paraId="2DCC9948" w14:textId="70833887">
      <w:pPr>
        <w:jc w:val="both"/>
      </w:pPr>
      <w:r>
        <w:t>Om de interesse van leerlingen in kaart te brengen, is bij het opstellen van het observatieschema gebruik gemaakt van het</w:t>
      </w:r>
      <w:r w:rsidRPr="006A6B27">
        <w:t xml:space="preserve"> vier</w:t>
      </w:r>
      <w:r>
        <w:t xml:space="preserve"> </w:t>
      </w:r>
      <w:r w:rsidRPr="006A6B27">
        <w:t xml:space="preserve">fasen model van Hidi </w:t>
      </w:r>
      <w:r w:rsidR="00C80885">
        <w:t>en</w:t>
      </w:r>
      <w:r w:rsidRPr="006A6B27" w:rsidR="00C80885">
        <w:t xml:space="preserve"> </w:t>
      </w:r>
      <w:r w:rsidRPr="006A6B27">
        <w:t>Renninger (2006)</w:t>
      </w:r>
      <w:r>
        <w:t xml:space="preserve">, waarbij de derde en vierde fase (vergaande interesseontwikkeling) zijn samengevoegd. Er zijn enkele aanwijzingen geobserveerd waaruit afgeleid kan worden dat diepgaande interesse bij leerlingen is ontwikkeld. Zo zei een leerling: </w:t>
      </w:r>
      <w:r w:rsidRPr="007C0195">
        <w:rPr>
          <w:i/>
          <w:iCs/>
        </w:rPr>
        <w:t>‘Ik ga vragen of ik dit een keertje met papa’s brander mag doen’</w:t>
      </w:r>
      <w:r>
        <w:rPr>
          <w:i/>
          <w:iCs/>
        </w:rPr>
        <w:t xml:space="preserve">. </w:t>
      </w:r>
      <w:r>
        <w:t xml:space="preserve">Deze uitspraak suggereert een intrinsieke motivatie om de opgedane kennis zelfstandig toe te passen in een nieuwe context. Het initiatief van de leerling om verder te experimenteren buiten de schoolsituatie wijst op een actieve informatieverwerking en een bredere exploratie van het onderwerp, kenmerkend voor de latere fasen van interesseontwikkeling. </w:t>
      </w:r>
    </w:p>
    <w:p w:rsidR="00CF15B7" w:rsidP="00CF15B7" w:rsidRDefault="00CF15B7" w14:paraId="4DEC838B" w14:textId="77777777">
      <w:pPr>
        <w:jc w:val="both"/>
      </w:pPr>
    </w:p>
    <w:p w:rsidR="00CF15B7" w:rsidP="00CF15B7" w:rsidRDefault="00CF15B7" w14:paraId="1D213973" w14:textId="77777777">
      <w:pPr>
        <w:jc w:val="both"/>
      </w:pPr>
      <w:r>
        <w:t xml:space="preserve">In het overgrote deel van de observaties is het echter alleen mogelijk geweest de eerste en tweede fase – </w:t>
      </w:r>
      <w:r>
        <w:rPr>
          <w:i/>
          <w:iCs/>
        </w:rPr>
        <w:t>t</w:t>
      </w:r>
      <w:r w:rsidRPr="000333E5">
        <w:rPr>
          <w:i/>
          <w:iCs/>
        </w:rPr>
        <w:t>riggered situational interest</w:t>
      </w:r>
      <w:r>
        <w:t xml:space="preserve"> en </w:t>
      </w:r>
      <w:r w:rsidRPr="000333E5">
        <w:rPr>
          <w:i/>
          <w:iCs/>
        </w:rPr>
        <w:t>maintained situational interest</w:t>
      </w:r>
      <w:r>
        <w:t xml:space="preserve"> – te identificeren. </w:t>
      </w:r>
      <w:r w:rsidRPr="006A547F">
        <w:t>Veel</w:t>
      </w:r>
      <w:r>
        <w:t xml:space="preserve"> van de geobserveerde STO-lessen betreffen introductielessen voor leerlingen op de basisschool. Meestal is het doel van deze lessen om een eerste introductie te geven van een onderwerp en leerlingen kennis te laten maken met techniek. Tijdens de observaties kwam al snel naar voren dat leerlingen in het po meer expliciet enthousiasme vertonen dan leerlingen in het vo. Leerlingen uit het po willen graag nieuwe dingen proberen en staan open voor nieuwe ervaringen. Dit was regelmatig zichtbaar doordat leerlingen gingen klappen, juichen, springen of op tafels gingen slaan. In de lessen is terug te zien dat de leerlingen met een open blik de les ingaan en zich graag laten verwonderen. Ze zijn nieuwsgierig, stellen vragen en werken fanatiek samen aan de opdracht. De leerlingen in het voortgezet onderwijs doen mee, maar er moet meer moeite worden gedaan om ze geïnteresseerd te krijgen in de les. De fysieke kenmerken van enthousiasme kwamen hier bijna tot nooit voor. Tijdens de lessen moest meer bijgestuurd worden om ervoor te zorgen dat de aandacht van de leerlingen niet afdwaalde. De leerlingen in het po daarentegen moesten vaker geremd worden, omdat ze zo graag hun werkje aan de lesgevenden wilden laten zien. Eén van de betrokken lesgevenden bevestigde deze bevinding door te vertellen dat leerlingen in het primair onderwijs veel enthousiaster zijn dan leerlingen in het vo. </w:t>
      </w:r>
    </w:p>
    <w:p w:rsidR="00CF15B7" w:rsidP="00CF15B7" w:rsidRDefault="00CF15B7" w14:paraId="01A7627C" w14:textId="77777777">
      <w:pPr>
        <w:jc w:val="both"/>
      </w:pPr>
    </w:p>
    <w:p w:rsidR="00CF15B7" w:rsidP="00CF15B7" w:rsidRDefault="00CF15B7" w14:paraId="1EA59F89" w14:textId="6A9A036B">
      <w:pPr>
        <w:jc w:val="both"/>
      </w:pPr>
      <w:r>
        <w:t>In het vo heeft – mede vanwege de leeftijd van de leerlingen</w:t>
      </w:r>
      <w:r w:rsidR="2726D19E">
        <w:t xml:space="preserve"> </w:t>
      </w:r>
      <w:r>
        <w:t xml:space="preserve">- desinteresse in schoolse activiteiten vaker de boventoon dan in het po. Het blijft echter de vraag in hoeverre deze ogenschijnlijke desinteresse daadwerkelijk duidt op een verminderde intrinsieke motivatie. Een lesgevende geeft aan dat hierin mogelijk ook een sociaal aspect meespeelt, zoals het belang van status binnen de groep. Tijdens één van de geobserveerde lessen in het voortgezet onderwijs was er een leerling die vrijwel de gehele les niet actief deelnam aan de opdracht. In plaats daarvan liep hij rond, zocht hij contact met andere groepjes en toonde hij weinig inzet. Hij was tijdens de les niet bezig met de opdracht. Opvallend was echter dat, zodra de pauze begon en de andere leerling het lokaal verlieten, hij in stilte en zelfstandig aan de slag ging met de opdracht. De volledige pauze bleef hij geconcentreerd aan het werk. Mogelijk wilde hij zijn inzet en interesse niet tonen waar medeleerlingen bij waren. In dezelfde les werd ook een situatie geobserveerd waarbij een jongen en een meisje absoluut niet wilden samenwerken, ondanks een vergeefse poging van de lesgevende om hen daartoe te bewegen. Bij een andere vo-klas viel ook op dat de leerlingen tijdens de introductie niet actief meededen. Wanneer de lesgevende een vraag stelde, reageerden leerlingen vaak met opgetrokken schouders en met het antwoord ‘weet ik niet’. Maar de leerlingen gingen wel aan de slag toen hier nadrukkelijk om gevraagd werd en wanneer bleek dat de techniekopdracht toch interessanter was dan ze hadden verwacht. Ondanks dat het gedrag van leerlingen dus soms ongeïnteresseerd overkomt, betekent dit niet dat de magie van techniek deze leerlingen helemaal ontgaat. </w:t>
      </w:r>
    </w:p>
    <w:p w:rsidR="00CF15B7" w:rsidP="00CF15B7" w:rsidRDefault="00CF15B7" w14:paraId="52E60B6F" w14:textId="77777777">
      <w:pPr>
        <w:pStyle w:val="Geenafstand"/>
        <w:jc w:val="both"/>
      </w:pPr>
    </w:p>
    <w:p w:rsidRPr="00396374" w:rsidR="00CF15B7" w:rsidP="00CF15B7" w:rsidRDefault="00CF15B7" w14:paraId="5E5171CC" w14:textId="422289B3">
      <w:pPr>
        <w:jc w:val="both"/>
      </w:pPr>
      <w:r>
        <w:t xml:space="preserve">In twee van de STO-regio’s werd een expliciete visie toegelicht met betrekken tot het bevorderen van enthousiasme voor techniek onderwijs. Zij zijn ervan overtuigd dat het enthousiasmeren van uitsluitend leerlingen onvoldoende is; ook ouders en familieleden, in het bijzonder moeders, spelen een cruciale rol in het studiekeuze proces en dienen daarom actief betrokken te worden. Vanuit deze overtuiging werd als uitgangspunt gehanteerd dat iedere leerling na deelname aan een buitenschoolse techniekactiviteit een tastbaar product mee naar huis moest nemen. De lessen werden hierop ingericht: vrijwel altijd konden leerlingen een concreet werkstuk mee naar huis nemen. In gevallen waarin dat niet mogelijk was, ontvingen zij een cadeautasje afkomstig van de betreffende locatie. Het mee naar huis nemen van een tastbaar resultaat stelt leerlingen in staat om thuis te tonen wat zij hebben gemaakt en geleerd. </w:t>
      </w:r>
      <w:r>
        <w:lastRenderedPageBreak/>
        <w:t xml:space="preserve">Volgens de </w:t>
      </w:r>
      <w:r w:rsidR="7E29C4D5">
        <w:t>programmaleider</w:t>
      </w:r>
      <w:r>
        <w:t xml:space="preserve"> van deze STO-regio bevordert dit gesprekken met ouders over techniek en draagt het bij aan een verhoogde ouderbetrokkenheid bij het Techniekonderwijs.</w:t>
      </w:r>
    </w:p>
    <w:p w:rsidRPr="00396374" w:rsidR="001F3D0D" w:rsidP="00CF15B7" w:rsidRDefault="001F3D0D" w14:paraId="4D38A9B4" w14:textId="77777777">
      <w:pPr>
        <w:jc w:val="both"/>
      </w:pPr>
    </w:p>
    <w:p w:rsidR="00CF15B7" w:rsidP="00CF15B7" w:rsidRDefault="00CF15B7" w14:paraId="75877C18" w14:textId="77777777">
      <w:pPr>
        <w:jc w:val="both"/>
      </w:pPr>
      <w:r>
        <w:t xml:space="preserve">Het doel van de buitenschoolse techniekactiviteiten is het stimuleren of versterken van de interesse in techniek onder leerlingen. De observaties suggereren dat de lessen effectief zijn in het opwekken van </w:t>
      </w:r>
      <w:r w:rsidRPr="00667D89">
        <w:rPr>
          <w:i/>
          <w:iCs/>
        </w:rPr>
        <w:t>triggered situational interest</w:t>
      </w:r>
      <w:r>
        <w:t xml:space="preserve"> en </w:t>
      </w:r>
      <w:r w:rsidRPr="00667D89">
        <w:rPr>
          <w:i/>
          <w:iCs/>
        </w:rPr>
        <w:t>maintained situational interest</w:t>
      </w:r>
      <w:r>
        <w:t xml:space="preserve">, zoals omschreven door Hidi en Renninger (2006). Het is echter moeilijk vast te stellen in hoeverre deze interesse zich ontwikkelt tot een meer diepgaande, langdurige en persoonsgebonden interesse. Desondanks is de positieve beleving van de leerlingen evident. Uitspraken zoals </w:t>
      </w:r>
      <w:r w:rsidRPr="00C81DF2">
        <w:rPr>
          <w:i/>
          <w:iCs/>
        </w:rPr>
        <w:t>‘die VR-bril was echt geniaal he?</w:t>
      </w:r>
      <w:r>
        <w:rPr>
          <w:i/>
          <w:iCs/>
        </w:rPr>
        <w:t xml:space="preserve">’ </w:t>
      </w:r>
      <w:r>
        <w:t>o</w:t>
      </w:r>
      <w:r w:rsidRPr="005F38C4">
        <w:t>f</w:t>
      </w:r>
      <w:r>
        <w:rPr>
          <w:i/>
          <w:iCs/>
        </w:rPr>
        <w:t xml:space="preserve"> </w:t>
      </w:r>
      <w:r>
        <w:t>‘</w:t>
      </w:r>
      <w:r w:rsidRPr="00063AE9">
        <w:rPr>
          <w:i/>
        </w:rPr>
        <w:t>Wow, dit is echt heel vet!’</w:t>
      </w:r>
      <w:r>
        <w:t xml:space="preserve"> </w:t>
      </w:r>
      <w:r w:rsidRPr="00B12080">
        <w:t>illustreren de mate van enthousiasme en betrokkenheid tijdens de lessen.</w:t>
      </w:r>
    </w:p>
    <w:p w:rsidR="00CF15B7" w:rsidP="00CF15B7" w:rsidRDefault="00CF15B7" w14:paraId="7ACB1838" w14:textId="77777777">
      <w:pPr>
        <w:jc w:val="both"/>
        <w:rPr>
          <w:b/>
          <w:bCs/>
          <w:i/>
          <w:iCs/>
        </w:rPr>
      </w:pPr>
    </w:p>
    <w:p w:rsidRPr="00667D89" w:rsidR="00CF15B7" w:rsidP="00CF15B7" w:rsidRDefault="00CF15B7" w14:paraId="69B08E84" w14:textId="77777777">
      <w:pPr>
        <w:jc w:val="both"/>
        <w:rPr>
          <w:b/>
          <w:bCs/>
          <w:i/>
          <w:iCs/>
        </w:rPr>
      </w:pPr>
      <w:r w:rsidRPr="00667D89">
        <w:rPr>
          <w:b/>
          <w:bCs/>
          <w:i/>
          <w:iCs/>
        </w:rPr>
        <w:t>Samenvattend</w:t>
      </w:r>
    </w:p>
    <w:p w:rsidR="00CF15B7" w:rsidP="00CF15B7" w:rsidRDefault="00CF15B7" w14:paraId="35584A13" w14:textId="77777777">
      <w:pPr>
        <w:jc w:val="both"/>
      </w:pPr>
      <w:r>
        <w:t xml:space="preserve">Er wordt veel aandacht besteed door lesgevenden om de leerlingen ‘aan’ te zetten en een positieve ervaring met techniek te laten beleven. Er is een verschil waarneembaar tussen leerlingen uit het po en leerlingen uit het vo met betrekking tot hun interesseontwikkeling. Leerlingen uit het po zijn expressiever in hun interessevorming dan leerlingen uit het po. Dit wil echter niet zeggen dat de leerlingen in het vo niet geïnteresseerd zijn; sociale aspecten gerelateerd aan de leeftijd lijken hier een rol te spelen. Het is lastig om diepgaande interesseontwikkeling bij de leerlingen te observeren in een enkele les. Bij enkele leerlingen is dit echter wel geobserveerd: Deze leerlingen geven aan buiten school aan de slag te willen gaan met objecten en concepten uit de les. </w:t>
      </w:r>
    </w:p>
    <w:p w:rsidRPr="00AB55B3" w:rsidR="00CF15B7" w:rsidP="00CF15B7" w:rsidRDefault="00CF15B7" w14:paraId="5EE78FE2" w14:textId="77777777">
      <w:pPr>
        <w:jc w:val="both"/>
      </w:pPr>
    </w:p>
    <w:p w:rsidRPr="0095088E" w:rsidR="00CF15B7" w:rsidP="0095088E" w:rsidRDefault="00CF15B7" w14:paraId="171E98DE" w14:textId="5B56DB47">
      <w:pPr>
        <w:pStyle w:val="Kop2"/>
        <w:jc w:val="both"/>
      </w:pPr>
      <w:bookmarkStart w:name="_Toc203573576" w:id="28"/>
      <w:r w:rsidRPr="0095088E">
        <w:t>Overkoepelend beeld</w:t>
      </w:r>
      <w:bookmarkEnd w:id="28"/>
      <w:r w:rsidRPr="0095088E">
        <w:t xml:space="preserve"> </w:t>
      </w:r>
    </w:p>
    <w:p w:rsidRPr="00AC0671" w:rsidR="00A45539" w:rsidP="00F563E8" w:rsidRDefault="00CF15B7" w14:paraId="029E3EEC" w14:textId="3C4ECBD0">
      <w:pPr>
        <w:jc w:val="both"/>
        <w:rPr>
          <w:szCs w:val="18"/>
        </w:rPr>
      </w:pPr>
      <w:r>
        <w:t xml:space="preserve">Het buitenschoolse STO-aanbod lijkt bij te dragen aan het opwekken van interesse in techniek, met name doordat leerlingen op een toegankelijke, praktijkgerichte manier kennismaken met technische en technologische toepassingen. In veel gevallen werd interesse waargenomen, vooral bij leerlingen in het primair onderwijs, die enthousiast en nieuwsgierig reageerden. Het enthousiasme van lesgevenden, de mogelijkheid om tastbare producten te maken en de koppeling met realistische beroepssituaties lijken hierbij ondersteunend te werken. </w:t>
      </w:r>
      <w:r w:rsidR="0028460F">
        <w:t>Ook de drie</w:t>
      </w:r>
      <w:r w:rsidR="0060081E">
        <w:t xml:space="preserve"> basiselementen om motivatie voor techniek bij leerlingen te voeden (autonomie, co</w:t>
      </w:r>
      <w:r w:rsidR="00397033">
        <w:t xml:space="preserve">mpetentie en verbondenheid) waren zichtbaar in de geobserveerde </w:t>
      </w:r>
      <w:r w:rsidR="00812F6F">
        <w:t>lessen.</w:t>
      </w:r>
      <w:r w:rsidR="00397033">
        <w:t xml:space="preserve"> </w:t>
      </w:r>
      <w:r>
        <w:t>Hoewel er niet altijd veel ruimte is voor autonomie van leerlingen, biedt een deel van de lessen wel keuzemogelijkheden of ruimte voor creativiteit. In enkele gevallen werd ook een eerste aanwijzing voor diepere interesseontwikkeling zichtbaar, wanneer leerlingen aangaven ook buiten school verder te willen gaan met wat zij hadden geleerd. Deze bevindingen suggereren dat buitenschoolse activiteiten potentieel een waardevolle rol kunnen spelen in het bevorderen van interesse in techniek.</w:t>
      </w:r>
    </w:p>
    <w:p w:rsidR="0095088E" w:rsidP="00925733" w:rsidRDefault="6096B991" w14:paraId="127C1FC4" w14:textId="04B34450">
      <w:pPr>
        <w:pStyle w:val="Kop1"/>
      </w:pPr>
      <w:bookmarkStart w:name="_Toc203573577" w:id="29"/>
      <w:r>
        <w:lastRenderedPageBreak/>
        <w:t xml:space="preserve">De impact van STO door de ogen van </w:t>
      </w:r>
      <w:r w:rsidR="0095088E">
        <w:t>programmaleiders</w:t>
      </w:r>
      <w:bookmarkEnd w:id="29"/>
    </w:p>
    <w:p w:rsidR="00575F2D" w:rsidP="0095088E" w:rsidRDefault="0095088E" w14:paraId="63B06C72" w14:textId="77777777">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Onder de regionale STO-programmaleiders is in april 2025</w:t>
      </w:r>
      <w:r w:rsidRPr="00283B39" w:rsidR="53D6DFBF">
        <w:rPr>
          <w:rFonts w:ascii="Trebuchet MS" w:hAnsi="Trebuchet MS"/>
          <w:color w:val="auto"/>
          <w:sz w:val="18"/>
          <w:szCs w:val="18"/>
        </w:rPr>
        <w:t xml:space="preserve"> </w:t>
      </w:r>
      <w:r w:rsidRPr="00283B39">
        <w:rPr>
          <w:rFonts w:ascii="Trebuchet MS" w:hAnsi="Trebuchet MS"/>
          <w:color w:val="auto"/>
          <w:sz w:val="18"/>
          <w:szCs w:val="18"/>
        </w:rPr>
        <w:t>een landelijke enquête uitgezet met vragen over hun ervaringen en over wat STO teweeg heeft gebracht. In deze enquête zijn, net als tweemaal eerder (in 2021 en 2024), de programmaleiders bevraagd over hun tevredenheid met betrekking tot de oorspronkelijke plannen, de uitvoering ervan, de verdeling van het budget en de borging van Sterk Techniekonderwijs. Aanvullend zijn in 2025 – aan het eind van de subsidieronde 2020 tot en met 2024 – vragen gesteld over de opbrengsten en impact van STO, de bijdrage aan maatschappelijke vraagstukken, succesfactoren en de onderdelen waar men trots op is, tevreden over is of juist risico’s signaleert.</w:t>
      </w:r>
    </w:p>
    <w:p w:rsidR="0084780B" w:rsidP="0095088E" w:rsidRDefault="0084780B" w14:paraId="78E1BFE3" w14:textId="77777777">
      <w:pPr>
        <w:pStyle w:val="SEOStandaard"/>
        <w:numPr>
          <w:ilvl w:val="0"/>
          <w:numId w:val="0"/>
        </w:numPr>
        <w:rPr>
          <w:rFonts w:ascii="Trebuchet MS" w:hAnsi="Trebuchet MS"/>
          <w:color w:val="auto"/>
          <w:sz w:val="18"/>
          <w:szCs w:val="18"/>
        </w:rPr>
      </w:pPr>
    </w:p>
    <w:p w:rsidRPr="00283B39" w:rsidR="0095088E" w:rsidP="0095088E" w:rsidRDefault="0095088E" w14:paraId="76AE9726" w14:textId="134C8046">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In totaal hebben 48 programmaleiders deelgenomen aan de enquête in 2025. Enkele vragen zijn ook in eerdere jaren gesteld, zodat voor deze indicatoren de landelijke ontwikkeling in de tijd weergeven kan worden. Het aantal observaties bij vergelijkingen over tijd kan verschillen, doordat hierbij enkel gekeken is naar de programmaleiders</w:t>
      </w:r>
      <w:r w:rsidRPr="00283B39" w:rsidR="5A8A659D">
        <w:rPr>
          <w:rFonts w:ascii="Trebuchet MS" w:hAnsi="Trebuchet MS"/>
          <w:color w:val="auto"/>
          <w:sz w:val="18"/>
          <w:szCs w:val="18"/>
        </w:rPr>
        <w:t xml:space="preserve"> van regio's </w:t>
      </w:r>
      <w:r w:rsidRPr="00283B39">
        <w:rPr>
          <w:rFonts w:ascii="Trebuchet MS" w:hAnsi="Trebuchet MS"/>
          <w:color w:val="auto"/>
          <w:sz w:val="18"/>
          <w:szCs w:val="18"/>
        </w:rPr>
        <w:t>die in alle jaren de enquête ingevuld hebben</w:t>
      </w:r>
      <w:r w:rsidRPr="007129C6">
        <w:rPr>
          <w:rStyle w:val="Voetnootmarkering"/>
          <w:rFonts w:ascii="Trebuchet MS" w:hAnsi="Trebuchet MS"/>
          <w:sz w:val="18"/>
          <w:szCs w:val="18"/>
        </w:rPr>
        <w:footnoteReference w:id="4"/>
      </w:r>
      <w:r w:rsidRPr="00283B39">
        <w:rPr>
          <w:rFonts w:ascii="Trebuchet MS" w:hAnsi="Trebuchet MS"/>
          <w:color w:val="auto"/>
          <w:sz w:val="18"/>
          <w:szCs w:val="18"/>
        </w:rPr>
        <w:t xml:space="preserve">. </w:t>
      </w:r>
    </w:p>
    <w:p w:rsidRPr="00283B39" w:rsidR="0095088E" w:rsidP="0095088E" w:rsidRDefault="0095088E" w14:paraId="430E2E1F" w14:textId="77777777">
      <w:pPr>
        <w:pStyle w:val="SEOStandaard"/>
        <w:rPr>
          <w:rFonts w:ascii="Trebuchet MS" w:hAnsi="Trebuchet MS"/>
          <w:color w:val="auto"/>
          <w:sz w:val="18"/>
          <w:szCs w:val="18"/>
        </w:rPr>
      </w:pPr>
    </w:p>
    <w:p w:rsidRPr="00283B39" w:rsidR="0095088E" w:rsidP="0095088E" w:rsidRDefault="0095088E" w14:paraId="120C3A93" w14:textId="751C878E">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 xml:space="preserve">Om verdere diepgang te geven, zijn er in de resultaten en uitsplitsing gemaakt. Deze betreft de wijze van de verdeling van middelen. Hierbij is een onderscheid gemaakt tussen regio’s waarbij het (merendeel van het) budget volgens een sleutel wordt verdeeld over scholen (verdeelsleutelmiddelen) (N=28) versus regio’s waarbij het (merendeel van het) budget regionaal wordt beheerd en het voor scholen via een projectaanvraag beschikbaar is (regionaal beheer) (N=20). Indien interessante verschillen zichtbaar zijn binnen deze uitsplitsingen, worden deze beschreven in de hoofdtekst; de tabellen zijn gepresenteerd in </w:t>
      </w:r>
      <w:r w:rsidR="0031059B">
        <w:rPr>
          <w:rFonts w:ascii="Trebuchet MS" w:hAnsi="Trebuchet MS"/>
          <w:color w:val="auto"/>
          <w:sz w:val="18"/>
          <w:szCs w:val="18"/>
        </w:rPr>
        <w:t>B</w:t>
      </w:r>
      <w:r w:rsidRPr="00283B39">
        <w:rPr>
          <w:rFonts w:ascii="Trebuchet MS" w:hAnsi="Trebuchet MS"/>
          <w:color w:val="auto"/>
          <w:sz w:val="18"/>
          <w:szCs w:val="18"/>
        </w:rPr>
        <w:t>ijlage</w:t>
      </w:r>
      <w:r w:rsidR="0031059B">
        <w:rPr>
          <w:rFonts w:ascii="Trebuchet MS" w:hAnsi="Trebuchet MS"/>
          <w:color w:val="auto"/>
          <w:sz w:val="18"/>
          <w:szCs w:val="18"/>
        </w:rPr>
        <w:t xml:space="preserve"> 1</w:t>
      </w:r>
      <w:r w:rsidRPr="00283B39">
        <w:rPr>
          <w:rFonts w:ascii="Trebuchet MS" w:hAnsi="Trebuchet MS"/>
          <w:color w:val="auto"/>
          <w:sz w:val="18"/>
          <w:szCs w:val="18"/>
        </w:rPr>
        <w:t>. Daarbij moet opgemerkt worden dat dit met enige terughoudendheid moet worden geïnterpreteerd vanwege het relatief lage aantal programmaleiders in deze uitsplitsingen.</w:t>
      </w:r>
    </w:p>
    <w:p w:rsidRPr="007129C6" w:rsidR="0095088E" w:rsidP="0095088E" w:rsidRDefault="0095088E" w14:paraId="6BECA56B" w14:textId="77777777">
      <w:pPr>
        <w:pStyle w:val="SEOStandaard"/>
        <w:numPr>
          <w:ilvl w:val="0"/>
          <w:numId w:val="0"/>
        </w:numPr>
        <w:rPr>
          <w:rFonts w:ascii="Trebuchet MS" w:hAnsi="Trebuchet MS"/>
          <w:sz w:val="18"/>
          <w:szCs w:val="18"/>
        </w:rPr>
      </w:pPr>
    </w:p>
    <w:p w:rsidRPr="007129C6" w:rsidR="0095088E" w:rsidP="007A5C4E" w:rsidRDefault="0095088E" w14:paraId="7A2FCEAC" w14:textId="48F424E3">
      <w:pPr>
        <w:pStyle w:val="Kop2"/>
      </w:pPr>
      <w:bookmarkStart w:name="_Toc199166860" w:id="30"/>
      <w:bookmarkStart w:name="_Toc203573578" w:id="31"/>
      <w:r w:rsidRPr="007129C6">
        <w:t>Tevredenheid over de voortgang STO</w:t>
      </w:r>
      <w:bookmarkEnd w:id="30"/>
      <w:bookmarkEnd w:id="31"/>
    </w:p>
    <w:p w:rsidRPr="00283B39" w:rsidR="007C10E4" w:rsidP="007C10E4" w:rsidRDefault="0095088E" w14:paraId="061B1527" w14:textId="77777777">
      <w:pPr>
        <w:pStyle w:val="SEOStandaard"/>
        <w:rPr>
          <w:rFonts w:ascii="Trebuchet MS" w:hAnsi="Trebuchet MS"/>
          <w:color w:val="auto"/>
          <w:sz w:val="18"/>
          <w:szCs w:val="18"/>
        </w:rPr>
      </w:pPr>
      <w:r w:rsidRPr="00283B39">
        <w:rPr>
          <w:rFonts w:ascii="Trebuchet MS" w:hAnsi="Trebuchet MS"/>
          <w:color w:val="auto"/>
          <w:sz w:val="18"/>
          <w:szCs w:val="18"/>
        </w:rPr>
        <w:t xml:space="preserve">Aan de programmaleiders is een vraag gesteld over de verdeling van middelen binnen de regio. Figuur </w:t>
      </w:r>
      <w:r w:rsidR="00575F2D">
        <w:rPr>
          <w:rFonts w:ascii="Trebuchet MS" w:hAnsi="Trebuchet MS"/>
          <w:color w:val="auto"/>
          <w:sz w:val="18"/>
          <w:szCs w:val="18"/>
        </w:rPr>
        <w:t>4</w:t>
      </w:r>
      <w:r w:rsidRPr="00283B39">
        <w:rPr>
          <w:rFonts w:ascii="Trebuchet MS" w:hAnsi="Trebuchet MS"/>
          <w:color w:val="auto"/>
          <w:sz w:val="18"/>
          <w:szCs w:val="18"/>
        </w:rPr>
        <w:t>.</w:t>
      </w:r>
      <w:r w:rsidR="00575F2D">
        <w:rPr>
          <w:rFonts w:ascii="Trebuchet MS" w:hAnsi="Trebuchet MS"/>
          <w:color w:val="auto"/>
          <w:sz w:val="18"/>
          <w:szCs w:val="18"/>
        </w:rPr>
        <w:t>1</w:t>
      </w:r>
      <w:r w:rsidRPr="00283B39">
        <w:rPr>
          <w:rFonts w:ascii="Trebuchet MS" w:hAnsi="Trebuchet MS"/>
          <w:color w:val="auto"/>
          <w:sz w:val="18"/>
          <w:szCs w:val="18"/>
        </w:rPr>
        <w:t xml:space="preserve"> laat deze verdeling zien voor alle regio’s. </w:t>
      </w:r>
      <w:r w:rsidRPr="00283B39" w:rsidR="007C10E4">
        <w:rPr>
          <w:rFonts w:ascii="Trebuchet MS" w:hAnsi="Trebuchet MS"/>
          <w:color w:val="auto"/>
          <w:sz w:val="18"/>
          <w:szCs w:val="18"/>
        </w:rPr>
        <w:t xml:space="preserve">De meeste regio’s (6 op de 10) verdelen het merendeel van de middelen volgens een sleutel over de scholen. Regionaal beheer komt iets minder vaak voor (4 op de 10). </w:t>
      </w:r>
    </w:p>
    <w:p w:rsidRPr="00B24295" w:rsidR="00B24295" w:rsidP="00B24295" w:rsidRDefault="00B24295" w14:paraId="22E5B4BC" w14:textId="77777777">
      <w:pPr>
        <w:pStyle w:val="SEOStandaard"/>
      </w:pPr>
    </w:p>
    <w:p w:rsidRPr="00283B39" w:rsidR="0095088E" w:rsidP="00283B39" w:rsidRDefault="00575F2D" w14:paraId="450D8CAA" w14:textId="35D4DA59">
      <w:pPr>
        <w:pStyle w:val="Figuur"/>
        <w:rPr>
          <w:rFonts w:ascii="Trebuchet MS" w:hAnsi="Trebuchet MS"/>
          <w:i/>
          <w:sz w:val="18"/>
          <w:szCs w:val="18"/>
        </w:rPr>
      </w:pPr>
      <w:r w:rsidRPr="00575F2D">
        <w:rPr>
          <w:rFonts w:ascii="Trebuchet MS" w:hAnsi="Trebuchet MS" w:eastAsiaTheme="minorEastAsia" w:cstheme="minorBidi"/>
          <w:i/>
          <w:iCs/>
          <w:noProof w:val="0"/>
          <w:sz w:val="18"/>
          <w:szCs w:val="18"/>
          <w:lang w:eastAsia="en-US"/>
        </w:rPr>
        <w:t xml:space="preserve">Figuur 4.1 </w:t>
      </w:r>
      <w:r w:rsidRPr="00283B39" w:rsidR="0095088E">
        <w:rPr>
          <w:rFonts w:ascii="Trebuchet MS" w:hAnsi="Trebuchet MS" w:eastAsiaTheme="minorEastAsia" w:cstheme="minorBidi"/>
          <w:i/>
          <w:iCs/>
          <w:noProof w:val="0"/>
          <w:sz w:val="18"/>
          <w:szCs w:val="18"/>
          <w:lang w:eastAsia="en-US"/>
        </w:rPr>
        <w:t>In zes op de tien regio’s worden de STO-middelen (grotendeels) via een verdeelsleutel verdeeld</w:t>
      </w:r>
    </w:p>
    <w:p w:rsidRPr="00283B39" w:rsidR="0095088E" w:rsidP="0095088E" w:rsidRDefault="0095088E" w14:paraId="53108162" w14:textId="63C0D028">
      <w:pPr>
        <w:pStyle w:val="SEOStandaard"/>
        <w:numPr>
          <w:ilvl w:val="0"/>
          <w:numId w:val="0"/>
        </w:numPr>
        <w:rPr>
          <w:rFonts w:ascii="Trebuchet MS" w:hAnsi="Trebuchet MS"/>
          <w:color w:val="auto"/>
          <w:sz w:val="18"/>
          <w:szCs w:val="18"/>
        </w:rPr>
      </w:pPr>
      <w:r w:rsidRPr="007129C6">
        <w:rPr>
          <w:noProof/>
          <w:szCs w:val="18"/>
        </w:rPr>
        <w:drawing>
          <wp:inline distT="0" distB="0" distL="0" distR="0" wp14:anchorId="56C6CCFF" wp14:editId="63217B4E">
            <wp:extent cx="5940000" cy="1620000"/>
            <wp:effectExtent l="0" t="0" r="3810" b="18415"/>
            <wp:docPr id="1629406842" name="Grafiek 1">
              <a:extLst xmlns:a="http://schemas.openxmlformats.org/drawingml/2006/main">
                <a:ext uri="{FF2B5EF4-FFF2-40B4-BE49-F238E27FC236}">
                  <a16:creationId xmlns:a16="http://schemas.microsoft.com/office/drawing/2014/main" id="{F08F570B-062A-E54D-D426-479CD1C890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283B39">
        <w:rPr>
          <w:rFonts w:ascii="Trebuchet MS" w:hAnsi="Trebuchet MS"/>
          <w:color w:val="auto"/>
          <w:sz w:val="18"/>
          <w:szCs w:val="18"/>
        </w:rPr>
        <w:t xml:space="preserve">Bron: Enquête programmaleiders STO (april 2025). </w:t>
      </w:r>
    </w:p>
    <w:p w:rsidRPr="00283B39" w:rsidR="0095088E" w:rsidP="00283B39" w:rsidRDefault="0095088E" w14:paraId="62802CD8" w14:textId="76FE7AF3">
      <w:pPr>
        <w:pStyle w:val="SEOStandaard"/>
        <w:numPr>
          <w:ilvl w:val="0"/>
          <w:numId w:val="0"/>
        </w:numPr>
        <w:rPr>
          <w:rFonts w:ascii="Trebuchet MS" w:hAnsi="Trebuchet MS"/>
          <w:color w:val="auto"/>
          <w:sz w:val="18"/>
          <w:szCs w:val="18"/>
        </w:rPr>
      </w:pPr>
    </w:p>
    <w:p w:rsidRPr="00575F2D" w:rsidR="00575F2D" w:rsidP="0095088E" w:rsidRDefault="0095088E" w14:paraId="73F13BCF" w14:textId="77777777">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 xml:space="preserve">Er is vervolgens een open vraag gesteld aan de programmaleiders naar de voor- en nadelen van de wijze van de verdeling van het budget. Blijkens de antwoorden heeft de verdeling over scholen een aantal voordelen. Het zorgt voor transparantie, duidelijkheid en eerlijkheid over de toewijzing van middelen, waardoor betrokken scholen weten waar ze aan toe zijn en effectief kunnen plannen. Het bevordert draagvlak, voorkomt discussies over geld en maakt </w:t>
      </w:r>
      <w:r w:rsidRPr="00283B39">
        <w:rPr>
          <w:rFonts w:ascii="Trebuchet MS" w:hAnsi="Trebuchet MS"/>
          <w:color w:val="auto"/>
          <w:sz w:val="18"/>
          <w:szCs w:val="18"/>
        </w:rPr>
        <w:lastRenderedPageBreak/>
        <w:t>gerichte en verantwoorde inzet van budgetten mogelijk. Aan de andere kant kan een verdeelsleutel samenwerking en innovatie belemmeren, doordat middelen per school zijn vastgelegd waardoor scholen minder gestimuleerd worden om gezamenlijk op te trekken of te innoveren. Daarnaast kan het de flexibiliteit beperken en is het lastig om middelen situationeel te herverdelen of bij te sturen op basis van veranderende omstandigheden.</w:t>
      </w:r>
    </w:p>
    <w:p w:rsidRPr="00575F2D" w:rsidR="00575F2D" w:rsidP="0095088E" w:rsidRDefault="00575F2D" w14:paraId="4339FD40" w14:textId="77777777">
      <w:pPr>
        <w:pStyle w:val="SEOStandaard"/>
        <w:numPr>
          <w:ilvl w:val="0"/>
          <w:numId w:val="0"/>
        </w:numPr>
        <w:rPr>
          <w:rFonts w:ascii="Trebuchet MS" w:hAnsi="Trebuchet MS"/>
          <w:color w:val="auto"/>
          <w:sz w:val="18"/>
          <w:szCs w:val="18"/>
        </w:rPr>
      </w:pPr>
    </w:p>
    <w:p w:rsidR="004E20F2" w:rsidP="0095088E" w:rsidRDefault="0095088E" w14:paraId="6C6DB197" w14:textId="5D65C410">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Programmaleiders waarbij de middelen in regionaal beheer zijn, geven aan dat dit samenwerking, eigenaarschap en samenhang bevordert doordat middelen worden toegekend op basis van gezamenlijke plannen en doelen, wat zorgt voor een gerichte en transparante inzet van budgetten. Deze aanpak maakt het mogelijk om centraal te sturen, initiatieven efficiënter te realiseren en kwaliteit en voortgang goed te monitoren. Regionaal beheer kan echter leiden tot minder eigenaarschap bij individuele scholen en een lagere motivatie als het directe schoolbelang niet duidelijk zichtbaar is. Daarnaast kan het proces trager en complexer worden door centrale coördinatie. Ook bij deze verdeling van middelen wordt het risico ervaren dat niet flexibel geschakeld kan worden.</w:t>
      </w:r>
    </w:p>
    <w:p w:rsidR="004E20F2" w:rsidP="0095088E" w:rsidRDefault="004E20F2" w14:paraId="5E4CC3E5" w14:textId="77777777">
      <w:pPr>
        <w:pStyle w:val="SEOStandaard"/>
        <w:numPr>
          <w:ilvl w:val="0"/>
          <w:numId w:val="0"/>
        </w:numPr>
        <w:rPr>
          <w:rFonts w:ascii="Trebuchet MS" w:hAnsi="Trebuchet MS"/>
          <w:color w:val="auto"/>
          <w:sz w:val="18"/>
          <w:szCs w:val="18"/>
        </w:rPr>
      </w:pPr>
    </w:p>
    <w:p w:rsidR="00575F2D" w:rsidP="003A392B" w:rsidRDefault="0095088E" w14:paraId="73B51D9C" w14:textId="76B4574B">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 xml:space="preserve">In de enquête is vanwege het aflopen van de subsidieronde 2020 t/m -2023 en het verlengingsjaar 2024 gevraagd naar de tevredenheid van programmaleiders over de realisatie van de oorspronkelijke plannen (zie figuur </w:t>
      </w:r>
      <w:r w:rsidR="00E15635">
        <w:rPr>
          <w:rFonts w:ascii="Trebuchet MS" w:hAnsi="Trebuchet MS"/>
          <w:color w:val="auto"/>
          <w:sz w:val="18"/>
          <w:szCs w:val="18"/>
        </w:rPr>
        <w:t>4</w:t>
      </w:r>
      <w:r w:rsidRPr="00283B39">
        <w:rPr>
          <w:rFonts w:ascii="Trebuchet MS" w:hAnsi="Trebuchet MS"/>
          <w:color w:val="auto"/>
          <w:sz w:val="18"/>
          <w:szCs w:val="18"/>
        </w:rPr>
        <w:t>.</w:t>
      </w:r>
      <w:r w:rsidR="00E15635">
        <w:rPr>
          <w:rFonts w:ascii="Trebuchet MS" w:hAnsi="Trebuchet MS"/>
          <w:color w:val="auto"/>
          <w:sz w:val="18"/>
          <w:szCs w:val="18"/>
        </w:rPr>
        <w:t>2</w:t>
      </w:r>
      <w:r w:rsidRPr="00283B39">
        <w:rPr>
          <w:rFonts w:ascii="Trebuchet MS" w:hAnsi="Trebuchet MS"/>
          <w:color w:val="auto"/>
          <w:sz w:val="18"/>
          <w:szCs w:val="18"/>
        </w:rPr>
        <w:t xml:space="preserve">). </w:t>
      </w:r>
      <w:bookmarkStart w:name="_Hlk198632622" w:id="32"/>
    </w:p>
    <w:p w:rsidRPr="00575F2D" w:rsidR="003A392B" w:rsidP="003A392B" w:rsidRDefault="003A392B" w14:paraId="40C86821" w14:textId="77777777">
      <w:pPr>
        <w:pStyle w:val="SEOStandaard"/>
        <w:numPr>
          <w:ilvl w:val="0"/>
          <w:numId w:val="0"/>
        </w:numPr>
        <w:rPr>
          <w:rFonts w:ascii="Trebuchet MS" w:hAnsi="Trebuchet MS"/>
          <w:sz w:val="18"/>
          <w:szCs w:val="18"/>
        </w:rPr>
      </w:pPr>
    </w:p>
    <w:p w:rsidRPr="00E35319" w:rsidR="0095088E" w:rsidP="00283B39" w:rsidRDefault="00575F2D" w14:paraId="063DE947" w14:textId="1DF747A2">
      <w:pPr>
        <w:pStyle w:val="Figuur"/>
        <w:rPr>
          <w:rFonts w:ascii="Trebuchet MS" w:hAnsi="Trebuchet MS"/>
          <w:i/>
          <w:sz w:val="18"/>
          <w:szCs w:val="18"/>
        </w:rPr>
      </w:pPr>
      <w:r w:rsidRPr="00E15635">
        <w:rPr>
          <w:rFonts w:ascii="Trebuchet MS" w:hAnsi="Trebuchet MS" w:eastAsiaTheme="minorEastAsia" w:cstheme="minorBidi"/>
          <w:i/>
          <w:iCs/>
          <w:noProof w:val="0"/>
          <w:sz w:val="18"/>
          <w:szCs w:val="18"/>
          <w:lang w:eastAsia="en-US"/>
        </w:rPr>
        <w:t xml:space="preserve">Figuur 4.2. </w:t>
      </w:r>
      <w:r w:rsidRPr="00283B39" w:rsidR="0095088E">
        <w:rPr>
          <w:rFonts w:ascii="Trebuchet MS" w:hAnsi="Trebuchet MS" w:eastAsiaTheme="minorEastAsia" w:cstheme="minorBidi"/>
          <w:i/>
          <w:iCs/>
          <w:noProof w:val="0"/>
          <w:sz w:val="18"/>
          <w:szCs w:val="18"/>
          <w:lang w:eastAsia="en-US"/>
        </w:rPr>
        <w:t>Tevredenheid programmaleiders over waar de regio eind 2024 staat</w:t>
      </w:r>
    </w:p>
    <w:bookmarkEnd w:id="32"/>
    <w:p w:rsidRPr="007129C6" w:rsidR="0095088E" w:rsidP="0095088E" w:rsidRDefault="0095088E" w14:paraId="102B0929" w14:textId="07899B43">
      <w:pPr>
        <w:pStyle w:val="SEOStandaard"/>
        <w:numPr>
          <w:ilvl w:val="0"/>
          <w:numId w:val="0"/>
        </w:numPr>
        <w:rPr>
          <w:rFonts w:ascii="Trebuchet MS" w:hAnsi="Trebuchet MS"/>
          <w:sz w:val="18"/>
          <w:szCs w:val="18"/>
        </w:rPr>
      </w:pPr>
      <w:r w:rsidRPr="007129C6">
        <w:rPr>
          <w:noProof/>
          <w:szCs w:val="18"/>
        </w:rPr>
        <w:drawing>
          <wp:inline distT="0" distB="0" distL="0" distR="0" wp14:anchorId="2DA10044" wp14:editId="01E6623C">
            <wp:extent cx="5940000" cy="1800000"/>
            <wp:effectExtent l="0" t="0" r="3810" b="10160"/>
            <wp:docPr id="1379023509" name="Grafiek 1">
              <a:extLst xmlns:a="http://schemas.openxmlformats.org/drawingml/2006/main">
                <a:ext uri="{FF2B5EF4-FFF2-40B4-BE49-F238E27FC236}">
                  <a16:creationId xmlns:a16="http://schemas.microsoft.com/office/drawing/2014/main" id="{F26CC61F-3E0E-82EE-BCA2-BED3627F2E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Pr="00283B39" w:rsidR="0095088E" w:rsidP="00283B39" w:rsidRDefault="00E15635" w14:paraId="5E0B1E7E" w14:textId="4FC577C6">
      <w:pPr>
        <w:pStyle w:val="SEOBron"/>
        <w:numPr>
          <w:ilvl w:val="0"/>
          <w:numId w:val="0"/>
        </w:numPr>
        <w:rPr>
          <w:rFonts w:ascii="Trebuchet MS" w:hAnsi="Trebuchet MS"/>
          <w:color w:val="auto"/>
          <w:szCs w:val="18"/>
        </w:rPr>
      </w:pPr>
      <w:bookmarkStart w:name="_Hlk198633804" w:id="33"/>
      <w:r w:rsidRPr="00E15635">
        <w:rPr>
          <w:rFonts w:ascii="Trebuchet MS" w:hAnsi="Trebuchet MS"/>
          <w:color w:val="auto"/>
          <w:szCs w:val="18"/>
        </w:rPr>
        <w:t xml:space="preserve">Bron: </w:t>
      </w:r>
      <w:r w:rsidRPr="00283B39" w:rsidR="0095088E">
        <w:rPr>
          <w:rFonts w:ascii="Trebuchet MS" w:hAnsi="Trebuchet MS"/>
          <w:color w:val="auto"/>
          <w:szCs w:val="18"/>
        </w:rPr>
        <w:t xml:space="preserve">Enquête programmaleiders STO (april 2025). </w:t>
      </w:r>
    </w:p>
    <w:bookmarkEnd w:id="33"/>
    <w:p w:rsidRPr="00283B39" w:rsidR="003A392B" w:rsidP="003A392B" w:rsidRDefault="003A392B" w14:paraId="0ADB9CF3" w14:textId="77777777">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Negen van de tien programmaleiders is tevreden over waar hun regio eind 2024 stond ten opzichte van het oorspronkelijke plan en bijna een kwart is zelfs zeer tevreden. Opmerkelijk is vooral dat de tevredenheid minder vaak aanwezig is bij programmaleiders met verdeelsleutelmiddelen (</w:t>
      </w:r>
      <w:r>
        <w:rPr>
          <w:rFonts w:ascii="Trebuchet MS" w:hAnsi="Trebuchet MS"/>
          <w:color w:val="auto"/>
          <w:sz w:val="18"/>
          <w:szCs w:val="18"/>
        </w:rPr>
        <w:t>86</w:t>
      </w:r>
      <w:r w:rsidRPr="00283B39">
        <w:rPr>
          <w:rFonts w:ascii="Trebuchet MS" w:hAnsi="Trebuchet MS"/>
          <w:color w:val="auto"/>
          <w:sz w:val="18"/>
          <w:szCs w:val="18"/>
        </w:rPr>
        <w:t xml:space="preserve"> procent) dan bij programmaleiders in regio’s die de STO-middelen regionaal beheren (95 procent) (Bijlage 1</w:t>
      </w:r>
      <w:r>
        <w:rPr>
          <w:rFonts w:ascii="Trebuchet MS" w:hAnsi="Trebuchet MS"/>
          <w:color w:val="auto"/>
          <w:sz w:val="18"/>
          <w:szCs w:val="18"/>
        </w:rPr>
        <w:t>, tabel B1.1</w:t>
      </w:r>
      <w:r w:rsidRPr="00283B39">
        <w:rPr>
          <w:rFonts w:ascii="Trebuchet MS" w:hAnsi="Trebuchet MS"/>
          <w:color w:val="auto"/>
          <w:sz w:val="18"/>
          <w:szCs w:val="18"/>
        </w:rPr>
        <w:t>)</w:t>
      </w:r>
      <w:r>
        <w:rPr>
          <w:rFonts w:ascii="Trebuchet MS" w:hAnsi="Trebuchet MS"/>
          <w:color w:val="auto"/>
          <w:sz w:val="18"/>
          <w:szCs w:val="18"/>
        </w:rPr>
        <w:t xml:space="preserve"> Wellicht betekent dit dat het regionaal beheer van middelen iets gunstiger uitpakt dan de verdeelsleutel.</w:t>
      </w:r>
      <w:r w:rsidRPr="00283B39">
        <w:rPr>
          <w:rFonts w:ascii="Trebuchet MS" w:hAnsi="Trebuchet MS"/>
          <w:color w:val="auto"/>
          <w:sz w:val="18"/>
          <w:szCs w:val="18"/>
        </w:rPr>
        <w:t xml:space="preserve"> </w:t>
      </w:r>
    </w:p>
    <w:p w:rsidR="00D06DB8" w:rsidP="00283B39" w:rsidRDefault="00D06DB8" w14:paraId="3510D519" w14:textId="77777777">
      <w:pPr>
        <w:pStyle w:val="Bron"/>
        <w:ind w:left="0" w:firstLine="0"/>
        <w:rPr>
          <w:rFonts w:eastAsiaTheme="minorEastAsia" w:cstheme="minorBidi"/>
          <w:color w:val="auto"/>
          <w:sz w:val="18"/>
          <w:szCs w:val="18"/>
          <w:lang w:eastAsia="en-US"/>
        </w:rPr>
      </w:pPr>
    </w:p>
    <w:p w:rsidR="003C58E0" w:rsidP="00283B39" w:rsidRDefault="0095088E" w14:paraId="5F18F269" w14:textId="63E3CBDD">
      <w:pPr>
        <w:pStyle w:val="Bron"/>
        <w:ind w:left="0" w:firstLine="0"/>
        <w:rPr>
          <w:rFonts w:eastAsiaTheme="minorEastAsia" w:cstheme="minorBidi"/>
          <w:color w:val="auto"/>
          <w:sz w:val="18"/>
          <w:szCs w:val="18"/>
          <w:lang w:eastAsia="en-US"/>
        </w:rPr>
      </w:pPr>
      <w:r w:rsidRPr="00E15635">
        <w:rPr>
          <w:rFonts w:eastAsiaTheme="minorEastAsia" w:cstheme="minorBidi"/>
          <w:color w:val="auto"/>
          <w:sz w:val="18"/>
          <w:szCs w:val="18"/>
          <w:lang w:eastAsia="en-US"/>
        </w:rPr>
        <w:t xml:space="preserve">Tabel </w:t>
      </w:r>
      <w:r w:rsidR="00E15635">
        <w:rPr>
          <w:rFonts w:eastAsiaTheme="minorEastAsia" w:cstheme="minorBidi"/>
          <w:color w:val="auto"/>
          <w:sz w:val="18"/>
          <w:szCs w:val="18"/>
          <w:lang w:eastAsia="en-US"/>
        </w:rPr>
        <w:t>4</w:t>
      </w:r>
      <w:r w:rsidRPr="00E15635">
        <w:rPr>
          <w:rFonts w:eastAsiaTheme="minorEastAsia" w:cstheme="minorBidi"/>
          <w:color w:val="auto"/>
          <w:sz w:val="18"/>
          <w:szCs w:val="18"/>
          <w:lang w:eastAsia="en-US"/>
        </w:rPr>
        <w:t>.1 toont de tevredenheid van programmaleiders voor de jaren 2021, 2024 en 2025. Hierbij wordt alleen gekeken naar de programmaleiders die in al deze jaren de enquête hebben ingevuld (N=29).</w:t>
      </w:r>
    </w:p>
    <w:p w:rsidRPr="00283B39" w:rsidR="00D06DB8" w:rsidP="00D06DB8" w:rsidRDefault="00D06DB8" w14:paraId="2CA53F89" w14:textId="77777777">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 xml:space="preserve">Het merendeel van deze regio’s die driemaal hebben deelgenomen aan de enquête </w:t>
      </w:r>
      <w:r>
        <w:rPr>
          <w:rFonts w:ascii="Trebuchet MS" w:hAnsi="Trebuchet MS"/>
          <w:color w:val="auto"/>
          <w:sz w:val="18"/>
          <w:szCs w:val="18"/>
        </w:rPr>
        <w:t xml:space="preserve">(N = 29) </w:t>
      </w:r>
      <w:r w:rsidRPr="00283B39">
        <w:rPr>
          <w:rFonts w:ascii="Trebuchet MS" w:hAnsi="Trebuchet MS"/>
          <w:color w:val="auto"/>
          <w:sz w:val="18"/>
          <w:szCs w:val="18"/>
        </w:rPr>
        <w:t xml:space="preserve">was en is tevreden over de voortgang van STO. Ook is zichtbaar dat over de hele periode bezien (van 2021-2025) de tevredenheid lijkt te zijn toegenomen (van 72 naar 90 procent (zeer) tevreden), hoewel dit verschil met deze aantallen niet statistisch significant is. Ook valt op dat in 2021 één regio’s zeer ontevreden is, in 2024 geen enkele regio zeer ontevreden is, en in 2025 toch weer twee regio’s zeer ontevreden zijn.  De resultaten geven aan dat blijkbaar in enkele regio’s het oordeel over de voortgang van STO in een jaar tijd kan omslaan van neutraal of tevreden naar zeer ontevreden. Hoewel we dit niet met zekerheid kunnen zeggen, zou zo’n verandering in oordeel ook te maken kunnen hebben met een wisseling van de programmaleider. </w:t>
      </w:r>
    </w:p>
    <w:p w:rsidR="00D06DB8" w:rsidP="00D06DB8" w:rsidRDefault="00D06DB8" w14:paraId="75FE37A9" w14:textId="77777777">
      <w:pPr>
        <w:rPr>
          <w:lang w:eastAsia="en-US"/>
        </w:rPr>
      </w:pPr>
    </w:p>
    <w:p w:rsidRPr="00D06DB8" w:rsidR="00D06DB8" w:rsidP="00D06DB8" w:rsidRDefault="00D06DB8" w14:paraId="76A91FA6" w14:textId="77777777">
      <w:pPr>
        <w:rPr>
          <w:lang w:eastAsia="en-US"/>
        </w:rPr>
      </w:pPr>
    </w:p>
    <w:p w:rsidRPr="00283B39" w:rsidR="0095088E" w:rsidP="00283B39" w:rsidRDefault="00E15635" w14:paraId="1C3EF3D3" w14:textId="353D2147">
      <w:pPr>
        <w:pStyle w:val="Figuur"/>
        <w:rPr>
          <w:rFonts w:ascii="Trebuchet MS" w:hAnsi="Trebuchet MS"/>
          <w:i/>
          <w:sz w:val="18"/>
          <w:szCs w:val="18"/>
        </w:rPr>
      </w:pPr>
      <w:r>
        <w:rPr>
          <w:rFonts w:ascii="Trebuchet MS" w:hAnsi="Trebuchet MS" w:eastAsiaTheme="minorEastAsia" w:cstheme="minorBidi"/>
          <w:i/>
          <w:iCs/>
          <w:noProof w:val="0"/>
          <w:sz w:val="18"/>
          <w:szCs w:val="18"/>
          <w:lang w:eastAsia="en-US"/>
        </w:rPr>
        <w:lastRenderedPageBreak/>
        <w:t xml:space="preserve">Tabel 4.1. </w:t>
      </w:r>
      <w:r w:rsidRPr="00283B39" w:rsidR="0095088E">
        <w:rPr>
          <w:rFonts w:ascii="Trebuchet MS" w:hAnsi="Trebuchet MS" w:eastAsiaTheme="minorEastAsia" w:cstheme="minorBidi"/>
          <w:i/>
          <w:iCs/>
          <w:noProof w:val="0"/>
          <w:sz w:val="18"/>
          <w:szCs w:val="18"/>
          <w:lang w:eastAsia="en-US"/>
        </w:rPr>
        <w:t>Tevredenheid programmaleiders voor de jaren 2021, 2024 en 2025</w:t>
      </w:r>
    </w:p>
    <w:tbl>
      <w:tblPr>
        <w:tblStyle w:val="SEOTabel2"/>
        <w:tblW w:w="0" w:type="auto"/>
        <w:tblLayout w:type="fixed"/>
        <w:tblCellMar>
          <w:top w:w="28" w:type="dxa"/>
          <w:left w:w="28" w:type="dxa"/>
          <w:bottom w:w="28" w:type="dxa"/>
          <w:right w:w="28" w:type="dxa"/>
        </w:tblCellMar>
        <w:tblLook w:val="04A0" w:firstRow="1" w:lastRow="0" w:firstColumn="1" w:lastColumn="0" w:noHBand="0" w:noVBand="1"/>
      </w:tblPr>
      <w:tblGrid>
        <w:gridCol w:w="6126"/>
        <w:gridCol w:w="1078"/>
        <w:gridCol w:w="1078"/>
        <w:gridCol w:w="1078"/>
      </w:tblGrid>
      <w:tr w:rsidRPr="007129C6" w:rsidR="0095088E" w:rsidTr="00D06DB8" w14:paraId="4B55090C" w14:textId="46E41E3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26" w:type="dxa"/>
            <w:noWrap/>
            <w:hideMark/>
          </w:tcPr>
          <w:p w:rsidRPr="007129C6" w:rsidR="0095088E" w:rsidP="0095088E" w:rsidRDefault="0095088E" w14:paraId="361CB97F" w14:textId="007EFD8D">
            <w:pPr>
              <w:pStyle w:val="SEOStandaard"/>
              <w:spacing w:line="240" w:lineRule="auto"/>
              <w:jc w:val="left"/>
              <w:rPr>
                <w:rFonts w:ascii="Trebuchet MS" w:hAnsi="Trebuchet MS"/>
                <w:b w:val="0"/>
                <w:bCs/>
                <w:color w:val="FFFFFF" w:themeColor="background1"/>
                <w:sz w:val="18"/>
                <w:szCs w:val="18"/>
              </w:rPr>
            </w:pPr>
            <w:r w:rsidRPr="007129C6">
              <w:rPr>
                <w:rFonts w:ascii="Trebuchet MS" w:hAnsi="Trebuchet MS"/>
                <w:bCs/>
                <w:color w:val="FFFFFF" w:themeColor="background1"/>
                <w:sz w:val="18"/>
                <w:szCs w:val="18"/>
              </w:rPr>
              <w:t>Hoe tevreden bent u met waar uw regio eind 2024 stond ten opzichte van het oorspronkelijke plan? (</w:t>
            </w:r>
            <w:r w:rsidRPr="007129C6">
              <w:rPr>
                <w:rFonts w:ascii="Trebuchet MS" w:hAnsi="Trebuchet MS"/>
                <w:b w:val="0"/>
                <w:bCs/>
                <w:color w:val="FFFFFF" w:themeColor="background1"/>
                <w:sz w:val="18"/>
                <w:szCs w:val="18"/>
              </w:rPr>
              <w:t>N</w:t>
            </w:r>
            <w:r w:rsidRPr="007129C6">
              <w:rPr>
                <w:rFonts w:ascii="Trebuchet MS" w:hAnsi="Trebuchet MS"/>
                <w:bCs/>
                <w:color w:val="FFFFFF" w:themeColor="background1"/>
                <w:sz w:val="18"/>
                <w:szCs w:val="18"/>
              </w:rPr>
              <w:t>=29)</w:t>
            </w:r>
          </w:p>
        </w:tc>
        <w:tc>
          <w:tcPr>
            <w:tcW w:w="1078" w:type="dxa"/>
            <w:noWrap/>
            <w:vAlign w:val="center"/>
            <w:hideMark/>
          </w:tcPr>
          <w:p w:rsidRPr="007129C6" w:rsidR="0095088E" w:rsidP="000C693F" w:rsidRDefault="0095088E" w14:paraId="070520CC" w14:textId="22D1C74B">
            <w:pPr>
              <w:pStyle w:val="SEOStandaard"/>
              <w:spacing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2021</w:t>
            </w:r>
          </w:p>
        </w:tc>
        <w:tc>
          <w:tcPr>
            <w:tcW w:w="1078" w:type="dxa"/>
            <w:noWrap/>
            <w:vAlign w:val="center"/>
            <w:hideMark/>
          </w:tcPr>
          <w:p w:rsidRPr="007129C6" w:rsidR="0095088E" w:rsidP="000C693F" w:rsidRDefault="0095088E" w14:paraId="6AC7D58C" w14:textId="64D73D25">
            <w:pPr>
              <w:pStyle w:val="SEOStandaard"/>
              <w:spacing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2024</w:t>
            </w:r>
          </w:p>
        </w:tc>
        <w:tc>
          <w:tcPr>
            <w:tcW w:w="1078" w:type="dxa"/>
            <w:noWrap/>
            <w:vAlign w:val="center"/>
            <w:hideMark/>
          </w:tcPr>
          <w:p w:rsidRPr="007129C6" w:rsidR="0095088E" w:rsidP="000C693F" w:rsidRDefault="0095088E" w14:paraId="0F5858D8" w14:textId="3051A2ED">
            <w:pPr>
              <w:pStyle w:val="SEOStandaard"/>
              <w:spacing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2025</w:t>
            </w:r>
          </w:p>
        </w:tc>
      </w:tr>
      <w:tr w:rsidRPr="007129C6" w:rsidR="0095088E" w:rsidTr="00D06DB8" w14:paraId="5E14BF2A" w14:textId="0BD45949">
        <w:trPr>
          <w:trHeight w:val="340"/>
        </w:trPr>
        <w:tc>
          <w:tcPr>
            <w:cnfStyle w:val="001000000000" w:firstRow="0" w:lastRow="0" w:firstColumn="1" w:lastColumn="0" w:oddVBand="0" w:evenVBand="0" w:oddHBand="0" w:evenHBand="0" w:firstRowFirstColumn="0" w:firstRowLastColumn="0" w:lastRowFirstColumn="0" w:lastRowLastColumn="0"/>
            <w:tcW w:w="6126" w:type="dxa"/>
            <w:noWrap/>
            <w:vAlign w:val="center"/>
            <w:hideMark/>
          </w:tcPr>
          <w:p w:rsidRPr="007129C6" w:rsidR="0095088E" w:rsidP="00C278E7" w:rsidRDefault="0095088E" w14:paraId="1848DC24" w14:textId="3868D038">
            <w:pPr>
              <w:pStyle w:val="SEOStandaard"/>
              <w:spacing w:line="240" w:lineRule="auto"/>
              <w:jc w:val="left"/>
              <w:rPr>
                <w:rFonts w:ascii="Trebuchet MS" w:hAnsi="Trebuchet MS"/>
                <w:sz w:val="18"/>
                <w:szCs w:val="18"/>
              </w:rPr>
            </w:pPr>
            <w:r w:rsidRPr="007129C6">
              <w:rPr>
                <w:rFonts w:ascii="Trebuchet MS" w:hAnsi="Trebuchet MS"/>
                <w:sz w:val="18"/>
                <w:szCs w:val="18"/>
              </w:rPr>
              <w:t>Zeer ontevreden</w:t>
            </w:r>
          </w:p>
        </w:tc>
        <w:tc>
          <w:tcPr>
            <w:tcW w:w="1078" w:type="dxa"/>
            <w:noWrap/>
            <w:vAlign w:val="center"/>
            <w:hideMark/>
          </w:tcPr>
          <w:p w:rsidRPr="007129C6" w:rsidR="0095088E" w:rsidP="000C693F" w:rsidRDefault="0095088E" w14:paraId="3E320F32" w14:textId="2808C7D1">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3%</w:t>
            </w:r>
          </w:p>
        </w:tc>
        <w:tc>
          <w:tcPr>
            <w:tcW w:w="1078" w:type="dxa"/>
            <w:noWrap/>
            <w:vAlign w:val="center"/>
            <w:hideMark/>
          </w:tcPr>
          <w:p w:rsidRPr="007129C6" w:rsidR="0095088E" w:rsidP="000C693F" w:rsidRDefault="0095088E" w14:paraId="217DBAE5" w14:textId="73E65DBC">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1078" w:type="dxa"/>
            <w:noWrap/>
            <w:vAlign w:val="center"/>
            <w:hideMark/>
          </w:tcPr>
          <w:p w:rsidRPr="007129C6" w:rsidR="0095088E" w:rsidP="000C693F" w:rsidRDefault="0095088E" w14:paraId="6F77B2D6" w14:textId="67A6FA11">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w:t>
            </w:r>
          </w:p>
        </w:tc>
      </w:tr>
      <w:tr w:rsidRPr="007129C6" w:rsidR="0095088E" w:rsidTr="00D06DB8" w14:paraId="178177A2" w14:textId="40541501">
        <w:trPr>
          <w:trHeight w:val="340"/>
        </w:trPr>
        <w:tc>
          <w:tcPr>
            <w:cnfStyle w:val="001000000000" w:firstRow="0" w:lastRow="0" w:firstColumn="1" w:lastColumn="0" w:oddVBand="0" w:evenVBand="0" w:oddHBand="0" w:evenHBand="0" w:firstRowFirstColumn="0" w:firstRowLastColumn="0" w:lastRowFirstColumn="0" w:lastRowLastColumn="0"/>
            <w:tcW w:w="6126" w:type="dxa"/>
            <w:noWrap/>
            <w:vAlign w:val="center"/>
            <w:hideMark/>
          </w:tcPr>
          <w:p w:rsidRPr="007129C6" w:rsidR="0095088E" w:rsidP="00C278E7" w:rsidRDefault="0095088E" w14:paraId="5CF69F2C" w14:textId="6C7209B4">
            <w:pPr>
              <w:pStyle w:val="SEOStandaard"/>
              <w:spacing w:line="240" w:lineRule="auto"/>
              <w:jc w:val="left"/>
              <w:rPr>
                <w:rFonts w:ascii="Trebuchet MS" w:hAnsi="Trebuchet MS"/>
                <w:sz w:val="18"/>
                <w:szCs w:val="18"/>
              </w:rPr>
            </w:pPr>
            <w:r w:rsidRPr="007129C6">
              <w:rPr>
                <w:rFonts w:ascii="Trebuchet MS" w:hAnsi="Trebuchet MS"/>
                <w:sz w:val="18"/>
                <w:szCs w:val="18"/>
              </w:rPr>
              <w:t>Ontevreden</w:t>
            </w:r>
          </w:p>
        </w:tc>
        <w:tc>
          <w:tcPr>
            <w:tcW w:w="1078" w:type="dxa"/>
            <w:noWrap/>
            <w:vAlign w:val="center"/>
            <w:hideMark/>
          </w:tcPr>
          <w:p w:rsidRPr="007129C6" w:rsidR="0095088E" w:rsidP="000C693F" w:rsidRDefault="0095088E" w14:paraId="7C4550EB" w14:textId="6DEB23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3%</w:t>
            </w:r>
          </w:p>
        </w:tc>
        <w:tc>
          <w:tcPr>
            <w:tcW w:w="1078" w:type="dxa"/>
            <w:noWrap/>
            <w:vAlign w:val="center"/>
            <w:hideMark/>
          </w:tcPr>
          <w:p w:rsidRPr="007129C6" w:rsidR="0095088E" w:rsidP="000C693F" w:rsidRDefault="0095088E" w14:paraId="0A3E43D5" w14:textId="70BC8DC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1078" w:type="dxa"/>
            <w:noWrap/>
            <w:vAlign w:val="center"/>
            <w:hideMark/>
          </w:tcPr>
          <w:p w:rsidRPr="007129C6" w:rsidR="0095088E" w:rsidP="000C693F" w:rsidRDefault="0095088E" w14:paraId="11BCEA9E" w14:textId="0C980DBF">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r>
      <w:tr w:rsidRPr="007129C6" w:rsidR="0095088E" w:rsidTr="00D06DB8" w14:paraId="0FA76378" w14:textId="4019893B">
        <w:trPr>
          <w:trHeight w:val="340"/>
        </w:trPr>
        <w:tc>
          <w:tcPr>
            <w:cnfStyle w:val="001000000000" w:firstRow="0" w:lastRow="0" w:firstColumn="1" w:lastColumn="0" w:oddVBand="0" w:evenVBand="0" w:oddHBand="0" w:evenHBand="0" w:firstRowFirstColumn="0" w:firstRowLastColumn="0" w:lastRowFirstColumn="0" w:lastRowLastColumn="0"/>
            <w:tcW w:w="6126" w:type="dxa"/>
            <w:noWrap/>
            <w:vAlign w:val="center"/>
            <w:hideMark/>
          </w:tcPr>
          <w:p w:rsidRPr="007129C6" w:rsidR="0095088E" w:rsidP="00C278E7" w:rsidRDefault="0095088E" w14:paraId="5CD73939" w14:textId="74B69F2D">
            <w:pPr>
              <w:pStyle w:val="SEOStandaard"/>
              <w:spacing w:line="240" w:lineRule="auto"/>
              <w:jc w:val="left"/>
              <w:rPr>
                <w:rFonts w:ascii="Trebuchet MS" w:hAnsi="Trebuchet MS"/>
                <w:sz w:val="18"/>
                <w:szCs w:val="18"/>
              </w:rPr>
            </w:pPr>
            <w:r w:rsidRPr="007129C6">
              <w:rPr>
                <w:rFonts w:ascii="Trebuchet MS" w:hAnsi="Trebuchet MS"/>
                <w:sz w:val="18"/>
                <w:szCs w:val="18"/>
              </w:rPr>
              <w:t>Noch ontevreden/noch tevreden</w:t>
            </w:r>
          </w:p>
        </w:tc>
        <w:tc>
          <w:tcPr>
            <w:tcW w:w="1078" w:type="dxa"/>
            <w:noWrap/>
            <w:vAlign w:val="center"/>
            <w:hideMark/>
          </w:tcPr>
          <w:p w:rsidRPr="007129C6" w:rsidR="0095088E" w:rsidP="000C693F" w:rsidRDefault="0095088E" w14:paraId="47BB2276" w14:textId="1D057D0F">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21%</w:t>
            </w:r>
          </w:p>
        </w:tc>
        <w:tc>
          <w:tcPr>
            <w:tcW w:w="1078" w:type="dxa"/>
            <w:noWrap/>
            <w:vAlign w:val="center"/>
            <w:hideMark/>
          </w:tcPr>
          <w:p w:rsidRPr="007129C6" w:rsidR="0095088E" w:rsidP="000C693F" w:rsidRDefault="0095088E" w14:paraId="7125F224" w14:textId="769B57BA">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3%</w:t>
            </w:r>
          </w:p>
        </w:tc>
        <w:tc>
          <w:tcPr>
            <w:tcW w:w="1078" w:type="dxa"/>
            <w:noWrap/>
            <w:vAlign w:val="center"/>
            <w:hideMark/>
          </w:tcPr>
          <w:p w:rsidRPr="007129C6" w:rsidR="0095088E" w:rsidP="000C693F" w:rsidRDefault="0095088E" w14:paraId="57C730C9" w14:textId="40816C03">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3%</w:t>
            </w:r>
          </w:p>
        </w:tc>
      </w:tr>
      <w:tr w:rsidRPr="007129C6" w:rsidR="0095088E" w:rsidTr="00D06DB8" w14:paraId="111EC76A" w14:textId="16EB8CF8">
        <w:trPr>
          <w:trHeight w:val="340"/>
        </w:trPr>
        <w:tc>
          <w:tcPr>
            <w:cnfStyle w:val="001000000000" w:firstRow="0" w:lastRow="0" w:firstColumn="1" w:lastColumn="0" w:oddVBand="0" w:evenVBand="0" w:oddHBand="0" w:evenHBand="0" w:firstRowFirstColumn="0" w:firstRowLastColumn="0" w:lastRowFirstColumn="0" w:lastRowLastColumn="0"/>
            <w:tcW w:w="6126" w:type="dxa"/>
            <w:noWrap/>
            <w:vAlign w:val="center"/>
            <w:hideMark/>
          </w:tcPr>
          <w:p w:rsidRPr="007129C6" w:rsidR="0095088E" w:rsidP="00C278E7" w:rsidRDefault="0095088E" w14:paraId="239F9AE8" w14:textId="2EB2639E">
            <w:pPr>
              <w:pStyle w:val="SEOStandaard"/>
              <w:spacing w:line="240" w:lineRule="auto"/>
              <w:jc w:val="left"/>
              <w:rPr>
                <w:rFonts w:ascii="Trebuchet MS" w:hAnsi="Trebuchet MS"/>
                <w:sz w:val="18"/>
                <w:szCs w:val="18"/>
              </w:rPr>
            </w:pPr>
            <w:r w:rsidRPr="007129C6">
              <w:rPr>
                <w:rFonts w:ascii="Trebuchet MS" w:hAnsi="Trebuchet MS"/>
                <w:sz w:val="18"/>
                <w:szCs w:val="18"/>
              </w:rPr>
              <w:t>Tevreden</w:t>
            </w:r>
          </w:p>
        </w:tc>
        <w:tc>
          <w:tcPr>
            <w:tcW w:w="1078" w:type="dxa"/>
            <w:noWrap/>
            <w:vAlign w:val="center"/>
            <w:hideMark/>
          </w:tcPr>
          <w:p w:rsidRPr="007129C6" w:rsidR="0095088E" w:rsidP="000C693F" w:rsidRDefault="0095088E" w14:paraId="3D06857B" w14:textId="0CA46D4F">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69%</w:t>
            </w:r>
          </w:p>
        </w:tc>
        <w:tc>
          <w:tcPr>
            <w:tcW w:w="1078" w:type="dxa"/>
            <w:noWrap/>
            <w:vAlign w:val="center"/>
            <w:hideMark/>
          </w:tcPr>
          <w:p w:rsidRPr="007129C6" w:rsidR="0095088E" w:rsidP="000C693F" w:rsidRDefault="0095088E" w14:paraId="3E3B994C" w14:textId="1B021910">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66%</w:t>
            </w:r>
          </w:p>
        </w:tc>
        <w:tc>
          <w:tcPr>
            <w:tcW w:w="1078" w:type="dxa"/>
            <w:noWrap/>
            <w:vAlign w:val="center"/>
            <w:hideMark/>
          </w:tcPr>
          <w:p w:rsidRPr="007129C6" w:rsidR="0095088E" w:rsidP="000C693F" w:rsidRDefault="0095088E" w14:paraId="0F74DBBE" w14:textId="3A88387B">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59%</w:t>
            </w:r>
          </w:p>
        </w:tc>
      </w:tr>
      <w:tr w:rsidRPr="007129C6" w:rsidR="0095088E" w:rsidTr="00D06DB8" w14:paraId="310518A1" w14:textId="7033C27A">
        <w:trPr>
          <w:trHeight w:val="340"/>
        </w:trPr>
        <w:tc>
          <w:tcPr>
            <w:cnfStyle w:val="001000000000" w:firstRow="0" w:lastRow="0" w:firstColumn="1" w:lastColumn="0" w:oddVBand="0" w:evenVBand="0" w:oddHBand="0" w:evenHBand="0" w:firstRowFirstColumn="0" w:firstRowLastColumn="0" w:lastRowFirstColumn="0" w:lastRowLastColumn="0"/>
            <w:tcW w:w="6126" w:type="dxa"/>
            <w:noWrap/>
            <w:vAlign w:val="center"/>
            <w:hideMark/>
          </w:tcPr>
          <w:p w:rsidRPr="007129C6" w:rsidR="0095088E" w:rsidP="00C278E7" w:rsidRDefault="0095088E" w14:paraId="64D4FA9B" w14:textId="658BC81B">
            <w:pPr>
              <w:pStyle w:val="SEOStandaard"/>
              <w:spacing w:line="240" w:lineRule="auto"/>
              <w:jc w:val="left"/>
              <w:rPr>
                <w:rFonts w:ascii="Trebuchet MS" w:hAnsi="Trebuchet MS"/>
                <w:sz w:val="18"/>
                <w:szCs w:val="18"/>
              </w:rPr>
            </w:pPr>
            <w:r w:rsidRPr="007129C6">
              <w:rPr>
                <w:rFonts w:ascii="Trebuchet MS" w:hAnsi="Trebuchet MS"/>
                <w:sz w:val="18"/>
                <w:szCs w:val="18"/>
              </w:rPr>
              <w:t>Zeer tevreden</w:t>
            </w:r>
          </w:p>
        </w:tc>
        <w:tc>
          <w:tcPr>
            <w:tcW w:w="1078" w:type="dxa"/>
            <w:noWrap/>
            <w:vAlign w:val="center"/>
            <w:hideMark/>
          </w:tcPr>
          <w:p w:rsidRPr="007129C6" w:rsidR="0095088E" w:rsidP="000C693F" w:rsidRDefault="0095088E" w14:paraId="599F08FD" w14:textId="3E888E9F">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3%</w:t>
            </w:r>
          </w:p>
        </w:tc>
        <w:tc>
          <w:tcPr>
            <w:tcW w:w="1078" w:type="dxa"/>
            <w:noWrap/>
            <w:vAlign w:val="center"/>
            <w:hideMark/>
          </w:tcPr>
          <w:p w:rsidRPr="007129C6" w:rsidR="0095088E" w:rsidP="000C693F" w:rsidRDefault="0095088E" w14:paraId="4528B557" w14:textId="17D4494C">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31%</w:t>
            </w:r>
          </w:p>
        </w:tc>
        <w:tc>
          <w:tcPr>
            <w:tcW w:w="1078" w:type="dxa"/>
            <w:noWrap/>
            <w:vAlign w:val="center"/>
            <w:hideMark/>
          </w:tcPr>
          <w:p w:rsidRPr="007129C6" w:rsidR="0095088E" w:rsidP="000C693F" w:rsidRDefault="0095088E" w14:paraId="45C1A5DE" w14:textId="460CB2CA">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31%</w:t>
            </w:r>
          </w:p>
        </w:tc>
      </w:tr>
    </w:tbl>
    <w:p w:rsidRPr="00283B39" w:rsidR="0095088E" w:rsidP="00283B39" w:rsidRDefault="00E15635" w14:paraId="2B8EB04E" w14:textId="2278FA06">
      <w:pPr>
        <w:pStyle w:val="SEOBron"/>
        <w:numPr>
          <w:ilvl w:val="0"/>
          <w:numId w:val="0"/>
        </w:numPr>
        <w:rPr>
          <w:rFonts w:ascii="Trebuchet MS" w:hAnsi="Trebuchet MS"/>
          <w:color w:val="auto"/>
          <w:szCs w:val="18"/>
        </w:rPr>
      </w:pPr>
      <w:r w:rsidRPr="00E15635">
        <w:rPr>
          <w:rFonts w:ascii="Trebuchet MS" w:hAnsi="Trebuchet MS"/>
          <w:color w:val="auto"/>
          <w:szCs w:val="18"/>
        </w:rPr>
        <w:t xml:space="preserve">Bron: </w:t>
      </w:r>
      <w:r w:rsidRPr="00283B39" w:rsidR="0095088E">
        <w:rPr>
          <w:rFonts w:ascii="Trebuchet MS" w:hAnsi="Trebuchet MS"/>
          <w:color w:val="auto"/>
          <w:szCs w:val="18"/>
        </w:rPr>
        <w:t>Enquête programmaleiders STO (april 2025). * geeft significant verschil aan in het aandeel (zeer) tevreden tussen 2025, en 2024 of 2021.</w:t>
      </w:r>
    </w:p>
    <w:p w:rsidR="0095088E" w:rsidP="0095088E" w:rsidRDefault="0095088E" w14:paraId="3D77E1C4" w14:textId="448DFE5E">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 xml:space="preserve">Figuur </w:t>
      </w:r>
      <w:r w:rsidRPr="00E15635" w:rsidR="00E15635">
        <w:rPr>
          <w:rFonts w:ascii="Trebuchet MS" w:hAnsi="Trebuchet MS"/>
          <w:color w:val="auto"/>
          <w:sz w:val="18"/>
          <w:szCs w:val="18"/>
        </w:rPr>
        <w:t>4</w:t>
      </w:r>
      <w:r w:rsidRPr="00283B39">
        <w:rPr>
          <w:rFonts w:ascii="Trebuchet MS" w:hAnsi="Trebuchet MS"/>
          <w:color w:val="auto"/>
          <w:sz w:val="18"/>
          <w:szCs w:val="18"/>
        </w:rPr>
        <w:t>.</w:t>
      </w:r>
      <w:r w:rsidR="007A5C4E">
        <w:rPr>
          <w:rFonts w:ascii="Trebuchet MS" w:hAnsi="Trebuchet MS"/>
          <w:color w:val="auto"/>
          <w:sz w:val="18"/>
          <w:szCs w:val="18"/>
        </w:rPr>
        <w:t>3</w:t>
      </w:r>
      <w:r w:rsidRPr="00283B39">
        <w:rPr>
          <w:rFonts w:ascii="Trebuchet MS" w:hAnsi="Trebuchet MS"/>
          <w:color w:val="auto"/>
          <w:sz w:val="18"/>
          <w:szCs w:val="18"/>
        </w:rPr>
        <w:t xml:space="preserve"> laat zien in welke mate de STO-activiteiten volgens de regio’s conform plan zijn uitgevoerd. </w:t>
      </w:r>
    </w:p>
    <w:p w:rsidR="00D06DB8" w:rsidP="0095088E" w:rsidRDefault="00D06DB8" w14:paraId="6FEDCEAB" w14:textId="77777777">
      <w:pPr>
        <w:pStyle w:val="SEOStandaard"/>
        <w:numPr>
          <w:ilvl w:val="0"/>
          <w:numId w:val="0"/>
        </w:numPr>
        <w:rPr>
          <w:rFonts w:ascii="Trebuchet MS" w:hAnsi="Trebuchet MS"/>
          <w:color w:val="auto"/>
          <w:sz w:val="18"/>
          <w:szCs w:val="18"/>
        </w:rPr>
      </w:pPr>
    </w:p>
    <w:p w:rsidRPr="00283B39" w:rsidR="00D06DB8" w:rsidP="00D06DB8" w:rsidRDefault="00D06DB8" w14:paraId="19CDDD09" w14:textId="77777777">
      <w:pPr>
        <w:pStyle w:val="SEOStandaard"/>
        <w:rPr>
          <w:rFonts w:ascii="Trebuchet MS" w:hAnsi="Trebuchet MS"/>
          <w:color w:val="auto"/>
          <w:sz w:val="18"/>
          <w:szCs w:val="18"/>
        </w:rPr>
      </w:pPr>
      <w:r w:rsidRPr="00283B39">
        <w:rPr>
          <w:rFonts w:ascii="Trebuchet MS" w:hAnsi="Trebuchet MS"/>
          <w:color w:val="auto"/>
          <w:sz w:val="18"/>
          <w:szCs w:val="18"/>
        </w:rPr>
        <w:t>Uit extra analyses (zie Bijlage 1, tabel B1</w:t>
      </w:r>
      <w:r>
        <w:rPr>
          <w:rFonts w:ascii="Trebuchet MS" w:hAnsi="Trebuchet MS"/>
          <w:color w:val="auto"/>
          <w:sz w:val="18"/>
          <w:szCs w:val="18"/>
        </w:rPr>
        <w:t>.2</w:t>
      </w:r>
      <w:r w:rsidRPr="00283B39">
        <w:rPr>
          <w:rFonts w:ascii="Trebuchet MS" w:hAnsi="Trebuchet MS"/>
          <w:color w:val="auto"/>
          <w:sz w:val="18"/>
          <w:szCs w:val="18"/>
        </w:rPr>
        <w:t xml:space="preserve">) komt naar voren dat in regio’s met regionale beheermiddelen meer programmaleiders aangeven dat er meer activiteiten dan gepland zijn uitgevoerd (4 op de 10) dan in regio’s met verdeelsleutelmiddelen (bijna 2 op de 10). </w:t>
      </w:r>
    </w:p>
    <w:p w:rsidRPr="00283B39" w:rsidR="00844902" w:rsidP="0095088E" w:rsidRDefault="00844902" w14:paraId="23ADA4CE" w14:textId="77777777">
      <w:pPr>
        <w:pStyle w:val="SEOStandaard"/>
        <w:numPr>
          <w:ilvl w:val="0"/>
          <w:numId w:val="0"/>
        </w:numPr>
        <w:rPr>
          <w:rFonts w:ascii="Trebuchet MS" w:hAnsi="Trebuchet MS"/>
          <w:color w:val="auto"/>
          <w:sz w:val="18"/>
          <w:szCs w:val="18"/>
        </w:rPr>
      </w:pPr>
    </w:p>
    <w:p w:rsidRPr="00283B39" w:rsidR="0095088E" w:rsidP="00283B39" w:rsidRDefault="00E15635" w14:paraId="3B1CFA63" w14:textId="6345C24F">
      <w:pPr>
        <w:pStyle w:val="Figuur"/>
        <w:rPr>
          <w:rFonts w:ascii="Trebuchet MS" w:hAnsi="Trebuchet MS"/>
          <w:i/>
          <w:sz w:val="18"/>
          <w:szCs w:val="18"/>
        </w:rPr>
      </w:pPr>
      <w:r w:rsidRPr="00E15635">
        <w:rPr>
          <w:rFonts w:ascii="Trebuchet MS" w:hAnsi="Trebuchet MS" w:eastAsiaTheme="minorEastAsia" w:cstheme="minorBidi"/>
          <w:i/>
          <w:iCs/>
          <w:noProof w:val="0"/>
          <w:sz w:val="18"/>
          <w:szCs w:val="18"/>
          <w:lang w:eastAsia="en-US"/>
        </w:rPr>
        <w:t>Figuur 4.</w:t>
      </w:r>
      <w:r w:rsidR="007A5C4E">
        <w:rPr>
          <w:rFonts w:ascii="Trebuchet MS" w:hAnsi="Trebuchet MS" w:eastAsiaTheme="minorEastAsia" w:cstheme="minorBidi"/>
          <w:i/>
          <w:iCs/>
          <w:noProof w:val="0"/>
          <w:sz w:val="18"/>
          <w:szCs w:val="18"/>
          <w:lang w:eastAsia="en-US"/>
        </w:rPr>
        <w:t>3</w:t>
      </w:r>
      <w:r w:rsidRPr="00E15635">
        <w:rPr>
          <w:rFonts w:ascii="Trebuchet MS" w:hAnsi="Trebuchet MS" w:eastAsiaTheme="minorEastAsia" w:cstheme="minorBidi"/>
          <w:i/>
          <w:iCs/>
          <w:noProof w:val="0"/>
          <w:sz w:val="18"/>
          <w:szCs w:val="18"/>
          <w:lang w:eastAsia="en-US"/>
        </w:rPr>
        <w:t xml:space="preserve">. </w:t>
      </w:r>
      <w:r w:rsidRPr="00283B39" w:rsidR="0095088E">
        <w:rPr>
          <w:rFonts w:ascii="Trebuchet MS" w:hAnsi="Trebuchet MS" w:eastAsiaTheme="minorEastAsia" w:cstheme="minorBidi"/>
          <w:i/>
          <w:iCs/>
          <w:noProof w:val="0"/>
          <w:sz w:val="18"/>
          <w:szCs w:val="18"/>
          <w:lang w:eastAsia="en-US"/>
        </w:rPr>
        <w:t xml:space="preserve">De mate waarin activiteiten conform plan zijn uitgevoerd </w:t>
      </w:r>
    </w:p>
    <w:p w:rsidRPr="007129C6" w:rsidR="0095088E" w:rsidP="0095088E" w:rsidRDefault="0095088E" w14:paraId="61BE8E2A" w14:textId="230B55D6">
      <w:pPr>
        <w:pStyle w:val="SEOStandaard"/>
        <w:numPr>
          <w:ilvl w:val="0"/>
          <w:numId w:val="0"/>
        </w:numPr>
        <w:rPr>
          <w:rFonts w:ascii="Trebuchet MS" w:hAnsi="Trebuchet MS"/>
          <w:sz w:val="18"/>
          <w:szCs w:val="18"/>
        </w:rPr>
      </w:pPr>
      <w:r w:rsidRPr="007129C6">
        <w:rPr>
          <w:noProof/>
          <w:szCs w:val="18"/>
        </w:rPr>
        <w:drawing>
          <wp:inline distT="0" distB="0" distL="0" distR="0" wp14:anchorId="0E0F0C0D" wp14:editId="2093A2A1">
            <wp:extent cx="5940000" cy="1620000"/>
            <wp:effectExtent l="0" t="0" r="3810" b="18415"/>
            <wp:docPr id="1606965690" name="Grafiek 1">
              <a:extLst xmlns:a="http://schemas.openxmlformats.org/drawingml/2006/main">
                <a:ext uri="{FF2B5EF4-FFF2-40B4-BE49-F238E27FC236}">
                  <a16:creationId xmlns:a16="http://schemas.microsoft.com/office/drawing/2014/main" id="{4AAAB345-08D8-E32C-A0C9-224A0B9202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Pr="00283B39" w:rsidR="0095088E" w:rsidP="00283B39" w:rsidRDefault="00E15635" w14:paraId="6660D82B" w14:textId="217E15E1">
      <w:pPr>
        <w:pStyle w:val="SEOBron"/>
        <w:numPr>
          <w:ilvl w:val="0"/>
          <w:numId w:val="0"/>
        </w:numPr>
        <w:rPr>
          <w:rFonts w:ascii="Trebuchet MS" w:hAnsi="Trebuchet MS"/>
          <w:color w:val="auto"/>
          <w:szCs w:val="18"/>
        </w:rPr>
      </w:pPr>
      <w:r>
        <w:rPr>
          <w:rFonts w:ascii="Trebuchet MS" w:hAnsi="Trebuchet MS"/>
          <w:color w:val="auto"/>
          <w:szCs w:val="18"/>
        </w:rPr>
        <w:t xml:space="preserve">Bron: </w:t>
      </w:r>
      <w:r w:rsidRPr="00283B39" w:rsidR="0095088E">
        <w:rPr>
          <w:rFonts w:ascii="Trebuchet MS" w:hAnsi="Trebuchet MS"/>
          <w:color w:val="auto"/>
          <w:szCs w:val="18"/>
        </w:rPr>
        <w:t xml:space="preserve">Enquête programmaleiders STO (april 2025). </w:t>
      </w:r>
    </w:p>
    <w:p w:rsidRPr="00283B39" w:rsidR="0095088E" w:rsidP="0095088E" w:rsidRDefault="0095088E" w14:paraId="6EB9D9C3" w14:textId="201CDA37">
      <w:pPr>
        <w:pStyle w:val="SEOStandaard"/>
        <w:rPr>
          <w:rFonts w:ascii="Trebuchet MS" w:hAnsi="Trebuchet MS"/>
          <w:color w:val="auto"/>
          <w:sz w:val="18"/>
          <w:szCs w:val="18"/>
        </w:rPr>
      </w:pPr>
      <w:r w:rsidRPr="00283B39">
        <w:rPr>
          <w:rFonts w:ascii="Trebuchet MS" w:hAnsi="Trebuchet MS"/>
          <w:color w:val="auto"/>
          <w:sz w:val="18"/>
          <w:szCs w:val="18"/>
        </w:rPr>
        <w:t xml:space="preserve">Om een beeld van de mate van (harde) borging te krijgen, vroegen we programmaleiders in de vorm van stellingen of en in hoeverre verschillende onderdelen van borging op dit moment op hun regio van toepassing zijn (figuur </w:t>
      </w:r>
      <w:r w:rsidR="007A5C4E">
        <w:rPr>
          <w:rFonts w:ascii="Trebuchet MS" w:hAnsi="Trebuchet MS"/>
          <w:color w:val="auto"/>
          <w:sz w:val="18"/>
          <w:szCs w:val="18"/>
        </w:rPr>
        <w:t>4</w:t>
      </w:r>
      <w:r w:rsidRPr="00283B39">
        <w:rPr>
          <w:rFonts w:ascii="Trebuchet MS" w:hAnsi="Trebuchet MS"/>
          <w:color w:val="auto"/>
          <w:sz w:val="18"/>
          <w:szCs w:val="18"/>
        </w:rPr>
        <w:t>.</w:t>
      </w:r>
      <w:r w:rsidR="007A5C4E">
        <w:rPr>
          <w:rFonts w:ascii="Trebuchet MS" w:hAnsi="Trebuchet MS"/>
          <w:color w:val="auto"/>
          <w:sz w:val="18"/>
          <w:szCs w:val="18"/>
        </w:rPr>
        <w:t>4</w:t>
      </w:r>
      <w:r w:rsidRPr="00283B39">
        <w:rPr>
          <w:rFonts w:ascii="Trebuchet MS" w:hAnsi="Trebuchet MS"/>
          <w:color w:val="auto"/>
          <w:sz w:val="18"/>
          <w:szCs w:val="18"/>
        </w:rPr>
        <w:t xml:space="preserve">). Zoals toegelicht in de handreiking voor borging van STO bestaat er geen blauwdruk of concreet stappenplan voor borging. De context en het eigen programma van de regio bepalen welke kansen en knelpunten er zijn voor continuïteit en verduurzaming van technisch vmbo. Wel kan het werken aan deze onderdelen, die onder de ‘harde kant’ van borging vallen, het borgingsproces vergemakkelijken. </w:t>
      </w:r>
    </w:p>
    <w:p w:rsidRPr="00283B39" w:rsidR="0095088E" w:rsidP="00283B39" w:rsidRDefault="007A5C4E" w14:paraId="6AE4136F" w14:textId="5B9AC4A8">
      <w:pPr>
        <w:pStyle w:val="Figuur"/>
        <w:rPr>
          <w:rFonts w:ascii="Trebuchet MS" w:hAnsi="Trebuchet MS"/>
          <w:i/>
          <w:sz w:val="18"/>
          <w:szCs w:val="18"/>
        </w:rPr>
      </w:pPr>
      <w:r>
        <w:rPr>
          <w:rFonts w:ascii="Trebuchet MS" w:hAnsi="Trebuchet MS" w:eastAsiaTheme="minorEastAsia" w:cstheme="minorBidi"/>
          <w:i/>
          <w:iCs/>
          <w:noProof w:val="0"/>
          <w:sz w:val="18"/>
          <w:szCs w:val="18"/>
          <w:lang w:eastAsia="en-US"/>
        </w:rPr>
        <w:lastRenderedPageBreak/>
        <w:t xml:space="preserve">Figuur 4.4. </w:t>
      </w:r>
      <w:r w:rsidRPr="00283B39" w:rsidR="0095088E">
        <w:rPr>
          <w:rFonts w:ascii="Trebuchet MS" w:hAnsi="Trebuchet MS" w:eastAsiaTheme="minorEastAsia" w:cstheme="minorBidi"/>
          <w:i/>
          <w:iCs/>
          <w:noProof w:val="0"/>
          <w:sz w:val="18"/>
          <w:szCs w:val="18"/>
          <w:lang w:eastAsia="en-US"/>
        </w:rPr>
        <w:t>Mate van borging van STO in de regio</w:t>
      </w:r>
    </w:p>
    <w:p w:rsidRPr="007129C6" w:rsidR="0095088E" w:rsidP="0095088E" w:rsidRDefault="0095088E" w14:paraId="4ACA846E" w14:textId="3DBE4D54">
      <w:pPr>
        <w:pStyle w:val="SEOStandaard"/>
        <w:numPr>
          <w:ilvl w:val="0"/>
          <w:numId w:val="0"/>
        </w:numPr>
        <w:rPr>
          <w:rFonts w:ascii="Trebuchet MS" w:hAnsi="Trebuchet MS"/>
          <w:sz w:val="18"/>
          <w:szCs w:val="18"/>
        </w:rPr>
      </w:pPr>
      <w:r w:rsidRPr="007129C6">
        <w:rPr>
          <w:noProof/>
          <w:szCs w:val="18"/>
        </w:rPr>
        <w:drawing>
          <wp:inline distT="0" distB="0" distL="0" distR="0" wp14:anchorId="36EDA23C" wp14:editId="7C30897C">
            <wp:extent cx="5940000" cy="3240000"/>
            <wp:effectExtent l="0" t="0" r="3810" b="17780"/>
            <wp:docPr id="431831947" name="Grafiek 1">
              <a:extLst xmlns:a="http://schemas.openxmlformats.org/drawingml/2006/main">
                <a:ext uri="{FF2B5EF4-FFF2-40B4-BE49-F238E27FC236}">
                  <a16:creationId xmlns:a16="http://schemas.microsoft.com/office/drawing/2014/main" id="{CD7589CC-2B58-A1F7-04BA-2A34D27FF0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Pr="00283B39" w:rsidR="0095088E" w:rsidP="00283B39" w:rsidRDefault="00410F85" w14:paraId="56475A95" w14:textId="392F88C8">
      <w:pPr>
        <w:pStyle w:val="SEOStandaard"/>
        <w:numPr>
          <w:ilvl w:val="0"/>
          <w:numId w:val="0"/>
        </w:numPr>
        <w:rPr>
          <w:rFonts w:ascii="Trebuchet MS" w:hAnsi="Trebuchet MS"/>
          <w:color w:val="auto"/>
          <w:sz w:val="18"/>
          <w:szCs w:val="18"/>
        </w:rPr>
      </w:pPr>
      <w:r w:rsidRPr="00410F85">
        <w:rPr>
          <w:rFonts w:ascii="Trebuchet MS" w:hAnsi="Trebuchet MS"/>
          <w:color w:val="auto"/>
          <w:sz w:val="18"/>
          <w:szCs w:val="18"/>
        </w:rPr>
        <w:t xml:space="preserve">Bron: </w:t>
      </w:r>
      <w:r w:rsidRPr="00283B39" w:rsidR="0095088E">
        <w:rPr>
          <w:rFonts w:ascii="Trebuchet MS" w:hAnsi="Trebuchet MS"/>
          <w:color w:val="auto"/>
          <w:sz w:val="18"/>
          <w:szCs w:val="18"/>
        </w:rPr>
        <w:t xml:space="preserve">Enquête programmaleiders STO (april 2025). </w:t>
      </w:r>
    </w:p>
    <w:p w:rsidRPr="007129C6" w:rsidR="0095088E" w:rsidP="0095088E" w:rsidRDefault="0095088E" w14:paraId="0A6AF22E" w14:textId="221A77C9">
      <w:pPr>
        <w:pStyle w:val="SEOStandaard"/>
        <w:rPr>
          <w:rFonts w:ascii="Trebuchet MS" w:hAnsi="Trebuchet MS"/>
          <w:b/>
          <w:bCs/>
          <w:sz w:val="18"/>
          <w:szCs w:val="18"/>
        </w:rPr>
      </w:pPr>
    </w:p>
    <w:p w:rsidRPr="00283B39" w:rsidR="0095088E" w:rsidP="00410F85" w:rsidRDefault="0095088E" w14:paraId="43D97F57" w14:textId="5F8C14CE">
      <w:pPr>
        <w:pStyle w:val="SEOStandaard"/>
        <w:rPr>
          <w:rFonts w:ascii="Trebuchet MS" w:hAnsi="Trebuchet MS"/>
          <w:color w:val="auto"/>
          <w:sz w:val="18"/>
          <w:szCs w:val="18"/>
        </w:rPr>
      </w:pPr>
      <w:r w:rsidRPr="00283B39">
        <w:rPr>
          <w:rFonts w:ascii="Trebuchet MS" w:hAnsi="Trebuchet MS"/>
          <w:color w:val="auto"/>
          <w:sz w:val="18"/>
          <w:szCs w:val="18"/>
        </w:rPr>
        <w:t xml:space="preserve">In het algemeen is er sprake van aandacht voor (harde) borging: bij alle stellingen geven zeven op de tien programmaleiders of meer aan dat deze minstens in enige mate van toepassing zijn op hun regio. Dat geldt het sterkst voor de integratie van STO in de (lijn)organisatie, gedeelde samenwerking met partners in de regio en structuren en systemen die de borging ondersteunen. Voor geen enkele stelling geeft een programmaleider aan dat deze helemaal niet van toepassing is op diens regio.  Er wordt wel iets vaker neutraal of negatief geoordeeld over structurele betrokkenheid op alle niveaus vanuit de scholen en over inzicht in de resultaten en effecten van het regionale aanbod door goede monitoring en evaluatie. </w:t>
      </w:r>
    </w:p>
    <w:p w:rsidRPr="00283B39" w:rsidR="0095088E" w:rsidP="00410F85" w:rsidRDefault="0095088E" w14:paraId="09F70207" w14:textId="1C0716C1">
      <w:pPr>
        <w:pStyle w:val="SEOStandaard"/>
        <w:rPr>
          <w:rFonts w:ascii="Trebuchet MS" w:hAnsi="Trebuchet MS"/>
          <w:color w:val="auto"/>
          <w:sz w:val="18"/>
          <w:szCs w:val="18"/>
        </w:rPr>
      </w:pPr>
    </w:p>
    <w:p w:rsidRPr="00283B39" w:rsidR="0095088E" w:rsidP="0095088E" w:rsidRDefault="0095088E" w14:paraId="64157CB7" w14:textId="07E47B0B">
      <w:pPr>
        <w:pStyle w:val="SEOStandaard"/>
        <w:rPr>
          <w:rFonts w:ascii="Trebuchet MS" w:hAnsi="Trebuchet MS"/>
          <w:color w:val="auto"/>
          <w:sz w:val="18"/>
          <w:szCs w:val="18"/>
        </w:rPr>
      </w:pPr>
      <w:bookmarkStart w:name="_Hlk199167928" w:id="34"/>
      <w:r w:rsidRPr="00283B39">
        <w:rPr>
          <w:rFonts w:ascii="Trebuchet MS" w:hAnsi="Trebuchet MS"/>
          <w:color w:val="auto"/>
          <w:sz w:val="18"/>
          <w:szCs w:val="18"/>
        </w:rPr>
        <w:t xml:space="preserve">Concluderend zijn programmaleiders tevreden over waar de regio eind 2024 staat. Het merendeel heeft alle activiteiten volgens plan uitgevoerd en een kwart heeft zelfs meer activiteiten gedaan dan gepland. Borging heeft al veel aandacht, met name op het gebied van integratie binnen de (lijn-)organisatie, gedeelde samenwerking en de borging van structuren en systemen. Verbeterpunten bij de borging liggen op het gebied van structurele betrokkenheid op alle niveaus binnen scholen en inzicht in de resultaten en effecten voor de toekomst. Middelen worden bij regio’s meestal over scholen verdeeld; regionaal beheer komt wat minder vaak voor. Volgens programmaleiders biedt een verdeelsleutel meer duidelijkheid en zelfstandigheid, terwijl regionaal beheer samenwerking en gezamenlijke controle versterkt. Over beide manieren van middelenverdeling wordt het risico genoemd dat het flexibiliteit beperkt. </w:t>
      </w:r>
    </w:p>
    <w:p w:rsidRPr="007129C6" w:rsidR="0095088E" w:rsidP="0095088E" w:rsidRDefault="0095088E" w14:paraId="08AC901D" w14:textId="63511B94">
      <w:pPr>
        <w:pStyle w:val="SEOStandaard"/>
        <w:rPr>
          <w:rFonts w:ascii="Trebuchet MS" w:hAnsi="Trebuchet MS"/>
          <w:b/>
          <w:bCs/>
          <w:sz w:val="18"/>
          <w:szCs w:val="18"/>
        </w:rPr>
      </w:pPr>
    </w:p>
    <w:p w:rsidRPr="007129C6" w:rsidR="0095088E" w:rsidP="000E42F9" w:rsidRDefault="0095088E" w14:paraId="275E5ED6" w14:textId="77777777">
      <w:pPr>
        <w:pStyle w:val="Kop2"/>
      </w:pPr>
      <w:bookmarkStart w:name="_Toc199166861" w:id="35"/>
      <w:bookmarkStart w:name="_Toc203573579" w:id="36"/>
      <w:bookmarkEnd w:id="34"/>
      <w:r w:rsidRPr="007129C6">
        <w:t>Inzet op en tevredenheid met de realisatie van activiteiten</w:t>
      </w:r>
      <w:bookmarkEnd w:id="35"/>
      <w:bookmarkEnd w:id="36"/>
    </w:p>
    <w:p w:rsidRPr="00283B39" w:rsidR="0095088E" w:rsidP="0095088E" w:rsidRDefault="0095088E" w14:paraId="6F201C18" w14:textId="62893DCE">
      <w:pPr>
        <w:pStyle w:val="SEOStandaard"/>
        <w:rPr>
          <w:rFonts w:ascii="Trebuchet MS" w:hAnsi="Trebuchet MS"/>
          <w:color w:val="auto"/>
          <w:sz w:val="18"/>
          <w:szCs w:val="18"/>
        </w:rPr>
      </w:pPr>
      <w:r w:rsidRPr="00283B39">
        <w:rPr>
          <w:rFonts w:ascii="Trebuchet MS" w:hAnsi="Trebuchet MS"/>
          <w:color w:val="auto"/>
          <w:sz w:val="18"/>
          <w:szCs w:val="18"/>
        </w:rPr>
        <w:t xml:space="preserve">Voor diverse onderwerpen is in kaart gebracht in hoeverre programmaleiders daarop ingezet hebben in hun eigen regio en hoe tevreden zij zijn over de gerealiseerde opbrengsten. Er wordt onderscheid gemaakt tussen lage en hoge inzet. Lage inzet omvat de antwoordcategorieën helemaal geen, nauwelijks of enigszins inzet; hoge inzet betreft sterke of zeer sterke inzet. De tevredenheid is op vergelijkbare wijze ingedeeld in lage tevredenheid (zeer ontevreden, ontevreden of neutraal over de opbrengsten) en hoge tevredenheid (tevreden of zeer tevreden). De inzet en tevredenheid op het gebied van techniekonderwijs worden gecombineerd getoond in figuur </w:t>
      </w:r>
      <w:r w:rsidR="003C58E0">
        <w:rPr>
          <w:rFonts w:ascii="Trebuchet MS" w:hAnsi="Trebuchet MS"/>
          <w:color w:val="auto"/>
          <w:sz w:val="18"/>
          <w:szCs w:val="18"/>
        </w:rPr>
        <w:t>4</w:t>
      </w:r>
      <w:r w:rsidRPr="00283B39">
        <w:rPr>
          <w:rFonts w:ascii="Trebuchet MS" w:hAnsi="Trebuchet MS"/>
          <w:color w:val="auto"/>
          <w:sz w:val="18"/>
          <w:szCs w:val="18"/>
        </w:rPr>
        <w:t xml:space="preserve">.5. </w:t>
      </w:r>
    </w:p>
    <w:p w:rsidR="0095088E" w:rsidP="0095088E" w:rsidRDefault="0095088E" w14:paraId="3E7B9123" w14:textId="77777777">
      <w:pPr>
        <w:pStyle w:val="SEOStandaard"/>
        <w:numPr>
          <w:ilvl w:val="0"/>
          <w:numId w:val="0"/>
        </w:numPr>
        <w:rPr>
          <w:rFonts w:ascii="Trebuchet MS" w:hAnsi="Trebuchet MS"/>
          <w:sz w:val="18"/>
          <w:szCs w:val="18"/>
        </w:rPr>
      </w:pPr>
    </w:p>
    <w:p w:rsidRPr="00283B39" w:rsidR="0095088E" w:rsidP="00283B39" w:rsidRDefault="003C58E0" w14:paraId="18E97033" w14:textId="4A1F1CF2">
      <w:pPr>
        <w:pStyle w:val="Figuur"/>
        <w:rPr>
          <w:rFonts w:ascii="Trebuchet MS" w:hAnsi="Trebuchet MS"/>
          <w:i/>
          <w:sz w:val="18"/>
          <w:szCs w:val="18"/>
        </w:rPr>
      </w:pPr>
      <w:r>
        <w:rPr>
          <w:rFonts w:ascii="Trebuchet MS" w:hAnsi="Trebuchet MS" w:eastAsiaTheme="minorEastAsia" w:cstheme="minorBidi"/>
          <w:i/>
          <w:iCs/>
          <w:noProof w:val="0"/>
          <w:sz w:val="18"/>
          <w:szCs w:val="18"/>
          <w:lang w:eastAsia="en-US"/>
        </w:rPr>
        <w:lastRenderedPageBreak/>
        <w:t xml:space="preserve">Figuur 4.5. </w:t>
      </w:r>
      <w:r w:rsidRPr="00283B39" w:rsidR="0095088E">
        <w:rPr>
          <w:rFonts w:ascii="Trebuchet MS" w:hAnsi="Trebuchet MS" w:eastAsiaTheme="minorEastAsia" w:cstheme="minorBidi"/>
          <w:i/>
          <w:sz w:val="18"/>
          <w:szCs w:val="18"/>
          <w:lang w:eastAsia="en-US"/>
        </w:rPr>
        <w:t>Mate van inzet en tevredenheid met opbrengsten op diverse terreinen</w:t>
      </w:r>
    </w:p>
    <w:p w:rsidRPr="007129C6" w:rsidR="0095088E" w:rsidP="0095088E" w:rsidRDefault="00C1036B" w14:paraId="4E821723" w14:textId="3D3FA15C">
      <w:pPr>
        <w:pStyle w:val="SEOStandaard"/>
        <w:numPr>
          <w:ilvl w:val="0"/>
          <w:numId w:val="0"/>
        </w:numPr>
        <w:rPr>
          <w:rFonts w:ascii="Trebuchet MS" w:hAnsi="Trebuchet MS"/>
          <w:sz w:val="18"/>
          <w:szCs w:val="18"/>
        </w:rPr>
      </w:pPr>
      <w:r>
        <w:rPr>
          <w:noProof/>
        </w:rPr>
        <w:drawing>
          <wp:inline distT="0" distB="0" distL="0" distR="0" wp14:anchorId="4D1E0ECD" wp14:editId="6F9F4119">
            <wp:extent cx="5943600" cy="4572000"/>
            <wp:effectExtent l="0" t="0" r="0" b="0"/>
            <wp:docPr id="1241227587" name="Grafiek 1">
              <a:extLst xmlns:a="http://schemas.openxmlformats.org/drawingml/2006/main">
                <a:ext uri="{FF2B5EF4-FFF2-40B4-BE49-F238E27FC236}">
                  <a16:creationId xmlns:a16="http://schemas.microsoft.com/office/drawing/2014/main" id="{DED6D426-8A1B-424E-B887-43B0DA9CF4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Pr="00283B39" w:rsidR="0095088E" w:rsidP="780653D5" w:rsidRDefault="003C58E0" w14:paraId="6FBE85E9" w14:textId="6A3A15CC">
      <w:pPr>
        <w:pStyle w:val="SEOStandaard"/>
        <w:numPr>
          <w:ilvl w:val="0"/>
          <w:numId w:val="0"/>
        </w:numPr>
        <w:rPr>
          <w:rFonts w:ascii="Trebuchet MS" w:hAnsi="Trebuchet MS"/>
        </w:rPr>
      </w:pPr>
      <w:r w:rsidRPr="780653D5">
        <w:rPr>
          <w:rFonts w:ascii="Trebuchet MS" w:hAnsi="Trebuchet MS"/>
          <w:color w:val="auto"/>
          <w:sz w:val="18"/>
          <w:szCs w:val="18"/>
        </w:rPr>
        <w:t xml:space="preserve">Bron: </w:t>
      </w:r>
      <w:r w:rsidRPr="780653D5" w:rsidR="0095088E">
        <w:rPr>
          <w:rFonts w:ascii="Trebuchet MS" w:hAnsi="Trebuchet MS"/>
          <w:color w:val="auto"/>
          <w:sz w:val="18"/>
          <w:szCs w:val="18"/>
        </w:rPr>
        <w:t xml:space="preserve">Enquête programmaleiders STO (april 2025). </w:t>
      </w:r>
    </w:p>
    <w:p w:rsidRPr="007129C6" w:rsidR="0095088E" w:rsidP="0095088E" w:rsidRDefault="0095088E" w14:paraId="7B242092" w14:textId="77777777">
      <w:pPr>
        <w:pStyle w:val="SEOStandaard"/>
        <w:numPr>
          <w:ilvl w:val="0"/>
          <w:numId w:val="0"/>
        </w:numPr>
        <w:rPr>
          <w:rFonts w:ascii="Trebuchet MS" w:hAnsi="Trebuchet MS"/>
          <w:sz w:val="18"/>
          <w:szCs w:val="18"/>
        </w:rPr>
      </w:pPr>
    </w:p>
    <w:p w:rsidRPr="00283B39" w:rsidR="0095088E" w:rsidP="0095088E" w:rsidRDefault="0095088E" w14:paraId="14BDA611" w14:textId="77777777">
      <w:pPr>
        <w:pStyle w:val="SEOStandaardN"/>
        <w:rPr>
          <w:rFonts w:ascii="Trebuchet MS" w:hAnsi="Trebuchet MS"/>
          <w:color w:val="auto"/>
          <w:sz w:val="18"/>
          <w:szCs w:val="18"/>
        </w:rPr>
      </w:pPr>
      <w:r w:rsidRPr="00283B39">
        <w:rPr>
          <w:rFonts w:ascii="Trebuchet MS" w:hAnsi="Trebuchet MS"/>
          <w:color w:val="auto"/>
          <w:sz w:val="18"/>
          <w:szCs w:val="18"/>
        </w:rPr>
        <w:t>Deze figuur laat zien dat de inzet op verschillende aspecten van STO  over het algemeen hoog is: bij 10 van de 12 terreinen wordt een hoge inzet gerapporteerd door meer dan 50 procent van de programmaleiders. STO-regio’s zetten vooral sterk in op up-to-date apparatuur en faciliteiten, instroombevordering van leerlingen in de technische profielen, innovatief en up-to-date technisch onderwijs, en het techniekaanbod bereikbaar maken of houden voor leerlingen in de regio (de inzet is respectievelijk 81, 89 en 75 procent, ongeacht de mate van tevredenheid). Ze zetten minder in op het werven van voldoende techniekdocenten/instructeurs/hybride docenten en de kwaliteit van de docenten/instructeurs (ongeveer 4 op de 10).</w:t>
      </w:r>
    </w:p>
    <w:p w:rsidRPr="00283B39" w:rsidR="0095088E" w:rsidP="0095088E" w:rsidRDefault="0095088E" w14:paraId="5D420EFF" w14:textId="77777777">
      <w:pPr>
        <w:pStyle w:val="SEOStandaard"/>
        <w:rPr>
          <w:rFonts w:ascii="Trebuchet MS" w:hAnsi="Trebuchet MS"/>
          <w:color w:val="auto"/>
          <w:sz w:val="18"/>
          <w:szCs w:val="18"/>
        </w:rPr>
      </w:pPr>
    </w:p>
    <w:p w:rsidRPr="00283B39" w:rsidR="0095088E" w:rsidP="0095088E" w:rsidRDefault="0095088E" w14:paraId="4A462ECB" w14:textId="77777777">
      <w:pPr>
        <w:pStyle w:val="SEOStandaardN"/>
        <w:rPr>
          <w:rFonts w:ascii="Trebuchet MS" w:hAnsi="Trebuchet MS"/>
          <w:color w:val="auto"/>
          <w:sz w:val="18"/>
          <w:szCs w:val="18"/>
        </w:rPr>
      </w:pPr>
      <w:r w:rsidRPr="00283B39">
        <w:rPr>
          <w:rFonts w:ascii="Trebuchet MS" w:hAnsi="Trebuchet MS"/>
          <w:color w:val="auto"/>
          <w:sz w:val="18"/>
          <w:szCs w:val="18"/>
        </w:rPr>
        <w:t xml:space="preserve">Over het algemeen is men ook tevreden over de realisatie van activiteiten: bij 9 van de 12 terreinen wordt een hoge tevredenheid gerapporteerd door meer dan 50 procent. Lagere tevredenheid (4 op de 10) is zichtbaar bij het werven van voldoende techniekdocenten, instructeurs en hybride docenten, de kwaliteit van docenten en het breder inzetten van techniek in het vmbo. </w:t>
      </w:r>
    </w:p>
    <w:p w:rsidRPr="00283B39" w:rsidR="0095088E" w:rsidP="0095088E" w:rsidRDefault="0095088E" w14:paraId="017DF9A4" w14:textId="77777777">
      <w:pPr>
        <w:pStyle w:val="SEOStandaard"/>
        <w:rPr>
          <w:rFonts w:ascii="Trebuchet MS" w:hAnsi="Trebuchet MS"/>
          <w:color w:val="auto"/>
          <w:sz w:val="18"/>
          <w:szCs w:val="18"/>
        </w:rPr>
      </w:pPr>
    </w:p>
    <w:p w:rsidRPr="00283B39" w:rsidR="0095088E" w:rsidP="0095088E" w:rsidRDefault="0095088E" w14:paraId="4A989FC9" w14:textId="77777777">
      <w:pPr>
        <w:pStyle w:val="SEOStandaardN"/>
        <w:rPr>
          <w:rFonts w:ascii="Trebuchet MS" w:hAnsi="Trebuchet MS"/>
          <w:color w:val="auto"/>
          <w:sz w:val="18"/>
          <w:szCs w:val="18"/>
        </w:rPr>
      </w:pPr>
      <w:r w:rsidRPr="00283B39">
        <w:rPr>
          <w:rFonts w:ascii="Trebuchet MS" w:hAnsi="Trebuchet MS"/>
          <w:color w:val="auto"/>
          <w:sz w:val="18"/>
          <w:szCs w:val="18"/>
        </w:rPr>
        <w:t>Meestal correspondeert de inzet met de tevredenheid. Daarin zijn echter een aantal opvallende resultaten.  Bij instroombevordering van leerlingen in de technische profielen, scholing/professionalisering van techniekdocenten, breder inzetten van techniek in het vmbo en het techniekaanbod bereikbaar houden, is er relatief vaak lage tevredenheid ondanks een hoge inzet (15 tot 19 procent). Bij kwaliteit van de docenten/instructeurs is er juist relatief vaak hoge tevredenheid ondanks de lage inzet (17 procent); hoewel ook daar de grootste groep een lage inzet én tevredenheid ervaart (ruim 4 op de 10).</w:t>
      </w:r>
    </w:p>
    <w:p w:rsidRPr="007129C6" w:rsidR="0095088E" w:rsidP="0095088E" w:rsidRDefault="0095088E" w14:paraId="7440127D" w14:textId="77777777">
      <w:pPr>
        <w:pStyle w:val="SEOStandaardB"/>
        <w:rPr>
          <w:rFonts w:ascii="Trebuchet MS" w:hAnsi="Trebuchet MS"/>
          <w:sz w:val="18"/>
          <w:szCs w:val="18"/>
        </w:rPr>
      </w:pPr>
    </w:p>
    <w:p w:rsidRPr="00283B39" w:rsidR="0095088E" w:rsidP="0095088E" w:rsidRDefault="0095088E" w14:paraId="59123BB9" w14:textId="0233967D">
      <w:pPr>
        <w:pStyle w:val="SEOStandaard"/>
        <w:rPr>
          <w:rStyle w:val="Nadruk"/>
          <w:rFonts w:ascii="Trebuchet MS" w:hAnsi="Trebuchet MS"/>
          <w:color w:val="auto"/>
          <w:sz w:val="18"/>
          <w:szCs w:val="18"/>
        </w:rPr>
      </w:pPr>
      <w:r w:rsidRPr="00283B39">
        <w:rPr>
          <w:rStyle w:val="Nadruk"/>
          <w:rFonts w:ascii="Trebuchet MS" w:hAnsi="Trebuchet MS"/>
          <w:color w:val="auto"/>
          <w:sz w:val="18"/>
          <w:szCs w:val="18"/>
        </w:rPr>
        <w:t>Tevredenheid over opbrengsten naar inzet</w:t>
      </w:r>
    </w:p>
    <w:p w:rsidRPr="00283B39" w:rsidR="0095088E" w:rsidP="0095088E" w:rsidRDefault="0095088E" w14:paraId="2B89FADB" w14:textId="46150557">
      <w:pPr>
        <w:pStyle w:val="SEOStandaard"/>
        <w:rPr>
          <w:rFonts w:ascii="Trebuchet MS" w:hAnsi="Trebuchet MS"/>
          <w:color w:val="auto"/>
          <w:sz w:val="18"/>
          <w:szCs w:val="18"/>
        </w:rPr>
      </w:pPr>
      <w:r w:rsidRPr="00283B39">
        <w:rPr>
          <w:rFonts w:ascii="Trebuchet MS" w:hAnsi="Trebuchet MS"/>
          <w:color w:val="auto"/>
          <w:sz w:val="18"/>
          <w:szCs w:val="18"/>
        </w:rPr>
        <w:t xml:space="preserve">In de onderstaande figuur is de inzet en de tevredenheid over de resultaten daarvan in beeld gebracht voor diverse aspecten van de samenwerking (figuur </w:t>
      </w:r>
      <w:r w:rsidR="001C3DD8">
        <w:rPr>
          <w:rFonts w:ascii="Trebuchet MS" w:hAnsi="Trebuchet MS"/>
          <w:color w:val="auto"/>
          <w:sz w:val="18"/>
          <w:szCs w:val="18"/>
        </w:rPr>
        <w:t>4</w:t>
      </w:r>
      <w:r w:rsidRPr="00283B39">
        <w:rPr>
          <w:rFonts w:ascii="Trebuchet MS" w:hAnsi="Trebuchet MS"/>
          <w:color w:val="auto"/>
          <w:sz w:val="18"/>
          <w:szCs w:val="18"/>
        </w:rPr>
        <w:t xml:space="preserve">.6). </w:t>
      </w:r>
    </w:p>
    <w:p w:rsidR="00C60CA8" w:rsidP="00C60CA8" w:rsidRDefault="00C60CA8" w14:paraId="0BDB7B81" w14:textId="77777777">
      <w:pPr>
        <w:pStyle w:val="Figuur"/>
        <w:rPr>
          <w:rFonts w:ascii="Trebuchet MS" w:hAnsi="Trebuchet MS" w:eastAsiaTheme="minorEastAsia" w:cstheme="minorBidi"/>
          <w:i/>
          <w:iCs/>
          <w:noProof w:val="0"/>
          <w:sz w:val="18"/>
          <w:szCs w:val="18"/>
          <w:lang w:eastAsia="en-US"/>
        </w:rPr>
      </w:pPr>
    </w:p>
    <w:p w:rsidRPr="00283B39" w:rsidR="0095088E" w:rsidP="780653D5" w:rsidRDefault="00C60CA8" w14:paraId="67696472" w14:textId="6F8A9650">
      <w:pPr>
        <w:pStyle w:val="Figuur"/>
        <w:rPr>
          <w:rFonts w:ascii="Trebuchet MS" w:hAnsi="Trebuchet MS"/>
          <w:i/>
          <w:iCs/>
          <w:sz w:val="18"/>
          <w:szCs w:val="18"/>
        </w:rPr>
      </w:pPr>
      <w:r w:rsidRPr="780653D5">
        <w:rPr>
          <w:rFonts w:ascii="Trebuchet MS" w:hAnsi="Trebuchet MS" w:eastAsiaTheme="minorEastAsia" w:cstheme="minorBidi"/>
          <w:i/>
          <w:iCs/>
          <w:noProof w:val="0"/>
          <w:sz w:val="18"/>
          <w:szCs w:val="18"/>
          <w:lang w:eastAsia="en-US"/>
        </w:rPr>
        <w:t xml:space="preserve">Figuur 4.6. </w:t>
      </w:r>
      <w:r w:rsidRPr="780653D5" w:rsidR="0095088E">
        <w:rPr>
          <w:rFonts w:ascii="Trebuchet MS" w:hAnsi="Trebuchet MS" w:eastAsiaTheme="minorEastAsia" w:cstheme="minorBidi"/>
          <w:i/>
          <w:iCs/>
          <w:sz w:val="18"/>
          <w:szCs w:val="18"/>
          <w:lang w:eastAsia="en-US"/>
        </w:rPr>
        <w:t>Mate van inzet en tevredenheid met opbrengsten op diverse aspecten van samenwerking</w:t>
      </w:r>
    </w:p>
    <w:p w:rsidRPr="007129C6" w:rsidR="0095088E" w:rsidP="00426692" w:rsidRDefault="000226B0" w14:paraId="22ACE9A7" w14:textId="00416550">
      <w:pPr>
        <w:pStyle w:val="SEOStandaard"/>
        <w:rPr>
          <w:rFonts w:ascii="Trebuchet MS" w:hAnsi="Trebuchet MS"/>
          <w:sz w:val="18"/>
          <w:szCs w:val="18"/>
        </w:rPr>
      </w:pPr>
      <w:r>
        <w:rPr>
          <w:noProof/>
        </w:rPr>
        <w:drawing>
          <wp:inline distT="0" distB="0" distL="0" distR="0" wp14:anchorId="67D858D8" wp14:editId="623E2BBD">
            <wp:extent cx="5943600" cy="5292000"/>
            <wp:effectExtent l="0" t="0" r="0" b="4445"/>
            <wp:docPr id="1429252235" name="Grafiek 1">
              <a:extLst xmlns:a="http://schemas.openxmlformats.org/drawingml/2006/main">
                <a:ext uri="{FF2B5EF4-FFF2-40B4-BE49-F238E27FC236}">
                  <a16:creationId xmlns:a16="http://schemas.microsoft.com/office/drawing/2014/main" id="{904A4812-B4D8-4CB8-A15B-067F089FA4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Pr="007129C6" w:rsidR="0095088E" w:rsidP="780653D5" w:rsidRDefault="00C60CA8" w14:paraId="04BE925F" w14:textId="4B83E5C5">
      <w:pPr>
        <w:pStyle w:val="SEOStandaard"/>
        <w:numPr>
          <w:ilvl w:val="0"/>
          <w:numId w:val="0"/>
        </w:numPr>
        <w:rPr>
          <w:rFonts w:ascii="Trebuchet MS" w:hAnsi="Trebuchet MS"/>
        </w:rPr>
      </w:pPr>
      <w:r w:rsidRPr="780653D5">
        <w:rPr>
          <w:rFonts w:ascii="Trebuchet MS" w:hAnsi="Trebuchet MS"/>
          <w:color w:val="auto"/>
          <w:sz w:val="18"/>
          <w:szCs w:val="18"/>
        </w:rPr>
        <w:t xml:space="preserve">Bron: </w:t>
      </w:r>
      <w:r w:rsidRPr="780653D5" w:rsidR="0095088E">
        <w:rPr>
          <w:rFonts w:ascii="Trebuchet MS" w:hAnsi="Trebuchet MS"/>
          <w:color w:val="auto"/>
          <w:sz w:val="18"/>
          <w:szCs w:val="18"/>
        </w:rPr>
        <w:t xml:space="preserve">Enquête programmaleiders STO (april 2025). </w:t>
      </w:r>
    </w:p>
    <w:p w:rsidRPr="007129C6" w:rsidR="0095088E" w:rsidP="0095088E" w:rsidRDefault="0095088E" w14:paraId="1E020B13" w14:textId="77777777">
      <w:pPr>
        <w:rPr>
          <w:szCs w:val="18"/>
        </w:rPr>
      </w:pPr>
    </w:p>
    <w:p w:rsidRPr="00283B39" w:rsidR="0095088E" w:rsidP="0095088E" w:rsidRDefault="0095088E" w14:paraId="4F6F9318" w14:textId="6C506E94">
      <w:pPr>
        <w:pStyle w:val="SEOStandaard"/>
        <w:rPr>
          <w:rFonts w:ascii="Trebuchet MS" w:hAnsi="Trebuchet MS"/>
          <w:color w:val="auto"/>
          <w:sz w:val="18"/>
          <w:szCs w:val="18"/>
        </w:rPr>
      </w:pPr>
      <w:r w:rsidRPr="00283B39">
        <w:rPr>
          <w:rFonts w:ascii="Trebuchet MS" w:hAnsi="Trebuchet MS"/>
          <w:color w:val="auto"/>
          <w:sz w:val="18"/>
          <w:szCs w:val="18"/>
        </w:rPr>
        <w:t xml:space="preserve">De </w:t>
      </w:r>
      <w:r w:rsidR="000D18CB">
        <w:rPr>
          <w:rFonts w:ascii="Trebuchet MS" w:hAnsi="Trebuchet MS"/>
          <w:color w:val="auto"/>
          <w:sz w:val="18"/>
          <w:szCs w:val="18"/>
        </w:rPr>
        <w:t>figuur</w:t>
      </w:r>
      <w:r w:rsidRPr="00283B39" w:rsidR="000D18CB">
        <w:rPr>
          <w:rFonts w:ascii="Trebuchet MS" w:hAnsi="Trebuchet MS"/>
          <w:color w:val="auto"/>
          <w:sz w:val="18"/>
          <w:szCs w:val="18"/>
        </w:rPr>
        <w:t xml:space="preserve"> </w:t>
      </w:r>
      <w:r w:rsidRPr="00283B39">
        <w:rPr>
          <w:rFonts w:ascii="Trebuchet MS" w:hAnsi="Trebuchet MS"/>
          <w:color w:val="auto"/>
          <w:sz w:val="18"/>
          <w:szCs w:val="18"/>
        </w:rPr>
        <w:t xml:space="preserve">geeft allereerst zicht op de prioriteiten van regio’s. Daaruit blijkt dat er een groot verschil is in de onderwerpen waar de regio’s inzet op hebben gepleegd: zo zijn er bijvoorbeeld relatief weinig regio’s bezig geweest met afspraken met het mbo rond apparatuur en keuzevakken en is relatief veel aandacht uitgegaan naar het primair onderwijs. Op alle aspecten is er binnen STO wel samenwerking tot stand gekomen, die er voorheen vaak niet of veel minder was.  </w:t>
      </w:r>
    </w:p>
    <w:p w:rsidRPr="00283B39" w:rsidR="00C60CA8" w:rsidP="0095088E" w:rsidRDefault="00C60CA8" w14:paraId="5F789A68" w14:textId="77777777">
      <w:pPr>
        <w:pStyle w:val="SEOStandaard"/>
        <w:rPr>
          <w:rFonts w:ascii="Trebuchet MS" w:hAnsi="Trebuchet MS"/>
          <w:color w:val="auto"/>
          <w:sz w:val="18"/>
          <w:szCs w:val="18"/>
        </w:rPr>
      </w:pPr>
    </w:p>
    <w:p w:rsidRPr="00283B39" w:rsidR="0095088E" w:rsidP="0095088E" w:rsidRDefault="0095088E" w14:paraId="5C36B20B" w14:textId="77777777">
      <w:pPr>
        <w:pStyle w:val="SEOStandaard"/>
        <w:rPr>
          <w:rFonts w:ascii="Trebuchet MS" w:hAnsi="Trebuchet MS"/>
          <w:color w:val="auto"/>
          <w:sz w:val="18"/>
          <w:szCs w:val="18"/>
        </w:rPr>
      </w:pPr>
      <w:r w:rsidRPr="00283B39">
        <w:rPr>
          <w:rFonts w:ascii="Trebuchet MS" w:hAnsi="Trebuchet MS"/>
          <w:color w:val="auto"/>
          <w:sz w:val="18"/>
          <w:szCs w:val="18"/>
        </w:rPr>
        <w:t xml:space="preserve">Bij 10 van de 14 onderwerpen wordt een lage inzet door meer dan 50 procent van de programmaleiders gerapporteerd. Dat geldt vooral voor afspraken met het mbo over de aanschaf en het gebruik van apparatuur (bijna 9 op de 10 lage inzet) en de uitwisseling van leerlingen tussen vmbo-scholen voor deelname aan profielen/keuzevakken/activiteiten (7 op de 10 lage inzet). Een relatief hoge inzet is zichtbaar bij promotie en </w:t>
      </w:r>
      <w:r w:rsidRPr="00283B39">
        <w:rPr>
          <w:rFonts w:ascii="Trebuchet MS" w:hAnsi="Trebuchet MS"/>
          <w:color w:val="auto"/>
          <w:sz w:val="18"/>
          <w:szCs w:val="18"/>
        </w:rPr>
        <w:lastRenderedPageBreak/>
        <w:t>beeldvorming van techniek bij het basisonderwijs (ruim 7 op de 10 hoge inzet), deelname van bedrijven aan keuzevakken en activiteiten (6 op de 10), het technisch aanbod afstemmen met bedrijven (6 op de 10), en het gebruik van apparatuur/faciliteiten door basisscholen (ruim 5 op de 10).</w:t>
      </w:r>
    </w:p>
    <w:p w:rsidRPr="007129C6" w:rsidR="0095088E" w:rsidP="0095088E" w:rsidRDefault="0095088E" w14:paraId="4F0333C6" w14:textId="77777777">
      <w:pPr>
        <w:pStyle w:val="SEOStandaard"/>
        <w:rPr>
          <w:rFonts w:ascii="Trebuchet MS" w:hAnsi="Trebuchet MS"/>
          <w:sz w:val="18"/>
          <w:szCs w:val="18"/>
        </w:rPr>
      </w:pPr>
    </w:p>
    <w:p w:rsidRPr="00283B39" w:rsidR="0095088E" w:rsidP="0095088E" w:rsidRDefault="0095088E" w14:paraId="39592989" w14:textId="6C374652">
      <w:pPr>
        <w:pStyle w:val="SEOStandaard"/>
        <w:rPr>
          <w:rFonts w:ascii="Trebuchet MS" w:hAnsi="Trebuchet MS"/>
          <w:color w:val="auto"/>
          <w:sz w:val="18"/>
          <w:szCs w:val="18"/>
        </w:rPr>
      </w:pPr>
      <w:r w:rsidRPr="00283B39">
        <w:rPr>
          <w:rFonts w:ascii="Trebuchet MS" w:hAnsi="Trebuchet MS"/>
          <w:color w:val="auto"/>
          <w:sz w:val="18"/>
          <w:szCs w:val="18"/>
        </w:rPr>
        <w:t>Ook wordt er relatief vaak lage tevredenheid gerapporteerd: bij 10 van de 14 stellingen is meer dan de helft niet tevreden. Dat geldt vaak zeer specifieke afspraken waar een groot deel van de regio’s niet mee bezig is geweest. Hogere tevredenheid zien we wel terug bij promotie en beeldvorming van techniek bij het basisonderwijs (bijna 7 op de 10), gebruik van apparatuur en faciliteiten door basisscholen (6 op de 10), het aanbod afstemmen met bedrijven (6 op de 10) en deelname van bedrijven aan keuzevakken en activiteiten (7 op de 10). De onderwerpen/gemaakte afspraken laten zien dat er meer wordt nagedacht over duurzaamheid, door af te stemmen en faciliteiten te delen.</w:t>
      </w:r>
    </w:p>
    <w:p w:rsidRPr="00283B39" w:rsidR="0095088E" w:rsidP="0095088E" w:rsidRDefault="0095088E" w14:paraId="3ACFC6E5" w14:textId="77777777">
      <w:pPr>
        <w:pStyle w:val="SEOStandaard"/>
        <w:numPr>
          <w:ilvl w:val="0"/>
          <w:numId w:val="0"/>
        </w:numPr>
        <w:rPr>
          <w:rFonts w:ascii="Trebuchet MS" w:hAnsi="Trebuchet MS"/>
          <w:color w:val="auto"/>
          <w:sz w:val="18"/>
          <w:szCs w:val="18"/>
        </w:rPr>
      </w:pPr>
    </w:p>
    <w:p w:rsidRPr="00283B39" w:rsidR="0095088E" w:rsidP="0095088E" w:rsidRDefault="0095088E" w14:paraId="2C9B48EF" w14:textId="77777777">
      <w:pPr>
        <w:pStyle w:val="SEOStandaard"/>
        <w:rPr>
          <w:rFonts w:ascii="Trebuchet MS" w:hAnsi="Trebuchet MS"/>
          <w:color w:val="auto"/>
          <w:sz w:val="18"/>
          <w:szCs w:val="18"/>
        </w:rPr>
      </w:pPr>
      <w:r w:rsidRPr="00283B39">
        <w:rPr>
          <w:rFonts w:ascii="Trebuchet MS" w:hAnsi="Trebuchet MS"/>
          <w:color w:val="auto"/>
          <w:sz w:val="18"/>
          <w:szCs w:val="18"/>
        </w:rPr>
        <w:t>In de meeste gevallen is er sprake van een samenhang tussen inzet en tevredenheid over de opbrengsten, hoewel er ook hier enkele uitzonderingen zijn: bij de afstemming met het mbo rond doorstroom is er relatief vaak sprake van een hoge inzet in combinatie met een lage tevredenheid (bijna 2 op de 10). Hetzelfde geldt voor de afstemming met andere vmbo-scholen over het aanbod van technische profielen (15 procent). Dat zijn kennelijk onderwerpen die soms moeizaam verlopen. Een lage inzet in combinatie met een hoge tevredenheid is er bij afspraken met andere vmbo-scholen over de aanschaf van apparatuur (bijna 2 op de 10) en bij het afstemmen van het technisch aanbod met bedrijven (ook bijna 2 op 10)).</w:t>
      </w:r>
    </w:p>
    <w:p w:rsidRPr="00283B39" w:rsidR="0095088E" w:rsidP="0095088E" w:rsidRDefault="0095088E" w14:paraId="49B4C4A1" w14:textId="77777777">
      <w:pPr>
        <w:pStyle w:val="SEOStandaard"/>
        <w:rPr>
          <w:rFonts w:ascii="Trebuchet MS" w:hAnsi="Trebuchet MS"/>
          <w:b/>
          <w:color w:val="auto"/>
          <w:sz w:val="18"/>
          <w:szCs w:val="18"/>
        </w:rPr>
      </w:pPr>
    </w:p>
    <w:p w:rsidRPr="003A392B" w:rsidR="0095088E" w:rsidP="0017582A" w:rsidRDefault="0095088E" w14:paraId="054117C0" w14:textId="46567790">
      <w:pPr>
        <w:pStyle w:val="SEOStandaard"/>
        <w:rPr>
          <w:b/>
          <w:bCs/>
          <w:szCs w:val="18"/>
        </w:rPr>
      </w:pPr>
      <w:bookmarkStart w:name="_Hlk199167956" w:id="37"/>
      <w:r w:rsidRPr="003A392B">
        <w:rPr>
          <w:rFonts w:ascii="Trebuchet MS" w:hAnsi="Trebuchet MS"/>
          <w:color w:val="auto"/>
          <w:sz w:val="18"/>
          <w:szCs w:val="18"/>
        </w:rPr>
        <w:t>Overall is er binnen STO veel inzet gepleegd op alle onderwerpen, samengaand met een hoge tevredenheid met de opbrengsten ervan. Op sommige terreinen is de tevredenheid met de gerealiseerde opbrengst laag, ondanks de hoge inzet, zoals bij instroombevordering en het breder inzetten van techniek in het vmbo. Dat laatste staat centraal in de volgende fase van STO. Er is op diverse terreinen samenwerking tot stand gekomen binnen STO. Op een aantal specifieke terreinen is de inzet vaak (relatief) laag, net als de tevredenheid. Positieve uitzonderingen zijn samenwerking met het basisonderwijs en samenwerking met bedrijven.</w:t>
      </w:r>
    </w:p>
    <w:p w:rsidRPr="007129C6" w:rsidR="00404A11" w:rsidP="000E42F9" w:rsidRDefault="00404A11" w14:paraId="36589AC1" w14:textId="77777777">
      <w:pPr>
        <w:pStyle w:val="SEOStandaard"/>
        <w:numPr>
          <w:ilvl w:val="0"/>
          <w:numId w:val="0"/>
        </w:numPr>
        <w:rPr>
          <w:rFonts w:ascii="Trebuchet MS" w:hAnsi="Trebuchet MS"/>
          <w:b/>
          <w:bCs/>
          <w:sz w:val="18"/>
          <w:szCs w:val="18"/>
        </w:rPr>
      </w:pPr>
      <w:bookmarkStart w:name="_Toc199166862" w:id="38"/>
      <w:bookmarkEnd w:id="37"/>
    </w:p>
    <w:p w:rsidRPr="007129C6" w:rsidR="0095088E" w:rsidP="000E42F9" w:rsidRDefault="0095088E" w14:paraId="01E4B99C" w14:textId="77777777">
      <w:pPr>
        <w:pStyle w:val="Kop2"/>
      </w:pPr>
      <w:bookmarkStart w:name="_Toc203573580" w:id="39"/>
      <w:r w:rsidRPr="007129C6">
        <w:t>Opbrengsten en impact van STO</w:t>
      </w:r>
      <w:bookmarkEnd w:id="38"/>
      <w:bookmarkEnd w:id="39"/>
      <w:r w:rsidRPr="007129C6">
        <w:t xml:space="preserve"> </w:t>
      </w:r>
    </w:p>
    <w:p w:rsidR="0095088E" w:rsidP="0095088E" w:rsidRDefault="0095088E" w14:paraId="3EB14002" w14:textId="2F7ABDF6">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 xml:space="preserve">Het ingaan van een nieuwe subsidieperiode (2025-2029) is een geschikt moment om de balans op te maken en de opbrengsten en impact van STO (2020-2024) in kaart te brengen. We doen dit onder andere door te kijken naar de realisatie van opbrengsten waarbij aan de programmaleiders is gevraagd in welke mate in de afgesloten STO-periode (2020-2024) opbrengsten in hun regio zijn gerealiseerd op diverse terreinen. Figuur </w:t>
      </w:r>
      <w:r w:rsidR="00140841">
        <w:rPr>
          <w:rFonts w:ascii="Trebuchet MS" w:hAnsi="Trebuchet MS"/>
          <w:color w:val="auto"/>
          <w:sz w:val="18"/>
          <w:szCs w:val="18"/>
        </w:rPr>
        <w:t>4</w:t>
      </w:r>
      <w:r w:rsidRPr="00283B39">
        <w:rPr>
          <w:rFonts w:ascii="Trebuchet MS" w:hAnsi="Trebuchet MS"/>
          <w:color w:val="auto"/>
          <w:sz w:val="18"/>
          <w:szCs w:val="18"/>
        </w:rPr>
        <w:t xml:space="preserve">.7 toont de terreinen waarnaar gevraagd is en de mate van realisatie, lopend van geen tot veel. </w:t>
      </w:r>
    </w:p>
    <w:p w:rsidR="00C07E99" w:rsidP="0095088E" w:rsidRDefault="00C07E99" w14:paraId="6C399719" w14:textId="77777777">
      <w:pPr>
        <w:pStyle w:val="SEOStandaard"/>
        <w:numPr>
          <w:ilvl w:val="0"/>
          <w:numId w:val="0"/>
        </w:numPr>
        <w:rPr>
          <w:rFonts w:ascii="Trebuchet MS" w:hAnsi="Trebuchet MS"/>
          <w:color w:val="auto"/>
          <w:sz w:val="18"/>
          <w:szCs w:val="18"/>
        </w:rPr>
      </w:pPr>
    </w:p>
    <w:p w:rsidRPr="00283B39" w:rsidR="00C07E99" w:rsidP="00C07E99" w:rsidRDefault="00C07E99" w14:paraId="7A0ECB1B" w14:textId="77777777">
      <w:pPr>
        <w:pStyle w:val="SEOStandaardN"/>
        <w:rPr>
          <w:rFonts w:ascii="Trebuchet MS" w:hAnsi="Trebuchet MS"/>
          <w:color w:val="auto"/>
          <w:sz w:val="18"/>
          <w:szCs w:val="18"/>
        </w:rPr>
      </w:pPr>
      <w:r w:rsidRPr="00283B39">
        <w:rPr>
          <w:rFonts w:ascii="Trebuchet MS" w:hAnsi="Trebuchet MS"/>
          <w:color w:val="auto"/>
          <w:sz w:val="18"/>
          <w:szCs w:val="18"/>
        </w:rPr>
        <w:t xml:space="preserve">Op de meeste terreinen zijn in de afgelopen STO-periode opbrengsten gerealiseerd volgens de programmaleiders. Dit loopt van terreinen waar iets meer dan de helft van de programmaleiders behoorlijk of veel realisatie rapporteren tot terreinen waar bijna alle programmaleiders behoorlijk of veel opbrengsten gerealiseerd hebben. Op geen enkel terrein melden meer dan twee van de 48 bevraagde STO-regio’s dat er geen opbrengsten zijn gerealiseerd. </w:t>
      </w:r>
    </w:p>
    <w:p w:rsidRPr="00283B39" w:rsidR="00C07E99" w:rsidP="00C07E99" w:rsidRDefault="00C07E99" w14:paraId="2492BF19" w14:textId="77777777">
      <w:pPr>
        <w:pStyle w:val="SEOStandaard"/>
        <w:rPr>
          <w:rFonts w:ascii="Trebuchet MS" w:hAnsi="Trebuchet MS"/>
          <w:color w:val="auto"/>
          <w:sz w:val="18"/>
          <w:szCs w:val="18"/>
        </w:rPr>
      </w:pPr>
    </w:p>
    <w:p w:rsidRPr="00C07E99" w:rsidR="00C07E99" w:rsidP="00C07E99" w:rsidRDefault="00C07E99" w14:paraId="3F6FDFF8" w14:textId="77777777">
      <w:pPr>
        <w:pStyle w:val="SEOStandaard"/>
        <w:rPr>
          <w:rFonts w:ascii="Trebuchet MS" w:hAnsi="Trebuchet MS"/>
          <w:color w:val="auto"/>
          <w:sz w:val="18"/>
          <w:szCs w:val="18"/>
        </w:rPr>
      </w:pPr>
      <w:r w:rsidRPr="00C07E99">
        <w:rPr>
          <w:rFonts w:ascii="Trebuchet MS" w:hAnsi="Trebuchet MS"/>
          <w:color w:val="auto"/>
          <w:sz w:val="18"/>
          <w:szCs w:val="18"/>
        </w:rPr>
        <w:t>Het vaakst zijn opbrengsten volgens de programmaleiders gerealiseerd op het gebied van (her)inrichting van het regionale techniekaanbod (bijna 9 op de 10), samenwerking tussen verschillende partijen van STO (nagenoeg alle programmaleiders), beeldvorming ten aanzien van techniek (bijna 9 op de 10), de kwaliteit van het techniekonderwijs/de technieklessen (8 op de 10) en de aansluiting op de regionale vraag van het bedrijfsleven (7 op de 10). De minste opbrengsten zijn er bij de realisatie van voldoende techniekdocente</w:t>
      </w:r>
      <w:r w:rsidRPr="00140841">
        <w:t>n</w:t>
      </w:r>
      <w:r w:rsidRPr="00C07E99">
        <w:rPr>
          <w:rFonts w:ascii="Trebuchet MS" w:hAnsi="Trebuchet MS"/>
          <w:color w:val="auto"/>
          <w:sz w:val="18"/>
          <w:szCs w:val="18"/>
        </w:rPr>
        <w:t xml:space="preserve"> (5 op de 10), aansluiting met het mbo (6 op de 10) en de aantallen techniekleerlingen in de profielen (6 op de 10), hoewel het hier dus ook nog steeds gaat om (meer dan) de helft van de programmaleiders die op deze terreinen minstens behoorlijk opbrengsten ziet.</w:t>
      </w:r>
    </w:p>
    <w:p w:rsidRPr="00283B39" w:rsidR="00C07E99" w:rsidP="0095088E" w:rsidRDefault="00C07E99" w14:paraId="116413EA" w14:textId="77777777">
      <w:pPr>
        <w:pStyle w:val="SEOStandaard"/>
        <w:numPr>
          <w:ilvl w:val="0"/>
          <w:numId w:val="0"/>
        </w:numPr>
        <w:rPr>
          <w:rFonts w:ascii="Trebuchet MS" w:hAnsi="Trebuchet MS"/>
          <w:color w:val="auto"/>
          <w:sz w:val="18"/>
          <w:szCs w:val="18"/>
        </w:rPr>
      </w:pPr>
    </w:p>
    <w:p w:rsidRPr="00283B39" w:rsidR="0095088E" w:rsidP="00283B39" w:rsidRDefault="00140841" w14:paraId="30F15842" w14:textId="7FD0326E">
      <w:pPr>
        <w:pStyle w:val="Figuur"/>
        <w:rPr>
          <w:rFonts w:ascii="Trebuchet MS" w:hAnsi="Trebuchet MS"/>
          <w:i/>
          <w:sz w:val="18"/>
          <w:szCs w:val="18"/>
        </w:rPr>
      </w:pPr>
      <w:r>
        <w:rPr>
          <w:rFonts w:ascii="Trebuchet MS" w:hAnsi="Trebuchet MS" w:eastAsiaTheme="minorEastAsia" w:cstheme="minorBidi"/>
          <w:i/>
          <w:iCs/>
          <w:noProof w:val="0"/>
          <w:sz w:val="18"/>
          <w:szCs w:val="18"/>
          <w:lang w:eastAsia="en-US"/>
        </w:rPr>
        <w:lastRenderedPageBreak/>
        <w:t xml:space="preserve">Figuur 4.7. </w:t>
      </w:r>
      <w:r w:rsidRPr="00283B39" w:rsidR="0095088E">
        <w:rPr>
          <w:rFonts w:ascii="Trebuchet MS" w:hAnsi="Trebuchet MS" w:eastAsiaTheme="minorEastAsia" w:cstheme="minorBidi"/>
          <w:i/>
          <w:sz w:val="18"/>
          <w:szCs w:val="18"/>
          <w:lang w:eastAsia="en-US"/>
        </w:rPr>
        <w:t>Ervaren opbrengsten op verschillende aandachtspunten in de STO-periode (2020-2024)</w:t>
      </w:r>
    </w:p>
    <w:p w:rsidRPr="007129C6" w:rsidR="0095088E" w:rsidP="0095088E" w:rsidRDefault="0095088E" w14:paraId="35D3AA0E" w14:textId="77777777">
      <w:pPr>
        <w:pStyle w:val="SEOStandaard"/>
        <w:numPr>
          <w:ilvl w:val="0"/>
          <w:numId w:val="0"/>
        </w:numPr>
        <w:rPr>
          <w:rFonts w:ascii="Trebuchet MS" w:hAnsi="Trebuchet MS"/>
          <w:sz w:val="18"/>
          <w:szCs w:val="18"/>
        </w:rPr>
      </w:pPr>
      <w:r w:rsidRPr="007129C6">
        <w:rPr>
          <w:rFonts w:ascii="Trebuchet MS" w:hAnsi="Trebuchet MS"/>
          <w:noProof/>
          <w:sz w:val="18"/>
          <w:szCs w:val="18"/>
        </w:rPr>
        <w:drawing>
          <wp:inline distT="0" distB="0" distL="0" distR="0" wp14:anchorId="3022DA04" wp14:editId="52C67FFC">
            <wp:extent cx="5940000" cy="4262438"/>
            <wp:effectExtent l="0" t="0" r="3810" b="5080"/>
            <wp:docPr id="45705803" name="Grafiek 1">
              <a:extLst xmlns:a="http://schemas.openxmlformats.org/drawingml/2006/main">
                <a:ext uri="{FF2B5EF4-FFF2-40B4-BE49-F238E27FC236}">
                  <a16:creationId xmlns:a16="http://schemas.microsoft.com/office/drawing/2014/main" id="{F4422DC7-01A9-B974-90BD-6DA5E88F98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Pr="00283B39" w:rsidR="0095088E" w:rsidP="00283B39" w:rsidRDefault="00140841" w14:paraId="142F98E8" w14:textId="3243BF80">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 xml:space="preserve">Bron: </w:t>
      </w:r>
      <w:r w:rsidRPr="00283B39" w:rsidR="0095088E">
        <w:rPr>
          <w:rFonts w:ascii="Trebuchet MS" w:hAnsi="Trebuchet MS"/>
          <w:color w:val="auto"/>
          <w:sz w:val="18"/>
          <w:szCs w:val="18"/>
        </w:rPr>
        <w:t xml:space="preserve">Enquête programmaleiders STO (april 2025). </w:t>
      </w:r>
    </w:p>
    <w:p w:rsidRPr="00283B39" w:rsidR="0095088E" w:rsidP="0095088E" w:rsidRDefault="0095088E" w14:paraId="0109AA24" w14:textId="77777777">
      <w:pPr>
        <w:pStyle w:val="SEOStandaardN"/>
        <w:rPr>
          <w:rFonts w:ascii="Trebuchet MS" w:hAnsi="Trebuchet MS"/>
          <w:color w:val="auto"/>
          <w:sz w:val="18"/>
          <w:szCs w:val="18"/>
        </w:rPr>
      </w:pPr>
    </w:p>
    <w:p w:rsidRPr="00283B39" w:rsidR="0095088E" w:rsidP="0095088E" w:rsidRDefault="00C25C71" w14:paraId="48A83CC9" w14:textId="4A522FB6">
      <w:pPr>
        <w:pStyle w:val="SEOStandaardN"/>
        <w:rPr>
          <w:rFonts w:ascii="Trebuchet MS" w:hAnsi="Trebuchet MS"/>
          <w:color w:val="auto"/>
          <w:sz w:val="18"/>
          <w:szCs w:val="18"/>
        </w:rPr>
      </w:pPr>
      <w:r>
        <w:rPr>
          <w:rFonts w:ascii="Trebuchet MS" w:hAnsi="Trebuchet MS"/>
          <w:color w:val="auto"/>
          <w:sz w:val="18"/>
          <w:szCs w:val="18"/>
        </w:rPr>
        <w:t xml:space="preserve">Als we onderscheid maken tussen regio’s die </w:t>
      </w:r>
      <w:r w:rsidR="00E34E5A">
        <w:rPr>
          <w:rFonts w:ascii="Trebuchet MS" w:hAnsi="Trebuchet MS"/>
          <w:color w:val="auto"/>
          <w:sz w:val="18"/>
          <w:szCs w:val="18"/>
        </w:rPr>
        <w:t>STO-</w:t>
      </w:r>
      <w:r>
        <w:rPr>
          <w:rFonts w:ascii="Trebuchet MS" w:hAnsi="Trebuchet MS"/>
          <w:color w:val="auto"/>
          <w:sz w:val="18"/>
          <w:szCs w:val="18"/>
        </w:rPr>
        <w:t xml:space="preserve">middelen verdelen via een verdeelsleutel of regionaal beheer, valt op dat er verschillen zichtbaar zijn. </w:t>
      </w:r>
      <w:r w:rsidRPr="00283B39" w:rsidR="0095088E">
        <w:rPr>
          <w:rFonts w:ascii="Trebuchet MS" w:hAnsi="Trebuchet MS"/>
          <w:color w:val="auto"/>
          <w:sz w:val="18"/>
          <w:szCs w:val="18"/>
        </w:rPr>
        <w:t xml:space="preserve">Er worden behoorlijk tot veel opbrengsten gerapporteerd door programmaleiders met verdeelsleutelmiddelen als het gaat om de kwaliteit van het techniekonderwijs en -lessen en de beeldvorming ten aanzien van techniek (bijna 9 op de 10). Ook op de meeste andere terreinen scoren programmaleiders met regionale beheermiddelen vaker hoog wat betreft de realisatie, met name als het gaat om de (her)inrichting van het regionale techniekaanbod, aansluiting met mbo en de regionale vraag van het bedrijfsleven.    </w:t>
      </w:r>
    </w:p>
    <w:p w:rsidRPr="007129C6" w:rsidR="0095088E" w:rsidP="0095088E" w:rsidRDefault="0095088E" w14:paraId="7930C5E8" w14:textId="77777777">
      <w:pPr>
        <w:pStyle w:val="SEOStandaard"/>
        <w:numPr>
          <w:ilvl w:val="0"/>
          <w:numId w:val="0"/>
        </w:numPr>
        <w:rPr>
          <w:rFonts w:ascii="Trebuchet MS" w:hAnsi="Trebuchet MS"/>
          <w:sz w:val="18"/>
          <w:szCs w:val="18"/>
        </w:rPr>
      </w:pPr>
    </w:p>
    <w:p w:rsidR="0095088E" w:rsidP="0095088E" w:rsidRDefault="0095088E" w14:paraId="5F253BC8" w14:textId="4460EC7F">
      <w:pPr>
        <w:pStyle w:val="SEOStandaard"/>
        <w:rPr>
          <w:rFonts w:ascii="Trebuchet MS" w:hAnsi="Trebuchet MS"/>
          <w:color w:val="auto"/>
          <w:sz w:val="18"/>
          <w:szCs w:val="18"/>
        </w:rPr>
      </w:pPr>
      <w:r w:rsidRPr="00283B39">
        <w:rPr>
          <w:rFonts w:ascii="Trebuchet MS" w:hAnsi="Trebuchet MS"/>
          <w:color w:val="auto"/>
          <w:sz w:val="18"/>
          <w:szCs w:val="18"/>
        </w:rPr>
        <w:t xml:space="preserve">In de enquête is – net als in 2021 en 2024 – aan programmaleiders gevraagd welke uitdagingen wat hen betreft in hun regio het belangrijkst zijn voor de lopende subsidieperiode (2025-2029). In tabel </w:t>
      </w:r>
      <w:r w:rsidR="00140841">
        <w:rPr>
          <w:rFonts w:ascii="Trebuchet MS" w:hAnsi="Trebuchet MS"/>
          <w:color w:val="auto"/>
          <w:sz w:val="18"/>
          <w:szCs w:val="18"/>
        </w:rPr>
        <w:t>4</w:t>
      </w:r>
      <w:r w:rsidRPr="00283B39">
        <w:rPr>
          <w:rFonts w:ascii="Trebuchet MS" w:hAnsi="Trebuchet MS"/>
          <w:color w:val="auto"/>
          <w:sz w:val="18"/>
          <w:szCs w:val="18"/>
        </w:rPr>
        <w:t xml:space="preserve">.2 zijn de resultaten weergegeven voor de vergelijking 2021 en 2025, en in tabel </w:t>
      </w:r>
      <w:r w:rsidR="00140841">
        <w:rPr>
          <w:rFonts w:ascii="Trebuchet MS" w:hAnsi="Trebuchet MS"/>
          <w:color w:val="auto"/>
          <w:sz w:val="18"/>
          <w:szCs w:val="18"/>
        </w:rPr>
        <w:t>4</w:t>
      </w:r>
      <w:r w:rsidRPr="00283B39">
        <w:rPr>
          <w:rFonts w:ascii="Trebuchet MS" w:hAnsi="Trebuchet MS"/>
          <w:color w:val="auto"/>
          <w:sz w:val="18"/>
          <w:szCs w:val="18"/>
        </w:rPr>
        <w:t xml:space="preserve">.3 zijn daar ook de resultaten van 2024 aan toegevoegd. De tabellen laten zien hoe breed de bandbreedte aan ‘urgenties’ binnen STO is. </w:t>
      </w:r>
    </w:p>
    <w:p w:rsidR="00634EED" w:rsidP="00634EED" w:rsidRDefault="00634EED" w14:paraId="5167D89A" w14:textId="77777777">
      <w:pPr>
        <w:pStyle w:val="SEOStandaard"/>
        <w:numPr>
          <w:ilvl w:val="0"/>
          <w:numId w:val="0"/>
        </w:numPr>
        <w:rPr>
          <w:rFonts w:ascii="Trebuchet MS" w:hAnsi="Trebuchet MS"/>
          <w:color w:val="auto"/>
          <w:sz w:val="18"/>
          <w:szCs w:val="18"/>
        </w:rPr>
      </w:pPr>
    </w:p>
    <w:p w:rsidR="00634EED" w:rsidP="00634EED" w:rsidRDefault="00634EED" w14:paraId="5BE30AB7" w14:textId="7833341A">
      <w:pPr>
        <w:pStyle w:val="SEOStandaard"/>
        <w:rPr>
          <w:rFonts w:ascii="Trebuchet MS" w:hAnsi="Trebuchet MS"/>
          <w:color w:val="auto"/>
          <w:sz w:val="18"/>
          <w:szCs w:val="18"/>
        </w:rPr>
      </w:pPr>
      <w:r w:rsidRPr="00283B39">
        <w:rPr>
          <w:rFonts w:ascii="Trebuchet MS" w:hAnsi="Trebuchet MS"/>
          <w:color w:val="auto"/>
          <w:sz w:val="18"/>
          <w:szCs w:val="18"/>
        </w:rPr>
        <w:t xml:space="preserve">Op alle terreinen blijven er urgente uitdagingen voor de lopende subsidieperiode volgens minimaal 5 op de 10 programmaleiders. Dat geldt vooral voor aantallen techniekleerlingen in de profielen, de aansluiting met het mbo en de beeldvorming ten aanzien van techniek (volgens bijna 9 op de 10 programmaleiders). (Her)inrichting van het regionale techniekaanbod wordt door het laagste aandeel van de programmaleiders (5 op de 10) gezien als urgente uitdaging voor de lopende subsidieperiode. De andere terreinen worden door minimaal driekwart van de programmaleiders als (heel) urgent benoemd, waarbij vooral het tekort aan techniekdocenten vergeleken met 2021 opvalt. Hoewel de urgentie op alle terreinen tussen 2021 en 2025 procentueel is toegenomen, zien we geen significante verschillen. </w:t>
      </w:r>
    </w:p>
    <w:p w:rsidR="00634EED" w:rsidP="00634EED" w:rsidRDefault="00634EED" w14:paraId="5A4C3E7F" w14:textId="77777777">
      <w:pPr>
        <w:pStyle w:val="Lijstalinea"/>
        <w:rPr>
          <w:szCs w:val="18"/>
        </w:rPr>
      </w:pPr>
    </w:p>
    <w:p w:rsidRPr="00283B39" w:rsidR="00634EED" w:rsidP="00634EED" w:rsidRDefault="00634EED" w14:paraId="217D2DA1" w14:textId="77777777">
      <w:pPr>
        <w:pStyle w:val="SEOStandaard"/>
        <w:rPr>
          <w:rFonts w:ascii="Trebuchet MS" w:hAnsi="Trebuchet MS"/>
          <w:color w:val="auto"/>
          <w:sz w:val="18"/>
          <w:szCs w:val="18"/>
        </w:rPr>
      </w:pPr>
    </w:p>
    <w:p w:rsidRPr="00283B39" w:rsidR="0095088E" w:rsidP="00283B39" w:rsidRDefault="00140841" w14:paraId="32735414" w14:textId="2F9E94A7">
      <w:pPr>
        <w:pStyle w:val="Figuur"/>
        <w:rPr>
          <w:rFonts w:ascii="Trebuchet MS" w:hAnsi="Trebuchet MS"/>
          <w:i/>
          <w:sz w:val="18"/>
          <w:szCs w:val="18"/>
        </w:rPr>
      </w:pPr>
      <w:bookmarkStart w:name="_Hlk198643202" w:id="40"/>
      <w:r>
        <w:rPr>
          <w:rFonts w:ascii="Trebuchet MS" w:hAnsi="Trebuchet MS" w:eastAsiaTheme="minorEastAsia" w:cstheme="minorBidi"/>
          <w:i/>
          <w:iCs/>
          <w:noProof w:val="0"/>
          <w:sz w:val="18"/>
          <w:szCs w:val="18"/>
          <w:lang w:eastAsia="en-US"/>
        </w:rPr>
        <w:t xml:space="preserve">Tabel 4.2. </w:t>
      </w:r>
      <w:r w:rsidRPr="00283B39" w:rsidR="0095088E">
        <w:rPr>
          <w:rFonts w:ascii="Trebuchet MS" w:hAnsi="Trebuchet MS" w:eastAsiaTheme="minorEastAsia" w:cstheme="minorBidi"/>
          <w:i/>
          <w:sz w:val="18"/>
          <w:szCs w:val="18"/>
          <w:lang w:eastAsia="en-US"/>
        </w:rPr>
        <w:t>Urgentie van verschillende aandachtspunten (respons in 2021 en 2025, n=41)</w:t>
      </w:r>
    </w:p>
    <w:bookmarkEnd w:id="40"/>
    <w:tbl>
      <w:tblPr>
        <w:tblStyle w:val="SEOTabel2"/>
        <w:tblW w:w="4966" w:type="pct"/>
        <w:tblCellMar>
          <w:top w:w="28" w:type="dxa"/>
          <w:left w:w="28" w:type="dxa"/>
          <w:bottom w:w="28" w:type="dxa"/>
          <w:right w:w="28" w:type="dxa"/>
        </w:tblCellMar>
        <w:tblLook w:val="04A0" w:firstRow="1" w:lastRow="0" w:firstColumn="1" w:lastColumn="0" w:noHBand="0" w:noVBand="1"/>
      </w:tblPr>
      <w:tblGrid>
        <w:gridCol w:w="4837"/>
        <w:gridCol w:w="1021"/>
        <w:gridCol w:w="1021"/>
        <w:gridCol w:w="229"/>
        <w:gridCol w:w="448"/>
        <w:gridCol w:w="448"/>
        <w:gridCol w:w="448"/>
        <w:gridCol w:w="448"/>
        <w:gridCol w:w="396"/>
      </w:tblGrid>
      <w:tr w:rsidRPr="007129C6" w:rsidR="003A392B" w:rsidTr="003A392B" w14:paraId="3CDBCC60" w14:textId="77777777">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602" w:type="pct"/>
            <w:vAlign w:val="center"/>
          </w:tcPr>
          <w:p w:rsidRPr="007129C6" w:rsidR="003A392B" w:rsidP="007756ED" w:rsidRDefault="003A392B" w14:paraId="7F3D373A" w14:textId="77777777">
            <w:pPr>
              <w:pStyle w:val="SEOStandaard"/>
              <w:numPr>
                <w:ilvl w:val="0"/>
                <w:numId w:val="0"/>
              </w:numPr>
              <w:jc w:val="left"/>
              <w:rPr>
                <w:rFonts w:ascii="Trebuchet MS" w:hAnsi="Trebuchet MS"/>
                <w:color w:val="FFFFFF" w:themeColor="background1"/>
                <w:sz w:val="18"/>
                <w:szCs w:val="18"/>
              </w:rPr>
            </w:pPr>
          </w:p>
        </w:tc>
        <w:tc>
          <w:tcPr>
            <w:tcW w:w="549" w:type="pct"/>
            <w:vAlign w:val="center"/>
          </w:tcPr>
          <w:p w:rsidRPr="007129C6" w:rsidR="003A392B" w:rsidP="007756ED" w:rsidRDefault="003A392B" w14:paraId="301AB8BD" w14:textId="77777777">
            <w:pPr>
              <w:pStyle w:val="SEOStandaard"/>
              <w:numPr>
                <w:ilvl w:val="0"/>
                <w:numId w:val="0"/>
              </w:numPr>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p>
        </w:tc>
        <w:tc>
          <w:tcPr>
            <w:tcW w:w="549" w:type="pct"/>
            <w:vAlign w:val="center"/>
          </w:tcPr>
          <w:p w:rsidRPr="007129C6" w:rsidR="003A392B" w:rsidP="007756ED" w:rsidRDefault="003A392B" w14:paraId="0C2DF0A6" w14:textId="77777777">
            <w:pPr>
              <w:pStyle w:val="SEOStandaard"/>
              <w:numPr>
                <w:ilvl w:val="0"/>
                <w:numId w:val="0"/>
              </w:numPr>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p>
        </w:tc>
        <w:tc>
          <w:tcPr>
            <w:tcW w:w="123" w:type="pct"/>
          </w:tcPr>
          <w:p w:rsidRPr="007129C6" w:rsidR="003A392B" w:rsidP="007756ED" w:rsidRDefault="003A392B" w14:paraId="4F01285C" w14:textId="77777777">
            <w:pPr>
              <w:pStyle w:val="SEOStandaard"/>
              <w:numPr>
                <w:ilvl w:val="0"/>
                <w:numId w:val="0"/>
              </w:numPr>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p>
        </w:tc>
        <w:tc>
          <w:tcPr>
            <w:tcW w:w="1177" w:type="pct"/>
            <w:gridSpan w:val="5"/>
            <w:vAlign w:val="center"/>
          </w:tcPr>
          <w:p w:rsidRPr="007129C6" w:rsidR="003A392B" w:rsidP="007756ED" w:rsidRDefault="003A392B" w14:paraId="1AE22613" w14:textId="3278DA45">
            <w:pPr>
              <w:pStyle w:val="SEOStandaard"/>
              <w:numPr>
                <w:ilvl w:val="0"/>
                <w:numId w:val="0"/>
              </w:numPr>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Pr>
                <w:rFonts w:ascii="Trebuchet MS" w:hAnsi="Trebuchet MS"/>
                <w:color w:val="FFFFFF" w:themeColor="background1"/>
                <w:sz w:val="18"/>
                <w:szCs w:val="18"/>
              </w:rPr>
              <w:t xml:space="preserve">2025 (% </w:t>
            </w:r>
            <w:r w:rsidR="00C07E99">
              <w:rPr>
                <w:rFonts w:ascii="Trebuchet MS" w:hAnsi="Trebuchet MS"/>
                <w:color w:val="FFFFFF" w:themeColor="background1"/>
                <w:sz w:val="18"/>
                <w:szCs w:val="18"/>
              </w:rPr>
              <w:t>antwoorden)</w:t>
            </w:r>
          </w:p>
        </w:tc>
      </w:tr>
      <w:tr w:rsidRPr="007129C6" w:rsidR="003A392B" w:rsidTr="003A392B" w14:paraId="75B04E0B" w14:textId="77777777">
        <w:trPr>
          <w:cantSplit/>
          <w:trHeight w:val="1701"/>
        </w:trPr>
        <w:tc>
          <w:tcPr>
            <w:cnfStyle w:val="001000000000" w:firstRow="0" w:lastRow="0" w:firstColumn="1" w:lastColumn="0" w:oddVBand="0" w:evenVBand="0" w:oddHBand="0" w:evenHBand="0" w:firstRowFirstColumn="0" w:firstRowLastColumn="0" w:lastRowFirstColumn="0" w:lastRowLastColumn="0"/>
            <w:tcW w:w="2602" w:type="pct"/>
            <w:shd w:val="clear" w:color="auto" w:fill="264249"/>
            <w:vAlign w:val="center"/>
          </w:tcPr>
          <w:p w:rsidRPr="007129C6" w:rsidR="00404B15" w:rsidP="00404B15" w:rsidRDefault="00404B15" w14:paraId="32091403" w14:textId="77777777">
            <w:pPr>
              <w:pStyle w:val="SEOStandaard"/>
              <w:numPr>
                <w:ilvl w:val="0"/>
                <w:numId w:val="0"/>
              </w:numPr>
              <w:jc w:val="left"/>
              <w:rPr>
                <w:rFonts w:ascii="Trebuchet MS" w:hAnsi="Trebuchet MS"/>
                <w:color w:val="FFFFFF" w:themeColor="background1"/>
                <w:sz w:val="18"/>
                <w:szCs w:val="18"/>
              </w:rPr>
            </w:pPr>
          </w:p>
        </w:tc>
        <w:tc>
          <w:tcPr>
            <w:tcW w:w="549" w:type="pct"/>
            <w:shd w:val="clear" w:color="auto" w:fill="264249"/>
            <w:textDirection w:val="btLr"/>
            <w:vAlign w:val="center"/>
          </w:tcPr>
          <w:p w:rsidRPr="007129C6" w:rsidR="00404B15" w:rsidP="00404B15" w:rsidRDefault="00404B15" w14:paraId="09368A6B" w14:textId="45DEBB3F">
            <w:pPr>
              <w:pStyle w:val="SEOStandaard"/>
              <w:numPr>
                <w:ilvl w:val="0"/>
                <w:numId w:val="0"/>
              </w:numPr>
              <w:ind w:left="113" w:right="113"/>
              <w:jc w:val="left"/>
              <w:cnfStyle w:val="000000000000" w:firstRow="0"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 (heel) urgent (2025)</w:t>
            </w:r>
          </w:p>
        </w:tc>
        <w:tc>
          <w:tcPr>
            <w:tcW w:w="549" w:type="pct"/>
            <w:shd w:val="clear" w:color="auto" w:fill="264249"/>
            <w:textDirection w:val="btLr"/>
            <w:vAlign w:val="center"/>
          </w:tcPr>
          <w:p w:rsidRPr="007129C6" w:rsidR="00404B15" w:rsidP="00404B15" w:rsidRDefault="00404B15" w14:paraId="0C68DD4D" w14:textId="0CC22C64">
            <w:pPr>
              <w:pStyle w:val="SEOStandaard"/>
              <w:numPr>
                <w:ilvl w:val="0"/>
                <w:numId w:val="0"/>
              </w:numPr>
              <w:ind w:left="113" w:right="113"/>
              <w:jc w:val="left"/>
              <w:cnfStyle w:val="000000000000" w:firstRow="0"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 (heel) urgent (2021)</w:t>
            </w:r>
          </w:p>
        </w:tc>
        <w:tc>
          <w:tcPr>
            <w:tcW w:w="123" w:type="pct"/>
            <w:shd w:val="clear" w:color="auto" w:fill="264249"/>
            <w:textDirection w:val="btLr"/>
          </w:tcPr>
          <w:p w:rsidRPr="007129C6" w:rsidR="00404B15" w:rsidP="00404B15" w:rsidRDefault="00404B15" w14:paraId="5740FC18" w14:textId="77777777">
            <w:pPr>
              <w:pStyle w:val="SEOStandaard"/>
              <w:numPr>
                <w:ilvl w:val="0"/>
                <w:numId w:val="0"/>
              </w:numPr>
              <w:ind w:left="113" w:right="113"/>
              <w:jc w:val="left"/>
              <w:cnfStyle w:val="000000000000" w:firstRow="0"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p>
        </w:tc>
        <w:tc>
          <w:tcPr>
            <w:tcW w:w="241" w:type="pct"/>
            <w:shd w:val="clear" w:color="auto" w:fill="264249"/>
            <w:textDirection w:val="btLr"/>
            <w:vAlign w:val="center"/>
          </w:tcPr>
          <w:p w:rsidRPr="007129C6" w:rsidR="00404B15" w:rsidP="00404B15" w:rsidRDefault="00404B15" w14:paraId="215185FE" w14:textId="3715B802">
            <w:pPr>
              <w:pStyle w:val="SEOStandaard"/>
              <w:numPr>
                <w:ilvl w:val="0"/>
                <w:numId w:val="0"/>
              </w:numPr>
              <w:ind w:left="113" w:right="113"/>
              <w:jc w:val="left"/>
              <w:cnfStyle w:val="000000000000" w:firstRow="0"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Helemaal niet urgent</w:t>
            </w:r>
          </w:p>
        </w:tc>
        <w:tc>
          <w:tcPr>
            <w:tcW w:w="241" w:type="pct"/>
            <w:shd w:val="clear" w:color="auto" w:fill="264249"/>
            <w:textDirection w:val="btLr"/>
            <w:vAlign w:val="center"/>
          </w:tcPr>
          <w:p w:rsidRPr="007129C6" w:rsidR="00404B15" w:rsidP="00404B15" w:rsidRDefault="00404B15" w14:paraId="4F8E1F04" w14:textId="77777777">
            <w:pPr>
              <w:pStyle w:val="SEOStandaard"/>
              <w:numPr>
                <w:ilvl w:val="0"/>
                <w:numId w:val="0"/>
              </w:numPr>
              <w:ind w:left="113" w:right="113"/>
              <w:jc w:val="left"/>
              <w:cnfStyle w:val="000000000000" w:firstRow="0"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Niet urgent</w:t>
            </w:r>
          </w:p>
        </w:tc>
        <w:tc>
          <w:tcPr>
            <w:tcW w:w="241" w:type="pct"/>
            <w:shd w:val="clear" w:color="auto" w:fill="264249"/>
            <w:textDirection w:val="btLr"/>
            <w:vAlign w:val="center"/>
          </w:tcPr>
          <w:p w:rsidRPr="007129C6" w:rsidR="00404B15" w:rsidP="00404B15" w:rsidRDefault="00404B15" w14:paraId="1A48A9B5" w14:textId="77777777">
            <w:pPr>
              <w:pStyle w:val="SEOStandaard"/>
              <w:numPr>
                <w:ilvl w:val="0"/>
                <w:numId w:val="0"/>
              </w:numPr>
              <w:ind w:left="113" w:right="113"/>
              <w:jc w:val="left"/>
              <w:cnfStyle w:val="000000000000" w:firstRow="0"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Noch urgent/</w:t>
            </w:r>
            <w:r>
              <w:rPr>
                <w:rFonts w:ascii="Trebuchet MS" w:hAnsi="Trebuchet MS"/>
                <w:color w:val="FFFFFF" w:themeColor="background1"/>
                <w:sz w:val="18"/>
                <w:szCs w:val="18"/>
              </w:rPr>
              <w:t xml:space="preserve"> </w:t>
            </w:r>
            <w:r w:rsidRPr="007129C6">
              <w:rPr>
                <w:rFonts w:ascii="Trebuchet MS" w:hAnsi="Trebuchet MS"/>
                <w:color w:val="FFFFFF" w:themeColor="background1"/>
                <w:sz w:val="18"/>
                <w:szCs w:val="18"/>
              </w:rPr>
              <w:t>noch niet urgent</w:t>
            </w:r>
          </w:p>
        </w:tc>
        <w:tc>
          <w:tcPr>
            <w:tcW w:w="241" w:type="pct"/>
            <w:shd w:val="clear" w:color="auto" w:fill="264249"/>
            <w:textDirection w:val="btLr"/>
            <w:vAlign w:val="center"/>
          </w:tcPr>
          <w:p w:rsidRPr="007129C6" w:rsidR="00404B15" w:rsidP="00404B15" w:rsidRDefault="00404B15" w14:paraId="70A342A4" w14:textId="77777777">
            <w:pPr>
              <w:pStyle w:val="SEOStandaard"/>
              <w:numPr>
                <w:ilvl w:val="0"/>
                <w:numId w:val="0"/>
              </w:numPr>
              <w:ind w:left="113" w:right="113"/>
              <w:jc w:val="left"/>
              <w:cnfStyle w:val="000000000000" w:firstRow="0"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Urgent</w:t>
            </w:r>
          </w:p>
        </w:tc>
        <w:tc>
          <w:tcPr>
            <w:tcW w:w="213" w:type="pct"/>
            <w:shd w:val="clear" w:color="auto" w:fill="264249"/>
            <w:textDirection w:val="btLr"/>
            <w:vAlign w:val="center"/>
          </w:tcPr>
          <w:p w:rsidRPr="007129C6" w:rsidR="00404B15" w:rsidP="00404B15" w:rsidRDefault="00404B15" w14:paraId="42408F21" w14:textId="77777777">
            <w:pPr>
              <w:pStyle w:val="SEOStandaard"/>
              <w:numPr>
                <w:ilvl w:val="0"/>
                <w:numId w:val="0"/>
              </w:numPr>
              <w:ind w:left="113" w:right="113"/>
              <w:jc w:val="left"/>
              <w:cnfStyle w:val="000000000000" w:firstRow="0"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Heel urgent</w:t>
            </w:r>
          </w:p>
        </w:tc>
      </w:tr>
      <w:tr w:rsidRPr="007129C6" w:rsidR="003A392B" w:rsidTr="003A392B" w14:paraId="6A63A191" w14:textId="77777777">
        <w:trPr>
          <w:trHeight w:val="170"/>
        </w:trPr>
        <w:tc>
          <w:tcPr>
            <w:cnfStyle w:val="001000000000" w:firstRow="0" w:lastRow="0" w:firstColumn="1" w:lastColumn="0" w:oddVBand="0" w:evenVBand="0" w:oddHBand="0" w:evenHBand="0" w:firstRowFirstColumn="0" w:firstRowLastColumn="0" w:lastRowFirstColumn="0" w:lastRowLastColumn="0"/>
            <w:tcW w:w="2602" w:type="pct"/>
          </w:tcPr>
          <w:p w:rsidRPr="007129C6" w:rsidR="00404B15" w:rsidP="00404B15" w:rsidRDefault="00404B15" w14:paraId="6A4208B9" w14:textId="77777777">
            <w:pPr>
              <w:pStyle w:val="SEOStandaard"/>
              <w:numPr>
                <w:ilvl w:val="0"/>
                <w:numId w:val="0"/>
              </w:numPr>
              <w:rPr>
                <w:rFonts w:ascii="Trebuchet MS" w:hAnsi="Trebuchet MS"/>
                <w:sz w:val="18"/>
                <w:szCs w:val="18"/>
              </w:rPr>
            </w:pPr>
            <w:r w:rsidRPr="007129C6">
              <w:rPr>
                <w:rFonts w:ascii="Trebuchet MS" w:hAnsi="Trebuchet MS"/>
                <w:sz w:val="18"/>
                <w:szCs w:val="18"/>
              </w:rPr>
              <w:t>(her)inrichting van het regionale techniekaanbod</w:t>
            </w:r>
          </w:p>
        </w:tc>
        <w:tc>
          <w:tcPr>
            <w:tcW w:w="549" w:type="pct"/>
          </w:tcPr>
          <w:p w:rsidRPr="007129C6" w:rsidR="00404B15" w:rsidP="00404B15" w:rsidRDefault="00404B15" w14:paraId="663BDD31" w14:textId="102DBD44">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51%</w:t>
            </w:r>
          </w:p>
        </w:tc>
        <w:tc>
          <w:tcPr>
            <w:tcW w:w="549" w:type="pct"/>
          </w:tcPr>
          <w:p w:rsidRPr="007129C6" w:rsidR="00404B15" w:rsidP="00404B15" w:rsidRDefault="00404B15" w14:paraId="21A180B6" w14:textId="45C29160">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46%</w:t>
            </w:r>
          </w:p>
        </w:tc>
        <w:tc>
          <w:tcPr>
            <w:tcW w:w="123" w:type="pct"/>
          </w:tcPr>
          <w:p w:rsidRPr="007129C6" w:rsidR="00404B15" w:rsidP="00404B15" w:rsidRDefault="00404B15" w14:paraId="5AB4B6E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c>
          <w:tcPr>
            <w:tcW w:w="241" w:type="pct"/>
          </w:tcPr>
          <w:p w:rsidRPr="007129C6" w:rsidR="00404B15" w:rsidP="00404B15" w:rsidRDefault="00404B15" w14:paraId="02559174" w14:textId="020025BF">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241" w:type="pct"/>
          </w:tcPr>
          <w:p w:rsidRPr="007129C6" w:rsidR="00404B15" w:rsidP="00404B15" w:rsidRDefault="00404B15" w14:paraId="27B9C65D"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w:t>
            </w:r>
          </w:p>
        </w:tc>
        <w:tc>
          <w:tcPr>
            <w:tcW w:w="241" w:type="pct"/>
          </w:tcPr>
          <w:p w:rsidRPr="007129C6" w:rsidR="00404B15" w:rsidP="00404B15" w:rsidRDefault="00404B15" w14:paraId="1CFBB29C"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18</w:t>
            </w:r>
          </w:p>
        </w:tc>
        <w:tc>
          <w:tcPr>
            <w:tcW w:w="241" w:type="pct"/>
          </w:tcPr>
          <w:p w:rsidRPr="007129C6" w:rsidR="00404B15" w:rsidP="00404B15" w:rsidRDefault="00404B15" w14:paraId="7EFFC67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18</w:t>
            </w:r>
          </w:p>
        </w:tc>
        <w:tc>
          <w:tcPr>
            <w:tcW w:w="213" w:type="pct"/>
          </w:tcPr>
          <w:p w:rsidRPr="007129C6" w:rsidR="00404B15" w:rsidP="00404B15" w:rsidRDefault="00404B15" w14:paraId="356D9B1F"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3</w:t>
            </w:r>
          </w:p>
        </w:tc>
      </w:tr>
      <w:tr w:rsidRPr="007129C6" w:rsidR="003A392B" w:rsidTr="003A392B" w14:paraId="367837E6" w14:textId="77777777">
        <w:trPr>
          <w:trHeight w:val="170"/>
        </w:trPr>
        <w:tc>
          <w:tcPr>
            <w:cnfStyle w:val="001000000000" w:firstRow="0" w:lastRow="0" w:firstColumn="1" w:lastColumn="0" w:oddVBand="0" w:evenVBand="0" w:oddHBand="0" w:evenHBand="0" w:firstRowFirstColumn="0" w:firstRowLastColumn="0" w:lastRowFirstColumn="0" w:lastRowLastColumn="0"/>
            <w:tcW w:w="2602" w:type="pct"/>
          </w:tcPr>
          <w:p w:rsidRPr="007129C6" w:rsidR="00404B15" w:rsidP="00404B15" w:rsidRDefault="00404B15" w14:paraId="0B3A3901" w14:textId="77777777">
            <w:pPr>
              <w:pStyle w:val="SEOStandaard"/>
              <w:numPr>
                <w:ilvl w:val="0"/>
                <w:numId w:val="0"/>
              </w:numPr>
              <w:rPr>
                <w:rFonts w:ascii="Trebuchet MS" w:hAnsi="Trebuchet MS"/>
                <w:sz w:val="18"/>
                <w:szCs w:val="18"/>
              </w:rPr>
            </w:pPr>
            <w:r w:rsidRPr="007129C6">
              <w:rPr>
                <w:rFonts w:ascii="Trebuchet MS" w:hAnsi="Trebuchet MS"/>
                <w:sz w:val="18"/>
                <w:szCs w:val="18"/>
              </w:rPr>
              <w:t>De aantallen techniekleerlingen in de profielen</w:t>
            </w:r>
          </w:p>
        </w:tc>
        <w:tc>
          <w:tcPr>
            <w:tcW w:w="549" w:type="pct"/>
          </w:tcPr>
          <w:p w:rsidRPr="007129C6" w:rsidR="00404B15" w:rsidP="00404B15" w:rsidRDefault="00404B15" w14:paraId="2CE58F7B" w14:textId="544FE824">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85%</w:t>
            </w:r>
          </w:p>
        </w:tc>
        <w:tc>
          <w:tcPr>
            <w:tcW w:w="549" w:type="pct"/>
          </w:tcPr>
          <w:p w:rsidRPr="007129C6" w:rsidR="00404B15" w:rsidP="00404B15" w:rsidRDefault="00404B15" w14:paraId="7DBE1A40" w14:textId="188985DF">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85%</w:t>
            </w:r>
          </w:p>
        </w:tc>
        <w:tc>
          <w:tcPr>
            <w:tcW w:w="123" w:type="pct"/>
          </w:tcPr>
          <w:p w:rsidRPr="007129C6" w:rsidR="00404B15" w:rsidP="00404B15" w:rsidRDefault="00404B15" w14:paraId="4E9592DF"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c>
          <w:tcPr>
            <w:tcW w:w="241" w:type="pct"/>
          </w:tcPr>
          <w:p w:rsidRPr="007129C6" w:rsidR="00404B15" w:rsidP="00404B15" w:rsidRDefault="00404B15" w14:paraId="53A9A278" w14:textId="68C0FC22">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241" w:type="pct"/>
          </w:tcPr>
          <w:p w:rsidRPr="007129C6" w:rsidR="00404B15" w:rsidP="00404B15" w:rsidRDefault="00404B15" w14:paraId="2DCABDE5"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w:t>
            </w:r>
          </w:p>
        </w:tc>
        <w:tc>
          <w:tcPr>
            <w:tcW w:w="241" w:type="pct"/>
          </w:tcPr>
          <w:p w:rsidRPr="007129C6" w:rsidR="00404B15" w:rsidP="00404B15" w:rsidRDefault="00404B15" w14:paraId="55E3CE0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4</w:t>
            </w:r>
          </w:p>
        </w:tc>
        <w:tc>
          <w:tcPr>
            <w:tcW w:w="241" w:type="pct"/>
          </w:tcPr>
          <w:p w:rsidRPr="007129C6" w:rsidR="00404B15" w:rsidP="00404B15" w:rsidRDefault="00404B15" w14:paraId="1F6412ED"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27</w:t>
            </w:r>
          </w:p>
        </w:tc>
        <w:tc>
          <w:tcPr>
            <w:tcW w:w="213" w:type="pct"/>
          </w:tcPr>
          <w:p w:rsidRPr="007129C6" w:rsidR="00404B15" w:rsidP="00404B15" w:rsidRDefault="00404B15" w14:paraId="5D36D7E7"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w:t>
            </w:r>
          </w:p>
        </w:tc>
      </w:tr>
      <w:tr w:rsidRPr="007129C6" w:rsidR="003A392B" w:rsidTr="003A392B" w14:paraId="5AADE6BF" w14:textId="77777777">
        <w:trPr>
          <w:trHeight w:val="170"/>
        </w:trPr>
        <w:tc>
          <w:tcPr>
            <w:cnfStyle w:val="001000000000" w:firstRow="0" w:lastRow="0" w:firstColumn="1" w:lastColumn="0" w:oddVBand="0" w:evenVBand="0" w:oddHBand="0" w:evenHBand="0" w:firstRowFirstColumn="0" w:firstRowLastColumn="0" w:lastRowFirstColumn="0" w:lastRowLastColumn="0"/>
            <w:tcW w:w="2602" w:type="pct"/>
          </w:tcPr>
          <w:p w:rsidRPr="007129C6" w:rsidR="00404B15" w:rsidP="00404B15" w:rsidRDefault="00404B15" w14:paraId="3D0530AC" w14:textId="77777777">
            <w:pPr>
              <w:pStyle w:val="SEOStandaard"/>
              <w:numPr>
                <w:ilvl w:val="0"/>
                <w:numId w:val="0"/>
              </w:numPr>
              <w:rPr>
                <w:rFonts w:ascii="Trebuchet MS" w:hAnsi="Trebuchet MS"/>
                <w:sz w:val="18"/>
                <w:szCs w:val="18"/>
              </w:rPr>
            </w:pPr>
            <w:r w:rsidRPr="007129C6">
              <w:rPr>
                <w:rFonts w:ascii="Trebuchet MS" w:hAnsi="Trebuchet MS"/>
                <w:sz w:val="18"/>
                <w:szCs w:val="18"/>
              </w:rPr>
              <w:t>De kwaliteit van het techniekonderwijs/de technieklessen</w:t>
            </w:r>
          </w:p>
        </w:tc>
        <w:tc>
          <w:tcPr>
            <w:tcW w:w="549" w:type="pct"/>
          </w:tcPr>
          <w:p w:rsidRPr="007129C6" w:rsidR="00404B15" w:rsidP="00404B15" w:rsidRDefault="00404B15" w14:paraId="73ED2881" w14:textId="6EE178DA">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76%</w:t>
            </w:r>
          </w:p>
        </w:tc>
        <w:tc>
          <w:tcPr>
            <w:tcW w:w="549" w:type="pct"/>
          </w:tcPr>
          <w:p w:rsidRPr="007129C6" w:rsidR="00404B15" w:rsidP="00404B15" w:rsidRDefault="00404B15" w14:paraId="6C37DA37" w14:textId="5AE62FEA">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71%</w:t>
            </w:r>
          </w:p>
        </w:tc>
        <w:tc>
          <w:tcPr>
            <w:tcW w:w="123" w:type="pct"/>
          </w:tcPr>
          <w:p w:rsidRPr="007129C6" w:rsidR="00404B15" w:rsidP="00404B15" w:rsidRDefault="00404B15" w14:paraId="0A2E3D8C"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c>
          <w:tcPr>
            <w:tcW w:w="241" w:type="pct"/>
          </w:tcPr>
          <w:p w:rsidRPr="007129C6" w:rsidR="00404B15" w:rsidP="00404B15" w:rsidRDefault="00404B15" w14:paraId="0B290038" w14:textId="06587286">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241" w:type="pct"/>
          </w:tcPr>
          <w:p w:rsidRPr="007129C6" w:rsidR="00404B15" w:rsidP="00404B15" w:rsidRDefault="00404B15" w14:paraId="3EFA0DA1"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241" w:type="pct"/>
          </w:tcPr>
          <w:p w:rsidRPr="007129C6" w:rsidR="00404B15" w:rsidP="00404B15" w:rsidRDefault="00404B15" w14:paraId="19E9B68D"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10</w:t>
            </w:r>
          </w:p>
        </w:tc>
        <w:tc>
          <w:tcPr>
            <w:tcW w:w="241" w:type="pct"/>
          </w:tcPr>
          <w:p w:rsidRPr="007129C6" w:rsidR="00404B15" w:rsidP="00404B15" w:rsidRDefault="00404B15" w14:paraId="360D09A1"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24</w:t>
            </w:r>
          </w:p>
        </w:tc>
        <w:tc>
          <w:tcPr>
            <w:tcW w:w="213" w:type="pct"/>
          </w:tcPr>
          <w:p w:rsidRPr="007129C6" w:rsidR="00404B15" w:rsidP="00404B15" w:rsidRDefault="00404B15" w14:paraId="2D372720"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w:t>
            </w:r>
          </w:p>
        </w:tc>
      </w:tr>
      <w:tr w:rsidRPr="007129C6" w:rsidR="003A392B" w:rsidTr="003A392B" w14:paraId="50F0D27A" w14:textId="77777777">
        <w:trPr>
          <w:trHeight w:val="170"/>
        </w:trPr>
        <w:tc>
          <w:tcPr>
            <w:cnfStyle w:val="001000000000" w:firstRow="0" w:lastRow="0" w:firstColumn="1" w:lastColumn="0" w:oddVBand="0" w:evenVBand="0" w:oddHBand="0" w:evenHBand="0" w:firstRowFirstColumn="0" w:firstRowLastColumn="0" w:lastRowFirstColumn="0" w:lastRowLastColumn="0"/>
            <w:tcW w:w="2602" w:type="pct"/>
          </w:tcPr>
          <w:p w:rsidRPr="007129C6" w:rsidR="00404B15" w:rsidP="00404B15" w:rsidRDefault="00404B15" w14:paraId="5C7A1217" w14:textId="77777777">
            <w:pPr>
              <w:pStyle w:val="SEOStandaard"/>
              <w:numPr>
                <w:ilvl w:val="0"/>
                <w:numId w:val="0"/>
              </w:numPr>
              <w:rPr>
                <w:rFonts w:ascii="Trebuchet MS" w:hAnsi="Trebuchet MS"/>
                <w:sz w:val="18"/>
                <w:szCs w:val="18"/>
              </w:rPr>
            </w:pPr>
            <w:r w:rsidRPr="007129C6">
              <w:rPr>
                <w:rFonts w:ascii="Trebuchet MS" w:hAnsi="Trebuchet MS"/>
                <w:sz w:val="18"/>
                <w:szCs w:val="18"/>
              </w:rPr>
              <w:t>Voldoende techniekdocenten</w:t>
            </w:r>
          </w:p>
        </w:tc>
        <w:tc>
          <w:tcPr>
            <w:tcW w:w="549" w:type="pct"/>
          </w:tcPr>
          <w:p w:rsidRPr="007129C6" w:rsidR="00404B15" w:rsidP="00404B15" w:rsidRDefault="00404B15" w14:paraId="2C3462A6" w14:textId="4BC9136D">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73%</w:t>
            </w:r>
          </w:p>
        </w:tc>
        <w:tc>
          <w:tcPr>
            <w:tcW w:w="549" w:type="pct"/>
          </w:tcPr>
          <w:p w:rsidRPr="007129C6" w:rsidR="00404B15" w:rsidP="00404B15" w:rsidRDefault="00404B15" w14:paraId="70B952DE" w14:textId="7BFB1A41">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49%</w:t>
            </w:r>
          </w:p>
        </w:tc>
        <w:tc>
          <w:tcPr>
            <w:tcW w:w="123" w:type="pct"/>
          </w:tcPr>
          <w:p w:rsidRPr="007129C6" w:rsidR="00404B15" w:rsidP="00404B15" w:rsidRDefault="00404B15" w14:paraId="0EB93972"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c>
          <w:tcPr>
            <w:tcW w:w="241" w:type="pct"/>
          </w:tcPr>
          <w:p w:rsidRPr="007129C6" w:rsidR="00404B15" w:rsidP="00404B15" w:rsidRDefault="00404B15" w14:paraId="5214DAFD" w14:textId="4C8B1534">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241" w:type="pct"/>
          </w:tcPr>
          <w:p w:rsidRPr="007129C6" w:rsidR="00404B15" w:rsidP="00404B15" w:rsidRDefault="00404B15" w14:paraId="05220590"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w:t>
            </w:r>
          </w:p>
        </w:tc>
        <w:tc>
          <w:tcPr>
            <w:tcW w:w="241" w:type="pct"/>
          </w:tcPr>
          <w:p w:rsidRPr="007129C6" w:rsidR="00404B15" w:rsidP="00404B15" w:rsidRDefault="00404B15" w14:paraId="053C1D23"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10</w:t>
            </w:r>
          </w:p>
        </w:tc>
        <w:tc>
          <w:tcPr>
            <w:tcW w:w="241" w:type="pct"/>
          </w:tcPr>
          <w:p w:rsidRPr="007129C6" w:rsidR="00404B15" w:rsidP="00404B15" w:rsidRDefault="00404B15" w14:paraId="6E36878D"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20</w:t>
            </w:r>
          </w:p>
        </w:tc>
        <w:tc>
          <w:tcPr>
            <w:tcW w:w="213" w:type="pct"/>
          </w:tcPr>
          <w:p w:rsidRPr="007129C6" w:rsidR="00404B15" w:rsidP="00404B15" w:rsidRDefault="00404B15" w14:paraId="3CFB2322"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10</w:t>
            </w:r>
          </w:p>
        </w:tc>
      </w:tr>
      <w:tr w:rsidRPr="007129C6" w:rsidR="003A392B" w:rsidTr="003A392B" w14:paraId="617D6CF9" w14:textId="77777777">
        <w:trPr>
          <w:trHeight w:val="170"/>
        </w:trPr>
        <w:tc>
          <w:tcPr>
            <w:cnfStyle w:val="001000000000" w:firstRow="0" w:lastRow="0" w:firstColumn="1" w:lastColumn="0" w:oddVBand="0" w:evenVBand="0" w:oddHBand="0" w:evenHBand="0" w:firstRowFirstColumn="0" w:firstRowLastColumn="0" w:lastRowFirstColumn="0" w:lastRowLastColumn="0"/>
            <w:tcW w:w="2602" w:type="pct"/>
          </w:tcPr>
          <w:p w:rsidRPr="007129C6" w:rsidR="00404B15" w:rsidP="00404B15" w:rsidRDefault="00404B15" w14:paraId="41C76D23" w14:textId="77777777">
            <w:pPr>
              <w:pStyle w:val="SEOStandaard"/>
              <w:numPr>
                <w:ilvl w:val="0"/>
                <w:numId w:val="0"/>
              </w:numPr>
              <w:rPr>
                <w:rFonts w:ascii="Trebuchet MS" w:hAnsi="Trebuchet MS"/>
                <w:sz w:val="18"/>
                <w:szCs w:val="18"/>
              </w:rPr>
            </w:pPr>
            <w:r w:rsidRPr="007129C6">
              <w:rPr>
                <w:rFonts w:ascii="Trebuchet MS" w:hAnsi="Trebuchet MS"/>
                <w:sz w:val="18"/>
                <w:szCs w:val="18"/>
              </w:rPr>
              <w:t>De aansluiting met mbo</w:t>
            </w:r>
          </w:p>
        </w:tc>
        <w:tc>
          <w:tcPr>
            <w:tcW w:w="549" w:type="pct"/>
          </w:tcPr>
          <w:p w:rsidRPr="007129C6" w:rsidR="00404B15" w:rsidP="00404B15" w:rsidRDefault="00404B15" w14:paraId="1B6D2D37" w14:textId="6B2B31C3">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85%</w:t>
            </w:r>
          </w:p>
        </w:tc>
        <w:tc>
          <w:tcPr>
            <w:tcW w:w="549" w:type="pct"/>
          </w:tcPr>
          <w:p w:rsidRPr="007129C6" w:rsidR="00404B15" w:rsidP="00404B15" w:rsidRDefault="00404B15" w14:paraId="466C510D" w14:textId="7320F34F">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78%</w:t>
            </w:r>
          </w:p>
        </w:tc>
        <w:tc>
          <w:tcPr>
            <w:tcW w:w="123" w:type="pct"/>
          </w:tcPr>
          <w:p w:rsidRPr="007129C6" w:rsidR="00404B15" w:rsidP="00404B15" w:rsidRDefault="00404B15" w14:paraId="0E7D60B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c>
          <w:tcPr>
            <w:tcW w:w="241" w:type="pct"/>
          </w:tcPr>
          <w:p w:rsidRPr="007129C6" w:rsidR="00404B15" w:rsidP="00404B15" w:rsidRDefault="00404B15" w14:paraId="1AB2A7E4" w14:textId="7E834F12">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241" w:type="pct"/>
          </w:tcPr>
          <w:p w:rsidRPr="007129C6" w:rsidR="00404B15" w:rsidP="00404B15" w:rsidRDefault="00404B15" w14:paraId="52DF96F1"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241" w:type="pct"/>
          </w:tcPr>
          <w:p w:rsidRPr="007129C6" w:rsidR="00404B15" w:rsidP="00404B15" w:rsidRDefault="00404B15" w14:paraId="66AE6F78"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w:t>
            </w:r>
          </w:p>
        </w:tc>
        <w:tc>
          <w:tcPr>
            <w:tcW w:w="241" w:type="pct"/>
          </w:tcPr>
          <w:p w:rsidRPr="007129C6" w:rsidR="00404B15" w:rsidP="00404B15" w:rsidRDefault="00404B15" w14:paraId="4CF73937"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28</w:t>
            </w:r>
          </w:p>
        </w:tc>
        <w:tc>
          <w:tcPr>
            <w:tcW w:w="213" w:type="pct"/>
          </w:tcPr>
          <w:p w:rsidRPr="007129C6" w:rsidR="00404B15" w:rsidP="00404B15" w:rsidRDefault="00404B15" w14:paraId="435ADF07"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w:t>
            </w:r>
          </w:p>
        </w:tc>
      </w:tr>
      <w:tr w:rsidRPr="007129C6" w:rsidR="003A392B" w:rsidTr="003A392B" w14:paraId="5FAB2275" w14:textId="77777777">
        <w:trPr>
          <w:trHeight w:val="170"/>
        </w:trPr>
        <w:tc>
          <w:tcPr>
            <w:cnfStyle w:val="001000000000" w:firstRow="0" w:lastRow="0" w:firstColumn="1" w:lastColumn="0" w:oddVBand="0" w:evenVBand="0" w:oddHBand="0" w:evenHBand="0" w:firstRowFirstColumn="0" w:firstRowLastColumn="0" w:lastRowFirstColumn="0" w:lastRowLastColumn="0"/>
            <w:tcW w:w="2602" w:type="pct"/>
          </w:tcPr>
          <w:p w:rsidRPr="007129C6" w:rsidR="00404B15" w:rsidP="00404B15" w:rsidRDefault="00404B15" w14:paraId="23CA72D0" w14:textId="77777777">
            <w:pPr>
              <w:pStyle w:val="SEOStandaard"/>
              <w:numPr>
                <w:ilvl w:val="0"/>
                <w:numId w:val="0"/>
              </w:numPr>
              <w:rPr>
                <w:rFonts w:ascii="Trebuchet MS" w:hAnsi="Trebuchet MS"/>
                <w:sz w:val="18"/>
                <w:szCs w:val="18"/>
              </w:rPr>
            </w:pPr>
            <w:r w:rsidRPr="007129C6">
              <w:rPr>
                <w:rFonts w:ascii="Trebuchet MS" w:hAnsi="Trebuchet MS"/>
                <w:sz w:val="18"/>
                <w:szCs w:val="18"/>
              </w:rPr>
              <w:t>De aansluiting op de regionale vraag van het bedrijfsleven</w:t>
            </w:r>
          </w:p>
        </w:tc>
        <w:tc>
          <w:tcPr>
            <w:tcW w:w="549" w:type="pct"/>
          </w:tcPr>
          <w:p w:rsidRPr="007129C6" w:rsidR="00404B15" w:rsidP="00404B15" w:rsidRDefault="00404B15" w14:paraId="791C33B0" w14:textId="52230613">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78%</w:t>
            </w:r>
          </w:p>
        </w:tc>
        <w:tc>
          <w:tcPr>
            <w:tcW w:w="549" w:type="pct"/>
          </w:tcPr>
          <w:p w:rsidRPr="007129C6" w:rsidR="00404B15" w:rsidP="00404B15" w:rsidRDefault="00404B15" w14:paraId="49F7CF16" w14:textId="24ACE1CB">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83%</w:t>
            </w:r>
          </w:p>
        </w:tc>
        <w:tc>
          <w:tcPr>
            <w:tcW w:w="123" w:type="pct"/>
          </w:tcPr>
          <w:p w:rsidRPr="007129C6" w:rsidR="00404B15" w:rsidP="00404B15" w:rsidRDefault="00404B15" w14:paraId="135132D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c>
          <w:tcPr>
            <w:tcW w:w="241" w:type="pct"/>
          </w:tcPr>
          <w:p w:rsidRPr="007129C6" w:rsidR="00404B15" w:rsidP="00404B15" w:rsidRDefault="00404B15" w14:paraId="28A34DAF" w14:textId="7CBDAADF">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241" w:type="pct"/>
          </w:tcPr>
          <w:p w:rsidRPr="007129C6" w:rsidR="00404B15" w:rsidP="00404B15" w:rsidRDefault="00404B15" w14:paraId="1BE80E4A"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241" w:type="pct"/>
          </w:tcPr>
          <w:p w:rsidRPr="007129C6" w:rsidR="00404B15" w:rsidP="00404B15" w:rsidRDefault="00404B15" w14:paraId="3078ECF3"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w:t>
            </w:r>
          </w:p>
        </w:tc>
        <w:tc>
          <w:tcPr>
            <w:tcW w:w="241" w:type="pct"/>
          </w:tcPr>
          <w:p w:rsidRPr="007129C6" w:rsidR="00404B15" w:rsidP="00404B15" w:rsidRDefault="00404B15" w14:paraId="2A26E55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23</w:t>
            </w:r>
          </w:p>
        </w:tc>
        <w:tc>
          <w:tcPr>
            <w:tcW w:w="213" w:type="pct"/>
          </w:tcPr>
          <w:p w:rsidRPr="007129C6" w:rsidR="00404B15" w:rsidP="00404B15" w:rsidRDefault="00404B15" w14:paraId="313A1EB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w:t>
            </w:r>
          </w:p>
        </w:tc>
      </w:tr>
      <w:tr w:rsidRPr="007129C6" w:rsidR="003A392B" w:rsidTr="003A392B" w14:paraId="185233BE" w14:textId="77777777">
        <w:trPr>
          <w:trHeight w:val="170"/>
        </w:trPr>
        <w:tc>
          <w:tcPr>
            <w:cnfStyle w:val="001000000000" w:firstRow="0" w:lastRow="0" w:firstColumn="1" w:lastColumn="0" w:oddVBand="0" w:evenVBand="0" w:oddHBand="0" w:evenHBand="0" w:firstRowFirstColumn="0" w:firstRowLastColumn="0" w:lastRowFirstColumn="0" w:lastRowLastColumn="0"/>
            <w:tcW w:w="2602" w:type="pct"/>
          </w:tcPr>
          <w:p w:rsidRPr="007129C6" w:rsidR="00404B15" w:rsidP="00404B15" w:rsidRDefault="00404B15" w14:paraId="4355CB2E" w14:textId="77777777">
            <w:pPr>
              <w:pStyle w:val="SEOStandaard"/>
              <w:numPr>
                <w:ilvl w:val="0"/>
                <w:numId w:val="0"/>
              </w:numPr>
              <w:rPr>
                <w:rFonts w:ascii="Trebuchet MS" w:hAnsi="Trebuchet MS"/>
                <w:sz w:val="18"/>
                <w:szCs w:val="18"/>
              </w:rPr>
            </w:pPr>
            <w:r w:rsidRPr="007129C6">
              <w:rPr>
                <w:rFonts w:ascii="Trebuchet MS" w:hAnsi="Trebuchet MS"/>
                <w:sz w:val="18"/>
                <w:szCs w:val="18"/>
              </w:rPr>
              <w:t>De samenwerking tussen de verschillende partijen van STO</w:t>
            </w:r>
          </w:p>
        </w:tc>
        <w:tc>
          <w:tcPr>
            <w:tcW w:w="549" w:type="pct"/>
          </w:tcPr>
          <w:p w:rsidRPr="007129C6" w:rsidR="00404B15" w:rsidP="00404B15" w:rsidRDefault="00404B15" w14:paraId="4F22120C" w14:textId="175EE8E3">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80%</w:t>
            </w:r>
          </w:p>
        </w:tc>
        <w:tc>
          <w:tcPr>
            <w:tcW w:w="549" w:type="pct"/>
          </w:tcPr>
          <w:p w:rsidRPr="007129C6" w:rsidR="00404B15" w:rsidP="00404B15" w:rsidRDefault="00404B15" w14:paraId="691B2B1A" w14:textId="2F191286">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68%</w:t>
            </w:r>
          </w:p>
        </w:tc>
        <w:tc>
          <w:tcPr>
            <w:tcW w:w="123" w:type="pct"/>
          </w:tcPr>
          <w:p w:rsidRPr="007129C6" w:rsidR="00404B15" w:rsidP="00404B15" w:rsidRDefault="00404B15" w14:paraId="70E312AD"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c>
          <w:tcPr>
            <w:tcW w:w="241" w:type="pct"/>
          </w:tcPr>
          <w:p w:rsidRPr="007129C6" w:rsidR="00404B15" w:rsidP="00404B15" w:rsidRDefault="00404B15" w14:paraId="4D607409" w14:textId="4E5368AA">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241" w:type="pct"/>
          </w:tcPr>
          <w:p w:rsidRPr="007129C6" w:rsidR="00404B15" w:rsidP="00404B15" w:rsidRDefault="00404B15" w14:paraId="08504C53"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241" w:type="pct"/>
          </w:tcPr>
          <w:p w:rsidRPr="007129C6" w:rsidR="00404B15" w:rsidP="00404B15" w:rsidRDefault="00404B15" w14:paraId="0B8CB178"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w:t>
            </w:r>
          </w:p>
        </w:tc>
        <w:tc>
          <w:tcPr>
            <w:tcW w:w="241" w:type="pct"/>
          </w:tcPr>
          <w:p w:rsidRPr="007129C6" w:rsidR="00404B15" w:rsidP="00404B15" w:rsidRDefault="00404B15" w14:paraId="2F810D9B"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23</w:t>
            </w:r>
          </w:p>
        </w:tc>
        <w:tc>
          <w:tcPr>
            <w:tcW w:w="213" w:type="pct"/>
          </w:tcPr>
          <w:p w:rsidRPr="007129C6" w:rsidR="00404B15" w:rsidP="00404B15" w:rsidRDefault="00404B15" w14:paraId="04F3B1F4"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10</w:t>
            </w:r>
          </w:p>
        </w:tc>
      </w:tr>
      <w:tr w:rsidRPr="007129C6" w:rsidR="003A392B" w:rsidTr="003A392B" w14:paraId="280E0293" w14:textId="77777777">
        <w:trPr>
          <w:trHeight w:val="170"/>
        </w:trPr>
        <w:tc>
          <w:tcPr>
            <w:cnfStyle w:val="001000000000" w:firstRow="0" w:lastRow="0" w:firstColumn="1" w:lastColumn="0" w:oddVBand="0" w:evenVBand="0" w:oddHBand="0" w:evenHBand="0" w:firstRowFirstColumn="0" w:firstRowLastColumn="0" w:lastRowFirstColumn="0" w:lastRowLastColumn="0"/>
            <w:tcW w:w="2602" w:type="pct"/>
          </w:tcPr>
          <w:p w:rsidRPr="007129C6" w:rsidR="00404B15" w:rsidP="00404B15" w:rsidRDefault="00404B15" w14:paraId="2497B1C7" w14:textId="77777777">
            <w:pPr>
              <w:pStyle w:val="SEOStandaard"/>
              <w:numPr>
                <w:ilvl w:val="0"/>
                <w:numId w:val="0"/>
              </w:numPr>
              <w:rPr>
                <w:rFonts w:ascii="Trebuchet MS" w:hAnsi="Trebuchet MS"/>
                <w:sz w:val="18"/>
                <w:szCs w:val="18"/>
              </w:rPr>
            </w:pPr>
            <w:r w:rsidRPr="007129C6">
              <w:rPr>
                <w:rFonts w:ascii="Trebuchet MS" w:hAnsi="Trebuchet MS"/>
                <w:sz w:val="18"/>
                <w:szCs w:val="18"/>
              </w:rPr>
              <w:t>De beeldvorming ten aanzien van techniek</w:t>
            </w:r>
          </w:p>
        </w:tc>
        <w:tc>
          <w:tcPr>
            <w:tcW w:w="549" w:type="pct"/>
          </w:tcPr>
          <w:p w:rsidRPr="007129C6" w:rsidR="00404B15" w:rsidP="00404B15" w:rsidRDefault="00404B15" w14:paraId="0511F83F" w14:textId="6FE87226">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85%</w:t>
            </w:r>
          </w:p>
        </w:tc>
        <w:tc>
          <w:tcPr>
            <w:tcW w:w="549" w:type="pct"/>
          </w:tcPr>
          <w:p w:rsidRPr="007129C6" w:rsidR="00404B15" w:rsidP="00404B15" w:rsidRDefault="00404B15" w14:paraId="1D6D4295" w14:textId="437002FB">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88%</w:t>
            </w:r>
          </w:p>
        </w:tc>
        <w:tc>
          <w:tcPr>
            <w:tcW w:w="123" w:type="pct"/>
          </w:tcPr>
          <w:p w:rsidRPr="007129C6" w:rsidR="00404B15" w:rsidP="00404B15" w:rsidRDefault="00404B15" w14:paraId="1AFAB2B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c>
          <w:tcPr>
            <w:tcW w:w="241" w:type="pct"/>
          </w:tcPr>
          <w:p w:rsidRPr="007129C6" w:rsidR="00404B15" w:rsidP="00404B15" w:rsidRDefault="00404B15" w14:paraId="6A8BEA25" w14:textId="5AD0E554">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241" w:type="pct"/>
          </w:tcPr>
          <w:p w:rsidRPr="007129C6" w:rsidR="00404B15" w:rsidP="00404B15" w:rsidRDefault="00404B15" w14:paraId="14A278E4"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241" w:type="pct"/>
          </w:tcPr>
          <w:p w:rsidRPr="007129C6" w:rsidR="00404B15" w:rsidP="00404B15" w:rsidRDefault="00404B15" w14:paraId="38048870"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w:t>
            </w:r>
          </w:p>
        </w:tc>
        <w:tc>
          <w:tcPr>
            <w:tcW w:w="241" w:type="pct"/>
          </w:tcPr>
          <w:p w:rsidRPr="007129C6" w:rsidR="00404B15" w:rsidP="00404B15" w:rsidRDefault="00404B15" w14:paraId="20F300B7"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23</w:t>
            </w:r>
          </w:p>
        </w:tc>
        <w:tc>
          <w:tcPr>
            <w:tcW w:w="213" w:type="pct"/>
          </w:tcPr>
          <w:p w:rsidRPr="007129C6" w:rsidR="00404B15" w:rsidP="00404B15" w:rsidRDefault="00404B15" w14:paraId="256F1FA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12</w:t>
            </w:r>
          </w:p>
        </w:tc>
      </w:tr>
      <w:tr w:rsidRPr="007129C6" w:rsidR="003A392B" w:rsidTr="003A392B" w14:paraId="7C01F952" w14:textId="77777777">
        <w:trPr>
          <w:trHeight w:val="170"/>
        </w:trPr>
        <w:tc>
          <w:tcPr>
            <w:cnfStyle w:val="001000000000" w:firstRow="0" w:lastRow="0" w:firstColumn="1" w:lastColumn="0" w:oddVBand="0" w:evenVBand="0" w:oddHBand="0" w:evenHBand="0" w:firstRowFirstColumn="0" w:firstRowLastColumn="0" w:lastRowFirstColumn="0" w:lastRowLastColumn="0"/>
            <w:tcW w:w="2602" w:type="pct"/>
          </w:tcPr>
          <w:p w:rsidRPr="007129C6" w:rsidR="00404B15" w:rsidP="00404B15" w:rsidRDefault="00404B15" w14:paraId="3C859B3E" w14:textId="77777777">
            <w:pPr>
              <w:pStyle w:val="SEOStandaard"/>
              <w:numPr>
                <w:ilvl w:val="0"/>
                <w:numId w:val="0"/>
              </w:numPr>
              <w:rPr>
                <w:rFonts w:ascii="Trebuchet MS" w:hAnsi="Trebuchet MS"/>
                <w:sz w:val="18"/>
                <w:szCs w:val="18"/>
              </w:rPr>
            </w:pPr>
            <w:r w:rsidRPr="007129C6">
              <w:rPr>
                <w:rFonts w:ascii="Trebuchet MS" w:hAnsi="Trebuchet MS"/>
                <w:sz w:val="18"/>
                <w:szCs w:val="18"/>
              </w:rPr>
              <w:t>Andere uitdaging, namelijk...</w:t>
            </w:r>
            <w:r w:rsidRPr="007129C6">
              <w:rPr>
                <w:rStyle w:val="Voetnootmarkering"/>
                <w:rFonts w:ascii="Trebuchet MS" w:hAnsi="Trebuchet MS"/>
                <w:sz w:val="18"/>
                <w:szCs w:val="18"/>
              </w:rPr>
              <w:footnoteReference w:id="5"/>
            </w:r>
          </w:p>
        </w:tc>
        <w:tc>
          <w:tcPr>
            <w:tcW w:w="549" w:type="pct"/>
          </w:tcPr>
          <w:p w:rsidRPr="007129C6" w:rsidR="00404B15" w:rsidP="00404B15" w:rsidRDefault="00404B15" w14:paraId="3211D540" w14:textId="3B2F35AB">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88%</w:t>
            </w:r>
          </w:p>
        </w:tc>
        <w:tc>
          <w:tcPr>
            <w:tcW w:w="549" w:type="pct"/>
          </w:tcPr>
          <w:p w:rsidRPr="007129C6" w:rsidR="00404B15" w:rsidP="00404B15" w:rsidRDefault="00404B15" w14:paraId="712ED47C" w14:textId="1D2ABCD6">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78%</w:t>
            </w:r>
          </w:p>
        </w:tc>
        <w:tc>
          <w:tcPr>
            <w:tcW w:w="123" w:type="pct"/>
          </w:tcPr>
          <w:p w:rsidRPr="007129C6" w:rsidR="00404B15" w:rsidP="00404B15" w:rsidRDefault="00404B15" w14:paraId="6080D49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c>
          <w:tcPr>
            <w:tcW w:w="241" w:type="pct"/>
          </w:tcPr>
          <w:p w:rsidRPr="007129C6" w:rsidR="00404B15" w:rsidP="00404B15" w:rsidRDefault="00404B15" w14:paraId="6CA16B31" w14:textId="6A4B296B">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241" w:type="pct"/>
          </w:tcPr>
          <w:p w:rsidRPr="007129C6" w:rsidR="00404B15" w:rsidP="00404B15" w:rsidRDefault="00404B15" w14:paraId="079A368F"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241" w:type="pct"/>
          </w:tcPr>
          <w:p w:rsidRPr="007129C6" w:rsidR="00404B15" w:rsidP="00404B15" w:rsidRDefault="00404B15" w14:paraId="422BB3E3"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w:t>
            </w:r>
          </w:p>
        </w:tc>
        <w:tc>
          <w:tcPr>
            <w:tcW w:w="241" w:type="pct"/>
          </w:tcPr>
          <w:p w:rsidRPr="007129C6" w:rsidR="00404B15" w:rsidP="00404B15" w:rsidRDefault="00404B15" w14:paraId="21A0DE30"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5</w:t>
            </w:r>
          </w:p>
        </w:tc>
        <w:tc>
          <w:tcPr>
            <w:tcW w:w="213" w:type="pct"/>
          </w:tcPr>
          <w:p w:rsidRPr="007129C6" w:rsidR="00404B15" w:rsidP="00404B15" w:rsidRDefault="00404B15" w14:paraId="33789F4B"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w:t>
            </w:r>
          </w:p>
        </w:tc>
      </w:tr>
    </w:tbl>
    <w:p w:rsidRPr="00283B39" w:rsidR="0095088E" w:rsidP="00283B39" w:rsidRDefault="00140841" w14:paraId="72C6B21A" w14:textId="26F0F9EE">
      <w:pPr>
        <w:pStyle w:val="SEOBron"/>
        <w:numPr>
          <w:ilvl w:val="0"/>
          <w:numId w:val="0"/>
        </w:numPr>
        <w:rPr>
          <w:rFonts w:ascii="Trebuchet MS" w:hAnsi="Trebuchet MS"/>
          <w:color w:val="auto"/>
          <w:szCs w:val="18"/>
        </w:rPr>
      </w:pPr>
      <w:r w:rsidRPr="00283B39">
        <w:rPr>
          <w:rFonts w:ascii="Trebuchet MS" w:hAnsi="Trebuchet MS"/>
          <w:color w:val="auto"/>
          <w:szCs w:val="18"/>
        </w:rPr>
        <w:t xml:space="preserve">Bron: </w:t>
      </w:r>
      <w:r w:rsidRPr="00283B39" w:rsidR="0095088E">
        <w:rPr>
          <w:rFonts w:ascii="Trebuchet MS" w:hAnsi="Trebuchet MS"/>
          <w:color w:val="auto"/>
          <w:szCs w:val="18"/>
        </w:rPr>
        <w:t>Enquête programmaleiders STO (voorjaar 2025 &amp; voorjaar 2021). Percentages voor 2025 die voorzien zijn van een “*” verschillen significant ten opzichte van 2021.</w:t>
      </w:r>
    </w:p>
    <w:p w:rsidRPr="00283B39" w:rsidR="0095088E" w:rsidP="00283B39" w:rsidRDefault="00140841" w14:paraId="63A2CD72" w14:textId="6265545E">
      <w:pPr>
        <w:pStyle w:val="Figuur"/>
        <w:rPr>
          <w:rFonts w:ascii="Trebuchet MS" w:hAnsi="Trebuchet MS"/>
          <w:i/>
          <w:sz w:val="18"/>
          <w:szCs w:val="18"/>
        </w:rPr>
      </w:pPr>
      <w:r>
        <w:rPr>
          <w:rFonts w:ascii="Trebuchet MS" w:hAnsi="Trebuchet MS" w:eastAsiaTheme="minorEastAsia" w:cstheme="minorBidi"/>
          <w:i/>
          <w:iCs/>
          <w:noProof w:val="0"/>
          <w:sz w:val="18"/>
          <w:szCs w:val="18"/>
          <w:lang w:eastAsia="en-US"/>
        </w:rPr>
        <w:t xml:space="preserve">Tabel 4.3. </w:t>
      </w:r>
      <w:r w:rsidRPr="00283B39" w:rsidR="0095088E">
        <w:rPr>
          <w:rFonts w:ascii="Trebuchet MS" w:hAnsi="Trebuchet MS" w:eastAsiaTheme="minorEastAsia" w:cstheme="minorBidi"/>
          <w:i/>
          <w:sz w:val="18"/>
          <w:szCs w:val="18"/>
          <w:lang w:eastAsia="en-US"/>
        </w:rPr>
        <w:t>Urgentie van verschillende aandachtspunten (respons in 2021, 2024 en 2025, n=29)</w:t>
      </w:r>
    </w:p>
    <w:tbl>
      <w:tblPr>
        <w:tblStyle w:val="SEOTabel2"/>
        <w:tblW w:w="9306" w:type="dxa"/>
        <w:tblLayout w:type="fixed"/>
        <w:tblCellMar>
          <w:left w:w="28" w:type="dxa"/>
          <w:right w:w="28" w:type="dxa"/>
        </w:tblCellMar>
        <w:tblLook w:val="04A0" w:firstRow="1" w:lastRow="0" w:firstColumn="1" w:lastColumn="0" w:noHBand="0" w:noVBand="1"/>
      </w:tblPr>
      <w:tblGrid>
        <w:gridCol w:w="4819"/>
        <w:gridCol w:w="680"/>
        <w:gridCol w:w="680"/>
        <w:gridCol w:w="680"/>
        <w:gridCol w:w="227"/>
        <w:gridCol w:w="444"/>
        <w:gridCol w:w="444"/>
        <w:gridCol w:w="444"/>
        <w:gridCol w:w="444"/>
        <w:gridCol w:w="444"/>
      </w:tblGrid>
      <w:tr w:rsidRPr="007129C6" w:rsidR="003A392B" w:rsidTr="00B742D5" w14:paraId="3CAD91C3" w14:textId="77777777">
        <w:trPr>
          <w:cnfStyle w:val="100000000000" w:firstRow="1" w:lastRow="0" w:firstColumn="0" w:lastColumn="0" w:oddVBand="0" w:evenVBand="0" w:oddHBand="0" w:evenHBand="0" w:firstRowFirstColumn="0" w:firstRowLastColumn="0" w:lastRowFirstColumn="0" w:lastRowLastColumn="0"/>
          <w:cantSplit/>
          <w:trHeight w:val="57"/>
        </w:trPr>
        <w:tc>
          <w:tcPr>
            <w:cnfStyle w:val="001000000000" w:firstRow="0" w:lastRow="0" w:firstColumn="1" w:lastColumn="0" w:oddVBand="0" w:evenVBand="0" w:oddHBand="0" w:evenHBand="0" w:firstRowFirstColumn="0" w:firstRowLastColumn="0" w:lastRowFirstColumn="0" w:lastRowLastColumn="0"/>
            <w:tcW w:w="4819" w:type="dxa"/>
            <w:noWrap/>
            <w:vAlign w:val="center"/>
          </w:tcPr>
          <w:p w:rsidRPr="007129C6" w:rsidR="003A392B" w:rsidP="00873363" w:rsidRDefault="003A392B" w14:paraId="78F11EBE" w14:textId="7ABD3FD9">
            <w:pPr>
              <w:pStyle w:val="SEOStandaard"/>
              <w:spacing w:line="240" w:lineRule="auto"/>
              <w:jc w:val="center"/>
              <w:rPr>
                <w:rFonts w:ascii="Trebuchet MS" w:hAnsi="Trebuchet MS"/>
                <w:b w:val="0"/>
                <w:bCs/>
                <w:color w:val="FFFFFF" w:themeColor="background1"/>
                <w:sz w:val="18"/>
                <w:szCs w:val="18"/>
              </w:rPr>
            </w:pPr>
          </w:p>
        </w:tc>
        <w:tc>
          <w:tcPr>
            <w:tcW w:w="680" w:type="dxa"/>
            <w:vAlign w:val="center"/>
          </w:tcPr>
          <w:p w:rsidRPr="007129C6" w:rsidR="003A392B" w:rsidP="00873363" w:rsidRDefault="003A392B" w14:paraId="55355F26" w14:textId="42ACD03B">
            <w:pPr>
              <w:pStyle w:val="SEOStandaard"/>
              <w:spacing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p>
        </w:tc>
        <w:tc>
          <w:tcPr>
            <w:tcW w:w="680" w:type="dxa"/>
            <w:vAlign w:val="center"/>
          </w:tcPr>
          <w:p w:rsidRPr="007129C6" w:rsidR="003A392B" w:rsidP="00873363" w:rsidRDefault="003A392B" w14:paraId="7B902605" w14:textId="5A6DD5B8">
            <w:pPr>
              <w:pStyle w:val="SEOStandaard"/>
              <w:spacing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p>
        </w:tc>
        <w:tc>
          <w:tcPr>
            <w:tcW w:w="680" w:type="dxa"/>
            <w:vAlign w:val="center"/>
          </w:tcPr>
          <w:p w:rsidRPr="007129C6" w:rsidR="003A392B" w:rsidP="00873363" w:rsidRDefault="003A392B" w14:paraId="640F7943" w14:textId="79FC2D96">
            <w:pPr>
              <w:pStyle w:val="SEOStandaard"/>
              <w:spacing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p>
        </w:tc>
        <w:tc>
          <w:tcPr>
            <w:tcW w:w="227" w:type="dxa"/>
            <w:vAlign w:val="center"/>
          </w:tcPr>
          <w:p w:rsidRPr="007129C6" w:rsidR="003A392B" w:rsidP="00873363" w:rsidRDefault="003A392B" w14:paraId="6B8265BF" w14:textId="77777777">
            <w:pPr>
              <w:pStyle w:val="SEOStandaard"/>
              <w:spacing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p>
        </w:tc>
        <w:tc>
          <w:tcPr>
            <w:tcW w:w="2220" w:type="dxa"/>
            <w:gridSpan w:val="5"/>
            <w:noWrap/>
            <w:vAlign w:val="center"/>
          </w:tcPr>
          <w:p w:rsidRPr="007129C6" w:rsidR="003A392B" w:rsidP="003A392B" w:rsidRDefault="003A392B" w14:paraId="6F0F6549" w14:textId="1DC6C8BB">
            <w:pPr>
              <w:pStyle w:val="SEOStandaard"/>
              <w:numPr>
                <w:ilvl w:val="0"/>
                <w:numId w:val="0"/>
              </w:numPr>
              <w:spacing w:line="240" w:lineRule="auto"/>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Pr>
                <w:rFonts w:ascii="Trebuchet MS" w:hAnsi="Trebuchet MS"/>
                <w:color w:val="FFFFFF" w:themeColor="background1"/>
                <w:sz w:val="18"/>
                <w:szCs w:val="18"/>
              </w:rPr>
              <w:t>2025</w:t>
            </w:r>
            <w:r w:rsidR="00C07E99">
              <w:rPr>
                <w:rFonts w:ascii="Trebuchet MS" w:hAnsi="Trebuchet MS"/>
                <w:color w:val="FFFFFF" w:themeColor="background1"/>
                <w:sz w:val="18"/>
                <w:szCs w:val="18"/>
              </w:rPr>
              <w:t xml:space="preserve"> (% antwoorden)</w:t>
            </w:r>
          </w:p>
        </w:tc>
      </w:tr>
      <w:tr w:rsidRPr="006F0B43" w:rsidR="00873363" w:rsidTr="003A392B" w14:paraId="423F2B13" w14:textId="77777777">
        <w:trPr>
          <w:cantSplit/>
          <w:trHeight w:val="1531"/>
        </w:trPr>
        <w:tc>
          <w:tcPr>
            <w:cnfStyle w:val="001000000000" w:firstRow="0" w:lastRow="0" w:firstColumn="1" w:lastColumn="0" w:oddVBand="0" w:evenVBand="0" w:oddHBand="0" w:evenHBand="0" w:firstRowFirstColumn="0" w:firstRowLastColumn="0" w:lastRowFirstColumn="0" w:lastRowLastColumn="0"/>
            <w:tcW w:w="4819" w:type="dxa"/>
            <w:shd w:val="clear" w:color="auto" w:fill="264249"/>
            <w:noWrap/>
            <w:vAlign w:val="center"/>
            <w:hideMark/>
          </w:tcPr>
          <w:p w:rsidRPr="007129C6" w:rsidR="00873363" w:rsidP="004E4048" w:rsidRDefault="00873363" w14:paraId="77B074B0" w14:textId="77777777">
            <w:pPr>
              <w:pStyle w:val="SEOStandaard"/>
              <w:spacing w:line="240" w:lineRule="auto"/>
              <w:jc w:val="left"/>
              <w:rPr>
                <w:rFonts w:ascii="Trebuchet MS" w:hAnsi="Trebuchet MS"/>
                <w:b/>
                <w:bCs/>
                <w:color w:val="FFFFFF" w:themeColor="background1"/>
                <w:sz w:val="18"/>
                <w:szCs w:val="18"/>
              </w:rPr>
            </w:pPr>
            <w:r w:rsidRPr="006F0B43">
              <w:rPr>
                <w:rFonts w:ascii="Trebuchet MS" w:hAnsi="Trebuchet MS"/>
                <w:b/>
                <w:bCs/>
                <w:color w:val="FFFFFF" w:themeColor="background1"/>
                <w:sz w:val="18"/>
                <w:szCs w:val="18"/>
              </w:rPr>
              <w:t>In hoeverre beschouwt u onderstaande thema's voor de lopende subsidieperiode 2025-2029 als urgente uitdagingen voor uw regio?</w:t>
            </w:r>
          </w:p>
        </w:tc>
        <w:tc>
          <w:tcPr>
            <w:tcW w:w="680" w:type="dxa"/>
            <w:shd w:val="clear" w:color="auto" w:fill="264249"/>
            <w:textDirection w:val="btLr"/>
            <w:vAlign w:val="center"/>
          </w:tcPr>
          <w:p w:rsidRPr="006F0B43" w:rsidR="00873363" w:rsidP="00404B15" w:rsidRDefault="00873363" w14:paraId="60F1752A" w14:textId="3B7699BA">
            <w:pPr>
              <w:pStyle w:val="SEOStandaard"/>
              <w:spacing w:line="240" w:lineRule="auto"/>
              <w:jc w:val="left"/>
              <w:cnfStyle w:val="000000000000" w:firstRow="0" w:lastRow="0" w:firstColumn="0" w:lastColumn="0" w:oddVBand="0" w:evenVBand="0" w:oddHBand="0" w:evenHBand="0" w:firstRowFirstColumn="0" w:firstRowLastColumn="0" w:lastRowFirstColumn="0" w:lastRowLastColumn="0"/>
              <w:rPr>
                <w:rFonts w:ascii="Trebuchet MS" w:hAnsi="Trebuchet MS"/>
                <w:b/>
                <w:bCs/>
                <w:color w:val="FFFFFF" w:themeColor="background1"/>
                <w:sz w:val="18"/>
                <w:szCs w:val="18"/>
              </w:rPr>
            </w:pPr>
            <w:r w:rsidRPr="006F0B43">
              <w:rPr>
                <w:rFonts w:ascii="Trebuchet MS" w:hAnsi="Trebuchet MS"/>
                <w:b/>
                <w:bCs/>
                <w:color w:val="FFFFFF" w:themeColor="background1"/>
                <w:sz w:val="18"/>
                <w:szCs w:val="18"/>
              </w:rPr>
              <w:t>% (heel) urgent (2025)</w:t>
            </w:r>
          </w:p>
        </w:tc>
        <w:tc>
          <w:tcPr>
            <w:tcW w:w="680" w:type="dxa"/>
            <w:shd w:val="clear" w:color="auto" w:fill="264249"/>
            <w:textDirection w:val="btLr"/>
            <w:vAlign w:val="center"/>
          </w:tcPr>
          <w:p w:rsidRPr="006F0B43" w:rsidR="00873363" w:rsidP="00404B15" w:rsidRDefault="00873363" w14:paraId="2A28C32C" w14:textId="4FF44C3C">
            <w:pPr>
              <w:pStyle w:val="SEOStandaard"/>
              <w:spacing w:line="240" w:lineRule="auto"/>
              <w:jc w:val="left"/>
              <w:cnfStyle w:val="000000000000" w:firstRow="0" w:lastRow="0" w:firstColumn="0" w:lastColumn="0" w:oddVBand="0" w:evenVBand="0" w:oddHBand="0" w:evenHBand="0" w:firstRowFirstColumn="0" w:firstRowLastColumn="0" w:lastRowFirstColumn="0" w:lastRowLastColumn="0"/>
              <w:rPr>
                <w:rFonts w:ascii="Trebuchet MS" w:hAnsi="Trebuchet MS"/>
                <w:b/>
                <w:bCs/>
                <w:color w:val="FFFFFF" w:themeColor="background1"/>
                <w:sz w:val="18"/>
                <w:szCs w:val="18"/>
              </w:rPr>
            </w:pPr>
            <w:r w:rsidRPr="006F0B43">
              <w:rPr>
                <w:rFonts w:ascii="Trebuchet MS" w:hAnsi="Trebuchet MS"/>
                <w:b/>
                <w:bCs/>
                <w:color w:val="FFFFFF" w:themeColor="background1"/>
                <w:sz w:val="18"/>
                <w:szCs w:val="18"/>
              </w:rPr>
              <w:t>% (heel) urgent (2024)</w:t>
            </w:r>
          </w:p>
        </w:tc>
        <w:tc>
          <w:tcPr>
            <w:tcW w:w="680" w:type="dxa"/>
            <w:shd w:val="clear" w:color="auto" w:fill="264249"/>
            <w:textDirection w:val="btLr"/>
            <w:vAlign w:val="center"/>
          </w:tcPr>
          <w:p w:rsidRPr="006F0B43" w:rsidR="00873363" w:rsidP="00404B15" w:rsidRDefault="00873363" w14:paraId="78D42C93" w14:textId="6A1D8791">
            <w:pPr>
              <w:pStyle w:val="SEOStandaard"/>
              <w:spacing w:line="240" w:lineRule="auto"/>
              <w:jc w:val="left"/>
              <w:cnfStyle w:val="000000000000" w:firstRow="0" w:lastRow="0" w:firstColumn="0" w:lastColumn="0" w:oddVBand="0" w:evenVBand="0" w:oddHBand="0" w:evenHBand="0" w:firstRowFirstColumn="0" w:firstRowLastColumn="0" w:lastRowFirstColumn="0" w:lastRowLastColumn="0"/>
              <w:rPr>
                <w:rFonts w:ascii="Trebuchet MS" w:hAnsi="Trebuchet MS"/>
                <w:b/>
                <w:bCs/>
                <w:color w:val="FFFFFF" w:themeColor="background1"/>
                <w:sz w:val="18"/>
                <w:szCs w:val="18"/>
              </w:rPr>
            </w:pPr>
            <w:r w:rsidRPr="006F0B43">
              <w:rPr>
                <w:rFonts w:ascii="Trebuchet MS" w:hAnsi="Trebuchet MS"/>
                <w:b/>
                <w:bCs/>
                <w:color w:val="FFFFFF" w:themeColor="background1"/>
                <w:sz w:val="18"/>
                <w:szCs w:val="18"/>
              </w:rPr>
              <w:t>% (heel) urgent (2021)</w:t>
            </w:r>
          </w:p>
        </w:tc>
        <w:tc>
          <w:tcPr>
            <w:tcW w:w="227" w:type="dxa"/>
            <w:shd w:val="clear" w:color="auto" w:fill="264249"/>
            <w:textDirection w:val="btLr"/>
            <w:vAlign w:val="center"/>
          </w:tcPr>
          <w:p w:rsidRPr="006F0B43" w:rsidR="00873363" w:rsidP="00404B15" w:rsidRDefault="00873363" w14:paraId="6A3477EE" w14:textId="77777777">
            <w:pPr>
              <w:pStyle w:val="SEOStandaard"/>
              <w:spacing w:line="240" w:lineRule="auto"/>
              <w:jc w:val="left"/>
              <w:cnfStyle w:val="000000000000" w:firstRow="0" w:lastRow="0" w:firstColumn="0" w:lastColumn="0" w:oddVBand="0" w:evenVBand="0" w:oddHBand="0" w:evenHBand="0" w:firstRowFirstColumn="0" w:firstRowLastColumn="0" w:lastRowFirstColumn="0" w:lastRowLastColumn="0"/>
              <w:rPr>
                <w:rFonts w:ascii="Trebuchet MS" w:hAnsi="Trebuchet MS"/>
                <w:b/>
                <w:bCs/>
                <w:color w:val="FFFFFF" w:themeColor="background1"/>
                <w:sz w:val="18"/>
                <w:szCs w:val="18"/>
              </w:rPr>
            </w:pPr>
          </w:p>
        </w:tc>
        <w:tc>
          <w:tcPr>
            <w:tcW w:w="444" w:type="dxa"/>
            <w:shd w:val="clear" w:color="auto" w:fill="264249"/>
            <w:noWrap/>
            <w:textDirection w:val="btLr"/>
            <w:vAlign w:val="center"/>
            <w:hideMark/>
          </w:tcPr>
          <w:p w:rsidRPr="006F0B43" w:rsidR="00873363" w:rsidP="00404B15" w:rsidRDefault="00873363" w14:paraId="477981D1" w14:textId="14E9D8F2">
            <w:pPr>
              <w:pStyle w:val="SEOStandaard"/>
              <w:spacing w:line="240" w:lineRule="auto"/>
              <w:jc w:val="left"/>
              <w:cnfStyle w:val="000000000000" w:firstRow="0" w:lastRow="0" w:firstColumn="0" w:lastColumn="0" w:oddVBand="0" w:evenVBand="0" w:oddHBand="0" w:evenHBand="0" w:firstRowFirstColumn="0" w:firstRowLastColumn="0" w:lastRowFirstColumn="0" w:lastRowLastColumn="0"/>
              <w:rPr>
                <w:rFonts w:ascii="Trebuchet MS" w:hAnsi="Trebuchet MS"/>
                <w:b/>
                <w:bCs/>
                <w:color w:val="FFFFFF" w:themeColor="background1"/>
                <w:sz w:val="18"/>
                <w:szCs w:val="18"/>
              </w:rPr>
            </w:pPr>
            <w:r w:rsidRPr="006F0B43">
              <w:rPr>
                <w:rFonts w:ascii="Trebuchet MS" w:hAnsi="Trebuchet MS"/>
                <w:b/>
                <w:bCs/>
                <w:color w:val="FFFFFF" w:themeColor="background1"/>
                <w:sz w:val="18"/>
                <w:szCs w:val="18"/>
              </w:rPr>
              <w:t>Helemaal niet urgent</w:t>
            </w:r>
          </w:p>
        </w:tc>
        <w:tc>
          <w:tcPr>
            <w:tcW w:w="444" w:type="dxa"/>
            <w:shd w:val="clear" w:color="auto" w:fill="264249"/>
            <w:noWrap/>
            <w:textDirection w:val="btLr"/>
            <w:vAlign w:val="center"/>
            <w:hideMark/>
          </w:tcPr>
          <w:p w:rsidRPr="006F0B43" w:rsidR="00873363" w:rsidP="00404B15" w:rsidRDefault="00873363" w14:paraId="1B760EC3" w14:textId="77777777">
            <w:pPr>
              <w:pStyle w:val="SEOStandaard"/>
              <w:spacing w:line="240" w:lineRule="auto"/>
              <w:jc w:val="left"/>
              <w:cnfStyle w:val="000000000000" w:firstRow="0" w:lastRow="0" w:firstColumn="0" w:lastColumn="0" w:oddVBand="0" w:evenVBand="0" w:oddHBand="0" w:evenHBand="0" w:firstRowFirstColumn="0" w:firstRowLastColumn="0" w:lastRowFirstColumn="0" w:lastRowLastColumn="0"/>
              <w:rPr>
                <w:rFonts w:ascii="Trebuchet MS" w:hAnsi="Trebuchet MS"/>
                <w:b/>
                <w:bCs/>
                <w:color w:val="FFFFFF" w:themeColor="background1"/>
                <w:sz w:val="18"/>
                <w:szCs w:val="18"/>
              </w:rPr>
            </w:pPr>
            <w:r w:rsidRPr="006F0B43">
              <w:rPr>
                <w:rFonts w:ascii="Trebuchet MS" w:hAnsi="Trebuchet MS"/>
                <w:b/>
                <w:bCs/>
                <w:color w:val="FFFFFF" w:themeColor="background1"/>
                <w:sz w:val="18"/>
                <w:szCs w:val="18"/>
              </w:rPr>
              <w:t>Niet urgent</w:t>
            </w:r>
          </w:p>
        </w:tc>
        <w:tc>
          <w:tcPr>
            <w:tcW w:w="444" w:type="dxa"/>
            <w:shd w:val="clear" w:color="auto" w:fill="264249"/>
            <w:noWrap/>
            <w:textDirection w:val="btLr"/>
            <w:vAlign w:val="center"/>
            <w:hideMark/>
          </w:tcPr>
          <w:p w:rsidRPr="006F0B43" w:rsidR="00873363" w:rsidP="00404B15" w:rsidRDefault="00873363" w14:paraId="1B210E88" w14:textId="496A3A43">
            <w:pPr>
              <w:pStyle w:val="SEOStandaard"/>
              <w:spacing w:line="240" w:lineRule="auto"/>
              <w:jc w:val="left"/>
              <w:cnfStyle w:val="000000000000" w:firstRow="0" w:lastRow="0" w:firstColumn="0" w:lastColumn="0" w:oddVBand="0" w:evenVBand="0" w:oddHBand="0" w:evenHBand="0" w:firstRowFirstColumn="0" w:firstRowLastColumn="0" w:lastRowFirstColumn="0" w:lastRowLastColumn="0"/>
              <w:rPr>
                <w:rFonts w:ascii="Trebuchet MS" w:hAnsi="Trebuchet MS"/>
                <w:b/>
                <w:bCs/>
                <w:color w:val="FFFFFF" w:themeColor="background1"/>
                <w:sz w:val="18"/>
                <w:szCs w:val="18"/>
              </w:rPr>
            </w:pPr>
            <w:r w:rsidRPr="006F0B43">
              <w:rPr>
                <w:rFonts w:ascii="Trebuchet MS" w:hAnsi="Trebuchet MS"/>
                <w:b/>
                <w:bCs/>
                <w:color w:val="FFFFFF" w:themeColor="background1"/>
                <w:sz w:val="18"/>
                <w:szCs w:val="18"/>
              </w:rPr>
              <w:t>Noch urgent/ noch niet urgent</w:t>
            </w:r>
          </w:p>
        </w:tc>
        <w:tc>
          <w:tcPr>
            <w:tcW w:w="444" w:type="dxa"/>
            <w:shd w:val="clear" w:color="auto" w:fill="264249"/>
            <w:noWrap/>
            <w:textDirection w:val="btLr"/>
            <w:vAlign w:val="center"/>
            <w:hideMark/>
          </w:tcPr>
          <w:p w:rsidRPr="006F0B43" w:rsidR="00873363" w:rsidP="00404B15" w:rsidRDefault="00873363" w14:paraId="5E373A04" w14:textId="77777777">
            <w:pPr>
              <w:pStyle w:val="SEOStandaard"/>
              <w:spacing w:line="240" w:lineRule="auto"/>
              <w:jc w:val="left"/>
              <w:cnfStyle w:val="000000000000" w:firstRow="0" w:lastRow="0" w:firstColumn="0" w:lastColumn="0" w:oddVBand="0" w:evenVBand="0" w:oddHBand="0" w:evenHBand="0" w:firstRowFirstColumn="0" w:firstRowLastColumn="0" w:lastRowFirstColumn="0" w:lastRowLastColumn="0"/>
              <w:rPr>
                <w:rFonts w:ascii="Trebuchet MS" w:hAnsi="Trebuchet MS"/>
                <w:b/>
                <w:bCs/>
                <w:color w:val="FFFFFF" w:themeColor="background1"/>
                <w:sz w:val="18"/>
                <w:szCs w:val="18"/>
              </w:rPr>
            </w:pPr>
            <w:r w:rsidRPr="006F0B43">
              <w:rPr>
                <w:rFonts w:ascii="Trebuchet MS" w:hAnsi="Trebuchet MS"/>
                <w:b/>
                <w:bCs/>
                <w:color w:val="FFFFFF" w:themeColor="background1"/>
                <w:sz w:val="18"/>
                <w:szCs w:val="18"/>
              </w:rPr>
              <w:t>Urgent</w:t>
            </w:r>
          </w:p>
        </w:tc>
        <w:tc>
          <w:tcPr>
            <w:tcW w:w="444" w:type="dxa"/>
            <w:shd w:val="clear" w:color="auto" w:fill="264249"/>
            <w:noWrap/>
            <w:textDirection w:val="btLr"/>
            <w:vAlign w:val="center"/>
            <w:hideMark/>
          </w:tcPr>
          <w:p w:rsidRPr="006F0B43" w:rsidR="00873363" w:rsidP="00404B15" w:rsidRDefault="00873363" w14:paraId="07B997A7" w14:textId="77777777">
            <w:pPr>
              <w:pStyle w:val="SEOStandaard"/>
              <w:spacing w:line="240" w:lineRule="auto"/>
              <w:jc w:val="left"/>
              <w:cnfStyle w:val="000000000000" w:firstRow="0" w:lastRow="0" w:firstColumn="0" w:lastColumn="0" w:oddVBand="0" w:evenVBand="0" w:oddHBand="0" w:evenHBand="0" w:firstRowFirstColumn="0" w:firstRowLastColumn="0" w:lastRowFirstColumn="0" w:lastRowLastColumn="0"/>
              <w:rPr>
                <w:rFonts w:ascii="Trebuchet MS" w:hAnsi="Trebuchet MS"/>
                <w:b/>
                <w:bCs/>
                <w:color w:val="FFFFFF" w:themeColor="background1"/>
                <w:sz w:val="18"/>
                <w:szCs w:val="18"/>
              </w:rPr>
            </w:pPr>
            <w:r w:rsidRPr="006F0B43">
              <w:rPr>
                <w:rFonts w:ascii="Trebuchet MS" w:hAnsi="Trebuchet MS"/>
                <w:b/>
                <w:bCs/>
                <w:color w:val="FFFFFF" w:themeColor="background1"/>
                <w:sz w:val="18"/>
                <w:szCs w:val="18"/>
              </w:rPr>
              <w:t>Heel urgent</w:t>
            </w:r>
          </w:p>
        </w:tc>
      </w:tr>
      <w:tr w:rsidRPr="007129C6" w:rsidR="00873363" w:rsidTr="003A392B" w14:paraId="7ECF8A72" w14:textId="77777777">
        <w:trPr>
          <w:trHeight w:val="113"/>
        </w:trPr>
        <w:tc>
          <w:tcPr>
            <w:cnfStyle w:val="001000000000" w:firstRow="0" w:lastRow="0" w:firstColumn="1" w:lastColumn="0" w:oddVBand="0" w:evenVBand="0" w:oddHBand="0" w:evenHBand="0" w:firstRowFirstColumn="0" w:firstRowLastColumn="0" w:lastRowFirstColumn="0" w:lastRowLastColumn="0"/>
            <w:tcW w:w="4819" w:type="dxa"/>
            <w:noWrap/>
            <w:vAlign w:val="center"/>
            <w:hideMark/>
          </w:tcPr>
          <w:p w:rsidRPr="007129C6" w:rsidR="00873363" w:rsidP="00404B15" w:rsidRDefault="00873363" w14:paraId="0C644B73"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(her)inrichting van het regionale techniekaanbod</w:t>
            </w:r>
          </w:p>
        </w:tc>
        <w:tc>
          <w:tcPr>
            <w:tcW w:w="680" w:type="dxa"/>
            <w:vAlign w:val="center"/>
          </w:tcPr>
          <w:p w:rsidRPr="007129C6" w:rsidR="00873363" w:rsidP="004E4048" w:rsidRDefault="00873363" w14:paraId="263CC7B0" w14:textId="09E6A37D">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59%</w:t>
            </w:r>
          </w:p>
        </w:tc>
        <w:tc>
          <w:tcPr>
            <w:tcW w:w="680" w:type="dxa"/>
            <w:vAlign w:val="center"/>
          </w:tcPr>
          <w:p w:rsidRPr="007129C6" w:rsidR="00873363" w:rsidP="004E4048" w:rsidRDefault="00873363" w14:paraId="04C56696" w14:textId="701AB5C5">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48%</w:t>
            </w:r>
          </w:p>
        </w:tc>
        <w:tc>
          <w:tcPr>
            <w:tcW w:w="680" w:type="dxa"/>
            <w:vAlign w:val="center"/>
          </w:tcPr>
          <w:p w:rsidRPr="007129C6" w:rsidR="00873363" w:rsidP="004E4048" w:rsidRDefault="00873363" w14:paraId="23FD2C16" w14:textId="4BBC2BB8">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48%</w:t>
            </w:r>
          </w:p>
        </w:tc>
        <w:tc>
          <w:tcPr>
            <w:tcW w:w="227" w:type="dxa"/>
          </w:tcPr>
          <w:p w:rsidRPr="007129C6" w:rsidR="00873363" w:rsidP="004E4048" w:rsidRDefault="00873363" w14:paraId="6E89CA2C"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c>
          <w:tcPr>
            <w:tcW w:w="444" w:type="dxa"/>
            <w:noWrap/>
            <w:vAlign w:val="center"/>
            <w:hideMark/>
          </w:tcPr>
          <w:p w:rsidRPr="007129C6" w:rsidR="00873363" w:rsidP="004E4048" w:rsidRDefault="00873363" w14:paraId="7EAF428E" w14:textId="68390536">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444" w:type="dxa"/>
            <w:noWrap/>
            <w:vAlign w:val="center"/>
            <w:hideMark/>
          </w:tcPr>
          <w:p w:rsidRPr="007129C6" w:rsidR="00873363" w:rsidP="004E4048" w:rsidRDefault="00873363" w14:paraId="2499423D"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w:t>
            </w:r>
          </w:p>
        </w:tc>
        <w:tc>
          <w:tcPr>
            <w:tcW w:w="444" w:type="dxa"/>
            <w:noWrap/>
            <w:vAlign w:val="center"/>
            <w:hideMark/>
          </w:tcPr>
          <w:p w:rsidRPr="007129C6" w:rsidR="00873363" w:rsidP="004E4048" w:rsidRDefault="00873363" w14:paraId="268EF35B"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11</w:t>
            </w:r>
          </w:p>
        </w:tc>
        <w:tc>
          <w:tcPr>
            <w:tcW w:w="444" w:type="dxa"/>
            <w:noWrap/>
            <w:vAlign w:val="center"/>
            <w:hideMark/>
          </w:tcPr>
          <w:p w:rsidRPr="007129C6" w:rsidR="00873363" w:rsidP="004E4048" w:rsidRDefault="00873363" w14:paraId="551AB1B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15</w:t>
            </w:r>
          </w:p>
        </w:tc>
        <w:tc>
          <w:tcPr>
            <w:tcW w:w="444" w:type="dxa"/>
            <w:noWrap/>
            <w:vAlign w:val="center"/>
            <w:hideMark/>
          </w:tcPr>
          <w:p w:rsidRPr="007129C6" w:rsidR="00873363" w:rsidP="004E4048" w:rsidRDefault="00873363" w14:paraId="7C1F9FA6"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w:t>
            </w:r>
          </w:p>
        </w:tc>
      </w:tr>
      <w:tr w:rsidRPr="007129C6" w:rsidR="00873363" w:rsidTr="003A392B" w14:paraId="2571ADCF" w14:textId="77777777">
        <w:trPr>
          <w:trHeight w:val="113"/>
        </w:trPr>
        <w:tc>
          <w:tcPr>
            <w:cnfStyle w:val="001000000000" w:firstRow="0" w:lastRow="0" w:firstColumn="1" w:lastColumn="0" w:oddVBand="0" w:evenVBand="0" w:oddHBand="0" w:evenHBand="0" w:firstRowFirstColumn="0" w:firstRowLastColumn="0" w:lastRowFirstColumn="0" w:lastRowLastColumn="0"/>
            <w:tcW w:w="4819" w:type="dxa"/>
            <w:noWrap/>
            <w:vAlign w:val="center"/>
            <w:hideMark/>
          </w:tcPr>
          <w:p w:rsidRPr="007129C6" w:rsidR="00873363" w:rsidP="00404B15" w:rsidRDefault="00873363" w14:paraId="7AFF4493"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De aantallen techniekleerlingen in de profielen</w:t>
            </w:r>
          </w:p>
        </w:tc>
        <w:tc>
          <w:tcPr>
            <w:tcW w:w="680" w:type="dxa"/>
            <w:vAlign w:val="center"/>
          </w:tcPr>
          <w:p w:rsidRPr="007129C6" w:rsidR="00873363" w:rsidP="004E4048" w:rsidRDefault="00873363" w14:paraId="2300B1F1" w14:textId="0CE61414">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83%</w:t>
            </w:r>
          </w:p>
        </w:tc>
        <w:tc>
          <w:tcPr>
            <w:tcW w:w="680" w:type="dxa"/>
            <w:vAlign w:val="center"/>
          </w:tcPr>
          <w:p w:rsidRPr="007129C6" w:rsidR="00873363" w:rsidP="004E4048" w:rsidRDefault="00873363" w14:paraId="6CB7316E" w14:textId="719CFBC2">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83%</w:t>
            </w:r>
          </w:p>
        </w:tc>
        <w:tc>
          <w:tcPr>
            <w:tcW w:w="680" w:type="dxa"/>
            <w:vAlign w:val="center"/>
          </w:tcPr>
          <w:p w:rsidRPr="007129C6" w:rsidR="00873363" w:rsidP="004E4048" w:rsidRDefault="00873363" w14:paraId="4AF042B8" w14:textId="2E734008">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83%</w:t>
            </w:r>
          </w:p>
        </w:tc>
        <w:tc>
          <w:tcPr>
            <w:tcW w:w="227" w:type="dxa"/>
          </w:tcPr>
          <w:p w:rsidRPr="007129C6" w:rsidR="00873363" w:rsidP="004E4048" w:rsidRDefault="00873363" w14:paraId="6626341D"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c>
          <w:tcPr>
            <w:tcW w:w="444" w:type="dxa"/>
            <w:noWrap/>
            <w:vAlign w:val="center"/>
            <w:hideMark/>
          </w:tcPr>
          <w:p w:rsidRPr="007129C6" w:rsidR="00873363" w:rsidP="004E4048" w:rsidRDefault="00873363" w14:paraId="2DF6C3B3" w14:textId="34EF94A4">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444" w:type="dxa"/>
            <w:noWrap/>
            <w:vAlign w:val="center"/>
            <w:hideMark/>
          </w:tcPr>
          <w:p w:rsidRPr="007129C6" w:rsidR="00873363" w:rsidP="004E4048" w:rsidRDefault="00873363" w14:paraId="6EBE6D16"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w:t>
            </w:r>
          </w:p>
        </w:tc>
        <w:tc>
          <w:tcPr>
            <w:tcW w:w="444" w:type="dxa"/>
            <w:noWrap/>
            <w:vAlign w:val="center"/>
            <w:hideMark/>
          </w:tcPr>
          <w:p w:rsidRPr="007129C6" w:rsidR="00873363" w:rsidP="004E4048" w:rsidRDefault="00873363" w14:paraId="1A6BD4A3"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4</w:t>
            </w:r>
          </w:p>
        </w:tc>
        <w:tc>
          <w:tcPr>
            <w:tcW w:w="444" w:type="dxa"/>
            <w:noWrap/>
            <w:vAlign w:val="center"/>
            <w:hideMark/>
          </w:tcPr>
          <w:p w:rsidRPr="007129C6" w:rsidR="00873363" w:rsidP="004E4048" w:rsidRDefault="00873363" w14:paraId="35C93D91"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21</w:t>
            </w:r>
          </w:p>
        </w:tc>
        <w:tc>
          <w:tcPr>
            <w:tcW w:w="444" w:type="dxa"/>
            <w:noWrap/>
            <w:vAlign w:val="center"/>
            <w:hideMark/>
          </w:tcPr>
          <w:p w:rsidRPr="007129C6" w:rsidR="00873363" w:rsidP="004E4048" w:rsidRDefault="00873363" w14:paraId="044BC10A"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3</w:t>
            </w:r>
          </w:p>
        </w:tc>
      </w:tr>
      <w:tr w:rsidRPr="007129C6" w:rsidR="00873363" w:rsidTr="003A392B" w14:paraId="43CD7469" w14:textId="77777777">
        <w:trPr>
          <w:trHeight w:val="113"/>
        </w:trPr>
        <w:tc>
          <w:tcPr>
            <w:cnfStyle w:val="001000000000" w:firstRow="0" w:lastRow="0" w:firstColumn="1" w:lastColumn="0" w:oddVBand="0" w:evenVBand="0" w:oddHBand="0" w:evenHBand="0" w:firstRowFirstColumn="0" w:firstRowLastColumn="0" w:lastRowFirstColumn="0" w:lastRowLastColumn="0"/>
            <w:tcW w:w="4819" w:type="dxa"/>
            <w:noWrap/>
            <w:vAlign w:val="center"/>
            <w:hideMark/>
          </w:tcPr>
          <w:p w:rsidRPr="007129C6" w:rsidR="00873363" w:rsidP="00404B15" w:rsidRDefault="00873363" w14:paraId="1525A0D0"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De kwaliteit van het techniekonderwijs/de technieklessen</w:t>
            </w:r>
          </w:p>
        </w:tc>
        <w:tc>
          <w:tcPr>
            <w:tcW w:w="680" w:type="dxa"/>
            <w:vAlign w:val="center"/>
          </w:tcPr>
          <w:p w:rsidRPr="007129C6" w:rsidR="00873363" w:rsidP="004E4048" w:rsidRDefault="00873363" w14:paraId="6F73E687" w14:textId="166C44CE">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76%</w:t>
            </w:r>
          </w:p>
        </w:tc>
        <w:tc>
          <w:tcPr>
            <w:tcW w:w="680" w:type="dxa"/>
            <w:vAlign w:val="center"/>
          </w:tcPr>
          <w:p w:rsidRPr="007129C6" w:rsidR="00873363" w:rsidP="004E4048" w:rsidRDefault="00873363" w14:paraId="4C5FC62C" w14:textId="52985AC4">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83%</w:t>
            </w:r>
          </w:p>
        </w:tc>
        <w:tc>
          <w:tcPr>
            <w:tcW w:w="680" w:type="dxa"/>
            <w:vAlign w:val="center"/>
          </w:tcPr>
          <w:p w:rsidRPr="007129C6" w:rsidR="00873363" w:rsidP="004E4048" w:rsidRDefault="00873363" w14:paraId="11426D04" w14:textId="39DEF96E">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66%</w:t>
            </w:r>
          </w:p>
        </w:tc>
        <w:tc>
          <w:tcPr>
            <w:tcW w:w="227" w:type="dxa"/>
          </w:tcPr>
          <w:p w:rsidRPr="007129C6" w:rsidR="00873363" w:rsidP="004E4048" w:rsidRDefault="00873363" w14:paraId="3CE2FD56"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c>
          <w:tcPr>
            <w:tcW w:w="444" w:type="dxa"/>
            <w:noWrap/>
            <w:vAlign w:val="center"/>
            <w:hideMark/>
          </w:tcPr>
          <w:p w:rsidRPr="007129C6" w:rsidR="00873363" w:rsidP="004E4048" w:rsidRDefault="00873363" w14:paraId="5F971165" w14:textId="617411FD">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444" w:type="dxa"/>
            <w:noWrap/>
            <w:vAlign w:val="center"/>
            <w:hideMark/>
          </w:tcPr>
          <w:p w:rsidRPr="007129C6" w:rsidR="00873363" w:rsidP="004E4048" w:rsidRDefault="00873363" w14:paraId="4183349F"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444" w:type="dxa"/>
            <w:noWrap/>
            <w:vAlign w:val="center"/>
            <w:hideMark/>
          </w:tcPr>
          <w:p w:rsidRPr="007129C6" w:rsidR="00873363" w:rsidP="004E4048" w:rsidRDefault="00873363" w14:paraId="618684F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w:t>
            </w:r>
          </w:p>
        </w:tc>
        <w:tc>
          <w:tcPr>
            <w:tcW w:w="444" w:type="dxa"/>
            <w:noWrap/>
            <w:vAlign w:val="center"/>
            <w:hideMark/>
          </w:tcPr>
          <w:p w:rsidRPr="007129C6" w:rsidR="00873363" w:rsidP="004E4048" w:rsidRDefault="00873363" w14:paraId="00A6C87A"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18</w:t>
            </w:r>
          </w:p>
        </w:tc>
        <w:tc>
          <w:tcPr>
            <w:tcW w:w="444" w:type="dxa"/>
            <w:noWrap/>
            <w:vAlign w:val="center"/>
            <w:hideMark/>
          </w:tcPr>
          <w:p w:rsidRPr="007129C6" w:rsidR="00873363" w:rsidP="004E4048" w:rsidRDefault="00873363" w14:paraId="1965A94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4</w:t>
            </w:r>
          </w:p>
        </w:tc>
      </w:tr>
      <w:tr w:rsidRPr="007129C6" w:rsidR="00873363" w:rsidTr="003A392B" w14:paraId="5928B0F4" w14:textId="77777777">
        <w:trPr>
          <w:trHeight w:val="113"/>
        </w:trPr>
        <w:tc>
          <w:tcPr>
            <w:cnfStyle w:val="001000000000" w:firstRow="0" w:lastRow="0" w:firstColumn="1" w:lastColumn="0" w:oddVBand="0" w:evenVBand="0" w:oddHBand="0" w:evenHBand="0" w:firstRowFirstColumn="0" w:firstRowLastColumn="0" w:lastRowFirstColumn="0" w:lastRowLastColumn="0"/>
            <w:tcW w:w="4819" w:type="dxa"/>
            <w:noWrap/>
            <w:vAlign w:val="center"/>
            <w:hideMark/>
          </w:tcPr>
          <w:p w:rsidRPr="007129C6" w:rsidR="00873363" w:rsidP="00404B15" w:rsidRDefault="00873363" w14:paraId="3BF7A8FA"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Voldoende techniekdocenten</w:t>
            </w:r>
          </w:p>
        </w:tc>
        <w:tc>
          <w:tcPr>
            <w:tcW w:w="680" w:type="dxa"/>
            <w:vAlign w:val="center"/>
          </w:tcPr>
          <w:p w:rsidRPr="007129C6" w:rsidR="00873363" w:rsidP="004E4048" w:rsidRDefault="00873363" w14:paraId="26867FE8" w14:textId="3A13BDD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76%</w:t>
            </w:r>
          </w:p>
        </w:tc>
        <w:tc>
          <w:tcPr>
            <w:tcW w:w="680" w:type="dxa"/>
            <w:vAlign w:val="center"/>
          </w:tcPr>
          <w:p w:rsidRPr="007129C6" w:rsidR="00873363" w:rsidP="004E4048" w:rsidRDefault="00873363" w14:paraId="10E59EE2" w14:textId="2266A285">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90%</w:t>
            </w:r>
          </w:p>
        </w:tc>
        <w:tc>
          <w:tcPr>
            <w:tcW w:w="680" w:type="dxa"/>
            <w:vAlign w:val="center"/>
          </w:tcPr>
          <w:p w:rsidRPr="007129C6" w:rsidR="00873363" w:rsidP="004E4048" w:rsidRDefault="00873363" w14:paraId="540CEF09" w14:textId="567591BF">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52%*</w:t>
            </w:r>
          </w:p>
        </w:tc>
        <w:tc>
          <w:tcPr>
            <w:tcW w:w="227" w:type="dxa"/>
          </w:tcPr>
          <w:p w:rsidRPr="007129C6" w:rsidR="00873363" w:rsidP="004E4048" w:rsidRDefault="00873363" w14:paraId="76085162"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c>
          <w:tcPr>
            <w:tcW w:w="444" w:type="dxa"/>
            <w:noWrap/>
            <w:vAlign w:val="center"/>
            <w:hideMark/>
          </w:tcPr>
          <w:p w:rsidRPr="007129C6" w:rsidR="00873363" w:rsidP="004E4048" w:rsidRDefault="00873363" w14:paraId="271A4794" w14:textId="6B06917D">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444" w:type="dxa"/>
            <w:noWrap/>
            <w:vAlign w:val="center"/>
            <w:hideMark/>
          </w:tcPr>
          <w:p w:rsidRPr="007129C6" w:rsidR="00873363" w:rsidP="004E4048" w:rsidRDefault="00873363" w14:paraId="3638BA8E"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444" w:type="dxa"/>
            <w:noWrap/>
            <w:vAlign w:val="center"/>
            <w:hideMark/>
          </w:tcPr>
          <w:p w:rsidRPr="007129C6" w:rsidR="00873363" w:rsidP="004E4048" w:rsidRDefault="00873363" w14:paraId="39599F7F"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w:t>
            </w:r>
          </w:p>
        </w:tc>
        <w:tc>
          <w:tcPr>
            <w:tcW w:w="444" w:type="dxa"/>
            <w:noWrap/>
            <w:vAlign w:val="center"/>
            <w:hideMark/>
          </w:tcPr>
          <w:p w:rsidRPr="007129C6" w:rsidR="00873363" w:rsidP="004E4048" w:rsidRDefault="00873363" w14:paraId="3E4890AC"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14</w:t>
            </w:r>
          </w:p>
        </w:tc>
        <w:tc>
          <w:tcPr>
            <w:tcW w:w="444" w:type="dxa"/>
            <w:noWrap/>
            <w:vAlign w:val="center"/>
            <w:hideMark/>
          </w:tcPr>
          <w:p w:rsidRPr="007129C6" w:rsidR="00873363" w:rsidP="004E4048" w:rsidRDefault="00873363" w14:paraId="00E2DF8B"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w:t>
            </w:r>
          </w:p>
        </w:tc>
      </w:tr>
      <w:tr w:rsidRPr="007129C6" w:rsidR="00873363" w:rsidTr="003A392B" w14:paraId="032BC72F" w14:textId="77777777">
        <w:trPr>
          <w:trHeight w:val="113"/>
        </w:trPr>
        <w:tc>
          <w:tcPr>
            <w:cnfStyle w:val="001000000000" w:firstRow="0" w:lastRow="0" w:firstColumn="1" w:lastColumn="0" w:oddVBand="0" w:evenVBand="0" w:oddHBand="0" w:evenHBand="0" w:firstRowFirstColumn="0" w:firstRowLastColumn="0" w:lastRowFirstColumn="0" w:lastRowLastColumn="0"/>
            <w:tcW w:w="4819" w:type="dxa"/>
            <w:noWrap/>
            <w:vAlign w:val="center"/>
            <w:hideMark/>
          </w:tcPr>
          <w:p w:rsidRPr="007129C6" w:rsidR="00873363" w:rsidP="00404B15" w:rsidRDefault="00873363" w14:paraId="09196FFD"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De aansluiting met mbo</w:t>
            </w:r>
          </w:p>
        </w:tc>
        <w:tc>
          <w:tcPr>
            <w:tcW w:w="680" w:type="dxa"/>
            <w:vAlign w:val="center"/>
          </w:tcPr>
          <w:p w:rsidRPr="007129C6" w:rsidR="00873363" w:rsidP="004E4048" w:rsidRDefault="00873363" w14:paraId="1F671276" w14:textId="77652686">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83%</w:t>
            </w:r>
          </w:p>
        </w:tc>
        <w:tc>
          <w:tcPr>
            <w:tcW w:w="680" w:type="dxa"/>
            <w:vAlign w:val="center"/>
          </w:tcPr>
          <w:p w:rsidRPr="007129C6" w:rsidR="00873363" w:rsidP="004E4048" w:rsidRDefault="00873363" w14:paraId="503C0DAF" w14:textId="7E83D039">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90%</w:t>
            </w:r>
          </w:p>
        </w:tc>
        <w:tc>
          <w:tcPr>
            <w:tcW w:w="680" w:type="dxa"/>
            <w:vAlign w:val="center"/>
          </w:tcPr>
          <w:p w:rsidRPr="007129C6" w:rsidR="00873363" w:rsidP="004E4048" w:rsidRDefault="00873363" w14:paraId="2AE5E418" w14:textId="21D80A21">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79%</w:t>
            </w:r>
          </w:p>
        </w:tc>
        <w:tc>
          <w:tcPr>
            <w:tcW w:w="227" w:type="dxa"/>
          </w:tcPr>
          <w:p w:rsidRPr="007129C6" w:rsidR="00873363" w:rsidP="004E4048" w:rsidRDefault="00873363" w14:paraId="6436CF9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c>
          <w:tcPr>
            <w:tcW w:w="444" w:type="dxa"/>
            <w:noWrap/>
            <w:vAlign w:val="center"/>
            <w:hideMark/>
          </w:tcPr>
          <w:p w:rsidRPr="007129C6" w:rsidR="00873363" w:rsidP="004E4048" w:rsidRDefault="00873363" w14:paraId="2FE9ED3D" w14:textId="3B591992">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444" w:type="dxa"/>
            <w:noWrap/>
            <w:vAlign w:val="center"/>
            <w:hideMark/>
          </w:tcPr>
          <w:p w:rsidRPr="007129C6" w:rsidR="00873363" w:rsidP="004E4048" w:rsidRDefault="00873363" w14:paraId="3C3F1D12"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444" w:type="dxa"/>
            <w:noWrap/>
            <w:vAlign w:val="center"/>
            <w:hideMark/>
          </w:tcPr>
          <w:p w:rsidRPr="007129C6" w:rsidR="00873363" w:rsidP="004E4048" w:rsidRDefault="00873363" w14:paraId="5C4B0232"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5</w:t>
            </w:r>
          </w:p>
        </w:tc>
        <w:tc>
          <w:tcPr>
            <w:tcW w:w="444" w:type="dxa"/>
            <w:noWrap/>
            <w:vAlign w:val="center"/>
            <w:hideMark/>
          </w:tcPr>
          <w:p w:rsidRPr="007129C6" w:rsidR="00873363" w:rsidP="004E4048" w:rsidRDefault="00873363" w14:paraId="44A01D0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20</w:t>
            </w:r>
          </w:p>
        </w:tc>
        <w:tc>
          <w:tcPr>
            <w:tcW w:w="444" w:type="dxa"/>
            <w:noWrap/>
            <w:vAlign w:val="center"/>
            <w:hideMark/>
          </w:tcPr>
          <w:p w:rsidRPr="007129C6" w:rsidR="00873363" w:rsidP="004E4048" w:rsidRDefault="00873363" w14:paraId="4D860F06"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4</w:t>
            </w:r>
          </w:p>
        </w:tc>
      </w:tr>
      <w:tr w:rsidRPr="007129C6" w:rsidR="00873363" w:rsidTr="003A392B" w14:paraId="582F1C68" w14:textId="77777777">
        <w:trPr>
          <w:trHeight w:val="113"/>
        </w:trPr>
        <w:tc>
          <w:tcPr>
            <w:cnfStyle w:val="001000000000" w:firstRow="0" w:lastRow="0" w:firstColumn="1" w:lastColumn="0" w:oddVBand="0" w:evenVBand="0" w:oddHBand="0" w:evenHBand="0" w:firstRowFirstColumn="0" w:firstRowLastColumn="0" w:lastRowFirstColumn="0" w:lastRowLastColumn="0"/>
            <w:tcW w:w="4819" w:type="dxa"/>
            <w:noWrap/>
            <w:vAlign w:val="center"/>
            <w:hideMark/>
          </w:tcPr>
          <w:p w:rsidRPr="007129C6" w:rsidR="00873363" w:rsidP="00404B15" w:rsidRDefault="00873363" w14:paraId="4185080D"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De aansluiting op de regionale vraag van het bedrijfsleven</w:t>
            </w:r>
          </w:p>
        </w:tc>
        <w:tc>
          <w:tcPr>
            <w:tcW w:w="680" w:type="dxa"/>
            <w:vAlign w:val="center"/>
          </w:tcPr>
          <w:p w:rsidRPr="007129C6" w:rsidR="00873363" w:rsidP="004E4048" w:rsidRDefault="00873363" w14:paraId="7BF8AFD6" w14:textId="78094B5B">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79%</w:t>
            </w:r>
          </w:p>
        </w:tc>
        <w:tc>
          <w:tcPr>
            <w:tcW w:w="680" w:type="dxa"/>
            <w:vAlign w:val="center"/>
          </w:tcPr>
          <w:p w:rsidRPr="007129C6" w:rsidR="00873363" w:rsidP="004E4048" w:rsidRDefault="00873363" w14:paraId="0E7EA193" w14:textId="179CEB2E">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79%</w:t>
            </w:r>
          </w:p>
        </w:tc>
        <w:tc>
          <w:tcPr>
            <w:tcW w:w="680" w:type="dxa"/>
            <w:vAlign w:val="center"/>
          </w:tcPr>
          <w:p w:rsidRPr="007129C6" w:rsidR="00873363" w:rsidP="004E4048" w:rsidRDefault="00873363" w14:paraId="2B094F8F" w14:textId="79F706C5">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83%</w:t>
            </w:r>
          </w:p>
        </w:tc>
        <w:tc>
          <w:tcPr>
            <w:tcW w:w="227" w:type="dxa"/>
          </w:tcPr>
          <w:p w:rsidRPr="007129C6" w:rsidR="00873363" w:rsidP="004E4048" w:rsidRDefault="00873363" w14:paraId="68D42EE9"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c>
          <w:tcPr>
            <w:tcW w:w="444" w:type="dxa"/>
            <w:noWrap/>
            <w:vAlign w:val="center"/>
            <w:hideMark/>
          </w:tcPr>
          <w:p w:rsidRPr="007129C6" w:rsidR="00873363" w:rsidP="004E4048" w:rsidRDefault="00873363" w14:paraId="2792BA7C" w14:textId="72E8D22E">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444" w:type="dxa"/>
            <w:noWrap/>
            <w:vAlign w:val="center"/>
            <w:hideMark/>
          </w:tcPr>
          <w:p w:rsidRPr="007129C6" w:rsidR="00873363" w:rsidP="004E4048" w:rsidRDefault="00873363" w14:paraId="4308F6C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444" w:type="dxa"/>
            <w:noWrap/>
            <w:vAlign w:val="center"/>
            <w:hideMark/>
          </w:tcPr>
          <w:p w:rsidRPr="007129C6" w:rsidR="00873363" w:rsidP="004E4048" w:rsidRDefault="00873363" w14:paraId="49EFC79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w:t>
            </w:r>
          </w:p>
        </w:tc>
        <w:tc>
          <w:tcPr>
            <w:tcW w:w="444" w:type="dxa"/>
            <w:noWrap/>
            <w:vAlign w:val="center"/>
            <w:hideMark/>
          </w:tcPr>
          <w:p w:rsidRPr="007129C6" w:rsidR="00873363" w:rsidP="004E4048" w:rsidRDefault="00873363" w14:paraId="0EC8FEDE"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19</w:t>
            </w:r>
          </w:p>
        </w:tc>
        <w:tc>
          <w:tcPr>
            <w:tcW w:w="444" w:type="dxa"/>
            <w:noWrap/>
            <w:vAlign w:val="center"/>
            <w:hideMark/>
          </w:tcPr>
          <w:p w:rsidRPr="007129C6" w:rsidR="00873363" w:rsidP="004E4048" w:rsidRDefault="00873363" w14:paraId="4FE64CA9"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4</w:t>
            </w:r>
          </w:p>
        </w:tc>
      </w:tr>
      <w:tr w:rsidRPr="007129C6" w:rsidR="00873363" w:rsidTr="003A392B" w14:paraId="67F8CCDD" w14:textId="77777777">
        <w:trPr>
          <w:trHeight w:val="113"/>
        </w:trPr>
        <w:tc>
          <w:tcPr>
            <w:cnfStyle w:val="001000000000" w:firstRow="0" w:lastRow="0" w:firstColumn="1" w:lastColumn="0" w:oddVBand="0" w:evenVBand="0" w:oddHBand="0" w:evenHBand="0" w:firstRowFirstColumn="0" w:firstRowLastColumn="0" w:lastRowFirstColumn="0" w:lastRowLastColumn="0"/>
            <w:tcW w:w="4819" w:type="dxa"/>
            <w:noWrap/>
            <w:vAlign w:val="center"/>
            <w:hideMark/>
          </w:tcPr>
          <w:p w:rsidRPr="007129C6" w:rsidR="00873363" w:rsidP="00404B15" w:rsidRDefault="00873363" w14:paraId="2261AC8E"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De samenwerking tussen de verschillende partijen van STO</w:t>
            </w:r>
          </w:p>
        </w:tc>
        <w:tc>
          <w:tcPr>
            <w:tcW w:w="680" w:type="dxa"/>
            <w:vAlign w:val="center"/>
          </w:tcPr>
          <w:p w:rsidRPr="007129C6" w:rsidR="00873363" w:rsidP="004E4048" w:rsidRDefault="00873363" w14:paraId="2B804CFE" w14:textId="14CBA336">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76%</w:t>
            </w:r>
          </w:p>
        </w:tc>
        <w:tc>
          <w:tcPr>
            <w:tcW w:w="680" w:type="dxa"/>
            <w:vAlign w:val="center"/>
          </w:tcPr>
          <w:p w:rsidRPr="007129C6" w:rsidR="00873363" w:rsidP="004E4048" w:rsidRDefault="00873363" w14:paraId="741682BD" w14:textId="63411AF8">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69%</w:t>
            </w:r>
          </w:p>
        </w:tc>
        <w:tc>
          <w:tcPr>
            <w:tcW w:w="680" w:type="dxa"/>
            <w:vAlign w:val="center"/>
          </w:tcPr>
          <w:p w:rsidRPr="007129C6" w:rsidR="00873363" w:rsidP="004E4048" w:rsidRDefault="00873363" w14:paraId="1EA27E07" w14:textId="53B47974">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62%</w:t>
            </w:r>
          </w:p>
        </w:tc>
        <w:tc>
          <w:tcPr>
            <w:tcW w:w="227" w:type="dxa"/>
          </w:tcPr>
          <w:p w:rsidRPr="007129C6" w:rsidR="00873363" w:rsidP="004E4048" w:rsidRDefault="00873363" w14:paraId="59FB11F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c>
          <w:tcPr>
            <w:tcW w:w="444" w:type="dxa"/>
            <w:noWrap/>
            <w:vAlign w:val="center"/>
            <w:hideMark/>
          </w:tcPr>
          <w:p w:rsidRPr="007129C6" w:rsidR="00873363" w:rsidP="004E4048" w:rsidRDefault="00873363" w14:paraId="18259735" w14:textId="381D6010">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444" w:type="dxa"/>
            <w:noWrap/>
            <w:vAlign w:val="center"/>
            <w:hideMark/>
          </w:tcPr>
          <w:p w:rsidRPr="007129C6" w:rsidR="00873363" w:rsidP="004E4048" w:rsidRDefault="00873363" w14:paraId="75269B0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444" w:type="dxa"/>
            <w:noWrap/>
            <w:vAlign w:val="center"/>
            <w:hideMark/>
          </w:tcPr>
          <w:p w:rsidRPr="007129C6" w:rsidR="00873363" w:rsidP="004E4048" w:rsidRDefault="00873363" w14:paraId="65154B87"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w:t>
            </w:r>
          </w:p>
        </w:tc>
        <w:tc>
          <w:tcPr>
            <w:tcW w:w="444" w:type="dxa"/>
            <w:noWrap/>
            <w:vAlign w:val="center"/>
            <w:hideMark/>
          </w:tcPr>
          <w:p w:rsidRPr="007129C6" w:rsidR="00873363" w:rsidP="004E4048" w:rsidRDefault="00873363" w14:paraId="7CFF760C"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17</w:t>
            </w:r>
          </w:p>
        </w:tc>
        <w:tc>
          <w:tcPr>
            <w:tcW w:w="444" w:type="dxa"/>
            <w:noWrap/>
            <w:vAlign w:val="center"/>
            <w:hideMark/>
          </w:tcPr>
          <w:p w:rsidRPr="007129C6" w:rsidR="00873363" w:rsidP="004E4048" w:rsidRDefault="00873363" w14:paraId="6F609BCC"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5</w:t>
            </w:r>
          </w:p>
        </w:tc>
      </w:tr>
      <w:tr w:rsidRPr="007129C6" w:rsidR="00873363" w:rsidTr="003A392B" w14:paraId="4F02C755" w14:textId="77777777">
        <w:trPr>
          <w:trHeight w:val="113"/>
        </w:trPr>
        <w:tc>
          <w:tcPr>
            <w:cnfStyle w:val="001000000000" w:firstRow="0" w:lastRow="0" w:firstColumn="1" w:lastColumn="0" w:oddVBand="0" w:evenVBand="0" w:oddHBand="0" w:evenHBand="0" w:firstRowFirstColumn="0" w:firstRowLastColumn="0" w:lastRowFirstColumn="0" w:lastRowLastColumn="0"/>
            <w:tcW w:w="4819" w:type="dxa"/>
            <w:noWrap/>
            <w:vAlign w:val="center"/>
            <w:hideMark/>
          </w:tcPr>
          <w:p w:rsidRPr="007129C6" w:rsidR="00873363" w:rsidP="00404B15" w:rsidRDefault="00873363" w14:paraId="4ED81EB0"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De beeldvorming ten aanzien van techniek</w:t>
            </w:r>
          </w:p>
        </w:tc>
        <w:tc>
          <w:tcPr>
            <w:tcW w:w="680" w:type="dxa"/>
            <w:vAlign w:val="center"/>
          </w:tcPr>
          <w:p w:rsidRPr="007129C6" w:rsidR="00873363" w:rsidP="004E4048" w:rsidRDefault="00873363" w14:paraId="2EBBF744" w14:textId="4DA43D6B">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83%</w:t>
            </w:r>
          </w:p>
        </w:tc>
        <w:tc>
          <w:tcPr>
            <w:tcW w:w="680" w:type="dxa"/>
            <w:vAlign w:val="center"/>
          </w:tcPr>
          <w:p w:rsidRPr="007129C6" w:rsidR="00873363" w:rsidP="004E4048" w:rsidRDefault="00873363" w14:paraId="7C09C17E" w14:textId="30D50963">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86%</w:t>
            </w:r>
          </w:p>
        </w:tc>
        <w:tc>
          <w:tcPr>
            <w:tcW w:w="680" w:type="dxa"/>
            <w:vAlign w:val="center"/>
          </w:tcPr>
          <w:p w:rsidRPr="007129C6" w:rsidR="00873363" w:rsidP="004E4048" w:rsidRDefault="00873363" w14:paraId="1D50FE27" w14:textId="77D5FACC">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86%</w:t>
            </w:r>
          </w:p>
        </w:tc>
        <w:tc>
          <w:tcPr>
            <w:tcW w:w="227" w:type="dxa"/>
          </w:tcPr>
          <w:p w:rsidRPr="007129C6" w:rsidR="00873363" w:rsidP="004E4048" w:rsidRDefault="00873363" w14:paraId="537B6296"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c>
          <w:tcPr>
            <w:tcW w:w="444" w:type="dxa"/>
            <w:noWrap/>
            <w:vAlign w:val="center"/>
            <w:hideMark/>
          </w:tcPr>
          <w:p w:rsidRPr="007129C6" w:rsidR="00873363" w:rsidP="004E4048" w:rsidRDefault="00873363" w14:paraId="541E2F10" w14:textId="57E6FCC1">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444" w:type="dxa"/>
            <w:noWrap/>
            <w:vAlign w:val="center"/>
            <w:hideMark/>
          </w:tcPr>
          <w:p w:rsidRPr="007129C6" w:rsidR="00873363" w:rsidP="004E4048" w:rsidRDefault="00873363" w14:paraId="25004C96"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444" w:type="dxa"/>
            <w:noWrap/>
            <w:vAlign w:val="center"/>
            <w:hideMark/>
          </w:tcPr>
          <w:p w:rsidRPr="007129C6" w:rsidR="00873363" w:rsidP="004E4048" w:rsidRDefault="00873363" w14:paraId="1786CCD1"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5</w:t>
            </w:r>
          </w:p>
        </w:tc>
        <w:tc>
          <w:tcPr>
            <w:tcW w:w="444" w:type="dxa"/>
            <w:noWrap/>
            <w:vAlign w:val="center"/>
            <w:hideMark/>
          </w:tcPr>
          <w:p w:rsidRPr="007129C6" w:rsidR="00873363" w:rsidP="004E4048" w:rsidRDefault="00873363" w14:paraId="296C3BDA"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16</w:t>
            </w:r>
          </w:p>
        </w:tc>
        <w:tc>
          <w:tcPr>
            <w:tcW w:w="444" w:type="dxa"/>
            <w:noWrap/>
            <w:vAlign w:val="center"/>
            <w:hideMark/>
          </w:tcPr>
          <w:p w:rsidRPr="007129C6" w:rsidR="00873363" w:rsidP="004E4048" w:rsidRDefault="00873363" w14:paraId="3840F07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w:t>
            </w:r>
          </w:p>
        </w:tc>
      </w:tr>
      <w:tr w:rsidRPr="007129C6" w:rsidR="00873363" w:rsidTr="003A392B" w14:paraId="141F22A0" w14:textId="77777777">
        <w:trPr>
          <w:trHeight w:val="113"/>
        </w:trPr>
        <w:tc>
          <w:tcPr>
            <w:cnfStyle w:val="001000000000" w:firstRow="0" w:lastRow="0" w:firstColumn="1" w:lastColumn="0" w:oddVBand="0" w:evenVBand="0" w:oddHBand="0" w:evenHBand="0" w:firstRowFirstColumn="0" w:firstRowLastColumn="0" w:lastRowFirstColumn="0" w:lastRowLastColumn="0"/>
            <w:tcW w:w="4819" w:type="dxa"/>
            <w:noWrap/>
            <w:vAlign w:val="center"/>
            <w:hideMark/>
          </w:tcPr>
          <w:p w:rsidRPr="007129C6" w:rsidR="00873363" w:rsidP="00404B15" w:rsidRDefault="00873363" w14:paraId="38A5F1D4"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Andere uitdaging, namelijk...</w:t>
            </w:r>
            <w:r w:rsidRPr="007129C6">
              <w:rPr>
                <w:rStyle w:val="Voetnootmarkering"/>
                <w:rFonts w:ascii="Trebuchet MS" w:hAnsi="Trebuchet MS"/>
                <w:sz w:val="18"/>
                <w:szCs w:val="18"/>
              </w:rPr>
              <w:t xml:space="preserve"> </w:t>
            </w:r>
          </w:p>
        </w:tc>
        <w:tc>
          <w:tcPr>
            <w:tcW w:w="680" w:type="dxa"/>
            <w:vAlign w:val="center"/>
          </w:tcPr>
          <w:p w:rsidRPr="007129C6" w:rsidR="00873363" w:rsidP="004E4048" w:rsidRDefault="00873363" w14:paraId="2961CDBE" w14:textId="67034A29">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80%</w:t>
            </w:r>
          </w:p>
        </w:tc>
        <w:tc>
          <w:tcPr>
            <w:tcW w:w="680" w:type="dxa"/>
            <w:vAlign w:val="center"/>
          </w:tcPr>
          <w:p w:rsidRPr="007129C6" w:rsidR="00873363" w:rsidP="004E4048" w:rsidRDefault="00873363" w14:paraId="281EBA7B" w14:textId="0440F006">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100%</w:t>
            </w:r>
          </w:p>
        </w:tc>
        <w:tc>
          <w:tcPr>
            <w:tcW w:w="680" w:type="dxa"/>
            <w:vAlign w:val="center"/>
          </w:tcPr>
          <w:p w:rsidRPr="007129C6" w:rsidR="00873363" w:rsidP="004E4048" w:rsidRDefault="00873363" w14:paraId="3DE4CCF6" w14:textId="4A44C396">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83%</w:t>
            </w:r>
          </w:p>
        </w:tc>
        <w:tc>
          <w:tcPr>
            <w:tcW w:w="227" w:type="dxa"/>
          </w:tcPr>
          <w:p w:rsidRPr="007129C6" w:rsidR="00873363" w:rsidP="004E4048" w:rsidRDefault="00873363" w14:paraId="3DF626F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c>
          <w:tcPr>
            <w:tcW w:w="444" w:type="dxa"/>
            <w:noWrap/>
            <w:vAlign w:val="center"/>
            <w:hideMark/>
          </w:tcPr>
          <w:p w:rsidRPr="007129C6" w:rsidR="00873363" w:rsidP="004E4048" w:rsidRDefault="00873363" w14:paraId="513B25B6" w14:textId="27E60262">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444" w:type="dxa"/>
            <w:noWrap/>
            <w:vAlign w:val="center"/>
            <w:hideMark/>
          </w:tcPr>
          <w:p w:rsidRPr="007129C6" w:rsidR="00873363" w:rsidP="004E4048" w:rsidRDefault="00873363" w14:paraId="65228CD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444" w:type="dxa"/>
            <w:noWrap/>
            <w:vAlign w:val="center"/>
            <w:hideMark/>
          </w:tcPr>
          <w:p w:rsidRPr="007129C6" w:rsidR="00873363" w:rsidP="004E4048" w:rsidRDefault="00873363" w14:paraId="7981BFC9"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w:t>
            </w:r>
          </w:p>
        </w:tc>
        <w:tc>
          <w:tcPr>
            <w:tcW w:w="444" w:type="dxa"/>
            <w:noWrap/>
            <w:vAlign w:val="center"/>
            <w:hideMark/>
          </w:tcPr>
          <w:p w:rsidRPr="007129C6" w:rsidR="00873363" w:rsidP="004E4048" w:rsidRDefault="00873363" w14:paraId="01A77E41"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3</w:t>
            </w:r>
          </w:p>
        </w:tc>
        <w:tc>
          <w:tcPr>
            <w:tcW w:w="444" w:type="dxa"/>
            <w:noWrap/>
            <w:vAlign w:val="center"/>
            <w:hideMark/>
          </w:tcPr>
          <w:p w:rsidRPr="007129C6" w:rsidR="00873363" w:rsidP="004E4048" w:rsidRDefault="00873363" w14:paraId="11A33D63"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w:t>
            </w:r>
          </w:p>
        </w:tc>
      </w:tr>
    </w:tbl>
    <w:p w:rsidRPr="00283B39" w:rsidR="0095088E" w:rsidP="00283B39" w:rsidRDefault="00B943E1" w14:paraId="09801983" w14:textId="64AF0279">
      <w:pPr>
        <w:pStyle w:val="SEOBron"/>
        <w:numPr>
          <w:ilvl w:val="0"/>
          <w:numId w:val="0"/>
        </w:numPr>
        <w:rPr>
          <w:rFonts w:ascii="Trebuchet MS" w:hAnsi="Trebuchet MS"/>
          <w:color w:val="auto"/>
          <w:szCs w:val="18"/>
        </w:rPr>
      </w:pPr>
      <w:bookmarkStart w:name="_Hlk197944983" w:id="41"/>
      <w:r>
        <w:rPr>
          <w:rFonts w:ascii="Trebuchet MS" w:hAnsi="Trebuchet MS"/>
          <w:color w:val="auto"/>
          <w:szCs w:val="18"/>
        </w:rPr>
        <w:t xml:space="preserve">Bron: </w:t>
      </w:r>
      <w:r w:rsidRPr="00283B39" w:rsidR="0095088E">
        <w:rPr>
          <w:rFonts w:ascii="Trebuchet MS" w:hAnsi="Trebuchet MS"/>
          <w:color w:val="auto"/>
          <w:szCs w:val="18"/>
        </w:rPr>
        <w:t>Enquête programmaleiders STO (voorjaar 2025 &amp; voorjaar 2021). Percentages voor 2025 die voorzien zijn van een “*” verschillen significant ten opzichte van 202</w:t>
      </w:r>
      <w:r w:rsidR="00110BBF">
        <w:rPr>
          <w:rFonts w:ascii="Trebuchet MS" w:hAnsi="Trebuchet MS"/>
          <w:color w:val="auto"/>
          <w:szCs w:val="18"/>
        </w:rPr>
        <w:t>1</w:t>
      </w:r>
      <w:r w:rsidRPr="00283B39" w:rsidR="0095088E">
        <w:rPr>
          <w:rFonts w:ascii="Trebuchet MS" w:hAnsi="Trebuchet MS"/>
          <w:color w:val="auto"/>
          <w:szCs w:val="18"/>
        </w:rPr>
        <w:t>.</w:t>
      </w:r>
      <w:bookmarkEnd w:id="41"/>
    </w:p>
    <w:p w:rsidRPr="00283B39" w:rsidR="0095088E" w:rsidP="0095088E" w:rsidRDefault="0095088E" w14:paraId="125F71B6" w14:textId="555D9B94">
      <w:pPr>
        <w:pStyle w:val="SEOStandaardBron"/>
        <w:rPr>
          <w:rFonts w:ascii="Trebuchet MS" w:hAnsi="Trebuchet MS"/>
          <w:color w:val="auto"/>
          <w:sz w:val="18"/>
          <w:szCs w:val="18"/>
        </w:rPr>
      </w:pPr>
      <w:r w:rsidRPr="00283B39">
        <w:rPr>
          <w:rFonts w:ascii="Trebuchet MS" w:hAnsi="Trebuchet MS"/>
          <w:color w:val="auto"/>
          <w:sz w:val="18"/>
          <w:szCs w:val="18"/>
        </w:rPr>
        <w:lastRenderedPageBreak/>
        <w:t xml:space="preserve">Wanneer gekeken wordt naar trends over tijd (zie tabel </w:t>
      </w:r>
      <w:r w:rsidR="00665091">
        <w:rPr>
          <w:rFonts w:ascii="Trebuchet MS" w:hAnsi="Trebuchet MS"/>
          <w:color w:val="auto"/>
          <w:sz w:val="18"/>
          <w:szCs w:val="18"/>
        </w:rPr>
        <w:t>4</w:t>
      </w:r>
      <w:r w:rsidRPr="00283B39">
        <w:rPr>
          <w:rFonts w:ascii="Trebuchet MS" w:hAnsi="Trebuchet MS"/>
          <w:color w:val="auto"/>
          <w:sz w:val="18"/>
          <w:szCs w:val="18"/>
        </w:rPr>
        <w:t xml:space="preserve">.3) - let wel dit betreft minder programmaleiders omdat we nu ook naar 2024 kijken – valt op dat in 2025 alleen een significante stijging ten opzichte van 2021 zichtbaar is bij voldoende techniekdocenten. Dit wordt, net als in 2024, als een (zeer) urgente uitdaging beschouwd door de programmaleiders. Verder komt de urgentie van thema’s grotendeels overeen met 2024.      </w:t>
      </w:r>
    </w:p>
    <w:p w:rsidRPr="007129C6" w:rsidR="0095088E" w:rsidP="0095088E" w:rsidRDefault="0095088E" w14:paraId="729A12A7" w14:textId="77777777">
      <w:pPr>
        <w:rPr>
          <w:szCs w:val="18"/>
        </w:rPr>
      </w:pPr>
    </w:p>
    <w:p w:rsidR="0095088E" w:rsidP="0095088E" w:rsidRDefault="0095088E" w14:paraId="1BCA9212" w14:textId="2ED48A58">
      <w:pPr>
        <w:rPr>
          <w:szCs w:val="18"/>
        </w:rPr>
      </w:pPr>
      <w:r w:rsidRPr="007129C6">
        <w:rPr>
          <w:szCs w:val="18"/>
        </w:rPr>
        <w:t>Om in beeld te brengen welke impact het programma STO op doelstellingen in de regio heeft, is zowel in 2021 als in 2025 de programmaleiders gevraagd de impact die zij op een aantal relevante terreinen zien met een rapportcijfer (1-10) te beoordelen.</w:t>
      </w:r>
    </w:p>
    <w:p w:rsidR="00A32D4A" w:rsidP="0095088E" w:rsidRDefault="00A32D4A" w14:paraId="2BC8457E" w14:textId="77777777">
      <w:pPr>
        <w:rPr>
          <w:szCs w:val="18"/>
        </w:rPr>
      </w:pPr>
    </w:p>
    <w:p w:rsidRPr="00283B39" w:rsidR="00A32D4A" w:rsidP="00A32D4A" w:rsidRDefault="00A32D4A" w14:paraId="788105A7" w14:textId="77777777">
      <w:pPr>
        <w:pStyle w:val="SEOStandaard"/>
        <w:rPr>
          <w:rFonts w:ascii="Trebuchet MS" w:hAnsi="Trebuchet MS"/>
          <w:color w:val="auto"/>
          <w:sz w:val="18"/>
          <w:szCs w:val="18"/>
        </w:rPr>
      </w:pPr>
      <w:r w:rsidRPr="00283B39">
        <w:rPr>
          <w:rFonts w:ascii="Trebuchet MS" w:hAnsi="Trebuchet MS"/>
          <w:color w:val="auto"/>
          <w:sz w:val="18"/>
          <w:szCs w:val="18"/>
        </w:rPr>
        <w:t xml:space="preserve">De resultaten (tabel 4.4) laten zien dat programmaleiders in 2025 andere cijfers geven voor de impact van STO op verschillende aspecten in vergelijking met 2021 (tweede en vierde kolom). </w:t>
      </w:r>
    </w:p>
    <w:p w:rsidRPr="007129C6" w:rsidR="00A32D4A" w:rsidP="0095088E" w:rsidRDefault="00A32D4A" w14:paraId="7B427E93" w14:textId="77777777">
      <w:pPr>
        <w:rPr>
          <w:szCs w:val="18"/>
        </w:rPr>
      </w:pPr>
    </w:p>
    <w:p w:rsidRPr="00283B39" w:rsidR="0095088E" w:rsidP="00283B39" w:rsidRDefault="00B943E1" w14:paraId="45528AB0" w14:textId="7C91E740">
      <w:pPr>
        <w:pStyle w:val="Figuur"/>
        <w:rPr>
          <w:rFonts w:ascii="Trebuchet MS" w:hAnsi="Trebuchet MS"/>
          <w:i/>
          <w:sz w:val="18"/>
          <w:szCs w:val="18"/>
        </w:rPr>
      </w:pPr>
      <w:r>
        <w:rPr>
          <w:rFonts w:ascii="Trebuchet MS" w:hAnsi="Trebuchet MS" w:eastAsiaTheme="minorEastAsia" w:cstheme="minorBidi"/>
          <w:i/>
          <w:iCs/>
          <w:noProof w:val="0"/>
          <w:sz w:val="18"/>
          <w:szCs w:val="18"/>
          <w:lang w:eastAsia="en-US"/>
        </w:rPr>
        <w:t xml:space="preserve">Tabel 4.4. </w:t>
      </w:r>
      <w:r w:rsidRPr="00283B39" w:rsidR="0095088E">
        <w:rPr>
          <w:rFonts w:ascii="Trebuchet MS" w:hAnsi="Trebuchet MS" w:eastAsiaTheme="minorEastAsia" w:cstheme="minorBidi"/>
          <w:i/>
          <w:sz w:val="18"/>
          <w:szCs w:val="18"/>
          <w:lang w:eastAsia="en-US"/>
        </w:rPr>
        <w:t>Rapportcijfers voor impact van STO op verschillende aspecten (respons in 2021 én 2025, n=41)</w:t>
      </w:r>
    </w:p>
    <w:tbl>
      <w:tblPr>
        <w:tblStyle w:val="SEOTabel2"/>
        <w:tblW w:w="0" w:type="auto"/>
        <w:tblCellMar>
          <w:top w:w="28" w:type="dxa"/>
          <w:bottom w:w="28" w:type="dxa"/>
        </w:tblCellMar>
        <w:tblLook w:val="04A0" w:firstRow="1" w:lastRow="0" w:firstColumn="1" w:lastColumn="0" w:noHBand="0" w:noVBand="1"/>
      </w:tblPr>
      <w:tblGrid>
        <w:gridCol w:w="5661"/>
        <w:gridCol w:w="537"/>
        <w:gridCol w:w="608"/>
        <w:gridCol w:w="480"/>
        <w:gridCol w:w="608"/>
        <w:gridCol w:w="733"/>
        <w:gridCol w:w="733"/>
      </w:tblGrid>
      <w:tr w:rsidRPr="007129C6" w:rsidR="0095088E" w:rsidTr="004F3881" w14:paraId="69DDA366" w14:textId="77777777">
        <w:trPr>
          <w:cnfStyle w:val="100000000000" w:firstRow="1" w:lastRow="0" w:firstColumn="0" w:lastColumn="0" w:oddVBand="0" w:evenVBand="0" w:oddHBand="0" w:evenHBand="0" w:firstRowFirstColumn="0" w:firstRowLastColumn="0" w:lastRowFirstColumn="0" w:lastRowLastColumn="0"/>
          <w:cantSplit/>
          <w:trHeight w:val="477"/>
        </w:trPr>
        <w:tc>
          <w:tcPr>
            <w:cnfStyle w:val="001000000000" w:firstRow="0" w:lastRow="0" w:firstColumn="1" w:lastColumn="0" w:oddVBand="0" w:evenVBand="0" w:oddHBand="0" w:evenHBand="0" w:firstRowFirstColumn="0" w:firstRowLastColumn="0" w:lastRowFirstColumn="0" w:lastRowLastColumn="0"/>
            <w:tcW w:w="0" w:type="auto"/>
          </w:tcPr>
          <w:p w:rsidRPr="007129C6" w:rsidR="0095088E" w:rsidP="00FC2172" w:rsidRDefault="0095088E" w14:paraId="0A9F6D17" w14:textId="77777777">
            <w:pPr>
              <w:pStyle w:val="SEOStandaard"/>
              <w:numPr>
                <w:ilvl w:val="0"/>
                <w:numId w:val="0"/>
              </w:numPr>
              <w:rPr>
                <w:rFonts w:ascii="Trebuchet MS" w:hAnsi="Trebuchet MS"/>
                <w:color w:val="FFFFFF" w:themeColor="background1"/>
                <w:sz w:val="18"/>
                <w:szCs w:val="18"/>
              </w:rPr>
            </w:pPr>
          </w:p>
        </w:tc>
        <w:tc>
          <w:tcPr>
            <w:tcW w:w="0" w:type="auto"/>
            <w:gridSpan w:val="2"/>
          </w:tcPr>
          <w:p w:rsidRPr="007129C6" w:rsidR="0095088E" w:rsidP="00FC2172" w:rsidRDefault="0095088E" w14:paraId="2128B518" w14:textId="77777777">
            <w:pPr>
              <w:pStyle w:val="SEOStandaard"/>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color w:val="FFFFFF" w:themeColor="background1"/>
                <w:sz w:val="18"/>
                <w:szCs w:val="18"/>
              </w:rPr>
            </w:pPr>
            <w:r w:rsidRPr="007129C6">
              <w:rPr>
                <w:rFonts w:ascii="Trebuchet MS" w:hAnsi="Trebuchet MS"/>
                <w:color w:val="FFFFFF" w:themeColor="background1"/>
                <w:sz w:val="18"/>
                <w:szCs w:val="18"/>
              </w:rPr>
              <w:t>2025</w:t>
            </w:r>
          </w:p>
        </w:tc>
        <w:tc>
          <w:tcPr>
            <w:tcW w:w="0" w:type="auto"/>
            <w:gridSpan w:val="2"/>
          </w:tcPr>
          <w:p w:rsidRPr="007129C6" w:rsidR="0095088E" w:rsidP="00FC2172" w:rsidRDefault="0095088E" w14:paraId="31B813DD" w14:textId="77777777">
            <w:pPr>
              <w:pStyle w:val="SEOStandaard"/>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2021</w:t>
            </w:r>
          </w:p>
        </w:tc>
        <w:tc>
          <w:tcPr>
            <w:tcW w:w="0" w:type="auto"/>
            <w:gridSpan w:val="2"/>
          </w:tcPr>
          <w:p w:rsidRPr="007129C6" w:rsidR="0095088E" w:rsidP="00FC2172" w:rsidRDefault="0095088E" w14:paraId="7DDEDD53" w14:textId="77777777">
            <w:pPr>
              <w:pStyle w:val="SEOStandaard"/>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color w:val="FFFFFF" w:themeColor="background1"/>
                <w:sz w:val="18"/>
                <w:szCs w:val="18"/>
              </w:rPr>
            </w:pPr>
            <w:r w:rsidRPr="007129C6">
              <w:rPr>
                <w:rFonts w:ascii="Trebuchet MS" w:hAnsi="Trebuchet MS"/>
                <w:color w:val="FFFFFF" w:themeColor="background1"/>
                <w:sz w:val="18"/>
                <w:szCs w:val="18"/>
              </w:rPr>
              <w:t>cijfer 2025 min cijfer 2021</w:t>
            </w:r>
          </w:p>
        </w:tc>
      </w:tr>
      <w:tr w:rsidRPr="007129C6" w:rsidR="0095088E" w:rsidTr="004F3881" w14:paraId="45A129CD" w14:textId="77777777">
        <w:trPr>
          <w:cantSplit/>
          <w:trHeight w:val="1624"/>
        </w:trPr>
        <w:tc>
          <w:tcPr>
            <w:cnfStyle w:val="001000000000" w:firstRow="0" w:lastRow="0" w:firstColumn="1" w:lastColumn="0" w:oddVBand="0" w:evenVBand="0" w:oddHBand="0" w:evenHBand="0" w:firstRowFirstColumn="0" w:firstRowLastColumn="0" w:lastRowFirstColumn="0" w:lastRowLastColumn="0"/>
            <w:tcW w:w="0" w:type="auto"/>
            <w:shd w:val="clear" w:color="auto" w:fill="264249"/>
            <w:vAlign w:val="bottom"/>
          </w:tcPr>
          <w:p w:rsidRPr="007129C6" w:rsidR="0095088E" w:rsidP="00FC2172" w:rsidRDefault="0095088E" w14:paraId="76D26FC5" w14:textId="77777777">
            <w:pPr>
              <w:pStyle w:val="SEOStandaard"/>
              <w:numPr>
                <w:ilvl w:val="0"/>
                <w:numId w:val="0"/>
              </w:numPr>
              <w:rPr>
                <w:rFonts w:ascii="Trebuchet MS" w:hAnsi="Trebuchet MS"/>
                <w:b/>
                <w:bCs/>
                <w:color w:val="FFFFFF" w:themeColor="background1"/>
                <w:sz w:val="18"/>
                <w:szCs w:val="18"/>
              </w:rPr>
            </w:pPr>
            <w:r w:rsidRPr="007129C6">
              <w:rPr>
                <w:rFonts w:ascii="Trebuchet MS" w:hAnsi="Trebuchet MS"/>
                <w:b/>
                <w:bCs/>
                <w:color w:val="FFFFFF" w:themeColor="background1"/>
                <w:sz w:val="18"/>
                <w:szCs w:val="18"/>
              </w:rPr>
              <w:t>Door STO…</w:t>
            </w:r>
          </w:p>
        </w:tc>
        <w:tc>
          <w:tcPr>
            <w:tcW w:w="0" w:type="auto"/>
            <w:shd w:val="clear" w:color="auto" w:fill="264249"/>
            <w:textDirection w:val="btLr"/>
          </w:tcPr>
          <w:p w:rsidRPr="007129C6" w:rsidR="0095088E" w:rsidP="00FC2172" w:rsidRDefault="0095088E" w14:paraId="0216D21B" w14:textId="77777777">
            <w:pPr>
              <w:pStyle w:val="SEOStandaard"/>
              <w:numPr>
                <w:ilvl w:val="0"/>
                <w:numId w:val="0"/>
              </w:numPr>
              <w:ind w:left="113" w:right="113"/>
              <w:jc w:val="center"/>
              <w:cnfStyle w:val="000000000000" w:firstRow="0" w:lastRow="0" w:firstColumn="0" w:lastColumn="0" w:oddVBand="0" w:evenVBand="0" w:oddHBand="0" w:evenHBand="0" w:firstRowFirstColumn="0" w:firstRowLastColumn="0" w:lastRowFirstColumn="0" w:lastRowLastColumn="0"/>
              <w:rPr>
                <w:rFonts w:ascii="Trebuchet MS" w:hAnsi="Trebuchet MS"/>
                <w:b/>
                <w:bCs/>
                <w:color w:val="FFFFFF" w:themeColor="background1"/>
                <w:sz w:val="18"/>
                <w:szCs w:val="18"/>
              </w:rPr>
            </w:pPr>
            <w:r w:rsidRPr="007129C6">
              <w:rPr>
                <w:rFonts w:ascii="Trebuchet MS" w:hAnsi="Trebuchet MS"/>
                <w:b/>
                <w:bCs/>
                <w:color w:val="FFFFFF" w:themeColor="background1"/>
                <w:sz w:val="18"/>
                <w:szCs w:val="18"/>
              </w:rPr>
              <w:t>Gemiddelde</w:t>
            </w:r>
          </w:p>
        </w:tc>
        <w:tc>
          <w:tcPr>
            <w:tcW w:w="0" w:type="auto"/>
            <w:shd w:val="clear" w:color="auto" w:fill="264249"/>
            <w:textDirection w:val="btLr"/>
          </w:tcPr>
          <w:p w:rsidRPr="007129C6" w:rsidR="0095088E" w:rsidP="00FC2172" w:rsidRDefault="0095088E" w14:paraId="4086FAE6" w14:textId="77777777">
            <w:pPr>
              <w:pStyle w:val="SEOStandaard"/>
              <w:numPr>
                <w:ilvl w:val="0"/>
                <w:numId w:val="0"/>
              </w:numPr>
              <w:ind w:left="113" w:right="113"/>
              <w:jc w:val="center"/>
              <w:cnfStyle w:val="000000000000" w:firstRow="0" w:lastRow="0" w:firstColumn="0" w:lastColumn="0" w:oddVBand="0" w:evenVBand="0" w:oddHBand="0" w:evenHBand="0" w:firstRowFirstColumn="0" w:firstRowLastColumn="0" w:lastRowFirstColumn="0" w:lastRowLastColumn="0"/>
              <w:rPr>
                <w:rFonts w:ascii="Trebuchet MS" w:hAnsi="Trebuchet MS"/>
                <w:b/>
                <w:bCs/>
                <w:color w:val="FFFFFF" w:themeColor="background1"/>
                <w:sz w:val="18"/>
                <w:szCs w:val="18"/>
              </w:rPr>
            </w:pPr>
            <w:r w:rsidRPr="007129C6">
              <w:rPr>
                <w:rFonts w:ascii="Trebuchet MS" w:hAnsi="Trebuchet MS"/>
                <w:b/>
                <w:bCs/>
                <w:color w:val="FFFFFF" w:themeColor="background1"/>
                <w:sz w:val="18"/>
                <w:szCs w:val="18"/>
              </w:rPr>
              <w:t>% voldoende</w:t>
            </w:r>
          </w:p>
        </w:tc>
        <w:tc>
          <w:tcPr>
            <w:tcW w:w="0" w:type="auto"/>
            <w:shd w:val="clear" w:color="auto" w:fill="264249"/>
            <w:textDirection w:val="btLr"/>
          </w:tcPr>
          <w:p w:rsidRPr="007129C6" w:rsidR="0095088E" w:rsidP="00FC2172" w:rsidRDefault="0095088E" w14:paraId="15542007" w14:textId="77777777">
            <w:pPr>
              <w:pStyle w:val="SEOStandaard"/>
              <w:numPr>
                <w:ilvl w:val="0"/>
                <w:numId w:val="0"/>
              </w:numPr>
              <w:ind w:left="113" w:right="113"/>
              <w:jc w:val="center"/>
              <w:cnfStyle w:val="000000000000" w:firstRow="0" w:lastRow="0" w:firstColumn="0" w:lastColumn="0" w:oddVBand="0" w:evenVBand="0" w:oddHBand="0" w:evenHBand="0" w:firstRowFirstColumn="0" w:firstRowLastColumn="0" w:lastRowFirstColumn="0" w:lastRowLastColumn="0"/>
              <w:rPr>
                <w:rFonts w:ascii="Trebuchet MS" w:hAnsi="Trebuchet MS"/>
                <w:b/>
                <w:bCs/>
                <w:color w:val="FFFFFF" w:themeColor="background1"/>
                <w:sz w:val="18"/>
                <w:szCs w:val="18"/>
              </w:rPr>
            </w:pPr>
            <w:r w:rsidRPr="007129C6">
              <w:rPr>
                <w:rFonts w:ascii="Trebuchet MS" w:hAnsi="Trebuchet MS"/>
                <w:b/>
                <w:bCs/>
                <w:color w:val="FFFFFF" w:themeColor="background1"/>
                <w:sz w:val="18"/>
                <w:szCs w:val="18"/>
              </w:rPr>
              <w:t>Gemiddelde</w:t>
            </w:r>
          </w:p>
        </w:tc>
        <w:tc>
          <w:tcPr>
            <w:tcW w:w="0" w:type="auto"/>
            <w:shd w:val="clear" w:color="auto" w:fill="264249"/>
            <w:textDirection w:val="btLr"/>
          </w:tcPr>
          <w:p w:rsidRPr="007129C6" w:rsidR="0095088E" w:rsidP="00FC2172" w:rsidRDefault="0095088E" w14:paraId="575D682F" w14:textId="77777777">
            <w:pPr>
              <w:pStyle w:val="SEOStandaard"/>
              <w:numPr>
                <w:ilvl w:val="0"/>
                <w:numId w:val="0"/>
              </w:numPr>
              <w:ind w:left="113" w:right="113"/>
              <w:jc w:val="center"/>
              <w:cnfStyle w:val="000000000000" w:firstRow="0" w:lastRow="0" w:firstColumn="0" w:lastColumn="0" w:oddVBand="0" w:evenVBand="0" w:oddHBand="0" w:evenHBand="0" w:firstRowFirstColumn="0" w:firstRowLastColumn="0" w:lastRowFirstColumn="0" w:lastRowLastColumn="0"/>
              <w:rPr>
                <w:rFonts w:ascii="Trebuchet MS" w:hAnsi="Trebuchet MS"/>
                <w:b/>
                <w:bCs/>
                <w:color w:val="FFFFFF" w:themeColor="background1"/>
                <w:sz w:val="18"/>
                <w:szCs w:val="18"/>
              </w:rPr>
            </w:pPr>
            <w:r w:rsidRPr="007129C6">
              <w:rPr>
                <w:rFonts w:ascii="Trebuchet MS" w:hAnsi="Trebuchet MS"/>
                <w:b/>
                <w:bCs/>
                <w:color w:val="FFFFFF" w:themeColor="background1"/>
                <w:sz w:val="18"/>
                <w:szCs w:val="18"/>
              </w:rPr>
              <w:t>% voldoende</w:t>
            </w:r>
          </w:p>
        </w:tc>
        <w:tc>
          <w:tcPr>
            <w:tcW w:w="0" w:type="auto"/>
            <w:shd w:val="clear" w:color="auto" w:fill="264249"/>
            <w:textDirection w:val="btLr"/>
          </w:tcPr>
          <w:p w:rsidRPr="007129C6" w:rsidR="0095088E" w:rsidP="00FC2172" w:rsidRDefault="0095088E" w14:paraId="3572C365" w14:textId="77777777">
            <w:pPr>
              <w:pStyle w:val="SEOStandaard"/>
              <w:numPr>
                <w:ilvl w:val="0"/>
                <w:numId w:val="0"/>
              </w:numPr>
              <w:ind w:left="113" w:right="113"/>
              <w:jc w:val="center"/>
              <w:cnfStyle w:val="000000000000" w:firstRow="0" w:lastRow="0" w:firstColumn="0" w:lastColumn="0" w:oddVBand="0" w:evenVBand="0" w:oddHBand="0" w:evenHBand="0" w:firstRowFirstColumn="0" w:firstRowLastColumn="0" w:lastRowFirstColumn="0" w:lastRowLastColumn="0"/>
              <w:rPr>
                <w:rFonts w:ascii="Trebuchet MS" w:hAnsi="Trebuchet MS"/>
                <w:b/>
                <w:bCs/>
                <w:color w:val="FFFFFF" w:themeColor="background1"/>
                <w:sz w:val="18"/>
                <w:szCs w:val="18"/>
              </w:rPr>
            </w:pPr>
            <w:r w:rsidRPr="007129C6">
              <w:rPr>
                <w:rFonts w:ascii="Trebuchet MS" w:hAnsi="Trebuchet MS"/>
                <w:b/>
                <w:bCs/>
                <w:color w:val="FFFFFF" w:themeColor="background1"/>
                <w:sz w:val="18"/>
                <w:szCs w:val="18"/>
              </w:rPr>
              <w:t>% 2 of meer punten hoger</w:t>
            </w:r>
          </w:p>
        </w:tc>
        <w:tc>
          <w:tcPr>
            <w:tcW w:w="0" w:type="auto"/>
            <w:shd w:val="clear" w:color="auto" w:fill="264249"/>
            <w:textDirection w:val="btLr"/>
          </w:tcPr>
          <w:p w:rsidRPr="007129C6" w:rsidR="0095088E" w:rsidP="00FC2172" w:rsidRDefault="0095088E" w14:paraId="0EBEB7E3" w14:textId="77777777">
            <w:pPr>
              <w:pStyle w:val="SEOStandaard"/>
              <w:numPr>
                <w:ilvl w:val="0"/>
                <w:numId w:val="0"/>
              </w:numPr>
              <w:ind w:left="113" w:right="113"/>
              <w:jc w:val="center"/>
              <w:cnfStyle w:val="000000000000" w:firstRow="0" w:lastRow="0" w:firstColumn="0" w:lastColumn="0" w:oddVBand="0" w:evenVBand="0" w:oddHBand="0" w:evenHBand="0" w:firstRowFirstColumn="0" w:firstRowLastColumn="0" w:lastRowFirstColumn="0" w:lastRowLastColumn="0"/>
              <w:rPr>
                <w:rFonts w:ascii="Trebuchet MS" w:hAnsi="Trebuchet MS"/>
                <w:b/>
                <w:bCs/>
                <w:color w:val="FFFFFF" w:themeColor="background1"/>
                <w:sz w:val="18"/>
                <w:szCs w:val="18"/>
              </w:rPr>
            </w:pPr>
            <w:r w:rsidRPr="007129C6">
              <w:rPr>
                <w:rFonts w:ascii="Trebuchet MS" w:hAnsi="Trebuchet MS"/>
                <w:b/>
                <w:bCs/>
                <w:color w:val="FFFFFF" w:themeColor="background1"/>
                <w:sz w:val="18"/>
                <w:szCs w:val="18"/>
              </w:rPr>
              <w:t>% 2 of meer punten lager</w:t>
            </w:r>
          </w:p>
        </w:tc>
      </w:tr>
      <w:tr w:rsidRPr="007129C6" w:rsidR="0095088E" w:rsidTr="004F3881" w14:paraId="03EAA2A9" w14:textId="77777777">
        <w:tc>
          <w:tcPr>
            <w:cnfStyle w:val="001000000000" w:firstRow="0" w:lastRow="0" w:firstColumn="1" w:lastColumn="0" w:oddVBand="0" w:evenVBand="0" w:oddHBand="0" w:evenHBand="0" w:firstRowFirstColumn="0" w:firstRowLastColumn="0" w:lastRowFirstColumn="0" w:lastRowLastColumn="0"/>
            <w:tcW w:w="0" w:type="auto"/>
          </w:tcPr>
          <w:p w:rsidRPr="007129C6" w:rsidR="0095088E" w:rsidP="00A32D4A" w:rsidRDefault="0095088E" w14:paraId="52CD6900" w14:textId="77777777">
            <w:pPr>
              <w:pStyle w:val="SEOStandaard"/>
              <w:numPr>
                <w:ilvl w:val="0"/>
                <w:numId w:val="0"/>
              </w:numPr>
              <w:jc w:val="left"/>
              <w:rPr>
                <w:rFonts w:ascii="Trebuchet MS" w:hAnsi="Trebuchet MS"/>
                <w:sz w:val="18"/>
                <w:szCs w:val="18"/>
              </w:rPr>
            </w:pPr>
            <w:r w:rsidRPr="007129C6">
              <w:rPr>
                <w:rFonts w:ascii="Trebuchet MS" w:hAnsi="Trebuchet MS"/>
                <w:sz w:val="18"/>
                <w:szCs w:val="18"/>
              </w:rPr>
              <w:t>...is in onze regio een verschuiving op gang gekomen van denken in individuele schoolbelangen naar een gesprek over het regiobelang en –aanbod</w:t>
            </w:r>
          </w:p>
        </w:tc>
        <w:tc>
          <w:tcPr>
            <w:tcW w:w="0" w:type="auto"/>
          </w:tcPr>
          <w:p w:rsidRPr="007129C6" w:rsidR="0095088E" w:rsidP="00FC2172" w:rsidRDefault="0095088E" w14:paraId="2D420270"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6,8</w:t>
            </w:r>
          </w:p>
        </w:tc>
        <w:tc>
          <w:tcPr>
            <w:tcW w:w="0" w:type="auto"/>
          </w:tcPr>
          <w:p w:rsidRPr="007129C6" w:rsidR="0095088E" w:rsidP="00FC2172" w:rsidRDefault="0095088E" w14:paraId="58644992"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71%*</w:t>
            </w:r>
          </w:p>
        </w:tc>
        <w:tc>
          <w:tcPr>
            <w:tcW w:w="0" w:type="auto"/>
          </w:tcPr>
          <w:p w:rsidRPr="007129C6" w:rsidR="0095088E" w:rsidP="00FC2172" w:rsidRDefault="0095088E" w14:paraId="1A673970"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7,5</w:t>
            </w:r>
          </w:p>
        </w:tc>
        <w:tc>
          <w:tcPr>
            <w:tcW w:w="0" w:type="auto"/>
          </w:tcPr>
          <w:p w:rsidRPr="007129C6" w:rsidR="0095088E" w:rsidP="00FC2172" w:rsidRDefault="0095088E" w14:paraId="0513378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90%</w:t>
            </w:r>
          </w:p>
        </w:tc>
        <w:tc>
          <w:tcPr>
            <w:tcW w:w="0" w:type="auto"/>
          </w:tcPr>
          <w:p w:rsidRPr="007129C6" w:rsidR="0095088E" w:rsidP="00FC2172" w:rsidRDefault="0095088E" w14:paraId="4D463EF0"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w:t>
            </w:r>
          </w:p>
        </w:tc>
        <w:tc>
          <w:tcPr>
            <w:tcW w:w="0" w:type="auto"/>
          </w:tcPr>
          <w:p w:rsidRPr="007129C6" w:rsidR="0095088E" w:rsidP="00FC2172" w:rsidRDefault="0095088E" w14:paraId="1AE9518F"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29%</w:t>
            </w:r>
          </w:p>
        </w:tc>
      </w:tr>
      <w:tr w:rsidRPr="007129C6" w:rsidR="0095088E" w:rsidTr="004F3881" w14:paraId="3599AC64" w14:textId="77777777">
        <w:tc>
          <w:tcPr>
            <w:cnfStyle w:val="001000000000" w:firstRow="0" w:lastRow="0" w:firstColumn="1" w:lastColumn="0" w:oddVBand="0" w:evenVBand="0" w:oddHBand="0" w:evenHBand="0" w:firstRowFirstColumn="0" w:firstRowLastColumn="0" w:lastRowFirstColumn="0" w:lastRowLastColumn="0"/>
            <w:tcW w:w="0" w:type="auto"/>
          </w:tcPr>
          <w:p w:rsidRPr="007129C6" w:rsidR="0095088E" w:rsidP="00A32D4A" w:rsidRDefault="0095088E" w14:paraId="5B6EDA5A" w14:textId="77777777">
            <w:pPr>
              <w:pStyle w:val="SEOStandaard"/>
              <w:numPr>
                <w:ilvl w:val="0"/>
                <w:numId w:val="0"/>
              </w:numPr>
              <w:jc w:val="left"/>
              <w:rPr>
                <w:rFonts w:ascii="Trebuchet MS" w:hAnsi="Trebuchet MS"/>
                <w:sz w:val="18"/>
                <w:szCs w:val="18"/>
              </w:rPr>
            </w:pPr>
            <w:r w:rsidRPr="007129C6">
              <w:rPr>
                <w:rFonts w:ascii="Trebuchet MS" w:hAnsi="Trebuchet MS"/>
                <w:sz w:val="18"/>
                <w:szCs w:val="18"/>
              </w:rPr>
              <w:t>...zijn in onze regio afspraken gemaakt over de verdeling en gezamenlijke benutting van faciliteiten/inventaris/apparatuur</w:t>
            </w:r>
          </w:p>
        </w:tc>
        <w:tc>
          <w:tcPr>
            <w:tcW w:w="0" w:type="auto"/>
          </w:tcPr>
          <w:p w:rsidRPr="007129C6" w:rsidR="0095088E" w:rsidP="00FC2172" w:rsidRDefault="0095088E" w14:paraId="46BB87EF"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5,9*</w:t>
            </w:r>
          </w:p>
        </w:tc>
        <w:tc>
          <w:tcPr>
            <w:tcW w:w="0" w:type="auto"/>
          </w:tcPr>
          <w:p w:rsidRPr="007129C6" w:rsidR="0095088E" w:rsidP="00FC2172" w:rsidRDefault="0095088E" w14:paraId="235AC27A"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66%*</w:t>
            </w:r>
          </w:p>
        </w:tc>
        <w:tc>
          <w:tcPr>
            <w:tcW w:w="0" w:type="auto"/>
          </w:tcPr>
          <w:p w:rsidRPr="007129C6" w:rsidR="0095088E" w:rsidP="00FC2172" w:rsidRDefault="0095088E" w14:paraId="6BE39650"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6,9</w:t>
            </w:r>
          </w:p>
        </w:tc>
        <w:tc>
          <w:tcPr>
            <w:tcW w:w="0" w:type="auto"/>
          </w:tcPr>
          <w:p w:rsidRPr="007129C6" w:rsidR="0095088E" w:rsidP="00FC2172" w:rsidRDefault="0095088E" w14:paraId="150A6CA8"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90%</w:t>
            </w:r>
          </w:p>
        </w:tc>
        <w:tc>
          <w:tcPr>
            <w:tcW w:w="0" w:type="auto"/>
          </w:tcPr>
          <w:p w:rsidRPr="007129C6" w:rsidR="0095088E" w:rsidP="00FC2172" w:rsidRDefault="0095088E" w14:paraId="4BF72A98"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15%</w:t>
            </w:r>
          </w:p>
        </w:tc>
        <w:tc>
          <w:tcPr>
            <w:tcW w:w="0" w:type="auto"/>
          </w:tcPr>
          <w:p w:rsidRPr="007129C6" w:rsidR="0095088E" w:rsidP="00FC2172" w:rsidRDefault="0095088E" w14:paraId="6429E095"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32%</w:t>
            </w:r>
          </w:p>
        </w:tc>
      </w:tr>
      <w:tr w:rsidRPr="007129C6" w:rsidR="0095088E" w:rsidTr="004F3881" w14:paraId="47346E0D" w14:textId="77777777">
        <w:tc>
          <w:tcPr>
            <w:cnfStyle w:val="001000000000" w:firstRow="0" w:lastRow="0" w:firstColumn="1" w:lastColumn="0" w:oddVBand="0" w:evenVBand="0" w:oddHBand="0" w:evenHBand="0" w:firstRowFirstColumn="0" w:firstRowLastColumn="0" w:lastRowFirstColumn="0" w:lastRowLastColumn="0"/>
            <w:tcW w:w="0" w:type="auto"/>
          </w:tcPr>
          <w:p w:rsidRPr="007129C6" w:rsidR="0095088E" w:rsidP="00A32D4A" w:rsidRDefault="0095088E" w14:paraId="63774042" w14:textId="77777777">
            <w:pPr>
              <w:pStyle w:val="SEOStandaard"/>
              <w:numPr>
                <w:ilvl w:val="0"/>
                <w:numId w:val="0"/>
              </w:numPr>
              <w:jc w:val="left"/>
              <w:rPr>
                <w:rFonts w:ascii="Trebuchet MS" w:hAnsi="Trebuchet MS"/>
                <w:sz w:val="18"/>
                <w:szCs w:val="18"/>
              </w:rPr>
            </w:pPr>
            <w:r w:rsidRPr="007129C6">
              <w:rPr>
                <w:rFonts w:ascii="Trebuchet MS" w:hAnsi="Trebuchet MS"/>
                <w:sz w:val="18"/>
                <w:szCs w:val="18"/>
              </w:rPr>
              <w:t>...voelen techniekdocenten in het vmbo zich erkend en gewaardeerd</w:t>
            </w:r>
          </w:p>
        </w:tc>
        <w:tc>
          <w:tcPr>
            <w:tcW w:w="0" w:type="auto"/>
          </w:tcPr>
          <w:p w:rsidRPr="007129C6" w:rsidR="0095088E" w:rsidP="00FC2172" w:rsidRDefault="0095088E" w14:paraId="70E90C33"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6,5</w:t>
            </w:r>
          </w:p>
        </w:tc>
        <w:tc>
          <w:tcPr>
            <w:tcW w:w="0" w:type="auto"/>
          </w:tcPr>
          <w:p w:rsidRPr="007129C6" w:rsidR="0095088E" w:rsidP="00FC2172" w:rsidRDefault="0095088E" w14:paraId="3785F3C5"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73%</w:t>
            </w:r>
          </w:p>
        </w:tc>
        <w:tc>
          <w:tcPr>
            <w:tcW w:w="0" w:type="auto"/>
          </w:tcPr>
          <w:p w:rsidRPr="007129C6" w:rsidR="0095088E" w:rsidP="00FC2172" w:rsidRDefault="0095088E" w14:paraId="28E58E21"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6,8</w:t>
            </w:r>
          </w:p>
        </w:tc>
        <w:tc>
          <w:tcPr>
            <w:tcW w:w="0" w:type="auto"/>
          </w:tcPr>
          <w:p w:rsidRPr="007129C6" w:rsidR="0095088E" w:rsidP="00FC2172" w:rsidRDefault="0095088E" w14:paraId="098A5F5C"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76%</w:t>
            </w:r>
          </w:p>
        </w:tc>
        <w:tc>
          <w:tcPr>
            <w:tcW w:w="0" w:type="auto"/>
          </w:tcPr>
          <w:p w:rsidRPr="007129C6" w:rsidR="0095088E" w:rsidP="00FC2172" w:rsidRDefault="0095088E" w14:paraId="1C78F7F5"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12%</w:t>
            </w:r>
          </w:p>
        </w:tc>
        <w:tc>
          <w:tcPr>
            <w:tcW w:w="0" w:type="auto"/>
          </w:tcPr>
          <w:p w:rsidRPr="007129C6" w:rsidR="0095088E" w:rsidP="00FC2172" w:rsidRDefault="0095088E" w14:paraId="67CD39EF"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22%</w:t>
            </w:r>
          </w:p>
        </w:tc>
      </w:tr>
      <w:tr w:rsidRPr="007129C6" w:rsidR="0095088E" w:rsidTr="004F3881" w14:paraId="07C507BA" w14:textId="77777777">
        <w:tc>
          <w:tcPr>
            <w:cnfStyle w:val="001000000000" w:firstRow="0" w:lastRow="0" w:firstColumn="1" w:lastColumn="0" w:oddVBand="0" w:evenVBand="0" w:oddHBand="0" w:evenHBand="0" w:firstRowFirstColumn="0" w:firstRowLastColumn="0" w:lastRowFirstColumn="0" w:lastRowLastColumn="0"/>
            <w:tcW w:w="0" w:type="auto"/>
          </w:tcPr>
          <w:p w:rsidRPr="007129C6" w:rsidR="0095088E" w:rsidP="00A32D4A" w:rsidRDefault="0095088E" w14:paraId="416EB599" w14:textId="77777777">
            <w:pPr>
              <w:pStyle w:val="SEOStandaard"/>
              <w:numPr>
                <w:ilvl w:val="0"/>
                <w:numId w:val="0"/>
              </w:numPr>
              <w:jc w:val="left"/>
              <w:rPr>
                <w:rFonts w:ascii="Trebuchet MS" w:hAnsi="Trebuchet MS"/>
                <w:sz w:val="18"/>
                <w:szCs w:val="18"/>
              </w:rPr>
            </w:pPr>
            <w:r w:rsidRPr="007129C6">
              <w:rPr>
                <w:rFonts w:ascii="Trebuchet MS" w:hAnsi="Trebuchet MS"/>
                <w:sz w:val="18"/>
                <w:szCs w:val="18"/>
              </w:rPr>
              <w:t>...is er meer waardering voor het vmbo in het algemeen</w:t>
            </w:r>
          </w:p>
        </w:tc>
        <w:tc>
          <w:tcPr>
            <w:tcW w:w="0" w:type="auto"/>
          </w:tcPr>
          <w:p w:rsidRPr="007129C6" w:rsidR="0095088E" w:rsidP="00FC2172" w:rsidRDefault="0095088E" w14:paraId="4F39965B"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6,4</w:t>
            </w:r>
          </w:p>
        </w:tc>
        <w:tc>
          <w:tcPr>
            <w:tcW w:w="0" w:type="auto"/>
          </w:tcPr>
          <w:p w:rsidRPr="007129C6" w:rsidR="0095088E" w:rsidP="00FC2172" w:rsidRDefault="0095088E" w14:paraId="6F4A10D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71%</w:t>
            </w:r>
          </w:p>
        </w:tc>
        <w:tc>
          <w:tcPr>
            <w:tcW w:w="0" w:type="auto"/>
          </w:tcPr>
          <w:p w:rsidRPr="007129C6" w:rsidR="0095088E" w:rsidP="00FC2172" w:rsidRDefault="0095088E" w14:paraId="0775555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6,6</w:t>
            </w:r>
          </w:p>
        </w:tc>
        <w:tc>
          <w:tcPr>
            <w:tcW w:w="0" w:type="auto"/>
          </w:tcPr>
          <w:p w:rsidRPr="007129C6" w:rsidR="0095088E" w:rsidP="00FC2172" w:rsidRDefault="0095088E" w14:paraId="3B578B80"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76%</w:t>
            </w:r>
          </w:p>
        </w:tc>
        <w:tc>
          <w:tcPr>
            <w:tcW w:w="0" w:type="auto"/>
          </w:tcPr>
          <w:p w:rsidRPr="007129C6" w:rsidR="0095088E" w:rsidP="00FC2172" w:rsidRDefault="0095088E" w14:paraId="288F7D60"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20%</w:t>
            </w:r>
          </w:p>
        </w:tc>
        <w:tc>
          <w:tcPr>
            <w:tcW w:w="0" w:type="auto"/>
          </w:tcPr>
          <w:p w:rsidRPr="007129C6" w:rsidR="0095088E" w:rsidP="00FC2172" w:rsidRDefault="0095088E" w14:paraId="23C9977B"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29%</w:t>
            </w:r>
          </w:p>
        </w:tc>
      </w:tr>
      <w:tr w:rsidRPr="007129C6" w:rsidR="0095088E" w:rsidTr="004F3881" w14:paraId="5A3A8EBE" w14:textId="77777777">
        <w:tc>
          <w:tcPr>
            <w:cnfStyle w:val="001000000000" w:firstRow="0" w:lastRow="0" w:firstColumn="1" w:lastColumn="0" w:oddVBand="0" w:evenVBand="0" w:oddHBand="0" w:evenHBand="0" w:firstRowFirstColumn="0" w:firstRowLastColumn="0" w:lastRowFirstColumn="0" w:lastRowLastColumn="0"/>
            <w:tcW w:w="0" w:type="auto"/>
          </w:tcPr>
          <w:p w:rsidRPr="007129C6" w:rsidR="0095088E" w:rsidP="00A32D4A" w:rsidRDefault="0095088E" w14:paraId="2CC62D55" w14:textId="77777777">
            <w:pPr>
              <w:pStyle w:val="SEOStandaard"/>
              <w:numPr>
                <w:ilvl w:val="0"/>
                <w:numId w:val="0"/>
              </w:numPr>
              <w:jc w:val="left"/>
              <w:rPr>
                <w:rFonts w:ascii="Trebuchet MS" w:hAnsi="Trebuchet MS"/>
                <w:sz w:val="18"/>
                <w:szCs w:val="18"/>
              </w:rPr>
            </w:pPr>
            <w:r w:rsidRPr="007129C6">
              <w:rPr>
                <w:rFonts w:ascii="Trebuchet MS" w:hAnsi="Trebuchet MS"/>
                <w:sz w:val="18"/>
                <w:szCs w:val="18"/>
              </w:rPr>
              <w:t>...weten de partijen in de regio elkaar beter te vinden</w:t>
            </w:r>
          </w:p>
        </w:tc>
        <w:tc>
          <w:tcPr>
            <w:tcW w:w="0" w:type="auto"/>
          </w:tcPr>
          <w:p w:rsidRPr="007129C6" w:rsidR="0095088E" w:rsidP="00FC2172" w:rsidRDefault="0095088E" w14:paraId="49C5E9A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8,1</w:t>
            </w:r>
          </w:p>
        </w:tc>
        <w:tc>
          <w:tcPr>
            <w:tcW w:w="0" w:type="auto"/>
          </w:tcPr>
          <w:p w:rsidRPr="007129C6" w:rsidR="0095088E" w:rsidP="00FC2172" w:rsidRDefault="0095088E" w14:paraId="48A161F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98%</w:t>
            </w:r>
          </w:p>
        </w:tc>
        <w:tc>
          <w:tcPr>
            <w:tcW w:w="0" w:type="auto"/>
          </w:tcPr>
          <w:p w:rsidRPr="007129C6" w:rsidR="0095088E" w:rsidP="00FC2172" w:rsidRDefault="0095088E" w14:paraId="72391B32"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8,0</w:t>
            </w:r>
          </w:p>
        </w:tc>
        <w:tc>
          <w:tcPr>
            <w:tcW w:w="0" w:type="auto"/>
          </w:tcPr>
          <w:p w:rsidRPr="007129C6" w:rsidR="0095088E" w:rsidP="00FC2172" w:rsidRDefault="0095088E" w14:paraId="13D549C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95%</w:t>
            </w:r>
          </w:p>
        </w:tc>
        <w:tc>
          <w:tcPr>
            <w:tcW w:w="0" w:type="auto"/>
          </w:tcPr>
          <w:p w:rsidRPr="007129C6" w:rsidR="0095088E" w:rsidP="00FC2172" w:rsidRDefault="0095088E" w14:paraId="787BE71A"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15%</w:t>
            </w:r>
          </w:p>
        </w:tc>
        <w:tc>
          <w:tcPr>
            <w:tcW w:w="0" w:type="auto"/>
          </w:tcPr>
          <w:p w:rsidRPr="007129C6" w:rsidR="0095088E" w:rsidP="00FC2172" w:rsidRDefault="0095088E" w14:paraId="445DB6CC"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w:t>
            </w:r>
          </w:p>
        </w:tc>
      </w:tr>
      <w:tr w:rsidRPr="007129C6" w:rsidR="0095088E" w:rsidTr="004F3881" w14:paraId="6784B4F6" w14:textId="77777777">
        <w:tc>
          <w:tcPr>
            <w:cnfStyle w:val="001000000000" w:firstRow="0" w:lastRow="0" w:firstColumn="1" w:lastColumn="0" w:oddVBand="0" w:evenVBand="0" w:oddHBand="0" w:evenHBand="0" w:firstRowFirstColumn="0" w:firstRowLastColumn="0" w:lastRowFirstColumn="0" w:lastRowLastColumn="0"/>
            <w:tcW w:w="0" w:type="auto"/>
          </w:tcPr>
          <w:p w:rsidRPr="007129C6" w:rsidR="0095088E" w:rsidP="00A32D4A" w:rsidRDefault="0095088E" w14:paraId="1382F8AD" w14:textId="77777777">
            <w:pPr>
              <w:pStyle w:val="SEOStandaard"/>
              <w:numPr>
                <w:ilvl w:val="0"/>
                <w:numId w:val="0"/>
              </w:numPr>
              <w:jc w:val="left"/>
              <w:rPr>
                <w:rFonts w:ascii="Trebuchet MS" w:hAnsi="Trebuchet MS"/>
                <w:sz w:val="18"/>
                <w:szCs w:val="18"/>
              </w:rPr>
            </w:pPr>
            <w:r w:rsidRPr="007129C6">
              <w:rPr>
                <w:rFonts w:ascii="Trebuchet MS" w:hAnsi="Trebuchet MS"/>
                <w:sz w:val="18"/>
                <w:szCs w:val="18"/>
              </w:rPr>
              <w:t>...is er in de regio meer samenhang in de bestaande initiatieven en projecten op het gebied van techniek</w:t>
            </w:r>
          </w:p>
        </w:tc>
        <w:tc>
          <w:tcPr>
            <w:tcW w:w="0" w:type="auto"/>
          </w:tcPr>
          <w:p w:rsidRPr="007129C6" w:rsidR="0095088E" w:rsidP="00FC2172" w:rsidRDefault="0095088E" w14:paraId="228ABCAC"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7,6</w:t>
            </w:r>
          </w:p>
        </w:tc>
        <w:tc>
          <w:tcPr>
            <w:tcW w:w="0" w:type="auto"/>
          </w:tcPr>
          <w:p w:rsidRPr="007129C6" w:rsidR="0095088E" w:rsidP="00FC2172" w:rsidRDefault="0095088E" w14:paraId="3F74D253"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95%</w:t>
            </w:r>
          </w:p>
        </w:tc>
        <w:tc>
          <w:tcPr>
            <w:tcW w:w="0" w:type="auto"/>
          </w:tcPr>
          <w:p w:rsidRPr="007129C6" w:rsidR="0095088E" w:rsidP="00FC2172" w:rsidRDefault="0095088E" w14:paraId="7FB58AB2"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8,1</w:t>
            </w:r>
          </w:p>
        </w:tc>
        <w:tc>
          <w:tcPr>
            <w:tcW w:w="0" w:type="auto"/>
          </w:tcPr>
          <w:p w:rsidRPr="007129C6" w:rsidR="0095088E" w:rsidP="00FC2172" w:rsidRDefault="0095088E" w14:paraId="7296D8FB"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100%</w:t>
            </w:r>
          </w:p>
        </w:tc>
        <w:tc>
          <w:tcPr>
            <w:tcW w:w="0" w:type="auto"/>
          </w:tcPr>
          <w:p w:rsidRPr="007129C6" w:rsidR="0095088E" w:rsidP="00FC2172" w:rsidRDefault="0095088E" w14:paraId="200EFB03"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5%</w:t>
            </w:r>
          </w:p>
        </w:tc>
        <w:tc>
          <w:tcPr>
            <w:tcW w:w="0" w:type="auto"/>
          </w:tcPr>
          <w:p w:rsidRPr="007129C6" w:rsidR="0095088E" w:rsidP="00FC2172" w:rsidRDefault="0095088E" w14:paraId="79C0763B"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17%</w:t>
            </w:r>
          </w:p>
        </w:tc>
      </w:tr>
      <w:tr w:rsidRPr="007129C6" w:rsidR="0095088E" w:rsidTr="004F3881" w14:paraId="1F48E49B" w14:textId="77777777">
        <w:tc>
          <w:tcPr>
            <w:cnfStyle w:val="001000000000" w:firstRow="0" w:lastRow="0" w:firstColumn="1" w:lastColumn="0" w:oddVBand="0" w:evenVBand="0" w:oddHBand="0" w:evenHBand="0" w:firstRowFirstColumn="0" w:firstRowLastColumn="0" w:lastRowFirstColumn="0" w:lastRowLastColumn="0"/>
            <w:tcW w:w="0" w:type="auto"/>
          </w:tcPr>
          <w:p w:rsidRPr="007129C6" w:rsidR="0095088E" w:rsidP="00A32D4A" w:rsidRDefault="0095088E" w14:paraId="691F2133" w14:textId="77777777">
            <w:pPr>
              <w:pStyle w:val="SEOStandaard"/>
              <w:numPr>
                <w:ilvl w:val="0"/>
                <w:numId w:val="0"/>
              </w:numPr>
              <w:jc w:val="left"/>
              <w:rPr>
                <w:rFonts w:ascii="Trebuchet MS" w:hAnsi="Trebuchet MS"/>
                <w:sz w:val="18"/>
                <w:szCs w:val="18"/>
              </w:rPr>
            </w:pPr>
            <w:r w:rsidRPr="007129C6">
              <w:rPr>
                <w:rFonts w:ascii="Trebuchet MS" w:hAnsi="Trebuchet MS"/>
                <w:sz w:val="18"/>
                <w:szCs w:val="18"/>
              </w:rPr>
              <w:t>...lukt het om ons techniekonderwijs een moderne uitstraling te geven</w:t>
            </w:r>
          </w:p>
        </w:tc>
        <w:tc>
          <w:tcPr>
            <w:tcW w:w="0" w:type="auto"/>
          </w:tcPr>
          <w:p w:rsidRPr="007129C6" w:rsidR="0095088E" w:rsidP="00FC2172" w:rsidRDefault="0095088E" w14:paraId="6A498794"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7,9</w:t>
            </w:r>
          </w:p>
        </w:tc>
        <w:tc>
          <w:tcPr>
            <w:tcW w:w="0" w:type="auto"/>
          </w:tcPr>
          <w:p w:rsidRPr="007129C6" w:rsidR="0095088E" w:rsidP="00FC2172" w:rsidRDefault="0095088E" w14:paraId="21E321B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100%</w:t>
            </w:r>
          </w:p>
        </w:tc>
        <w:tc>
          <w:tcPr>
            <w:tcW w:w="0" w:type="auto"/>
          </w:tcPr>
          <w:p w:rsidRPr="007129C6" w:rsidR="0095088E" w:rsidP="00FC2172" w:rsidRDefault="0095088E" w14:paraId="21923BDC"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8,0</w:t>
            </w:r>
          </w:p>
        </w:tc>
        <w:tc>
          <w:tcPr>
            <w:tcW w:w="0" w:type="auto"/>
          </w:tcPr>
          <w:p w:rsidRPr="007129C6" w:rsidR="0095088E" w:rsidP="00FC2172" w:rsidRDefault="0095088E" w14:paraId="020F257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98%</w:t>
            </w:r>
          </w:p>
        </w:tc>
        <w:tc>
          <w:tcPr>
            <w:tcW w:w="0" w:type="auto"/>
          </w:tcPr>
          <w:p w:rsidRPr="007129C6" w:rsidR="0095088E" w:rsidP="00FC2172" w:rsidRDefault="0095088E" w14:paraId="1A1DF997"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10%</w:t>
            </w:r>
          </w:p>
        </w:tc>
        <w:tc>
          <w:tcPr>
            <w:tcW w:w="0" w:type="auto"/>
          </w:tcPr>
          <w:p w:rsidRPr="007129C6" w:rsidR="0095088E" w:rsidP="00FC2172" w:rsidRDefault="0095088E" w14:paraId="0AFCCCC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20%</w:t>
            </w:r>
          </w:p>
        </w:tc>
      </w:tr>
      <w:tr w:rsidRPr="007129C6" w:rsidR="0095088E" w:rsidTr="004F3881" w14:paraId="5F646CFB" w14:textId="77777777">
        <w:tc>
          <w:tcPr>
            <w:cnfStyle w:val="001000000000" w:firstRow="0" w:lastRow="0" w:firstColumn="1" w:lastColumn="0" w:oddVBand="0" w:evenVBand="0" w:oddHBand="0" w:evenHBand="0" w:firstRowFirstColumn="0" w:firstRowLastColumn="0" w:lastRowFirstColumn="0" w:lastRowLastColumn="0"/>
            <w:tcW w:w="0" w:type="auto"/>
          </w:tcPr>
          <w:p w:rsidRPr="007129C6" w:rsidR="0095088E" w:rsidP="00A32D4A" w:rsidRDefault="0095088E" w14:paraId="4A76E0E1" w14:textId="77777777">
            <w:pPr>
              <w:pStyle w:val="SEOStandaard"/>
              <w:numPr>
                <w:ilvl w:val="0"/>
                <w:numId w:val="0"/>
              </w:numPr>
              <w:jc w:val="left"/>
              <w:rPr>
                <w:rFonts w:ascii="Trebuchet MS" w:hAnsi="Trebuchet MS"/>
                <w:sz w:val="18"/>
                <w:szCs w:val="18"/>
              </w:rPr>
            </w:pPr>
            <w:r w:rsidRPr="007129C6">
              <w:rPr>
                <w:rFonts w:ascii="Trebuchet MS" w:hAnsi="Trebuchet MS"/>
                <w:sz w:val="18"/>
                <w:szCs w:val="18"/>
              </w:rPr>
              <w:t>...is er in onze regio meer buitenschools leren</w:t>
            </w:r>
          </w:p>
        </w:tc>
        <w:tc>
          <w:tcPr>
            <w:tcW w:w="0" w:type="auto"/>
          </w:tcPr>
          <w:p w:rsidRPr="007129C6" w:rsidR="0095088E" w:rsidP="00FC2172" w:rsidRDefault="0095088E" w14:paraId="4D9DF805"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7,3</w:t>
            </w:r>
          </w:p>
        </w:tc>
        <w:tc>
          <w:tcPr>
            <w:tcW w:w="0" w:type="auto"/>
          </w:tcPr>
          <w:p w:rsidRPr="007129C6" w:rsidR="0095088E" w:rsidP="00FC2172" w:rsidRDefault="0095088E" w14:paraId="4040C151"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90%</w:t>
            </w:r>
          </w:p>
        </w:tc>
        <w:tc>
          <w:tcPr>
            <w:tcW w:w="0" w:type="auto"/>
          </w:tcPr>
          <w:p w:rsidRPr="007129C6" w:rsidR="0095088E" w:rsidP="00FC2172" w:rsidRDefault="0095088E" w14:paraId="0F4510AD"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7,6</w:t>
            </w:r>
          </w:p>
        </w:tc>
        <w:tc>
          <w:tcPr>
            <w:tcW w:w="0" w:type="auto"/>
          </w:tcPr>
          <w:p w:rsidRPr="007129C6" w:rsidR="0095088E" w:rsidP="00FC2172" w:rsidRDefault="0095088E" w14:paraId="679D84ED"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95%</w:t>
            </w:r>
          </w:p>
        </w:tc>
        <w:tc>
          <w:tcPr>
            <w:tcW w:w="0" w:type="auto"/>
          </w:tcPr>
          <w:p w:rsidRPr="007129C6" w:rsidR="0095088E" w:rsidP="00FC2172" w:rsidRDefault="0095088E" w14:paraId="21016E43"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17%</w:t>
            </w:r>
          </w:p>
        </w:tc>
        <w:tc>
          <w:tcPr>
            <w:tcW w:w="0" w:type="auto"/>
          </w:tcPr>
          <w:p w:rsidRPr="007129C6" w:rsidR="0095088E" w:rsidP="00FC2172" w:rsidRDefault="0095088E" w14:paraId="4EEFC4F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24%</w:t>
            </w:r>
          </w:p>
        </w:tc>
      </w:tr>
      <w:tr w:rsidRPr="007129C6" w:rsidR="0095088E" w:rsidTr="004F3881" w14:paraId="429272CC" w14:textId="77777777">
        <w:tc>
          <w:tcPr>
            <w:cnfStyle w:val="001000000000" w:firstRow="0" w:lastRow="0" w:firstColumn="1" w:lastColumn="0" w:oddVBand="0" w:evenVBand="0" w:oddHBand="0" w:evenHBand="0" w:firstRowFirstColumn="0" w:firstRowLastColumn="0" w:lastRowFirstColumn="0" w:lastRowLastColumn="0"/>
            <w:tcW w:w="0" w:type="auto"/>
          </w:tcPr>
          <w:p w:rsidRPr="007129C6" w:rsidR="0095088E" w:rsidP="00A32D4A" w:rsidRDefault="0095088E" w14:paraId="2AB5C1EF" w14:textId="77777777">
            <w:pPr>
              <w:pStyle w:val="SEOStandaard"/>
              <w:numPr>
                <w:ilvl w:val="0"/>
                <w:numId w:val="0"/>
              </w:numPr>
              <w:jc w:val="left"/>
              <w:rPr>
                <w:rFonts w:ascii="Trebuchet MS" w:hAnsi="Trebuchet MS"/>
                <w:sz w:val="18"/>
                <w:szCs w:val="18"/>
              </w:rPr>
            </w:pPr>
            <w:r w:rsidRPr="007129C6">
              <w:rPr>
                <w:rFonts w:ascii="Trebuchet MS" w:hAnsi="Trebuchet MS"/>
                <w:sz w:val="18"/>
                <w:szCs w:val="18"/>
              </w:rPr>
              <w:t>...zijn er in de regio afspraken tussen scholen die doorwerken in de organisatie van de scholen (bijv. gelijkschakelen roosters)</w:t>
            </w:r>
          </w:p>
        </w:tc>
        <w:tc>
          <w:tcPr>
            <w:tcW w:w="0" w:type="auto"/>
          </w:tcPr>
          <w:p w:rsidRPr="007129C6" w:rsidR="0095088E" w:rsidP="00FC2172" w:rsidRDefault="0095088E" w14:paraId="19DDC51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5,0*</w:t>
            </w:r>
          </w:p>
        </w:tc>
        <w:tc>
          <w:tcPr>
            <w:tcW w:w="0" w:type="auto"/>
          </w:tcPr>
          <w:p w:rsidRPr="007129C6" w:rsidR="0095088E" w:rsidP="00FC2172" w:rsidRDefault="0095088E" w14:paraId="6BDFDAD3"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49%</w:t>
            </w:r>
          </w:p>
        </w:tc>
        <w:tc>
          <w:tcPr>
            <w:tcW w:w="0" w:type="auto"/>
          </w:tcPr>
          <w:p w:rsidRPr="007129C6" w:rsidR="0095088E" w:rsidP="00FC2172" w:rsidRDefault="0095088E" w14:paraId="05DAC312"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6,3</w:t>
            </w:r>
          </w:p>
        </w:tc>
        <w:tc>
          <w:tcPr>
            <w:tcW w:w="0" w:type="auto"/>
          </w:tcPr>
          <w:p w:rsidRPr="007129C6" w:rsidR="0095088E" w:rsidP="00FC2172" w:rsidRDefault="0095088E" w14:paraId="347A4B1A"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68%</w:t>
            </w:r>
          </w:p>
        </w:tc>
        <w:tc>
          <w:tcPr>
            <w:tcW w:w="0" w:type="auto"/>
          </w:tcPr>
          <w:p w:rsidRPr="007129C6" w:rsidR="0095088E" w:rsidP="00FC2172" w:rsidRDefault="0095088E" w14:paraId="529FFBD0"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17%</w:t>
            </w:r>
          </w:p>
        </w:tc>
        <w:tc>
          <w:tcPr>
            <w:tcW w:w="0" w:type="auto"/>
          </w:tcPr>
          <w:p w:rsidRPr="007129C6" w:rsidR="0095088E" w:rsidP="00FC2172" w:rsidRDefault="0095088E" w14:paraId="5E8C2C75"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44%</w:t>
            </w:r>
          </w:p>
        </w:tc>
      </w:tr>
      <w:tr w:rsidRPr="007129C6" w:rsidR="0095088E" w:rsidTr="004F3881" w14:paraId="3B5B68A7" w14:textId="77777777">
        <w:tc>
          <w:tcPr>
            <w:cnfStyle w:val="001000000000" w:firstRow="0" w:lastRow="0" w:firstColumn="1" w:lastColumn="0" w:oddVBand="0" w:evenVBand="0" w:oddHBand="0" w:evenHBand="0" w:firstRowFirstColumn="0" w:firstRowLastColumn="0" w:lastRowFirstColumn="0" w:lastRowLastColumn="0"/>
            <w:tcW w:w="0" w:type="auto"/>
          </w:tcPr>
          <w:p w:rsidRPr="007129C6" w:rsidR="0095088E" w:rsidP="00A32D4A" w:rsidRDefault="0095088E" w14:paraId="074AE457" w14:textId="77777777">
            <w:pPr>
              <w:pStyle w:val="SEOStandaard"/>
              <w:numPr>
                <w:ilvl w:val="0"/>
                <w:numId w:val="0"/>
              </w:numPr>
              <w:jc w:val="left"/>
              <w:rPr>
                <w:rFonts w:ascii="Trebuchet MS" w:hAnsi="Trebuchet MS"/>
                <w:sz w:val="18"/>
                <w:szCs w:val="18"/>
              </w:rPr>
            </w:pPr>
            <w:r w:rsidRPr="007129C6">
              <w:rPr>
                <w:rFonts w:ascii="Trebuchet MS" w:hAnsi="Trebuchet MS"/>
                <w:sz w:val="18"/>
                <w:szCs w:val="18"/>
              </w:rPr>
              <w:t>...is er kennisdeling tussen de betrokken actoren in de regio</w:t>
            </w:r>
          </w:p>
        </w:tc>
        <w:tc>
          <w:tcPr>
            <w:tcW w:w="0" w:type="auto"/>
          </w:tcPr>
          <w:p w:rsidRPr="007129C6" w:rsidR="0095088E" w:rsidP="00FC2172" w:rsidRDefault="0095088E" w14:paraId="5F26841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7,1</w:t>
            </w:r>
          </w:p>
        </w:tc>
        <w:tc>
          <w:tcPr>
            <w:tcW w:w="0" w:type="auto"/>
          </w:tcPr>
          <w:p w:rsidRPr="007129C6" w:rsidR="0095088E" w:rsidP="00FC2172" w:rsidRDefault="0095088E" w14:paraId="63A75AAC"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90%</w:t>
            </w:r>
          </w:p>
        </w:tc>
        <w:tc>
          <w:tcPr>
            <w:tcW w:w="0" w:type="auto"/>
          </w:tcPr>
          <w:p w:rsidRPr="007129C6" w:rsidR="0095088E" w:rsidP="00FC2172" w:rsidRDefault="0095088E" w14:paraId="264E6847"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7,7</w:t>
            </w:r>
          </w:p>
        </w:tc>
        <w:tc>
          <w:tcPr>
            <w:tcW w:w="0" w:type="auto"/>
          </w:tcPr>
          <w:p w:rsidRPr="007129C6" w:rsidR="0095088E" w:rsidP="00FC2172" w:rsidRDefault="0095088E" w14:paraId="290345EF"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98%</w:t>
            </w:r>
          </w:p>
        </w:tc>
        <w:tc>
          <w:tcPr>
            <w:tcW w:w="0" w:type="auto"/>
          </w:tcPr>
          <w:p w:rsidRPr="007129C6" w:rsidR="0095088E" w:rsidP="00FC2172" w:rsidRDefault="0095088E" w14:paraId="7D9EA901"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10%</w:t>
            </w:r>
          </w:p>
        </w:tc>
        <w:tc>
          <w:tcPr>
            <w:tcW w:w="0" w:type="auto"/>
          </w:tcPr>
          <w:p w:rsidRPr="007129C6" w:rsidR="0095088E" w:rsidP="00FC2172" w:rsidRDefault="0095088E" w14:paraId="4AC67AA2"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34%</w:t>
            </w:r>
          </w:p>
        </w:tc>
      </w:tr>
      <w:tr w:rsidRPr="007129C6" w:rsidR="0095088E" w:rsidTr="004F3881" w14:paraId="793ED4C6" w14:textId="77777777">
        <w:tc>
          <w:tcPr>
            <w:cnfStyle w:val="001000000000" w:firstRow="0" w:lastRow="0" w:firstColumn="1" w:lastColumn="0" w:oddVBand="0" w:evenVBand="0" w:oddHBand="0" w:evenHBand="0" w:firstRowFirstColumn="0" w:firstRowLastColumn="0" w:lastRowFirstColumn="0" w:lastRowLastColumn="0"/>
            <w:tcW w:w="0" w:type="auto"/>
          </w:tcPr>
          <w:p w:rsidRPr="007129C6" w:rsidR="0095088E" w:rsidP="00A32D4A" w:rsidRDefault="0095088E" w14:paraId="3CCA934E" w14:textId="77777777">
            <w:pPr>
              <w:pStyle w:val="SEOStandaard"/>
              <w:numPr>
                <w:ilvl w:val="0"/>
                <w:numId w:val="0"/>
              </w:numPr>
              <w:jc w:val="left"/>
              <w:rPr>
                <w:rFonts w:ascii="Trebuchet MS" w:hAnsi="Trebuchet MS"/>
                <w:sz w:val="18"/>
                <w:szCs w:val="18"/>
              </w:rPr>
            </w:pPr>
            <w:r w:rsidRPr="007129C6">
              <w:rPr>
                <w:rFonts w:ascii="Trebuchet MS" w:hAnsi="Trebuchet MS"/>
                <w:sz w:val="18"/>
                <w:szCs w:val="18"/>
              </w:rPr>
              <w:t>...is er een breder beeld van techniek en de mogelijkheden van techniek</w:t>
            </w:r>
          </w:p>
        </w:tc>
        <w:tc>
          <w:tcPr>
            <w:tcW w:w="0" w:type="auto"/>
          </w:tcPr>
          <w:p w:rsidRPr="007129C6" w:rsidR="0095088E" w:rsidP="00FC2172" w:rsidRDefault="0095088E" w14:paraId="4281D97F"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7,4</w:t>
            </w:r>
          </w:p>
        </w:tc>
        <w:tc>
          <w:tcPr>
            <w:tcW w:w="0" w:type="auto"/>
          </w:tcPr>
          <w:p w:rsidRPr="007129C6" w:rsidR="0095088E" w:rsidP="00FC2172" w:rsidRDefault="0095088E" w14:paraId="0A81C5E4"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95%</w:t>
            </w:r>
          </w:p>
        </w:tc>
        <w:tc>
          <w:tcPr>
            <w:tcW w:w="0" w:type="auto"/>
          </w:tcPr>
          <w:p w:rsidRPr="007129C6" w:rsidR="0095088E" w:rsidP="00FC2172" w:rsidRDefault="0095088E" w14:paraId="2F916CC2"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7,8</w:t>
            </w:r>
          </w:p>
        </w:tc>
        <w:tc>
          <w:tcPr>
            <w:tcW w:w="0" w:type="auto"/>
          </w:tcPr>
          <w:p w:rsidRPr="007129C6" w:rsidR="0095088E" w:rsidP="00FC2172" w:rsidRDefault="0095088E" w14:paraId="79061967"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95%</w:t>
            </w:r>
          </w:p>
        </w:tc>
        <w:tc>
          <w:tcPr>
            <w:tcW w:w="0" w:type="auto"/>
          </w:tcPr>
          <w:p w:rsidRPr="007129C6" w:rsidR="0095088E" w:rsidP="00FC2172" w:rsidRDefault="0095088E" w14:paraId="7A0976D5"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w:t>
            </w:r>
          </w:p>
        </w:tc>
        <w:tc>
          <w:tcPr>
            <w:tcW w:w="0" w:type="auto"/>
          </w:tcPr>
          <w:p w:rsidRPr="007129C6" w:rsidR="0095088E" w:rsidP="00FC2172" w:rsidRDefault="0095088E" w14:paraId="5820B14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20%</w:t>
            </w:r>
          </w:p>
        </w:tc>
      </w:tr>
      <w:tr w:rsidRPr="007129C6" w:rsidR="0095088E" w:rsidTr="004F3881" w14:paraId="28B61969" w14:textId="77777777">
        <w:tc>
          <w:tcPr>
            <w:cnfStyle w:val="001000000000" w:firstRow="0" w:lastRow="0" w:firstColumn="1" w:lastColumn="0" w:oddVBand="0" w:evenVBand="0" w:oddHBand="0" w:evenHBand="0" w:firstRowFirstColumn="0" w:firstRowLastColumn="0" w:lastRowFirstColumn="0" w:lastRowLastColumn="0"/>
            <w:tcW w:w="0" w:type="auto"/>
          </w:tcPr>
          <w:p w:rsidRPr="007129C6" w:rsidR="0095088E" w:rsidP="00A32D4A" w:rsidRDefault="0095088E" w14:paraId="7A75AF28" w14:textId="77777777">
            <w:pPr>
              <w:pStyle w:val="SEOStandaard"/>
              <w:numPr>
                <w:ilvl w:val="0"/>
                <w:numId w:val="0"/>
              </w:numPr>
              <w:jc w:val="left"/>
              <w:rPr>
                <w:rFonts w:ascii="Trebuchet MS" w:hAnsi="Trebuchet MS"/>
                <w:sz w:val="18"/>
                <w:szCs w:val="18"/>
              </w:rPr>
            </w:pPr>
            <w:r w:rsidRPr="007129C6">
              <w:rPr>
                <w:rFonts w:ascii="Trebuchet MS" w:hAnsi="Trebuchet MS"/>
                <w:sz w:val="18"/>
                <w:szCs w:val="18"/>
              </w:rPr>
              <w:t>...staan de (leer)loopbanen van leerlingen door de keten heen centraler</w:t>
            </w:r>
          </w:p>
        </w:tc>
        <w:tc>
          <w:tcPr>
            <w:tcW w:w="0" w:type="auto"/>
          </w:tcPr>
          <w:p w:rsidRPr="007129C6" w:rsidR="0095088E" w:rsidP="00FC2172" w:rsidRDefault="0095088E" w14:paraId="0FCD7BDC"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6,6*</w:t>
            </w:r>
          </w:p>
        </w:tc>
        <w:tc>
          <w:tcPr>
            <w:tcW w:w="0" w:type="auto"/>
          </w:tcPr>
          <w:p w:rsidRPr="007129C6" w:rsidR="0095088E" w:rsidP="00FC2172" w:rsidRDefault="0095088E" w14:paraId="591550C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76%*</w:t>
            </w:r>
          </w:p>
        </w:tc>
        <w:tc>
          <w:tcPr>
            <w:tcW w:w="0" w:type="auto"/>
          </w:tcPr>
          <w:p w:rsidRPr="007129C6" w:rsidR="0095088E" w:rsidP="00FC2172" w:rsidRDefault="0095088E" w14:paraId="21C9DD48"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7,4</w:t>
            </w:r>
          </w:p>
        </w:tc>
        <w:tc>
          <w:tcPr>
            <w:tcW w:w="0" w:type="auto"/>
          </w:tcPr>
          <w:p w:rsidRPr="007129C6" w:rsidR="0095088E" w:rsidP="00FC2172" w:rsidRDefault="0095088E" w14:paraId="583AE2F4"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98%</w:t>
            </w:r>
          </w:p>
        </w:tc>
        <w:tc>
          <w:tcPr>
            <w:tcW w:w="0" w:type="auto"/>
          </w:tcPr>
          <w:p w:rsidRPr="007129C6" w:rsidR="0095088E" w:rsidP="00FC2172" w:rsidRDefault="0095088E" w14:paraId="662195A3"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w:t>
            </w:r>
          </w:p>
        </w:tc>
        <w:tc>
          <w:tcPr>
            <w:tcW w:w="0" w:type="auto"/>
          </w:tcPr>
          <w:p w:rsidRPr="007129C6" w:rsidR="0095088E" w:rsidP="00FC2172" w:rsidRDefault="0095088E" w14:paraId="317676B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29%</w:t>
            </w:r>
          </w:p>
        </w:tc>
      </w:tr>
    </w:tbl>
    <w:p w:rsidRPr="00283B39" w:rsidR="0095088E" w:rsidP="00283B39" w:rsidRDefault="00B943E1" w14:paraId="6CF9A86F" w14:textId="1FA7FC74">
      <w:pPr>
        <w:pStyle w:val="SEOBron"/>
        <w:numPr>
          <w:ilvl w:val="0"/>
          <w:numId w:val="0"/>
        </w:numPr>
        <w:rPr>
          <w:rFonts w:ascii="Trebuchet MS" w:hAnsi="Trebuchet MS"/>
          <w:color w:val="auto"/>
          <w:szCs w:val="18"/>
        </w:rPr>
      </w:pPr>
      <w:r w:rsidRPr="00283B39">
        <w:rPr>
          <w:rFonts w:ascii="Trebuchet MS" w:hAnsi="Trebuchet MS"/>
          <w:color w:val="auto"/>
          <w:szCs w:val="18"/>
        </w:rPr>
        <w:t xml:space="preserve">Bron: </w:t>
      </w:r>
      <w:r w:rsidRPr="00283B39" w:rsidR="0095088E">
        <w:rPr>
          <w:rFonts w:ascii="Trebuchet MS" w:hAnsi="Trebuchet MS"/>
          <w:color w:val="auto"/>
          <w:szCs w:val="18"/>
        </w:rPr>
        <w:t>Enquête programmaleiders STO (voorjaar 2025 &amp; voorjaar 2021). Gemiddelden en percentages voor 2025 die voorzien zijn van een “*” verschillen significant ten opzichte van 2021.</w:t>
      </w:r>
    </w:p>
    <w:p w:rsidRPr="00283B39" w:rsidR="0095088E" w:rsidP="0095088E" w:rsidRDefault="0095088E" w14:paraId="13CAFBF9" w14:textId="77777777">
      <w:pPr>
        <w:pStyle w:val="SEOStandaard"/>
        <w:rPr>
          <w:rFonts w:ascii="Trebuchet MS" w:hAnsi="Trebuchet MS"/>
          <w:color w:val="auto"/>
          <w:sz w:val="18"/>
          <w:szCs w:val="18"/>
        </w:rPr>
      </w:pPr>
      <w:r w:rsidRPr="00283B39">
        <w:rPr>
          <w:rFonts w:ascii="Trebuchet MS" w:hAnsi="Trebuchet MS"/>
          <w:color w:val="auto"/>
          <w:sz w:val="18"/>
          <w:szCs w:val="18"/>
        </w:rPr>
        <w:lastRenderedPageBreak/>
        <w:t xml:space="preserve">Er zijn relatief hoge gemiddelde cijfers en percentage voldoendes voor de aspecten dat partijen in de regio elkaar beter weten te vinden (8,1 en 98 procent voldoende), techniekonderwijs een moderne uitstraling geven (7,9 en 100 procent voldoende), meer samenhang in de regio tussen bestaande initiatieven en projecten op het gebied van techniek (7,6 en 95 procent voldoende), en breder beeld van techniek en de mogelijkheden van techniek (7,4 en 95 procent voldoende). Die aspecten scoorden in 2021 ook al relatief hoog of hoger. </w:t>
      </w:r>
    </w:p>
    <w:p w:rsidRPr="00283B39" w:rsidR="0095088E" w:rsidP="0095088E" w:rsidRDefault="0095088E" w14:paraId="2817AFE3" w14:textId="77777777">
      <w:pPr>
        <w:pStyle w:val="SEOStandaard"/>
        <w:numPr>
          <w:ilvl w:val="0"/>
          <w:numId w:val="0"/>
        </w:numPr>
        <w:rPr>
          <w:rFonts w:ascii="Trebuchet MS" w:hAnsi="Trebuchet MS"/>
          <w:color w:val="auto"/>
          <w:sz w:val="18"/>
          <w:szCs w:val="18"/>
        </w:rPr>
      </w:pPr>
    </w:p>
    <w:p w:rsidRPr="00283B39" w:rsidR="0095088E" w:rsidP="0095088E" w:rsidRDefault="0095088E" w14:paraId="6D3132EE" w14:textId="77777777">
      <w:pPr>
        <w:pStyle w:val="SEOStandaard"/>
        <w:rPr>
          <w:rFonts w:ascii="Trebuchet MS" w:hAnsi="Trebuchet MS"/>
          <w:color w:val="auto"/>
          <w:sz w:val="18"/>
          <w:szCs w:val="18"/>
        </w:rPr>
      </w:pPr>
      <w:r w:rsidRPr="00283B39">
        <w:rPr>
          <w:rFonts w:ascii="Trebuchet MS" w:hAnsi="Trebuchet MS"/>
          <w:color w:val="auto"/>
          <w:sz w:val="18"/>
          <w:szCs w:val="18"/>
        </w:rPr>
        <w:t xml:space="preserve">De laagste gemiddelde cijfers zijn er bij de aspecten: afspraken in de regio tussen scholen die doorwerken in de organisatie van de scholen (5,0), afspraken over de verdeling en gezamenlijke benutting van faciliteiten/inventaris/apparatuur (5,9) en het centraler door de keten heen stellen van de (leer)loopbanen van leerlingen (6,6). Al deze cijfers liggen significant lager in vergelijking met 2021 en eerstgenoemde (regionale afspraken over organisatie tussen vmbo-scholen) is zelfs een onvoldoende geworden. </w:t>
      </w:r>
    </w:p>
    <w:p w:rsidRPr="00283B39" w:rsidR="0095088E" w:rsidP="0095088E" w:rsidRDefault="0095088E" w14:paraId="774BF59A" w14:textId="77777777">
      <w:pPr>
        <w:pStyle w:val="SEOStandaard"/>
        <w:rPr>
          <w:rFonts w:ascii="Trebuchet MS" w:hAnsi="Trebuchet MS"/>
          <w:color w:val="auto"/>
          <w:sz w:val="18"/>
          <w:szCs w:val="18"/>
        </w:rPr>
      </w:pPr>
    </w:p>
    <w:p w:rsidRPr="00283B39" w:rsidR="0095088E" w:rsidP="0095088E" w:rsidRDefault="0095088E" w14:paraId="137BCC80" w14:textId="77777777">
      <w:pPr>
        <w:pStyle w:val="SEOStandaard"/>
        <w:rPr>
          <w:rFonts w:ascii="Trebuchet MS" w:hAnsi="Trebuchet MS"/>
          <w:color w:val="auto"/>
          <w:sz w:val="18"/>
          <w:szCs w:val="18"/>
        </w:rPr>
      </w:pPr>
      <w:r w:rsidRPr="00283B39">
        <w:rPr>
          <w:rFonts w:ascii="Trebuchet MS" w:hAnsi="Trebuchet MS"/>
          <w:color w:val="auto"/>
          <w:sz w:val="18"/>
          <w:szCs w:val="18"/>
        </w:rPr>
        <w:t xml:space="preserve">De percentages voldoende (derde en vijfde kolom) zijn het laagst bij de terreinen: afspraken in de regio tussen scholen die doorwerken in de organisatie van de scholen (bijna 5 op de 10) en afspraken over de verdeling en gezamenlijke benutting van faciliteiten/inventaris/apparatuur (bijna 7 op de 10 en tevens significant afgenomen ten opzichte van 2021). Andere significante afnames in vergelijking met 2021 zijn zichtbaar bij de terreinen: regionale verschuiving in het denken in individuele schoolbelangen naar een gesprek over het regiobelang en -aanbod (van 90 naar 71 procent), afspraken over de verdeling en gezamenlijke benutting van faciliteiten/inventaris/apparatuur (van 90 naar 66 procent) en het centraler door de keten heen stellen van de (leer)loopbanen van leerlingen (van 98 naar 76 procent). </w:t>
      </w:r>
    </w:p>
    <w:p w:rsidRPr="00283B39" w:rsidR="0095088E" w:rsidP="0095088E" w:rsidRDefault="0095088E" w14:paraId="589967EE" w14:textId="77777777">
      <w:pPr>
        <w:pStyle w:val="SEOOpsommingBulletL2"/>
        <w:numPr>
          <w:ilvl w:val="0"/>
          <w:numId w:val="0"/>
        </w:numPr>
        <w:ind w:left="397"/>
        <w:rPr>
          <w:rFonts w:ascii="Trebuchet MS" w:hAnsi="Trebuchet MS"/>
          <w:color w:val="auto"/>
          <w:sz w:val="18"/>
          <w:szCs w:val="18"/>
        </w:rPr>
      </w:pPr>
    </w:p>
    <w:p w:rsidRPr="00283B39" w:rsidR="0095088E" w:rsidP="0095088E" w:rsidRDefault="0095088E" w14:paraId="1035094E" w14:textId="77777777">
      <w:pPr>
        <w:pStyle w:val="SEOStandaard"/>
        <w:rPr>
          <w:rFonts w:ascii="Trebuchet MS" w:hAnsi="Trebuchet MS"/>
          <w:color w:val="auto"/>
          <w:sz w:val="18"/>
          <w:szCs w:val="18"/>
        </w:rPr>
      </w:pPr>
      <w:r w:rsidRPr="00283B39">
        <w:rPr>
          <w:rFonts w:ascii="Trebuchet MS" w:hAnsi="Trebuchet MS"/>
          <w:color w:val="auto"/>
          <w:sz w:val="18"/>
          <w:szCs w:val="18"/>
        </w:rPr>
        <w:t xml:space="preserve">Het verschil tussen de cijfers van 2025 en 2021 (zesde kolom) is twee punten of meer </w:t>
      </w:r>
      <w:r w:rsidRPr="00283B39">
        <w:rPr>
          <w:rFonts w:ascii="Trebuchet MS" w:hAnsi="Trebuchet MS"/>
          <w:i/>
          <w:color w:val="auto"/>
          <w:sz w:val="18"/>
          <w:szCs w:val="18"/>
        </w:rPr>
        <w:t>hoger</w:t>
      </w:r>
      <w:r w:rsidRPr="00283B39">
        <w:rPr>
          <w:rFonts w:ascii="Trebuchet MS" w:hAnsi="Trebuchet MS"/>
          <w:color w:val="auto"/>
          <w:sz w:val="18"/>
          <w:szCs w:val="18"/>
        </w:rPr>
        <w:t xml:space="preserve"> bij een vijfde van de programmaleiders als het gaat om de waardering van het vmbo in het algemeen. Het verschil tussen de cijfers van 2025 en 2021 is echter twee punten of meer </w:t>
      </w:r>
      <w:r w:rsidRPr="00283B39">
        <w:rPr>
          <w:rFonts w:ascii="Trebuchet MS" w:hAnsi="Trebuchet MS"/>
          <w:i/>
          <w:color w:val="auto"/>
          <w:sz w:val="18"/>
          <w:szCs w:val="18"/>
        </w:rPr>
        <w:t>lager</w:t>
      </w:r>
      <w:r w:rsidRPr="00283B39">
        <w:rPr>
          <w:rFonts w:ascii="Trebuchet MS" w:hAnsi="Trebuchet MS"/>
          <w:color w:val="auto"/>
          <w:sz w:val="18"/>
          <w:szCs w:val="18"/>
        </w:rPr>
        <w:t xml:space="preserve"> (zevende kolom) bij meer dan 40 procent van de programmaleiders als het gaat om regionale afspraken tussen scholen die doorwerken in de organisatie van scholen. Ook op de vijf andere aspecten zien we dat een derde van de programmaleiders minimaal twee punten lager beoordelen. </w:t>
      </w:r>
    </w:p>
    <w:p w:rsidRPr="007129C6" w:rsidR="0095088E" w:rsidP="0095088E" w:rsidRDefault="0095088E" w14:paraId="5DB2A1C4" w14:textId="77777777">
      <w:pPr>
        <w:pStyle w:val="Lijstalinea"/>
        <w:rPr>
          <w:szCs w:val="18"/>
        </w:rPr>
      </w:pPr>
    </w:p>
    <w:p w:rsidRPr="007129C6" w:rsidR="0095088E" w:rsidP="0095088E" w:rsidRDefault="0095088E" w14:paraId="28F4D165" w14:textId="75A3C89C">
      <w:pPr>
        <w:rPr>
          <w:szCs w:val="18"/>
        </w:rPr>
      </w:pPr>
      <w:r w:rsidRPr="007129C6">
        <w:rPr>
          <w:szCs w:val="18"/>
        </w:rPr>
        <w:t>Bij de vergelijking over tijd tussen 2021, 2024 en 2025</w:t>
      </w:r>
      <w:r w:rsidRPr="007129C6">
        <w:rPr>
          <w:rStyle w:val="Voetnootmarkering"/>
          <w:szCs w:val="18"/>
        </w:rPr>
        <w:footnoteReference w:id="6"/>
      </w:r>
      <w:r w:rsidRPr="007129C6">
        <w:rPr>
          <w:szCs w:val="18"/>
        </w:rPr>
        <w:t xml:space="preserve"> , waarbij alle jaren mee worden genomen (zie </w:t>
      </w:r>
      <w:r w:rsidR="00012D6B">
        <w:rPr>
          <w:szCs w:val="18"/>
        </w:rPr>
        <w:t>B</w:t>
      </w:r>
      <w:r w:rsidRPr="007129C6">
        <w:rPr>
          <w:szCs w:val="18"/>
        </w:rPr>
        <w:t xml:space="preserve">ijlage </w:t>
      </w:r>
      <w:r w:rsidR="00012D6B">
        <w:rPr>
          <w:szCs w:val="18"/>
        </w:rPr>
        <w:t xml:space="preserve">1, </w:t>
      </w:r>
      <w:r w:rsidRPr="007129C6">
        <w:rPr>
          <w:szCs w:val="18"/>
        </w:rPr>
        <w:t xml:space="preserve">tabel </w:t>
      </w:r>
      <w:r w:rsidR="003E069B">
        <w:rPr>
          <w:szCs w:val="18"/>
        </w:rPr>
        <w:t>B1</w:t>
      </w:r>
      <w:r w:rsidR="00962ED2">
        <w:rPr>
          <w:szCs w:val="18"/>
        </w:rPr>
        <w:t>.5</w:t>
      </w:r>
      <w:r w:rsidRPr="007129C6">
        <w:rPr>
          <w:szCs w:val="18"/>
        </w:rPr>
        <w:t xml:space="preserve">), geven programmaleiders in 2025 ook duidelijk lagere cijfers en lagere percentages voldoendes op verschillende aspecten van STO, zoals afspraken tussen scholen, gezamenlijke benutting van faciliteiten en het centraal stellen van (leer)loopbanen. Deze terugval van 2024 naar 2025 duidt erop dat 2025 een omslagpunt vormt, in ieder geval voor de 29 programmaleiders die in alle drie de jaren de enquête hebben ingevuld, mogelijk doordat programmaleiders </w:t>
      </w:r>
      <w:r w:rsidRPr="007129C6">
        <w:rPr>
          <w:i/>
          <w:iCs/>
          <w:szCs w:val="18"/>
        </w:rPr>
        <w:t>kritischer</w:t>
      </w:r>
      <w:r w:rsidRPr="007129C6">
        <w:rPr>
          <w:szCs w:val="18"/>
        </w:rPr>
        <w:t xml:space="preserve"> zijn geworden of hogere verwachtingen hebben na vijf jaar STO. Ook is het mogelijk dat programmaleiders zijn gewisseld en het dus om andere personen met een eigen visie gaat. </w:t>
      </w:r>
    </w:p>
    <w:p w:rsidRPr="007129C6" w:rsidR="0095088E" w:rsidP="0095088E" w:rsidRDefault="0095088E" w14:paraId="5311C677" w14:textId="77777777">
      <w:pPr>
        <w:pStyle w:val="SEOStandaard"/>
        <w:rPr>
          <w:rFonts w:ascii="Trebuchet MS" w:hAnsi="Trebuchet MS"/>
          <w:sz w:val="18"/>
          <w:szCs w:val="18"/>
        </w:rPr>
      </w:pPr>
    </w:p>
    <w:p w:rsidR="0095088E" w:rsidP="0095088E" w:rsidRDefault="0095088E" w14:paraId="6BF7949A" w14:textId="77777777">
      <w:pPr>
        <w:rPr>
          <w:szCs w:val="18"/>
        </w:rPr>
      </w:pPr>
      <w:bookmarkStart w:name="_Hlk199167987" w:id="42"/>
      <w:r w:rsidRPr="007129C6">
        <w:rPr>
          <w:szCs w:val="18"/>
        </w:rPr>
        <w:t>Samenvattend zijn op de meeste terreinen duidelijke opbrengsten gerealiseerd, vooral op het gebied van samenwerking, (her)inrichting van het regionale techniekaanbod, beeldvorming en kwaliteit van het techniekonderwijs. Tegelijk blijven terreinen als voldoende techniekdocenten, aansluiting met het mbo en aantal techniekleerlingen aandachtspunten. Deze terreinen worden ook het vaakst als (heel) urgent aangemerkt. Als het gaat om impact van STO wordt deze door programmaleiders gemiddeld genomen op de meeste aspecten als voldoende gezien. Ten opzichte van eerdere metingen in 2021 en 2024 worden in 2025 echter wel significant lagere scores gegeven voor de impact van STO-middelen op verdeling en gezamenlijke benutting van faciliteiten, afspraken tussen scholen die doorwerken in de organisatie, en de waardering van het vmbo. Ook het centraler stellen van (leer)loopbanen laat een daling zien ten opzichte van 2021. Daarnaast daalt in 2025 het percentage voldoendes op aspecten als het denken in regiobelangen, de ervaren waardering van techniekdocenten en kennisdeling in de regio. Hoge scores blijven bestaan voor de regionale samenwerking, de moderne uitstraling van techniekonderwijs en het bredere beeld van techniek.</w:t>
      </w:r>
    </w:p>
    <w:p w:rsidRPr="007129C6" w:rsidR="0095088E" w:rsidP="0095088E" w:rsidRDefault="0095088E" w14:paraId="2CED636E" w14:textId="77777777">
      <w:pPr>
        <w:rPr>
          <w:color w:val="264249"/>
          <w:szCs w:val="18"/>
        </w:rPr>
      </w:pPr>
    </w:p>
    <w:p w:rsidRPr="007129C6" w:rsidR="0095088E" w:rsidP="00335A8B" w:rsidRDefault="0095088E" w14:paraId="140CBBD4" w14:textId="77777777">
      <w:pPr>
        <w:pStyle w:val="Kop2"/>
      </w:pPr>
      <w:bookmarkStart w:name="_Toc199166863" w:id="43"/>
      <w:bookmarkStart w:name="_Toc203573581" w:id="44"/>
      <w:bookmarkEnd w:id="42"/>
      <w:r w:rsidRPr="007129C6">
        <w:lastRenderedPageBreak/>
        <w:t>Impact op aan te pakken maatschappelijke problemen</w:t>
      </w:r>
      <w:bookmarkEnd w:id="43"/>
      <w:bookmarkEnd w:id="44"/>
      <w:r w:rsidRPr="007129C6">
        <w:t xml:space="preserve"> </w:t>
      </w:r>
    </w:p>
    <w:p w:rsidRPr="00283B39" w:rsidR="0095088E" w:rsidP="0095088E" w:rsidRDefault="0095088E" w14:paraId="0F60FDAE" w14:textId="77777777">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De STO-middelen zijn ingezet om een aantal maatschappelijke problemen aan te pakken. In deze paragraaf wordt nagegaan wat de impact van STO volgens programmaleiders is. We bekijken de beoordeling van de programmaleiders over het behalen van de drie hoofddoelen, hun tevredenheid over de geboekte vooruitgang, en de mate waarin de STO-middelen en de daarmee gerealiseerde activiteiten en opbrengsten in de regio hebben bijgedragen aan het aanpakken van de aan te pakken maatschappelijke problemen.</w:t>
      </w:r>
    </w:p>
    <w:p w:rsidRPr="007129C6" w:rsidR="0095088E" w:rsidP="0095088E" w:rsidRDefault="0095088E" w14:paraId="3DE2D5E9" w14:textId="77777777">
      <w:pPr>
        <w:pStyle w:val="SEOStandaard"/>
        <w:numPr>
          <w:ilvl w:val="0"/>
          <w:numId w:val="0"/>
        </w:numPr>
        <w:rPr>
          <w:rFonts w:ascii="Trebuchet MS" w:hAnsi="Trebuchet MS"/>
          <w:sz w:val="18"/>
          <w:szCs w:val="18"/>
        </w:rPr>
      </w:pPr>
    </w:p>
    <w:p w:rsidRPr="00283B39" w:rsidR="0095088E" w:rsidP="0095088E" w:rsidRDefault="0095088E" w14:paraId="42352196" w14:textId="77777777">
      <w:pPr>
        <w:pStyle w:val="SEOStandaard"/>
        <w:rPr>
          <w:rFonts w:ascii="Trebuchet MS" w:hAnsi="Trebuchet MS"/>
          <w:color w:val="auto"/>
          <w:sz w:val="18"/>
          <w:szCs w:val="18"/>
        </w:rPr>
      </w:pPr>
      <w:r w:rsidRPr="00283B39">
        <w:rPr>
          <w:rFonts w:ascii="Trebuchet MS" w:hAnsi="Trebuchet MS"/>
          <w:color w:val="auto"/>
          <w:sz w:val="18"/>
          <w:szCs w:val="18"/>
        </w:rPr>
        <w:t xml:space="preserve">De subsidieregeling </w:t>
      </w:r>
      <w:r w:rsidRPr="00283B39">
        <w:rPr>
          <w:rStyle w:val="Nadruk"/>
          <w:rFonts w:ascii="Trebuchet MS" w:hAnsi="Trebuchet MS"/>
          <w:color w:val="auto"/>
          <w:sz w:val="18"/>
          <w:szCs w:val="18"/>
        </w:rPr>
        <w:t>Sterk Techniekonderwijs 2020–2024</w:t>
      </w:r>
      <w:r w:rsidRPr="00283B39">
        <w:rPr>
          <w:rFonts w:ascii="Trebuchet MS" w:hAnsi="Trebuchet MS"/>
          <w:color w:val="auto"/>
          <w:sz w:val="18"/>
          <w:szCs w:val="18"/>
        </w:rPr>
        <w:t xml:space="preserve"> stimuleerde vmbo-scholen om in samenwerking met regionale partners een duurzaam, dekkend en kwalitatief hoogstaand techniekaanbod op te zetten.  Door regionale afspraken te maken over het aanbod van profielen en vakken, het gebruik en de verdeling van faciliteiten, en door voldoende techniekdocenten en -instructeurs aan te trekken én te behouden, kunnen leerlingen ook in de toekomst (blijven) kiezen voor techniek; daarmee is er een duurzaam aanbod. Ten tweede moest de regio zorgen voor een </w:t>
      </w:r>
      <w:r w:rsidRPr="00283B39">
        <w:rPr>
          <w:rStyle w:val="Zwaar"/>
          <w:rFonts w:ascii="Trebuchet MS" w:hAnsi="Trebuchet MS"/>
          <w:color w:val="auto"/>
          <w:sz w:val="18"/>
          <w:szCs w:val="18"/>
        </w:rPr>
        <w:t>dekkend techniekaanbod</w:t>
      </w:r>
      <w:r w:rsidRPr="00283B39">
        <w:rPr>
          <w:rFonts w:ascii="Trebuchet MS" w:hAnsi="Trebuchet MS"/>
          <w:color w:val="auto"/>
          <w:sz w:val="18"/>
          <w:szCs w:val="18"/>
        </w:rPr>
        <w:t xml:space="preserve">. Dit houdt in dat het aanbod aansluit bij de (regionale) vraag vanuit de arbeidsmarkt en het vervolgonderwijs, én bereikbaar en toegankelijk is voor leerlingen die voor een technische vmbo-opleiding willen kiezen. Ten derde gaat het om de realisatie van </w:t>
      </w:r>
      <w:r w:rsidRPr="00283B39">
        <w:rPr>
          <w:rStyle w:val="Zwaar"/>
          <w:rFonts w:ascii="Trebuchet MS" w:hAnsi="Trebuchet MS"/>
          <w:color w:val="auto"/>
          <w:sz w:val="18"/>
          <w:szCs w:val="18"/>
        </w:rPr>
        <w:t xml:space="preserve">kwalitatief hoogstaand techniekonderwijs: </w:t>
      </w:r>
      <w:r w:rsidRPr="00283B39">
        <w:rPr>
          <w:rFonts w:ascii="Trebuchet MS" w:hAnsi="Trebuchet MS"/>
          <w:color w:val="auto"/>
          <w:sz w:val="18"/>
          <w:szCs w:val="18"/>
        </w:rPr>
        <w:t>techniekonderwijs dat zich kan blijven vernieuwen dankzij up-to-date faciliteiten en gekwalificeerde, goed toegeruste docenten.</w:t>
      </w:r>
    </w:p>
    <w:p w:rsidRPr="00283B39" w:rsidR="0095088E" w:rsidP="0095088E" w:rsidRDefault="0095088E" w14:paraId="0B565E72" w14:textId="77777777">
      <w:pPr>
        <w:pStyle w:val="SEOStandaard"/>
        <w:rPr>
          <w:rFonts w:ascii="Trebuchet MS" w:hAnsi="Trebuchet MS"/>
          <w:color w:val="auto"/>
          <w:sz w:val="18"/>
          <w:szCs w:val="18"/>
        </w:rPr>
      </w:pPr>
    </w:p>
    <w:p w:rsidRPr="00283B39" w:rsidR="0095088E" w:rsidP="0095088E" w:rsidRDefault="0095088E" w14:paraId="0B7204EC" w14:textId="2753F70B">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 xml:space="preserve">Aan de programmaleiders is gevraagd om hun eigen regio eind 2024 een rapportcijfer te geven op deze drie hoofddoelen (tabel </w:t>
      </w:r>
      <w:r w:rsidR="007F19CB">
        <w:rPr>
          <w:rFonts w:ascii="Trebuchet MS" w:hAnsi="Trebuchet MS"/>
          <w:color w:val="auto"/>
          <w:sz w:val="18"/>
          <w:szCs w:val="18"/>
        </w:rPr>
        <w:t>4</w:t>
      </w:r>
      <w:r w:rsidRPr="00283B39">
        <w:rPr>
          <w:rFonts w:ascii="Trebuchet MS" w:hAnsi="Trebuchet MS"/>
          <w:color w:val="auto"/>
          <w:sz w:val="18"/>
          <w:szCs w:val="18"/>
        </w:rPr>
        <w:t xml:space="preserve">.5). </w:t>
      </w:r>
    </w:p>
    <w:p w:rsidRPr="007129C6" w:rsidR="0095088E" w:rsidP="0095088E" w:rsidRDefault="0095088E" w14:paraId="719921AA" w14:textId="5B1F9B24">
      <w:pPr>
        <w:rPr>
          <w:color w:val="D22C2A"/>
          <w:szCs w:val="18"/>
        </w:rPr>
      </w:pPr>
    </w:p>
    <w:p w:rsidRPr="00283B39" w:rsidR="0095088E" w:rsidP="00283B39" w:rsidRDefault="007F19CB" w14:paraId="1AAD6953" w14:textId="5D53F22B">
      <w:pPr>
        <w:pStyle w:val="Figuur"/>
        <w:rPr>
          <w:rFonts w:ascii="Trebuchet MS" w:hAnsi="Trebuchet MS"/>
          <w:i/>
          <w:sz w:val="18"/>
          <w:szCs w:val="18"/>
        </w:rPr>
      </w:pPr>
      <w:r>
        <w:rPr>
          <w:rFonts w:ascii="Trebuchet MS" w:hAnsi="Trebuchet MS" w:eastAsiaTheme="minorEastAsia" w:cstheme="minorBidi"/>
          <w:i/>
          <w:iCs/>
          <w:noProof w:val="0"/>
          <w:sz w:val="18"/>
          <w:szCs w:val="18"/>
          <w:lang w:eastAsia="en-US"/>
        </w:rPr>
        <w:t xml:space="preserve">Tabel 4.5. </w:t>
      </w:r>
      <w:r w:rsidRPr="00283B39" w:rsidR="0095088E">
        <w:rPr>
          <w:rFonts w:ascii="Trebuchet MS" w:hAnsi="Trebuchet MS" w:eastAsiaTheme="minorEastAsia" w:cstheme="minorBidi"/>
          <w:i/>
          <w:sz w:val="18"/>
          <w:szCs w:val="18"/>
          <w:lang w:eastAsia="en-US"/>
        </w:rPr>
        <w:t>Rapportcijfer voor de eigen regio voor de drie hoofddoelen van STO</w:t>
      </w:r>
    </w:p>
    <w:tbl>
      <w:tblPr>
        <w:tblStyle w:val="SEOTabel2"/>
        <w:tblW w:w="9412" w:type="dxa"/>
        <w:tblCellMar>
          <w:left w:w="28" w:type="dxa"/>
          <w:right w:w="28" w:type="dxa"/>
        </w:tblCellMar>
        <w:tblLook w:val="04A0" w:firstRow="1" w:lastRow="0" w:firstColumn="1" w:lastColumn="0" w:noHBand="0" w:noVBand="1"/>
      </w:tblPr>
      <w:tblGrid>
        <w:gridCol w:w="7030"/>
        <w:gridCol w:w="1191"/>
        <w:gridCol w:w="1191"/>
      </w:tblGrid>
      <w:tr w:rsidRPr="007129C6" w:rsidR="0095088E" w:rsidTr="00F91FDF" w14:paraId="69829A9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0" w:type="dxa"/>
            <w:vAlign w:val="center"/>
          </w:tcPr>
          <w:p w:rsidRPr="007129C6" w:rsidR="0095088E" w:rsidP="00F91FDF" w:rsidRDefault="0095088E" w14:paraId="09AE64A8" w14:textId="77777777">
            <w:pPr>
              <w:pStyle w:val="SEOStandaard"/>
              <w:numPr>
                <w:ilvl w:val="0"/>
                <w:numId w:val="0"/>
              </w:numPr>
              <w:jc w:val="left"/>
              <w:rPr>
                <w:rFonts w:ascii="Trebuchet MS" w:hAnsi="Trebuchet MS"/>
                <w:color w:val="FFFFFF" w:themeColor="background1"/>
                <w:sz w:val="18"/>
                <w:szCs w:val="18"/>
              </w:rPr>
            </w:pPr>
            <w:r w:rsidRPr="007129C6">
              <w:rPr>
                <w:rFonts w:ascii="Trebuchet MS" w:hAnsi="Trebuchet MS"/>
                <w:color w:val="FFFFFF" w:themeColor="background1"/>
                <w:sz w:val="18"/>
                <w:szCs w:val="18"/>
              </w:rPr>
              <w:t>Welk rapportcijfer geeft u uw regio – eind 2024 – voor deze drie hoofddoelen? (n=48)</w:t>
            </w:r>
          </w:p>
        </w:tc>
        <w:tc>
          <w:tcPr>
            <w:tcW w:w="1191" w:type="dxa"/>
            <w:vAlign w:val="center"/>
          </w:tcPr>
          <w:p w:rsidRPr="007129C6" w:rsidR="0095088E" w:rsidP="00F91FDF" w:rsidRDefault="0095088E" w14:paraId="025829CC" w14:textId="77777777">
            <w:pPr>
              <w:pStyle w:val="SEOStandaard"/>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Gemiddelde</w:t>
            </w:r>
          </w:p>
        </w:tc>
        <w:tc>
          <w:tcPr>
            <w:tcW w:w="1191" w:type="dxa"/>
            <w:vAlign w:val="center"/>
          </w:tcPr>
          <w:p w:rsidRPr="007129C6" w:rsidR="0095088E" w:rsidP="00F91FDF" w:rsidRDefault="0095088E" w14:paraId="0B482365" w14:textId="77777777">
            <w:pPr>
              <w:pStyle w:val="SEOStandaard"/>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 voldoende</w:t>
            </w:r>
          </w:p>
        </w:tc>
      </w:tr>
      <w:tr w:rsidRPr="007129C6" w:rsidR="0095088E" w:rsidTr="00F91FDF" w14:paraId="2ACCAF5F" w14:textId="77777777">
        <w:tc>
          <w:tcPr>
            <w:cnfStyle w:val="001000000000" w:firstRow="0" w:lastRow="0" w:firstColumn="1" w:lastColumn="0" w:oddVBand="0" w:evenVBand="0" w:oddHBand="0" w:evenHBand="0" w:firstRowFirstColumn="0" w:firstRowLastColumn="0" w:lastRowFirstColumn="0" w:lastRowLastColumn="0"/>
            <w:tcW w:w="7030" w:type="dxa"/>
          </w:tcPr>
          <w:p w:rsidRPr="007129C6" w:rsidR="0095088E" w:rsidP="00FC2172" w:rsidRDefault="0095088E" w14:paraId="52711C23" w14:textId="77777777">
            <w:pPr>
              <w:pStyle w:val="SEOStandaard"/>
              <w:numPr>
                <w:ilvl w:val="0"/>
                <w:numId w:val="0"/>
              </w:numPr>
              <w:rPr>
                <w:rFonts w:ascii="Trebuchet MS" w:hAnsi="Trebuchet MS"/>
                <w:sz w:val="18"/>
                <w:szCs w:val="18"/>
              </w:rPr>
            </w:pPr>
            <w:r w:rsidRPr="007129C6">
              <w:rPr>
                <w:rFonts w:ascii="Trebuchet MS" w:hAnsi="Trebuchet MS"/>
                <w:sz w:val="18"/>
                <w:szCs w:val="18"/>
              </w:rPr>
              <w:t>De regio heeft een duurzaam techniekaanbod</w:t>
            </w:r>
          </w:p>
        </w:tc>
        <w:tc>
          <w:tcPr>
            <w:tcW w:w="1191" w:type="dxa"/>
            <w:vAlign w:val="center"/>
          </w:tcPr>
          <w:p w:rsidRPr="007129C6" w:rsidR="0095088E" w:rsidP="00F91FDF" w:rsidRDefault="0095088E" w14:paraId="5851495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7,2</w:t>
            </w:r>
          </w:p>
        </w:tc>
        <w:tc>
          <w:tcPr>
            <w:tcW w:w="1191" w:type="dxa"/>
            <w:vAlign w:val="center"/>
          </w:tcPr>
          <w:p w:rsidRPr="007129C6" w:rsidR="0095088E" w:rsidP="00F91FDF" w:rsidRDefault="0095088E" w14:paraId="4177C4FB"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98%</w:t>
            </w:r>
          </w:p>
        </w:tc>
      </w:tr>
      <w:tr w:rsidRPr="007129C6" w:rsidR="0095088E" w:rsidTr="00F91FDF" w14:paraId="5E6C23FF" w14:textId="77777777">
        <w:tc>
          <w:tcPr>
            <w:cnfStyle w:val="001000000000" w:firstRow="0" w:lastRow="0" w:firstColumn="1" w:lastColumn="0" w:oddVBand="0" w:evenVBand="0" w:oddHBand="0" w:evenHBand="0" w:firstRowFirstColumn="0" w:firstRowLastColumn="0" w:lastRowFirstColumn="0" w:lastRowLastColumn="0"/>
            <w:tcW w:w="7030" w:type="dxa"/>
          </w:tcPr>
          <w:p w:rsidRPr="007129C6" w:rsidR="0095088E" w:rsidP="00FC2172" w:rsidRDefault="0095088E" w14:paraId="09708F5B" w14:textId="77777777">
            <w:pPr>
              <w:pStyle w:val="SEOStandaard"/>
              <w:numPr>
                <w:ilvl w:val="0"/>
                <w:numId w:val="0"/>
              </w:numPr>
              <w:rPr>
                <w:rFonts w:ascii="Trebuchet MS" w:hAnsi="Trebuchet MS"/>
                <w:sz w:val="18"/>
                <w:szCs w:val="18"/>
              </w:rPr>
            </w:pPr>
            <w:r w:rsidRPr="007129C6">
              <w:rPr>
                <w:rFonts w:ascii="Trebuchet MS" w:hAnsi="Trebuchet MS"/>
                <w:sz w:val="18"/>
                <w:szCs w:val="18"/>
              </w:rPr>
              <w:t>De regio heeft een dekkend techniekaanbod</w:t>
            </w:r>
          </w:p>
        </w:tc>
        <w:tc>
          <w:tcPr>
            <w:tcW w:w="1191" w:type="dxa"/>
            <w:vAlign w:val="center"/>
          </w:tcPr>
          <w:p w:rsidRPr="007129C6" w:rsidR="0095088E" w:rsidP="00F91FDF" w:rsidRDefault="0095088E" w14:paraId="3E38403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7,5</w:t>
            </w:r>
          </w:p>
        </w:tc>
        <w:tc>
          <w:tcPr>
            <w:tcW w:w="1191" w:type="dxa"/>
            <w:vAlign w:val="center"/>
          </w:tcPr>
          <w:p w:rsidRPr="007129C6" w:rsidR="0095088E" w:rsidP="00F91FDF" w:rsidRDefault="0095088E" w14:paraId="0F056E7B"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98%</w:t>
            </w:r>
          </w:p>
        </w:tc>
      </w:tr>
      <w:tr w:rsidRPr="007129C6" w:rsidR="0095088E" w:rsidTr="00F91FDF" w14:paraId="3D345358" w14:textId="77777777">
        <w:tc>
          <w:tcPr>
            <w:cnfStyle w:val="001000000000" w:firstRow="0" w:lastRow="0" w:firstColumn="1" w:lastColumn="0" w:oddVBand="0" w:evenVBand="0" w:oddHBand="0" w:evenHBand="0" w:firstRowFirstColumn="0" w:firstRowLastColumn="0" w:lastRowFirstColumn="0" w:lastRowLastColumn="0"/>
            <w:tcW w:w="7030" w:type="dxa"/>
          </w:tcPr>
          <w:p w:rsidRPr="007129C6" w:rsidR="0095088E" w:rsidP="00FC2172" w:rsidRDefault="0095088E" w14:paraId="75ADDA21" w14:textId="77777777">
            <w:pPr>
              <w:pStyle w:val="SEOStandaard"/>
              <w:numPr>
                <w:ilvl w:val="0"/>
                <w:numId w:val="0"/>
              </w:numPr>
              <w:rPr>
                <w:rFonts w:ascii="Trebuchet MS" w:hAnsi="Trebuchet MS"/>
                <w:sz w:val="18"/>
                <w:szCs w:val="18"/>
              </w:rPr>
            </w:pPr>
            <w:r w:rsidRPr="007129C6">
              <w:rPr>
                <w:rFonts w:ascii="Trebuchet MS" w:hAnsi="Trebuchet MS"/>
                <w:sz w:val="18"/>
                <w:szCs w:val="18"/>
              </w:rPr>
              <w:t>De regio biedt kwalitatief hoogstaand technisch onderwijs</w:t>
            </w:r>
          </w:p>
        </w:tc>
        <w:tc>
          <w:tcPr>
            <w:tcW w:w="1191" w:type="dxa"/>
            <w:vAlign w:val="center"/>
          </w:tcPr>
          <w:p w:rsidRPr="007129C6" w:rsidR="0095088E" w:rsidP="00F91FDF" w:rsidRDefault="0095088E" w14:paraId="299624CB"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7,4</w:t>
            </w:r>
          </w:p>
        </w:tc>
        <w:tc>
          <w:tcPr>
            <w:tcW w:w="1191" w:type="dxa"/>
            <w:vAlign w:val="center"/>
          </w:tcPr>
          <w:p w:rsidRPr="007129C6" w:rsidR="0095088E" w:rsidP="00F91FDF" w:rsidRDefault="0095088E" w14:paraId="000E3C84"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96%</w:t>
            </w:r>
          </w:p>
        </w:tc>
      </w:tr>
    </w:tbl>
    <w:p w:rsidRPr="00283B39" w:rsidR="0095088E" w:rsidP="00283B39" w:rsidRDefault="007F19CB" w14:paraId="1B6E2413" w14:textId="2FD4AE37">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 xml:space="preserve">Bron: </w:t>
      </w:r>
      <w:r w:rsidRPr="00283B39" w:rsidR="0095088E">
        <w:rPr>
          <w:rFonts w:ascii="Trebuchet MS" w:hAnsi="Trebuchet MS"/>
          <w:color w:val="auto"/>
          <w:sz w:val="18"/>
          <w:szCs w:val="18"/>
        </w:rPr>
        <w:t xml:space="preserve">Enquête programmaleiders STO (april 2025). </w:t>
      </w:r>
    </w:p>
    <w:p w:rsidRPr="007129C6" w:rsidR="0095088E" w:rsidP="0095088E" w:rsidRDefault="0095088E" w14:paraId="6B6AAA7E" w14:textId="77777777">
      <w:pPr>
        <w:pStyle w:val="SEOOpsommingBulletL1"/>
        <w:numPr>
          <w:ilvl w:val="0"/>
          <w:numId w:val="0"/>
        </w:numPr>
        <w:rPr>
          <w:rFonts w:ascii="Trebuchet MS" w:hAnsi="Trebuchet MS"/>
          <w:b/>
          <w:sz w:val="18"/>
          <w:szCs w:val="18"/>
        </w:rPr>
      </w:pPr>
    </w:p>
    <w:p w:rsidRPr="00283B39" w:rsidR="0095088E" w:rsidP="0095088E" w:rsidRDefault="0095088E" w14:paraId="761B8973" w14:textId="5B3929E6">
      <w:pPr>
        <w:pStyle w:val="SEOStandaard"/>
        <w:rPr>
          <w:rFonts w:ascii="Trebuchet MS" w:hAnsi="Trebuchet MS"/>
          <w:color w:val="auto"/>
          <w:sz w:val="18"/>
          <w:szCs w:val="18"/>
        </w:rPr>
      </w:pPr>
      <w:r w:rsidRPr="00283B39">
        <w:rPr>
          <w:rFonts w:ascii="Trebuchet MS" w:hAnsi="Trebuchet MS"/>
          <w:color w:val="auto"/>
          <w:sz w:val="18"/>
          <w:szCs w:val="18"/>
        </w:rPr>
        <w:t xml:space="preserve">Regio’s zijn over het algemeen tevreden over de drie hoofddoelen van STO. Bijna alle programmaleiders geven hun eigen regio een voldoende (98 procent) en het gemiddelde ligt voor elk hoofddoel tussen de 7,2 en 7,5. </w:t>
      </w:r>
    </w:p>
    <w:p w:rsidRPr="00283B39" w:rsidR="0095088E" w:rsidP="0095088E" w:rsidRDefault="0095088E" w14:paraId="1974ED5A" w14:textId="77777777">
      <w:pPr>
        <w:pStyle w:val="SEOStandaard"/>
        <w:rPr>
          <w:rFonts w:ascii="Trebuchet MS" w:hAnsi="Trebuchet MS"/>
          <w:color w:val="auto"/>
          <w:sz w:val="18"/>
          <w:szCs w:val="18"/>
        </w:rPr>
      </w:pPr>
    </w:p>
    <w:p w:rsidR="0095088E" w:rsidP="0095088E" w:rsidRDefault="0095088E" w14:paraId="35C250D1" w14:textId="3B0952A4">
      <w:pPr>
        <w:pStyle w:val="SEOStandaard"/>
        <w:rPr>
          <w:rFonts w:ascii="Trebuchet MS" w:hAnsi="Trebuchet MS"/>
          <w:color w:val="auto"/>
          <w:sz w:val="18"/>
          <w:szCs w:val="18"/>
        </w:rPr>
      </w:pPr>
      <w:r w:rsidRPr="00283B39">
        <w:rPr>
          <w:rFonts w:ascii="Trebuchet MS" w:hAnsi="Trebuchet MS"/>
          <w:color w:val="auto"/>
          <w:sz w:val="18"/>
          <w:szCs w:val="18"/>
        </w:rPr>
        <w:t xml:space="preserve">Ook met de vooruitgang die regio’s hebben geboekt op de drie hoofddoelen in de afgelopen subsidieperiode zijn de meeste regio’s tevreden (figuur </w:t>
      </w:r>
      <w:r w:rsidR="007F19CB">
        <w:rPr>
          <w:rFonts w:ascii="Trebuchet MS" w:hAnsi="Trebuchet MS"/>
          <w:color w:val="auto"/>
          <w:sz w:val="18"/>
          <w:szCs w:val="18"/>
        </w:rPr>
        <w:t>4</w:t>
      </w:r>
      <w:r w:rsidRPr="00283B39">
        <w:rPr>
          <w:rFonts w:ascii="Trebuchet MS" w:hAnsi="Trebuchet MS"/>
          <w:color w:val="auto"/>
          <w:sz w:val="18"/>
          <w:szCs w:val="18"/>
        </w:rPr>
        <w:t xml:space="preserve">.8). </w:t>
      </w:r>
    </w:p>
    <w:p w:rsidRPr="00283B39" w:rsidR="00D07117" w:rsidP="0095088E" w:rsidRDefault="00D07117" w14:paraId="056B5241" w14:textId="77777777">
      <w:pPr>
        <w:pStyle w:val="SEOStandaard"/>
        <w:rPr>
          <w:rFonts w:ascii="Trebuchet MS" w:hAnsi="Trebuchet MS"/>
          <w:color w:val="auto"/>
          <w:sz w:val="18"/>
          <w:szCs w:val="18"/>
        </w:rPr>
      </w:pPr>
    </w:p>
    <w:p w:rsidRPr="00283B39" w:rsidR="0095088E" w:rsidP="00283B39" w:rsidRDefault="007F19CB" w14:paraId="7AA32176" w14:textId="49A0B031">
      <w:pPr>
        <w:pStyle w:val="Figuur"/>
        <w:rPr>
          <w:rFonts w:ascii="Trebuchet MS" w:hAnsi="Trebuchet MS"/>
          <w:i/>
          <w:sz w:val="18"/>
          <w:szCs w:val="18"/>
        </w:rPr>
      </w:pPr>
      <w:r>
        <w:rPr>
          <w:rFonts w:ascii="Trebuchet MS" w:hAnsi="Trebuchet MS" w:eastAsiaTheme="minorEastAsia" w:cstheme="minorBidi"/>
          <w:i/>
          <w:iCs/>
          <w:noProof w:val="0"/>
          <w:sz w:val="18"/>
          <w:szCs w:val="18"/>
          <w:lang w:eastAsia="en-US"/>
        </w:rPr>
        <w:t xml:space="preserve">Figuur 4.8. </w:t>
      </w:r>
      <w:r w:rsidRPr="00283B39" w:rsidR="0095088E">
        <w:rPr>
          <w:rFonts w:ascii="Trebuchet MS" w:hAnsi="Trebuchet MS" w:eastAsiaTheme="minorEastAsia" w:cstheme="minorBidi"/>
          <w:i/>
          <w:sz w:val="18"/>
          <w:szCs w:val="18"/>
          <w:lang w:eastAsia="en-US"/>
        </w:rPr>
        <w:t>De tevredenheid over de eigen regio wat betreft de vooruitgang op de drie hoofddoelen van STO in de periode 2020-2024</w:t>
      </w:r>
    </w:p>
    <w:p w:rsidRPr="007129C6" w:rsidR="0095088E" w:rsidP="0095088E" w:rsidRDefault="0095088E" w14:paraId="5F47AD44" w14:textId="77777777">
      <w:pPr>
        <w:pStyle w:val="SEOStandaard"/>
        <w:numPr>
          <w:ilvl w:val="0"/>
          <w:numId w:val="0"/>
        </w:numPr>
        <w:rPr>
          <w:rFonts w:ascii="Trebuchet MS" w:hAnsi="Trebuchet MS"/>
          <w:sz w:val="18"/>
          <w:szCs w:val="18"/>
        </w:rPr>
      </w:pPr>
      <w:r w:rsidRPr="007129C6">
        <w:rPr>
          <w:rFonts w:ascii="Trebuchet MS" w:hAnsi="Trebuchet MS"/>
          <w:noProof/>
          <w:sz w:val="18"/>
          <w:szCs w:val="18"/>
        </w:rPr>
        <w:drawing>
          <wp:inline distT="0" distB="0" distL="0" distR="0" wp14:anchorId="19A40833" wp14:editId="20726474">
            <wp:extent cx="5940000" cy="1944000"/>
            <wp:effectExtent l="0" t="0" r="3810" b="18415"/>
            <wp:docPr id="1432430654" name="Grafiek 1">
              <a:extLst xmlns:a="http://schemas.openxmlformats.org/drawingml/2006/main">
                <a:ext uri="{FF2B5EF4-FFF2-40B4-BE49-F238E27FC236}">
                  <a16:creationId xmlns:a16="http://schemas.microsoft.com/office/drawing/2014/main" id="{718580E0-2373-9303-1132-252A9EEB02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Pr="00283B39" w:rsidR="0095088E" w:rsidP="00283B39" w:rsidRDefault="007F19CB" w14:paraId="5BCEFE37" w14:textId="17FEE8AB">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 xml:space="preserve">Bron: </w:t>
      </w:r>
      <w:r w:rsidRPr="00283B39" w:rsidR="0095088E">
        <w:rPr>
          <w:rFonts w:ascii="Trebuchet MS" w:hAnsi="Trebuchet MS"/>
          <w:color w:val="auto"/>
          <w:sz w:val="18"/>
          <w:szCs w:val="18"/>
        </w:rPr>
        <w:t xml:space="preserve">Enquête programmaleiders STO (april 2025). </w:t>
      </w:r>
    </w:p>
    <w:p w:rsidRPr="00283B39" w:rsidR="0095088E" w:rsidP="0095088E" w:rsidRDefault="0095088E" w14:paraId="7EE31515" w14:textId="77777777">
      <w:pPr>
        <w:pStyle w:val="SEOStandaard"/>
        <w:rPr>
          <w:rFonts w:ascii="Trebuchet MS" w:hAnsi="Trebuchet MS"/>
          <w:color w:val="auto"/>
          <w:sz w:val="18"/>
          <w:szCs w:val="18"/>
        </w:rPr>
      </w:pPr>
      <w:r w:rsidRPr="00283B39">
        <w:rPr>
          <w:rFonts w:ascii="Trebuchet MS" w:hAnsi="Trebuchet MS"/>
          <w:color w:val="auto"/>
          <w:sz w:val="18"/>
          <w:szCs w:val="18"/>
        </w:rPr>
        <w:lastRenderedPageBreak/>
        <w:t>Voor elk hoofddoel geeft minstens 77 procent van de programmaleiders aan dat ze (zeer) tevreden zijn. Maximaal 1 respondent van de 48 geeft aan (heel) ontevreden te zijn.</w:t>
      </w:r>
    </w:p>
    <w:p w:rsidRPr="00283B39" w:rsidR="0095088E" w:rsidP="0095088E" w:rsidRDefault="0095088E" w14:paraId="68ACCD7F" w14:textId="77777777">
      <w:pPr>
        <w:pStyle w:val="SEOStandaard"/>
        <w:rPr>
          <w:rFonts w:ascii="Trebuchet MS" w:hAnsi="Trebuchet MS"/>
          <w:color w:val="auto"/>
          <w:sz w:val="18"/>
          <w:szCs w:val="18"/>
        </w:rPr>
      </w:pPr>
    </w:p>
    <w:p w:rsidR="0095088E" w:rsidP="0095088E" w:rsidRDefault="0095088E" w14:paraId="48547F8A" w14:textId="77777777">
      <w:pPr>
        <w:pStyle w:val="SEOStandaard"/>
        <w:rPr>
          <w:rFonts w:ascii="Trebuchet MS" w:hAnsi="Trebuchet MS"/>
          <w:color w:val="auto"/>
          <w:sz w:val="18"/>
          <w:szCs w:val="18"/>
        </w:rPr>
      </w:pPr>
      <w:r w:rsidRPr="00283B39">
        <w:rPr>
          <w:rFonts w:ascii="Trebuchet MS" w:hAnsi="Trebuchet MS"/>
          <w:color w:val="auto"/>
          <w:sz w:val="18"/>
          <w:szCs w:val="18"/>
        </w:rPr>
        <w:t xml:space="preserve">Tot slot is aan programmaleiders gevraagd in hoeverre de inzet van de STO-middelen en de daarmee gerealiseerde activiteiten en opbrengsten in de eigen heeft bijgedragen aan het verhelpen van diverse maatschappelijke problemen. </w:t>
      </w:r>
    </w:p>
    <w:p w:rsidRPr="00283B39" w:rsidR="00E63134" w:rsidP="00283B39" w:rsidRDefault="00E63134" w14:paraId="62653AC9" w14:textId="77777777">
      <w:pPr>
        <w:pStyle w:val="SEOStandaard"/>
        <w:numPr>
          <w:ilvl w:val="0"/>
          <w:numId w:val="0"/>
        </w:numPr>
        <w:rPr>
          <w:rFonts w:ascii="Trebuchet MS" w:hAnsi="Trebuchet MS"/>
          <w:color w:val="auto"/>
          <w:sz w:val="18"/>
          <w:szCs w:val="18"/>
        </w:rPr>
      </w:pPr>
    </w:p>
    <w:p w:rsidRPr="00283B39" w:rsidR="0095088E" w:rsidP="00283B39" w:rsidRDefault="007F19CB" w14:paraId="6CADBB61" w14:textId="704E64CD">
      <w:pPr>
        <w:pStyle w:val="Figuur"/>
        <w:rPr>
          <w:rFonts w:ascii="Trebuchet MS" w:hAnsi="Trebuchet MS"/>
          <w:i/>
          <w:sz w:val="18"/>
          <w:szCs w:val="18"/>
        </w:rPr>
      </w:pPr>
      <w:r>
        <w:rPr>
          <w:rFonts w:ascii="Trebuchet MS" w:hAnsi="Trebuchet MS" w:eastAsiaTheme="minorEastAsia" w:cstheme="minorBidi"/>
          <w:i/>
          <w:iCs/>
          <w:noProof w:val="0"/>
          <w:sz w:val="18"/>
          <w:szCs w:val="18"/>
          <w:lang w:eastAsia="en-US"/>
        </w:rPr>
        <w:t xml:space="preserve">Figuur 4.9. </w:t>
      </w:r>
      <w:r w:rsidRPr="00283B39" w:rsidR="0095088E">
        <w:rPr>
          <w:rFonts w:ascii="Trebuchet MS" w:hAnsi="Trebuchet MS" w:eastAsiaTheme="minorEastAsia" w:cstheme="minorBidi"/>
          <w:i/>
          <w:sz w:val="18"/>
          <w:szCs w:val="18"/>
          <w:lang w:eastAsia="en-US"/>
        </w:rPr>
        <w:t>Mate van impact van STO op maatschappelijke problemen die aanleiding gaven tot de STO-regeling</w:t>
      </w:r>
    </w:p>
    <w:p w:rsidRPr="007129C6" w:rsidR="0095088E" w:rsidP="0095088E" w:rsidRDefault="0095088E" w14:paraId="5FFA67CE" w14:textId="77777777">
      <w:pPr>
        <w:pStyle w:val="SEOStandaard"/>
        <w:numPr>
          <w:ilvl w:val="0"/>
          <w:numId w:val="0"/>
        </w:numPr>
        <w:rPr>
          <w:rFonts w:ascii="Trebuchet MS" w:hAnsi="Trebuchet MS"/>
          <w:sz w:val="18"/>
          <w:szCs w:val="18"/>
        </w:rPr>
      </w:pPr>
      <w:r w:rsidRPr="007129C6">
        <w:rPr>
          <w:rFonts w:ascii="Trebuchet MS" w:hAnsi="Trebuchet MS"/>
          <w:noProof/>
          <w:sz w:val="18"/>
          <w:szCs w:val="18"/>
        </w:rPr>
        <w:drawing>
          <wp:inline distT="0" distB="0" distL="0" distR="0" wp14:anchorId="296A0117" wp14:editId="040D7245">
            <wp:extent cx="5940000" cy="3960000"/>
            <wp:effectExtent l="0" t="0" r="3810" b="2540"/>
            <wp:docPr id="872663428" name="Grafiek 1">
              <a:extLst xmlns:a="http://schemas.openxmlformats.org/drawingml/2006/main">
                <a:ext uri="{FF2B5EF4-FFF2-40B4-BE49-F238E27FC236}">
                  <a16:creationId xmlns:a16="http://schemas.microsoft.com/office/drawing/2014/main" id="{7430DD0A-34C3-1F33-E158-28816A7BB6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Pr="00283B39" w:rsidR="0095088E" w:rsidP="00283B39" w:rsidRDefault="007F19CB" w14:paraId="246D3583" w14:textId="4F6C49DB">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 xml:space="preserve">Bron: </w:t>
      </w:r>
      <w:r w:rsidRPr="00283B39" w:rsidR="0095088E">
        <w:rPr>
          <w:rFonts w:ascii="Trebuchet MS" w:hAnsi="Trebuchet MS"/>
          <w:color w:val="auto"/>
          <w:sz w:val="18"/>
          <w:szCs w:val="18"/>
        </w:rPr>
        <w:t xml:space="preserve">Enquête programmaleiders STO (april 2025). </w:t>
      </w:r>
    </w:p>
    <w:p w:rsidRPr="007129C6" w:rsidR="0095088E" w:rsidP="0095088E" w:rsidRDefault="0095088E" w14:paraId="0CAA96BE" w14:textId="77777777">
      <w:pPr>
        <w:pStyle w:val="SEOStandaard"/>
        <w:rPr>
          <w:rFonts w:ascii="Trebuchet MS" w:hAnsi="Trebuchet MS"/>
          <w:sz w:val="18"/>
          <w:szCs w:val="18"/>
        </w:rPr>
      </w:pPr>
    </w:p>
    <w:p w:rsidRPr="00283B39" w:rsidR="008C5AE2" w:rsidP="008C5AE2" w:rsidRDefault="008C5AE2" w14:paraId="3D1774EA" w14:textId="77777777">
      <w:pPr>
        <w:pStyle w:val="SEOStandaard"/>
        <w:rPr>
          <w:rFonts w:ascii="Trebuchet MS" w:hAnsi="Trebuchet MS"/>
          <w:color w:val="auto"/>
          <w:sz w:val="18"/>
          <w:szCs w:val="18"/>
        </w:rPr>
      </w:pPr>
      <w:r w:rsidRPr="00283B39">
        <w:rPr>
          <w:rFonts w:ascii="Trebuchet MS" w:hAnsi="Trebuchet MS"/>
          <w:color w:val="auto"/>
          <w:sz w:val="18"/>
          <w:szCs w:val="18"/>
        </w:rPr>
        <w:t>Figuur 4.9 toont dat minstens de helft van alle programmaleiders van mening is dat de inzet van STO-middelen en de daarmee gerealiseerde activiteiten en opbrengsten in de regio in enige of sterke mate hebben bijgedragen aan verhelpen van verschillende maatschappelijke problemen. Dan gaat het met name om technologische ontwikkelingen die lastig bij te benen zijn voor vmbo-scholen (8 op de 10), de aansluiting van technisch onderwijs op het vervolgonderwijs en de arbeidsmarkt (bijna 8 op de 10) en de afname in het aandeel leerlingen dat voor een techniekprofiel kiest (bijna 8 op de 10).</w:t>
      </w:r>
    </w:p>
    <w:p w:rsidRPr="00283B39" w:rsidR="008C5AE2" w:rsidP="008C5AE2" w:rsidRDefault="008C5AE2" w14:paraId="47ED1B36" w14:textId="77777777">
      <w:pPr>
        <w:pStyle w:val="SEOStandaard"/>
        <w:rPr>
          <w:rFonts w:ascii="Trebuchet MS" w:hAnsi="Trebuchet MS"/>
          <w:color w:val="auto"/>
          <w:sz w:val="18"/>
          <w:szCs w:val="18"/>
        </w:rPr>
      </w:pPr>
    </w:p>
    <w:p w:rsidRPr="00283B39" w:rsidR="008C5AE2" w:rsidP="008C5AE2" w:rsidRDefault="008C5AE2" w14:paraId="6E39B72A" w14:textId="77777777">
      <w:pPr>
        <w:pStyle w:val="SEOStandaard"/>
        <w:rPr>
          <w:rFonts w:ascii="Trebuchet MS" w:hAnsi="Trebuchet MS"/>
          <w:color w:val="auto"/>
          <w:sz w:val="18"/>
          <w:szCs w:val="18"/>
        </w:rPr>
      </w:pPr>
      <w:r w:rsidRPr="00283B39">
        <w:rPr>
          <w:rFonts w:ascii="Trebuchet MS" w:hAnsi="Trebuchet MS"/>
          <w:color w:val="auto"/>
          <w:sz w:val="18"/>
          <w:szCs w:val="18"/>
        </w:rPr>
        <w:t xml:space="preserve">Er wordt minder impact van de STO-middelen gezien als het gaat om het verhelpen van het tekort op de arbeidsmarkt aan technisch geschoold personeel (bijna 6 op de 10) en het (dreigend) lerarentekort voor techniek (bijna 6 op de 10). </w:t>
      </w:r>
    </w:p>
    <w:p w:rsidR="008C5AE2" w:rsidP="0095088E" w:rsidRDefault="008C5AE2" w14:paraId="78B38AC8" w14:textId="77777777">
      <w:pPr>
        <w:pStyle w:val="SEOStandaard"/>
        <w:rPr>
          <w:rFonts w:ascii="Trebuchet MS" w:hAnsi="Trebuchet MS"/>
          <w:color w:val="auto"/>
          <w:sz w:val="18"/>
          <w:szCs w:val="18"/>
        </w:rPr>
      </w:pPr>
    </w:p>
    <w:p w:rsidRPr="00283B39" w:rsidR="0095088E" w:rsidP="0095088E" w:rsidRDefault="0095088E" w14:paraId="2AE9E09A" w14:textId="3D18BA65">
      <w:pPr>
        <w:pStyle w:val="SEOStandaard"/>
        <w:rPr>
          <w:rFonts w:ascii="Trebuchet MS" w:hAnsi="Trebuchet MS"/>
          <w:color w:val="auto"/>
          <w:sz w:val="18"/>
          <w:szCs w:val="18"/>
        </w:rPr>
      </w:pPr>
      <w:r w:rsidRPr="00283B39">
        <w:rPr>
          <w:rFonts w:ascii="Trebuchet MS" w:hAnsi="Trebuchet MS"/>
          <w:color w:val="auto"/>
          <w:sz w:val="18"/>
          <w:szCs w:val="18"/>
        </w:rPr>
        <w:t xml:space="preserve">Programmaleiders met regionale beheermiddelen zien meer impact van de inzet van STO-middelen als het gaat om het aanpakken van versnipperd techniekaanbod (85 versus 61 procent), lerarentekort voor techniek (65 versus 51 procent) en technologische ontwikkelingen die lastig bij te benen zijn door vmbo-scholen (90 versus 75 procent) dan programmaleiders met verdeelsleutelmiddelen. Andersom is in de laatstgenoemde groep meer impact zichtbaar wat betreft de kwaliteit van techniekonderwijs (65 versus 79 procent), de afname van het aandeel leerlingen dat voor </w:t>
      </w:r>
      <w:r w:rsidRPr="00283B39">
        <w:rPr>
          <w:rFonts w:ascii="Trebuchet MS" w:hAnsi="Trebuchet MS"/>
          <w:color w:val="auto"/>
          <w:sz w:val="18"/>
          <w:szCs w:val="18"/>
        </w:rPr>
        <w:lastRenderedPageBreak/>
        <w:t>een techniekprofiel kiest (70 versus 82 procent) en de dalende leerlingenaantallen in beroepsgerichte leerwegen (60 versus 71 procent).</w:t>
      </w:r>
    </w:p>
    <w:p w:rsidRPr="007129C6" w:rsidR="0095088E" w:rsidP="0095088E" w:rsidRDefault="0095088E" w14:paraId="58F9414B" w14:textId="77777777">
      <w:pPr>
        <w:pStyle w:val="SEOStandaard"/>
        <w:rPr>
          <w:rFonts w:ascii="Trebuchet MS" w:hAnsi="Trebuchet MS"/>
          <w:sz w:val="18"/>
          <w:szCs w:val="18"/>
        </w:rPr>
      </w:pPr>
    </w:p>
    <w:p w:rsidRPr="00283B39" w:rsidR="0095088E" w:rsidP="0095088E" w:rsidRDefault="0095088E" w14:paraId="695A40AB" w14:textId="77777777">
      <w:pPr>
        <w:pStyle w:val="SEOStandaard"/>
        <w:rPr>
          <w:rFonts w:ascii="Trebuchet MS" w:hAnsi="Trebuchet MS"/>
          <w:color w:val="auto"/>
          <w:sz w:val="18"/>
          <w:szCs w:val="18"/>
        </w:rPr>
      </w:pPr>
      <w:bookmarkStart w:name="_Hlk199167997" w:id="45"/>
      <w:r w:rsidRPr="00283B39">
        <w:rPr>
          <w:rFonts w:ascii="Trebuchet MS" w:hAnsi="Trebuchet MS"/>
          <w:color w:val="auto"/>
          <w:sz w:val="18"/>
          <w:szCs w:val="18"/>
        </w:rPr>
        <w:t>Samenvattend zijn regio’s over het algemeen tevreden over het bereiken van de drie hoofddoelen van STO. Bijna alle programmaleiders geven hun regio een voldoende en de gemiddelde cijfers liggen boven de 7. Ook over de voortgang is het merendeel (zeer) tevreden. Daarnaast vindt minstens de helft van de programmaleiders dat STO bijdraagt aan het verhelpen van maatschappelijke problemen, zoals technologische ontwikkelingen in het vmbo en de aansluiting op vervolgonderwijs en arbeidsmarkt. Minder impact wordt ervaren op het gebied van personeelstekorten in de techniek.</w:t>
      </w:r>
    </w:p>
    <w:p w:rsidR="0095088E" w:rsidP="0095088E" w:rsidRDefault="0095088E" w14:paraId="053199E4" w14:textId="77777777">
      <w:pPr>
        <w:pStyle w:val="Lijstalinea"/>
        <w:rPr>
          <w:szCs w:val="18"/>
        </w:rPr>
      </w:pPr>
    </w:p>
    <w:p w:rsidRPr="00335A8B" w:rsidR="0095088E" w:rsidP="00335A8B" w:rsidRDefault="0095088E" w14:paraId="6A1E914B" w14:textId="77777777">
      <w:pPr>
        <w:pStyle w:val="Kop2"/>
      </w:pPr>
      <w:bookmarkStart w:name="_Toc199166864" w:id="46"/>
      <w:bookmarkStart w:name="_Toc203573582" w:id="47"/>
      <w:bookmarkEnd w:id="45"/>
      <w:r w:rsidRPr="00335A8B">
        <w:t>Voorwaarden voor succes</w:t>
      </w:r>
      <w:bookmarkEnd w:id="46"/>
      <w:bookmarkEnd w:id="47"/>
    </w:p>
    <w:p w:rsidRPr="00283B39" w:rsidR="0095088E" w:rsidP="0095088E" w:rsidRDefault="0095088E" w14:paraId="31B8E342" w14:textId="7145C3F4">
      <w:pPr>
        <w:pStyle w:val="SEOStandaard"/>
        <w:rPr>
          <w:rFonts w:ascii="Trebuchet MS" w:hAnsi="Trebuchet MS"/>
          <w:color w:val="auto"/>
          <w:sz w:val="18"/>
          <w:szCs w:val="18"/>
        </w:rPr>
      </w:pPr>
      <w:r w:rsidRPr="00283B39">
        <w:rPr>
          <w:rFonts w:ascii="Trebuchet MS" w:hAnsi="Trebuchet MS"/>
          <w:color w:val="auto"/>
          <w:sz w:val="18"/>
          <w:szCs w:val="18"/>
        </w:rPr>
        <w:t xml:space="preserve">Aan programmaleiders is gevraagd in hoeverre bepaalde factoren bepalend zijn geweest voor het succes van STO in hun regio. Zij konden hun oordeel geven op een schaal van 0 (zeer belemmerend) tot 10 (zeer veel bijgedragen aan succes). Als een factor volgens hen geen invloed had op het succes, kon ook de optie </w:t>
      </w:r>
      <w:r w:rsidRPr="00283B39">
        <w:rPr>
          <w:rFonts w:ascii="Trebuchet MS" w:hAnsi="Trebuchet MS"/>
          <w:i/>
          <w:color w:val="auto"/>
          <w:sz w:val="18"/>
          <w:szCs w:val="18"/>
        </w:rPr>
        <w:t>niet van invloed</w:t>
      </w:r>
      <w:r w:rsidRPr="00283B39">
        <w:rPr>
          <w:rFonts w:ascii="Trebuchet MS" w:hAnsi="Trebuchet MS"/>
          <w:color w:val="auto"/>
          <w:sz w:val="18"/>
          <w:szCs w:val="18"/>
        </w:rPr>
        <w:t xml:space="preserve"> worden gekozen. Tabel </w:t>
      </w:r>
      <w:r w:rsidR="007F19CB">
        <w:rPr>
          <w:rFonts w:ascii="Trebuchet MS" w:hAnsi="Trebuchet MS"/>
          <w:color w:val="auto"/>
          <w:sz w:val="18"/>
          <w:szCs w:val="18"/>
        </w:rPr>
        <w:t>4</w:t>
      </w:r>
      <w:r w:rsidRPr="00283B39">
        <w:rPr>
          <w:rFonts w:ascii="Trebuchet MS" w:hAnsi="Trebuchet MS"/>
          <w:color w:val="auto"/>
          <w:sz w:val="18"/>
          <w:szCs w:val="18"/>
        </w:rPr>
        <w:t xml:space="preserve">.6 laat hiervan de resultaten zien. </w:t>
      </w:r>
    </w:p>
    <w:p w:rsidRPr="007129C6" w:rsidR="0095088E" w:rsidP="0095088E" w:rsidRDefault="0095088E" w14:paraId="3580D2AA" w14:textId="77777777">
      <w:pPr>
        <w:pStyle w:val="SEOStandaard"/>
        <w:rPr>
          <w:rFonts w:ascii="Trebuchet MS" w:hAnsi="Trebuchet MS"/>
          <w:sz w:val="18"/>
          <w:szCs w:val="18"/>
        </w:rPr>
      </w:pPr>
    </w:p>
    <w:p w:rsidRPr="00283B39" w:rsidR="0095088E" w:rsidP="00283B39" w:rsidRDefault="00BB3F8E" w14:paraId="2A1E9462" w14:textId="56792712">
      <w:pPr>
        <w:pStyle w:val="Figuur"/>
        <w:rPr>
          <w:rFonts w:ascii="Trebuchet MS" w:hAnsi="Trebuchet MS"/>
          <w:i/>
          <w:sz w:val="18"/>
          <w:szCs w:val="18"/>
        </w:rPr>
      </w:pPr>
      <w:r>
        <w:rPr>
          <w:rFonts w:ascii="Trebuchet MS" w:hAnsi="Trebuchet MS" w:eastAsiaTheme="minorEastAsia" w:cstheme="minorBidi"/>
          <w:i/>
          <w:iCs/>
          <w:noProof w:val="0"/>
          <w:sz w:val="18"/>
          <w:szCs w:val="18"/>
          <w:lang w:eastAsia="en-US"/>
        </w:rPr>
        <w:t xml:space="preserve">Tabel 4.6. </w:t>
      </w:r>
      <w:r w:rsidRPr="00283B39" w:rsidR="0095088E">
        <w:rPr>
          <w:rFonts w:ascii="Trebuchet MS" w:hAnsi="Trebuchet MS" w:eastAsiaTheme="minorEastAsia" w:cstheme="minorBidi"/>
          <w:i/>
          <w:sz w:val="18"/>
          <w:szCs w:val="18"/>
          <w:lang w:eastAsia="en-US"/>
        </w:rPr>
        <w:t>Factoren die belemmerend of cruciaal zijn geweest voor succes van STO in de regio (n=48)</w:t>
      </w:r>
    </w:p>
    <w:tbl>
      <w:tblPr>
        <w:tblStyle w:val="SEOTabel2"/>
        <w:tblW w:w="9298" w:type="dxa"/>
        <w:tblLayout w:type="fixed"/>
        <w:tblCellMar>
          <w:left w:w="28" w:type="dxa"/>
          <w:right w:w="28" w:type="dxa"/>
        </w:tblCellMar>
        <w:tblLook w:val="04A0" w:firstRow="1" w:lastRow="0" w:firstColumn="1" w:lastColumn="0" w:noHBand="0" w:noVBand="1"/>
      </w:tblPr>
      <w:tblGrid>
        <w:gridCol w:w="6463"/>
        <w:gridCol w:w="567"/>
        <w:gridCol w:w="567"/>
        <w:gridCol w:w="567"/>
        <w:gridCol w:w="567"/>
        <w:gridCol w:w="567"/>
      </w:tblGrid>
      <w:tr w:rsidRPr="007129C6" w:rsidR="0095088E" w:rsidTr="007E3B0C" w14:paraId="0B51CB07" w14:textId="77777777">
        <w:trPr>
          <w:cnfStyle w:val="100000000000" w:firstRow="1" w:lastRow="0" w:firstColumn="0" w:lastColumn="0" w:oddVBand="0" w:evenVBand="0" w:oddHBand="0"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6463" w:type="dxa"/>
            <w:vAlign w:val="center"/>
          </w:tcPr>
          <w:p w:rsidRPr="007129C6" w:rsidR="0095088E" w:rsidP="00FC2172" w:rsidRDefault="0095088E" w14:paraId="722F3829" w14:textId="77777777">
            <w:pPr>
              <w:pStyle w:val="SEOStandaard"/>
              <w:numPr>
                <w:ilvl w:val="0"/>
                <w:numId w:val="0"/>
              </w:numPr>
              <w:rPr>
                <w:rFonts w:ascii="Trebuchet MS" w:hAnsi="Trebuchet MS"/>
                <w:color w:val="FFFFFF" w:themeColor="background1"/>
                <w:sz w:val="18"/>
                <w:szCs w:val="18"/>
              </w:rPr>
            </w:pPr>
            <w:r w:rsidRPr="007129C6">
              <w:rPr>
                <w:rFonts w:ascii="Trebuchet MS" w:hAnsi="Trebuchet MS"/>
                <w:color w:val="FFFFFF" w:themeColor="background1"/>
                <w:sz w:val="18"/>
                <w:szCs w:val="18"/>
              </w:rPr>
              <w:t>In hoeverre zijn de volgende factoren bepalend geweest voor het succes van STO in uw regio?</w:t>
            </w:r>
          </w:p>
        </w:tc>
        <w:tc>
          <w:tcPr>
            <w:tcW w:w="567" w:type="dxa"/>
            <w:textDirection w:val="btLr"/>
            <w:vAlign w:val="center"/>
          </w:tcPr>
          <w:p w:rsidRPr="007129C6" w:rsidR="0095088E" w:rsidP="00C350BD" w:rsidRDefault="0095088E" w14:paraId="188A5E74" w14:textId="77777777">
            <w:pPr>
              <w:pStyle w:val="SEOStandaard"/>
              <w:numPr>
                <w:ilvl w:val="0"/>
                <w:numId w:val="0"/>
              </w:numPr>
              <w:ind w:left="113" w:right="113"/>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Gemiddelde</w:t>
            </w:r>
          </w:p>
        </w:tc>
        <w:tc>
          <w:tcPr>
            <w:tcW w:w="567" w:type="dxa"/>
            <w:textDirection w:val="btLr"/>
            <w:vAlign w:val="center"/>
          </w:tcPr>
          <w:p w:rsidRPr="007129C6" w:rsidR="0095088E" w:rsidP="00C350BD" w:rsidRDefault="0095088E" w14:paraId="0F564ECD" w14:textId="77777777">
            <w:pPr>
              <w:pStyle w:val="SEOStandaard"/>
              <w:numPr>
                <w:ilvl w:val="0"/>
                <w:numId w:val="0"/>
              </w:numPr>
              <w:ind w:left="113" w:right="113"/>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 voldoende</w:t>
            </w:r>
          </w:p>
        </w:tc>
        <w:tc>
          <w:tcPr>
            <w:tcW w:w="567" w:type="dxa"/>
            <w:textDirection w:val="btLr"/>
            <w:vAlign w:val="center"/>
          </w:tcPr>
          <w:p w:rsidRPr="007129C6" w:rsidR="0095088E" w:rsidP="00C350BD" w:rsidRDefault="0095088E" w14:paraId="7D19CCF6" w14:textId="77777777">
            <w:pPr>
              <w:pStyle w:val="SEOStandaard"/>
              <w:numPr>
                <w:ilvl w:val="0"/>
                <w:numId w:val="0"/>
              </w:numPr>
              <w:ind w:left="113" w:right="113"/>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 nvt</w:t>
            </w:r>
          </w:p>
        </w:tc>
        <w:tc>
          <w:tcPr>
            <w:tcW w:w="567" w:type="dxa"/>
            <w:textDirection w:val="btLr"/>
            <w:vAlign w:val="center"/>
          </w:tcPr>
          <w:p w:rsidRPr="007129C6" w:rsidR="0095088E" w:rsidP="00C350BD" w:rsidRDefault="0095088E" w14:paraId="61D8E5F0" w14:textId="26815927">
            <w:pPr>
              <w:pStyle w:val="SEOStandaard"/>
              <w:numPr>
                <w:ilvl w:val="0"/>
                <w:numId w:val="0"/>
              </w:numPr>
              <w:ind w:left="113" w:right="113"/>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 xml:space="preserve">Bijgedragen </w:t>
            </w:r>
            <w:r w:rsidR="00C350BD">
              <w:rPr>
                <w:rFonts w:ascii="Trebuchet MS" w:hAnsi="Trebuchet MS"/>
                <w:color w:val="FFFFFF" w:themeColor="background1"/>
                <w:sz w:val="18"/>
                <w:szCs w:val="18"/>
              </w:rPr>
              <w:br/>
            </w:r>
            <w:r w:rsidRPr="007129C6">
              <w:rPr>
                <w:rFonts w:ascii="Trebuchet MS" w:hAnsi="Trebuchet MS"/>
                <w:color w:val="FFFFFF" w:themeColor="background1"/>
                <w:sz w:val="18"/>
                <w:szCs w:val="18"/>
              </w:rPr>
              <w:t>(% 7-10)</w:t>
            </w:r>
          </w:p>
        </w:tc>
        <w:tc>
          <w:tcPr>
            <w:tcW w:w="567" w:type="dxa"/>
            <w:textDirection w:val="btLr"/>
            <w:vAlign w:val="center"/>
          </w:tcPr>
          <w:p w:rsidRPr="007129C6" w:rsidR="0095088E" w:rsidP="00C350BD" w:rsidRDefault="0095088E" w14:paraId="58FA09AB" w14:textId="5373955A">
            <w:pPr>
              <w:pStyle w:val="SEOStandaard"/>
              <w:numPr>
                <w:ilvl w:val="0"/>
                <w:numId w:val="0"/>
              </w:numPr>
              <w:ind w:left="113" w:right="113"/>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 xml:space="preserve">Belemmerend </w:t>
            </w:r>
            <w:r w:rsidR="00C350BD">
              <w:rPr>
                <w:rFonts w:ascii="Trebuchet MS" w:hAnsi="Trebuchet MS"/>
                <w:color w:val="FFFFFF" w:themeColor="background1"/>
                <w:sz w:val="18"/>
                <w:szCs w:val="18"/>
              </w:rPr>
              <w:br/>
            </w:r>
            <w:r w:rsidRPr="007129C6">
              <w:rPr>
                <w:rFonts w:ascii="Trebuchet MS" w:hAnsi="Trebuchet MS"/>
                <w:color w:val="FFFFFF" w:themeColor="background1"/>
                <w:sz w:val="18"/>
                <w:szCs w:val="18"/>
              </w:rPr>
              <w:t>(% 1-4)</w:t>
            </w:r>
          </w:p>
        </w:tc>
      </w:tr>
      <w:tr w:rsidRPr="007129C6" w:rsidR="0095088E" w:rsidTr="007E3B0C" w14:paraId="176E8235" w14:textId="77777777">
        <w:tc>
          <w:tcPr>
            <w:cnfStyle w:val="001000000000" w:firstRow="0" w:lastRow="0" w:firstColumn="1" w:lastColumn="0" w:oddVBand="0" w:evenVBand="0" w:oddHBand="0" w:evenHBand="0" w:firstRowFirstColumn="0" w:firstRowLastColumn="0" w:lastRowFirstColumn="0" w:lastRowLastColumn="0"/>
            <w:tcW w:w="6463" w:type="dxa"/>
          </w:tcPr>
          <w:p w:rsidRPr="007129C6" w:rsidR="0095088E" w:rsidP="00CE50FA" w:rsidRDefault="0095088E" w14:paraId="5BE68037" w14:textId="77777777">
            <w:pPr>
              <w:pStyle w:val="SEOStandaard"/>
              <w:numPr>
                <w:ilvl w:val="0"/>
                <w:numId w:val="0"/>
              </w:numPr>
              <w:jc w:val="left"/>
              <w:rPr>
                <w:rFonts w:ascii="Trebuchet MS" w:hAnsi="Trebuchet MS"/>
                <w:sz w:val="18"/>
                <w:szCs w:val="18"/>
              </w:rPr>
            </w:pPr>
            <w:r w:rsidRPr="007129C6">
              <w:rPr>
                <w:rFonts w:ascii="Trebuchet MS" w:hAnsi="Trebuchet MS"/>
                <w:sz w:val="18"/>
                <w:szCs w:val="18"/>
              </w:rPr>
              <w:t>De betrokkenheid van en mate van samenwerking met het basisonderwijs</w:t>
            </w:r>
          </w:p>
        </w:tc>
        <w:tc>
          <w:tcPr>
            <w:tcW w:w="567" w:type="dxa"/>
          </w:tcPr>
          <w:p w:rsidRPr="007129C6" w:rsidR="0095088E" w:rsidP="00FC2172" w:rsidRDefault="0095088E" w14:paraId="34D1B26C"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6,8</w:t>
            </w:r>
          </w:p>
        </w:tc>
        <w:tc>
          <w:tcPr>
            <w:tcW w:w="567" w:type="dxa"/>
          </w:tcPr>
          <w:p w:rsidRPr="007129C6" w:rsidR="0095088E" w:rsidP="00FC2172" w:rsidRDefault="0095088E" w14:paraId="6BB6970C"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71%</w:t>
            </w:r>
          </w:p>
        </w:tc>
        <w:tc>
          <w:tcPr>
            <w:tcW w:w="567" w:type="dxa"/>
          </w:tcPr>
          <w:p w:rsidRPr="007129C6" w:rsidR="0095088E" w:rsidP="00FC2172" w:rsidRDefault="0095088E" w14:paraId="56CDA1F1"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w:t>
            </w:r>
          </w:p>
        </w:tc>
        <w:tc>
          <w:tcPr>
            <w:tcW w:w="567" w:type="dxa"/>
          </w:tcPr>
          <w:p w:rsidRPr="007129C6" w:rsidR="0095088E" w:rsidP="00FC2172" w:rsidRDefault="0095088E" w14:paraId="29CA7AAF"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35%</w:t>
            </w:r>
          </w:p>
        </w:tc>
        <w:tc>
          <w:tcPr>
            <w:tcW w:w="567" w:type="dxa"/>
          </w:tcPr>
          <w:p w:rsidRPr="007129C6" w:rsidR="0095088E" w:rsidP="00FC2172" w:rsidRDefault="0095088E" w14:paraId="57D16723"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13%</w:t>
            </w:r>
          </w:p>
        </w:tc>
      </w:tr>
      <w:tr w:rsidRPr="007129C6" w:rsidR="0095088E" w:rsidTr="007E3B0C" w14:paraId="135EABBD" w14:textId="77777777">
        <w:tc>
          <w:tcPr>
            <w:cnfStyle w:val="001000000000" w:firstRow="0" w:lastRow="0" w:firstColumn="1" w:lastColumn="0" w:oddVBand="0" w:evenVBand="0" w:oddHBand="0" w:evenHBand="0" w:firstRowFirstColumn="0" w:firstRowLastColumn="0" w:lastRowFirstColumn="0" w:lastRowLastColumn="0"/>
            <w:tcW w:w="6463" w:type="dxa"/>
          </w:tcPr>
          <w:p w:rsidRPr="007129C6" w:rsidR="0095088E" w:rsidP="00CE50FA" w:rsidRDefault="0095088E" w14:paraId="0585F297" w14:textId="77777777">
            <w:pPr>
              <w:pStyle w:val="SEOStandaard"/>
              <w:numPr>
                <w:ilvl w:val="0"/>
                <w:numId w:val="0"/>
              </w:numPr>
              <w:jc w:val="left"/>
              <w:rPr>
                <w:rFonts w:ascii="Trebuchet MS" w:hAnsi="Trebuchet MS"/>
                <w:sz w:val="18"/>
                <w:szCs w:val="18"/>
              </w:rPr>
            </w:pPr>
            <w:r w:rsidRPr="007129C6">
              <w:rPr>
                <w:rFonts w:ascii="Trebuchet MS" w:hAnsi="Trebuchet MS"/>
                <w:sz w:val="18"/>
                <w:szCs w:val="18"/>
              </w:rPr>
              <w:t>De mate van samenwerking tussen vmbo-scholen techniek</w:t>
            </w:r>
          </w:p>
        </w:tc>
        <w:tc>
          <w:tcPr>
            <w:tcW w:w="567" w:type="dxa"/>
          </w:tcPr>
          <w:p w:rsidRPr="007129C6" w:rsidR="0095088E" w:rsidP="00FC2172" w:rsidRDefault="0095088E" w14:paraId="7EB83B55"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8,3</w:t>
            </w:r>
          </w:p>
        </w:tc>
        <w:tc>
          <w:tcPr>
            <w:tcW w:w="567" w:type="dxa"/>
          </w:tcPr>
          <w:p w:rsidRPr="007129C6" w:rsidR="0095088E" w:rsidP="00FC2172" w:rsidRDefault="0095088E" w14:paraId="7CC919B8"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94%</w:t>
            </w:r>
          </w:p>
        </w:tc>
        <w:tc>
          <w:tcPr>
            <w:tcW w:w="567" w:type="dxa"/>
          </w:tcPr>
          <w:p w:rsidRPr="007129C6" w:rsidR="0095088E" w:rsidP="00FC2172" w:rsidRDefault="0095088E" w14:paraId="49ECB323"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4%</w:t>
            </w:r>
          </w:p>
        </w:tc>
        <w:tc>
          <w:tcPr>
            <w:tcW w:w="567" w:type="dxa"/>
          </w:tcPr>
          <w:p w:rsidRPr="007129C6" w:rsidR="0095088E" w:rsidP="00FC2172" w:rsidRDefault="0095088E" w14:paraId="18A112F8"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65%</w:t>
            </w:r>
          </w:p>
        </w:tc>
        <w:tc>
          <w:tcPr>
            <w:tcW w:w="567" w:type="dxa"/>
          </w:tcPr>
          <w:p w:rsidRPr="007129C6" w:rsidR="0095088E" w:rsidP="00FC2172" w:rsidRDefault="0095088E" w14:paraId="766171FB"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w:t>
            </w:r>
          </w:p>
        </w:tc>
      </w:tr>
      <w:tr w:rsidRPr="007129C6" w:rsidR="0095088E" w:rsidTr="007E3B0C" w14:paraId="75F79D4B" w14:textId="77777777">
        <w:tc>
          <w:tcPr>
            <w:cnfStyle w:val="001000000000" w:firstRow="0" w:lastRow="0" w:firstColumn="1" w:lastColumn="0" w:oddVBand="0" w:evenVBand="0" w:oddHBand="0" w:evenHBand="0" w:firstRowFirstColumn="0" w:firstRowLastColumn="0" w:lastRowFirstColumn="0" w:lastRowLastColumn="0"/>
            <w:tcW w:w="6463" w:type="dxa"/>
          </w:tcPr>
          <w:p w:rsidRPr="007129C6" w:rsidR="0095088E" w:rsidP="00CE50FA" w:rsidRDefault="0095088E" w14:paraId="31EF2763" w14:textId="77777777">
            <w:pPr>
              <w:pStyle w:val="SEOStandaard"/>
              <w:numPr>
                <w:ilvl w:val="0"/>
                <w:numId w:val="0"/>
              </w:numPr>
              <w:jc w:val="left"/>
              <w:rPr>
                <w:rFonts w:ascii="Trebuchet MS" w:hAnsi="Trebuchet MS"/>
                <w:sz w:val="18"/>
                <w:szCs w:val="18"/>
              </w:rPr>
            </w:pPr>
            <w:r w:rsidRPr="007129C6">
              <w:rPr>
                <w:rFonts w:ascii="Trebuchet MS" w:hAnsi="Trebuchet MS"/>
                <w:sz w:val="18"/>
                <w:szCs w:val="18"/>
              </w:rPr>
              <w:t>De betrokkenheid van en mate van samenwerking met niet-technische vmbo-scholen</w:t>
            </w:r>
          </w:p>
        </w:tc>
        <w:tc>
          <w:tcPr>
            <w:tcW w:w="567" w:type="dxa"/>
          </w:tcPr>
          <w:p w:rsidRPr="007129C6" w:rsidR="0095088E" w:rsidP="00FC2172" w:rsidRDefault="0095088E" w14:paraId="3EC6BD82"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7,1</w:t>
            </w:r>
          </w:p>
        </w:tc>
        <w:tc>
          <w:tcPr>
            <w:tcW w:w="567" w:type="dxa"/>
          </w:tcPr>
          <w:p w:rsidRPr="007129C6" w:rsidR="0095088E" w:rsidP="00FC2172" w:rsidRDefault="0095088E" w14:paraId="6960F512"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69%</w:t>
            </w:r>
          </w:p>
        </w:tc>
        <w:tc>
          <w:tcPr>
            <w:tcW w:w="567" w:type="dxa"/>
          </w:tcPr>
          <w:p w:rsidRPr="007129C6" w:rsidR="0095088E" w:rsidP="00FC2172" w:rsidRDefault="0095088E" w14:paraId="47A6B35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19%</w:t>
            </w:r>
          </w:p>
        </w:tc>
        <w:tc>
          <w:tcPr>
            <w:tcW w:w="567" w:type="dxa"/>
          </w:tcPr>
          <w:p w:rsidRPr="007129C6" w:rsidR="0095088E" w:rsidP="00FC2172" w:rsidRDefault="0095088E" w14:paraId="613BF257"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29%</w:t>
            </w:r>
          </w:p>
        </w:tc>
        <w:tc>
          <w:tcPr>
            <w:tcW w:w="567" w:type="dxa"/>
          </w:tcPr>
          <w:p w:rsidRPr="007129C6" w:rsidR="0095088E" w:rsidP="00FC2172" w:rsidRDefault="0095088E" w14:paraId="53CCE19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w:t>
            </w:r>
          </w:p>
        </w:tc>
      </w:tr>
      <w:tr w:rsidRPr="007129C6" w:rsidR="0095088E" w:rsidTr="007E3B0C" w14:paraId="42829070" w14:textId="77777777">
        <w:tc>
          <w:tcPr>
            <w:cnfStyle w:val="001000000000" w:firstRow="0" w:lastRow="0" w:firstColumn="1" w:lastColumn="0" w:oddVBand="0" w:evenVBand="0" w:oddHBand="0" w:evenHBand="0" w:firstRowFirstColumn="0" w:firstRowLastColumn="0" w:lastRowFirstColumn="0" w:lastRowLastColumn="0"/>
            <w:tcW w:w="6463" w:type="dxa"/>
          </w:tcPr>
          <w:p w:rsidRPr="007129C6" w:rsidR="0095088E" w:rsidP="00CE50FA" w:rsidRDefault="0095088E" w14:paraId="375A49F9" w14:textId="77777777">
            <w:pPr>
              <w:pStyle w:val="SEOStandaard"/>
              <w:numPr>
                <w:ilvl w:val="0"/>
                <w:numId w:val="0"/>
              </w:numPr>
              <w:jc w:val="left"/>
              <w:rPr>
                <w:rFonts w:ascii="Trebuchet MS" w:hAnsi="Trebuchet MS"/>
                <w:sz w:val="18"/>
                <w:szCs w:val="18"/>
              </w:rPr>
            </w:pPr>
            <w:r w:rsidRPr="007129C6">
              <w:rPr>
                <w:rFonts w:ascii="Trebuchet MS" w:hAnsi="Trebuchet MS"/>
                <w:sz w:val="18"/>
                <w:szCs w:val="18"/>
              </w:rPr>
              <w:t>De betrokkenheid van en mate van samenwerking met het mbo</w:t>
            </w:r>
          </w:p>
        </w:tc>
        <w:tc>
          <w:tcPr>
            <w:tcW w:w="567" w:type="dxa"/>
          </w:tcPr>
          <w:p w:rsidRPr="007129C6" w:rsidR="0095088E" w:rsidP="00FC2172" w:rsidRDefault="0095088E" w14:paraId="1DD4958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6,5</w:t>
            </w:r>
          </w:p>
        </w:tc>
        <w:tc>
          <w:tcPr>
            <w:tcW w:w="567" w:type="dxa"/>
          </w:tcPr>
          <w:p w:rsidRPr="007129C6" w:rsidR="0095088E" w:rsidP="00FC2172" w:rsidRDefault="0095088E" w14:paraId="7F78F4C4"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63%</w:t>
            </w:r>
          </w:p>
        </w:tc>
        <w:tc>
          <w:tcPr>
            <w:tcW w:w="567" w:type="dxa"/>
          </w:tcPr>
          <w:p w:rsidRPr="007129C6" w:rsidR="0095088E" w:rsidP="00FC2172" w:rsidRDefault="0095088E" w14:paraId="5E530128"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567" w:type="dxa"/>
          </w:tcPr>
          <w:p w:rsidRPr="007129C6" w:rsidR="0095088E" w:rsidP="00FC2172" w:rsidRDefault="0095088E" w14:paraId="3160426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48%</w:t>
            </w:r>
          </w:p>
        </w:tc>
        <w:tc>
          <w:tcPr>
            <w:tcW w:w="567" w:type="dxa"/>
          </w:tcPr>
          <w:p w:rsidRPr="007129C6" w:rsidR="0095088E" w:rsidP="00FC2172" w:rsidRDefault="0095088E" w14:paraId="54E078A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25%</w:t>
            </w:r>
          </w:p>
        </w:tc>
      </w:tr>
      <w:tr w:rsidRPr="007129C6" w:rsidR="0095088E" w:rsidTr="007E3B0C" w14:paraId="4282C6C9" w14:textId="77777777">
        <w:tc>
          <w:tcPr>
            <w:cnfStyle w:val="001000000000" w:firstRow="0" w:lastRow="0" w:firstColumn="1" w:lastColumn="0" w:oddVBand="0" w:evenVBand="0" w:oddHBand="0" w:evenHBand="0" w:firstRowFirstColumn="0" w:firstRowLastColumn="0" w:lastRowFirstColumn="0" w:lastRowLastColumn="0"/>
            <w:tcW w:w="6463" w:type="dxa"/>
          </w:tcPr>
          <w:p w:rsidRPr="007129C6" w:rsidR="0095088E" w:rsidP="00CE50FA" w:rsidRDefault="0095088E" w14:paraId="25EC01BD" w14:textId="77777777">
            <w:pPr>
              <w:pStyle w:val="SEOStandaard"/>
              <w:numPr>
                <w:ilvl w:val="0"/>
                <w:numId w:val="0"/>
              </w:numPr>
              <w:jc w:val="left"/>
              <w:rPr>
                <w:rFonts w:ascii="Trebuchet MS" w:hAnsi="Trebuchet MS"/>
                <w:sz w:val="18"/>
                <w:szCs w:val="18"/>
              </w:rPr>
            </w:pPr>
            <w:r w:rsidRPr="007129C6">
              <w:rPr>
                <w:rFonts w:ascii="Trebuchet MS" w:hAnsi="Trebuchet MS"/>
                <w:sz w:val="18"/>
                <w:szCs w:val="18"/>
              </w:rPr>
              <w:t>De betrokkenheid van en mate van samenwerking met het regionale bedrijfsleven</w:t>
            </w:r>
          </w:p>
        </w:tc>
        <w:tc>
          <w:tcPr>
            <w:tcW w:w="567" w:type="dxa"/>
          </w:tcPr>
          <w:p w:rsidRPr="007129C6" w:rsidR="0095088E" w:rsidP="00FC2172" w:rsidRDefault="0095088E" w14:paraId="6A0B7C7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8,2</w:t>
            </w:r>
          </w:p>
        </w:tc>
        <w:tc>
          <w:tcPr>
            <w:tcW w:w="567" w:type="dxa"/>
          </w:tcPr>
          <w:p w:rsidRPr="007129C6" w:rsidR="0095088E" w:rsidP="00FC2172" w:rsidRDefault="0095088E" w14:paraId="55B29BAC"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92%</w:t>
            </w:r>
          </w:p>
        </w:tc>
        <w:tc>
          <w:tcPr>
            <w:tcW w:w="567" w:type="dxa"/>
          </w:tcPr>
          <w:p w:rsidRPr="007129C6" w:rsidR="0095088E" w:rsidP="00FC2172" w:rsidRDefault="0095088E" w14:paraId="400B096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567" w:type="dxa"/>
          </w:tcPr>
          <w:p w:rsidRPr="007129C6" w:rsidR="0095088E" w:rsidP="00FC2172" w:rsidRDefault="0095088E" w14:paraId="027467D3"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69%</w:t>
            </w:r>
          </w:p>
        </w:tc>
        <w:tc>
          <w:tcPr>
            <w:tcW w:w="567" w:type="dxa"/>
          </w:tcPr>
          <w:p w:rsidRPr="007129C6" w:rsidR="0095088E" w:rsidP="00FC2172" w:rsidRDefault="0095088E" w14:paraId="46BFADF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w:t>
            </w:r>
          </w:p>
        </w:tc>
      </w:tr>
      <w:tr w:rsidRPr="007129C6" w:rsidR="0095088E" w:rsidTr="007E3B0C" w14:paraId="54486A2D" w14:textId="77777777">
        <w:tc>
          <w:tcPr>
            <w:cnfStyle w:val="001000000000" w:firstRow="0" w:lastRow="0" w:firstColumn="1" w:lastColumn="0" w:oddVBand="0" w:evenVBand="0" w:oddHBand="0" w:evenHBand="0" w:firstRowFirstColumn="0" w:firstRowLastColumn="0" w:lastRowFirstColumn="0" w:lastRowLastColumn="0"/>
            <w:tcW w:w="6463" w:type="dxa"/>
          </w:tcPr>
          <w:p w:rsidRPr="007129C6" w:rsidR="0095088E" w:rsidP="00CE50FA" w:rsidRDefault="0095088E" w14:paraId="2E10F1E0" w14:textId="77777777">
            <w:pPr>
              <w:pStyle w:val="SEOStandaard"/>
              <w:numPr>
                <w:ilvl w:val="0"/>
                <w:numId w:val="0"/>
              </w:numPr>
              <w:jc w:val="left"/>
              <w:rPr>
                <w:rFonts w:ascii="Trebuchet MS" w:hAnsi="Trebuchet MS"/>
                <w:sz w:val="18"/>
                <w:szCs w:val="18"/>
              </w:rPr>
            </w:pPr>
            <w:r w:rsidRPr="007129C6">
              <w:rPr>
                <w:rFonts w:ascii="Trebuchet MS" w:hAnsi="Trebuchet MS"/>
                <w:sz w:val="18"/>
                <w:szCs w:val="18"/>
              </w:rPr>
              <w:t>De beschikbaarheid van voldoende techniekdocenten</w:t>
            </w:r>
          </w:p>
        </w:tc>
        <w:tc>
          <w:tcPr>
            <w:tcW w:w="567" w:type="dxa"/>
          </w:tcPr>
          <w:p w:rsidRPr="007129C6" w:rsidR="0095088E" w:rsidP="00FC2172" w:rsidRDefault="0095088E" w14:paraId="5B1BE495"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6,8</w:t>
            </w:r>
          </w:p>
        </w:tc>
        <w:tc>
          <w:tcPr>
            <w:tcW w:w="567" w:type="dxa"/>
          </w:tcPr>
          <w:p w:rsidRPr="007129C6" w:rsidR="0095088E" w:rsidP="00FC2172" w:rsidRDefault="0095088E" w14:paraId="581D098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73%</w:t>
            </w:r>
          </w:p>
        </w:tc>
        <w:tc>
          <w:tcPr>
            <w:tcW w:w="567" w:type="dxa"/>
          </w:tcPr>
          <w:p w:rsidRPr="007129C6" w:rsidR="0095088E" w:rsidP="00FC2172" w:rsidRDefault="0095088E" w14:paraId="6D03ABB4"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567" w:type="dxa"/>
          </w:tcPr>
          <w:p w:rsidRPr="007129C6" w:rsidR="0095088E" w:rsidP="00FC2172" w:rsidRDefault="0095088E" w14:paraId="40DEF78D"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50%</w:t>
            </w:r>
          </w:p>
        </w:tc>
        <w:tc>
          <w:tcPr>
            <w:tcW w:w="567" w:type="dxa"/>
          </w:tcPr>
          <w:p w:rsidRPr="007129C6" w:rsidR="0095088E" w:rsidP="00FC2172" w:rsidRDefault="0095088E" w14:paraId="44CBAA13"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17%</w:t>
            </w:r>
          </w:p>
        </w:tc>
      </w:tr>
      <w:tr w:rsidRPr="007129C6" w:rsidR="0095088E" w:rsidTr="007E3B0C" w14:paraId="154624D6" w14:textId="77777777">
        <w:tc>
          <w:tcPr>
            <w:cnfStyle w:val="001000000000" w:firstRow="0" w:lastRow="0" w:firstColumn="1" w:lastColumn="0" w:oddVBand="0" w:evenVBand="0" w:oddHBand="0" w:evenHBand="0" w:firstRowFirstColumn="0" w:firstRowLastColumn="0" w:lastRowFirstColumn="0" w:lastRowLastColumn="0"/>
            <w:tcW w:w="6463" w:type="dxa"/>
          </w:tcPr>
          <w:p w:rsidRPr="007129C6" w:rsidR="0095088E" w:rsidP="00CE50FA" w:rsidRDefault="0095088E" w14:paraId="791E20ED" w14:textId="77777777">
            <w:pPr>
              <w:pStyle w:val="SEOStandaard"/>
              <w:numPr>
                <w:ilvl w:val="0"/>
                <w:numId w:val="0"/>
              </w:numPr>
              <w:jc w:val="left"/>
              <w:rPr>
                <w:rFonts w:ascii="Trebuchet MS" w:hAnsi="Trebuchet MS"/>
                <w:sz w:val="18"/>
                <w:szCs w:val="18"/>
              </w:rPr>
            </w:pPr>
            <w:r w:rsidRPr="007129C6">
              <w:rPr>
                <w:rFonts w:ascii="Trebuchet MS" w:hAnsi="Trebuchet MS"/>
                <w:sz w:val="18"/>
                <w:szCs w:val="18"/>
              </w:rPr>
              <w:t>Commitment bij bestuurders</w:t>
            </w:r>
          </w:p>
        </w:tc>
        <w:tc>
          <w:tcPr>
            <w:tcW w:w="567" w:type="dxa"/>
          </w:tcPr>
          <w:p w:rsidRPr="007129C6" w:rsidR="0095088E" w:rsidP="00FC2172" w:rsidRDefault="0095088E" w14:paraId="13E2297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7,9</w:t>
            </w:r>
          </w:p>
        </w:tc>
        <w:tc>
          <w:tcPr>
            <w:tcW w:w="567" w:type="dxa"/>
          </w:tcPr>
          <w:p w:rsidRPr="007129C6" w:rsidR="0095088E" w:rsidP="00FC2172" w:rsidRDefault="0095088E" w14:paraId="665DC6B8"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90%</w:t>
            </w:r>
          </w:p>
        </w:tc>
        <w:tc>
          <w:tcPr>
            <w:tcW w:w="567" w:type="dxa"/>
          </w:tcPr>
          <w:p w:rsidRPr="007129C6" w:rsidR="0095088E" w:rsidP="00FC2172" w:rsidRDefault="0095088E" w14:paraId="369D70CA"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w:t>
            </w:r>
          </w:p>
        </w:tc>
        <w:tc>
          <w:tcPr>
            <w:tcW w:w="567" w:type="dxa"/>
          </w:tcPr>
          <w:p w:rsidRPr="007129C6" w:rsidR="0095088E" w:rsidP="00FC2172" w:rsidRDefault="0095088E" w14:paraId="50FCB718"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63%</w:t>
            </w:r>
          </w:p>
        </w:tc>
        <w:tc>
          <w:tcPr>
            <w:tcW w:w="567" w:type="dxa"/>
          </w:tcPr>
          <w:p w:rsidRPr="007129C6" w:rsidR="0095088E" w:rsidP="00FC2172" w:rsidRDefault="0095088E" w14:paraId="0A08F907"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w:t>
            </w:r>
          </w:p>
        </w:tc>
      </w:tr>
      <w:tr w:rsidRPr="007129C6" w:rsidR="0095088E" w:rsidTr="007E3B0C" w14:paraId="3D552A6D" w14:textId="77777777">
        <w:tc>
          <w:tcPr>
            <w:cnfStyle w:val="001000000000" w:firstRow="0" w:lastRow="0" w:firstColumn="1" w:lastColumn="0" w:oddVBand="0" w:evenVBand="0" w:oddHBand="0" w:evenHBand="0" w:firstRowFirstColumn="0" w:firstRowLastColumn="0" w:lastRowFirstColumn="0" w:lastRowLastColumn="0"/>
            <w:tcW w:w="6463" w:type="dxa"/>
          </w:tcPr>
          <w:p w:rsidRPr="007129C6" w:rsidR="0095088E" w:rsidP="00CE50FA" w:rsidRDefault="0095088E" w14:paraId="3EFFEE6C" w14:textId="77777777">
            <w:pPr>
              <w:pStyle w:val="SEOStandaard"/>
              <w:numPr>
                <w:ilvl w:val="0"/>
                <w:numId w:val="0"/>
              </w:numPr>
              <w:jc w:val="left"/>
              <w:rPr>
                <w:rFonts w:ascii="Trebuchet MS" w:hAnsi="Trebuchet MS"/>
                <w:sz w:val="18"/>
                <w:szCs w:val="18"/>
              </w:rPr>
            </w:pPr>
            <w:r w:rsidRPr="007129C6">
              <w:rPr>
                <w:rFonts w:ascii="Trebuchet MS" w:hAnsi="Trebuchet MS"/>
                <w:sz w:val="18"/>
                <w:szCs w:val="18"/>
              </w:rPr>
              <w:t xml:space="preserve">Continuïteit van personen in de programmaorganisatie </w:t>
            </w:r>
          </w:p>
        </w:tc>
        <w:tc>
          <w:tcPr>
            <w:tcW w:w="567" w:type="dxa"/>
          </w:tcPr>
          <w:p w:rsidRPr="007129C6" w:rsidR="0095088E" w:rsidP="00FC2172" w:rsidRDefault="0095088E" w14:paraId="7B6A866A"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6,6</w:t>
            </w:r>
          </w:p>
        </w:tc>
        <w:tc>
          <w:tcPr>
            <w:tcW w:w="567" w:type="dxa"/>
          </w:tcPr>
          <w:p w:rsidRPr="007129C6" w:rsidR="0095088E" w:rsidP="00FC2172" w:rsidRDefault="0095088E" w14:paraId="40B380E7"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69%</w:t>
            </w:r>
          </w:p>
        </w:tc>
        <w:tc>
          <w:tcPr>
            <w:tcW w:w="567" w:type="dxa"/>
          </w:tcPr>
          <w:p w:rsidRPr="007129C6" w:rsidR="0095088E" w:rsidP="00FC2172" w:rsidRDefault="0095088E" w14:paraId="4164E314"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567" w:type="dxa"/>
          </w:tcPr>
          <w:p w:rsidRPr="007129C6" w:rsidR="0095088E" w:rsidP="00FC2172" w:rsidRDefault="0095088E" w14:paraId="566842D7"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46%</w:t>
            </w:r>
          </w:p>
        </w:tc>
        <w:tc>
          <w:tcPr>
            <w:tcW w:w="567" w:type="dxa"/>
          </w:tcPr>
          <w:p w:rsidRPr="007129C6" w:rsidR="0095088E" w:rsidP="00FC2172" w:rsidRDefault="0095088E" w14:paraId="78D9245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23%</w:t>
            </w:r>
          </w:p>
        </w:tc>
      </w:tr>
      <w:tr w:rsidRPr="007129C6" w:rsidR="0095088E" w:rsidTr="007E3B0C" w14:paraId="0C0E19B7" w14:textId="77777777">
        <w:tc>
          <w:tcPr>
            <w:cnfStyle w:val="001000000000" w:firstRow="0" w:lastRow="0" w:firstColumn="1" w:lastColumn="0" w:oddVBand="0" w:evenVBand="0" w:oddHBand="0" w:evenHBand="0" w:firstRowFirstColumn="0" w:firstRowLastColumn="0" w:lastRowFirstColumn="0" w:lastRowLastColumn="0"/>
            <w:tcW w:w="6463" w:type="dxa"/>
          </w:tcPr>
          <w:p w:rsidRPr="007129C6" w:rsidR="0095088E" w:rsidP="00CE50FA" w:rsidRDefault="0095088E" w14:paraId="0749703E" w14:textId="77777777">
            <w:pPr>
              <w:pStyle w:val="SEOStandaard"/>
              <w:numPr>
                <w:ilvl w:val="0"/>
                <w:numId w:val="0"/>
              </w:numPr>
              <w:jc w:val="left"/>
              <w:rPr>
                <w:rFonts w:ascii="Trebuchet MS" w:hAnsi="Trebuchet MS"/>
                <w:sz w:val="18"/>
                <w:szCs w:val="18"/>
              </w:rPr>
            </w:pPr>
            <w:r w:rsidRPr="007129C6">
              <w:rPr>
                <w:rFonts w:ascii="Trebuchet MS" w:hAnsi="Trebuchet MS"/>
                <w:sz w:val="18"/>
                <w:szCs w:val="18"/>
              </w:rPr>
              <w:t>Continuïteit van de inhoud van het plan en de programmalijnen</w:t>
            </w:r>
          </w:p>
        </w:tc>
        <w:tc>
          <w:tcPr>
            <w:tcW w:w="567" w:type="dxa"/>
          </w:tcPr>
          <w:p w:rsidRPr="007129C6" w:rsidR="0095088E" w:rsidP="00FC2172" w:rsidRDefault="0095088E" w14:paraId="2763A96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8,1</w:t>
            </w:r>
          </w:p>
        </w:tc>
        <w:tc>
          <w:tcPr>
            <w:tcW w:w="567" w:type="dxa"/>
          </w:tcPr>
          <w:p w:rsidRPr="007129C6" w:rsidR="0095088E" w:rsidP="00FC2172" w:rsidRDefault="0095088E" w14:paraId="3567AF90"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94%</w:t>
            </w:r>
          </w:p>
        </w:tc>
        <w:tc>
          <w:tcPr>
            <w:tcW w:w="567" w:type="dxa"/>
          </w:tcPr>
          <w:p w:rsidRPr="007129C6" w:rsidR="0095088E" w:rsidP="00FC2172" w:rsidRDefault="0095088E" w14:paraId="65C6EF8B"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567" w:type="dxa"/>
          </w:tcPr>
          <w:p w:rsidRPr="007129C6" w:rsidR="0095088E" w:rsidP="00FC2172" w:rsidRDefault="0095088E" w14:paraId="1BE0853C"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69%</w:t>
            </w:r>
          </w:p>
        </w:tc>
        <w:tc>
          <w:tcPr>
            <w:tcW w:w="567" w:type="dxa"/>
          </w:tcPr>
          <w:p w:rsidRPr="007129C6" w:rsidR="0095088E" w:rsidP="00FC2172" w:rsidRDefault="0095088E" w14:paraId="0F640B31"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4%</w:t>
            </w:r>
          </w:p>
        </w:tc>
      </w:tr>
    </w:tbl>
    <w:p w:rsidRPr="00283B39" w:rsidR="0095088E" w:rsidP="00283B39" w:rsidRDefault="00BB3F8E" w14:paraId="13FD3CD4" w14:textId="2B252681">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 xml:space="preserve">Bron: </w:t>
      </w:r>
      <w:r w:rsidRPr="00283B39" w:rsidR="0095088E">
        <w:rPr>
          <w:rFonts w:ascii="Trebuchet MS" w:hAnsi="Trebuchet MS"/>
          <w:color w:val="auto"/>
          <w:sz w:val="18"/>
          <w:szCs w:val="18"/>
        </w:rPr>
        <w:t xml:space="preserve">Enquête programmaleiders STO (april 2025).  </w:t>
      </w:r>
    </w:p>
    <w:p w:rsidRPr="007129C6" w:rsidR="0095088E" w:rsidP="0095088E" w:rsidRDefault="0095088E" w14:paraId="75133F18" w14:textId="77777777">
      <w:pPr>
        <w:pStyle w:val="SEOStandaardBron"/>
        <w:rPr>
          <w:rFonts w:ascii="Trebuchet MS" w:hAnsi="Trebuchet MS"/>
          <w:sz w:val="18"/>
          <w:szCs w:val="18"/>
        </w:rPr>
      </w:pPr>
    </w:p>
    <w:p w:rsidRPr="00283B39" w:rsidR="0095088E" w:rsidP="0095088E" w:rsidRDefault="0095088E" w14:paraId="466FE053" w14:textId="77777777">
      <w:pPr>
        <w:pStyle w:val="SEOStandaard"/>
        <w:rPr>
          <w:rFonts w:ascii="Trebuchet MS" w:hAnsi="Trebuchet MS"/>
          <w:color w:val="auto"/>
          <w:sz w:val="18"/>
          <w:szCs w:val="18"/>
        </w:rPr>
      </w:pPr>
      <w:r w:rsidRPr="00283B39">
        <w:rPr>
          <w:rFonts w:ascii="Trebuchet MS" w:hAnsi="Trebuchet MS"/>
          <w:color w:val="auto"/>
          <w:sz w:val="18"/>
          <w:szCs w:val="18"/>
        </w:rPr>
        <w:t xml:space="preserve">De tabel laat zien dat volgens de programmaleiders de voornaamste bepalende factoren zijn: de mate van samenwerking tussen vmbo-scholen techniek, betrokkenheid van en mate van samenwerking met het regionale bedrijfsleven, continuïteit van de inhoud van het plan en de programmalijnen, en commitment bij bestuurders. Deze factoren hebben de hoogste gemiddeldes (rond de 8), zijn het vaakst voldoende (9 op de 10) en leveren het vaakst een bijdrage (63 procent of meer). </w:t>
      </w:r>
    </w:p>
    <w:p w:rsidRPr="00283B39" w:rsidR="0095088E" w:rsidP="0095088E" w:rsidRDefault="0095088E" w14:paraId="07BA91D4" w14:textId="77777777">
      <w:pPr>
        <w:pStyle w:val="SEOStandaard"/>
        <w:rPr>
          <w:rFonts w:ascii="Trebuchet MS" w:hAnsi="Trebuchet MS"/>
          <w:color w:val="auto"/>
          <w:sz w:val="18"/>
          <w:szCs w:val="18"/>
        </w:rPr>
      </w:pPr>
    </w:p>
    <w:p w:rsidRPr="00283B39" w:rsidR="0095088E" w:rsidP="0095088E" w:rsidRDefault="0095088E" w14:paraId="4CFDA1D3" w14:textId="77777777">
      <w:pPr>
        <w:pStyle w:val="SEOStandaard"/>
        <w:rPr>
          <w:rFonts w:ascii="Trebuchet MS" w:hAnsi="Trebuchet MS"/>
          <w:color w:val="auto"/>
          <w:sz w:val="18"/>
          <w:szCs w:val="18"/>
        </w:rPr>
      </w:pPr>
      <w:r w:rsidRPr="00283B39">
        <w:rPr>
          <w:rFonts w:ascii="Trebuchet MS" w:hAnsi="Trebuchet MS"/>
          <w:color w:val="auto"/>
          <w:sz w:val="18"/>
          <w:szCs w:val="18"/>
        </w:rPr>
        <w:t xml:space="preserve">Programmaleiders geven aan dat minder bepalende factoren zijn geweest: de betrokkenheid van en mate van samenwerking met het mbo, continuïteit van personen in de programmaorganisatie, de betrokkenheid van en mate van samenwerking met het basisonderwijs, en de beschikbaarheid van voldoende techniekdocenten. De factoren hebben lagere gemiddeldes (rond 6,5), zijn minder vaak voldoende (7 op de 10 of minder) en leveren vaker </w:t>
      </w:r>
      <w:r w:rsidRPr="00283B39">
        <w:rPr>
          <w:rFonts w:ascii="Trebuchet MS" w:hAnsi="Trebuchet MS"/>
          <w:color w:val="auto"/>
          <w:sz w:val="18"/>
          <w:szCs w:val="18"/>
        </w:rPr>
        <w:lastRenderedPageBreak/>
        <w:t>belemmeringen op (13 tot 25 procent). Een hoog aandeel niet van toepassing is zichtbaar bij de betrokkenheid van en mate van samenwerking met niet-technische vmbo-scholen (bijna 2 op de 10).</w:t>
      </w:r>
    </w:p>
    <w:p w:rsidRPr="00283B39" w:rsidR="0095088E" w:rsidP="0095088E" w:rsidRDefault="0095088E" w14:paraId="13B10CA7" w14:textId="77777777">
      <w:pPr>
        <w:pStyle w:val="SEOStandaard"/>
        <w:rPr>
          <w:rFonts w:ascii="Trebuchet MS" w:hAnsi="Trebuchet MS"/>
          <w:color w:val="auto"/>
          <w:sz w:val="18"/>
          <w:szCs w:val="18"/>
        </w:rPr>
      </w:pPr>
    </w:p>
    <w:p w:rsidRPr="00283B39" w:rsidR="00BB3F8E" w:rsidP="0095088E" w:rsidRDefault="0095088E" w14:paraId="7B67ADC4" w14:textId="77777777">
      <w:pPr>
        <w:pStyle w:val="SEOStandaard"/>
        <w:rPr>
          <w:rFonts w:ascii="Trebuchet MS" w:hAnsi="Trebuchet MS"/>
          <w:color w:val="auto"/>
          <w:sz w:val="18"/>
          <w:szCs w:val="18"/>
        </w:rPr>
      </w:pPr>
      <w:r w:rsidRPr="00283B39">
        <w:rPr>
          <w:rFonts w:ascii="Trebuchet MS" w:hAnsi="Trebuchet MS"/>
          <w:color w:val="auto"/>
          <w:sz w:val="18"/>
          <w:szCs w:val="18"/>
        </w:rPr>
        <w:t>De percentages voldoendes en de gemiddeldes zijn hoger onder programmaleiders met regionaal beheer middelen in vergelijking met programmaleiders met verdeelsleutel middelen. Dit is met name zichtbaar bij:  betrokkenheid van en mate van samenwerking met niet-technische vmbo-scholen, betrokkenheid van en mate van samenwerking met het mbo en continuïteit van personen in de programmaorganisatie.</w:t>
      </w:r>
    </w:p>
    <w:p w:rsidRPr="00283B39" w:rsidR="0095088E" w:rsidP="00283B39" w:rsidRDefault="0095088E" w14:paraId="0A3F1EB0" w14:textId="2307C044">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 xml:space="preserve"> </w:t>
      </w:r>
    </w:p>
    <w:p w:rsidR="0095088E" w:rsidP="0095088E" w:rsidRDefault="0095088E" w14:paraId="32890C5F" w14:textId="1C7B502B">
      <w:pPr>
        <w:pStyle w:val="SEOStandaardB"/>
        <w:numPr>
          <w:ilvl w:val="0"/>
          <w:numId w:val="0"/>
        </w:numPr>
        <w:rPr>
          <w:rFonts w:ascii="Trebuchet MS" w:hAnsi="Trebuchet MS"/>
          <w:color w:val="auto"/>
          <w:sz w:val="18"/>
          <w:szCs w:val="18"/>
        </w:rPr>
      </w:pPr>
      <w:r w:rsidRPr="00283B39">
        <w:rPr>
          <w:rFonts w:ascii="Trebuchet MS" w:hAnsi="Trebuchet MS"/>
          <w:color w:val="auto"/>
          <w:sz w:val="18"/>
          <w:szCs w:val="18"/>
        </w:rPr>
        <w:t xml:space="preserve">Ook is aan de programmaleiders de vraag voorgelegd in welke mate de STO-middelen bepalend zijn geweest voor de continuïteit van het gerealiseerd aanbod (figuur </w:t>
      </w:r>
      <w:r w:rsidRPr="00283B39" w:rsidR="00BB3F8E">
        <w:rPr>
          <w:rFonts w:ascii="Trebuchet MS" w:hAnsi="Trebuchet MS"/>
          <w:color w:val="auto"/>
          <w:sz w:val="18"/>
          <w:szCs w:val="18"/>
        </w:rPr>
        <w:t>4</w:t>
      </w:r>
      <w:r w:rsidRPr="00283B39">
        <w:rPr>
          <w:rFonts w:ascii="Trebuchet MS" w:hAnsi="Trebuchet MS"/>
          <w:color w:val="auto"/>
          <w:sz w:val="18"/>
          <w:szCs w:val="18"/>
        </w:rPr>
        <w:t xml:space="preserve">.10). </w:t>
      </w:r>
    </w:p>
    <w:p w:rsidRPr="00283B39" w:rsidR="00BB3F8E" w:rsidP="00283B39" w:rsidRDefault="00BB3F8E" w14:paraId="64D1D7BD" w14:textId="77777777">
      <w:pPr>
        <w:pStyle w:val="SEOStandaard"/>
      </w:pPr>
    </w:p>
    <w:p w:rsidRPr="00283B39" w:rsidR="0095088E" w:rsidP="00283B39" w:rsidRDefault="00BB3F8E" w14:paraId="4EAC6876" w14:textId="65CB3CAF">
      <w:pPr>
        <w:pStyle w:val="Figuur"/>
        <w:rPr>
          <w:rFonts w:ascii="Trebuchet MS" w:hAnsi="Trebuchet MS"/>
          <w:i/>
          <w:sz w:val="18"/>
          <w:szCs w:val="18"/>
        </w:rPr>
      </w:pPr>
      <w:r>
        <w:rPr>
          <w:rFonts w:ascii="Trebuchet MS" w:hAnsi="Trebuchet MS" w:eastAsiaTheme="minorEastAsia" w:cstheme="minorBidi"/>
          <w:i/>
          <w:iCs/>
          <w:noProof w:val="0"/>
          <w:sz w:val="18"/>
          <w:szCs w:val="18"/>
          <w:lang w:eastAsia="en-US"/>
        </w:rPr>
        <w:t>Figuur</w:t>
      </w:r>
      <w:r w:rsidRPr="00283B39">
        <w:rPr>
          <w:rFonts w:ascii="Trebuchet MS" w:hAnsi="Trebuchet MS" w:eastAsiaTheme="minorEastAsia" w:cstheme="minorBidi"/>
          <w:i/>
          <w:iCs/>
          <w:noProof w:val="0"/>
          <w:sz w:val="18"/>
          <w:szCs w:val="18"/>
          <w:lang w:eastAsia="en-US"/>
        </w:rPr>
        <w:t xml:space="preserve"> 4.10. </w:t>
      </w:r>
      <w:r w:rsidRPr="00283B39" w:rsidR="0095088E">
        <w:rPr>
          <w:rFonts w:ascii="Trebuchet MS" w:hAnsi="Trebuchet MS" w:eastAsiaTheme="minorEastAsia" w:cstheme="minorBidi"/>
          <w:i/>
          <w:sz w:val="18"/>
          <w:szCs w:val="18"/>
          <w:lang w:eastAsia="en-US"/>
        </w:rPr>
        <w:t>Mate waarin STO-middelen bepalend zijn voor continuïteit van gerealiseerd aanbod</w:t>
      </w:r>
    </w:p>
    <w:p w:rsidRPr="007129C6" w:rsidR="0095088E" w:rsidP="0095088E" w:rsidRDefault="0095088E" w14:paraId="47304970" w14:textId="77777777">
      <w:pPr>
        <w:pStyle w:val="SEOStandaard"/>
        <w:numPr>
          <w:ilvl w:val="0"/>
          <w:numId w:val="0"/>
        </w:numPr>
        <w:rPr>
          <w:rFonts w:ascii="Trebuchet MS" w:hAnsi="Trebuchet MS"/>
          <w:sz w:val="18"/>
          <w:szCs w:val="18"/>
        </w:rPr>
      </w:pPr>
      <w:r w:rsidRPr="007129C6">
        <w:rPr>
          <w:rFonts w:ascii="Trebuchet MS" w:hAnsi="Trebuchet MS"/>
          <w:noProof/>
          <w:sz w:val="18"/>
          <w:szCs w:val="18"/>
        </w:rPr>
        <w:drawing>
          <wp:inline distT="0" distB="0" distL="0" distR="0" wp14:anchorId="5E6B556D" wp14:editId="22B85BC0">
            <wp:extent cx="5940000" cy="3600000"/>
            <wp:effectExtent l="0" t="0" r="3810" b="635"/>
            <wp:docPr id="2108852050" name="Grafiek 1">
              <a:extLst xmlns:a="http://schemas.openxmlformats.org/drawingml/2006/main">
                <a:ext uri="{FF2B5EF4-FFF2-40B4-BE49-F238E27FC236}">
                  <a16:creationId xmlns:a16="http://schemas.microsoft.com/office/drawing/2014/main" id="{272FC630-BB80-E301-E1C1-18DBBAB674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Pr="00283B39" w:rsidR="0095088E" w:rsidP="00283B39" w:rsidRDefault="00BB3F8E" w14:paraId="227E2DF9" w14:textId="0EDA5B38">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 xml:space="preserve">Bron: </w:t>
      </w:r>
      <w:r w:rsidRPr="00283B39" w:rsidR="0095088E">
        <w:rPr>
          <w:rFonts w:ascii="Trebuchet MS" w:hAnsi="Trebuchet MS"/>
          <w:color w:val="auto"/>
          <w:sz w:val="18"/>
          <w:szCs w:val="18"/>
        </w:rPr>
        <w:t xml:space="preserve">Enquête programmaleiders STO (april 2025).  </w:t>
      </w:r>
    </w:p>
    <w:p w:rsidRPr="00283B39" w:rsidR="0095088E" w:rsidP="0095088E" w:rsidRDefault="0095088E" w14:paraId="5DB66C97" w14:textId="77777777">
      <w:pPr>
        <w:pStyle w:val="SEOOpsommingBulletL1"/>
        <w:numPr>
          <w:ilvl w:val="0"/>
          <w:numId w:val="0"/>
        </w:numPr>
        <w:rPr>
          <w:rFonts w:ascii="Trebuchet MS" w:hAnsi="Trebuchet MS"/>
          <w:color w:val="auto"/>
          <w:sz w:val="18"/>
          <w:szCs w:val="18"/>
        </w:rPr>
      </w:pPr>
    </w:p>
    <w:p w:rsidRPr="00283B39" w:rsidR="0095088E" w:rsidP="0095088E" w:rsidRDefault="0095088E" w14:paraId="3A70D378" w14:textId="6241371D">
      <w:pPr>
        <w:pStyle w:val="SEOStandaard"/>
        <w:rPr>
          <w:rFonts w:ascii="Trebuchet MS" w:hAnsi="Trebuchet MS"/>
          <w:color w:val="auto"/>
          <w:sz w:val="18"/>
          <w:szCs w:val="18"/>
        </w:rPr>
      </w:pPr>
      <w:r w:rsidRPr="00283B39">
        <w:rPr>
          <w:rFonts w:ascii="Trebuchet MS" w:hAnsi="Trebuchet MS"/>
          <w:color w:val="auto"/>
          <w:sz w:val="18"/>
          <w:szCs w:val="18"/>
        </w:rPr>
        <w:t>Programmaleiders geven aan dat STO-middelen (sterk) bepalend zijn voor het realiseren van betrokkenheid en samenwerking met partners en nodig om het verouderd materiaal te vernieuwen (9 op de 10). Een (kleine) meerderheid van de programmaleiders (bijna 6 op de 10) geeft aan dat bij het wegvallen van de subsidie de betrokkenheid/samenwerking met partners en een groot deel van de gerealiseerde activiteiten zou verdwijnen.  Een kwart tot bijna een derde van de programmaleiders antwoordt hier</w:t>
      </w:r>
      <w:r w:rsidRPr="00283B39" w:rsidR="00BB3F8E">
        <w:rPr>
          <w:rFonts w:ascii="Trebuchet MS" w:hAnsi="Trebuchet MS"/>
          <w:color w:val="auto"/>
          <w:sz w:val="18"/>
          <w:szCs w:val="18"/>
        </w:rPr>
        <w:t xml:space="preserve"> </w:t>
      </w:r>
      <w:r w:rsidRPr="00283B39">
        <w:rPr>
          <w:rFonts w:ascii="Trebuchet MS" w:hAnsi="Trebuchet MS"/>
          <w:color w:val="auto"/>
          <w:sz w:val="18"/>
          <w:szCs w:val="18"/>
        </w:rPr>
        <w:t>neutraal op.</w:t>
      </w:r>
    </w:p>
    <w:p w:rsidRPr="00283B39" w:rsidR="0095088E" w:rsidP="0095088E" w:rsidRDefault="0095088E" w14:paraId="156D6AAD" w14:textId="77777777">
      <w:pPr>
        <w:pStyle w:val="SEOStandaard"/>
        <w:numPr>
          <w:ilvl w:val="0"/>
          <w:numId w:val="0"/>
        </w:numPr>
        <w:rPr>
          <w:rFonts w:ascii="Trebuchet MS" w:hAnsi="Trebuchet MS"/>
          <w:color w:val="auto"/>
          <w:sz w:val="18"/>
          <w:szCs w:val="18"/>
        </w:rPr>
      </w:pPr>
    </w:p>
    <w:p w:rsidRPr="00283B39" w:rsidR="0095088E" w:rsidP="0095088E" w:rsidRDefault="0095088E" w14:paraId="3935F50B" w14:textId="77777777">
      <w:pPr>
        <w:pStyle w:val="SEOStandaard"/>
        <w:rPr>
          <w:rFonts w:ascii="Trebuchet MS" w:hAnsi="Trebuchet MS"/>
          <w:color w:val="auto"/>
          <w:sz w:val="18"/>
          <w:szCs w:val="18"/>
        </w:rPr>
      </w:pPr>
      <w:r w:rsidRPr="00283B39">
        <w:rPr>
          <w:rFonts w:ascii="Trebuchet MS" w:hAnsi="Trebuchet MS"/>
          <w:color w:val="auto"/>
          <w:sz w:val="18"/>
          <w:szCs w:val="18"/>
        </w:rPr>
        <w:t>Op dit moment worden de STO-middelen geoormerkt via een subsidie over de regio’s verdeeld. Aan de programmaleiders is gevraagd naar het effect als de STO-middelen voortaan in de lumpsum voor scholen opgenomen zou worden. Bijna de helft van de programmaleiders geeft aan dat ze ook met bekostiging via de lumpsum kunnen blijven aanbieden wat ze nu hebben, maar 4 op de 10 denkt van niet.  Een groter deel - twee derde deel - geeft ook aan dat de aandacht voor techniek zal afzwakken bij toevoeging van de STO-middelen aan de lumpsum.</w:t>
      </w:r>
    </w:p>
    <w:p w:rsidRPr="007129C6" w:rsidR="0095088E" w:rsidP="0095088E" w:rsidRDefault="0095088E" w14:paraId="684A2AF0" w14:textId="77777777">
      <w:pPr>
        <w:pStyle w:val="Lijstalinea"/>
        <w:rPr>
          <w:szCs w:val="18"/>
        </w:rPr>
      </w:pPr>
    </w:p>
    <w:p w:rsidRPr="00283B39" w:rsidR="0095088E" w:rsidP="0095088E" w:rsidRDefault="0095088E" w14:paraId="66067538" w14:textId="77777777">
      <w:pPr>
        <w:pStyle w:val="SEOStandaard"/>
        <w:rPr>
          <w:rFonts w:ascii="Trebuchet MS" w:hAnsi="Trebuchet MS"/>
          <w:color w:val="auto"/>
          <w:sz w:val="18"/>
          <w:szCs w:val="18"/>
        </w:rPr>
      </w:pPr>
      <w:r w:rsidRPr="00283B39">
        <w:rPr>
          <w:rFonts w:ascii="Trebuchet MS" w:hAnsi="Trebuchet MS"/>
          <w:color w:val="auto"/>
          <w:sz w:val="18"/>
          <w:szCs w:val="18"/>
        </w:rPr>
        <w:t xml:space="preserve">Programmaleiders met verdeelsleutel middelen geven veel vaker dan programmaleiders met regionaal beheer middelen aan dat bij het wegvallen van de subsidie ook een groot deel van gerealiseerde activiteiten verdwijnt (75 </w:t>
      </w:r>
      <w:r w:rsidRPr="00283B39">
        <w:rPr>
          <w:rFonts w:ascii="Trebuchet MS" w:hAnsi="Trebuchet MS"/>
          <w:color w:val="auto"/>
          <w:sz w:val="18"/>
          <w:szCs w:val="18"/>
        </w:rPr>
        <w:lastRenderedPageBreak/>
        <w:t xml:space="preserve">versus 35 procent). Verschil is er ook bij de stelling dat met het wegvallen van de subsidie ook de betrokkenheid van en samenwerking met partners verdwijnt (64 versus 45 procent). Programmaleiders met regionaal beheer middelen geven vaker aan dat ook met de bekostiging via lumpsum zij kunnen blijven aanbieden wat ze nu hebben (55 versus 39 procent). </w:t>
      </w:r>
    </w:p>
    <w:p w:rsidRPr="00283B39" w:rsidR="0095088E" w:rsidP="0095088E" w:rsidRDefault="0095088E" w14:paraId="36402BDE" w14:textId="77777777">
      <w:pPr>
        <w:pStyle w:val="SEOStandaard"/>
        <w:rPr>
          <w:rFonts w:ascii="Trebuchet MS" w:hAnsi="Trebuchet MS"/>
          <w:color w:val="auto"/>
          <w:sz w:val="18"/>
          <w:szCs w:val="18"/>
        </w:rPr>
      </w:pPr>
    </w:p>
    <w:p w:rsidRPr="00283B39" w:rsidR="0095088E" w:rsidP="0095088E" w:rsidRDefault="0095088E" w14:paraId="56DFBAF1" w14:textId="77777777">
      <w:pPr>
        <w:pStyle w:val="SEOStandaard"/>
        <w:rPr>
          <w:rFonts w:ascii="Trebuchet MS" w:hAnsi="Trebuchet MS"/>
          <w:color w:val="auto"/>
          <w:sz w:val="18"/>
          <w:szCs w:val="18"/>
        </w:rPr>
      </w:pPr>
      <w:bookmarkStart w:name="_Hlk199168019" w:id="48"/>
      <w:r w:rsidRPr="00283B39">
        <w:rPr>
          <w:rFonts w:ascii="Trebuchet MS" w:hAnsi="Trebuchet MS"/>
          <w:color w:val="auto"/>
          <w:sz w:val="18"/>
          <w:szCs w:val="18"/>
        </w:rPr>
        <w:t>Samenvattend is er het volgende beeld.  Bepalende succesfactoren voor STO zijn volgens de programmaleiders samenwerking tussen vmbo-scholen techniek en het regionale bedrijfsleven, continuïteit van het plan en commitment bij bestuurders. Minder vaak bepalend is de samenwerking met het mbo. Daarnaast zijn STO-middelen sterk bepalend voor de betrokkenheid en samenwerking met partners en voor het vernieuwen van verouderd materiaal. Bij het wegvallen van de subsidie zouden deze samenwerkingen en veel activiteiten verdwijnen, en bijna 4 op de 10 programmaleiders denkt niet met lumpsumbekostiging hetzelfde aanbod te kunnen blijven bieden.</w:t>
      </w:r>
    </w:p>
    <w:bookmarkEnd w:id="48"/>
    <w:p w:rsidRPr="00335A8B" w:rsidR="00832357" w:rsidP="00335A8B" w:rsidRDefault="00832357" w14:paraId="5045E5E2" w14:textId="77777777">
      <w:pPr>
        <w:pStyle w:val="SEOStandaard"/>
        <w:rPr>
          <w:rFonts w:ascii="Trebuchet MS" w:hAnsi="Trebuchet MS"/>
          <w:sz w:val="18"/>
          <w:szCs w:val="18"/>
        </w:rPr>
      </w:pPr>
    </w:p>
    <w:p w:rsidRPr="00283B39" w:rsidR="00832357" w:rsidP="00335A8B" w:rsidRDefault="00832357" w14:paraId="688CBCF8" w14:textId="6691CAB8">
      <w:pPr>
        <w:pStyle w:val="Kop2"/>
      </w:pPr>
      <w:bookmarkStart w:name="_Toc203573583" w:id="49"/>
      <w:r w:rsidRPr="00283B39">
        <w:t>Trots</w:t>
      </w:r>
      <w:r w:rsidRPr="00283B39" w:rsidR="4558182D">
        <w:t>, tevredenheid</w:t>
      </w:r>
      <w:r w:rsidRPr="00283B39">
        <w:t xml:space="preserve"> en risico’s voor de toekomst</w:t>
      </w:r>
      <w:bookmarkEnd w:id="49"/>
    </w:p>
    <w:p w:rsidRPr="00283B39" w:rsidR="0095088E" w:rsidP="0095088E" w:rsidRDefault="0095088E" w14:paraId="23495B28" w14:textId="2490F827">
      <w:pPr>
        <w:pStyle w:val="SEOStandaard"/>
        <w:rPr>
          <w:rFonts w:ascii="Trebuchet MS" w:hAnsi="Trebuchet MS"/>
          <w:color w:val="auto"/>
          <w:sz w:val="18"/>
          <w:szCs w:val="18"/>
        </w:rPr>
      </w:pPr>
      <w:r w:rsidRPr="00283B39">
        <w:rPr>
          <w:rFonts w:ascii="Trebuchet MS" w:hAnsi="Trebuchet MS"/>
          <w:color w:val="auto"/>
          <w:sz w:val="18"/>
          <w:szCs w:val="18"/>
        </w:rPr>
        <w:t xml:space="preserve">Aan het slot van de vragenlijst is aan de programmaleiders een aantal open vragen voorgelegd. Daarin is gevraagd waar de regio het meest trots op is, over welke gemaakte keuze(s) in de uitvoering de programmaleider het meest tevreden is en is een inschatting gevraagd van het grootste risico voor de regio in de komende periode. Programmaleiders waren niet verplicht om deze vragen in te vullen. </w:t>
      </w:r>
    </w:p>
    <w:p w:rsidRPr="00283B39" w:rsidR="0095088E" w:rsidP="0095088E" w:rsidRDefault="0095088E" w14:paraId="503AD922" w14:textId="77777777">
      <w:pPr>
        <w:pStyle w:val="SEOStandaard"/>
        <w:numPr>
          <w:ilvl w:val="0"/>
          <w:numId w:val="0"/>
        </w:numPr>
        <w:rPr>
          <w:rFonts w:ascii="Trebuchet MS" w:hAnsi="Trebuchet MS"/>
          <w:color w:val="auto"/>
          <w:sz w:val="18"/>
          <w:szCs w:val="18"/>
        </w:rPr>
      </w:pPr>
    </w:p>
    <w:p w:rsidRPr="00283B39" w:rsidR="0095088E" w:rsidP="0095088E" w:rsidRDefault="0095088E" w14:paraId="7CA8D1C1" w14:textId="3403EEC1">
      <w:pPr>
        <w:pStyle w:val="SEOStandaard"/>
        <w:numPr>
          <w:ilvl w:val="0"/>
          <w:numId w:val="0"/>
        </w:numPr>
        <w:rPr>
          <w:rFonts w:ascii="Trebuchet MS" w:hAnsi="Trebuchet MS"/>
          <w:b/>
          <w:color w:val="auto"/>
          <w:sz w:val="18"/>
          <w:szCs w:val="18"/>
        </w:rPr>
      </w:pPr>
      <w:r w:rsidRPr="00283B39">
        <w:rPr>
          <w:rFonts w:ascii="Trebuchet MS" w:hAnsi="Trebuchet MS"/>
          <w:color w:val="auto"/>
          <w:sz w:val="18"/>
          <w:szCs w:val="18"/>
        </w:rPr>
        <w:t xml:space="preserve">In de antwoorden over de aspecten waar programmaleiders trots op zijn, komt vaak het woord </w:t>
      </w:r>
      <w:r w:rsidRPr="00283B39">
        <w:rPr>
          <w:rFonts w:ascii="Trebuchet MS" w:hAnsi="Trebuchet MS"/>
          <w:b/>
          <w:color w:val="auto"/>
          <w:sz w:val="18"/>
          <w:szCs w:val="18"/>
        </w:rPr>
        <w:t>‘’samenwerking’’</w:t>
      </w:r>
      <w:r w:rsidRPr="00283B39">
        <w:rPr>
          <w:rFonts w:ascii="Trebuchet MS" w:hAnsi="Trebuchet MS"/>
          <w:color w:val="auto"/>
          <w:sz w:val="18"/>
          <w:szCs w:val="18"/>
        </w:rPr>
        <w:t xml:space="preserve"> terug. De samenwerking met het bedrijfsleven (en opleidingsbedrijven) voert daarin de boventoon, maar ook de samenwerking in het algemeen, samenwerking met het po en binnen het vo (technische vmbo’s) zijn ook veelvuldig genoemd als elementen waar de regio trots op is. Een van de programmaleiders verwoordt hoe de gehele keten met elkaar samenwerkt: </w:t>
      </w:r>
      <w:r w:rsidRPr="00283B39">
        <w:rPr>
          <w:rFonts w:ascii="Trebuchet MS" w:hAnsi="Trebuchet MS"/>
          <w:i/>
          <w:color w:val="auto"/>
          <w:sz w:val="18"/>
          <w:szCs w:val="18"/>
        </w:rPr>
        <w:t>‘’Van basisscholen tot het bedrijfsleven werken we samen om techniek sterk neer te zetten.’’</w:t>
      </w:r>
      <w:r w:rsidRPr="00283B39">
        <w:rPr>
          <w:rFonts w:ascii="Trebuchet MS" w:hAnsi="Trebuchet MS"/>
          <w:b/>
          <w:color w:val="auto"/>
          <w:sz w:val="18"/>
          <w:szCs w:val="18"/>
        </w:rPr>
        <w:t xml:space="preserve"> </w:t>
      </w:r>
      <w:r w:rsidRPr="00283B39" w:rsidR="08D637DD">
        <w:rPr>
          <w:rFonts w:ascii="Trebuchet MS" w:hAnsi="Trebuchet MS"/>
          <w:b/>
          <w:color w:val="auto"/>
          <w:sz w:val="18"/>
          <w:szCs w:val="18"/>
        </w:rPr>
        <w:t>M</w:t>
      </w:r>
      <w:r w:rsidRPr="00283B39">
        <w:rPr>
          <w:rFonts w:ascii="Trebuchet MS" w:hAnsi="Trebuchet MS"/>
          <w:color w:val="auto"/>
          <w:sz w:val="18"/>
          <w:szCs w:val="18"/>
        </w:rPr>
        <w:t xml:space="preserve">eerdere programmaleiders </w:t>
      </w:r>
      <w:r w:rsidRPr="00283B39" w:rsidR="5D9831B2">
        <w:rPr>
          <w:rFonts w:ascii="Trebuchet MS" w:hAnsi="Trebuchet MS"/>
          <w:color w:val="auto"/>
          <w:sz w:val="18"/>
          <w:szCs w:val="18"/>
        </w:rPr>
        <w:t xml:space="preserve">benoemen daarin </w:t>
      </w:r>
      <w:r w:rsidRPr="00283B39">
        <w:rPr>
          <w:rFonts w:ascii="Trebuchet MS" w:hAnsi="Trebuchet MS"/>
          <w:color w:val="auto"/>
          <w:sz w:val="18"/>
          <w:szCs w:val="18"/>
        </w:rPr>
        <w:t>specifiek ook de samenwerking met de gemeente.</w:t>
      </w:r>
      <w:r w:rsidRPr="00283B39">
        <w:rPr>
          <w:rFonts w:ascii="Trebuchet MS" w:hAnsi="Trebuchet MS"/>
          <w:b/>
          <w:color w:val="auto"/>
          <w:sz w:val="18"/>
          <w:szCs w:val="18"/>
        </w:rPr>
        <w:t xml:space="preserve"> </w:t>
      </w:r>
    </w:p>
    <w:p w:rsidRPr="00283B39" w:rsidR="0095088E" w:rsidP="0095088E" w:rsidRDefault="0095088E" w14:paraId="7383C23C" w14:textId="77777777">
      <w:pPr>
        <w:pStyle w:val="SEOStandaard"/>
        <w:numPr>
          <w:ilvl w:val="0"/>
          <w:numId w:val="0"/>
        </w:numPr>
        <w:rPr>
          <w:rFonts w:ascii="Trebuchet MS" w:hAnsi="Trebuchet MS"/>
          <w:b/>
          <w:color w:val="auto"/>
          <w:sz w:val="18"/>
          <w:szCs w:val="18"/>
        </w:rPr>
      </w:pPr>
    </w:p>
    <w:p w:rsidRPr="00283B39" w:rsidR="0095088E" w:rsidP="0095088E" w:rsidRDefault="0095088E" w14:paraId="20BF7202" w14:textId="5D1343DA">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De samenwerking met het mbo wordt wat minder vaak genoemd, maar wel zijn</w:t>
      </w:r>
      <w:r w:rsidRPr="00283B39" w:rsidR="4F09FF3C">
        <w:rPr>
          <w:rFonts w:ascii="Trebuchet MS" w:hAnsi="Trebuchet MS"/>
          <w:color w:val="auto"/>
          <w:sz w:val="18"/>
          <w:szCs w:val="18"/>
        </w:rPr>
        <w:t xml:space="preserve"> </w:t>
      </w:r>
      <w:r w:rsidRPr="00283B39">
        <w:rPr>
          <w:rFonts w:ascii="Trebuchet MS" w:hAnsi="Trebuchet MS"/>
          <w:color w:val="auto"/>
          <w:sz w:val="18"/>
          <w:szCs w:val="18"/>
        </w:rPr>
        <w:t xml:space="preserve">meerdere programmaleiders trots op de </w:t>
      </w:r>
      <w:r w:rsidRPr="00283B39">
        <w:rPr>
          <w:rFonts w:ascii="Trebuchet MS" w:hAnsi="Trebuchet MS"/>
          <w:b/>
          <w:color w:val="auto"/>
          <w:sz w:val="18"/>
          <w:szCs w:val="18"/>
        </w:rPr>
        <w:t>doorlopende leerlijnen</w:t>
      </w:r>
      <w:r w:rsidRPr="00283B39">
        <w:rPr>
          <w:rFonts w:ascii="Trebuchet MS" w:hAnsi="Trebuchet MS"/>
          <w:color w:val="auto"/>
          <w:sz w:val="18"/>
          <w:szCs w:val="18"/>
        </w:rPr>
        <w:t xml:space="preserve"> tussen vmbo-scholen en mbo-instellingen (</w:t>
      </w:r>
      <w:r w:rsidRPr="00283B39">
        <w:rPr>
          <w:rFonts w:ascii="Trebuchet MS" w:hAnsi="Trebuchet MS"/>
          <w:i/>
          <w:color w:val="auto"/>
          <w:sz w:val="18"/>
          <w:szCs w:val="18"/>
        </w:rPr>
        <w:t>‘’Starten en volhouden van doorlopende leerroute.’’</w:t>
      </w:r>
      <w:r w:rsidRPr="00283B39">
        <w:rPr>
          <w:rFonts w:ascii="Trebuchet MS" w:hAnsi="Trebuchet MS"/>
          <w:color w:val="auto"/>
          <w:sz w:val="18"/>
          <w:szCs w:val="18"/>
        </w:rPr>
        <w:t xml:space="preserve">). </w:t>
      </w:r>
    </w:p>
    <w:p w:rsidRPr="00283B39" w:rsidR="007560C2" w:rsidP="0095088E" w:rsidRDefault="007560C2" w14:paraId="50C9190D" w14:textId="77777777">
      <w:pPr>
        <w:pStyle w:val="SEOStandaard"/>
        <w:numPr>
          <w:ilvl w:val="0"/>
          <w:numId w:val="0"/>
        </w:numPr>
        <w:rPr>
          <w:rFonts w:ascii="Trebuchet MS" w:hAnsi="Trebuchet MS"/>
          <w:color w:val="auto"/>
          <w:sz w:val="18"/>
          <w:szCs w:val="18"/>
        </w:rPr>
      </w:pPr>
    </w:p>
    <w:p w:rsidRPr="00283B39" w:rsidR="0095088E" w:rsidP="0095088E" w:rsidRDefault="0095088E" w14:paraId="6B857417" w14:textId="77777777">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 xml:space="preserve">In een aantal open antwoorden komt voorts naar voren dat programmaleiders tevreden zijn met de ontwikkeling van </w:t>
      </w:r>
      <w:r w:rsidRPr="00283B39">
        <w:rPr>
          <w:rFonts w:ascii="Trebuchet MS" w:hAnsi="Trebuchet MS"/>
          <w:b/>
          <w:color w:val="auto"/>
          <w:sz w:val="18"/>
          <w:szCs w:val="18"/>
        </w:rPr>
        <w:t>LOB-programma’s en -evenementen</w:t>
      </w:r>
      <w:r w:rsidRPr="00283B39">
        <w:rPr>
          <w:rFonts w:ascii="Trebuchet MS" w:hAnsi="Trebuchet MS"/>
          <w:color w:val="auto"/>
          <w:sz w:val="18"/>
          <w:szCs w:val="18"/>
        </w:rPr>
        <w:t xml:space="preserve">: </w:t>
      </w:r>
      <w:r w:rsidRPr="00283B39">
        <w:rPr>
          <w:rFonts w:ascii="Trebuchet MS" w:hAnsi="Trebuchet MS"/>
          <w:i/>
          <w:color w:val="auto"/>
          <w:sz w:val="18"/>
          <w:szCs w:val="18"/>
        </w:rPr>
        <w:t>‘’Heel veel leerlingen hebben deelgenomen aan nieuwe LOB-events, die nu vast onderdeel van de schoolkalenders zijn.’’</w:t>
      </w:r>
      <w:r w:rsidRPr="00283B39">
        <w:rPr>
          <w:rFonts w:ascii="Trebuchet MS" w:hAnsi="Trebuchet MS"/>
          <w:b/>
          <w:color w:val="auto"/>
          <w:sz w:val="18"/>
          <w:szCs w:val="18"/>
        </w:rPr>
        <w:t xml:space="preserve"> </w:t>
      </w:r>
    </w:p>
    <w:p w:rsidRPr="00283B39" w:rsidR="0095088E" w:rsidP="0095088E" w:rsidRDefault="0095088E" w14:paraId="79C38D7D" w14:textId="59685228">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Verde</w:t>
      </w:r>
      <w:r w:rsidRPr="00283B39" w:rsidR="1449C316">
        <w:rPr>
          <w:rFonts w:ascii="Trebuchet MS" w:hAnsi="Trebuchet MS"/>
          <w:color w:val="auto"/>
          <w:sz w:val="18"/>
          <w:szCs w:val="18"/>
        </w:rPr>
        <w:t>r</w:t>
      </w:r>
      <w:r w:rsidRPr="00283B39">
        <w:rPr>
          <w:rFonts w:ascii="Trebuchet MS" w:hAnsi="Trebuchet MS"/>
          <w:color w:val="auto"/>
          <w:sz w:val="18"/>
          <w:szCs w:val="18"/>
        </w:rPr>
        <w:t xml:space="preserve"> zijn meermaals </w:t>
      </w:r>
      <w:r w:rsidRPr="00283B39">
        <w:rPr>
          <w:rFonts w:ascii="Trebuchet MS" w:hAnsi="Trebuchet MS"/>
          <w:b/>
          <w:color w:val="auto"/>
          <w:sz w:val="18"/>
          <w:szCs w:val="18"/>
        </w:rPr>
        <w:t>activiteiten in het po</w:t>
      </w:r>
      <w:r w:rsidRPr="00283B39">
        <w:rPr>
          <w:rFonts w:ascii="Trebuchet MS" w:hAnsi="Trebuchet MS"/>
          <w:color w:val="auto"/>
          <w:sz w:val="18"/>
          <w:szCs w:val="18"/>
        </w:rPr>
        <w:t xml:space="preserve"> genoemd als element waar men het meest trots op is. </w:t>
      </w:r>
    </w:p>
    <w:p w:rsidRPr="00283B39" w:rsidR="0095088E" w:rsidP="0095088E" w:rsidRDefault="0095088E" w14:paraId="5E17ED6B" w14:textId="77777777">
      <w:pPr>
        <w:pStyle w:val="SEOStandaard"/>
        <w:numPr>
          <w:ilvl w:val="0"/>
          <w:numId w:val="0"/>
        </w:numPr>
        <w:rPr>
          <w:rFonts w:ascii="Trebuchet MS" w:hAnsi="Trebuchet MS"/>
          <w:color w:val="auto"/>
          <w:sz w:val="18"/>
          <w:szCs w:val="18"/>
        </w:rPr>
      </w:pPr>
    </w:p>
    <w:p w:rsidRPr="00283B39" w:rsidR="0095088E" w:rsidP="0095088E" w:rsidRDefault="0095088E" w14:paraId="56FC0932" w14:textId="77777777">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 xml:space="preserve">In een deel van de open antwoorden wordt voorts trots uitgesproken over de </w:t>
      </w:r>
      <w:r w:rsidRPr="00283B39">
        <w:rPr>
          <w:rFonts w:ascii="Trebuchet MS" w:hAnsi="Trebuchet MS"/>
          <w:b/>
          <w:color w:val="auto"/>
          <w:sz w:val="18"/>
          <w:szCs w:val="18"/>
        </w:rPr>
        <w:t>toename of behoud van leerlingen</w:t>
      </w:r>
      <w:r w:rsidRPr="00283B39">
        <w:rPr>
          <w:rFonts w:ascii="Trebuchet MS" w:hAnsi="Trebuchet MS"/>
          <w:color w:val="auto"/>
          <w:sz w:val="18"/>
          <w:szCs w:val="18"/>
        </w:rPr>
        <w:t xml:space="preserve"> in technische profielen en later in technische mbo-opleidingen (‘</w:t>
      </w:r>
      <w:r w:rsidRPr="00283B39">
        <w:rPr>
          <w:rFonts w:ascii="Trebuchet MS" w:hAnsi="Trebuchet MS"/>
          <w:i/>
          <w:color w:val="auto"/>
          <w:sz w:val="18"/>
          <w:szCs w:val="18"/>
        </w:rPr>
        <w:t>’Verhoging van aantal leerlingen dat kiest voor een technisch profiel dan wel technische vervolgstudie op het mbo.’’</w:t>
      </w:r>
      <w:r w:rsidRPr="00283B39">
        <w:rPr>
          <w:rFonts w:ascii="Trebuchet MS" w:hAnsi="Trebuchet MS"/>
          <w:color w:val="auto"/>
          <w:sz w:val="18"/>
          <w:szCs w:val="18"/>
        </w:rPr>
        <w:t xml:space="preserve">). </w:t>
      </w:r>
    </w:p>
    <w:p w:rsidRPr="00283B39" w:rsidR="0095088E" w:rsidP="0095088E" w:rsidRDefault="0095088E" w14:paraId="1DF9AF83" w14:textId="77777777">
      <w:pPr>
        <w:pStyle w:val="SEOStandaard"/>
        <w:numPr>
          <w:ilvl w:val="0"/>
          <w:numId w:val="0"/>
        </w:numPr>
        <w:rPr>
          <w:rFonts w:ascii="Trebuchet MS" w:hAnsi="Trebuchet MS"/>
          <w:color w:val="auto"/>
          <w:sz w:val="18"/>
          <w:szCs w:val="18"/>
        </w:rPr>
      </w:pPr>
    </w:p>
    <w:p w:rsidRPr="00283B39" w:rsidR="0095088E" w:rsidP="0095088E" w:rsidRDefault="0095088E" w14:paraId="0ECF0118" w14:textId="031FE3AA">
      <w:pPr>
        <w:pStyle w:val="SEOStandaard"/>
        <w:numPr>
          <w:ilvl w:val="0"/>
          <w:numId w:val="0"/>
        </w:numPr>
        <w:rPr>
          <w:rFonts w:ascii="Trebuchet MS" w:hAnsi="Trebuchet MS"/>
          <w:b/>
          <w:color w:val="auto"/>
          <w:sz w:val="18"/>
          <w:szCs w:val="18"/>
        </w:rPr>
      </w:pPr>
      <w:r w:rsidRPr="00283B39">
        <w:rPr>
          <w:rFonts w:ascii="Trebuchet MS" w:hAnsi="Trebuchet MS"/>
          <w:color w:val="auto"/>
          <w:sz w:val="18"/>
          <w:szCs w:val="18"/>
        </w:rPr>
        <w:t xml:space="preserve">Veelvuldig wordt trots uitgesproken over </w:t>
      </w:r>
      <w:r w:rsidRPr="00283B39">
        <w:rPr>
          <w:rFonts w:ascii="Trebuchet MS" w:hAnsi="Trebuchet MS"/>
          <w:b/>
          <w:color w:val="auto"/>
          <w:sz w:val="18"/>
          <w:szCs w:val="18"/>
        </w:rPr>
        <w:t>het aanbod van keuzevakken</w:t>
      </w:r>
      <w:r w:rsidRPr="00283B39">
        <w:rPr>
          <w:rFonts w:ascii="Trebuchet MS" w:hAnsi="Trebuchet MS"/>
          <w:color w:val="auto"/>
          <w:sz w:val="18"/>
          <w:szCs w:val="18"/>
        </w:rPr>
        <w:t xml:space="preserve">, zowel </w:t>
      </w:r>
      <w:r w:rsidRPr="00283B39" w:rsidR="33267197">
        <w:rPr>
          <w:rFonts w:ascii="Trebuchet MS" w:hAnsi="Trebuchet MS"/>
          <w:color w:val="auto"/>
          <w:sz w:val="18"/>
          <w:szCs w:val="18"/>
        </w:rPr>
        <w:t>(profiel)</w:t>
      </w:r>
      <w:r w:rsidRPr="00283B39">
        <w:rPr>
          <w:rFonts w:ascii="Trebuchet MS" w:hAnsi="Trebuchet MS"/>
          <w:color w:val="auto"/>
          <w:sz w:val="18"/>
          <w:szCs w:val="18"/>
        </w:rPr>
        <w:t>vakoverstijgend als in samenwerking met het bedrijfsleven (</w:t>
      </w:r>
      <w:r w:rsidRPr="00283B39">
        <w:rPr>
          <w:rFonts w:ascii="Trebuchet MS" w:hAnsi="Trebuchet MS"/>
          <w:i/>
          <w:color w:val="auto"/>
          <w:sz w:val="18"/>
          <w:szCs w:val="18"/>
        </w:rPr>
        <w:t>‘’waardoor alle leerling in de regio vakoverstijgende keuzevakken kunnen kiezen binnen een buitenschoolse professionele omgeving’’</w:t>
      </w:r>
      <w:r w:rsidRPr="00283B39">
        <w:rPr>
          <w:rFonts w:ascii="Trebuchet MS" w:hAnsi="Trebuchet MS"/>
          <w:color w:val="auto"/>
          <w:sz w:val="18"/>
          <w:szCs w:val="18"/>
        </w:rPr>
        <w:t>).</w:t>
      </w:r>
      <w:r w:rsidRPr="00283B39">
        <w:rPr>
          <w:rFonts w:ascii="Trebuchet MS" w:hAnsi="Trebuchet MS"/>
          <w:b/>
          <w:color w:val="auto"/>
          <w:sz w:val="18"/>
          <w:szCs w:val="18"/>
        </w:rPr>
        <w:t xml:space="preserve"> </w:t>
      </w:r>
    </w:p>
    <w:p w:rsidRPr="00283B39" w:rsidR="0095088E" w:rsidP="0095088E" w:rsidRDefault="0095088E" w14:paraId="3669BAA7" w14:textId="77777777">
      <w:pPr>
        <w:pStyle w:val="SEOStandaard"/>
        <w:numPr>
          <w:ilvl w:val="0"/>
          <w:numId w:val="0"/>
        </w:numPr>
        <w:rPr>
          <w:rFonts w:ascii="Trebuchet MS" w:hAnsi="Trebuchet MS"/>
          <w:b/>
          <w:color w:val="auto"/>
          <w:sz w:val="18"/>
          <w:szCs w:val="18"/>
        </w:rPr>
      </w:pPr>
    </w:p>
    <w:p w:rsidRPr="00283B39" w:rsidR="0095088E" w:rsidP="0095088E" w:rsidRDefault="0095088E" w14:paraId="112A76B5" w14:textId="77777777">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 xml:space="preserve">Diverse concrete voorbeelden van </w:t>
      </w:r>
      <w:r w:rsidRPr="00283B39">
        <w:rPr>
          <w:rFonts w:ascii="Trebuchet MS" w:hAnsi="Trebuchet MS"/>
          <w:b/>
          <w:color w:val="auto"/>
          <w:sz w:val="18"/>
          <w:szCs w:val="18"/>
        </w:rPr>
        <w:t>labs en evenementen</w:t>
      </w:r>
      <w:r w:rsidRPr="00283B39">
        <w:rPr>
          <w:rFonts w:ascii="Trebuchet MS" w:hAnsi="Trebuchet MS"/>
          <w:color w:val="auto"/>
          <w:sz w:val="18"/>
          <w:szCs w:val="18"/>
        </w:rPr>
        <w:t xml:space="preserve"> worden genoemd. De realisatie van dit soort evenementen wordt gezien als een verrijking van het aanbod.</w:t>
      </w:r>
    </w:p>
    <w:p w:rsidRPr="00283B39" w:rsidR="0095088E" w:rsidP="0095088E" w:rsidRDefault="0095088E" w14:paraId="2518AFA8" w14:textId="77777777">
      <w:pPr>
        <w:pStyle w:val="SEOStandaard"/>
        <w:numPr>
          <w:ilvl w:val="0"/>
          <w:numId w:val="0"/>
        </w:numPr>
        <w:rPr>
          <w:rFonts w:ascii="Trebuchet MS" w:hAnsi="Trebuchet MS"/>
          <w:color w:val="auto"/>
          <w:sz w:val="18"/>
          <w:szCs w:val="18"/>
        </w:rPr>
      </w:pPr>
    </w:p>
    <w:p w:rsidRPr="00283B39" w:rsidR="0095088E" w:rsidP="0095088E" w:rsidRDefault="0095088E" w14:paraId="3F1798D2" w14:textId="48D03A04">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 xml:space="preserve">In de open antwoorden komt meermaals naar voren dat programmaleiders trots zijn op de </w:t>
      </w:r>
      <w:r w:rsidRPr="00283B39">
        <w:rPr>
          <w:rFonts w:ascii="Trebuchet MS" w:hAnsi="Trebuchet MS"/>
          <w:b/>
          <w:color w:val="auto"/>
          <w:sz w:val="18"/>
          <w:szCs w:val="18"/>
        </w:rPr>
        <w:t>nieuwe apparatuur</w:t>
      </w:r>
      <w:r w:rsidRPr="00283B39">
        <w:rPr>
          <w:rFonts w:ascii="Trebuchet MS" w:hAnsi="Trebuchet MS"/>
          <w:color w:val="auto"/>
          <w:sz w:val="18"/>
          <w:szCs w:val="18"/>
        </w:rPr>
        <w:t xml:space="preserve"> waarbij </w:t>
      </w:r>
      <w:r w:rsidRPr="00283B39" w:rsidR="65E473D3">
        <w:rPr>
          <w:rFonts w:ascii="Trebuchet MS" w:hAnsi="Trebuchet MS"/>
          <w:color w:val="auto"/>
          <w:sz w:val="18"/>
          <w:szCs w:val="18"/>
        </w:rPr>
        <w:t>een enkele keer</w:t>
      </w:r>
      <w:r w:rsidRPr="00283B39">
        <w:rPr>
          <w:rFonts w:ascii="Trebuchet MS" w:hAnsi="Trebuchet MS"/>
          <w:color w:val="auto"/>
          <w:sz w:val="18"/>
          <w:szCs w:val="18"/>
        </w:rPr>
        <w:t xml:space="preserve"> de koppeling wordt gelegd met de vraag vanuit de arbeidsmarkt: </w:t>
      </w:r>
      <w:r w:rsidRPr="00283B39">
        <w:rPr>
          <w:rFonts w:ascii="Trebuchet MS" w:hAnsi="Trebuchet MS"/>
          <w:i/>
          <w:color w:val="auto"/>
          <w:sz w:val="18"/>
          <w:szCs w:val="18"/>
        </w:rPr>
        <w:t>‘’Investeringen in moderne apparatuur en faciliteiten om leerlingen beter voor te bereiden op vervolgopleidingen en arbeidsmarkt’’</w:t>
      </w:r>
      <w:r w:rsidRPr="00283B39">
        <w:rPr>
          <w:rFonts w:ascii="Trebuchet MS" w:hAnsi="Trebuchet MS"/>
          <w:color w:val="auto"/>
          <w:sz w:val="18"/>
          <w:szCs w:val="18"/>
        </w:rPr>
        <w:t xml:space="preserve">. </w:t>
      </w:r>
    </w:p>
    <w:p w:rsidRPr="00283B39" w:rsidR="0095088E" w:rsidP="0095088E" w:rsidRDefault="0095088E" w14:paraId="074E937F" w14:textId="77777777">
      <w:pPr>
        <w:pStyle w:val="SEOStandaard"/>
        <w:numPr>
          <w:ilvl w:val="0"/>
          <w:numId w:val="0"/>
        </w:numPr>
        <w:rPr>
          <w:rFonts w:ascii="Trebuchet MS" w:hAnsi="Trebuchet MS"/>
          <w:b/>
          <w:color w:val="auto"/>
          <w:sz w:val="18"/>
          <w:szCs w:val="18"/>
        </w:rPr>
      </w:pPr>
    </w:p>
    <w:p w:rsidRPr="00283B39" w:rsidR="0095088E" w:rsidP="0095088E" w:rsidRDefault="0095088E" w14:paraId="6C7D357E" w14:textId="1CE71BBA">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 xml:space="preserve">Minder vaak maar door meerdere programmaleiders genoemd als aspect waarover men trots is, is de </w:t>
      </w:r>
      <w:r w:rsidRPr="00283B39">
        <w:rPr>
          <w:rFonts w:ascii="Trebuchet MS" w:hAnsi="Trebuchet MS"/>
          <w:b/>
          <w:color w:val="auto"/>
          <w:sz w:val="18"/>
          <w:szCs w:val="18"/>
        </w:rPr>
        <w:t>aandacht voor het vmbo</w:t>
      </w:r>
      <w:r w:rsidRPr="00283B39">
        <w:rPr>
          <w:rFonts w:ascii="Trebuchet MS" w:hAnsi="Trebuchet MS"/>
          <w:color w:val="auto"/>
          <w:sz w:val="18"/>
          <w:szCs w:val="18"/>
        </w:rPr>
        <w:t xml:space="preserve"> en </w:t>
      </w:r>
      <w:r w:rsidRPr="00283B39" w:rsidR="52797360">
        <w:rPr>
          <w:rFonts w:ascii="Trebuchet MS" w:hAnsi="Trebuchet MS"/>
          <w:color w:val="auto"/>
          <w:sz w:val="18"/>
          <w:szCs w:val="18"/>
        </w:rPr>
        <w:t xml:space="preserve">of </w:t>
      </w:r>
      <w:r w:rsidRPr="00283B39">
        <w:rPr>
          <w:rFonts w:ascii="Trebuchet MS" w:hAnsi="Trebuchet MS"/>
          <w:color w:val="auto"/>
          <w:sz w:val="18"/>
          <w:szCs w:val="18"/>
        </w:rPr>
        <w:t>specifiek</w:t>
      </w:r>
      <w:r w:rsidRPr="00283B39" w:rsidR="6D52E2DB">
        <w:rPr>
          <w:rFonts w:ascii="Trebuchet MS" w:hAnsi="Trebuchet MS"/>
          <w:color w:val="auto"/>
          <w:sz w:val="18"/>
          <w:szCs w:val="18"/>
        </w:rPr>
        <w:t>er nog: de</w:t>
      </w:r>
      <w:r w:rsidRPr="00283B39">
        <w:rPr>
          <w:rFonts w:ascii="Trebuchet MS" w:hAnsi="Trebuchet MS"/>
          <w:color w:val="auto"/>
          <w:sz w:val="18"/>
          <w:szCs w:val="18"/>
        </w:rPr>
        <w:t xml:space="preserve"> aandacht voor basis/kader. Aansluitend hierop is de zichtbaarheid van techniek. </w:t>
      </w:r>
      <w:r w:rsidRPr="00283B39">
        <w:rPr>
          <w:rFonts w:ascii="Trebuchet MS" w:hAnsi="Trebuchet MS"/>
          <w:b/>
          <w:color w:val="auto"/>
          <w:sz w:val="18"/>
          <w:szCs w:val="18"/>
        </w:rPr>
        <w:lastRenderedPageBreak/>
        <w:t>Nieuwe docenten</w:t>
      </w:r>
      <w:r w:rsidRPr="00283B39">
        <w:rPr>
          <w:rFonts w:ascii="Trebuchet MS" w:hAnsi="Trebuchet MS"/>
          <w:color w:val="auto"/>
          <w:sz w:val="18"/>
          <w:szCs w:val="18"/>
        </w:rPr>
        <w:t xml:space="preserve"> en </w:t>
      </w:r>
      <w:r w:rsidRPr="00283B39">
        <w:rPr>
          <w:rFonts w:ascii="Trebuchet MS" w:hAnsi="Trebuchet MS"/>
          <w:b/>
          <w:color w:val="auto"/>
          <w:sz w:val="18"/>
          <w:szCs w:val="18"/>
        </w:rPr>
        <w:t>training of bijscholing van docenten</w:t>
      </w:r>
      <w:r w:rsidRPr="00283B39">
        <w:rPr>
          <w:rFonts w:ascii="Trebuchet MS" w:hAnsi="Trebuchet MS"/>
          <w:color w:val="auto"/>
          <w:sz w:val="18"/>
          <w:szCs w:val="18"/>
        </w:rPr>
        <w:t xml:space="preserve"> zijn andere onderdelen van het programma waar</w:t>
      </w:r>
      <w:r w:rsidRPr="00283B39" w:rsidR="3523499B">
        <w:rPr>
          <w:rFonts w:ascii="Trebuchet MS" w:hAnsi="Trebuchet MS"/>
          <w:color w:val="auto"/>
          <w:sz w:val="18"/>
          <w:szCs w:val="18"/>
        </w:rPr>
        <w:t>op men trots is</w:t>
      </w:r>
      <w:r w:rsidRPr="00283B39">
        <w:rPr>
          <w:rFonts w:ascii="Trebuchet MS" w:hAnsi="Trebuchet MS"/>
          <w:color w:val="auto"/>
          <w:sz w:val="18"/>
          <w:szCs w:val="18"/>
        </w:rPr>
        <w:t xml:space="preserve">. Tot slot noemt een programmaleider de aandacht voor </w:t>
      </w:r>
      <w:r w:rsidRPr="00283B39">
        <w:rPr>
          <w:rFonts w:ascii="Trebuchet MS" w:hAnsi="Trebuchet MS"/>
          <w:b/>
          <w:color w:val="auto"/>
          <w:sz w:val="18"/>
          <w:szCs w:val="18"/>
        </w:rPr>
        <w:t>diversiteit</w:t>
      </w:r>
      <w:r w:rsidRPr="00283B39">
        <w:rPr>
          <w:rFonts w:ascii="Trebuchet MS" w:hAnsi="Trebuchet MS"/>
          <w:color w:val="auto"/>
          <w:sz w:val="18"/>
          <w:szCs w:val="18"/>
        </w:rPr>
        <w:t xml:space="preserve">. </w:t>
      </w:r>
    </w:p>
    <w:p w:rsidRPr="00283B39" w:rsidR="0095088E" w:rsidP="0095088E" w:rsidRDefault="0095088E" w14:paraId="1A7A121F" w14:textId="77777777">
      <w:pPr>
        <w:pStyle w:val="SEOStandaard"/>
        <w:rPr>
          <w:rFonts w:ascii="Trebuchet MS" w:hAnsi="Trebuchet MS"/>
          <w:color w:val="auto"/>
          <w:sz w:val="18"/>
          <w:szCs w:val="18"/>
        </w:rPr>
      </w:pPr>
    </w:p>
    <w:p w:rsidRPr="00283B39" w:rsidR="0095088E" w:rsidP="27A1E800" w:rsidRDefault="0095088E" w14:paraId="5815DFBD" w14:textId="1CCA026E">
      <w:pPr>
        <w:pStyle w:val="SEOStandaard"/>
        <w:numPr>
          <w:ilvl w:val="0"/>
          <w:numId w:val="0"/>
        </w:numPr>
        <w:rPr>
          <w:rFonts w:ascii="Trebuchet MS" w:hAnsi="Trebuchet MS"/>
          <w:i/>
          <w:color w:val="auto"/>
          <w:sz w:val="18"/>
          <w:szCs w:val="18"/>
        </w:rPr>
      </w:pPr>
      <w:r w:rsidRPr="00283B39">
        <w:rPr>
          <w:rFonts w:ascii="Trebuchet MS" w:hAnsi="Trebuchet MS"/>
          <w:color w:val="auto"/>
          <w:sz w:val="18"/>
          <w:szCs w:val="18"/>
        </w:rPr>
        <w:t xml:space="preserve">In de open antwoorden op de vraag waar men het </w:t>
      </w:r>
      <w:r w:rsidRPr="00283B39">
        <w:rPr>
          <w:rFonts w:ascii="Trebuchet MS" w:hAnsi="Trebuchet MS"/>
          <w:b/>
          <w:color w:val="auto"/>
          <w:sz w:val="18"/>
          <w:szCs w:val="18"/>
        </w:rPr>
        <w:t>meest tevreden</w:t>
      </w:r>
      <w:r w:rsidRPr="00283B39">
        <w:rPr>
          <w:rFonts w:ascii="Trebuchet MS" w:hAnsi="Trebuchet MS"/>
          <w:color w:val="auto"/>
          <w:sz w:val="18"/>
          <w:szCs w:val="18"/>
        </w:rPr>
        <w:t xml:space="preserve"> over is, </w:t>
      </w:r>
      <w:r w:rsidRPr="00283B39" w:rsidR="29D54036">
        <w:rPr>
          <w:rFonts w:ascii="Trebuchet MS" w:hAnsi="Trebuchet MS"/>
          <w:color w:val="auto"/>
          <w:sz w:val="18"/>
          <w:szCs w:val="18"/>
        </w:rPr>
        <w:t>is er</w:t>
      </w:r>
      <w:r w:rsidRPr="00283B39">
        <w:rPr>
          <w:rFonts w:ascii="Trebuchet MS" w:hAnsi="Trebuchet MS"/>
          <w:color w:val="auto"/>
          <w:sz w:val="18"/>
          <w:szCs w:val="18"/>
        </w:rPr>
        <w:t xml:space="preserve"> overlap met de elementen waarop men trots is. Ten minste als het gaat om: </w:t>
      </w:r>
      <w:r w:rsidRPr="00283B39">
        <w:rPr>
          <w:rFonts w:ascii="Trebuchet MS" w:hAnsi="Trebuchet MS"/>
          <w:b/>
          <w:color w:val="auto"/>
          <w:sz w:val="18"/>
          <w:szCs w:val="18"/>
        </w:rPr>
        <w:t>samenwerking met het bedrijfsleven, andere vmbo-scholen en het po, nieuwe apparatuur, aanbod aan keuzevakken</w:t>
      </w:r>
      <w:r w:rsidRPr="00283B39">
        <w:rPr>
          <w:rFonts w:ascii="Trebuchet MS" w:hAnsi="Trebuchet MS"/>
          <w:color w:val="auto"/>
          <w:sz w:val="18"/>
          <w:szCs w:val="18"/>
        </w:rPr>
        <w:t xml:space="preserve"> en het </w:t>
      </w:r>
      <w:r w:rsidRPr="00283B39">
        <w:rPr>
          <w:rFonts w:ascii="Trebuchet MS" w:hAnsi="Trebuchet MS"/>
          <w:b/>
          <w:color w:val="auto"/>
          <w:sz w:val="18"/>
          <w:szCs w:val="18"/>
        </w:rPr>
        <w:t>keten denken/doorlopende leerlijnen</w:t>
      </w:r>
      <w:r w:rsidRPr="00283B39">
        <w:rPr>
          <w:rFonts w:ascii="Trebuchet MS" w:hAnsi="Trebuchet MS"/>
          <w:color w:val="auto"/>
          <w:sz w:val="18"/>
          <w:szCs w:val="18"/>
        </w:rPr>
        <w:t xml:space="preserve">. Ook hier komt de samenwerking met het bedrijfsleven in veel van de open antwoorden op concrete vlakken terug, zoals omschreven door een van de programmaleiders: </w:t>
      </w:r>
      <w:r w:rsidRPr="00283B39">
        <w:rPr>
          <w:rFonts w:ascii="Trebuchet MS" w:hAnsi="Trebuchet MS"/>
          <w:i/>
          <w:color w:val="auto"/>
          <w:sz w:val="18"/>
          <w:szCs w:val="18"/>
        </w:rPr>
        <w:t xml:space="preserve">‘’Dat we praktische opdrachten uitvoeren bij en met het bedrijfsleven, in plaats van grootse meeslepende plannen.’’ </w:t>
      </w:r>
    </w:p>
    <w:p w:rsidRPr="00283B39" w:rsidR="0095088E" w:rsidP="0095088E" w:rsidRDefault="0095088E" w14:paraId="5A354381" w14:textId="77777777">
      <w:pPr>
        <w:pStyle w:val="SEOStandaard"/>
        <w:numPr>
          <w:ilvl w:val="0"/>
          <w:numId w:val="0"/>
        </w:numPr>
        <w:rPr>
          <w:rFonts w:ascii="Trebuchet MS" w:hAnsi="Trebuchet MS"/>
          <w:color w:val="auto"/>
          <w:sz w:val="18"/>
          <w:szCs w:val="18"/>
        </w:rPr>
      </w:pPr>
    </w:p>
    <w:p w:rsidRPr="00283B39" w:rsidR="0095088E" w:rsidP="0095088E" w:rsidRDefault="6F17905B" w14:paraId="486B90A4" w14:textId="2A5B7C4A">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Uit</w:t>
      </w:r>
      <w:r w:rsidRPr="00283B39" w:rsidR="0095088E">
        <w:rPr>
          <w:rFonts w:ascii="Trebuchet MS" w:hAnsi="Trebuchet MS"/>
          <w:color w:val="auto"/>
          <w:sz w:val="18"/>
          <w:szCs w:val="18"/>
        </w:rPr>
        <w:t xml:space="preserve"> meerdere open antwoorden spreekt tevredenheid over het </w:t>
      </w:r>
      <w:r w:rsidRPr="00283B39" w:rsidR="0095088E">
        <w:rPr>
          <w:rFonts w:ascii="Trebuchet MS" w:hAnsi="Trebuchet MS"/>
          <w:b/>
          <w:color w:val="auto"/>
          <w:sz w:val="18"/>
          <w:szCs w:val="18"/>
        </w:rPr>
        <w:t>betrekken van verschillende vmbo-scholen</w:t>
      </w:r>
      <w:r w:rsidRPr="00283B39" w:rsidR="0095088E">
        <w:rPr>
          <w:rFonts w:ascii="Trebuchet MS" w:hAnsi="Trebuchet MS"/>
          <w:color w:val="auto"/>
          <w:sz w:val="18"/>
          <w:szCs w:val="18"/>
        </w:rPr>
        <w:t xml:space="preserve"> en het </w:t>
      </w:r>
      <w:r w:rsidRPr="00283B39" w:rsidR="0095088E">
        <w:rPr>
          <w:rFonts w:ascii="Trebuchet MS" w:hAnsi="Trebuchet MS"/>
          <w:b/>
          <w:color w:val="auto"/>
          <w:sz w:val="18"/>
          <w:szCs w:val="18"/>
        </w:rPr>
        <w:t>regionaal vormgeven</w:t>
      </w:r>
      <w:r w:rsidRPr="00283B39" w:rsidR="0095088E">
        <w:rPr>
          <w:rFonts w:ascii="Trebuchet MS" w:hAnsi="Trebuchet MS"/>
          <w:color w:val="auto"/>
          <w:sz w:val="18"/>
          <w:szCs w:val="18"/>
        </w:rPr>
        <w:t xml:space="preserve"> van plannen. Daarbij gaat het enerzijds om de verdeling van middelen (</w:t>
      </w:r>
      <w:r w:rsidRPr="00283B39" w:rsidR="0095088E">
        <w:rPr>
          <w:rFonts w:ascii="Trebuchet MS" w:hAnsi="Trebuchet MS"/>
          <w:i/>
          <w:color w:val="auto"/>
          <w:sz w:val="18"/>
          <w:szCs w:val="18"/>
        </w:rPr>
        <w:t>‘’De keuze om de middelen te verdelen over de pijlers en niet over de individuele scholen.’’</w:t>
      </w:r>
      <w:r w:rsidRPr="00283B39" w:rsidR="0095088E">
        <w:rPr>
          <w:rFonts w:ascii="Trebuchet MS" w:hAnsi="Trebuchet MS"/>
          <w:color w:val="auto"/>
          <w:sz w:val="18"/>
          <w:szCs w:val="18"/>
        </w:rPr>
        <w:t>) en concurrentiepositie (</w:t>
      </w:r>
      <w:r w:rsidRPr="00283B39" w:rsidR="0095088E">
        <w:rPr>
          <w:rFonts w:ascii="Trebuchet MS" w:hAnsi="Trebuchet MS"/>
          <w:i/>
          <w:color w:val="auto"/>
          <w:sz w:val="18"/>
          <w:szCs w:val="18"/>
        </w:rPr>
        <w:t>‘’dat we samen met verschillende regio's elkaar helpen en geen concurrenten zijn’’</w:t>
      </w:r>
      <w:r w:rsidRPr="00283B39" w:rsidR="0095088E">
        <w:rPr>
          <w:rFonts w:ascii="Trebuchet MS" w:hAnsi="Trebuchet MS"/>
          <w:color w:val="auto"/>
          <w:sz w:val="18"/>
          <w:szCs w:val="18"/>
        </w:rPr>
        <w:t xml:space="preserve">), maar anderzijds ook om betere samenwerking. </w:t>
      </w:r>
    </w:p>
    <w:p w:rsidRPr="00283B39" w:rsidR="0095088E" w:rsidP="0095088E" w:rsidRDefault="0095088E" w14:paraId="6198C92E" w14:textId="77777777">
      <w:pPr>
        <w:pStyle w:val="SEOStandaard"/>
        <w:numPr>
          <w:ilvl w:val="0"/>
          <w:numId w:val="0"/>
        </w:numPr>
        <w:rPr>
          <w:rFonts w:ascii="Trebuchet MS" w:hAnsi="Trebuchet MS"/>
          <w:color w:val="auto"/>
          <w:sz w:val="18"/>
          <w:szCs w:val="18"/>
        </w:rPr>
      </w:pPr>
    </w:p>
    <w:p w:rsidRPr="00283B39" w:rsidR="0095088E" w:rsidP="0095088E" w:rsidRDefault="0095088E" w14:paraId="3D6ACF3D" w14:textId="5978B12F">
      <w:pPr>
        <w:pStyle w:val="SEOStandaard"/>
        <w:numPr>
          <w:ilvl w:val="0"/>
          <w:numId w:val="0"/>
        </w:numPr>
        <w:rPr>
          <w:rFonts w:ascii="Trebuchet MS" w:hAnsi="Trebuchet MS"/>
          <w:b/>
          <w:color w:val="auto"/>
          <w:sz w:val="18"/>
          <w:szCs w:val="18"/>
        </w:rPr>
      </w:pPr>
      <w:r w:rsidRPr="00283B39">
        <w:rPr>
          <w:rFonts w:ascii="Trebuchet MS" w:hAnsi="Trebuchet MS"/>
          <w:color w:val="auto"/>
          <w:sz w:val="18"/>
          <w:szCs w:val="18"/>
        </w:rPr>
        <w:t xml:space="preserve">Mogelijk aansluitend hierop is de tevredenheid over </w:t>
      </w:r>
      <w:r w:rsidRPr="00283B39">
        <w:rPr>
          <w:rFonts w:ascii="Trebuchet MS" w:hAnsi="Trebuchet MS"/>
          <w:b/>
          <w:color w:val="auto"/>
          <w:sz w:val="18"/>
          <w:szCs w:val="18"/>
        </w:rPr>
        <w:t>een projectmatige of programmagerichte aanpak</w:t>
      </w:r>
      <w:r w:rsidRPr="00283B39">
        <w:rPr>
          <w:rFonts w:ascii="Trebuchet MS" w:hAnsi="Trebuchet MS"/>
          <w:color w:val="auto"/>
          <w:sz w:val="18"/>
          <w:szCs w:val="18"/>
        </w:rPr>
        <w:t xml:space="preserve"> die meerdere programmaleiders benoemen: </w:t>
      </w:r>
      <w:r w:rsidRPr="00283B39">
        <w:rPr>
          <w:rFonts w:ascii="Trebuchet MS" w:hAnsi="Trebuchet MS"/>
          <w:i/>
          <w:color w:val="auto"/>
          <w:sz w:val="18"/>
          <w:szCs w:val="18"/>
        </w:rPr>
        <w:t>‘’We hebben geleerd dat samenwerken vanuit urgentie en ambitie, met een programmatische werkwijze, effectief is’’</w:t>
      </w:r>
      <w:r w:rsidRPr="00283B39">
        <w:rPr>
          <w:rFonts w:ascii="Trebuchet MS" w:hAnsi="Trebuchet MS"/>
          <w:b/>
          <w:color w:val="auto"/>
          <w:sz w:val="18"/>
          <w:szCs w:val="18"/>
        </w:rPr>
        <w:t xml:space="preserve"> </w:t>
      </w:r>
      <w:r w:rsidRPr="00283B39">
        <w:rPr>
          <w:rFonts w:ascii="Trebuchet MS" w:hAnsi="Trebuchet MS"/>
          <w:color w:val="auto"/>
          <w:sz w:val="18"/>
          <w:szCs w:val="18"/>
        </w:rPr>
        <w:t>en</w:t>
      </w:r>
      <w:r w:rsidRPr="00283B39">
        <w:rPr>
          <w:rFonts w:ascii="Trebuchet MS" w:hAnsi="Trebuchet MS"/>
          <w:b/>
          <w:color w:val="auto"/>
          <w:sz w:val="18"/>
          <w:szCs w:val="18"/>
        </w:rPr>
        <w:t xml:space="preserve"> </w:t>
      </w:r>
      <w:r w:rsidRPr="00283B39">
        <w:rPr>
          <w:rFonts w:ascii="Trebuchet MS" w:hAnsi="Trebuchet MS"/>
          <w:i/>
          <w:color w:val="auto"/>
          <w:sz w:val="18"/>
          <w:szCs w:val="18"/>
        </w:rPr>
        <w:t>‘’De keuzes om in clusters te werken en met mijlpalen</w:t>
      </w:r>
      <w:r w:rsidRPr="00283B39" w:rsidR="59987997">
        <w:rPr>
          <w:rFonts w:ascii="Trebuchet MS" w:hAnsi="Trebuchet MS"/>
          <w:i/>
          <w:color w:val="auto"/>
          <w:sz w:val="18"/>
          <w:szCs w:val="18"/>
        </w:rPr>
        <w:t>,</w:t>
      </w:r>
      <w:r w:rsidRPr="00283B39">
        <w:rPr>
          <w:rFonts w:ascii="Trebuchet MS" w:hAnsi="Trebuchet MS"/>
          <w:i/>
          <w:color w:val="auto"/>
          <w:sz w:val="18"/>
          <w:szCs w:val="18"/>
        </w:rPr>
        <w:t xml:space="preserve"> zodat collega's weten waar ze heen gaan.’’</w:t>
      </w:r>
      <w:r w:rsidRPr="00283B39">
        <w:rPr>
          <w:rFonts w:ascii="Trebuchet MS" w:hAnsi="Trebuchet MS"/>
          <w:color w:val="auto"/>
          <w:sz w:val="18"/>
          <w:szCs w:val="18"/>
        </w:rPr>
        <w:t>.</w:t>
      </w:r>
      <w:r w:rsidRPr="00283B39">
        <w:rPr>
          <w:rFonts w:ascii="Trebuchet MS" w:hAnsi="Trebuchet MS"/>
          <w:b/>
          <w:color w:val="auto"/>
          <w:sz w:val="18"/>
          <w:szCs w:val="18"/>
        </w:rPr>
        <w:t xml:space="preserve"> </w:t>
      </w:r>
    </w:p>
    <w:p w:rsidRPr="00283B39" w:rsidR="0095088E" w:rsidP="0095088E" w:rsidRDefault="0095088E" w14:paraId="459D35B8" w14:textId="77777777">
      <w:pPr>
        <w:pStyle w:val="SEOStandaard"/>
        <w:numPr>
          <w:ilvl w:val="0"/>
          <w:numId w:val="0"/>
        </w:numPr>
        <w:rPr>
          <w:rFonts w:ascii="Trebuchet MS" w:hAnsi="Trebuchet MS"/>
          <w:color w:val="auto"/>
          <w:sz w:val="18"/>
          <w:szCs w:val="18"/>
        </w:rPr>
      </w:pPr>
    </w:p>
    <w:p w:rsidRPr="00283B39" w:rsidR="0095088E" w:rsidP="0095088E" w:rsidRDefault="0095088E" w14:paraId="3B22B686" w14:textId="6DB6079A">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 xml:space="preserve">De </w:t>
      </w:r>
      <w:r w:rsidRPr="00283B39">
        <w:rPr>
          <w:rFonts w:ascii="Trebuchet MS" w:hAnsi="Trebuchet MS"/>
          <w:b/>
          <w:color w:val="auto"/>
          <w:sz w:val="18"/>
          <w:szCs w:val="18"/>
        </w:rPr>
        <w:t>betrokkenheid van personeel</w:t>
      </w:r>
      <w:r w:rsidRPr="00283B39">
        <w:rPr>
          <w:rFonts w:ascii="Trebuchet MS" w:hAnsi="Trebuchet MS"/>
          <w:color w:val="auto"/>
          <w:sz w:val="18"/>
          <w:szCs w:val="18"/>
        </w:rPr>
        <w:t xml:space="preserve"> is een ander aspect waarover meerdere programmaleiders tevreden zijn.  Er zijn daarbij ook stappen gezet wat betreft de </w:t>
      </w:r>
      <w:r w:rsidRPr="00283B39">
        <w:rPr>
          <w:rFonts w:ascii="Trebuchet MS" w:hAnsi="Trebuchet MS"/>
          <w:b/>
          <w:color w:val="auto"/>
          <w:sz w:val="18"/>
          <w:szCs w:val="18"/>
        </w:rPr>
        <w:t>professionalisering</w:t>
      </w:r>
      <w:r w:rsidRPr="00283B39">
        <w:rPr>
          <w:rFonts w:ascii="Trebuchet MS" w:hAnsi="Trebuchet MS"/>
          <w:color w:val="auto"/>
          <w:sz w:val="18"/>
          <w:szCs w:val="18"/>
        </w:rPr>
        <w:t xml:space="preserve"> van docenten en de </w:t>
      </w:r>
      <w:r w:rsidRPr="00283B39">
        <w:rPr>
          <w:rFonts w:ascii="Trebuchet MS" w:hAnsi="Trebuchet MS"/>
          <w:b/>
          <w:color w:val="auto"/>
          <w:sz w:val="18"/>
          <w:szCs w:val="18"/>
        </w:rPr>
        <w:t>wijze van organisatie</w:t>
      </w:r>
      <w:r w:rsidRPr="00283B39" w:rsidR="0A6088DB">
        <w:rPr>
          <w:rFonts w:ascii="Trebuchet MS" w:hAnsi="Trebuchet MS"/>
          <w:b/>
          <w:color w:val="auto"/>
          <w:sz w:val="18"/>
          <w:szCs w:val="18"/>
        </w:rPr>
        <w:t>.</w:t>
      </w:r>
      <w:r w:rsidRPr="00283B39">
        <w:rPr>
          <w:rFonts w:ascii="Trebuchet MS" w:hAnsi="Trebuchet MS"/>
          <w:color w:val="auto"/>
          <w:sz w:val="18"/>
          <w:szCs w:val="18"/>
        </w:rPr>
        <w:t xml:space="preserve"> </w:t>
      </w:r>
    </w:p>
    <w:p w:rsidRPr="00283B39" w:rsidR="0095088E" w:rsidP="0095088E" w:rsidRDefault="0095088E" w14:paraId="3DC114FC" w14:textId="77777777">
      <w:pPr>
        <w:pStyle w:val="SEOStandaard"/>
        <w:numPr>
          <w:ilvl w:val="0"/>
          <w:numId w:val="0"/>
        </w:numPr>
        <w:rPr>
          <w:rFonts w:ascii="Trebuchet MS" w:hAnsi="Trebuchet MS"/>
          <w:color w:val="auto"/>
          <w:sz w:val="18"/>
          <w:szCs w:val="18"/>
        </w:rPr>
      </w:pPr>
    </w:p>
    <w:p w:rsidRPr="00283B39" w:rsidR="0095088E" w:rsidP="0095088E" w:rsidRDefault="0095088E" w14:paraId="334EED60" w14:textId="77777777">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 xml:space="preserve">Over de </w:t>
      </w:r>
      <w:r w:rsidRPr="00283B39">
        <w:rPr>
          <w:rFonts w:ascii="Trebuchet MS" w:hAnsi="Trebuchet MS"/>
          <w:b/>
          <w:color w:val="auto"/>
          <w:sz w:val="18"/>
          <w:szCs w:val="18"/>
        </w:rPr>
        <w:t>inzet van externen of instructeurs</w:t>
      </w:r>
      <w:r w:rsidRPr="00283B39">
        <w:rPr>
          <w:rFonts w:ascii="Trebuchet MS" w:hAnsi="Trebuchet MS"/>
          <w:color w:val="auto"/>
          <w:sz w:val="18"/>
          <w:szCs w:val="18"/>
        </w:rPr>
        <w:t xml:space="preserve"> is men ook tevreden, al is er een programmaleider blij met het feit dat zij geen </w:t>
      </w:r>
      <w:r w:rsidRPr="00283B39">
        <w:rPr>
          <w:rFonts w:ascii="Trebuchet MS" w:hAnsi="Trebuchet MS"/>
          <w:i/>
          <w:color w:val="auto"/>
          <w:sz w:val="18"/>
          <w:szCs w:val="18"/>
        </w:rPr>
        <w:t>‘’inleen van dure externe partijen’’</w:t>
      </w:r>
      <w:r w:rsidRPr="00283B39">
        <w:rPr>
          <w:rFonts w:ascii="Trebuchet MS" w:hAnsi="Trebuchet MS"/>
          <w:color w:val="auto"/>
          <w:sz w:val="18"/>
          <w:szCs w:val="18"/>
        </w:rPr>
        <w:t xml:space="preserve"> nodig hadden en wordt benadrukt dat het van belang is dat het geld zo veel mogelijk bij de leerling terecht komt. </w:t>
      </w:r>
    </w:p>
    <w:p w:rsidRPr="00283B39" w:rsidR="0095088E" w:rsidP="0095088E" w:rsidRDefault="0095088E" w14:paraId="75F54FF1" w14:textId="77777777">
      <w:pPr>
        <w:pStyle w:val="SEOStandaard"/>
        <w:numPr>
          <w:ilvl w:val="0"/>
          <w:numId w:val="0"/>
        </w:numPr>
        <w:rPr>
          <w:rFonts w:ascii="Trebuchet MS" w:hAnsi="Trebuchet MS"/>
          <w:color w:val="auto"/>
          <w:sz w:val="18"/>
          <w:szCs w:val="18"/>
        </w:rPr>
      </w:pPr>
    </w:p>
    <w:p w:rsidRPr="00283B39" w:rsidR="0095088E" w:rsidP="0095088E" w:rsidRDefault="0095088E" w14:paraId="5F08C91C" w14:textId="77777777">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 xml:space="preserve">Expliciet wordt de </w:t>
      </w:r>
      <w:r w:rsidRPr="00283B39">
        <w:rPr>
          <w:rFonts w:ascii="Trebuchet MS" w:hAnsi="Trebuchet MS"/>
          <w:b/>
          <w:color w:val="auto"/>
          <w:sz w:val="18"/>
          <w:szCs w:val="18"/>
        </w:rPr>
        <w:t>aandacht voor en de afstemming met de onderbouw</w:t>
      </w:r>
      <w:r w:rsidRPr="00283B39">
        <w:rPr>
          <w:rFonts w:ascii="Trebuchet MS" w:hAnsi="Trebuchet MS"/>
          <w:color w:val="auto"/>
          <w:sz w:val="18"/>
          <w:szCs w:val="18"/>
        </w:rPr>
        <w:t xml:space="preserve"> genoemd als aspect waarover programmaleiders content zijn. Een van hen is ook tevreden met het feit dat opleidingen </w:t>
      </w:r>
      <w:r w:rsidRPr="00283B39">
        <w:rPr>
          <w:rFonts w:ascii="Trebuchet MS" w:hAnsi="Trebuchet MS"/>
          <w:b/>
          <w:color w:val="auto"/>
          <w:sz w:val="18"/>
          <w:szCs w:val="18"/>
        </w:rPr>
        <w:t>niet afgeschaft</w:t>
      </w:r>
      <w:r w:rsidRPr="00283B39">
        <w:rPr>
          <w:rFonts w:ascii="Trebuchet MS" w:hAnsi="Trebuchet MS"/>
          <w:color w:val="auto"/>
          <w:sz w:val="18"/>
          <w:szCs w:val="18"/>
        </w:rPr>
        <w:t xml:space="preserve"> hoefden te worden. </w:t>
      </w:r>
    </w:p>
    <w:p w:rsidRPr="00283B39" w:rsidR="0095088E" w:rsidP="0095088E" w:rsidRDefault="0095088E" w14:paraId="6F181B0C" w14:textId="77777777">
      <w:pPr>
        <w:pStyle w:val="SEOStandaard"/>
        <w:numPr>
          <w:ilvl w:val="0"/>
          <w:numId w:val="0"/>
        </w:numPr>
        <w:rPr>
          <w:rFonts w:ascii="Trebuchet MS" w:hAnsi="Trebuchet MS"/>
          <w:color w:val="auto"/>
          <w:sz w:val="18"/>
          <w:szCs w:val="18"/>
        </w:rPr>
      </w:pPr>
    </w:p>
    <w:p w:rsidRPr="00283B39" w:rsidR="0095088E" w:rsidP="0095088E" w:rsidRDefault="0095088E" w14:paraId="0AD2A070" w14:textId="77777777">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 xml:space="preserve">Meerdere programmaleiders benoemen in hun open antwoord tevredenheid over </w:t>
      </w:r>
      <w:r w:rsidRPr="00283B39">
        <w:rPr>
          <w:rFonts w:ascii="Trebuchet MS" w:hAnsi="Trebuchet MS"/>
          <w:b/>
          <w:color w:val="auto"/>
          <w:sz w:val="18"/>
          <w:szCs w:val="18"/>
        </w:rPr>
        <w:t>marketing en communicatie</w:t>
      </w:r>
      <w:r w:rsidRPr="00283B39">
        <w:rPr>
          <w:rFonts w:ascii="Trebuchet MS" w:hAnsi="Trebuchet MS"/>
          <w:color w:val="auto"/>
          <w:sz w:val="18"/>
          <w:szCs w:val="18"/>
        </w:rPr>
        <w:t xml:space="preserve"> in het algemeen. </w:t>
      </w:r>
    </w:p>
    <w:p w:rsidRPr="00283B39" w:rsidR="0095088E" w:rsidP="0095088E" w:rsidRDefault="0095088E" w14:paraId="4D618C94" w14:textId="77777777">
      <w:pPr>
        <w:pStyle w:val="SEOStandaard"/>
        <w:numPr>
          <w:ilvl w:val="0"/>
          <w:numId w:val="0"/>
        </w:numPr>
        <w:rPr>
          <w:rFonts w:ascii="Trebuchet MS" w:hAnsi="Trebuchet MS"/>
          <w:color w:val="auto"/>
          <w:sz w:val="18"/>
          <w:szCs w:val="18"/>
        </w:rPr>
      </w:pPr>
    </w:p>
    <w:p w:rsidRPr="00283B39" w:rsidR="0095088E" w:rsidP="0095088E" w:rsidRDefault="0095088E" w14:paraId="325AE3D5" w14:textId="77777777">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 xml:space="preserve">Tot slot constateert een van de programmaleiders dat hoewel tevredenheid bestaat op tal van terreinen de regio er nog niet is: </w:t>
      </w:r>
      <w:r w:rsidRPr="00283B39">
        <w:rPr>
          <w:rFonts w:ascii="Trebuchet MS" w:hAnsi="Trebuchet MS"/>
          <w:i/>
          <w:color w:val="auto"/>
          <w:sz w:val="18"/>
          <w:szCs w:val="18"/>
        </w:rPr>
        <w:t xml:space="preserve">‘’Ik ben eigenlijk tevreden over bijna alles wat we de afgelopen in gang gezet hebben, maar wel met de constatering dat we er nog niet zijn. We hebben de komende planperiode echt nodig om door te pakken, om de samenwerking en alle initiatieven die daaruit voortkomen verder door te ontwikkelen en te borgen.’’ </w:t>
      </w:r>
    </w:p>
    <w:p w:rsidRPr="00283B39" w:rsidR="0095088E" w:rsidP="0095088E" w:rsidRDefault="0095088E" w14:paraId="63E32297" w14:textId="77777777">
      <w:pPr>
        <w:pStyle w:val="SEOStandaard"/>
        <w:numPr>
          <w:ilvl w:val="0"/>
          <w:numId w:val="0"/>
        </w:numPr>
        <w:rPr>
          <w:rFonts w:ascii="Trebuchet MS" w:hAnsi="Trebuchet MS"/>
          <w:color w:val="auto"/>
          <w:sz w:val="18"/>
          <w:szCs w:val="18"/>
        </w:rPr>
      </w:pPr>
    </w:p>
    <w:p w:rsidRPr="00283B39" w:rsidR="0095088E" w:rsidP="0095088E" w:rsidRDefault="0095088E" w14:paraId="1BB2EE3F" w14:textId="77777777">
      <w:pPr>
        <w:pStyle w:val="SEOStandaard"/>
        <w:numPr>
          <w:ilvl w:val="0"/>
          <w:numId w:val="0"/>
        </w:numPr>
        <w:rPr>
          <w:rFonts w:ascii="Trebuchet MS" w:hAnsi="Trebuchet MS"/>
          <w:b/>
          <w:color w:val="auto"/>
          <w:sz w:val="18"/>
          <w:szCs w:val="18"/>
        </w:rPr>
      </w:pPr>
      <w:r w:rsidRPr="00283B39">
        <w:rPr>
          <w:rFonts w:ascii="Trebuchet MS" w:hAnsi="Trebuchet MS"/>
          <w:color w:val="auto"/>
          <w:sz w:val="18"/>
          <w:szCs w:val="18"/>
        </w:rPr>
        <w:t xml:space="preserve">De laatste open vraag betreft een inschatting van het grootste risico voor de komende STO-periode. In het overgrote deel van open antwoorden komt terug dat programmaleiders risico’s zien wat betreft het </w:t>
      </w:r>
      <w:r w:rsidRPr="00283B39">
        <w:rPr>
          <w:rFonts w:ascii="Trebuchet MS" w:hAnsi="Trebuchet MS"/>
          <w:b/>
          <w:color w:val="auto"/>
          <w:sz w:val="18"/>
          <w:szCs w:val="18"/>
        </w:rPr>
        <w:t>behoud van en het tekort aan (kwalitatief goed) personeel</w:t>
      </w:r>
      <w:r w:rsidRPr="00283B39">
        <w:rPr>
          <w:rFonts w:ascii="Trebuchet MS" w:hAnsi="Trebuchet MS"/>
          <w:color w:val="auto"/>
          <w:sz w:val="18"/>
          <w:szCs w:val="18"/>
        </w:rPr>
        <w:t xml:space="preserve"> (zowel docenten als projectmedewerkers). Er wordt gesproken over wisselingen die de continuïteit niet ten goede komt: ‘</w:t>
      </w:r>
      <w:r w:rsidRPr="00283B39">
        <w:rPr>
          <w:rFonts w:ascii="Trebuchet MS" w:hAnsi="Trebuchet MS"/>
          <w:i/>
          <w:color w:val="auto"/>
          <w:sz w:val="18"/>
          <w:szCs w:val="18"/>
        </w:rPr>
        <w:t>’Het gevoel dat je steeds weer opnieuw moet beginnen.’’</w:t>
      </w:r>
      <w:r w:rsidRPr="00283B39">
        <w:rPr>
          <w:rFonts w:ascii="Trebuchet MS" w:hAnsi="Trebuchet MS"/>
          <w:b/>
          <w:i/>
          <w:color w:val="auto"/>
          <w:sz w:val="18"/>
          <w:szCs w:val="18"/>
        </w:rPr>
        <w:t xml:space="preserve"> </w:t>
      </w:r>
      <w:r w:rsidRPr="00283B39">
        <w:rPr>
          <w:rFonts w:ascii="Trebuchet MS" w:hAnsi="Trebuchet MS"/>
          <w:color w:val="auto"/>
          <w:sz w:val="18"/>
          <w:szCs w:val="18"/>
        </w:rPr>
        <w:t xml:space="preserve">Daarnaast zijn techniekdocenten van cruciaal belang: </w:t>
      </w:r>
      <w:r w:rsidRPr="00283B39">
        <w:rPr>
          <w:rFonts w:ascii="Trebuchet MS" w:hAnsi="Trebuchet MS"/>
          <w:i/>
          <w:color w:val="auto"/>
          <w:sz w:val="18"/>
          <w:szCs w:val="18"/>
        </w:rPr>
        <w:t>‘’Personeel is het grootste kapitaal en kan ook zomaar verloren gaan.’’</w:t>
      </w:r>
    </w:p>
    <w:p w:rsidRPr="00283B39" w:rsidR="0095088E" w:rsidP="0095088E" w:rsidRDefault="0095088E" w14:paraId="3A6AB63D" w14:textId="77777777">
      <w:pPr>
        <w:pStyle w:val="SEOStandaard"/>
        <w:numPr>
          <w:ilvl w:val="0"/>
          <w:numId w:val="0"/>
        </w:numPr>
        <w:rPr>
          <w:rFonts w:ascii="Trebuchet MS" w:hAnsi="Trebuchet MS"/>
          <w:b/>
          <w:color w:val="auto"/>
          <w:sz w:val="18"/>
          <w:szCs w:val="18"/>
        </w:rPr>
      </w:pPr>
    </w:p>
    <w:p w:rsidRPr="00283B39" w:rsidR="0095088E" w:rsidP="0095088E" w:rsidRDefault="0095088E" w14:paraId="2ADE0359" w14:textId="77777777">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 xml:space="preserve">Consistent hiermee is een ander risico dat meermaals wordt genoemd, namelijk de </w:t>
      </w:r>
      <w:r w:rsidRPr="00283B39">
        <w:rPr>
          <w:rFonts w:ascii="Trebuchet MS" w:hAnsi="Trebuchet MS"/>
          <w:b/>
          <w:color w:val="auto"/>
          <w:sz w:val="18"/>
          <w:szCs w:val="18"/>
        </w:rPr>
        <w:t>afhankelijkheid van bepaalde personen</w:t>
      </w:r>
      <w:r w:rsidRPr="00283B39">
        <w:rPr>
          <w:rFonts w:ascii="Trebuchet MS" w:hAnsi="Trebuchet MS"/>
          <w:color w:val="auto"/>
          <w:sz w:val="18"/>
          <w:szCs w:val="18"/>
        </w:rPr>
        <w:t>: ‘’</w:t>
      </w:r>
      <w:r w:rsidRPr="00283B39">
        <w:rPr>
          <w:rFonts w:ascii="Trebuchet MS" w:hAnsi="Trebuchet MS"/>
          <w:i/>
          <w:color w:val="auto"/>
          <w:sz w:val="18"/>
          <w:szCs w:val="18"/>
        </w:rPr>
        <w:t>Het hangt nu nog teveel af van een aantal docenten, projectleiders, mensen uit het mbo, de opleidingsbedrijven en bedrijven’’.</w:t>
      </w:r>
      <w:r w:rsidRPr="00283B39">
        <w:rPr>
          <w:rFonts w:ascii="Trebuchet MS" w:hAnsi="Trebuchet MS"/>
          <w:color w:val="auto"/>
          <w:sz w:val="18"/>
          <w:szCs w:val="18"/>
        </w:rPr>
        <w:t xml:space="preserve">  </w:t>
      </w:r>
    </w:p>
    <w:p w:rsidRPr="00283B39" w:rsidR="0095088E" w:rsidP="0095088E" w:rsidRDefault="0095088E" w14:paraId="22334839" w14:textId="77777777">
      <w:pPr>
        <w:pStyle w:val="SEOStandaard"/>
        <w:numPr>
          <w:ilvl w:val="0"/>
          <w:numId w:val="0"/>
        </w:numPr>
        <w:rPr>
          <w:rFonts w:ascii="Trebuchet MS" w:hAnsi="Trebuchet MS"/>
          <w:color w:val="auto"/>
          <w:sz w:val="18"/>
          <w:szCs w:val="18"/>
        </w:rPr>
      </w:pPr>
    </w:p>
    <w:p w:rsidRPr="00283B39" w:rsidR="0095088E" w:rsidP="0095088E" w:rsidRDefault="0095088E" w14:paraId="246672D9" w14:textId="77777777">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 xml:space="preserve">Een ander risico dat door veel verschillende programmaleiders wordt benoemd is de </w:t>
      </w:r>
      <w:r w:rsidRPr="00283B39">
        <w:rPr>
          <w:rFonts w:ascii="Trebuchet MS" w:hAnsi="Trebuchet MS"/>
          <w:b/>
          <w:color w:val="auto"/>
          <w:sz w:val="18"/>
          <w:szCs w:val="18"/>
        </w:rPr>
        <w:t>teruggang in leerlingaantallen</w:t>
      </w:r>
      <w:r w:rsidRPr="00283B39">
        <w:rPr>
          <w:rFonts w:ascii="Trebuchet MS" w:hAnsi="Trebuchet MS"/>
          <w:color w:val="auto"/>
          <w:sz w:val="18"/>
          <w:szCs w:val="18"/>
        </w:rPr>
        <w:t xml:space="preserve">. Hierin noemt ook een programmaleider dat hiermee toenemende ongelijkheid kan ontstaan tussen regio’s. Andere </w:t>
      </w:r>
      <w:r w:rsidRPr="00283B39">
        <w:rPr>
          <w:rFonts w:ascii="Trebuchet MS" w:hAnsi="Trebuchet MS"/>
          <w:b/>
          <w:color w:val="auto"/>
          <w:sz w:val="18"/>
          <w:szCs w:val="18"/>
        </w:rPr>
        <w:lastRenderedPageBreak/>
        <w:t>maatschappelijke ontwikkelingen</w:t>
      </w:r>
      <w:r w:rsidRPr="00283B39">
        <w:rPr>
          <w:rFonts w:ascii="Trebuchet MS" w:hAnsi="Trebuchet MS"/>
          <w:color w:val="auto"/>
          <w:sz w:val="18"/>
          <w:szCs w:val="18"/>
        </w:rPr>
        <w:t xml:space="preserve"> komen terug de open antwoorden. Zo wordt meermaals kansrijk adviseren in groep 8 genoemd als risico: </w:t>
      </w:r>
      <w:r w:rsidRPr="00283B39">
        <w:rPr>
          <w:rFonts w:ascii="Trebuchet MS" w:hAnsi="Trebuchet MS"/>
          <w:i/>
          <w:color w:val="auto"/>
          <w:sz w:val="18"/>
          <w:szCs w:val="18"/>
        </w:rPr>
        <w:t xml:space="preserve">‘’Door het kansrijk adviseren in groep 8 en de opwaartse druk van advisering naar aanleiding van de huidige doorstroomtoets ontstaat er verschuiving in de instroom. Zo zien we in de praktijk dat leerlingen te hoog instromen. Na het eerste of tweede leerjaar stromen deze leerlingen weer terug in niveau en missen hierdoor een bepaalde technische basiskennis. Hierdoor wordt een technisch profielkeuze misschien onterecht ontmoedigd of lastig.’’ </w:t>
      </w:r>
      <w:r w:rsidRPr="00283B39">
        <w:rPr>
          <w:rFonts w:ascii="Trebuchet MS" w:hAnsi="Trebuchet MS"/>
          <w:color w:val="auto"/>
          <w:sz w:val="18"/>
          <w:szCs w:val="18"/>
        </w:rPr>
        <w:t xml:space="preserve">Het bijbenen van technologische ontwikkelingen en een grotere rol van techniek op niet-techniek scholen zijn twee andere ontwikkelingen die volgens sommige risico’s vormen. Hetzelfde geldt voor de spanning tussen de hoge vraag naar technisch geschoold personeel op de arbeidsmarkt en de capaciteit op vmbo’s en mbo’s om vakmensen op te leiden.  </w:t>
      </w:r>
    </w:p>
    <w:p w:rsidRPr="00283B39" w:rsidR="0095088E" w:rsidP="0095088E" w:rsidRDefault="0095088E" w14:paraId="0950B4E5" w14:textId="77777777">
      <w:pPr>
        <w:pStyle w:val="SEOStandaard"/>
        <w:numPr>
          <w:ilvl w:val="0"/>
          <w:numId w:val="0"/>
        </w:numPr>
        <w:rPr>
          <w:rFonts w:ascii="Trebuchet MS" w:hAnsi="Trebuchet MS"/>
          <w:color w:val="auto"/>
          <w:sz w:val="18"/>
          <w:szCs w:val="18"/>
        </w:rPr>
      </w:pPr>
    </w:p>
    <w:p w:rsidRPr="00283B39" w:rsidR="0095088E" w:rsidP="0095088E" w:rsidRDefault="0095088E" w14:paraId="7838624C" w14:textId="62067C43">
      <w:pPr>
        <w:pStyle w:val="SEOStandaard"/>
        <w:numPr>
          <w:ilvl w:val="0"/>
          <w:numId w:val="0"/>
        </w:numPr>
        <w:rPr>
          <w:rFonts w:ascii="Trebuchet MS" w:hAnsi="Trebuchet MS"/>
          <w:color w:val="auto"/>
          <w:sz w:val="18"/>
          <w:szCs w:val="18"/>
        </w:rPr>
      </w:pPr>
      <w:r w:rsidRPr="00283B39">
        <w:rPr>
          <w:rFonts w:ascii="Trebuchet MS" w:hAnsi="Trebuchet MS"/>
          <w:b/>
          <w:color w:val="auto"/>
          <w:sz w:val="18"/>
          <w:szCs w:val="18"/>
        </w:rPr>
        <w:t>Borging</w:t>
      </w:r>
      <w:r w:rsidRPr="00283B39">
        <w:rPr>
          <w:rFonts w:ascii="Trebuchet MS" w:hAnsi="Trebuchet MS"/>
          <w:color w:val="auto"/>
          <w:sz w:val="18"/>
          <w:szCs w:val="18"/>
        </w:rPr>
        <w:t xml:space="preserve"> van het programma en de behaalde opbrengsten is een ander risico dat zeer vaak terugkomt in de open antwoorden. Daarbij speelt </w:t>
      </w:r>
      <w:r w:rsidRPr="00283B39" w:rsidR="01B7A10D">
        <w:rPr>
          <w:rFonts w:ascii="Trebuchet MS" w:hAnsi="Trebuchet MS"/>
          <w:color w:val="auto"/>
          <w:sz w:val="18"/>
          <w:szCs w:val="18"/>
        </w:rPr>
        <w:t>bij</w:t>
      </w:r>
      <w:r w:rsidRPr="00283B39">
        <w:rPr>
          <w:rFonts w:ascii="Trebuchet MS" w:hAnsi="Trebuchet MS"/>
          <w:color w:val="auto"/>
          <w:sz w:val="18"/>
          <w:szCs w:val="18"/>
        </w:rPr>
        <w:t xml:space="preserve"> sommige</w:t>
      </w:r>
      <w:r w:rsidRPr="00283B39" w:rsidR="47588FB4">
        <w:rPr>
          <w:rFonts w:ascii="Trebuchet MS" w:hAnsi="Trebuchet MS"/>
          <w:color w:val="auto"/>
          <w:sz w:val="18"/>
          <w:szCs w:val="18"/>
        </w:rPr>
        <w:t>n</w:t>
      </w:r>
      <w:r w:rsidRPr="00283B39">
        <w:rPr>
          <w:rFonts w:ascii="Trebuchet MS" w:hAnsi="Trebuchet MS"/>
          <w:color w:val="auto"/>
          <w:sz w:val="18"/>
          <w:szCs w:val="18"/>
        </w:rPr>
        <w:t xml:space="preserve"> de angst dat STO wegvalt of op zal gaan in lumpsum. Ook wordt de toereikendheid van de STO-gelden genoemd als risico. </w:t>
      </w:r>
    </w:p>
    <w:p w:rsidRPr="00283B39" w:rsidR="0095088E" w:rsidP="0095088E" w:rsidRDefault="0095088E" w14:paraId="261FE4CA" w14:textId="77777777">
      <w:pPr>
        <w:pStyle w:val="SEOStandaard"/>
        <w:numPr>
          <w:ilvl w:val="0"/>
          <w:numId w:val="0"/>
        </w:numPr>
        <w:rPr>
          <w:rFonts w:ascii="Trebuchet MS" w:hAnsi="Trebuchet MS"/>
          <w:color w:val="auto"/>
          <w:sz w:val="18"/>
          <w:szCs w:val="18"/>
        </w:rPr>
      </w:pPr>
    </w:p>
    <w:p w:rsidRPr="00283B39" w:rsidR="0095088E" w:rsidP="0095088E" w:rsidRDefault="0095088E" w14:paraId="3098D181" w14:textId="7471327D">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Minder vaak</w:t>
      </w:r>
      <w:r w:rsidRPr="00283B39" w:rsidR="13EE26A7">
        <w:rPr>
          <w:rFonts w:ascii="Trebuchet MS" w:hAnsi="Trebuchet MS"/>
          <w:color w:val="auto"/>
          <w:sz w:val="18"/>
          <w:szCs w:val="18"/>
        </w:rPr>
        <w:t>,</w:t>
      </w:r>
      <w:r w:rsidRPr="00283B39">
        <w:rPr>
          <w:rFonts w:ascii="Trebuchet MS" w:hAnsi="Trebuchet MS"/>
          <w:color w:val="auto"/>
          <w:sz w:val="18"/>
          <w:szCs w:val="18"/>
        </w:rPr>
        <w:t xml:space="preserve"> maar wel door meerdere programmaleiders benoemd</w:t>
      </w:r>
      <w:r w:rsidRPr="00283B39" w:rsidR="5F5FD33B">
        <w:rPr>
          <w:rFonts w:ascii="Trebuchet MS" w:hAnsi="Trebuchet MS"/>
          <w:color w:val="auto"/>
          <w:sz w:val="18"/>
          <w:szCs w:val="18"/>
        </w:rPr>
        <w:t>,</w:t>
      </w:r>
      <w:r w:rsidRPr="00283B39">
        <w:rPr>
          <w:rFonts w:ascii="Trebuchet MS" w:hAnsi="Trebuchet MS"/>
          <w:color w:val="auto"/>
          <w:sz w:val="18"/>
          <w:szCs w:val="18"/>
        </w:rPr>
        <w:t xml:space="preserve"> zijn risico’s als: het </w:t>
      </w:r>
      <w:r w:rsidRPr="00283B39">
        <w:rPr>
          <w:rFonts w:ascii="Trebuchet MS" w:hAnsi="Trebuchet MS"/>
          <w:b/>
          <w:color w:val="auto"/>
          <w:sz w:val="18"/>
          <w:szCs w:val="18"/>
        </w:rPr>
        <w:t>terugvallen in oude patronen</w:t>
      </w:r>
      <w:r w:rsidRPr="00283B39">
        <w:rPr>
          <w:rFonts w:ascii="Trebuchet MS" w:hAnsi="Trebuchet MS"/>
          <w:color w:val="auto"/>
          <w:sz w:val="18"/>
          <w:szCs w:val="18"/>
        </w:rPr>
        <w:t xml:space="preserve">, </w:t>
      </w:r>
      <w:r w:rsidRPr="00283B39">
        <w:rPr>
          <w:rFonts w:ascii="Trebuchet MS" w:hAnsi="Trebuchet MS"/>
          <w:b/>
          <w:color w:val="auto"/>
          <w:sz w:val="18"/>
          <w:szCs w:val="18"/>
        </w:rPr>
        <w:t>verslappen van de ambitie</w:t>
      </w:r>
      <w:r w:rsidRPr="00283B39">
        <w:rPr>
          <w:rFonts w:ascii="Trebuchet MS" w:hAnsi="Trebuchet MS"/>
          <w:color w:val="auto"/>
          <w:sz w:val="18"/>
          <w:szCs w:val="18"/>
        </w:rPr>
        <w:t xml:space="preserve">, het hebben van een </w:t>
      </w:r>
      <w:r w:rsidRPr="00283B39">
        <w:rPr>
          <w:rFonts w:ascii="Trebuchet MS" w:hAnsi="Trebuchet MS"/>
          <w:b/>
          <w:color w:val="auto"/>
          <w:sz w:val="18"/>
          <w:szCs w:val="18"/>
        </w:rPr>
        <w:t>gezamenlijk blik versus eigen belang</w:t>
      </w:r>
      <w:r w:rsidRPr="00283B39">
        <w:rPr>
          <w:rFonts w:ascii="Trebuchet MS" w:hAnsi="Trebuchet MS"/>
          <w:color w:val="auto"/>
          <w:sz w:val="18"/>
          <w:szCs w:val="18"/>
        </w:rPr>
        <w:t xml:space="preserve"> voor de school en de </w:t>
      </w:r>
      <w:r w:rsidRPr="00283B39">
        <w:rPr>
          <w:rFonts w:ascii="Trebuchet MS" w:hAnsi="Trebuchet MS"/>
          <w:b/>
          <w:color w:val="auto"/>
          <w:sz w:val="18"/>
          <w:szCs w:val="18"/>
        </w:rPr>
        <w:t>verdeling van geld</w:t>
      </w:r>
      <w:r w:rsidRPr="00283B39">
        <w:rPr>
          <w:rFonts w:ascii="Trebuchet MS" w:hAnsi="Trebuchet MS"/>
          <w:color w:val="auto"/>
          <w:sz w:val="18"/>
          <w:szCs w:val="18"/>
        </w:rPr>
        <w:t xml:space="preserve">. </w:t>
      </w:r>
      <w:r w:rsidRPr="00283B39" w:rsidR="64C45BCB">
        <w:rPr>
          <w:rFonts w:ascii="Trebuchet MS" w:hAnsi="Trebuchet MS"/>
          <w:color w:val="auto"/>
          <w:sz w:val="18"/>
          <w:szCs w:val="18"/>
        </w:rPr>
        <w:t>Enkele programmaleiders noemen</w:t>
      </w:r>
      <w:r w:rsidRPr="00283B39">
        <w:rPr>
          <w:rFonts w:ascii="Trebuchet MS" w:hAnsi="Trebuchet MS"/>
          <w:color w:val="auto"/>
          <w:sz w:val="18"/>
          <w:szCs w:val="18"/>
        </w:rPr>
        <w:t xml:space="preserve"> risico’s als het gaat om </w:t>
      </w:r>
      <w:r w:rsidRPr="00283B39">
        <w:rPr>
          <w:rFonts w:ascii="Trebuchet MS" w:hAnsi="Trebuchet MS"/>
          <w:b/>
          <w:color w:val="auto"/>
          <w:sz w:val="18"/>
          <w:szCs w:val="18"/>
        </w:rPr>
        <w:t>samenwerkingen</w:t>
      </w:r>
      <w:r w:rsidRPr="00283B39">
        <w:rPr>
          <w:rFonts w:ascii="Trebuchet MS" w:hAnsi="Trebuchet MS"/>
          <w:color w:val="auto"/>
          <w:sz w:val="18"/>
          <w:szCs w:val="18"/>
        </w:rPr>
        <w:t xml:space="preserve"> met bijvoorbeeld het mbo en het bedrijfsleven. </w:t>
      </w:r>
    </w:p>
    <w:p w:rsidRPr="007129C6" w:rsidR="0095088E" w:rsidP="0095088E" w:rsidRDefault="0095088E" w14:paraId="263D76D5" w14:textId="4CC26BD0">
      <w:pPr>
        <w:rPr>
          <w:color w:val="264249"/>
          <w:szCs w:val="18"/>
        </w:rPr>
      </w:pPr>
    </w:p>
    <w:p w:rsidRPr="007129C6" w:rsidR="0095088E" w:rsidP="0095088E" w:rsidRDefault="0095088E" w14:paraId="1F04888C" w14:textId="77777777">
      <w:pPr>
        <w:pStyle w:val="Kop2"/>
      </w:pPr>
      <w:bookmarkStart w:name="_Toc203573584" w:id="50"/>
      <w:r w:rsidRPr="007129C6">
        <w:t>Overkoepelende conclusie programmaleidersvragenlijst</w:t>
      </w:r>
      <w:bookmarkEnd w:id="50"/>
    </w:p>
    <w:p w:rsidRPr="00283B39" w:rsidR="0095088E" w:rsidP="0095088E" w:rsidRDefault="0095088E" w14:paraId="6209F279" w14:textId="0CCF4FC3">
      <w:pPr>
        <w:pStyle w:val="SEOStandaard"/>
        <w:rPr>
          <w:rFonts w:ascii="Trebuchet MS" w:hAnsi="Trebuchet MS"/>
          <w:color w:val="auto"/>
          <w:sz w:val="18"/>
          <w:szCs w:val="18"/>
        </w:rPr>
      </w:pPr>
      <w:r w:rsidRPr="00283B39">
        <w:rPr>
          <w:rFonts w:ascii="Trebuchet MS" w:hAnsi="Trebuchet MS"/>
          <w:color w:val="auto"/>
          <w:sz w:val="18"/>
          <w:szCs w:val="18"/>
        </w:rPr>
        <w:t xml:space="preserve">Uit de resultaten van de vragenlijst onder programmaleiders komt naar voren dat de meeste regio’s eind 2024 goed op koers liggen. De meeste programmaleiders rapporteren een zekere mate van borging van STO, met name op het gebied van integratie binnen de (lijn)organisatie, gedeelde samenwerking met partners en structurele verankering via systemen en processen. Een ruime meerderheid van de programmaleiders geeft aan dat deze elementen goed zijn ingebed. Tegelijkertijd zijn er aandachtspunten, vooral op het vlak van structurele betrokkenheid op alle niveaus binnen scholen en het verkrijgen van beter inzicht in de resultaten en langetermijneffecten. </w:t>
      </w:r>
      <w:r w:rsidR="00AD52AE">
        <w:rPr>
          <w:rFonts w:ascii="Trebuchet MS" w:hAnsi="Trebuchet MS"/>
          <w:color w:val="auto"/>
          <w:sz w:val="18"/>
          <w:szCs w:val="18"/>
        </w:rPr>
        <w:t xml:space="preserve">Hierbij moet opgemerkt worden dat een deel van de programmaleiders </w:t>
      </w:r>
      <w:r w:rsidR="00CC0F10">
        <w:rPr>
          <w:rFonts w:ascii="Trebuchet MS" w:hAnsi="Trebuchet MS"/>
          <w:color w:val="auto"/>
          <w:sz w:val="18"/>
          <w:szCs w:val="18"/>
        </w:rPr>
        <w:t xml:space="preserve">recent </w:t>
      </w:r>
      <w:r w:rsidR="00C14AE4">
        <w:rPr>
          <w:rFonts w:ascii="Trebuchet MS" w:hAnsi="Trebuchet MS"/>
          <w:color w:val="auto"/>
          <w:sz w:val="18"/>
          <w:szCs w:val="18"/>
        </w:rPr>
        <w:t>is</w:t>
      </w:r>
      <w:r w:rsidR="00CC0F10">
        <w:rPr>
          <w:rFonts w:ascii="Trebuchet MS" w:hAnsi="Trebuchet MS"/>
          <w:color w:val="auto"/>
          <w:sz w:val="18"/>
          <w:szCs w:val="18"/>
        </w:rPr>
        <w:t xml:space="preserve"> gewisseld, wat een lichte daling in waardering mogelijk deels kan verklaren. </w:t>
      </w:r>
      <w:r w:rsidRPr="00283B39">
        <w:rPr>
          <w:rFonts w:ascii="Trebuchet MS" w:hAnsi="Trebuchet MS"/>
          <w:color w:val="auto"/>
          <w:sz w:val="18"/>
          <w:szCs w:val="18"/>
        </w:rPr>
        <w:t>Wat betreft de uitvoering van activiteiten ligt de voortgang overwegend op schema: iets meer dan de helft van de regio’s voerde alle geplande activiteiten uit, een kwart zelfs meer dan gepland.</w:t>
      </w:r>
    </w:p>
    <w:p w:rsidRPr="007129C6" w:rsidR="0095088E" w:rsidP="0095088E" w:rsidRDefault="0095088E" w14:paraId="21D5CAC5" w14:textId="77777777">
      <w:pPr>
        <w:pStyle w:val="Lijstalinea"/>
        <w:rPr>
          <w:szCs w:val="18"/>
        </w:rPr>
      </w:pPr>
    </w:p>
    <w:p w:rsidRPr="00283B39" w:rsidR="0095088E" w:rsidP="27A1E800" w:rsidRDefault="0095088E" w14:paraId="21D0A383" w14:textId="58D7FDDC">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Binnen het primair onderwijs is veel ingezet op promotie en beeldvorming rond techniek, met overwegend positieve ervaringen. Toch is 30 tot 40 procent van de programmaleiders niet tevreden over aspecten van samenwerking met het primair onderwijs, zoals het gebruik van apparatuur of de mate van betrokkenheid. In het vmbo is de inzet over het algemeen hoog, met name op het gebied van instroombevordering, modernisering van faciliteiten en het bereikbaar houden van aanbod voor leerlingen. De tevredenheid is vaak in lijn met deze inzet, maar er zijn ook thema’s – zoals instroombevordering, professionalisering van docenten en het breder inzetten van techniek – waar de waardering achterblijft</w:t>
      </w:r>
      <w:r w:rsidRPr="00283B39" w:rsidR="6B6CAC4F">
        <w:rPr>
          <w:rFonts w:ascii="Trebuchet MS" w:hAnsi="Trebuchet MS"/>
          <w:color w:val="auto"/>
          <w:sz w:val="18"/>
          <w:szCs w:val="18"/>
        </w:rPr>
        <w:t>,</w:t>
      </w:r>
      <w:r w:rsidRPr="00283B39">
        <w:rPr>
          <w:rFonts w:ascii="Trebuchet MS" w:hAnsi="Trebuchet MS"/>
          <w:color w:val="auto"/>
          <w:sz w:val="18"/>
          <w:szCs w:val="18"/>
        </w:rPr>
        <w:t xml:space="preserve"> ondanks stevige inzet. </w:t>
      </w:r>
    </w:p>
    <w:p w:rsidRPr="00283B39" w:rsidR="0095088E" w:rsidP="0095088E" w:rsidRDefault="0095088E" w14:paraId="5C1D980D" w14:textId="77777777">
      <w:pPr>
        <w:pStyle w:val="SEOStandaard"/>
        <w:rPr>
          <w:rFonts w:ascii="Trebuchet MS" w:hAnsi="Trebuchet MS"/>
          <w:color w:val="auto"/>
          <w:sz w:val="18"/>
          <w:szCs w:val="18"/>
        </w:rPr>
      </w:pPr>
    </w:p>
    <w:p w:rsidRPr="00283B39" w:rsidR="0095088E" w:rsidP="0095088E" w:rsidRDefault="0095088E" w14:paraId="20CBD776" w14:textId="40ACD4F4">
      <w:pPr>
        <w:pStyle w:val="SEOStandaard"/>
        <w:rPr>
          <w:rFonts w:ascii="Trebuchet MS" w:hAnsi="Trebuchet MS"/>
          <w:color w:val="auto"/>
          <w:sz w:val="18"/>
          <w:szCs w:val="18"/>
        </w:rPr>
      </w:pPr>
      <w:r w:rsidRPr="00283B39">
        <w:rPr>
          <w:rFonts w:ascii="Trebuchet MS" w:hAnsi="Trebuchet MS"/>
          <w:color w:val="auto"/>
          <w:sz w:val="18"/>
          <w:szCs w:val="18"/>
        </w:rPr>
        <w:t xml:space="preserve">De belangrijkste opbrengsten van STO liggen volgens de programmaleiders bij de (her)inrichting van het techniekaanbod, versterkte samenwerking tussen betrokken partijen, verbeterde beeldvorming en de kwaliteit van het techniekonderwijs. Daarentegen zijn het realiseren van voldoende techniekdocenten en het verhogen van leerlingenaantallen in technische profielen lastiger gebleken. Deze laatste twee punten worden ook het vaakst genoemd als urgente aandachtspunten voor de komende periode. </w:t>
      </w:r>
      <w:r w:rsidR="00D473DA">
        <w:rPr>
          <w:rFonts w:ascii="Trebuchet MS" w:hAnsi="Trebuchet MS"/>
          <w:color w:val="auto"/>
          <w:sz w:val="18"/>
          <w:szCs w:val="18"/>
        </w:rPr>
        <w:t>Hierbij is het belangrijk om op te merken dat de</w:t>
      </w:r>
      <w:r w:rsidR="007B14F6">
        <w:rPr>
          <w:rFonts w:ascii="Trebuchet MS" w:hAnsi="Trebuchet MS"/>
          <w:color w:val="auto"/>
          <w:sz w:val="18"/>
          <w:szCs w:val="18"/>
        </w:rPr>
        <w:t>ze</w:t>
      </w:r>
      <w:r w:rsidR="00D473DA">
        <w:rPr>
          <w:rFonts w:ascii="Trebuchet MS" w:hAnsi="Trebuchet MS"/>
          <w:color w:val="auto"/>
          <w:sz w:val="18"/>
          <w:szCs w:val="18"/>
        </w:rPr>
        <w:t xml:space="preserve"> punten</w:t>
      </w:r>
      <w:r w:rsidR="00A1166F">
        <w:rPr>
          <w:rFonts w:ascii="Trebuchet MS" w:hAnsi="Trebuchet MS"/>
          <w:color w:val="auto"/>
          <w:sz w:val="18"/>
          <w:szCs w:val="18"/>
        </w:rPr>
        <w:t xml:space="preserve"> waarop minder is gerealiseerd of zorgen zijn voor de toekomst, grotendeels buiten de invloedsfeer van het vmbo ligt, terwijl de zaken waar wel vooruitgang op wordt geboekt daar binnen liggen. </w:t>
      </w:r>
      <w:r w:rsidRPr="00283B39">
        <w:rPr>
          <w:rFonts w:ascii="Trebuchet MS" w:hAnsi="Trebuchet MS"/>
          <w:color w:val="auto"/>
          <w:sz w:val="18"/>
          <w:szCs w:val="18"/>
        </w:rPr>
        <w:t xml:space="preserve">Samenwerking met het mbo blijkt in de praktijk ook nog lastig vorm te krijgen. De aansluiting met het mbo wordt dan ook als een van de minst gerealiseerde en tegelijkertijd meest urgente thema’s benoemd. </w:t>
      </w:r>
    </w:p>
    <w:p w:rsidRPr="007129C6" w:rsidR="0095088E" w:rsidP="0095088E" w:rsidRDefault="0095088E" w14:paraId="3B2141BA" w14:textId="77777777">
      <w:pPr>
        <w:pStyle w:val="Lijstalinea"/>
        <w:rPr>
          <w:szCs w:val="18"/>
        </w:rPr>
      </w:pPr>
    </w:p>
    <w:p w:rsidRPr="00283B39" w:rsidR="0095088E" w:rsidP="0095088E" w:rsidRDefault="0095088E" w14:paraId="471595D8" w14:textId="67E5BC18">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 xml:space="preserve">Tegen deze achtergrond beoordelen programmaleiders de impact van STO op veel vlakken als voldoende tot (zeer) goed, maar is er ten opzichte van eerdere jaren een lichte daling te zien in waardering voor bijvoorbeeld de gezamenlijke benutting van faciliteiten, kennisdeling en het centraal stellen van leerloopbanen. Toch blijft de </w:t>
      </w:r>
      <w:r w:rsidRPr="00283B39">
        <w:rPr>
          <w:rFonts w:ascii="Trebuchet MS" w:hAnsi="Trebuchet MS"/>
          <w:color w:val="auto"/>
          <w:sz w:val="18"/>
          <w:szCs w:val="18"/>
        </w:rPr>
        <w:lastRenderedPageBreak/>
        <w:t xml:space="preserve">algemene waardering voor STO positief: de voortgang wordt breed erkend, de drie hoofddoelen worden grotendeels behaald, en STO levert een duidelijke bijdrage aan het versterken van technisch onderwijs en de aansluiting op vervolgonderwijs en arbeidsmarkt.  </w:t>
      </w:r>
    </w:p>
    <w:p w:rsidRPr="00283B39" w:rsidR="0095088E" w:rsidP="0095088E" w:rsidRDefault="0095088E" w14:paraId="7EF7FA7C" w14:textId="77777777">
      <w:pPr>
        <w:pStyle w:val="SEOStandaard"/>
        <w:numPr>
          <w:ilvl w:val="0"/>
          <w:numId w:val="0"/>
        </w:numPr>
        <w:rPr>
          <w:rFonts w:ascii="Trebuchet MS" w:hAnsi="Trebuchet MS"/>
          <w:color w:val="auto"/>
          <w:sz w:val="18"/>
          <w:szCs w:val="18"/>
        </w:rPr>
      </w:pPr>
    </w:p>
    <w:p w:rsidRPr="00283B39" w:rsidR="0095088E" w:rsidP="0095088E" w:rsidRDefault="0095088E" w14:paraId="2222605A" w14:textId="7A0E23E5">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De verdeling van middelen gebeurt in 58% van de regio’s via een verdeelsleutel over de scholen, terwijl 42% kiest voor regionaal beheer. Beide vormen hebben hun eigen voordelen: een verdeelsleutel biedt duidelijkheid en autonomie voor scholen, terwijl regionaal beheer samenwerking en gezamenlijke sturing versterkt.</w:t>
      </w:r>
      <w:r w:rsidR="0078007E">
        <w:rPr>
          <w:rFonts w:ascii="Trebuchet MS" w:hAnsi="Trebuchet MS"/>
          <w:color w:val="auto"/>
          <w:sz w:val="18"/>
          <w:szCs w:val="18"/>
        </w:rPr>
        <w:t xml:space="preserve"> Wel lijkt op verschillende </w:t>
      </w:r>
      <w:r w:rsidR="008934A3">
        <w:rPr>
          <w:rFonts w:ascii="Trebuchet MS" w:hAnsi="Trebuchet MS"/>
          <w:color w:val="auto"/>
          <w:sz w:val="18"/>
          <w:szCs w:val="18"/>
        </w:rPr>
        <w:t>aspecten</w:t>
      </w:r>
      <w:r w:rsidR="0078007E">
        <w:rPr>
          <w:rFonts w:ascii="Trebuchet MS" w:hAnsi="Trebuchet MS"/>
          <w:color w:val="auto"/>
          <w:sz w:val="18"/>
          <w:szCs w:val="18"/>
        </w:rPr>
        <w:t xml:space="preserve"> (tevredenheid</w:t>
      </w:r>
      <w:r w:rsidR="008934A3">
        <w:rPr>
          <w:rFonts w:ascii="Trebuchet MS" w:hAnsi="Trebuchet MS"/>
          <w:color w:val="auto"/>
          <w:sz w:val="18"/>
          <w:szCs w:val="18"/>
        </w:rPr>
        <w:t>, uitvoering) het regionale beheer samen te gaan met gunstigere resultaten dan de verdeelsleutel.</w:t>
      </w:r>
      <w:r w:rsidRPr="00283B39">
        <w:rPr>
          <w:rFonts w:ascii="Trebuchet MS" w:hAnsi="Trebuchet MS"/>
          <w:color w:val="auto"/>
          <w:sz w:val="18"/>
          <w:szCs w:val="18"/>
        </w:rPr>
        <w:t xml:space="preserve"> </w:t>
      </w:r>
      <w:r w:rsidR="00512410">
        <w:rPr>
          <w:rFonts w:ascii="Trebuchet MS" w:hAnsi="Trebuchet MS"/>
          <w:color w:val="auto"/>
          <w:sz w:val="18"/>
          <w:szCs w:val="18"/>
        </w:rPr>
        <w:t xml:space="preserve">Of hier een causaal verband is weten we niet; het zou ook zo kunnen zijn dat regio’s waar de samenwerking al goed ging eerder kiezen voor regionaal beheer. </w:t>
      </w:r>
      <w:r w:rsidRPr="00283B39">
        <w:rPr>
          <w:rFonts w:ascii="Trebuchet MS" w:hAnsi="Trebuchet MS"/>
          <w:color w:val="auto"/>
          <w:sz w:val="18"/>
          <w:szCs w:val="18"/>
        </w:rPr>
        <w:t>STO-middelen spelen een essentiële rol in het stimuleren van samenwerking met partners en het vernieuwen van verouderde faciliteiten en materialen. Veel programmaleiders geven aan dat zonder deze financiële ondersteuning een aanzienlijk deel van de samenwerking en activiteiten niet voortgezet kan worden. Ruim een derde verwacht dat het huidige aanbod niet in stand kan worden gehouden als de STO-middelen worden toegevoegd aan de lumpsumbekostiging.</w:t>
      </w:r>
    </w:p>
    <w:p w:rsidRPr="00283B39" w:rsidR="0095088E" w:rsidP="0095088E" w:rsidRDefault="0095088E" w14:paraId="6A68EFDC" w14:textId="3DE2BD0E">
      <w:pPr>
        <w:pStyle w:val="SEOStandaard"/>
        <w:numPr>
          <w:ilvl w:val="0"/>
          <w:numId w:val="0"/>
        </w:numPr>
        <w:rPr>
          <w:rFonts w:ascii="Trebuchet MS" w:hAnsi="Trebuchet MS"/>
          <w:color w:val="auto"/>
          <w:sz w:val="18"/>
          <w:szCs w:val="18"/>
        </w:rPr>
      </w:pPr>
      <w:r w:rsidRPr="00283B39">
        <w:rPr>
          <w:rFonts w:ascii="Trebuchet MS" w:hAnsi="Trebuchet MS"/>
          <w:color w:val="auto"/>
          <w:sz w:val="18"/>
          <w:szCs w:val="18"/>
        </w:rPr>
        <w:t xml:space="preserve"> </w:t>
      </w:r>
    </w:p>
    <w:p w:rsidR="0095088E" w:rsidP="00925733" w:rsidRDefault="1384C89A" w14:paraId="07AC1979" w14:textId="28FECC93">
      <w:pPr>
        <w:pStyle w:val="Kop1"/>
      </w:pPr>
      <w:bookmarkStart w:name="_Toc203573585" w:id="51"/>
      <w:r>
        <w:lastRenderedPageBreak/>
        <w:t xml:space="preserve">Veranderingen en impact van STO door de ogen van </w:t>
      </w:r>
      <w:r w:rsidR="007560C2">
        <w:t>lesgevenden</w:t>
      </w:r>
      <w:bookmarkEnd w:id="51"/>
    </w:p>
    <w:p w:rsidRPr="008175B5" w:rsidR="008175B5" w:rsidP="008175B5" w:rsidRDefault="00F33E01" w14:paraId="548ACF26" w14:textId="4356683C">
      <w:pPr>
        <w:pStyle w:val="SEOStandaard"/>
        <w:numPr>
          <w:ilvl w:val="0"/>
          <w:numId w:val="0"/>
        </w:numPr>
        <w:rPr>
          <w:rFonts w:ascii="Trebuchet MS" w:hAnsi="Trebuchet MS"/>
          <w:color w:val="auto"/>
          <w:sz w:val="18"/>
          <w:szCs w:val="18"/>
        </w:rPr>
      </w:pPr>
      <w:r w:rsidRPr="008175B5">
        <w:rPr>
          <w:rFonts w:ascii="Trebuchet MS" w:hAnsi="Trebuchet MS"/>
          <w:color w:val="auto"/>
          <w:sz w:val="18"/>
          <w:szCs w:val="18"/>
        </w:rPr>
        <w:t xml:space="preserve">Onder lesgevenden in de beroepsgerichte profielen in de bovenbouw van het vmbo is een vragenlijst uitgezet met als doel meer inzicht te verkrijgen in wat docenten merken van de binnen STO georganiseerde activiteiten, hun betrokkenheid van lesgevenden, wat er voor lesgevenden concreet is veranderd door STO, en de impact daarvan op het onderwijs, de rol van lesgevenden en hun leerlingen. </w:t>
      </w:r>
    </w:p>
    <w:p w:rsidR="008175B5" w:rsidP="008175B5" w:rsidRDefault="008175B5" w14:paraId="77E910BA" w14:textId="0B26A4B3">
      <w:pPr>
        <w:pStyle w:val="SEOStandaard"/>
        <w:rPr>
          <w:rFonts w:ascii="Trebuchet MS" w:hAnsi="Trebuchet MS"/>
          <w:color w:val="auto"/>
          <w:sz w:val="18"/>
          <w:szCs w:val="18"/>
        </w:rPr>
      </w:pPr>
      <w:r>
        <w:rPr>
          <w:rFonts w:ascii="Trebuchet MS" w:hAnsi="Trebuchet MS"/>
          <w:noProof/>
          <w:color w:val="auto"/>
          <w:sz w:val="18"/>
          <w:szCs w:val="18"/>
        </w:rPr>
        <mc:AlternateContent>
          <mc:Choice Requires="wps">
            <w:drawing>
              <wp:anchor distT="0" distB="0" distL="114300" distR="114300" simplePos="0" relativeHeight="251658251" behindDoc="0" locked="0" layoutInCell="1" allowOverlap="1" wp14:editId="51E846B3" wp14:anchorId="539C512B">
                <wp:simplePos x="0" y="0"/>
                <wp:positionH relativeFrom="column">
                  <wp:posOffset>-40742</wp:posOffset>
                </wp:positionH>
                <wp:positionV relativeFrom="paragraph">
                  <wp:posOffset>61802</wp:posOffset>
                </wp:positionV>
                <wp:extent cx="6083929" cy="651849"/>
                <wp:effectExtent l="0" t="0" r="12700" b="15240"/>
                <wp:wrapNone/>
                <wp:docPr id="211696196" name="Rechthoek 2"/>
                <wp:cNvGraphicFramePr/>
                <a:graphic xmlns:a="http://schemas.openxmlformats.org/drawingml/2006/main">
                  <a:graphicData uri="http://schemas.microsoft.com/office/word/2010/wordprocessingShape">
                    <wps:wsp>
                      <wps:cNvSpPr/>
                      <wps:spPr>
                        <a:xfrm>
                          <a:off x="0" y="0"/>
                          <a:ext cx="6083929" cy="651849"/>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2" style="position:absolute;margin-left:-3.2pt;margin-top:4.85pt;width:479.05pt;height:51.3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091723 [48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PiiZAIAAB4FAAAOAAAAZHJzL2Uyb0RvYy54bWysVFFP2zAQfp+0/2D5fSTpCqNVU1SBmCYh&#10;QMDEs+vYJJLj885u0+7X7+ykKQK0h2kvju27++7uy3deXOxaw7YKfQO25MVJzpmyEqrGvpT859P1&#10;l3POfBC2EgasKvleeX6x/Pxp0bm5mkANplLICMT6eedKXofg5lnmZa1a4U/AKUtGDdiKQEd8ySoU&#10;HaG3Jpvk+VnWAVYOQSrv6faqN/JlwtdayXCntVeBmZJTbSGtmNZ1XLPlQsxfULi6kUMZ4h+qaEVj&#10;KekIdSWCYBts3kG1jUTwoMOJhDYDrRupUg/UTZG/6eaxFk6lXogc70aa/P+DlbfbR3ePREPn/NzT&#10;Nnax09jGL9XHdoms/UiW2gUm6fIsP/86m8w4k2Q7Oy3Op7PIZnaMdujDdwUti5uSI/2MxJHY3vjQ&#10;ux5cYjIL140x8f5YStqFvVHRwdgHpVlTUfJJAkoqUZcG2VbQ/xVSKhuK3lSLSvXXxWmepx9NpY0R&#10;qdAEGJE1JR6xB4CowPfYfdmDfwxVSWRjcP63wvrgMSJlBhvG4LaxgB8BGOpqyNz7H0jqqYksraHa&#10;3yND6CXunbxuiPYb4cO9QNI0qZ/mNNzRog10JYdhx1kN+Puj++hPUiMrZx3NSMn9r41AxZn5YUmE&#10;s2I6jUOVDtPTbxM64GvL+rXFbtpLoN9U0IvgZNpG/2AOW43QPtM4r2JWMgkrKXfJZcDD4TL0s0sP&#10;glSrVXKjQXIi3NhHJyN4ZDXK6mn3LNAN2guk2ls4zJOYv5Fg7xsjLaw2AXST9HnkdeCbhjAJZ3gw&#10;4pS/Piev47O2/AMAAP//AwBQSwMEFAAGAAgAAAAhAP5WjIzdAAAACAEAAA8AAABkcnMvZG93bnJl&#10;di54bWxMj8FOwzAMhu9IvENkJG5b2mkM2jWdAAkOQxwYk7imrZdUNE5Jsq28PeYEN1v/p9+fq83k&#10;BnHCEHtPCvJ5BgKp9V1PRsH+/Wl2ByImTZ0ePKGCb4ywqS8vKl12/kxveNolI7iEYqkV2JTGUsrY&#10;WnQ6zv2IxNnBB6cTr8HILugzl7tBLrJsJZ3uiS9YPeKjxfZzd3QKGvMwFbQ1W2efk/H7j5fXLxeU&#10;ur6a7tcgEk7pD4ZffVaHmp0af6QuikHBbLVkUkFxC4Lj4ibnoWEuXyxB1pX8/0D9AwAA//8DAFBL&#10;AQItABQABgAIAAAAIQC2gziS/gAAAOEBAAATAAAAAAAAAAAAAAAAAAAAAABbQ29udGVudF9UeXBl&#10;c10ueG1sUEsBAi0AFAAGAAgAAAAhADj9If/WAAAAlAEAAAsAAAAAAAAAAAAAAAAALwEAAF9yZWxz&#10;Ly5yZWxzUEsBAi0AFAAGAAgAAAAhAO64+KJkAgAAHgUAAA4AAAAAAAAAAAAAAAAALgIAAGRycy9l&#10;Mm9Eb2MueG1sUEsBAi0AFAAGAAgAAAAhAP5WjIzdAAAACAEAAA8AAAAAAAAAAAAAAAAAvgQAAGRy&#10;cy9kb3ducmV2LnhtbFBLBQYAAAAABAAEAPMAAADIBQAAAAA=&#10;" w14:anchorId="563C6E66"/>
            </w:pict>
          </mc:Fallback>
        </mc:AlternateContent>
      </w:r>
    </w:p>
    <w:p w:rsidRPr="00D43F8C" w:rsidR="008175B5" w:rsidP="0018303C" w:rsidRDefault="008175B5" w14:paraId="47C10E57" w14:textId="30F47AB6">
      <w:pPr>
        <w:pStyle w:val="SEOStandaard"/>
        <w:numPr>
          <w:ilvl w:val="0"/>
          <w:numId w:val="0"/>
        </w:numPr>
        <w:rPr>
          <w:rFonts w:ascii="Trebuchet MS" w:hAnsi="Trebuchet MS"/>
          <w:color w:val="auto"/>
          <w:sz w:val="18"/>
          <w:szCs w:val="18"/>
        </w:rPr>
      </w:pPr>
      <w:r w:rsidRPr="00D43F8C">
        <w:rPr>
          <w:rFonts w:ascii="Trebuchet MS" w:hAnsi="Trebuchet MS"/>
          <w:color w:val="auto"/>
          <w:sz w:val="18"/>
          <w:szCs w:val="18"/>
        </w:rPr>
        <w:t xml:space="preserve">Onder lesgevenden worden alle (on)bevoegde docenten, instructeurs, hybride docenten en onderwijsassistenten verstaan in beroepsgerichte profielen van de bovenbouw van het vmbo. Dit betreft dus ook docenten die lesgeven in een niet-technisch vak. </w:t>
      </w:r>
    </w:p>
    <w:p w:rsidR="00DB5C56" w:rsidP="003E014E" w:rsidRDefault="00DB5C56" w14:paraId="50072105" w14:textId="72F16639">
      <w:pPr>
        <w:pStyle w:val="Lijstalinea"/>
        <w:rPr>
          <w:szCs w:val="18"/>
        </w:rPr>
      </w:pPr>
    </w:p>
    <w:p w:rsidR="00D43F8C" w:rsidP="00E21D25" w:rsidRDefault="00D43F8C" w14:paraId="65FFFC35" w14:textId="77777777">
      <w:pPr>
        <w:pStyle w:val="SEOStandaard"/>
        <w:numPr>
          <w:ilvl w:val="0"/>
          <w:numId w:val="0"/>
        </w:numPr>
        <w:rPr>
          <w:rFonts w:ascii="Trebuchet MS" w:hAnsi="Trebuchet MS"/>
          <w:color w:val="auto"/>
          <w:sz w:val="18"/>
          <w:szCs w:val="18"/>
        </w:rPr>
      </w:pPr>
    </w:p>
    <w:p w:rsidRPr="00D43F8C" w:rsidR="00F33E01" w:rsidP="00E21D25" w:rsidRDefault="00D43F8C" w14:paraId="4F5BCE34" w14:textId="64C91A7E">
      <w:pPr>
        <w:pStyle w:val="SEOStandaard"/>
        <w:numPr>
          <w:ilvl w:val="0"/>
          <w:numId w:val="0"/>
        </w:numPr>
        <w:rPr>
          <w:rFonts w:ascii="Trebuchet MS" w:hAnsi="Trebuchet MS"/>
          <w:color w:val="auto"/>
          <w:sz w:val="18"/>
          <w:szCs w:val="18"/>
        </w:rPr>
      </w:pPr>
      <w:r w:rsidRPr="00D43F8C">
        <w:rPr>
          <w:rFonts w:ascii="Trebuchet MS" w:hAnsi="Trebuchet MS"/>
          <w:color w:val="auto"/>
          <w:sz w:val="18"/>
          <w:szCs w:val="18"/>
        </w:rPr>
        <w:t>De vragenlijst is uitgezet in de periode februari-mei 2025</w:t>
      </w:r>
      <w:r>
        <w:rPr>
          <w:rFonts w:ascii="Trebuchet MS" w:hAnsi="Trebuchet MS"/>
          <w:color w:val="auto"/>
          <w:sz w:val="18"/>
          <w:szCs w:val="18"/>
        </w:rPr>
        <w:t xml:space="preserve"> en in</w:t>
      </w:r>
      <w:r w:rsidRPr="00D43F8C" w:rsidR="00F33E01">
        <w:rPr>
          <w:rFonts w:ascii="Trebuchet MS" w:hAnsi="Trebuchet MS"/>
          <w:color w:val="auto"/>
          <w:sz w:val="18"/>
          <w:szCs w:val="18"/>
        </w:rPr>
        <w:t xml:space="preserve"> totaal hebben 424 lesgevenden de enquête ingevuld. </w:t>
      </w:r>
    </w:p>
    <w:p w:rsidRPr="008E4D70" w:rsidR="00F33E01" w:rsidP="27A1E800" w:rsidRDefault="00F33E01" w14:paraId="100283CD" w14:textId="365286AF">
      <w:pPr>
        <w:pStyle w:val="SEOStandaard"/>
        <w:numPr>
          <w:ilvl w:val="0"/>
          <w:numId w:val="0"/>
        </w:numPr>
        <w:rPr>
          <w:rFonts w:ascii="Trebuchet MS" w:hAnsi="Trebuchet MS"/>
          <w:color w:val="auto"/>
          <w:sz w:val="18"/>
          <w:szCs w:val="18"/>
        </w:rPr>
      </w:pPr>
      <w:r w:rsidRPr="008E4D70">
        <w:rPr>
          <w:rFonts w:ascii="Trebuchet MS" w:hAnsi="Trebuchet MS"/>
          <w:color w:val="auto"/>
          <w:sz w:val="18"/>
          <w:szCs w:val="18"/>
        </w:rPr>
        <w:t xml:space="preserve">De vragenlijst startte met een aantal algemene vragen over de lesgevenden, onder andere gericht op de leerwegen waarin zij lesgeven, de profielen en achtergrondkenmerken zoals geslacht. Deze worden beschreven in paragraaf </w:t>
      </w:r>
      <w:r w:rsidRPr="008E4D70" w:rsidR="003A6250">
        <w:rPr>
          <w:rFonts w:ascii="Trebuchet MS" w:hAnsi="Trebuchet MS"/>
          <w:color w:val="auto"/>
          <w:sz w:val="18"/>
          <w:szCs w:val="18"/>
        </w:rPr>
        <w:t>5</w:t>
      </w:r>
      <w:r w:rsidRPr="008E4D70">
        <w:rPr>
          <w:rFonts w:ascii="Trebuchet MS" w:hAnsi="Trebuchet MS"/>
          <w:color w:val="auto"/>
          <w:sz w:val="18"/>
          <w:szCs w:val="18"/>
        </w:rPr>
        <w:t xml:space="preserve">.1. Lesgevenden die niet bekend waren met STO kregen geen vervolgvragen over dit onderwerp en werden naar het einde van de vragenlijst geleid. In paragraaf </w:t>
      </w:r>
      <w:r w:rsidRPr="008E4D70" w:rsidR="003A6250">
        <w:rPr>
          <w:rFonts w:ascii="Trebuchet MS" w:hAnsi="Trebuchet MS"/>
          <w:color w:val="auto"/>
          <w:sz w:val="18"/>
          <w:szCs w:val="18"/>
        </w:rPr>
        <w:t>5</w:t>
      </w:r>
      <w:r w:rsidRPr="008E4D70">
        <w:rPr>
          <w:rFonts w:ascii="Trebuchet MS" w:hAnsi="Trebuchet MS"/>
          <w:color w:val="auto"/>
          <w:sz w:val="18"/>
          <w:szCs w:val="18"/>
        </w:rPr>
        <w:t xml:space="preserve">.2 staat de betrokkenheid en deelname van lesgevenden aan STO-activiteiten centraal; hun bekendheid met STO, aan welke activiteiten ze hebben deelgenomen en (eventueel) in welke rol. Paragraaf </w:t>
      </w:r>
      <w:r w:rsidRPr="008E4D70" w:rsidR="003A6250">
        <w:rPr>
          <w:rFonts w:ascii="Trebuchet MS" w:hAnsi="Trebuchet MS"/>
          <w:color w:val="auto"/>
          <w:sz w:val="18"/>
          <w:szCs w:val="18"/>
        </w:rPr>
        <w:t>5</w:t>
      </w:r>
      <w:r w:rsidRPr="008E4D70">
        <w:rPr>
          <w:rFonts w:ascii="Trebuchet MS" w:hAnsi="Trebuchet MS"/>
          <w:color w:val="auto"/>
          <w:sz w:val="18"/>
          <w:szCs w:val="18"/>
        </w:rPr>
        <w:t xml:space="preserve">.3 start met een beschrijving van wat er voor lesgevenden naar hun idee concreet veranderd is door STO en welke impact dat heeft op hun rol. In paragraaf </w:t>
      </w:r>
      <w:r w:rsidRPr="008E4D70" w:rsidR="003A6250">
        <w:rPr>
          <w:rFonts w:ascii="Trebuchet MS" w:hAnsi="Trebuchet MS"/>
          <w:color w:val="auto"/>
          <w:sz w:val="18"/>
          <w:szCs w:val="18"/>
        </w:rPr>
        <w:t>5</w:t>
      </w:r>
      <w:r w:rsidRPr="008E4D70">
        <w:rPr>
          <w:rFonts w:ascii="Trebuchet MS" w:hAnsi="Trebuchet MS"/>
          <w:color w:val="auto"/>
          <w:sz w:val="18"/>
          <w:szCs w:val="18"/>
        </w:rPr>
        <w:t>.4 wordt de impact van STO die lesgevenden signaleren bij leerlingen besproken. Daarnaast is gevraagd naar de impact van STO op het onderwijs, met name LOB en het technisch onderwijs (</w:t>
      </w:r>
      <w:r w:rsidRPr="008E4D70" w:rsidR="003A6250">
        <w:rPr>
          <w:rFonts w:ascii="Trebuchet MS" w:hAnsi="Trebuchet MS"/>
          <w:color w:val="auto"/>
          <w:sz w:val="18"/>
          <w:szCs w:val="18"/>
        </w:rPr>
        <w:t>5</w:t>
      </w:r>
      <w:r w:rsidRPr="008E4D70">
        <w:rPr>
          <w:rFonts w:ascii="Trebuchet MS" w:hAnsi="Trebuchet MS"/>
          <w:color w:val="auto"/>
          <w:sz w:val="18"/>
          <w:szCs w:val="18"/>
        </w:rPr>
        <w:t xml:space="preserve">.5). Tot slot van de vragenlijst is de lesgevenden een aantal open vragen gesteld. Die hebben betrekking op wat docenten zelf als belangrijkste verandering door STO hebben ervaren, welke activiteiten naar hun mening het meest bijdragen aan de motivatie van leerlingen en aan hun eigen motivatie en welke activiteiten het meest bijdragen aan de doelstelling van Sterk Techniekonderwijs: behoud en kwaliteit van het techniekonderwijs. Het aantal observaties kan verschillend zijn voor deze thema’s vanwege routing in de vragenlijst of doordat een vraag niet is ingevuld.  </w:t>
      </w:r>
    </w:p>
    <w:p w:rsidRPr="008E4D70" w:rsidR="00F33E01" w:rsidP="00F33E01" w:rsidRDefault="00F33E01" w14:paraId="4B86F9F5" w14:textId="77777777">
      <w:pPr>
        <w:pStyle w:val="SEOStandaard"/>
        <w:numPr>
          <w:ilvl w:val="0"/>
          <w:numId w:val="0"/>
        </w:numPr>
        <w:rPr>
          <w:rFonts w:ascii="Trebuchet MS" w:hAnsi="Trebuchet MS"/>
          <w:color w:val="auto"/>
          <w:sz w:val="18"/>
          <w:szCs w:val="18"/>
        </w:rPr>
      </w:pPr>
    </w:p>
    <w:p w:rsidRPr="008E4D70" w:rsidR="00832357" w:rsidP="00F33E01" w:rsidRDefault="00F33E01" w14:paraId="2B1F1D07" w14:textId="7973BB72">
      <w:pPr>
        <w:pStyle w:val="SEOStandaard"/>
        <w:numPr>
          <w:ilvl w:val="0"/>
          <w:numId w:val="0"/>
        </w:numPr>
        <w:rPr>
          <w:rFonts w:ascii="Trebuchet MS" w:hAnsi="Trebuchet MS"/>
          <w:color w:val="auto"/>
          <w:sz w:val="18"/>
          <w:szCs w:val="18"/>
        </w:rPr>
      </w:pPr>
      <w:r w:rsidRPr="008E4D70">
        <w:rPr>
          <w:rFonts w:ascii="Trebuchet MS" w:hAnsi="Trebuchet MS"/>
          <w:color w:val="auto"/>
          <w:sz w:val="18"/>
          <w:szCs w:val="18"/>
        </w:rPr>
        <w:t xml:space="preserve">De beschrijvende resultaten van de enquête worden gepresenteerd voor de totale groep lesgevenden, alsook uitgesplitst naar lesgevenden die wel en niet een technisch vak geven. De focus ligt primair op de ervaringen van lesgevenden in technische vakken, maar indien relevant zoomen we in op de antwoorden van lesgevenden in niet-technische vakken. </w:t>
      </w:r>
    </w:p>
    <w:p w:rsidRPr="008E4D70" w:rsidR="00832357" w:rsidP="00F33E01" w:rsidRDefault="00832357" w14:paraId="3F53652E" w14:textId="77777777">
      <w:pPr>
        <w:pStyle w:val="SEOStandaard"/>
        <w:numPr>
          <w:ilvl w:val="0"/>
          <w:numId w:val="0"/>
        </w:numPr>
        <w:rPr>
          <w:rFonts w:ascii="Trebuchet MS" w:hAnsi="Trebuchet MS"/>
          <w:color w:val="auto"/>
          <w:sz w:val="18"/>
          <w:szCs w:val="18"/>
        </w:rPr>
      </w:pPr>
    </w:p>
    <w:p w:rsidRPr="008E4D70" w:rsidR="00832357" w:rsidP="00F33E01" w:rsidRDefault="00832357" w14:paraId="0212027B" w14:textId="113E70A1">
      <w:pPr>
        <w:pStyle w:val="SEOStandaard"/>
        <w:numPr>
          <w:ilvl w:val="0"/>
          <w:numId w:val="0"/>
        </w:numPr>
        <w:rPr>
          <w:rFonts w:ascii="Trebuchet MS" w:hAnsi="Trebuchet MS"/>
          <w:i/>
          <w:iCs/>
          <w:color w:val="auto"/>
          <w:sz w:val="18"/>
          <w:szCs w:val="18"/>
        </w:rPr>
      </w:pPr>
      <w:r w:rsidRPr="008E4D70">
        <w:rPr>
          <w:rFonts w:ascii="Trebuchet MS" w:hAnsi="Trebuchet MS"/>
          <w:i/>
          <w:iCs/>
          <w:color w:val="auto"/>
          <w:sz w:val="18"/>
          <w:szCs w:val="18"/>
        </w:rPr>
        <w:t>Respons</w:t>
      </w:r>
    </w:p>
    <w:p w:rsidRPr="008E4D70" w:rsidR="00F33E01" w:rsidP="00F33E01" w:rsidRDefault="00F33E01" w14:paraId="10A18A04" w14:textId="60D26CA2">
      <w:pPr>
        <w:pStyle w:val="SEOStandaard"/>
        <w:numPr>
          <w:ilvl w:val="0"/>
          <w:numId w:val="0"/>
        </w:numPr>
        <w:rPr>
          <w:rFonts w:ascii="Trebuchet MS" w:hAnsi="Trebuchet MS"/>
          <w:color w:val="auto"/>
          <w:sz w:val="18"/>
          <w:szCs w:val="18"/>
        </w:rPr>
      </w:pPr>
      <w:r w:rsidRPr="008E4D70">
        <w:rPr>
          <w:rFonts w:ascii="Trebuchet MS" w:hAnsi="Trebuchet MS"/>
          <w:color w:val="auto"/>
          <w:sz w:val="18"/>
          <w:szCs w:val="18"/>
        </w:rPr>
        <w:t xml:space="preserve">In totaal hebben 424 lesgevenden in de bovenbouw van het vmbo de enquête ingevuld (zie </w:t>
      </w:r>
      <w:r w:rsidRPr="008E4D70" w:rsidR="00722E7C">
        <w:rPr>
          <w:rFonts w:ascii="Trebuchet MS" w:hAnsi="Trebuchet MS"/>
          <w:color w:val="auto"/>
          <w:sz w:val="18"/>
          <w:szCs w:val="18"/>
        </w:rPr>
        <w:t>B</w:t>
      </w:r>
      <w:r w:rsidRPr="008E4D70">
        <w:rPr>
          <w:rFonts w:ascii="Trebuchet MS" w:hAnsi="Trebuchet MS"/>
          <w:color w:val="auto"/>
          <w:sz w:val="18"/>
          <w:szCs w:val="18"/>
        </w:rPr>
        <w:t xml:space="preserve">ijlage </w:t>
      </w:r>
      <w:r w:rsidRPr="008E4D70" w:rsidR="00722E7C">
        <w:rPr>
          <w:rFonts w:ascii="Trebuchet MS" w:hAnsi="Trebuchet MS"/>
          <w:color w:val="auto"/>
          <w:sz w:val="18"/>
          <w:szCs w:val="18"/>
        </w:rPr>
        <w:t xml:space="preserve">2, </w:t>
      </w:r>
      <w:r w:rsidRPr="008E4D70">
        <w:rPr>
          <w:rFonts w:ascii="Trebuchet MS" w:hAnsi="Trebuchet MS"/>
          <w:color w:val="auto"/>
          <w:sz w:val="18"/>
          <w:szCs w:val="18"/>
        </w:rPr>
        <w:t>tabel</w:t>
      </w:r>
      <w:r w:rsidRPr="008E4D70" w:rsidR="00722E7C">
        <w:rPr>
          <w:rFonts w:ascii="Trebuchet MS" w:hAnsi="Trebuchet MS"/>
          <w:color w:val="auto"/>
          <w:sz w:val="18"/>
          <w:szCs w:val="18"/>
        </w:rPr>
        <w:t xml:space="preserve"> B2.1</w:t>
      </w:r>
      <w:r w:rsidRPr="008E4D70">
        <w:rPr>
          <w:rFonts w:ascii="Trebuchet MS" w:hAnsi="Trebuchet MS"/>
          <w:color w:val="auto"/>
          <w:sz w:val="18"/>
          <w:szCs w:val="18"/>
        </w:rPr>
        <w:t xml:space="preserve">). De lesgevenden geven met name les in de basisberoepsgerichte en de kaderberoepsgerichte leerweg (bijna 9 op de 10) en minder vaak op de gemengde of theoretische leerweg (37 procent en 29 procent). Ongeveer twee derde geeft les in een technisch profiel en meer dan twee derde (7 op de 10) geeft les in een technisch vak. De meest voorkomende profielen waarin ze les geven zijn: BWI, PIE en D&amp;P, gevolgd door Z&amp;W en M&amp;T. </w:t>
      </w:r>
    </w:p>
    <w:p w:rsidRPr="008E4D70" w:rsidR="00F33E01" w:rsidP="00F33E01" w:rsidRDefault="00F33E01" w14:paraId="203887CF" w14:textId="77777777">
      <w:pPr>
        <w:pStyle w:val="SEOStandaard"/>
        <w:numPr>
          <w:ilvl w:val="0"/>
          <w:numId w:val="0"/>
        </w:numPr>
        <w:rPr>
          <w:rFonts w:ascii="Trebuchet MS" w:hAnsi="Trebuchet MS"/>
          <w:color w:val="auto"/>
          <w:sz w:val="18"/>
          <w:szCs w:val="18"/>
        </w:rPr>
      </w:pPr>
    </w:p>
    <w:p w:rsidRPr="008E4D70" w:rsidR="00F33E01" w:rsidP="00F33E01" w:rsidRDefault="00F33E01" w14:paraId="33BEC733" w14:textId="77777777">
      <w:pPr>
        <w:pStyle w:val="SEOStandaard"/>
        <w:numPr>
          <w:ilvl w:val="0"/>
          <w:numId w:val="0"/>
        </w:numPr>
        <w:rPr>
          <w:rFonts w:ascii="Trebuchet MS" w:hAnsi="Trebuchet MS"/>
          <w:color w:val="auto"/>
          <w:sz w:val="18"/>
          <w:szCs w:val="18"/>
        </w:rPr>
      </w:pPr>
      <w:r w:rsidRPr="008E4D70">
        <w:rPr>
          <w:rFonts w:ascii="Trebuchet MS" w:hAnsi="Trebuchet MS"/>
          <w:color w:val="auto"/>
          <w:sz w:val="18"/>
          <w:szCs w:val="18"/>
        </w:rPr>
        <w:t xml:space="preserve">Het aantal jaren ervaring in het onderwijs van de lesgevenden is gelijkmatig verdeeld over de drie categorieën: ongeveer een derde heeft 0 tot 5 jaar ervaring, een derde 6 tot 15 jaar, en een derde meer van 15 jaar. Het merendeel is man (bijna 8 op de 10), met name binnen de lesgevenden van technische vakken (87 procent). Aan de enquête hebben vooral bevoegde docenten in een beroepsgericht vak deelgenomen (bijna 7 op de 10), op ruime afstand gevolgd door docenten in opleiding voor een bevoegdheid (1 op de 10) en instructeurs (1 op de 10). De meesten hebben in de afgelopen vijf jaar geen baan buiten het onderwijs (7 op de 10) gehad. Wanneer hier wel sprake van was, was dit meestal in een verwante sector.  </w:t>
      </w:r>
    </w:p>
    <w:p w:rsidRPr="00C21F2B" w:rsidR="00F33E01" w:rsidP="00F33E01" w:rsidRDefault="00F33E01" w14:paraId="1F288D2D" w14:textId="77777777">
      <w:pPr>
        <w:pStyle w:val="SEOStandaard"/>
        <w:numPr>
          <w:ilvl w:val="0"/>
          <w:numId w:val="0"/>
        </w:numPr>
        <w:rPr>
          <w:rFonts w:ascii="Trebuchet MS" w:hAnsi="Trebuchet MS"/>
          <w:sz w:val="18"/>
          <w:szCs w:val="18"/>
        </w:rPr>
      </w:pPr>
    </w:p>
    <w:p w:rsidRPr="00C21F2B" w:rsidR="00F33E01" w:rsidP="00203B2D" w:rsidRDefault="00F33E01" w14:paraId="38ECAF71" w14:textId="77777777">
      <w:pPr>
        <w:pStyle w:val="Kop2"/>
      </w:pPr>
      <w:bookmarkStart w:name="_Toc198625153" w:id="52"/>
      <w:bookmarkStart w:name="_Toc203573586" w:id="53"/>
      <w:r w:rsidRPr="00C21F2B">
        <w:lastRenderedPageBreak/>
        <w:t>Deelname aan STO(-activiteiten)</w:t>
      </w:r>
      <w:bookmarkEnd w:id="52"/>
      <w:bookmarkEnd w:id="53"/>
    </w:p>
    <w:p w:rsidR="00F33E01" w:rsidP="00F33E01" w:rsidRDefault="00F33E01" w14:paraId="6B135991" w14:textId="5E4E9E5B">
      <w:pPr>
        <w:pStyle w:val="SEOStandaard"/>
        <w:rPr>
          <w:rFonts w:ascii="Trebuchet MS" w:hAnsi="Trebuchet MS"/>
          <w:color w:val="auto"/>
          <w:sz w:val="18"/>
          <w:szCs w:val="18"/>
        </w:rPr>
      </w:pPr>
      <w:r w:rsidRPr="008E4D70">
        <w:rPr>
          <w:rFonts w:ascii="Trebuchet MS" w:hAnsi="Trebuchet MS"/>
          <w:color w:val="auto"/>
          <w:sz w:val="18"/>
          <w:szCs w:val="18"/>
        </w:rPr>
        <w:t xml:space="preserve">Het eerste deel van de enquête richt zich op deelname aan activiteiten in het kader van STO. Aan alle lesgevenden is gevraagd of zij bekend zijn met STO-activiteiten. Tabel </w:t>
      </w:r>
      <w:r w:rsidRPr="008E4D70" w:rsidR="00203B2D">
        <w:rPr>
          <w:rFonts w:ascii="Trebuchet MS" w:hAnsi="Trebuchet MS"/>
          <w:color w:val="auto"/>
          <w:sz w:val="18"/>
          <w:szCs w:val="18"/>
        </w:rPr>
        <w:t>5</w:t>
      </w:r>
      <w:r w:rsidRPr="008E4D70">
        <w:rPr>
          <w:rFonts w:ascii="Trebuchet MS" w:hAnsi="Trebuchet MS"/>
          <w:color w:val="auto"/>
          <w:sz w:val="18"/>
          <w:szCs w:val="18"/>
        </w:rPr>
        <w:t>.1 laat deze bekendheid zien voor alle lesgevenden en uitgesplitst naar lesgevenden die wel of niet een technisch vak geven.</w:t>
      </w:r>
    </w:p>
    <w:p w:rsidRPr="008E4D70" w:rsidR="00693F05" w:rsidP="00F33E01" w:rsidRDefault="00693F05" w14:paraId="3A82DFB6" w14:textId="77777777">
      <w:pPr>
        <w:pStyle w:val="SEOStandaard"/>
        <w:rPr>
          <w:rFonts w:ascii="Trebuchet MS" w:hAnsi="Trebuchet MS"/>
          <w:color w:val="auto"/>
          <w:sz w:val="18"/>
          <w:szCs w:val="18"/>
        </w:rPr>
      </w:pPr>
    </w:p>
    <w:p w:rsidRPr="008E4D70" w:rsidR="00F33E01" w:rsidP="008E4D70" w:rsidRDefault="008E4D70" w14:paraId="605FEF82" w14:textId="55A458A6">
      <w:pPr>
        <w:pStyle w:val="Figuur"/>
        <w:rPr>
          <w:rFonts w:ascii="Trebuchet MS" w:hAnsi="Trebuchet MS" w:eastAsiaTheme="minorEastAsia" w:cstheme="minorBidi"/>
          <w:i/>
          <w:iCs/>
          <w:noProof w:val="0"/>
          <w:sz w:val="18"/>
          <w:szCs w:val="18"/>
          <w:lang w:eastAsia="en-US"/>
        </w:rPr>
      </w:pPr>
      <w:r>
        <w:rPr>
          <w:rFonts w:ascii="Trebuchet MS" w:hAnsi="Trebuchet MS" w:eastAsiaTheme="minorEastAsia" w:cstheme="minorBidi"/>
          <w:i/>
          <w:iCs/>
          <w:noProof w:val="0"/>
          <w:sz w:val="18"/>
          <w:szCs w:val="18"/>
          <w:lang w:eastAsia="en-US"/>
        </w:rPr>
        <w:t xml:space="preserve">Tabel 5.1. </w:t>
      </w:r>
      <w:r w:rsidRPr="008E4D70" w:rsidR="00F33E01">
        <w:rPr>
          <w:rFonts w:ascii="Trebuchet MS" w:hAnsi="Trebuchet MS" w:eastAsiaTheme="minorEastAsia" w:cstheme="minorBidi"/>
          <w:i/>
          <w:iCs/>
          <w:noProof w:val="0"/>
          <w:sz w:val="18"/>
          <w:szCs w:val="18"/>
          <w:lang w:eastAsia="en-US"/>
        </w:rPr>
        <w:t>Bekendheid met STO-activiteiten, uitgesplitst naar wel of geen technisch vak</w:t>
      </w:r>
    </w:p>
    <w:tbl>
      <w:tblPr>
        <w:tblStyle w:val="SEOTabel2"/>
        <w:tblW w:w="0" w:type="auto"/>
        <w:tblCellMar>
          <w:top w:w="0" w:type="dxa"/>
          <w:left w:w="28" w:type="dxa"/>
          <w:bottom w:w="28" w:type="dxa"/>
          <w:right w:w="28" w:type="dxa"/>
        </w:tblCellMar>
        <w:tblLook w:val="04A0" w:firstRow="1" w:lastRow="0" w:firstColumn="1" w:lastColumn="0" w:noHBand="0" w:noVBand="1"/>
      </w:tblPr>
      <w:tblGrid>
        <w:gridCol w:w="4375"/>
        <w:gridCol w:w="1727"/>
        <w:gridCol w:w="1509"/>
        <w:gridCol w:w="1749"/>
      </w:tblGrid>
      <w:tr w:rsidRPr="00C21F2B" w:rsidR="00F33E01" w:rsidTr="00FC2172" w14:paraId="67F1D41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C21F2B" w:rsidR="00F33E01" w:rsidP="00FC2172" w:rsidRDefault="00F33E01" w14:paraId="5B74345A" w14:textId="77777777">
            <w:pPr>
              <w:pStyle w:val="SEOStandaard"/>
              <w:numPr>
                <w:ilvl w:val="0"/>
                <w:numId w:val="0"/>
              </w:numPr>
              <w:rPr>
                <w:rFonts w:ascii="Trebuchet MS" w:hAnsi="Trebuchet MS"/>
                <w:color w:val="FFFFFF" w:themeColor="background1"/>
                <w:sz w:val="18"/>
                <w:szCs w:val="18"/>
              </w:rPr>
            </w:pPr>
            <w:r w:rsidRPr="00C21F2B">
              <w:rPr>
                <w:rFonts w:ascii="Trebuchet MS" w:hAnsi="Trebuchet MS"/>
                <w:color w:val="FFFFFF" w:themeColor="background1"/>
                <w:sz w:val="18"/>
                <w:szCs w:val="18"/>
              </w:rPr>
              <w:t>Bent u bekend met activiteiten in het kader van Sterk Techniekonderwijs?</w:t>
            </w:r>
          </w:p>
        </w:tc>
        <w:tc>
          <w:tcPr>
            <w:tcW w:w="0" w:type="auto"/>
          </w:tcPr>
          <w:p w:rsidRPr="00C21F2B" w:rsidR="00F33E01" w:rsidP="00FC2172" w:rsidRDefault="00F33E01" w14:paraId="140950A4" w14:textId="77777777">
            <w:pPr>
              <w:pStyle w:val="SEOStandaard"/>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C21F2B">
              <w:rPr>
                <w:rFonts w:ascii="Trebuchet MS" w:hAnsi="Trebuchet MS"/>
                <w:color w:val="FFFFFF" w:themeColor="background1"/>
                <w:sz w:val="18"/>
                <w:szCs w:val="18"/>
              </w:rPr>
              <w:t>Alle lesgevenden (n=424)</w:t>
            </w:r>
          </w:p>
        </w:tc>
        <w:tc>
          <w:tcPr>
            <w:tcW w:w="0" w:type="auto"/>
          </w:tcPr>
          <w:p w:rsidRPr="00C21F2B" w:rsidR="00F33E01" w:rsidP="00FC2172" w:rsidRDefault="00F33E01" w14:paraId="4467654A" w14:textId="77777777">
            <w:pPr>
              <w:pStyle w:val="SEOStandaard"/>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C21F2B">
              <w:rPr>
                <w:rFonts w:ascii="Trebuchet MS" w:hAnsi="Trebuchet MS"/>
                <w:color w:val="FFFFFF" w:themeColor="background1"/>
                <w:sz w:val="18"/>
                <w:szCs w:val="18"/>
              </w:rPr>
              <w:t>Technisch vak (n=301)</w:t>
            </w:r>
          </w:p>
        </w:tc>
        <w:tc>
          <w:tcPr>
            <w:tcW w:w="0" w:type="auto"/>
          </w:tcPr>
          <w:p w:rsidRPr="00C21F2B" w:rsidR="00F33E01" w:rsidP="00FC2172" w:rsidRDefault="00F33E01" w14:paraId="4DA5AD2F" w14:textId="77777777">
            <w:pPr>
              <w:pStyle w:val="SEOStandaard"/>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C21F2B">
              <w:rPr>
                <w:rFonts w:ascii="Trebuchet MS" w:hAnsi="Trebuchet MS"/>
                <w:color w:val="FFFFFF" w:themeColor="background1"/>
                <w:sz w:val="18"/>
                <w:szCs w:val="18"/>
              </w:rPr>
              <w:t>Geen technisch vak (n=123)</w:t>
            </w:r>
          </w:p>
        </w:tc>
      </w:tr>
      <w:tr w:rsidRPr="00C21F2B" w:rsidR="00F33E01" w:rsidTr="00FC2172" w14:paraId="54E9FAF1" w14:textId="77777777">
        <w:tc>
          <w:tcPr>
            <w:cnfStyle w:val="001000000000" w:firstRow="0" w:lastRow="0" w:firstColumn="1" w:lastColumn="0" w:oddVBand="0" w:evenVBand="0" w:oddHBand="0" w:evenHBand="0" w:firstRowFirstColumn="0" w:firstRowLastColumn="0" w:lastRowFirstColumn="0" w:lastRowLastColumn="0"/>
            <w:tcW w:w="0" w:type="auto"/>
          </w:tcPr>
          <w:p w:rsidRPr="00C21F2B" w:rsidR="00F33E01" w:rsidP="00FC2172" w:rsidRDefault="00F33E01" w14:paraId="43626566" w14:textId="77777777">
            <w:pPr>
              <w:pStyle w:val="SEOStandaard"/>
              <w:numPr>
                <w:ilvl w:val="0"/>
                <w:numId w:val="0"/>
              </w:numPr>
              <w:rPr>
                <w:rFonts w:ascii="Trebuchet MS" w:hAnsi="Trebuchet MS"/>
                <w:sz w:val="18"/>
                <w:szCs w:val="18"/>
              </w:rPr>
            </w:pPr>
            <w:r w:rsidRPr="00C21F2B">
              <w:rPr>
                <w:rFonts w:ascii="Trebuchet MS" w:hAnsi="Trebuchet MS"/>
                <w:sz w:val="18"/>
                <w:szCs w:val="18"/>
              </w:rPr>
              <w:t>Ja</w:t>
            </w:r>
          </w:p>
        </w:tc>
        <w:tc>
          <w:tcPr>
            <w:tcW w:w="0" w:type="auto"/>
          </w:tcPr>
          <w:p w:rsidRPr="00C21F2B" w:rsidR="00F33E01" w:rsidP="00FC2172" w:rsidRDefault="00F33E01" w14:paraId="30D8DB3D"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66%</w:t>
            </w:r>
          </w:p>
        </w:tc>
        <w:tc>
          <w:tcPr>
            <w:tcW w:w="0" w:type="auto"/>
          </w:tcPr>
          <w:p w:rsidRPr="00C21F2B" w:rsidR="00F33E01" w:rsidP="00FC2172" w:rsidRDefault="00F33E01" w14:paraId="0A5F7D31"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77%</w:t>
            </w:r>
          </w:p>
        </w:tc>
        <w:tc>
          <w:tcPr>
            <w:tcW w:w="0" w:type="auto"/>
          </w:tcPr>
          <w:p w:rsidRPr="00C21F2B" w:rsidR="00F33E01" w:rsidP="00FC2172" w:rsidRDefault="00F33E01" w14:paraId="0C5285F7"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38%</w:t>
            </w:r>
          </w:p>
        </w:tc>
      </w:tr>
      <w:tr w:rsidRPr="00C21F2B" w:rsidR="00F33E01" w:rsidTr="00FC2172" w14:paraId="525E37A1" w14:textId="77777777">
        <w:tc>
          <w:tcPr>
            <w:cnfStyle w:val="001000000000" w:firstRow="0" w:lastRow="0" w:firstColumn="1" w:lastColumn="0" w:oddVBand="0" w:evenVBand="0" w:oddHBand="0" w:evenHBand="0" w:firstRowFirstColumn="0" w:firstRowLastColumn="0" w:lastRowFirstColumn="0" w:lastRowLastColumn="0"/>
            <w:tcW w:w="0" w:type="auto"/>
          </w:tcPr>
          <w:p w:rsidRPr="00C21F2B" w:rsidR="00F33E01" w:rsidP="00FC2172" w:rsidRDefault="00F33E01" w14:paraId="2F4CE1D1" w14:textId="77777777">
            <w:pPr>
              <w:pStyle w:val="SEOStandaard"/>
              <w:numPr>
                <w:ilvl w:val="0"/>
                <w:numId w:val="0"/>
              </w:numPr>
              <w:rPr>
                <w:rFonts w:ascii="Trebuchet MS" w:hAnsi="Trebuchet MS"/>
                <w:sz w:val="18"/>
                <w:szCs w:val="18"/>
              </w:rPr>
            </w:pPr>
            <w:r w:rsidRPr="00C21F2B">
              <w:rPr>
                <w:rFonts w:ascii="Trebuchet MS" w:hAnsi="Trebuchet MS"/>
                <w:sz w:val="18"/>
                <w:szCs w:val="18"/>
              </w:rPr>
              <w:t>Enigszins</w:t>
            </w:r>
          </w:p>
        </w:tc>
        <w:tc>
          <w:tcPr>
            <w:tcW w:w="0" w:type="auto"/>
          </w:tcPr>
          <w:p w:rsidRPr="00C21F2B" w:rsidR="00F33E01" w:rsidP="00FC2172" w:rsidRDefault="00F33E01" w14:paraId="337FE8D7"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24%</w:t>
            </w:r>
          </w:p>
        </w:tc>
        <w:tc>
          <w:tcPr>
            <w:tcW w:w="0" w:type="auto"/>
          </w:tcPr>
          <w:p w:rsidRPr="00C21F2B" w:rsidR="00F33E01" w:rsidP="00FC2172" w:rsidRDefault="00F33E01" w14:paraId="4D1458BF"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20%</w:t>
            </w:r>
          </w:p>
        </w:tc>
        <w:tc>
          <w:tcPr>
            <w:tcW w:w="0" w:type="auto"/>
          </w:tcPr>
          <w:p w:rsidRPr="00C21F2B" w:rsidR="00F33E01" w:rsidP="00FC2172" w:rsidRDefault="00F33E01" w14:paraId="209D6CA8"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35%</w:t>
            </w:r>
          </w:p>
        </w:tc>
      </w:tr>
      <w:tr w:rsidRPr="00C21F2B" w:rsidR="00F33E01" w:rsidTr="00FC2172" w14:paraId="7E626D7C" w14:textId="77777777">
        <w:tc>
          <w:tcPr>
            <w:cnfStyle w:val="001000000000" w:firstRow="0" w:lastRow="0" w:firstColumn="1" w:lastColumn="0" w:oddVBand="0" w:evenVBand="0" w:oddHBand="0" w:evenHBand="0" w:firstRowFirstColumn="0" w:firstRowLastColumn="0" w:lastRowFirstColumn="0" w:lastRowLastColumn="0"/>
            <w:tcW w:w="0" w:type="auto"/>
          </w:tcPr>
          <w:p w:rsidRPr="00C21F2B" w:rsidR="00F33E01" w:rsidP="00FC2172" w:rsidRDefault="00F33E01" w14:paraId="03890A16" w14:textId="77777777">
            <w:pPr>
              <w:pStyle w:val="SEOStandaard"/>
              <w:numPr>
                <w:ilvl w:val="0"/>
                <w:numId w:val="0"/>
              </w:numPr>
              <w:rPr>
                <w:rFonts w:ascii="Trebuchet MS" w:hAnsi="Trebuchet MS"/>
                <w:sz w:val="18"/>
                <w:szCs w:val="18"/>
              </w:rPr>
            </w:pPr>
            <w:r w:rsidRPr="00C21F2B">
              <w:rPr>
                <w:rFonts w:ascii="Trebuchet MS" w:hAnsi="Trebuchet MS"/>
                <w:sz w:val="18"/>
                <w:szCs w:val="18"/>
              </w:rPr>
              <w:t>Nee</w:t>
            </w:r>
          </w:p>
        </w:tc>
        <w:tc>
          <w:tcPr>
            <w:tcW w:w="0" w:type="auto"/>
          </w:tcPr>
          <w:p w:rsidRPr="00C21F2B" w:rsidR="00F33E01" w:rsidP="00FC2172" w:rsidRDefault="00F33E01" w14:paraId="3B54A55D"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10%</w:t>
            </w:r>
          </w:p>
        </w:tc>
        <w:tc>
          <w:tcPr>
            <w:tcW w:w="0" w:type="auto"/>
          </w:tcPr>
          <w:p w:rsidRPr="00C21F2B" w:rsidR="00F33E01" w:rsidP="00FC2172" w:rsidRDefault="00F33E01" w14:paraId="3958C38B"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w:t>
            </w:r>
          </w:p>
        </w:tc>
        <w:tc>
          <w:tcPr>
            <w:tcW w:w="0" w:type="auto"/>
          </w:tcPr>
          <w:p w:rsidRPr="00C21F2B" w:rsidR="00F33E01" w:rsidP="00FC2172" w:rsidRDefault="00F33E01" w14:paraId="1D526E6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27%</w:t>
            </w:r>
          </w:p>
        </w:tc>
      </w:tr>
    </w:tbl>
    <w:p w:rsidRPr="008E4D70" w:rsidR="00F33E01" w:rsidP="008E4D70" w:rsidRDefault="008E4D70" w14:paraId="210F28DB" w14:textId="68FEA593">
      <w:pPr>
        <w:pStyle w:val="SEOBron"/>
        <w:numPr>
          <w:ilvl w:val="0"/>
          <w:numId w:val="0"/>
        </w:numPr>
        <w:rPr>
          <w:rFonts w:ascii="Trebuchet MS" w:hAnsi="Trebuchet MS"/>
          <w:color w:val="auto"/>
          <w:szCs w:val="18"/>
        </w:rPr>
      </w:pPr>
      <w:r w:rsidRPr="008E4D70">
        <w:rPr>
          <w:rFonts w:ascii="Trebuchet MS" w:hAnsi="Trebuchet MS"/>
          <w:color w:val="auto"/>
          <w:szCs w:val="18"/>
        </w:rPr>
        <w:t xml:space="preserve">Bron: </w:t>
      </w:r>
      <w:r w:rsidRPr="008E4D70" w:rsidR="00F33E01">
        <w:rPr>
          <w:rFonts w:ascii="Trebuchet MS" w:hAnsi="Trebuchet MS"/>
          <w:color w:val="auto"/>
          <w:szCs w:val="18"/>
        </w:rPr>
        <w:t>Enquête lesgevenden bovenbouw vmbo (februari-mei 2025).</w:t>
      </w:r>
    </w:p>
    <w:p w:rsidRPr="008E4D70" w:rsidR="00F33E01" w:rsidP="00F33E01" w:rsidRDefault="00F33E01" w14:paraId="5D9F284F" w14:textId="77777777">
      <w:pPr>
        <w:pStyle w:val="SEOStandaard"/>
        <w:rPr>
          <w:rFonts w:ascii="Trebuchet MS" w:hAnsi="Trebuchet MS"/>
          <w:color w:val="auto"/>
          <w:sz w:val="18"/>
          <w:szCs w:val="18"/>
        </w:rPr>
      </w:pPr>
      <w:r w:rsidRPr="008E4D70">
        <w:rPr>
          <w:rFonts w:ascii="Trebuchet MS" w:hAnsi="Trebuchet MS"/>
          <w:color w:val="auto"/>
          <w:sz w:val="18"/>
          <w:szCs w:val="18"/>
        </w:rPr>
        <w:t xml:space="preserve">Twee derde van de lesgevenden is bekend met activiteiten in het kader van STO, een kwart enigszins en 10 procent niet. De bekendheid ligt hoger onder lesgevenden in een technisch vak: bijna 8 op de 10 is bekend met STO en 2 op de 10 enigszins. Slechts 3 procent van de lesgevenden met een technisch vak  is helemaal niet bekend met STO. Onder de lesgevenden die geen technisch vak geven ligt dit percentage hoger met meer dan een kwart. </w:t>
      </w:r>
    </w:p>
    <w:p w:rsidRPr="008E4D70" w:rsidR="00F33E01" w:rsidP="00F33E01" w:rsidRDefault="00F33E01" w14:paraId="3DDA34DE" w14:textId="77777777">
      <w:pPr>
        <w:pStyle w:val="SEOOpsommingBulletL1"/>
        <w:numPr>
          <w:ilvl w:val="0"/>
          <w:numId w:val="0"/>
        </w:numPr>
        <w:ind w:left="397" w:hanging="397"/>
        <w:rPr>
          <w:rFonts w:ascii="Trebuchet MS" w:hAnsi="Trebuchet MS"/>
          <w:color w:val="auto"/>
          <w:sz w:val="18"/>
          <w:szCs w:val="18"/>
        </w:rPr>
      </w:pPr>
    </w:p>
    <w:p w:rsidRPr="008E4D70" w:rsidR="00F33E01" w:rsidP="00F33E01" w:rsidRDefault="00F33E01" w14:paraId="772AFE23" w14:textId="00A3A34E">
      <w:pPr>
        <w:pStyle w:val="SEOStandaard"/>
        <w:rPr>
          <w:rFonts w:ascii="Trebuchet MS" w:hAnsi="Trebuchet MS"/>
          <w:color w:val="auto"/>
          <w:sz w:val="18"/>
          <w:szCs w:val="18"/>
        </w:rPr>
      </w:pPr>
      <w:r w:rsidRPr="008E4D70">
        <w:rPr>
          <w:rFonts w:ascii="Trebuchet MS" w:hAnsi="Trebuchet MS"/>
          <w:color w:val="auto"/>
          <w:sz w:val="18"/>
          <w:szCs w:val="18"/>
        </w:rPr>
        <w:t xml:space="preserve">Vervolgens is aan diegene die (enigszins) bekend zijn met STO gevraagd naar actieve betrokkenheid en de rol (zie Tabel </w:t>
      </w:r>
      <w:r w:rsidR="008E4D70">
        <w:rPr>
          <w:rFonts w:ascii="Trebuchet MS" w:hAnsi="Trebuchet MS"/>
          <w:color w:val="auto"/>
          <w:sz w:val="18"/>
          <w:szCs w:val="18"/>
        </w:rPr>
        <w:t>5</w:t>
      </w:r>
      <w:r w:rsidRPr="008E4D70">
        <w:rPr>
          <w:rFonts w:ascii="Trebuchet MS" w:hAnsi="Trebuchet MS"/>
          <w:color w:val="auto"/>
          <w:sz w:val="18"/>
          <w:szCs w:val="18"/>
        </w:rPr>
        <w:t xml:space="preserve">.2). </w:t>
      </w:r>
    </w:p>
    <w:p w:rsidR="008E4D70" w:rsidP="008E4D70" w:rsidRDefault="008E4D70" w14:paraId="04966C81" w14:textId="77777777">
      <w:pPr>
        <w:pStyle w:val="Figuur"/>
        <w:rPr>
          <w:rFonts w:ascii="Trebuchet MS" w:hAnsi="Trebuchet MS" w:eastAsiaTheme="minorEastAsia" w:cstheme="minorBidi"/>
          <w:i/>
          <w:iCs/>
          <w:noProof w:val="0"/>
          <w:sz w:val="18"/>
          <w:szCs w:val="18"/>
          <w:lang w:eastAsia="en-US"/>
        </w:rPr>
      </w:pPr>
    </w:p>
    <w:p w:rsidRPr="008E4D70" w:rsidR="00F33E01" w:rsidP="008E4D70" w:rsidRDefault="008E4D70" w14:paraId="47648E95" w14:textId="48C6C043">
      <w:pPr>
        <w:pStyle w:val="Figuur"/>
        <w:rPr>
          <w:rFonts w:ascii="Trebuchet MS" w:hAnsi="Trebuchet MS" w:eastAsiaTheme="minorEastAsia" w:cstheme="minorBidi"/>
          <w:i/>
          <w:iCs/>
          <w:noProof w:val="0"/>
          <w:sz w:val="18"/>
          <w:szCs w:val="18"/>
          <w:lang w:eastAsia="en-US"/>
        </w:rPr>
      </w:pPr>
      <w:r>
        <w:rPr>
          <w:rFonts w:ascii="Trebuchet MS" w:hAnsi="Trebuchet MS" w:eastAsiaTheme="minorEastAsia" w:cstheme="minorBidi"/>
          <w:i/>
          <w:iCs/>
          <w:noProof w:val="0"/>
          <w:sz w:val="18"/>
          <w:szCs w:val="18"/>
          <w:lang w:eastAsia="en-US"/>
        </w:rPr>
        <w:t xml:space="preserve">Tabel 5.2. </w:t>
      </w:r>
      <w:r w:rsidRPr="008E4D70" w:rsidR="00F33E01">
        <w:rPr>
          <w:rFonts w:ascii="Trebuchet MS" w:hAnsi="Trebuchet MS" w:eastAsiaTheme="minorEastAsia" w:cstheme="minorBidi"/>
          <w:i/>
          <w:iCs/>
          <w:noProof w:val="0"/>
          <w:sz w:val="18"/>
          <w:szCs w:val="18"/>
          <w:lang w:eastAsia="en-US"/>
        </w:rPr>
        <w:t>Rol bij STO-activiteiten, uitgesplitst naar wel of geen technisch vak</w:t>
      </w:r>
    </w:p>
    <w:tbl>
      <w:tblPr>
        <w:tblStyle w:val="SEOTabel2"/>
        <w:tblW w:w="0" w:type="auto"/>
        <w:tblCellMar>
          <w:top w:w="0" w:type="dxa"/>
          <w:left w:w="28" w:type="dxa"/>
          <w:bottom w:w="28" w:type="dxa"/>
          <w:right w:w="28" w:type="dxa"/>
        </w:tblCellMar>
        <w:tblLook w:val="04A0" w:firstRow="1" w:lastRow="0" w:firstColumn="1" w:lastColumn="0" w:noHBand="0" w:noVBand="1"/>
      </w:tblPr>
      <w:tblGrid>
        <w:gridCol w:w="4653"/>
        <w:gridCol w:w="1661"/>
        <w:gridCol w:w="1445"/>
        <w:gridCol w:w="1601"/>
      </w:tblGrid>
      <w:tr w:rsidRPr="00C21F2B" w:rsidR="00F33E01" w:rsidTr="00FC2172" w14:paraId="21D9013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C21F2B" w:rsidR="00F33E01" w:rsidP="00FC2172" w:rsidRDefault="00F33E01" w14:paraId="77BECC5B" w14:textId="77777777">
            <w:pPr>
              <w:pStyle w:val="SEOStandaard"/>
              <w:numPr>
                <w:ilvl w:val="0"/>
                <w:numId w:val="0"/>
              </w:numPr>
              <w:rPr>
                <w:rFonts w:ascii="Trebuchet MS" w:hAnsi="Trebuchet MS"/>
                <w:color w:val="FFFFFF" w:themeColor="background1"/>
                <w:sz w:val="18"/>
                <w:szCs w:val="18"/>
              </w:rPr>
            </w:pPr>
            <w:r w:rsidRPr="00C21F2B">
              <w:rPr>
                <w:rFonts w:ascii="Trebuchet MS" w:hAnsi="Trebuchet MS"/>
                <w:color w:val="FFFFFF" w:themeColor="background1"/>
                <w:sz w:val="18"/>
                <w:szCs w:val="18"/>
              </w:rPr>
              <w:t>Bent u zelf actief betrokken bij activiteiten in het kader van Sterk Techniekonderwijs?</w:t>
            </w:r>
          </w:p>
        </w:tc>
        <w:tc>
          <w:tcPr>
            <w:tcW w:w="0" w:type="auto"/>
          </w:tcPr>
          <w:p w:rsidRPr="00C21F2B" w:rsidR="00F33E01" w:rsidP="00FC2172" w:rsidRDefault="00F33E01" w14:paraId="6DB2C447" w14:textId="77777777">
            <w:pPr>
              <w:pStyle w:val="SEOStandaard"/>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C21F2B">
              <w:rPr>
                <w:rFonts w:ascii="Trebuchet MS" w:hAnsi="Trebuchet MS"/>
                <w:color w:val="FFFFFF" w:themeColor="background1"/>
                <w:sz w:val="18"/>
                <w:szCs w:val="18"/>
              </w:rPr>
              <w:t>Alle lesgevenden (n=382)</w:t>
            </w:r>
          </w:p>
        </w:tc>
        <w:tc>
          <w:tcPr>
            <w:tcW w:w="0" w:type="auto"/>
          </w:tcPr>
          <w:p w:rsidRPr="00C21F2B" w:rsidR="00F33E01" w:rsidP="00FC2172" w:rsidRDefault="00F33E01" w14:paraId="7E20D67E" w14:textId="77777777">
            <w:pPr>
              <w:pStyle w:val="SEOStandaard"/>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C21F2B">
              <w:rPr>
                <w:rFonts w:ascii="Trebuchet MS" w:hAnsi="Trebuchet MS"/>
                <w:color w:val="FFFFFF" w:themeColor="background1"/>
                <w:sz w:val="18"/>
                <w:szCs w:val="18"/>
              </w:rPr>
              <w:t>Technisch vak (n=292)</w:t>
            </w:r>
          </w:p>
        </w:tc>
        <w:tc>
          <w:tcPr>
            <w:tcW w:w="0" w:type="auto"/>
          </w:tcPr>
          <w:p w:rsidRPr="00C21F2B" w:rsidR="00F33E01" w:rsidP="00FC2172" w:rsidRDefault="00F33E01" w14:paraId="4CD1A5F8" w14:textId="77777777">
            <w:pPr>
              <w:pStyle w:val="SEOStandaard"/>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C21F2B">
              <w:rPr>
                <w:rFonts w:ascii="Trebuchet MS" w:hAnsi="Trebuchet MS"/>
                <w:color w:val="FFFFFF" w:themeColor="background1"/>
                <w:sz w:val="18"/>
                <w:szCs w:val="18"/>
              </w:rPr>
              <w:t>Geen technisch vak (n=90)</w:t>
            </w:r>
          </w:p>
        </w:tc>
      </w:tr>
      <w:tr w:rsidRPr="00C21F2B" w:rsidR="00F33E01" w:rsidTr="00FC2172" w14:paraId="120B16ED" w14:textId="77777777">
        <w:tc>
          <w:tcPr>
            <w:cnfStyle w:val="001000000000" w:firstRow="0" w:lastRow="0" w:firstColumn="1" w:lastColumn="0" w:oddVBand="0" w:evenVBand="0" w:oddHBand="0" w:evenHBand="0" w:firstRowFirstColumn="0" w:firstRowLastColumn="0" w:lastRowFirstColumn="0" w:lastRowLastColumn="0"/>
            <w:tcW w:w="0" w:type="auto"/>
          </w:tcPr>
          <w:p w:rsidRPr="00C21F2B" w:rsidR="00F33E01" w:rsidP="00FC2172" w:rsidRDefault="00F33E01" w14:paraId="1D10B14A" w14:textId="77777777">
            <w:pPr>
              <w:pStyle w:val="SEOStandaard"/>
              <w:numPr>
                <w:ilvl w:val="0"/>
                <w:numId w:val="0"/>
              </w:numPr>
              <w:rPr>
                <w:rFonts w:ascii="Trebuchet MS" w:hAnsi="Trebuchet MS"/>
                <w:sz w:val="18"/>
                <w:szCs w:val="18"/>
              </w:rPr>
            </w:pPr>
            <w:r w:rsidRPr="00C21F2B">
              <w:rPr>
                <w:rFonts w:ascii="Trebuchet MS" w:hAnsi="Trebuchet MS"/>
                <w:sz w:val="18"/>
                <w:szCs w:val="18"/>
              </w:rPr>
              <w:t>Ja, als uitvoerder</w:t>
            </w:r>
          </w:p>
        </w:tc>
        <w:tc>
          <w:tcPr>
            <w:tcW w:w="0" w:type="auto"/>
          </w:tcPr>
          <w:p w:rsidRPr="00C21F2B" w:rsidR="00F33E01" w:rsidP="00FC2172" w:rsidRDefault="00F33E01" w14:paraId="246E259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36%</w:t>
            </w:r>
          </w:p>
        </w:tc>
        <w:tc>
          <w:tcPr>
            <w:tcW w:w="0" w:type="auto"/>
          </w:tcPr>
          <w:p w:rsidRPr="00C21F2B" w:rsidR="00F33E01" w:rsidP="00FC2172" w:rsidRDefault="00F33E01" w14:paraId="30A51D8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42%</w:t>
            </w:r>
          </w:p>
        </w:tc>
        <w:tc>
          <w:tcPr>
            <w:tcW w:w="0" w:type="auto"/>
          </w:tcPr>
          <w:p w:rsidRPr="00C21F2B" w:rsidR="00F33E01" w:rsidP="00FC2172" w:rsidRDefault="00F33E01" w14:paraId="496A6755"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16%</w:t>
            </w:r>
          </w:p>
        </w:tc>
      </w:tr>
      <w:tr w:rsidRPr="00C21F2B" w:rsidR="00F33E01" w:rsidTr="00FC2172" w14:paraId="12EBA306" w14:textId="77777777">
        <w:tc>
          <w:tcPr>
            <w:cnfStyle w:val="001000000000" w:firstRow="0" w:lastRow="0" w:firstColumn="1" w:lastColumn="0" w:oddVBand="0" w:evenVBand="0" w:oddHBand="0" w:evenHBand="0" w:firstRowFirstColumn="0" w:firstRowLastColumn="0" w:lastRowFirstColumn="0" w:lastRowLastColumn="0"/>
            <w:tcW w:w="0" w:type="auto"/>
          </w:tcPr>
          <w:p w:rsidRPr="00C21F2B" w:rsidR="00F33E01" w:rsidP="00FC2172" w:rsidRDefault="00F33E01" w14:paraId="4E7B3CEA" w14:textId="77777777">
            <w:pPr>
              <w:pStyle w:val="SEOStandaard"/>
              <w:numPr>
                <w:ilvl w:val="0"/>
                <w:numId w:val="0"/>
              </w:numPr>
              <w:rPr>
                <w:rFonts w:ascii="Trebuchet MS" w:hAnsi="Trebuchet MS"/>
                <w:sz w:val="18"/>
                <w:szCs w:val="18"/>
              </w:rPr>
            </w:pPr>
            <w:r w:rsidRPr="00C21F2B">
              <w:rPr>
                <w:rFonts w:ascii="Trebuchet MS" w:hAnsi="Trebuchet MS"/>
                <w:sz w:val="18"/>
                <w:szCs w:val="18"/>
              </w:rPr>
              <w:t>Ja, als gebruiker/deelnemer</w:t>
            </w:r>
          </w:p>
        </w:tc>
        <w:tc>
          <w:tcPr>
            <w:tcW w:w="0" w:type="auto"/>
          </w:tcPr>
          <w:p w:rsidRPr="00C21F2B" w:rsidR="00F33E01" w:rsidP="00FC2172" w:rsidRDefault="00F33E01" w14:paraId="68DCCD6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47%</w:t>
            </w:r>
          </w:p>
        </w:tc>
        <w:tc>
          <w:tcPr>
            <w:tcW w:w="0" w:type="auto"/>
          </w:tcPr>
          <w:p w:rsidRPr="00C21F2B" w:rsidR="00F33E01" w:rsidP="00FC2172" w:rsidRDefault="00F33E01" w14:paraId="79C0AD93"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56%</w:t>
            </w:r>
          </w:p>
        </w:tc>
        <w:tc>
          <w:tcPr>
            <w:tcW w:w="0" w:type="auto"/>
          </w:tcPr>
          <w:p w:rsidRPr="00C21F2B" w:rsidR="00F33E01" w:rsidP="00FC2172" w:rsidRDefault="00F33E01" w14:paraId="6FCFD357"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18%</w:t>
            </w:r>
          </w:p>
        </w:tc>
      </w:tr>
      <w:tr w:rsidRPr="00C21F2B" w:rsidR="00F33E01" w:rsidTr="00FC2172" w14:paraId="0CC63D03" w14:textId="77777777">
        <w:tc>
          <w:tcPr>
            <w:cnfStyle w:val="001000000000" w:firstRow="0" w:lastRow="0" w:firstColumn="1" w:lastColumn="0" w:oddVBand="0" w:evenVBand="0" w:oddHBand="0" w:evenHBand="0" w:firstRowFirstColumn="0" w:firstRowLastColumn="0" w:lastRowFirstColumn="0" w:lastRowLastColumn="0"/>
            <w:tcW w:w="0" w:type="auto"/>
          </w:tcPr>
          <w:p w:rsidRPr="00C21F2B" w:rsidR="00F33E01" w:rsidP="00FC2172" w:rsidRDefault="00F33E01" w14:paraId="74D9DEBD" w14:textId="77777777">
            <w:pPr>
              <w:pStyle w:val="SEOStandaard"/>
              <w:numPr>
                <w:ilvl w:val="0"/>
                <w:numId w:val="0"/>
              </w:numPr>
              <w:rPr>
                <w:rFonts w:ascii="Trebuchet MS" w:hAnsi="Trebuchet MS"/>
                <w:sz w:val="18"/>
                <w:szCs w:val="18"/>
              </w:rPr>
            </w:pPr>
            <w:r w:rsidRPr="00C21F2B">
              <w:rPr>
                <w:rFonts w:ascii="Trebuchet MS" w:hAnsi="Trebuchet MS"/>
                <w:sz w:val="18"/>
                <w:szCs w:val="18"/>
              </w:rPr>
              <w:t>Ja, als ontwikkelaar</w:t>
            </w:r>
          </w:p>
        </w:tc>
        <w:tc>
          <w:tcPr>
            <w:tcW w:w="0" w:type="auto"/>
          </w:tcPr>
          <w:p w:rsidRPr="00C21F2B" w:rsidR="00F33E01" w:rsidP="00FC2172" w:rsidRDefault="00F33E01" w14:paraId="6542F663"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32%</w:t>
            </w:r>
          </w:p>
        </w:tc>
        <w:tc>
          <w:tcPr>
            <w:tcW w:w="0" w:type="auto"/>
          </w:tcPr>
          <w:p w:rsidRPr="00C21F2B" w:rsidR="00F33E01" w:rsidP="00FC2172" w:rsidRDefault="00F33E01" w14:paraId="54F32C60"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37%</w:t>
            </w:r>
          </w:p>
        </w:tc>
        <w:tc>
          <w:tcPr>
            <w:tcW w:w="0" w:type="auto"/>
          </w:tcPr>
          <w:p w:rsidRPr="00C21F2B" w:rsidR="00F33E01" w:rsidP="00FC2172" w:rsidRDefault="00F33E01" w14:paraId="0FFA34BF"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17%</w:t>
            </w:r>
          </w:p>
        </w:tc>
      </w:tr>
      <w:tr w:rsidRPr="00C21F2B" w:rsidR="00F33E01" w:rsidTr="00FC2172" w14:paraId="591E79EE" w14:textId="77777777">
        <w:tc>
          <w:tcPr>
            <w:cnfStyle w:val="001000000000" w:firstRow="0" w:lastRow="0" w:firstColumn="1" w:lastColumn="0" w:oddVBand="0" w:evenVBand="0" w:oddHBand="0" w:evenHBand="0" w:firstRowFirstColumn="0" w:firstRowLastColumn="0" w:lastRowFirstColumn="0" w:lastRowLastColumn="0"/>
            <w:tcW w:w="0" w:type="auto"/>
          </w:tcPr>
          <w:p w:rsidRPr="00C21F2B" w:rsidR="00F33E01" w:rsidP="00FC2172" w:rsidRDefault="00F33E01" w14:paraId="2C1F435B" w14:textId="77777777">
            <w:pPr>
              <w:pStyle w:val="SEOStandaard"/>
              <w:numPr>
                <w:ilvl w:val="0"/>
                <w:numId w:val="0"/>
              </w:numPr>
              <w:rPr>
                <w:rFonts w:ascii="Trebuchet MS" w:hAnsi="Trebuchet MS"/>
                <w:sz w:val="18"/>
                <w:szCs w:val="18"/>
              </w:rPr>
            </w:pPr>
            <w:r w:rsidRPr="00C21F2B">
              <w:rPr>
                <w:rFonts w:ascii="Trebuchet MS" w:hAnsi="Trebuchet MS"/>
                <w:sz w:val="18"/>
                <w:szCs w:val="18"/>
              </w:rPr>
              <w:t>Ja, als organisator</w:t>
            </w:r>
          </w:p>
        </w:tc>
        <w:tc>
          <w:tcPr>
            <w:tcW w:w="0" w:type="auto"/>
          </w:tcPr>
          <w:p w:rsidRPr="00C21F2B" w:rsidR="00F33E01" w:rsidP="00FC2172" w:rsidRDefault="00F33E01" w14:paraId="4667B46D"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20%</w:t>
            </w:r>
          </w:p>
        </w:tc>
        <w:tc>
          <w:tcPr>
            <w:tcW w:w="0" w:type="auto"/>
          </w:tcPr>
          <w:p w:rsidRPr="00C21F2B" w:rsidR="00F33E01" w:rsidP="00FC2172" w:rsidRDefault="00F33E01" w14:paraId="1381A68C"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21%</w:t>
            </w:r>
          </w:p>
        </w:tc>
        <w:tc>
          <w:tcPr>
            <w:tcW w:w="0" w:type="auto"/>
          </w:tcPr>
          <w:p w:rsidRPr="00C21F2B" w:rsidR="00F33E01" w:rsidP="00FC2172" w:rsidRDefault="00F33E01" w14:paraId="6FDF0061"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17%</w:t>
            </w:r>
          </w:p>
        </w:tc>
      </w:tr>
      <w:tr w:rsidRPr="00C21F2B" w:rsidR="00F33E01" w:rsidTr="00FC2172" w14:paraId="5E6BA0F0" w14:textId="77777777">
        <w:tc>
          <w:tcPr>
            <w:cnfStyle w:val="001000000000" w:firstRow="0" w:lastRow="0" w:firstColumn="1" w:lastColumn="0" w:oddVBand="0" w:evenVBand="0" w:oddHBand="0" w:evenHBand="0" w:firstRowFirstColumn="0" w:firstRowLastColumn="0" w:lastRowFirstColumn="0" w:lastRowLastColumn="0"/>
            <w:tcW w:w="0" w:type="auto"/>
          </w:tcPr>
          <w:p w:rsidRPr="00C21F2B" w:rsidR="00F33E01" w:rsidP="00FC2172" w:rsidRDefault="00F33E01" w14:paraId="0138807F" w14:textId="77777777">
            <w:pPr>
              <w:pStyle w:val="SEOStandaard"/>
              <w:numPr>
                <w:ilvl w:val="0"/>
                <w:numId w:val="0"/>
              </w:numPr>
              <w:rPr>
                <w:rFonts w:ascii="Trebuchet MS" w:hAnsi="Trebuchet MS"/>
                <w:sz w:val="18"/>
                <w:szCs w:val="18"/>
              </w:rPr>
            </w:pPr>
            <w:r w:rsidRPr="00C21F2B">
              <w:rPr>
                <w:rFonts w:ascii="Trebuchet MS" w:hAnsi="Trebuchet MS"/>
                <w:sz w:val="18"/>
                <w:szCs w:val="18"/>
              </w:rPr>
              <w:t>Ja, in een andere rol namelijk</w:t>
            </w:r>
          </w:p>
        </w:tc>
        <w:tc>
          <w:tcPr>
            <w:tcW w:w="0" w:type="auto"/>
          </w:tcPr>
          <w:p w:rsidRPr="00C21F2B" w:rsidR="00F33E01" w:rsidP="00FC2172" w:rsidRDefault="00F33E01" w14:paraId="6FA6443A"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8%</w:t>
            </w:r>
          </w:p>
        </w:tc>
        <w:tc>
          <w:tcPr>
            <w:tcW w:w="0" w:type="auto"/>
          </w:tcPr>
          <w:p w:rsidRPr="00C21F2B" w:rsidR="00F33E01" w:rsidP="00FC2172" w:rsidRDefault="00F33E01" w14:paraId="589458D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8%</w:t>
            </w:r>
          </w:p>
        </w:tc>
        <w:tc>
          <w:tcPr>
            <w:tcW w:w="0" w:type="auto"/>
          </w:tcPr>
          <w:p w:rsidRPr="00C21F2B" w:rsidR="00F33E01" w:rsidP="00FC2172" w:rsidRDefault="00F33E01" w14:paraId="4E20E12F"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9%</w:t>
            </w:r>
          </w:p>
        </w:tc>
      </w:tr>
      <w:tr w:rsidRPr="00C21F2B" w:rsidR="00F33E01" w:rsidTr="00FC2172" w14:paraId="1BC34CDB" w14:textId="77777777">
        <w:tc>
          <w:tcPr>
            <w:cnfStyle w:val="001000000000" w:firstRow="0" w:lastRow="0" w:firstColumn="1" w:lastColumn="0" w:oddVBand="0" w:evenVBand="0" w:oddHBand="0" w:evenHBand="0" w:firstRowFirstColumn="0" w:firstRowLastColumn="0" w:lastRowFirstColumn="0" w:lastRowLastColumn="0"/>
            <w:tcW w:w="0" w:type="auto"/>
          </w:tcPr>
          <w:p w:rsidRPr="00C21F2B" w:rsidR="00F33E01" w:rsidP="00FC2172" w:rsidRDefault="00F33E01" w14:paraId="620A015C" w14:textId="77777777">
            <w:pPr>
              <w:pStyle w:val="SEOStandaard"/>
              <w:numPr>
                <w:ilvl w:val="0"/>
                <w:numId w:val="0"/>
              </w:numPr>
              <w:rPr>
                <w:rFonts w:ascii="Trebuchet MS" w:hAnsi="Trebuchet MS"/>
                <w:sz w:val="18"/>
                <w:szCs w:val="18"/>
              </w:rPr>
            </w:pPr>
            <w:r w:rsidRPr="00C21F2B">
              <w:rPr>
                <w:rFonts w:ascii="Trebuchet MS" w:hAnsi="Trebuchet MS"/>
                <w:sz w:val="18"/>
                <w:szCs w:val="18"/>
              </w:rPr>
              <w:t>Nee</w:t>
            </w:r>
          </w:p>
        </w:tc>
        <w:tc>
          <w:tcPr>
            <w:tcW w:w="0" w:type="auto"/>
          </w:tcPr>
          <w:p w:rsidRPr="00C21F2B" w:rsidR="00F33E01" w:rsidP="00FC2172" w:rsidRDefault="00F33E01" w14:paraId="34E30F0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21%</w:t>
            </w:r>
          </w:p>
        </w:tc>
        <w:tc>
          <w:tcPr>
            <w:tcW w:w="0" w:type="auto"/>
          </w:tcPr>
          <w:p w:rsidRPr="00C21F2B" w:rsidR="00F33E01" w:rsidP="00FC2172" w:rsidRDefault="00F33E01" w14:paraId="05C4228A"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13%</w:t>
            </w:r>
          </w:p>
        </w:tc>
        <w:tc>
          <w:tcPr>
            <w:tcW w:w="0" w:type="auto"/>
          </w:tcPr>
          <w:p w:rsidRPr="00C21F2B" w:rsidR="00F33E01" w:rsidP="00FC2172" w:rsidRDefault="00F33E01" w14:paraId="506DB4F0"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47%</w:t>
            </w:r>
          </w:p>
        </w:tc>
      </w:tr>
    </w:tbl>
    <w:p w:rsidRPr="00C21F2B" w:rsidR="00F33E01" w:rsidP="003C724E" w:rsidRDefault="003C724E" w14:paraId="2E683617" w14:textId="0EDD0245">
      <w:pPr>
        <w:pStyle w:val="SEOBron"/>
        <w:numPr>
          <w:ilvl w:val="0"/>
          <w:numId w:val="0"/>
        </w:numPr>
        <w:rPr>
          <w:rFonts w:ascii="Trebuchet MS" w:hAnsi="Trebuchet MS"/>
          <w:szCs w:val="18"/>
        </w:rPr>
      </w:pPr>
      <w:r>
        <w:rPr>
          <w:rFonts w:ascii="Trebuchet MS" w:hAnsi="Trebuchet MS"/>
          <w:szCs w:val="18"/>
        </w:rPr>
        <w:t xml:space="preserve">Bron: </w:t>
      </w:r>
      <w:r w:rsidRPr="00C21F2B" w:rsidR="00F33E01">
        <w:rPr>
          <w:rFonts w:ascii="Trebuchet MS" w:hAnsi="Trebuchet MS"/>
          <w:szCs w:val="18"/>
        </w:rPr>
        <w:t>Enquête lesgevenden bovenbouw vmbo (februari-mei 2025).</w:t>
      </w:r>
    </w:p>
    <w:p w:rsidRPr="003C724E" w:rsidR="00F33E01" w:rsidP="00F33E01" w:rsidRDefault="00F33E01" w14:paraId="6EEFE399" w14:textId="77777777">
      <w:pPr>
        <w:pStyle w:val="SEOStandaard"/>
        <w:numPr>
          <w:ilvl w:val="0"/>
          <w:numId w:val="0"/>
        </w:numPr>
        <w:rPr>
          <w:rFonts w:ascii="Trebuchet MS" w:hAnsi="Trebuchet MS"/>
          <w:color w:val="auto"/>
          <w:sz w:val="18"/>
          <w:szCs w:val="18"/>
        </w:rPr>
      </w:pPr>
      <w:r w:rsidRPr="003C724E">
        <w:rPr>
          <w:rFonts w:ascii="Trebuchet MS" w:hAnsi="Trebuchet MS"/>
          <w:color w:val="auto"/>
          <w:sz w:val="18"/>
          <w:szCs w:val="18"/>
        </w:rPr>
        <w:t xml:space="preserve">Een vijfde van de lesgevenden geeft aan </w:t>
      </w:r>
      <w:r w:rsidRPr="003C724E">
        <w:rPr>
          <w:rFonts w:ascii="Trebuchet MS" w:hAnsi="Trebuchet MS"/>
          <w:i/>
          <w:iCs/>
          <w:color w:val="auto"/>
          <w:sz w:val="18"/>
          <w:szCs w:val="18"/>
        </w:rPr>
        <w:t>geen</w:t>
      </w:r>
      <w:r w:rsidRPr="003C724E">
        <w:rPr>
          <w:rFonts w:ascii="Trebuchet MS" w:hAnsi="Trebuchet MS"/>
          <w:color w:val="auto"/>
          <w:sz w:val="18"/>
          <w:szCs w:val="18"/>
        </w:rPr>
        <w:t xml:space="preserve"> actieve rol te hebben bij STO-activiteiten. Dit betekent dat 8 op de 10 wel actief betrokken is, veelal als gebruiker of deelnemer. Dit wordt gevolgd door de rol van uitvoerder en ontwikkelaar. Onder de lesgevenden in een technisch vak zien we een hogere actieve betrokkenheid. Daar is iets meer dan een tiende helemaal niet actief betrokken (13%), tegenover iets minder dan de helft van de lesgevenden die geen technisch vak geven (47%). Meer dan de helft (56%) van de lesgevenden in een technisch vak is betrokken als gebruiker of deelnemer, gevolgd door uitvoerder (42%) en ontwikkelaar (37%). Bijna 1 op de 10 geeft aan actief betrokken te zijn in een andere rol. Andere rollen die hierbij genoemd worden, zijn bijvoorbeeld projectleider en schoolcoördinator. </w:t>
      </w:r>
    </w:p>
    <w:p w:rsidRPr="003C724E" w:rsidR="00F33E01" w:rsidP="00F33E01" w:rsidRDefault="00F33E01" w14:paraId="03FB5D38" w14:textId="77777777">
      <w:pPr>
        <w:pStyle w:val="SEOStandaard"/>
        <w:numPr>
          <w:ilvl w:val="0"/>
          <w:numId w:val="0"/>
        </w:numPr>
        <w:rPr>
          <w:rFonts w:ascii="Trebuchet MS" w:hAnsi="Trebuchet MS"/>
          <w:color w:val="auto"/>
          <w:sz w:val="18"/>
          <w:szCs w:val="18"/>
        </w:rPr>
      </w:pPr>
    </w:p>
    <w:p w:rsidR="00F33E01" w:rsidP="00F33E01" w:rsidRDefault="00F33E01" w14:paraId="5D33F1E7" w14:textId="22B29443">
      <w:pPr>
        <w:pStyle w:val="SEOStandaard"/>
        <w:numPr>
          <w:ilvl w:val="0"/>
          <w:numId w:val="0"/>
        </w:numPr>
        <w:rPr>
          <w:rFonts w:ascii="Trebuchet MS" w:hAnsi="Trebuchet MS"/>
          <w:color w:val="auto"/>
          <w:sz w:val="18"/>
          <w:szCs w:val="18"/>
        </w:rPr>
      </w:pPr>
      <w:r w:rsidRPr="003C724E">
        <w:rPr>
          <w:rFonts w:ascii="Trebuchet MS" w:hAnsi="Trebuchet MS"/>
          <w:color w:val="auto"/>
          <w:sz w:val="18"/>
          <w:szCs w:val="18"/>
        </w:rPr>
        <w:t xml:space="preserve">Vervolgens is gevraagd aan welke STO-activiteiten lesgevenden in de afgelopen jaren hebben deelgenomen of bijgewoond, binnen of buiten school. Deze activiteiten worden uitgesplitst in diverse activiteiten binnen de school, in de lessen of in het onderwijs, activiteiten buiten school, samenwerkingsactiviteiten met partners binnen of buiten school, professionaliseringsactiviteiten en andere activiteiten op het niveau van de STO-(project)organisatie. Tabel </w:t>
      </w:r>
      <w:r w:rsidRPr="003C724E" w:rsidR="003C724E">
        <w:rPr>
          <w:rFonts w:ascii="Trebuchet MS" w:hAnsi="Trebuchet MS"/>
          <w:color w:val="auto"/>
          <w:sz w:val="18"/>
          <w:szCs w:val="18"/>
        </w:rPr>
        <w:t>5</w:t>
      </w:r>
      <w:r w:rsidRPr="003C724E">
        <w:rPr>
          <w:rFonts w:ascii="Trebuchet MS" w:hAnsi="Trebuchet MS"/>
          <w:color w:val="auto"/>
          <w:sz w:val="18"/>
          <w:szCs w:val="18"/>
        </w:rPr>
        <w:t xml:space="preserve">.3 geeft de betrokkenheid van lesgevenden bij deze STO-activiteiten weer. </w:t>
      </w:r>
    </w:p>
    <w:p w:rsidRPr="003C724E" w:rsidR="003C724E" w:rsidP="00F33E01" w:rsidRDefault="003C724E" w14:paraId="388776C4" w14:textId="77777777">
      <w:pPr>
        <w:pStyle w:val="SEOStandaard"/>
        <w:numPr>
          <w:ilvl w:val="0"/>
          <w:numId w:val="0"/>
        </w:numPr>
        <w:rPr>
          <w:rFonts w:ascii="Trebuchet MS" w:hAnsi="Trebuchet MS"/>
          <w:color w:val="auto"/>
          <w:sz w:val="18"/>
          <w:szCs w:val="18"/>
        </w:rPr>
      </w:pPr>
    </w:p>
    <w:p w:rsidRPr="003C724E" w:rsidR="00F33E01" w:rsidP="003C724E" w:rsidRDefault="003C724E" w14:paraId="2CD40C7A" w14:textId="692AC5C6">
      <w:pPr>
        <w:pStyle w:val="Figuur"/>
        <w:rPr>
          <w:rFonts w:ascii="Trebuchet MS" w:hAnsi="Trebuchet MS" w:eastAsiaTheme="minorEastAsia" w:cstheme="minorBidi"/>
          <w:i/>
          <w:iCs/>
          <w:noProof w:val="0"/>
          <w:sz w:val="18"/>
          <w:szCs w:val="18"/>
          <w:lang w:eastAsia="en-US"/>
        </w:rPr>
      </w:pPr>
      <w:r w:rsidRPr="003C724E">
        <w:rPr>
          <w:rFonts w:ascii="Trebuchet MS" w:hAnsi="Trebuchet MS" w:eastAsiaTheme="minorEastAsia" w:cstheme="minorBidi"/>
          <w:i/>
          <w:iCs/>
          <w:noProof w:val="0"/>
          <w:sz w:val="18"/>
          <w:szCs w:val="18"/>
          <w:lang w:eastAsia="en-US"/>
        </w:rPr>
        <w:lastRenderedPageBreak/>
        <w:t xml:space="preserve">Tabel 5.3. </w:t>
      </w:r>
      <w:r w:rsidRPr="003C724E" w:rsidR="00F33E01">
        <w:rPr>
          <w:rFonts w:ascii="Trebuchet MS" w:hAnsi="Trebuchet MS" w:eastAsiaTheme="minorEastAsia" w:cstheme="minorBidi"/>
          <w:i/>
          <w:iCs/>
          <w:noProof w:val="0"/>
          <w:sz w:val="18"/>
          <w:szCs w:val="18"/>
          <w:lang w:eastAsia="en-US"/>
        </w:rPr>
        <w:t>Betrokkenheid bij STO-activiteiten, uitgesplitst naar wel of geen technisch vak</w:t>
      </w:r>
    </w:p>
    <w:tbl>
      <w:tblPr>
        <w:tblStyle w:val="SEOTabel2"/>
        <w:tblW w:w="9410" w:type="dxa"/>
        <w:tblCellMar>
          <w:top w:w="0" w:type="dxa"/>
          <w:left w:w="0" w:type="dxa"/>
          <w:bottom w:w="0" w:type="dxa"/>
          <w:right w:w="0" w:type="dxa"/>
        </w:tblCellMar>
        <w:tblLook w:val="04A0" w:firstRow="1" w:lastRow="0" w:firstColumn="1" w:lastColumn="0" w:noHBand="0" w:noVBand="1"/>
      </w:tblPr>
      <w:tblGrid>
        <w:gridCol w:w="6860"/>
        <w:gridCol w:w="850"/>
        <w:gridCol w:w="850"/>
        <w:gridCol w:w="850"/>
      </w:tblGrid>
      <w:tr w:rsidRPr="00C21F2B" w:rsidR="00F33E01" w:rsidTr="007E6CA7" w14:paraId="3023BFF9" w14:textId="77777777">
        <w:trPr>
          <w:cnfStyle w:val="100000000000" w:firstRow="1" w:lastRow="0" w:firstColumn="0" w:lastColumn="0" w:oddVBand="0" w:evenVBand="0" w:oddHBand="0" w:evenHBand="0" w:firstRowFirstColumn="0" w:firstRowLastColumn="0" w:lastRowFirstColumn="0" w:lastRowLastColumn="0"/>
          <w:cantSplit/>
          <w:trHeight w:val="1304"/>
        </w:trPr>
        <w:tc>
          <w:tcPr>
            <w:cnfStyle w:val="001000000000" w:firstRow="0" w:lastRow="0" w:firstColumn="1" w:lastColumn="0" w:oddVBand="0" w:evenVBand="0" w:oddHBand="0" w:evenHBand="0" w:firstRowFirstColumn="0" w:firstRowLastColumn="0" w:lastRowFirstColumn="0" w:lastRowLastColumn="0"/>
            <w:tcW w:w="6860" w:type="dxa"/>
            <w:vAlign w:val="center"/>
          </w:tcPr>
          <w:p w:rsidRPr="00C21F2B" w:rsidR="00F33E01" w:rsidP="00FC2172" w:rsidRDefault="00F33E01" w14:paraId="5DEF6AD4" w14:textId="77777777">
            <w:pPr>
              <w:pStyle w:val="SEOStandaard"/>
              <w:numPr>
                <w:ilvl w:val="0"/>
                <w:numId w:val="0"/>
              </w:numPr>
              <w:rPr>
                <w:rFonts w:ascii="Trebuchet MS" w:hAnsi="Trebuchet MS"/>
                <w:color w:val="FFFFFF" w:themeColor="background1"/>
                <w:sz w:val="18"/>
                <w:szCs w:val="18"/>
              </w:rPr>
            </w:pPr>
            <w:r w:rsidRPr="00C21F2B">
              <w:rPr>
                <w:rFonts w:ascii="Trebuchet MS" w:hAnsi="Trebuchet MS"/>
                <w:color w:val="FFFFFF" w:themeColor="background1"/>
                <w:sz w:val="18"/>
                <w:szCs w:val="18"/>
              </w:rPr>
              <w:t>Aan welke activiteiten in het kader van Sterk Techniekonderwijs heeft u de afgelopen jaren deelgenomen of heeft u bijgewoond?</w:t>
            </w:r>
          </w:p>
        </w:tc>
        <w:tc>
          <w:tcPr>
            <w:tcW w:w="850" w:type="dxa"/>
            <w:textDirection w:val="btLr"/>
            <w:vAlign w:val="center"/>
          </w:tcPr>
          <w:p w:rsidRPr="00C21F2B" w:rsidR="00F33E01" w:rsidP="00107F5C" w:rsidRDefault="00F33E01" w14:paraId="44E21DEF" w14:textId="39D50DCF">
            <w:pPr>
              <w:pStyle w:val="SEOStandaard"/>
              <w:numPr>
                <w:ilvl w:val="0"/>
                <w:numId w:val="0"/>
              </w:numPr>
              <w:ind w:left="113" w:right="113"/>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C21F2B">
              <w:rPr>
                <w:rFonts w:ascii="Trebuchet MS" w:hAnsi="Trebuchet MS"/>
                <w:color w:val="FFFFFF" w:themeColor="background1"/>
                <w:sz w:val="18"/>
                <w:szCs w:val="18"/>
              </w:rPr>
              <w:t>Alle</w:t>
            </w:r>
            <w:r w:rsidR="00107F5C">
              <w:rPr>
                <w:rFonts w:ascii="Trebuchet MS" w:hAnsi="Trebuchet MS"/>
                <w:color w:val="FFFFFF" w:themeColor="background1"/>
                <w:sz w:val="18"/>
                <w:szCs w:val="18"/>
              </w:rPr>
              <w:t xml:space="preserve"> </w:t>
            </w:r>
            <w:r w:rsidRPr="00C21F2B">
              <w:rPr>
                <w:rFonts w:ascii="Trebuchet MS" w:hAnsi="Trebuchet MS"/>
                <w:color w:val="FFFFFF" w:themeColor="background1"/>
                <w:sz w:val="18"/>
                <w:szCs w:val="18"/>
              </w:rPr>
              <w:t>lesgevenden (n=382)</w:t>
            </w:r>
          </w:p>
        </w:tc>
        <w:tc>
          <w:tcPr>
            <w:tcW w:w="850" w:type="dxa"/>
            <w:textDirection w:val="btLr"/>
            <w:vAlign w:val="center"/>
          </w:tcPr>
          <w:p w:rsidRPr="00C21F2B" w:rsidR="00F33E01" w:rsidP="00107F5C" w:rsidRDefault="00F33E01" w14:paraId="31A32846" w14:textId="77777777">
            <w:pPr>
              <w:pStyle w:val="SEOStandaard"/>
              <w:numPr>
                <w:ilvl w:val="0"/>
                <w:numId w:val="0"/>
              </w:numPr>
              <w:ind w:left="113" w:right="113"/>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C21F2B">
              <w:rPr>
                <w:rFonts w:ascii="Trebuchet MS" w:hAnsi="Trebuchet MS"/>
                <w:color w:val="FFFFFF" w:themeColor="background1"/>
                <w:sz w:val="18"/>
                <w:szCs w:val="18"/>
              </w:rPr>
              <w:t>Technisch vak (n=292)</w:t>
            </w:r>
          </w:p>
        </w:tc>
        <w:tc>
          <w:tcPr>
            <w:tcW w:w="850" w:type="dxa"/>
            <w:textDirection w:val="btLr"/>
            <w:vAlign w:val="center"/>
          </w:tcPr>
          <w:p w:rsidRPr="00C21F2B" w:rsidR="00F33E01" w:rsidP="00107F5C" w:rsidRDefault="00F33E01" w14:paraId="5B4CE616" w14:textId="77777777">
            <w:pPr>
              <w:pStyle w:val="SEOStandaard"/>
              <w:numPr>
                <w:ilvl w:val="0"/>
                <w:numId w:val="0"/>
              </w:numPr>
              <w:ind w:left="113" w:right="113"/>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C21F2B">
              <w:rPr>
                <w:rFonts w:ascii="Trebuchet MS" w:hAnsi="Trebuchet MS"/>
                <w:color w:val="FFFFFF" w:themeColor="background1"/>
                <w:sz w:val="18"/>
                <w:szCs w:val="18"/>
              </w:rPr>
              <w:t>Geen technisch vak (n=90)</w:t>
            </w:r>
          </w:p>
        </w:tc>
      </w:tr>
      <w:tr w:rsidRPr="00C21F2B" w:rsidR="00F33E01" w:rsidTr="007E6CA7" w14:paraId="46F6341D"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66886F19" w14:textId="7EB09853">
            <w:pPr>
              <w:pStyle w:val="SEOStandaard"/>
              <w:numPr>
                <w:ilvl w:val="0"/>
                <w:numId w:val="0"/>
              </w:numPr>
              <w:rPr>
                <w:rFonts w:ascii="Trebuchet MS" w:hAnsi="Trebuchet MS"/>
                <w:b/>
                <w:bCs/>
                <w:sz w:val="18"/>
                <w:szCs w:val="18"/>
              </w:rPr>
            </w:pPr>
            <w:r w:rsidRPr="00C21F2B">
              <w:rPr>
                <w:rFonts w:ascii="Trebuchet MS" w:hAnsi="Trebuchet MS"/>
                <w:b/>
                <w:bCs/>
                <w:sz w:val="18"/>
                <w:szCs w:val="18"/>
              </w:rPr>
              <w:t>Activiteiten binnen de school/lessen/onderwijs</w:t>
            </w:r>
          </w:p>
        </w:tc>
        <w:tc>
          <w:tcPr>
            <w:tcW w:w="850" w:type="dxa"/>
          </w:tcPr>
          <w:p w:rsidRPr="00C21F2B" w:rsidR="00F33E01" w:rsidP="00FC2172" w:rsidRDefault="00F33E01" w14:paraId="1B1B0267"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c>
          <w:tcPr>
            <w:tcW w:w="850" w:type="dxa"/>
          </w:tcPr>
          <w:p w:rsidRPr="00C21F2B" w:rsidR="00F33E01" w:rsidP="00FC2172" w:rsidRDefault="00F33E01" w14:paraId="7637E79B"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c>
          <w:tcPr>
            <w:tcW w:w="850" w:type="dxa"/>
          </w:tcPr>
          <w:p w:rsidRPr="00C21F2B" w:rsidR="00F33E01" w:rsidP="00FC2172" w:rsidRDefault="00F33E01" w14:paraId="59BD1C5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r>
      <w:tr w:rsidRPr="00C21F2B" w:rsidR="00F33E01" w:rsidTr="007E6CA7" w14:paraId="0D9E3BFF"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6E3A20F0" w14:textId="77777777">
            <w:pPr>
              <w:pStyle w:val="SEOStandaard"/>
              <w:numPr>
                <w:ilvl w:val="0"/>
                <w:numId w:val="0"/>
              </w:numPr>
              <w:rPr>
                <w:rFonts w:ascii="Trebuchet MS" w:hAnsi="Trebuchet MS"/>
                <w:sz w:val="18"/>
                <w:szCs w:val="18"/>
              </w:rPr>
            </w:pPr>
            <w:r w:rsidRPr="00C21F2B">
              <w:rPr>
                <w:rFonts w:ascii="Trebuchet MS" w:hAnsi="Trebuchet MS"/>
                <w:sz w:val="18"/>
                <w:szCs w:val="18"/>
              </w:rPr>
              <w:t>...programmatische ontwikkeling</w:t>
            </w:r>
          </w:p>
        </w:tc>
        <w:tc>
          <w:tcPr>
            <w:tcW w:w="850" w:type="dxa"/>
          </w:tcPr>
          <w:p w:rsidRPr="00C21F2B" w:rsidR="00F33E01" w:rsidP="00FC2172" w:rsidRDefault="00F33E01" w14:paraId="470E8050"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63%</w:t>
            </w:r>
          </w:p>
        </w:tc>
        <w:tc>
          <w:tcPr>
            <w:tcW w:w="850" w:type="dxa"/>
          </w:tcPr>
          <w:p w:rsidRPr="00C21F2B" w:rsidR="00F33E01" w:rsidP="00FC2172" w:rsidRDefault="00F33E01" w14:paraId="125D50E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70%*</w:t>
            </w:r>
          </w:p>
        </w:tc>
        <w:tc>
          <w:tcPr>
            <w:tcW w:w="850" w:type="dxa"/>
          </w:tcPr>
          <w:p w:rsidRPr="00C21F2B" w:rsidR="00F33E01" w:rsidP="00FC2172" w:rsidRDefault="00F33E01" w14:paraId="20F5B7F0"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40%</w:t>
            </w:r>
          </w:p>
        </w:tc>
      </w:tr>
      <w:tr w:rsidRPr="00C21F2B" w:rsidR="00F33E01" w:rsidTr="007E6CA7" w14:paraId="27038D83"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0A7055E5" w14:textId="77777777">
            <w:pPr>
              <w:pStyle w:val="SEOStandaard"/>
              <w:numPr>
                <w:ilvl w:val="0"/>
                <w:numId w:val="0"/>
              </w:numPr>
              <w:rPr>
                <w:rFonts w:ascii="Trebuchet MS" w:hAnsi="Trebuchet MS"/>
                <w:sz w:val="18"/>
                <w:szCs w:val="18"/>
              </w:rPr>
            </w:pPr>
            <w:r w:rsidRPr="00C21F2B">
              <w:rPr>
                <w:rFonts w:ascii="Trebuchet MS" w:hAnsi="Trebuchet MS"/>
                <w:sz w:val="18"/>
                <w:szCs w:val="18"/>
              </w:rPr>
              <w:t>...gastlessen of masterclasses door bedrijfsleven/branche</w:t>
            </w:r>
          </w:p>
        </w:tc>
        <w:tc>
          <w:tcPr>
            <w:tcW w:w="850" w:type="dxa"/>
          </w:tcPr>
          <w:p w:rsidRPr="00C21F2B" w:rsidR="00F33E01" w:rsidP="00FC2172" w:rsidRDefault="00F33E01" w14:paraId="129BE4C5"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39%</w:t>
            </w:r>
          </w:p>
        </w:tc>
        <w:tc>
          <w:tcPr>
            <w:tcW w:w="850" w:type="dxa"/>
          </w:tcPr>
          <w:p w:rsidRPr="00C21F2B" w:rsidR="00F33E01" w:rsidP="00FC2172" w:rsidRDefault="00F33E01" w14:paraId="01A4245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41%</w:t>
            </w:r>
          </w:p>
        </w:tc>
        <w:tc>
          <w:tcPr>
            <w:tcW w:w="850" w:type="dxa"/>
          </w:tcPr>
          <w:p w:rsidRPr="00C21F2B" w:rsidR="00F33E01" w:rsidP="00FC2172" w:rsidRDefault="00F33E01" w14:paraId="11132873"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32%</w:t>
            </w:r>
          </w:p>
        </w:tc>
      </w:tr>
      <w:tr w:rsidRPr="00C21F2B" w:rsidR="00F33E01" w:rsidTr="007E6CA7" w14:paraId="5744A596"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4E588F60" w14:textId="77777777">
            <w:pPr>
              <w:pStyle w:val="SEOStandaard"/>
              <w:numPr>
                <w:ilvl w:val="0"/>
                <w:numId w:val="0"/>
              </w:numPr>
              <w:rPr>
                <w:rFonts w:ascii="Trebuchet MS" w:hAnsi="Trebuchet MS"/>
                <w:sz w:val="18"/>
                <w:szCs w:val="18"/>
              </w:rPr>
            </w:pPr>
            <w:r w:rsidRPr="00C21F2B">
              <w:rPr>
                <w:rFonts w:ascii="Trebuchet MS" w:hAnsi="Trebuchet MS"/>
                <w:sz w:val="18"/>
                <w:szCs w:val="18"/>
              </w:rPr>
              <w:t>...(her)inrichting van technieklokaal</w:t>
            </w:r>
          </w:p>
        </w:tc>
        <w:tc>
          <w:tcPr>
            <w:tcW w:w="850" w:type="dxa"/>
          </w:tcPr>
          <w:p w:rsidRPr="00C21F2B" w:rsidR="00F33E01" w:rsidP="00FC2172" w:rsidRDefault="00F33E01" w14:paraId="3681419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55%</w:t>
            </w:r>
          </w:p>
        </w:tc>
        <w:tc>
          <w:tcPr>
            <w:tcW w:w="850" w:type="dxa"/>
          </w:tcPr>
          <w:p w:rsidRPr="00C21F2B" w:rsidR="00F33E01" w:rsidP="00FC2172" w:rsidRDefault="00F33E01" w14:paraId="17BDE24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65%*</w:t>
            </w:r>
          </w:p>
        </w:tc>
        <w:tc>
          <w:tcPr>
            <w:tcW w:w="850" w:type="dxa"/>
          </w:tcPr>
          <w:p w:rsidRPr="00C21F2B" w:rsidR="00F33E01" w:rsidP="00FC2172" w:rsidRDefault="00F33E01" w14:paraId="6A9E558B"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23%</w:t>
            </w:r>
          </w:p>
        </w:tc>
      </w:tr>
      <w:tr w:rsidRPr="00C21F2B" w:rsidR="00F33E01" w:rsidTr="007E6CA7" w14:paraId="1EBC429E"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7F916180" w14:textId="77777777">
            <w:pPr>
              <w:pStyle w:val="SEOStandaard"/>
              <w:numPr>
                <w:ilvl w:val="0"/>
                <w:numId w:val="0"/>
              </w:numPr>
              <w:rPr>
                <w:rFonts w:ascii="Trebuchet MS" w:hAnsi="Trebuchet MS"/>
                <w:sz w:val="18"/>
                <w:szCs w:val="18"/>
              </w:rPr>
            </w:pPr>
            <w:r w:rsidRPr="00C21F2B">
              <w:rPr>
                <w:rFonts w:ascii="Trebuchet MS" w:hAnsi="Trebuchet MS"/>
                <w:sz w:val="18"/>
                <w:szCs w:val="18"/>
              </w:rPr>
              <w:t>...werken aan doorlopende leerlijnen/-routes</w:t>
            </w:r>
          </w:p>
        </w:tc>
        <w:tc>
          <w:tcPr>
            <w:tcW w:w="850" w:type="dxa"/>
          </w:tcPr>
          <w:p w:rsidRPr="00C21F2B" w:rsidR="00F33E01" w:rsidP="00FC2172" w:rsidRDefault="00F33E01" w14:paraId="07566EE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45%</w:t>
            </w:r>
          </w:p>
        </w:tc>
        <w:tc>
          <w:tcPr>
            <w:tcW w:w="850" w:type="dxa"/>
          </w:tcPr>
          <w:p w:rsidRPr="00C21F2B" w:rsidR="00F33E01" w:rsidP="00FC2172" w:rsidRDefault="00F33E01" w14:paraId="19EA44A7"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50%*</w:t>
            </w:r>
          </w:p>
        </w:tc>
        <w:tc>
          <w:tcPr>
            <w:tcW w:w="850" w:type="dxa"/>
          </w:tcPr>
          <w:p w:rsidRPr="00C21F2B" w:rsidR="00F33E01" w:rsidP="00FC2172" w:rsidRDefault="00F33E01" w14:paraId="4B588A3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26%</w:t>
            </w:r>
          </w:p>
        </w:tc>
      </w:tr>
      <w:tr w:rsidRPr="00C21F2B" w:rsidR="00F33E01" w:rsidTr="007E6CA7" w14:paraId="619253C7"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375475ED" w14:textId="77777777">
            <w:pPr>
              <w:pStyle w:val="SEOStandaard"/>
              <w:numPr>
                <w:ilvl w:val="0"/>
                <w:numId w:val="0"/>
              </w:numPr>
              <w:rPr>
                <w:rFonts w:ascii="Trebuchet MS" w:hAnsi="Trebuchet MS"/>
                <w:sz w:val="18"/>
                <w:szCs w:val="18"/>
              </w:rPr>
            </w:pPr>
            <w:r w:rsidRPr="00C21F2B">
              <w:rPr>
                <w:rFonts w:ascii="Trebuchet MS" w:hAnsi="Trebuchet MS"/>
                <w:sz w:val="18"/>
                <w:szCs w:val="18"/>
              </w:rPr>
              <w:t>...andere activiteit binnen school, namelijk</w:t>
            </w:r>
          </w:p>
        </w:tc>
        <w:tc>
          <w:tcPr>
            <w:tcW w:w="850" w:type="dxa"/>
          </w:tcPr>
          <w:p w:rsidRPr="00C21F2B" w:rsidR="00F33E01" w:rsidP="00FC2172" w:rsidRDefault="00F33E01" w14:paraId="3E3CC65C"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9%</w:t>
            </w:r>
          </w:p>
        </w:tc>
        <w:tc>
          <w:tcPr>
            <w:tcW w:w="850" w:type="dxa"/>
          </w:tcPr>
          <w:p w:rsidRPr="00C21F2B" w:rsidR="00F33E01" w:rsidP="00FC2172" w:rsidRDefault="00F33E01" w14:paraId="3C929947"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7%*</w:t>
            </w:r>
          </w:p>
        </w:tc>
        <w:tc>
          <w:tcPr>
            <w:tcW w:w="850" w:type="dxa"/>
          </w:tcPr>
          <w:p w:rsidRPr="00C21F2B" w:rsidR="00F33E01" w:rsidP="00FC2172" w:rsidRDefault="00F33E01" w14:paraId="5F0F1B2C"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16%</w:t>
            </w:r>
          </w:p>
        </w:tc>
      </w:tr>
      <w:tr w:rsidRPr="00C21F2B" w:rsidR="00F33E01" w:rsidTr="007E6CA7" w14:paraId="48D70BAC"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45A4EF9B" w14:textId="19B060ED">
            <w:pPr>
              <w:pStyle w:val="SEOStandaard"/>
              <w:numPr>
                <w:ilvl w:val="0"/>
                <w:numId w:val="0"/>
              </w:numPr>
              <w:rPr>
                <w:rFonts w:ascii="Trebuchet MS" w:hAnsi="Trebuchet MS"/>
                <w:b/>
                <w:bCs/>
                <w:sz w:val="18"/>
                <w:szCs w:val="18"/>
              </w:rPr>
            </w:pPr>
            <w:r w:rsidRPr="00C21F2B">
              <w:rPr>
                <w:rFonts w:ascii="Trebuchet MS" w:hAnsi="Trebuchet MS"/>
                <w:b/>
                <w:bCs/>
                <w:sz w:val="18"/>
                <w:szCs w:val="18"/>
              </w:rPr>
              <w:t>Activiteiten buiten de school</w:t>
            </w:r>
          </w:p>
        </w:tc>
        <w:tc>
          <w:tcPr>
            <w:tcW w:w="850" w:type="dxa"/>
          </w:tcPr>
          <w:p w:rsidRPr="00C21F2B" w:rsidR="00F33E01" w:rsidP="00FC2172" w:rsidRDefault="00F33E01" w14:paraId="6388DFE1"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c>
          <w:tcPr>
            <w:tcW w:w="850" w:type="dxa"/>
          </w:tcPr>
          <w:p w:rsidRPr="00C21F2B" w:rsidR="00F33E01" w:rsidP="00FC2172" w:rsidRDefault="00F33E01" w14:paraId="15019B0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c>
          <w:tcPr>
            <w:tcW w:w="850" w:type="dxa"/>
          </w:tcPr>
          <w:p w:rsidRPr="00C21F2B" w:rsidR="00F33E01" w:rsidP="00FC2172" w:rsidRDefault="00F33E01" w14:paraId="79A4F850"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r>
      <w:tr w:rsidRPr="00C21F2B" w:rsidR="00F33E01" w:rsidTr="007E6CA7" w14:paraId="285CCC16"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7CE7B400" w14:textId="77777777">
            <w:pPr>
              <w:pStyle w:val="SEOStandaard"/>
              <w:numPr>
                <w:ilvl w:val="0"/>
                <w:numId w:val="0"/>
              </w:numPr>
              <w:rPr>
                <w:rFonts w:ascii="Trebuchet MS" w:hAnsi="Trebuchet MS"/>
                <w:sz w:val="18"/>
                <w:szCs w:val="18"/>
              </w:rPr>
            </w:pPr>
            <w:r w:rsidRPr="00C21F2B">
              <w:rPr>
                <w:rFonts w:ascii="Trebuchet MS" w:hAnsi="Trebuchet MS"/>
                <w:sz w:val="18"/>
                <w:szCs w:val="18"/>
              </w:rPr>
              <w:t>...bezoek aan evenement in regio of op school</w:t>
            </w:r>
          </w:p>
        </w:tc>
        <w:tc>
          <w:tcPr>
            <w:tcW w:w="850" w:type="dxa"/>
          </w:tcPr>
          <w:p w:rsidRPr="00C21F2B" w:rsidR="00F33E01" w:rsidP="00FC2172" w:rsidRDefault="00F33E01" w14:paraId="5FF16121"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55%</w:t>
            </w:r>
          </w:p>
        </w:tc>
        <w:tc>
          <w:tcPr>
            <w:tcW w:w="850" w:type="dxa"/>
          </w:tcPr>
          <w:p w:rsidRPr="00C21F2B" w:rsidR="00F33E01" w:rsidP="00FC2172" w:rsidRDefault="00F33E01" w14:paraId="4A281604"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59%*</w:t>
            </w:r>
          </w:p>
        </w:tc>
        <w:tc>
          <w:tcPr>
            <w:tcW w:w="850" w:type="dxa"/>
          </w:tcPr>
          <w:p w:rsidRPr="00C21F2B" w:rsidR="00F33E01" w:rsidP="00FC2172" w:rsidRDefault="00F33E01" w14:paraId="7EE167EC"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42%</w:t>
            </w:r>
          </w:p>
        </w:tc>
      </w:tr>
      <w:tr w:rsidRPr="00C21F2B" w:rsidR="00F33E01" w:rsidTr="007E6CA7" w14:paraId="495A0CC8"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0B0E2B82" w14:textId="77777777">
            <w:pPr>
              <w:pStyle w:val="SEOStandaard"/>
              <w:numPr>
                <w:ilvl w:val="0"/>
                <w:numId w:val="0"/>
              </w:numPr>
              <w:rPr>
                <w:rFonts w:ascii="Trebuchet MS" w:hAnsi="Trebuchet MS"/>
                <w:sz w:val="18"/>
                <w:szCs w:val="18"/>
              </w:rPr>
            </w:pPr>
            <w:r w:rsidRPr="00C21F2B">
              <w:rPr>
                <w:rFonts w:ascii="Trebuchet MS" w:hAnsi="Trebuchet MS"/>
                <w:sz w:val="18"/>
                <w:szCs w:val="18"/>
              </w:rPr>
              <w:t>...bezoek met leerlingen aan voorzieningen</w:t>
            </w:r>
          </w:p>
        </w:tc>
        <w:tc>
          <w:tcPr>
            <w:tcW w:w="850" w:type="dxa"/>
          </w:tcPr>
          <w:p w:rsidRPr="00C21F2B" w:rsidR="00F33E01" w:rsidP="00FC2172" w:rsidRDefault="00F33E01" w14:paraId="39A7C097"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36%</w:t>
            </w:r>
          </w:p>
        </w:tc>
        <w:tc>
          <w:tcPr>
            <w:tcW w:w="850" w:type="dxa"/>
          </w:tcPr>
          <w:p w:rsidRPr="00C21F2B" w:rsidR="00F33E01" w:rsidP="00FC2172" w:rsidRDefault="00F33E01" w14:paraId="73943AB1"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39%*</w:t>
            </w:r>
          </w:p>
        </w:tc>
        <w:tc>
          <w:tcPr>
            <w:tcW w:w="850" w:type="dxa"/>
          </w:tcPr>
          <w:p w:rsidRPr="00C21F2B" w:rsidR="00F33E01" w:rsidP="00FC2172" w:rsidRDefault="00F33E01" w14:paraId="189C9057"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27%</w:t>
            </w:r>
          </w:p>
        </w:tc>
      </w:tr>
      <w:tr w:rsidRPr="00C21F2B" w:rsidR="00F33E01" w:rsidTr="007E6CA7" w14:paraId="7F0271D1"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1EA930D2" w14:textId="77777777">
            <w:pPr>
              <w:pStyle w:val="SEOStandaard"/>
              <w:numPr>
                <w:ilvl w:val="0"/>
                <w:numId w:val="0"/>
              </w:numPr>
              <w:rPr>
                <w:rFonts w:ascii="Trebuchet MS" w:hAnsi="Trebuchet MS"/>
                <w:sz w:val="18"/>
                <w:szCs w:val="18"/>
              </w:rPr>
            </w:pPr>
            <w:r w:rsidRPr="00C21F2B">
              <w:rPr>
                <w:rFonts w:ascii="Trebuchet MS" w:hAnsi="Trebuchet MS"/>
                <w:sz w:val="18"/>
                <w:szCs w:val="18"/>
              </w:rPr>
              <w:t>...bedrijfsbezoek of bezoeken aan instellingen</w:t>
            </w:r>
          </w:p>
        </w:tc>
        <w:tc>
          <w:tcPr>
            <w:tcW w:w="850" w:type="dxa"/>
          </w:tcPr>
          <w:p w:rsidRPr="00C21F2B" w:rsidR="00F33E01" w:rsidP="00FC2172" w:rsidRDefault="00F33E01" w14:paraId="5BC2ABCC"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63%</w:t>
            </w:r>
          </w:p>
        </w:tc>
        <w:tc>
          <w:tcPr>
            <w:tcW w:w="850" w:type="dxa"/>
          </w:tcPr>
          <w:p w:rsidRPr="00C21F2B" w:rsidR="00F33E01" w:rsidP="00FC2172" w:rsidRDefault="00F33E01" w14:paraId="5645A433"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70%*</w:t>
            </w:r>
          </w:p>
        </w:tc>
        <w:tc>
          <w:tcPr>
            <w:tcW w:w="850" w:type="dxa"/>
          </w:tcPr>
          <w:p w:rsidRPr="00C21F2B" w:rsidR="00F33E01" w:rsidP="00FC2172" w:rsidRDefault="00F33E01" w14:paraId="48B9125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42%</w:t>
            </w:r>
          </w:p>
        </w:tc>
      </w:tr>
      <w:tr w:rsidRPr="00C21F2B" w:rsidR="00F33E01" w:rsidTr="007E6CA7" w14:paraId="1AF483A1"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1BD55EAE" w14:textId="77777777">
            <w:pPr>
              <w:pStyle w:val="SEOStandaard"/>
              <w:numPr>
                <w:ilvl w:val="0"/>
                <w:numId w:val="0"/>
              </w:numPr>
              <w:rPr>
                <w:rFonts w:ascii="Trebuchet MS" w:hAnsi="Trebuchet MS"/>
                <w:sz w:val="18"/>
                <w:szCs w:val="18"/>
              </w:rPr>
            </w:pPr>
            <w:r w:rsidRPr="00C21F2B">
              <w:rPr>
                <w:rFonts w:ascii="Trebuchet MS" w:hAnsi="Trebuchet MS"/>
                <w:sz w:val="18"/>
                <w:szCs w:val="18"/>
              </w:rPr>
              <w:t>...lesactiviteiten voor basisschoollln op basisschool</w:t>
            </w:r>
          </w:p>
        </w:tc>
        <w:tc>
          <w:tcPr>
            <w:tcW w:w="850" w:type="dxa"/>
          </w:tcPr>
          <w:p w:rsidRPr="00C21F2B" w:rsidR="00F33E01" w:rsidP="00FC2172" w:rsidRDefault="00F33E01" w14:paraId="639E0782"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21%</w:t>
            </w:r>
          </w:p>
        </w:tc>
        <w:tc>
          <w:tcPr>
            <w:tcW w:w="850" w:type="dxa"/>
          </w:tcPr>
          <w:p w:rsidRPr="00C21F2B" w:rsidR="00F33E01" w:rsidP="00FC2172" w:rsidRDefault="00F33E01" w14:paraId="4092FF50"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23%*</w:t>
            </w:r>
          </w:p>
        </w:tc>
        <w:tc>
          <w:tcPr>
            <w:tcW w:w="850" w:type="dxa"/>
          </w:tcPr>
          <w:p w:rsidRPr="00C21F2B" w:rsidR="00F33E01" w:rsidP="00FC2172" w:rsidRDefault="00F33E01" w14:paraId="625967EB"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12%</w:t>
            </w:r>
          </w:p>
        </w:tc>
      </w:tr>
      <w:tr w:rsidRPr="00C21F2B" w:rsidR="00F33E01" w:rsidTr="007E6CA7" w14:paraId="7F2A7ABB"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316A887D" w14:textId="77777777">
            <w:pPr>
              <w:pStyle w:val="SEOStandaard"/>
              <w:numPr>
                <w:ilvl w:val="0"/>
                <w:numId w:val="0"/>
              </w:numPr>
              <w:rPr>
                <w:rFonts w:ascii="Trebuchet MS" w:hAnsi="Trebuchet MS"/>
                <w:sz w:val="18"/>
                <w:szCs w:val="18"/>
              </w:rPr>
            </w:pPr>
            <w:r w:rsidRPr="00C21F2B">
              <w:rPr>
                <w:rFonts w:ascii="Trebuchet MS" w:hAnsi="Trebuchet MS"/>
                <w:sz w:val="18"/>
                <w:szCs w:val="18"/>
              </w:rPr>
              <w:t>...lesactiviteiten voor basisschoollln op regionale voorziening</w:t>
            </w:r>
          </w:p>
        </w:tc>
        <w:tc>
          <w:tcPr>
            <w:tcW w:w="850" w:type="dxa"/>
          </w:tcPr>
          <w:p w:rsidRPr="00C21F2B" w:rsidR="00F33E01" w:rsidP="00FC2172" w:rsidRDefault="00F33E01" w14:paraId="5F02E472"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7%</w:t>
            </w:r>
          </w:p>
        </w:tc>
        <w:tc>
          <w:tcPr>
            <w:tcW w:w="850" w:type="dxa"/>
          </w:tcPr>
          <w:p w:rsidRPr="00C21F2B" w:rsidR="00F33E01" w:rsidP="00FC2172" w:rsidRDefault="00F33E01" w14:paraId="0D02DCBB"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7%</w:t>
            </w:r>
          </w:p>
        </w:tc>
        <w:tc>
          <w:tcPr>
            <w:tcW w:w="850" w:type="dxa"/>
          </w:tcPr>
          <w:p w:rsidRPr="00C21F2B" w:rsidR="00F33E01" w:rsidP="00FC2172" w:rsidRDefault="00F33E01" w14:paraId="41DABA51"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6%</w:t>
            </w:r>
          </w:p>
        </w:tc>
      </w:tr>
      <w:tr w:rsidRPr="00C21F2B" w:rsidR="00F33E01" w:rsidTr="007E6CA7" w14:paraId="7FBCEA97"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1BB358D0" w14:textId="77777777">
            <w:pPr>
              <w:pStyle w:val="SEOStandaard"/>
              <w:numPr>
                <w:ilvl w:val="0"/>
                <w:numId w:val="0"/>
              </w:numPr>
              <w:rPr>
                <w:rFonts w:ascii="Trebuchet MS" w:hAnsi="Trebuchet MS"/>
                <w:sz w:val="18"/>
                <w:szCs w:val="18"/>
              </w:rPr>
            </w:pPr>
            <w:r w:rsidRPr="00C21F2B">
              <w:rPr>
                <w:rFonts w:ascii="Trebuchet MS" w:hAnsi="Trebuchet MS"/>
                <w:sz w:val="18"/>
                <w:szCs w:val="18"/>
              </w:rPr>
              <w:t>...lesactiviteiten voor basisschoollln op vmbo-school</w:t>
            </w:r>
          </w:p>
        </w:tc>
        <w:tc>
          <w:tcPr>
            <w:tcW w:w="850" w:type="dxa"/>
          </w:tcPr>
          <w:p w:rsidRPr="00C21F2B" w:rsidR="00F33E01" w:rsidP="00FC2172" w:rsidRDefault="00F33E01" w14:paraId="4A62E73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38%</w:t>
            </w:r>
          </w:p>
        </w:tc>
        <w:tc>
          <w:tcPr>
            <w:tcW w:w="850" w:type="dxa"/>
          </w:tcPr>
          <w:p w:rsidRPr="00C21F2B" w:rsidR="00F33E01" w:rsidP="00FC2172" w:rsidRDefault="00F33E01" w14:paraId="4F4D505F"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44%*</w:t>
            </w:r>
          </w:p>
        </w:tc>
        <w:tc>
          <w:tcPr>
            <w:tcW w:w="850" w:type="dxa"/>
          </w:tcPr>
          <w:p w:rsidRPr="00C21F2B" w:rsidR="00F33E01" w:rsidP="00FC2172" w:rsidRDefault="00F33E01" w14:paraId="64111E1B"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20%</w:t>
            </w:r>
          </w:p>
        </w:tc>
      </w:tr>
      <w:tr w:rsidRPr="00C21F2B" w:rsidR="00F33E01" w:rsidTr="007E6CA7" w14:paraId="25CCA640"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0D809B91" w14:textId="77777777">
            <w:pPr>
              <w:pStyle w:val="SEOStandaard"/>
              <w:numPr>
                <w:ilvl w:val="0"/>
                <w:numId w:val="0"/>
              </w:numPr>
              <w:rPr>
                <w:rFonts w:ascii="Trebuchet MS" w:hAnsi="Trebuchet MS"/>
                <w:sz w:val="18"/>
                <w:szCs w:val="18"/>
              </w:rPr>
            </w:pPr>
            <w:r w:rsidRPr="00C21F2B">
              <w:rPr>
                <w:rFonts w:ascii="Trebuchet MS" w:hAnsi="Trebuchet MS"/>
                <w:sz w:val="18"/>
                <w:szCs w:val="18"/>
              </w:rPr>
              <w:t>...praktijkopdrachten/projecten voor leerlingen</w:t>
            </w:r>
          </w:p>
        </w:tc>
        <w:tc>
          <w:tcPr>
            <w:tcW w:w="850" w:type="dxa"/>
          </w:tcPr>
          <w:p w:rsidRPr="00C21F2B" w:rsidR="00F33E01" w:rsidP="00FC2172" w:rsidRDefault="00F33E01" w14:paraId="19DCD522"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52%</w:t>
            </w:r>
          </w:p>
        </w:tc>
        <w:tc>
          <w:tcPr>
            <w:tcW w:w="850" w:type="dxa"/>
          </w:tcPr>
          <w:p w:rsidRPr="00C21F2B" w:rsidR="00F33E01" w:rsidP="00FC2172" w:rsidRDefault="00F33E01" w14:paraId="47E92975"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58%*</w:t>
            </w:r>
          </w:p>
        </w:tc>
        <w:tc>
          <w:tcPr>
            <w:tcW w:w="850" w:type="dxa"/>
          </w:tcPr>
          <w:p w:rsidRPr="00C21F2B" w:rsidR="00F33E01" w:rsidP="00FC2172" w:rsidRDefault="00F33E01" w14:paraId="56E83882"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32%</w:t>
            </w:r>
          </w:p>
        </w:tc>
      </w:tr>
      <w:tr w:rsidRPr="00C21F2B" w:rsidR="00F33E01" w:rsidTr="007E6CA7" w14:paraId="6124E141"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3712A29E" w14:textId="77777777">
            <w:pPr>
              <w:pStyle w:val="SEOStandaard"/>
              <w:numPr>
                <w:ilvl w:val="0"/>
                <w:numId w:val="0"/>
              </w:numPr>
              <w:rPr>
                <w:rFonts w:ascii="Trebuchet MS" w:hAnsi="Trebuchet MS"/>
                <w:sz w:val="18"/>
                <w:szCs w:val="18"/>
              </w:rPr>
            </w:pPr>
            <w:r w:rsidRPr="00C21F2B">
              <w:rPr>
                <w:rFonts w:ascii="Trebuchet MS" w:hAnsi="Trebuchet MS"/>
                <w:sz w:val="18"/>
                <w:szCs w:val="18"/>
              </w:rPr>
              <w:t>...gebruik van technische inventaris etc buiten eigen school</w:t>
            </w:r>
          </w:p>
        </w:tc>
        <w:tc>
          <w:tcPr>
            <w:tcW w:w="850" w:type="dxa"/>
          </w:tcPr>
          <w:p w:rsidRPr="00C21F2B" w:rsidR="00F33E01" w:rsidP="00FC2172" w:rsidRDefault="00F33E01" w14:paraId="60F5582B"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32%</w:t>
            </w:r>
          </w:p>
        </w:tc>
        <w:tc>
          <w:tcPr>
            <w:tcW w:w="850" w:type="dxa"/>
          </w:tcPr>
          <w:p w:rsidRPr="00C21F2B" w:rsidR="00F33E01" w:rsidP="00FC2172" w:rsidRDefault="00F33E01" w14:paraId="3F44627B"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35%*</w:t>
            </w:r>
          </w:p>
        </w:tc>
        <w:tc>
          <w:tcPr>
            <w:tcW w:w="850" w:type="dxa"/>
          </w:tcPr>
          <w:p w:rsidRPr="00C21F2B" w:rsidR="00F33E01" w:rsidP="00FC2172" w:rsidRDefault="00F33E01" w14:paraId="3D82E200"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21%</w:t>
            </w:r>
          </w:p>
        </w:tc>
      </w:tr>
      <w:tr w:rsidRPr="00C21F2B" w:rsidR="00F33E01" w:rsidTr="007E6CA7" w14:paraId="1FB4C654"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5EE270D9" w14:textId="77777777">
            <w:pPr>
              <w:pStyle w:val="SEOStandaard"/>
              <w:numPr>
                <w:ilvl w:val="0"/>
                <w:numId w:val="0"/>
              </w:numPr>
              <w:rPr>
                <w:rFonts w:ascii="Trebuchet MS" w:hAnsi="Trebuchet MS"/>
                <w:sz w:val="18"/>
                <w:szCs w:val="18"/>
              </w:rPr>
            </w:pPr>
            <w:r w:rsidRPr="00C21F2B">
              <w:rPr>
                <w:rFonts w:ascii="Trebuchet MS" w:hAnsi="Trebuchet MS"/>
                <w:sz w:val="18"/>
                <w:szCs w:val="18"/>
              </w:rPr>
              <w:t>...andere activiteit buiten de school, namelijk</w:t>
            </w:r>
          </w:p>
        </w:tc>
        <w:tc>
          <w:tcPr>
            <w:tcW w:w="850" w:type="dxa"/>
          </w:tcPr>
          <w:p w:rsidRPr="00C21F2B" w:rsidR="00F33E01" w:rsidP="00FC2172" w:rsidRDefault="00F33E01" w14:paraId="301026CD"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w:t>
            </w:r>
          </w:p>
        </w:tc>
        <w:tc>
          <w:tcPr>
            <w:tcW w:w="850" w:type="dxa"/>
          </w:tcPr>
          <w:p w:rsidRPr="00C21F2B" w:rsidR="00F33E01" w:rsidP="00FC2172" w:rsidRDefault="00F33E01" w14:paraId="76AD4483"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w:t>
            </w:r>
          </w:p>
        </w:tc>
        <w:tc>
          <w:tcPr>
            <w:tcW w:w="850" w:type="dxa"/>
          </w:tcPr>
          <w:p w:rsidRPr="00C21F2B" w:rsidR="00F33E01" w:rsidP="00FC2172" w:rsidRDefault="00F33E01" w14:paraId="702A3EB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6%</w:t>
            </w:r>
          </w:p>
        </w:tc>
      </w:tr>
      <w:tr w:rsidRPr="00C21F2B" w:rsidR="00F33E01" w:rsidTr="007E6CA7" w14:paraId="72BE178D"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752941E1" w14:textId="79A66143">
            <w:pPr>
              <w:pStyle w:val="SEOStandaard"/>
              <w:numPr>
                <w:ilvl w:val="0"/>
                <w:numId w:val="0"/>
              </w:numPr>
              <w:rPr>
                <w:rFonts w:ascii="Trebuchet MS" w:hAnsi="Trebuchet MS"/>
                <w:b/>
                <w:bCs/>
                <w:sz w:val="18"/>
                <w:szCs w:val="18"/>
              </w:rPr>
            </w:pPr>
            <w:r w:rsidRPr="00C21F2B">
              <w:rPr>
                <w:rFonts w:ascii="Trebuchet MS" w:hAnsi="Trebuchet MS"/>
                <w:b/>
                <w:bCs/>
                <w:sz w:val="18"/>
                <w:szCs w:val="18"/>
              </w:rPr>
              <w:t>Samenwerkingsactiviteiten met partners binnen/buiten de school</w:t>
            </w:r>
          </w:p>
        </w:tc>
        <w:tc>
          <w:tcPr>
            <w:tcW w:w="850" w:type="dxa"/>
          </w:tcPr>
          <w:p w:rsidRPr="00C21F2B" w:rsidR="00F33E01" w:rsidP="00FC2172" w:rsidRDefault="00F33E01" w14:paraId="4AD14BE0"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c>
          <w:tcPr>
            <w:tcW w:w="850" w:type="dxa"/>
          </w:tcPr>
          <w:p w:rsidRPr="00C21F2B" w:rsidR="00F33E01" w:rsidP="00FC2172" w:rsidRDefault="00F33E01" w14:paraId="5A58A305"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c>
          <w:tcPr>
            <w:tcW w:w="850" w:type="dxa"/>
          </w:tcPr>
          <w:p w:rsidRPr="00C21F2B" w:rsidR="00F33E01" w:rsidP="00FC2172" w:rsidRDefault="00F33E01" w14:paraId="1572DE12"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r>
      <w:tr w:rsidRPr="00C21F2B" w:rsidR="00F33E01" w:rsidTr="007E6CA7" w14:paraId="66158072"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019A7337" w14:textId="77777777">
            <w:pPr>
              <w:pStyle w:val="SEOStandaard"/>
              <w:numPr>
                <w:ilvl w:val="0"/>
                <w:numId w:val="0"/>
              </w:numPr>
              <w:rPr>
                <w:rFonts w:ascii="Trebuchet MS" w:hAnsi="Trebuchet MS"/>
                <w:sz w:val="18"/>
                <w:szCs w:val="18"/>
              </w:rPr>
            </w:pPr>
            <w:r w:rsidRPr="00C21F2B">
              <w:rPr>
                <w:rFonts w:ascii="Trebuchet MS" w:hAnsi="Trebuchet MS"/>
                <w:sz w:val="18"/>
                <w:szCs w:val="18"/>
              </w:rPr>
              <w:t>...samenwerk.act. met docenten technische profielen binnen school</w:t>
            </w:r>
          </w:p>
        </w:tc>
        <w:tc>
          <w:tcPr>
            <w:tcW w:w="850" w:type="dxa"/>
          </w:tcPr>
          <w:p w:rsidRPr="00C21F2B" w:rsidR="00F33E01" w:rsidP="00FC2172" w:rsidRDefault="00F33E01" w14:paraId="1D42A32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64%</w:t>
            </w:r>
          </w:p>
        </w:tc>
        <w:tc>
          <w:tcPr>
            <w:tcW w:w="850" w:type="dxa"/>
          </w:tcPr>
          <w:p w:rsidRPr="00C21F2B" w:rsidR="00F33E01" w:rsidP="00FC2172" w:rsidRDefault="00F33E01" w14:paraId="207AD6E8"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72%*</w:t>
            </w:r>
          </w:p>
        </w:tc>
        <w:tc>
          <w:tcPr>
            <w:tcW w:w="850" w:type="dxa"/>
          </w:tcPr>
          <w:p w:rsidRPr="00C21F2B" w:rsidR="00F33E01" w:rsidP="00FC2172" w:rsidRDefault="00F33E01" w14:paraId="2393544B"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38%</w:t>
            </w:r>
          </w:p>
        </w:tc>
      </w:tr>
      <w:tr w:rsidRPr="00C21F2B" w:rsidR="00F33E01" w:rsidTr="007E6CA7" w14:paraId="73DBCF1A"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61ED8AA3" w14:textId="77777777">
            <w:pPr>
              <w:pStyle w:val="SEOStandaard"/>
              <w:numPr>
                <w:ilvl w:val="0"/>
                <w:numId w:val="0"/>
              </w:numPr>
              <w:rPr>
                <w:rFonts w:ascii="Trebuchet MS" w:hAnsi="Trebuchet MS"/>
                <w:sz w:val="18"/>
                <w:szCs w:val="18"/>
              </w:rPr>
            </w:pPr>
            <w:r w:rsidRPr="00C21F2B">
              <w:rPr>
                <w:rFonts w:ascii="Trebuchet MS" w:hAnsi="Trebuchet MS"/>
                <w:sz w:val="18"/>
                <w:szCs w:val="18"/>
              </w:rPr>
              <w:t>...samenwerk.act. met docenten niet-techn. profielen binnen school</w:t>
            </w:r>
          </w:p>
        </w:tc>
        <w:tc>
          <w:tcPr>
            <w:tcW w:w="850" w:type="dxa"/>
          </w:tcPr>
          <w:p w:rsidRPr="00C21F2B" w:rsidR="00F33E01" w:rsidP="00FC2172" w:rsidRDefault="00F33E01" w14:paraId="70EC830D"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30%</w:t>
            </w:r>
          </w:p>
        </w:tc>
        <w:tc>
          <w:tcPr>
            <w:tcW w:w="850" w:type="dxa"/>
          </w:tcPr>
          <w:p w:rsidRPr="00C21F2B" w:rsidR="00F33E01" w:rsidP="00FC2172" w:rsidRDefault="00F33E01" w14:paraId="3C6C82E2"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32%</w:t>
            </w:r>
          </w:p>
        </w:tc>
        <w:tc>
          <w:tcPr>
            <w:tcW w:w="850" w:type="dxa"/>
          </w:tcPr>
          <w:p w:rsidRPr="00C21F2B" w:rsidR="00F33E01" w:rsidP="00FC2172" w:rsidRDefault="00F33E01" w14:paraId="29E5E701"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26%</w:t>
            </w:r>
          </w:p>
        </w:tc>
      </w:tr>
      <w:tr w:rsidRPr="00C21F2B" w:rsidR="00F33E01" w:rsidTr="007E6CA7" w14:paraId="2787326F"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52A50C0F" w14:textId="77777777">
            <w:pPr>
              <w:pStyle w:val="SEOStandaard"/>
              <w:numPr>
                <w:ilvl w:val="0"/>
                <w:numId w:val="0"/>
              </w:numPr>
              <w:rPr>
                <w:rFonts w:ascii="Trebuchet MS" w:hAnsi="Trebuchet MS"/>
                <w:sz w:val="18"/>
                <w:szCs w:val="18"/>
              </w:rPr>
            </w:pPr>
            <w:r w:rsidRPr="00C21F2B">
              <w:rPr>
                <w:rFonts w:ascii="Trebuchet MS" w:hAnsi="Trebuchet MS"/>
                <w:sz w:val="18"/>
                <w:szCs w:val="18"/>
              </w:rPr>
              <w:t>...samenwerk.act. met docenten van andere vmbo-scholen</w:t>
            </w:r>
          </w:p>
        </w:tc>
        <w:tc>
          <w:tcPr>
            <w:tcW w:w="850" w:type="dxa"/>
          </w:tcPr>
          <w:p w:rsidRPr="00C21F2B" w:rsidR="00F33E01" w:rsidP="00FC2172" w:rsidRDefault="00F33E01" w14:paraId="20CC7FC8"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49%</w:t>
            </w:r>
          </w:p>
        </w:tc>
        <w:tc>
          <w:tcPr>
            <w:tcW w:w="850" w:type="dxa"/>
          </w:tcPr>
          <w:p w:rsidRPr="00C21F2B" w:rsidR="00F33E01" w:rsidP="00FC2172" w:rsidRDefault="00F33E01" w14:paraId="604ED773"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56%*</w:t>
            </w:r>
          </w:p>
        </w:tc>
        <w:tc>
          <w:tcPr>
            <w:tcW w:w="850" w:type="dxa"/>
          </w:tcPr>
          <w:p w:rsidRPr="00C21F2B" w:rsidR="00F33E01" w:rsidP="00FC2172" w:rsidRDefault="00F33E01" w14:paraId="4BAC2EAB"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27%</w:t>
            </w:r>
          </w:p>
        </w:tc>
      </w:tr>
      <w:tr w:rsidRPr="00C21F2B" w:rsidR="00F33E01" w:rsidTr="007E6CA7" w14:paraId="21218388"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08A69DC6" w14:textId="77777777">
            <w:pPr>
              <w:pStyle w:val="SEOStandaard"/>
              <w:numPr>
                <w:ilvl w:val="0"/>
                <w:numId w:val="0"/>
              </w:numPr>
              <w:rPr>
                <w:rFonts w:ascii="Trebuchet MS" w:hAnsi="Trebuchet MS"/>
                <w:sz w:val="18"/>
                <w:szCs w:val="18"/>
              </w:rPr>
            </w:pPr>
            <w:r w:rsidRPr="00C21F2B">
              <w:rPr>
                <w:rFonts w:ascii="Trebuchet MS" w:hAnsi="Trebuchet MS"/>
                <w:sz w:val="18"/>
                <w:szCs w:val="18"/>
              </w:rPr>
              <w:t>...samenwerk.act. met po-docenten</w:t>
            </w:r>
          </w:p>
        </w:tc>
        <w:tc>
          <w:tcPr>
            <w:tcW w:w="850" w:type="dxa"/>
          </w:tcPr>
          <w:p w:rsidRPr="00C21F2B" w:rsidR="00F33E01" w:rsidP="00FC2172" w:rsidRDefault="00F33E01" w14:paraId="7AFF796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16%</w:t>
            </w:r>
          </w:p>
        </w:tc>
        <w:tc>
          <w:tcPr>
            <w:tcW w:w="850" w:type="dxa"/>
          </w:tcPr>
          <w:p w:rsidRPr="00C21F2B" w:rsidR="00F33E01" w:rsidP="00FC2172" w:rsidRDefault="00F33E01" w14:paraId="35E1B21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18%</w:t>
            </w:r>
          </w:p>
        </w:tc>
        <w:tc>
          <w:tcPr>
            <w:tcW w:w="850" w:type="dxa"/>
          </w:tcPr>
          <w:p w:rsidRPr="00C21F2B" w:rsidR="00F33E01" w:rsidP="00FC2172" w:rsidRDefault="00F33E01" w14:paraId="2E7A33C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12%</w:t>
            </w:r>
          </w:p>
        </w:tc>
      </w:tr>
      <w:tr w:rsidRPr="00C21F2B" w:rsidR="00F33E01" w:rsidTr="007E6CA7" w14:paraId="425FB218"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1DBFC642" w14:textId="77777777">
            <w:pPr>
              <w:pStyle w:val="SEOStandaard"/>
              <w:numPr>
                <w:ilvl w:val="0"/>
                <w:numId w:val="0"/>
              </w:numPr>
              <w:rPr>
                <w:rFonts w:ascii="Trebuchet MS" w:hAnsi="Trebuchet MS"/>
                <w:sz w:val="18"/>
                <w:szCs w:val="18"/>
              </w:rPr>
            </w:pPr>
            <w:r w:rsidRPr="00C21F2B">
              <w:rPr>
                <w:rFonts w:ascii="Trebuchet MS" w:hAnsi="Trebuchet MS"/>
                <w:sz w:val="18"/>
                <w:szCs w:val="18"/>
              </w:rPr>
              <w:t>...samenwerk.act. met docenten vso- of praktijkonderwijs</w:t>
            </w:r>
          </w:p>
        </w:tc>
        <w:tc>
          <w:tcPr>
            <w:tcW w:w="850" w:type="dxa"/>
          </w:tcPr>
          <w:p w:rsidRPr="00C21F2B" w:rsidR="00F33E01" w:rsidP="00FC2172" w:rsidRDefault="00F33E01" w14:paraId="6125A140"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17%</w:t>
            </w:r>
          </w:p>
        </w:tc>
        <w:tc>
          <w:tcPr>
            <w:tcW w:w="850" w:type="dxa"/>
          </w:tcPr>
          <w:p w:rsidRPr="00C21F2B" w:rsidR="00F33E01" w:rsidP="00FC2172" w:rsidRDefault="00F33E01" w14:paraId="7BA7F4D4"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17%</w:t>
            </w:r>
          </w:p>
        </w:tc>
        <w:tc>
          <w:tcPr>
            <w:tcW w:w="850" w:type="dxa"/>
          </w:tcPr>
          <w:p w:rsidRPr="00C21F2B" w:rsidR="00F33E01" w:rsidP="00FC2172" w:rsidRDefault="00F33E01" w14:paraId="75686E63"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14%</w:t>
            </w:r>
          </w:p>
        </w:tc>
      </w:tr>
      <w:tr w:rsidRPr="00C21F2B" w:rsidR="00F33E01" w:rsidTr="007E6CA7" w14:paraId="52632464"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6C400C5F" w14:textId="77777777">
            <w:pPr>
              <w:pStyle w:val="SEOStandaard"/>
              <w:numPr>
                <w:ilvl w:val="0"/>
                <w:numId w:val="0"/>
              </w:numPr>
              <w:rPr>
                <w:rFonts w:ascii="Trebuchet MS" w:hAnsi="Trebuchet MS"/>
                <w:sz w:val="18"/>
                <w:szCs w:val="18"/>
              </w:rPr>
            </w:pPr>
            <w:r w:rsidRPr="00C21F2B">
              <w:rPr>
                <w:rFonts w:ascii="Trebuchet MS" w:hAnsi="Trebuchet MS"/>
                <w:sz w:val="18"/>
                <w:szCs w:val="18"/>
              </w:rPr>
              <w:t>...samenwerk.act. met mbo-docenten</w:t>
            </w:r>
          </w:p>
        </w:tc>
        <w:tc>
          <w:tcPr>
            <w:tcW w:w="850" w:type="dxa"/>
          </w:tcPr>
          <w:p w:rsidRPr="00C21F2B" w:rsidR="00F33E01" w:rsidP="00FC2172" w:rsidRDefault="00F33E01" w14:paraId="7027878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42%</w:t>
            </w:r>
          </w:p>
        </w:tc>
        <w:tc>
          <w:tcPr>
            <w:tcW w:w="850" w:type="dxa"/>
          </w:tcPr>
          <w:p w:rsidRPr="00C21F2B" w:rsidR="00F33E01" w:rsidP="00FC2172" w:rsidRDefault="00F33E01" w14:paraId="378833EB"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48%*</w:t>
            </w:r>
          </w:p>
        </w:tc>
        <w:tc>
          <w:tcPr>
            <w:tcW w:w="850" w:type="dxa"/>
          </w:tcPr>
          <w:p w:rsidRPr="00C21F2B" w:rsidR="00F33E01" w:rsidP="00FC2172" w:rsidRDefault="00F33E01" w14:paraId="7F3C966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24%</w:t>
            </w:r>
          </w:p>
        </w:tc>
      </w:tr>
      <w:tr w:rsidRPr="00C21F2B" w:rsidR="00F33E01" w:rsidTr="007E6CA7" w14:paraId="73C7708C"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4078000C" w14:textId="77777777">
            <w:pPr>
              <w:pStyle w:val="SEOStandaard"/>
              <w:numPr>
                <w:ilvl w:val="0"/>
                <w:numId w:val="0"/>
              </w:numPr>
              <w:rPr>
                <w:rFonts w:ascii="Trebuchet MS" w:hAnsi="Trebuchet MS"/>
                <w:sz w:val="18"/>
                <w:szCs w:val="18"/>
              </w:rPr>
            </w:pPr>
            <w:r w:rsidRPr="00C21F2B">
              <w:rPr>
                <w:rFonts w:ascii="Trebuchet MS" w:hAnsi="Trebuchet MS"/>
                <w:sz w:val="18"/>
                <w:szCs w:val="18"/>
              </w:rPr>
              <w:t>...samenwerk.act. met opleidingsbedrijven</w:t>
            </w:r>
          </w:p>
        </w:tc>
        <w:tc>
          <w:tcPr>
            <w:tcW w:w="850" w:type="dxa"/>
          </w:tcPr>
          <w:p w:rsidRPr="00C21F2B" w:rsidR="00F33E01" w:rsidP="00FC2172" w:rsidRDefault="00F33E01" w14:paraId="56A69F87"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35%</w:t>
            </w:r>
          </w:p>
        </w:tc>
        <w:tc>
          <w:tcPr>
            <w:tcW w:w="850" w:type="dxa"/>
          </w:tcPr>
          <w:p w:rsidRPr="00C21F2B" w:rsidR="00F33E01" w:rsidP="00FC2172" w:rsidRDefault="00F33E01" w14:paraId="5142EFB5"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39%*</w:t>
            </w:r>
          </w:p>
        </w:tc>
        <w:tc>
          <w:tcPr>
            <w:tcW w:w="850" w:type="dxa"/>
          </w:tcPr>
          <w:p w:rsidRPr="00C21F2B" w:rsidR="00F33E01" w:rsidP="00FC2172" w:rsidRDefault="00F33E01" w14:paraId="0FF2E1A7"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20%</w:t>
            </w:r>
          </w:p>
        </w:tc>
      </w:tr>
      <w:tr w:rsidRPr="00C21F2B" w:rsidR="00F33E01" w:rsidTr="007E6CA7" w14:paraId="0C1C0EE7"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4535A37E" w14:textId="77777777">
            <w:pPr>
              <w:pStyle w:val="SEOStandaard"/>
              <w:numPr>
                <w:ilvl w:val="0"/>
                <w:numId w:val="0"/>
              </w:numPr>
              <w:rPr>
                <w:rFonts w:ascii="Trebuchet MS" w:hAnsi="Trebuchet MS"/>
                <w:sz w:val="18"/>
                <w:szCs w:val="18"/>
              </w:rPr>
            </w:pPr>
            <w:r w:rsidRPr="00C21F2B">
              <w:rPr>
                <w:rFonts w:ascii="Trebuchet MS" w:hAnsi="Trebuchet MS"/>
                <w:sz w:val="18"/>
                <w:szCs w:val="18"/>
              </w:rPr>
              <w:t>...samenwerk.act. met bedrijven</w:t>
            </w:r>
          </w:p>
        </w:tc>
        <w:tc>
          <w:tcPr>
            <w:tcW w:w="850" w:type="dxa"/>
          </w:tcPr>
          <w:p w:rsidRPr="00C21F2B" w:rsidR="00F33E01" w:rsidP="00FC2172" w:rsidRDefault="00F33E01" w14:paraId="35CE03B2"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53%</w:t>
            </w:r>
          </w:p>
        </w:tc>
        <w:tc>
          <w:tcPr>
            <w:tcW w:w="850" w:type="dxa"/>
          </w:tcPr>
          <w:p w:rsidRPr="00C21F2B" w:rsidR="00F33E01" w:rsidP="00FC2172" w:rsidRDefault="00F33E01" w14:paraId="3B70A53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58%*</w:t>
            </w:r>
          </w:p>
        </w:tc>
        <w:tc>
          <w:tcPr>
            <w:tcW w:w="850" w:type="dxa"/>
          </w:tcPr>
          <w:p w:rsidRPr="00C21F2B" w:rsidR="00F33E01" w:rsidP="00FC2172" w:rsidRDefault="00F33E01" w14:paraId="6B7F423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37%</w:t>
            </w:r>
          </w:p>
        </w:tc>
      </w:tr>
      <w:tr w:rsidRPr="00C21F2B" w:rsidR="00F33E01" w:rsidTr="007E6CA7" w14:paraId="17967B12"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2B745C02" w14:textId="77777777">
            <w:pPr>
              <w:pStyle w:val="SEOStandaard"/>
              <w:numPr>
                <w:ilvl w:val="0"/>
                <w:numId w:val="0"/>
              </w:numPr>
              <w:rPr>
                <w:rFonts w:ascii="Trebuchet MS" w:hAnsi="Trebuchet MS"/>
                <w:sz w:val="18"/>
                <w:szCs w:val="18"/>
              </w:rPr>
            </w:pPr>
            <w:r w:rsidRPr="00C21F2B">
              <w:rPr>
                <w:rFonts w:ascii="Trebuchet MS" w:hAnsi="Trebuchet MS"/>
                <w:sz w:val="18"/>
                <w:szCs w:val="18"/>
              </w:rPr>
              <w:t>...samenwerk.act. met overheden/maatschappelijke instellingen</w:t>
            </w:r>
          </w:p>
        </w:tc>
        <w:tc>
          <w:tcPr>
            <w:tcW w:w="850" w:type="dxa"/>
          </w:tcPr>
          <w:p w:rsidRPr="00C21F2B" w:rsidR="00F33E01" w:rsidP="00FC2172" w:rsidRDefault="00F33E01" w14:paraId="29FA730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13%</w:t>
            </w:r>
          </w:p>
        </w:tc>
        <w:tc>
          <w:tcPr>
            <w:tcW w:w="850" w:type="dxa"/>
          </w:tcPr>
          <w:p w:rsidRPr="00C21F2B" w:rsidR="00F33E01" w:rsidP="00FC2172" w:rsidRDefault="00F33E01" w14:paraId="081B6CCC"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13%</w:t>
            </w:r>
          </w:p>
        </w:tc>
        <w:tc>
          <w:tcPr>
            <w:tcW w:w="850" w:type="dxa"/>
          </w:tcPr>
          <w:p w:rsidRPr="00C21F2B" w:rsidR="00F33E01" w:rsidP="00FC2172" w:rsidRDefault="00F33E01" w14:paraId="1F2989C1"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12%</w:t>
            </w:r>
          </w:p>
        </w:tc>
      </w:tr>
      <w:tr w:rsidRPr="00C21F2B" w:rsidR="00F33E01" w:rsidTr="007E6CA7" w14:paraId="3660D907"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02FC1FBC" w14:textId="77777777">
            <w:pPr>
              <w:pStyle w:val="SEOStandaard"/>
              <w:numPr>
                <w:ilvl w:val="0"/>
                <w:numId w:val="0"/>
              </w:numPr>
              <w:rPr>
                <w:rFonts w:ascii="Trebuchet MS" w:hAnsi="Trebuchet MS"/>
                <w:sz w:val="18"/>
                <w:szCs w:val="18"/>
              </w:rPr>
            </w:pPr>
            <w:r w:rsidRPr="00C21F2B">
              <w:rPr>
                <w:rFonts w:ascii="Trebuchet MS" w:hAnsi="Trebuchet MS"/>
                <w:sz w:val="18"/>
                <w:szCs w:val="18"/>
              </w:rPr>
              <w:t>...andere samenwerkingsactiviteit, namelijk</w:t>
            </w:r>
          </w:p>
        </w:tc>
        <w:tc>
          <w:tcPr>
            <w:tcW w:w="850" w:type="dxa"/>
          </w:tcPr>
          <w:p w:rsidRPr="00C21F2B" w:rsidR="00F33E01" w:rsidP="00FC2172" w:rsidRDefault="00F33E01" w14:paraId="1D5A19A2"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w:t>
            </w:r>
          </w:p>
        </w:tc>
        <w:tc>
          <w:tcPr>
            <w:tcW w:w="850" w:type="dxa"/>
          </w:tcPr>
          <w:p w:rsidRPr="00C21F2B" w:rsidR="00F33E01" w:rsidP="00FC2172" w:rsidRDefault="00F33E01" w14:paraId="24962762"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w:t>
            </w:r>
          </w:p>
        </w:tc>
        <w:tc>
          <w:tcPr>
            <w:tcW w:w="850" w:type="dxa"/>
          </w:tcPr>
          <w:p w:rsidRPr="00C21F2B" w:rsidR="00F33E01" w:rsidP="00FC2172" w:rsidRDefault="00F33E01" w14:paraId="2F71A8A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8%</w:t>
            </w:r>
          </w:p>
        </w:tc>
      </w:tr>
      <w:tr w:rsidRPr="00C21F2B" w:rsidR="00F33E01" w:rsidTr="007E6CA7" w14:paraId="7F849F07"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3C72B5C3" w14:textId="1C11D434">
            <w:pPr>
              <w:pStyle w:val="SEOStandaard"/>
              <w:numPr>
                <w:ilvl w:val="0"/>
                <w:numId w:val="0"/>
              </w:numPr>
              <w:rPr>
                <w:rFonts w:ascii="Trebuchet MS" w:hAnsi="Trebuchet MS"/>
                <w:b/>
                <w:bCs/>
                <w:sz w:val="18"/>
                <w:szCs w:val="18"/>
              </w:rPr>
            </w:pPr>
            <w:r w:rsidRPr="00C21F2B">
              <w:rPr>
                <w:rFonts w:ascii="Trebuchet MS" w:hAnsi="Trebuchet MS"/>
                <w:b/>
                <w:bCs/>
                <w:sz w:val="18"/>
                <w:szCs w:val="18"/>
              </w:rPr>
              <w:t>Professionaliseringsactiviteiten</w:t>
            </w:r>
          </w:p>
        </w:tc>
        <w:tc>
          <w:tcPr>
            <w:tcW w:w="850" w:type="dxa"/>
          </w:tcPr>
          <w:p w:rsidRPr="00C21F2B" w:rsidR="00F33E01" w:rsidP="00FC2172" w:rsidRDefault="00F33E01" w14:paraId="17B3D9FA"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c>
          <w:tcPr>
            <w:tcW w:w="850" w:type="dxa"/>
          </w:tcPr>
          <w:p w:rsidRPr="00C21F2B" w:rsidR="00F33E01" w:rsidP="00FC2172" w:rsidRDefault="00F33E01" w14:paraId="69BE0104"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c>
          <w:tcPr>
            <w:tcW w:w="850" w:type="dxa"/>
          </w:tcPr>
          <w:p w:rsidRPr="00C21F2B" w:rsidR="00F33E01" w:rsidP="00FC2172" w:rsidRDefault="00F33E01" w14:paraId="3939F54F"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r>
      <w:tr w:rsidRPr="00C21F2B" w:rsidR="00F33E01" w:rsidTr="007E6CA7" w14:paraId="3C036C13"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1DD5CCC0" w14:textId="77777777">
            <w:pPr>
              <w:pStyle w:val="SEOStandaard"/>
              <w:numPr>
                <w:ilvl w:val="0"/>
                <w:numId w:val="0"/>
              </w:numPr>
              <w:rPr>
                <w:rFonts w:ascii="Trebuchet MS" w:hAnsi="Trebuchet MS"/>
                <w:sz w:val="18"/>
                <w:szCs w:val="18"/>
              </w:rPr>
            </w:pPr>
            <w:r w:rsidRPr="00C21F2B">
              <w:rPr>
                <w:rFonts w:ascii="Trebuchet MS" w:hAnsi="Trebuchet MS"/>
                <w:sz w:val="18"/>
                <w:szCs w:val="18"/>
              </w:rPr>
              <w:t>...scholing etc. op het gebied van techniek</w:t>
            </w:r>
          </w:p>
        </w:tc>
        <w:tc>
          <w:tcPr>
            <w:tcW w:w="850" w:type="dxa"/>
          </w:tcPr>
          <w:p w:rsidRPr="00C21F2B" w:rsidR="00F33E01" w:rsidP="00FC2172" w:rsidRDefault="00F33E01" w14:paraId="2E1CA94F"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54%</w:t>
            </w:r>
          </w:p>
        </w:tc>
        <w:tc>
          <w:tcPr>
            <w:tcW w:w="850" w:type="dxa"/>
          </w:tcPr>
          <w:p w:rsidRPr="00C21F2B" w:rsidR="00F33E01" w:rsidP="00FC2172" w:rsidRDefault="00F33E01" w14:paraId="1C98011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63%*</w:t>
            </w:r>
          </w:p>
        </w:tc>
        <w:tc>
          <w:tcPr>
            <w:tcW w:w="850" w:type="dxa"/>
          </w:tcPr>
          <w:p w:rsidRPr="00C21F2B" w:rsidR="00F33E01" w:rsidP="00FC2172" w:rsidRDefault="00F33E01" w14:paraId="0E6E641D"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27%</w:t>
            </w:r>
          </w:p>
        </w:tc>
      </w:tr>
      <w:tr w:rsidRPr="00C21F2B" w:rsidR="00F33E01" w:rsidTr="007E6CA7" w14:paraId="745AFFA9"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6A55EFF0" w14:textId="77777777">
            <w:pPr>
              <w:pStyle w:val="SEOStandaard"/>
              <w:numPr>
                <w:ilvl w:val="0"/>
                <w:numId w:val="0"/>
              </w:numPr>
              <w:rPr>
                <w:rFonts w:ascii="Trebuchet MS" w:hAnsi="Trebuchet MS"/>
                <w:sz w:val="18"/>
                <w:szCs w:val="18"/>
              </w:rPr>
            </w:pPr>
            <w:r w:rsidRPr="00C21F2B">
              <w:rPr>
                <w:rFonts w:ascii="Trebuchet MS" w:hAnsi="Trebuchet MS"/>
                <w:sz w:val="18"/>
                <w:szCs w:val="18"/>
              </w:rPr>
              <w:t>...docentenstages of bedrijfsstages</w:t>
            </w:r>
          </w:p>
        </w:tc>
        <w:tc>
          <w:tcPr>
            <w:tcW w:w="850" w:type="dxa"/>
          </w:tcPr>
          <w:p w:rsidRPr="00C21F2B" w:rsidR="00F33E01" w:rsidP="00FC2172" w:rsidRDefault="00F33E01" w14:paraId="7DE2BE9F"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24%</w:t>
            </w:r>
          </w:p>
        </w:tc>
        <w:tc>
          <w:tcPr>
            <w:tcW w:w="850" w:type="dxa"/>
          </w:tcPr>
          <w:p w:rsidRPr="00C21F2B" w:rsidR="00F33E01" w:rsidP="00FC2172" w:rsidRDefault="00F33E01" w14:paraId="7EB7E44D"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25%</w:t>
            </w:r>
          </w:p>
        </w:tc>
        <w:tc>
          <w:tcPr>
            <w:tcW w:w="850" w:type="dxa"/>
          </w:tcPr>
          <w:p w:rsidRPr="00C21F2B" w:rsidR="00F33E01" w:rsidP="00FC2172" w:rsidRDefault="00F33E01" w14:paraId="6FBE58A1"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20%</w:t>
            </w:r>
          </w:p>
        </w:tc>
      </w:tr>
      <w:tr w:rsidRPr="00C21F2B" w:rsidR="00F33E01" w:rsidTr="007E6CA7" w14:paraId="49A3A9B0"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620EFB3E" w14:textId="77777777">
            <w:pPr>
              <w:pStyle w:val="SEOStandaard"/>
              <w:numPr>
                <w:ilvl w:val="0"/>
                <w:numId w:val="0"/>
              </w:numPr>
              <w:rPr>
                <w:rFonts w:ascii="Trebuchet MS" w:hAnsi="Trebuchet MS"/>
                <w:sz w:val="18"/>
                <w:szCs w:val="18"/>
              </w:rPr>
            </w:pPr>
            <w:r w:rsidRPr="00C21F2B">
              <w:rPr>
                <w:rFonts w:ascii="Trebuchet MS" w:hAnsi="Trebuchet MS"/>
                <w:sz w:val="18"/>
                <w:szCs w:val="18"/>
              </w:rPr>
              <w:t>...contacten/bezoeken aan bedrijven</w:t>
            </w:r>
          </w:p>
        </w:tc>
        <w:tc>
          <w:tcPr>
            <w:tcW w:w="850" w:type="dxa"/>
          </w:tcPr>
          <w:p w:rsidRPr="00C21F2B" w:rsidR="00F33E01" w:rsidP="00FC2172" w:rsidRDefault="00F33E01" w14:paraId="73C9554F"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61%</w:t>
            </w:r>
          </w:p>
        </w:tc>
        <w:tc>
          <w:tcPr>
            <w:tcW w:w="850" w:type="dxa"/>
          </w:tcPr>
          <w:p w:rsidRPr="00C21F2B" w:rsidR="00F33E01" w:rsidP="00FC2172" w:rsidRDefault="00F33E01" w14:paraId="0DDAA51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67%*</w:t>
            </w:r>
          </w:p>
        </w:tc>
        <w:tc>
          <w:tcPr>
            <w:tcW w:w="850" w:type="dxa"/>
          </w:tcPr>
          <w:p w:rsidRPr="00C21F2B" w:rsidR="00F33E01" w:rsidP="00FC2172" w:rsidRDefault="00F33E01" w14:paraId="17FC6B0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41%</w:t>
            </w:r>
          </w:p>
        </w:tc>
      </w:tr>
      <w:tr w:rsidRPr="00C21F2B" w:rsidR="00F33E01" w:rsidTr="007E6CA7" w14:paraId="55C300CE"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26B1A838" w14:textId="77777777">
            <w:pPr>
              <w:pStyle w:val="SEOStandaard"/>
              <w:numPr>
                <w:ilvl w:val="0"/>
                <w:numId w:val="0"/>
              </w:numPr>
              <w:rPr>
                <w:rFonts w:ascii="Trebuchet MS" w:hAnsi="Trebuchet MS"/>
                <w:sz w:val="18"/>
                <w:szCs w:val="18"/>
              </w:rPr>
            </w:pPr>
            <w:r w:rsidRPr="00C21F2B">
              <w:rPr>
                <w:rFonts w:ascii="Trebuchet MS" w:hAnsi="Trebuchet MS"/>
                <w:sz w:val="18"/>
                <w:szCs w:val="18"/>
              </w:rPr>
              <w:t>...collegiale consultatie/intervisie met collega's</w:t>
            </w:r>
          </w:p>
        </w:tc>
        <w:tc>
          <w:tcPr>
            <w:tcW w:w="850" w:type="dxa"/>
          </w:tcPr>
          <w:p w:rsidRPr="00C21F2B" w:rsidR="00F33E01" w:rsidP="00FC2172" w:rsidRDefault="00F33E01" w14:paraId="088F39AC"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32%</w:t>
            </w:r>
          </w:p>
        </w:tc>
        <w:tc>
          <w:tcPr>
            <w:tcW w:w="850" w:type="dxa"/>
          </w:tcPr>
          <w:p w:rsidRPr="00C21F2B" w:rsidR="00F33E01" w:rsidP="00FC2172" w:rsidRDefault="00F33E01" w14:paraId="79A44057"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36%*</w:t>
            </w:r>
          </w:p>
        </w:tc>
        <w:tc>
          <w:tcPr>
            <w:tcW w:w="850" w:type="dxa"/>
          </w:tcPr>
          <w:p w:rsidRPr="00C21F2B" w:rsidR="00F33E01" w:rsidP="00FC2172" w:rsidRDefault="00F33E01" w14:paraId="2D45470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19%</w:t>
            </w:r>
          </w:p>
        </w:tc>
      </w:tr>
      <w:tr w:rsidRPr="00C21F2B" w:rsidR="00F33E01" w:rsidTr="007E6CA7" w14:paraId="76E72D8E"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3502C530" w14:textId="77777777">
            <w:pPr>
              <w:pStyle w:val="SEOStandaard"/>
              <w:numPr>
                <w:ilvl w:val="0"/>
                <w:numId w:val="0"/>
              </w:numPr>
              <w:rPr>
                <w:rFonts w:ascii="Trebuchet MS" w:hAnsi="Trebuchet MS"/>
                <w:sz w:val="18"/>
                <w:szCs w:val="18"/>
              </w:rPr>
            </w:pPr>
            <w:r w:rsidRPr="00C21F2B">
              <w:rPr>
                <w:rFonts w:ascii="Trebuchet MS" w:hAnsi="Trebuchet MS"/>
                <w:sz w:val="18"/>
                <w:szCs w:val="18"/>
              </w:rPr>
              <w:t>...andere professionaliseringsactiviteit, namelijk</w:t>
            </w:r>
          </w:p>
        </w:tc>
        <w:tc>
          <w:tcPr>
            <w:tcW w:w="850" w:type="dxa"/>
          </w:tcPr>
          <w:p w:rsidRPr="00C21F2B" w:rsidR="00F33E01" w:rsidP="00FC2172" w:rsidRDefault="00F33E01" w14:paraId="4653A0EC"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w:t>
            </w:r>
          </w:p>
        </w:tc>
        <w:tc>
          <w:tcPr>
            <w:tcW w:w="850" w:type="dxa"/>
          </w:tcPr>
          <w:p w:rsidRPr="00C21F2B" w:rsidR="00F33E01" w:rsidP="00FC2172" w:rsidRDefault="00F33E01" w14:paraId="11515973"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w:t>
            </w:r>
          </w:p>
        </w:tc>
        <w:tc>
          <w:tcPr>
            <w:tcW w:w="850" w:type="dxa"/>
          </w:tcPr>
          <w:p w:rsidRPr="00C21F2B" w:rsidR="00F33E01" w:rsidP="00FC2172" w:rsidRDefault="00F33E01" w14:paraId="78E150D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8%</w:t>
            </w:r>
          </w:p>
        </w:tc>
      </w:tr>
      <w:tr w:rsidRPr="00C21F2B" w:rsidR="00F33E01" w:rsidTr="007E6CA7" w14:paraId="19389B7C"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1DCB9EB1" w14:textId="5414187F">
            <w:pPr>
              <w:pStyle w:val="SEOStandaard"/>
              <w:numPr>
                <w:ilvl w:val="0"/>
                <w:numId w:val="0"/>
              </w:numPr>
              <w:rPr>
                <w:rFonts w:ascii="Trebuchet MS" w:hAnsi="Trebuchet MS"/>
                <w:b/>
                <w:bCs/>
                <w:sz w:val="18"/>
                <w:szCs w:val="18"/>
              </w:rPr>
            </w:pPr>
            <w:r w:rsidRPr="00C21F2B">
              <w:rPr>
                <w:rFonts w:ascii="Trebuchet MS" w:hAnsi="Trebuchet MS"/>
                <w:b/>
                <w:bCs/>
                <w:sz w:val="18"/>
                <w:szCs w:val="18"/>
              </w:rPr>
              <w:t>Activiteiten op het niveau van de STO-(project)organisatie</w:t>
            </w:r>
          </w:p>
        </w:tc>
        <w:tc>
          <w:tcPr>
            <w:tcW w:w="850" w:type="dxa"/>
          </w:tcPr>
          <w:p w:rsidRPr="00C21F2B" w:rsidR="00F33E01" w:rsidP="00FC2172" w:rsidRDefault="00F33E01" w14:paraId="2793BAC1"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c>
          <w:tcPr>
            <w:tcW w:w="850" w:type="dxa"/>
          </w:tcPr>
          <w:p w:rsidRPr="00C21F2B" w:rsidR="00F33E01" w:rsidP="00FC2172" w:rsidRDefault="00F33E01" w14:paraId="69703868"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c>
          <w:tcPr>
            <w:tcW w:w="850" w:type="dxa"/>
          </w:tcPr>
          <w:p w:rsidRPr="00C21F2B" w:rsidR="00F33E01" w:rsidP="00FC2172" w:rsidRDefault="00F33E01" w14:paraId="1130D3C3"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r>
      <w:tr w:rsidRPr="00C21F2B" w:rsidR="00F33E01" w:rsidTr="007E6CA7" w14:paraId="48844FCB"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2BB1AE01" w14:textId="77777777">
            <w:pPr>
              <w:pStyle w:val="SEOStandaard"/>
              <w:numPr>
                <w:ilvl w:val="0"/>
                <w:numId w:val="0"/>
              </w:numPr>
              <w:rPr>
                <w:rFonts w:ascii="Trebuchet MS" w:hAnsi="Trebuchet MS"/>
                <w:sz w:val="18"/>
                <w:szCs w:val="18"/>
              </w:rPr>
            </w:pPr>
            <w:r w:rsidRPr="00C21F2B">
              <w:rPr>
                <w:rFonts w:ascii="Trebuchet MS" w:hAnsi="Trebuchet MS"/>
                <w:sz w:val="18"/>
                <w:szCs w:val="18"/>
              </w:rPr>
              <w:t>...werkgroep etc in kader van STO</w:t>
            </w:r>
          </w:p>
        </w:tc>
        <w:tc>
          <w:tcPr>
            <w:tcW w:w="850" w:type="dxa"/>
          </w:tcPr>
          <w:p w:rsidRPr="00C21F2B" w:rsidR="00F33E01" w:rsidP="00FC2172" w:rsidRDefault="00F33E01" w14:paraId="5A6D1A8D"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56%</w:t>
            </w:r>
          </w:p>
        </w:tc>
        <w:tc>
          <w:tcPr>
            <w:tcW w:w="850" w:type="dxa"/>
          </w:tcPr>
          <w:p w:rsidRPr="00C21F2B" w:rsidR="00F33E01" w:rsidP="00FC2172" w:rsidRDefault="00F33E01" w14:paraId="26A08A4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62%*</w:t>
            </w:r>
          </w:p>
        </w:tc>
        <w:tc>
          <w:tcPr>
            <w:tcW w:w="850" w:type="dxa"/>
          </w:tcPr>
          <w:p w:rsidRPr="00C21F2B" w:rsidR="00F33E01" w:rsidP="00FC2172" w:rsidRDefault="00F33E01" w14:paraId="77E5DE0B"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37%</w:t>
            </w:r>
          </w:p>
        </w:tc>
      </w:tr>
      <w:tr w:rsidRPr="00C21F2B" w:rsidR="00F33E01" w:rsidTr="007E6CA7" w14:paraId="7F4636F7"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16F60C12" w14:textId="77777777">
            <w:pPr>
              <w:pStyle w:val="SEOStandaard"/>
              <w:numPr>
                <w:ilvl w:val="0"/>
                <w:numId w:val="0"/>
              </w:numPr>
              <w:rPr>
                <w:rFonts w:ascii="Trebuchet MS" w:hAnsi="Trebuchet MS"/>
                <w:sz w:val="18"/>
                <w:szCs w:val="18"/>
              </w:rPr>
            </w:pPr>
            <w:r w:rsidRPr="00C21F2B">
              <w:rPr>
                <w:rFonts w:ascii="Trebuchet MS" w:hAnsi="Trebuchet MS"/>
                <w:sz w:val="18"/>
                <w:szCs w:val="18"/>
              </w:rPr>
              <w:t>...opzetten van een nieuw initiatief/organisatie</w:t>
            </w:r>
          </w:p>
        </w:tc>
        <w:tc>
          <w:tcPr>
            <w:tcW w:w="850" w:type="dxa"/>
          </w:tcPr>
          <w:p w:rsidRPr="00C21F2B" w:rsidR="00F33E01" w:rsidP="00FC2172" w:rsidRDefault="00F33E01" w14:paraId="7839C28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15%</w:t>
            </w:r>
          </w:p>
        </w:tc>
        <w:tc>
          <w:tcPr>
            <w:tcW w:w="850" w:type="dxa"/>
          </w:tcPr>
          <w:p w:rsidRPr="00C21F2B" w:rsidR="00F33E01" w:rsidP="00FC2172" w:rsidRDefault="00F33E01" w14:paraId="5AE90438"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15%</w:t>
            </w:r>
          </w:p>
        </w:tc>
        <w:tc>
          <w:tcPr>
            <w:tcW w:w="850" w:type="dxa"/>
          </w:tcPr>
          <w:p w:rsidRPr="00C21F2B" w:rsidR="00F33E01" w:rsidP="00FC2172" w:rsidRDefault="00F33E01" w14:paraId="3853BB53"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17%</w:t>
            </w:r>
          </w:p>
        </w:tc>
      </w:tr>
      <w:tr w:rsidRPr="00C21F2B" w:rsidR="00F33E01" w:rsidTr="007E6CA7" w14:paraId="5E66419F"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43B79D70" w14:textId="77777777">
            <w:pPr>
              <w:pStyle w:val="SEOStandaard"/>
              <w:numPr>
                <w:ilvl w:val="0"/>
                <w:numId w:val="0"/>
              </w:numPr>
              <w:rPr>
                <w:rFonts w:ascii="Trebuchet MS" w:hAnsi="Trebuchet MS"/>
                <w:sz w:val="18"/>
                <w:szCs w:val="18"/>
              </w:rPr>
            </w:pPr>
            <w:r w:rsidRPr="00C21F2B">
              <w:rPr>
                <w:rFonts w:ascii="Trebuchet MS" w:hAnsi="Trebuchet MS"/>
                <w:sz w:val="18"/>
                <w:szCs w:val="18"/>
              </w:rPr>
              <w:t>...activiteiten rond docententekort</w:t>
            </w:r>
          </w:p>
        </w:tc>
        <w:tc>
          <w:tcPr>
            <w:tcW w:w="850" w:type="dxa"/>
          </w:tcPr>
          <w:p w:rsidRPr="00C21F2B" w:rsidR="00F33E01" w:rsidP="00FC2172" w:rsidRDefault="00F33E01" w14:paraId="761FA754"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10%</w:t>
            </w:r>
          </w:p>
        </w:tc>
        <w:tc>
          <w:tcPr>
            <w:tcW w:w="850" w:type="dxa"/>
          </w:tcPr>
          <w:p w:rsidRPr="00C21F2B" w:rsidR="00F33E01" w:rsidP="00FC2172" w:rsidRDefault="00F33E01" w14:paraId="376332F5"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11%</w:t>
            </w:r>
          </w:p>
        </w:tc>
        <w:tc>
          <w:tcPr>
            <w:tcW w:w="850" w:type="dxa"/>
          </w:tcPr>
          <w:p w:rsidRPr="00C21F2B" w:rsidR="00F33E01" w:rsidP="00FC2172" w:rsidRDefault="00F33E01" w14:paraId="73A6BB24"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8%</w:t>
            </w:r>
          </w:p>
        </w:tc>
      </w:tr>
      <w:tr w:rsidRPr="00C21F2B" w:rsidR="00F33E01" w:rsidTr="007E6CA7" w14:paraId="1AB776B3"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13F0602F" w14:textId="77777777">
            <w:pPr>
              <w:pStyle w:val="SEOStandaard"/>
              <w:numPr>
                <w:ilvl w:val="0"/>
                <w:numId w:val="0"/>
              </w:numPr>
              <w:rPr>
                <w:rFonts w:ascii="Trebuchet MS" w:hAnsi="Trebuchet MS"/>
                <w:sz w:val="18"/>
                <w:szCs w:val="18"/>
              </w:rPr>
            </w:pPr>
            <w:r w:rsidRPr="00C21F2B">
              <w:rPr>
                <w:rFonts w:ascii="Trebuchet MS" w:hAnsi="Trebuchet MS"/>
                <w:sz w:val="18"/>
                <w:szCs w:val="18"/>
              </w:rPr>
              <w:t>...activiteiten rond communicatie</w:t>
            </w:r>
          </w:p>
        </w:tc>
        <w:tc>
          <w:tcPr>
            <w:tcW w:w="850" w:type="dxa"/>
          </w:tcPr>
          <w:p w:rsidRPr="00C21F2B" w:rsidR="00F33E01" w:rsidP="00FC2172" w:rsidRDefault="00F33E01" w14:paraId="07A6A260"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12%</w:t>
            </w:r>
          </w:p>
        </w:tc>
        <w:tc>
          <w:tcPr>
            <w:tcW w:w="850" w:type="dxa"/>
          </w:tcPr>
          <w:p w:rsidRPr="00C21F2B" w:rsidR="00F33E01" w:rsidP="00FC2172" w:rsidRDefault="00F33E01" w14:paraId="1EAFF24D"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12%</w:t>
            </w:r>
          </w:p>
        </w:tc>
        <w:tc>
          <w:tcPr>
            <w:tcW w:w="850" w:type="dxa"/>
          </w:tcPr>
          <w:p w:rsidRPr="00C21F2B" w:rsidR="00F33E01" w:rsidP="00FC2172" w:rsidRDefault="00F33E01" w14:paraId="5EEF3B01"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12%</w:t>
            </w:r>
          </w:p>
        </w:tc>
      </w:tr>
      <w:tr w:rsidRPr="00C21F2B" w:rsidR="00F33E01" w:rsidTr="007E6CA7" w14:paraId="60223ACA"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0B5162A2" w14:textId="77777777">
            <w:pPr>
              <w:pStyle w:val="SEOStandaard"/>
              <w:numPr>
                <w:ilvl w:val="0"/>
                <w:numId w:val="0"/>
              </w:numPr>
              <w:rPr>
                <w:rFonts w:ascii="Trebuchet MS" w:hAnsi="Trebuchet MS"/>
                <w:sz w:val="18"/>
                <w:szCs w:val="18"/>
              </w:rPr>
            </w:pPr>
            <w:r w:rsidRPr="00C21F2B">
              <w:rPr>
                <w:rFonts w:ascii="Trebuchet MS" w:hAnsi="Trebuchet MS"/>
                <w:sz w:val="18"/>
                <w:szCs w:val="18"/>
              </w:rPr>
              <w:t>...evaluaties en voortgangsmetingen</w:t>
            </w:r>
          </w:p>
        </w:tc>
        <w:tc>
          <w:tcPr>
            <w:tcW w:w="850" w:type="dxa"/>
          </w:tcPr>
          <w:p w:rsidRPr="00C21F2B" w:rsidR="00F33E01" w:rsidP="00FC2172" w:rsidRDefault="00F33E01" w14:paraId="4C419DC5"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14%</w:t>
            </w:r>
          </w:p>
        </w:tc>
        <w:tc>
          <w:tcPr>
            <w:tcW w:w="850" w:type="dxa"/>
          </w:tcPr>
          <w:p w:rsidRPr="00C21F2B" w:rsidR="00F33E01" w:rsidP="00FC2172" w:rsidRDefault="00F33E01" w14:paraId="0C4E5BE5"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16%</w:t>
            </w:r>
          </w:p>
        </w:tc>
        <w:tc>
          <w:tcPr>
            <w:tcW w:w="850" w:type="dxa"/>
          </w:tcPr>
          <w:p w:rsidRPr="00C21F2B" w:rsidR="00F33E01" w:rsidP="00FC2172" w:rsidRDefault="00F33E01" w14:paraId="3528250D"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9%</w:t>
            </w:r>
          </w:p>
        </w:tc>
      </w:tr>
      <w:tr w:rsidRPr="00C21F2B" w:rsidR="00F33E01" w:rsidTr="007E6CA7" w14:paraId="735D07ED"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1C3633C6" w14:textId="77777777">
            <w:pPr>
              <w:pStyle w:val="SEOStandaard"/>
              <w:numPr>
                <w:ilvl w:val="0"/>
                <w:numId w:val="0"/>
              </w:numPr>
              <w:rPr>
                <w:rFonts w:ascii="Trebuchet MS" w:hAnsi="Trebuchet MS"/>
                <w:sz w:val="18"/>
                <w:szCs w:val="18"/>
              </w:rPr>
            </w:pPr>
            <w:r w:rsidRPr="00C21F2B">
              <w:rPr>
                <w:rFonts w:ascii="Trebuchet MS" w:hAnsi="Trebuchet MS"/>
                <w:sz w:val="18"/>
                <w:szCs w:val="18"/>
              </w:rPr>
              <w:t>...andere activiteit op niveau van STO-organisatie, namelijk</w:t>
            </w:r>
          </w:p>
        </w:tc>
        <w:tc>
          <w:tcPr>
            <w:tcW w:w="850" w:type="dxa"/>
          </w:tcPr>
          <w:p w:rsidRPr="00C21F2B" w:rsidR="00F33E01" w:rsidP="00FC2172" w:rsidRDefault="00F33E01" w14:paraId="666CE4FB"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w:t>
            </w:r>
          </w:p>
        </w:tc>
        <w:tc>
          <w:tcPr>
            <w:tcW w:w="850" w:type="dxa"/>
          </w:tcPr>
          <w:p w:rsidRPr="00C21F2B" w:rsidR="00F33E01" w:rsidP="00FC2172" w:rsidRDefault="00F33E01" w14:paraId="7A9957E8"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w:t>
            </w:r>
          </w:p>
        </w:tc>
        <w:tc>
          <w:tcPr>
            <w:tcW w:w="850" w:type="dxa"/>
          </w:tcPr>
          <w:p w:rsidRPr="00C21F2B" w:rsidR="00F33E01" w:rsidP="00FC2172" w:rsidRDefault="00F33E01" w14:paraId="67CE609B"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11%</w:t>
            </w:r>
          </w:p>
        </w:tc>
      </w:tr>
      <w:tr w:rsidRPr="00C21F2B" w:rsidR="00F33E01" w:rsidTr="007E6CA7" w14:paraId="359783E4"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53060555" w14:textId="11E0075A">
            <w:pPr>
              <w:pStyle w:val="SEOStandaard"/>
              <w:numPr>
                <w:ilvl w:val="0"/>
                <w:numId w:val="0"/>
              </w:numPr>
              <w:rPr>
                <w:rFonts w:ascii="Trebuchet MS" w:hAnsi="Trebuchet MS"/>
                <w:b/>
                <w:bCs/>
                <w:sz w:val="18"/>
                <w:szCs w:val="18"/>
              </w:rPr>
            </w:pPr>
            <w:r w:rsidRPr="00C21F2B">
              <w:rPr>
                <w:rFonts w:ascii="Trebuchet MS" w:hAnsi="Trebuchet MS"/>
                <w:b/>
                <w:bCs/>
                <w:sz w:val="18"/>
                <w:szCs w:val="18"/>
              </w:rPr>
              <w:t>Overige activiteiten</w:t>
            </w:r>
          </w:p>
        </w:tc>
        <w:tc>
          <w:tcPr>
            <w:tcW w:w="850" w:type="dxa"/>
          </w:tcPr>
          <w:p w:rsidRPr="00C21F2B" w:rsidR="00F33E01" w:rsidP="00FC2172" w:rsidRDefault="00F33E01" w14:paraId="29077FFF"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c>
          <w:tcPr>
            <w:tcW w:w="850" w:type="dxa"/>
          </w:tcPr>
          <w:p w:rsidRPr="00C21F2B" w:rsidR="00F33E01" w:rsidP="00FC2172" w:rsidRDefault="00F33E01" w14:paraId="1FC6259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c>
          <w:tcPr>
            <w:tcW w:w="850" w:type="dxa"/>
          </w:tcPr>
          <w:p w:rsidRPr="00C21F2B" w:rsidR="00F33E01" w:rsidP="00FC2172" w:rsidRDefault="00F33E01" w14:paraId="0F9DD8EC"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r>
      <w:tr w:rsidRPr="00C21F2B" w:rsidR="00F33E01" w:rsidTr="007E6CA7" w14:paraId="27C115A4"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10AB9779" w14:textId="77777777">
            <w:pPr>
              <w:pStyle w:val="SEOStandaard"/>
              <w:numPr>
                <w:ilvl w:val="0"/>
                <w:numId w:val="0"/>
              </w:numPr>
              <w:rPr>
                <w:rFonts w:ascii="Trebuchet MS" w:hAnsi="Trebuchet MS"/>
                <w:sz w:val="18"/>
                <w:szCs w:val="18"/>
              </w:rPr>
            </w:pPr>
            <w:r w:rsidRPr="00C21F2B">
              <w:rPr>
                <w:rFonts w:ascii="Trebuchet MS" w:hAnsi="Trebuchet MS"/>
                <w:sz w:val="18"/>
                <w:szCs w:val="18"/>
              </w:rPr>
              <w:t>...overige activiteit, namelijk</w:t>
            </w:r>
          </w:p>
        </w:tc>
        <w:tc>
          <w:tcPr>
            <w:tcW w:w="850" w:type="dxa"/>
          </w:tcPr>
          <w:p w:rsidRPr="00C21F2B" w:rsidR="00F33E01" w:rsidP="00FC2172" w:rsidRDefault="00F33E01" w14:paraId="21DEC80A"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w:t>
            </w:r>
          </w:p>
        </w:tc>
        <w:tc>
          <w:tcPr>
            <w:tcW w:w="850" w:type="dxa"/>
          </w:tcPr>
          <w:p w:rsidRPr="00C21F2B" w:rsidR="00F33E01" w:rsidP="00FC2172" w:rsidRDefault="00F33E01" w14:paraId="7AACDB41"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7%*</w:t>
            </w:r>
          </w:p>
        </w:tc>
        <w:tc>
          <w:tcPr>
            <w:tcW w:w="850" w:type="dxa"/>
          </w:tcPr>
          <w:p w:rsidRPr="00C21F2B" w:rsidR="00F33E01" w:rsidP="00FC2172" w:rsidRDefault="00F33E01" w14:paraId="5464529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w:t>
            </w:r>
          </w:p>
        </w:tc>
      </w:tr>
      <w:tr w:rsidRPr="00C21F2B" w:rsidR="00F33E01" w:rsidTr="007E6CA7" w14:paraId="61DB249F" w14:textId="77777777">
        <w:tc>
          <w:tcPr>
            <w:cnfStyle w:val="001000000000" w:firstRow="0" w:lastRow="0" w:firstColumn="1" w:lastColumn="0" w:oddVBand="0" w:evenVBand="0" w:oddHBand="0" w:evenHBand="0" w:firstRowFirstColumn="0" w:firstRowLastColumn="0" w:lastRowFirstColumn="0" w:lastRowLastColumn="0"/>
            <w:tcW w:w="6860" w:type="dxa"/>
          </w:tcPr>
          <w:p w:rsidRPr="00C21F2B" w:rsidR="00F33E01" w:rsidP="00FC2172" w:rsidRDefault="00F33E01" w14:paraId="3568038E" w14:textId="77777777">
            <w:pPr>
              <w:pStyle w:val="SEOStandaard"/>
              <w:numPr>
                <w:ilvl w:val="0"/>
                <w:numId w:val="0"/>
              </w:numPr>
              <w:rPr>
                <w:rFonts w:ascii="Trebuchet MS" w:hAnsi="Trebuchet MS"/>
                <w:sz w:val="18"/>
                <w:szCs w:val="18"/>
              </w:rPr>
            </w:pPr>
            <w:r w:rsidRPr="00C21F2B">
              <w:rPr>
                <w:rFonts w:ascii="Trebuchet MS" w:hAnsi="Trebuchet MS"/>
                <w:sz w:val="18"/>
                <w:szCs w:val="18"/>
              </w:rPr>
              <w:t>...overige activiteit, namelijk</w:t>
            </w:r>
          </w:p>
        </w:tc>
        <w:tc>
          <w:tcPr>
            <w:tcW w:w="850" w:type="dxa"/>
          </w:tcPr>
          <w:p w:rsidRPr="00C21F2B" w:rsidR="00F33E01" w:rsidP="00FC2172" w:rsidRDefault="00F33E01" w14:paraId="725D234B"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w:t>
            </w:r>
          </w:p>
        </w:tc>
        <w:tc>
          <w:tcPr>
            <w:tcW w:w="850" w:type="dxa"/>
          </w:tcPr>
          <w:p w:rsidRPr="00C21F2B" w:rsidR="00F33E01" w:rsidP="00FC2172" w:rsidRDefault="00F33E01" w14:paraId="7A1FE3BC"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w:t>
            </w:r>
          </w:p>
        </w:tc>
        <w:tc>
          <w:tcPr>
            <w:tcW w:w="850" w:type="dxa"/>
          </w:tcPr>
          <w:p w:rsidRPr="00C21F2B" w:rsidR="00F33E01" w:rsidP="00FC2172" w:rsidRDefault="00F33E01" w14:paraId="3470AE4A"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0%</w:t>
            </w:r>
          </w:p>
        </w:tc>
      </w:tr>
    </w:tbl>
    <w:p w:rsidRPr="003C724E" w:rsidR="00F33E01" w:rsidP="003C724E" w:rsidRDefault="003C724E" w14:paraId="2F18DC80" w14:textId="1C7B6965">
      <w:pPr>
        <w:pStyle w:val="SEOBron"/>
        <w:numPr>
          <w:ilvl w:val="0"/>
          <w:numId w:val="0"/>
        </w:numPr>
        <w:rPr>
          <w:rFonts w:ascii="Trebuchet MS" w:hAnsi="Trebuchet MS"/>
          <w:color w:val="auto"/>
          <w:szCs w:val="18"/>
        </w:rPr>
      </w:pPr>
      <w:r w:rsidRPr="003C724E">
        <w:rPr>
          <w:rFonts w:ascii="Trebuchet MS" w:hAnsi="Trebuchet MS"/>
          <w:color w:val="auto"/>
          <w:szCs w:val="18"/>
        </w:rPr>
        <w:t xml:space="preserve">Bron: </w:t>
      </w:r>
      <w:r w:rsidRPr="003C724E" w:rsidR="00F33E01">
        <w:rPr>
          <w:rFonts w:ascii="Trebuchet MS" w:hAnsi="Trebuchet MS"/>
          <w:color w:val="auto"/>
          <w:szCs w:val="18"/>
        </w:rPr>
        <w:t>Enquête lesgevenden bovenbouw vmbo (februari-mei 2025). * geeft significant verschil weer tussen lesgevenden van technisch vak en lesgevenden van niet-technisch vak.</w:t>
      </w:r>
    </w:p>
    <w:p w:rsidRPr="003C724E" w:rsidR="00F33E01" w:rsidP="00F33E01" w:rsidRDefault="00F33E01" w14:paraId="67CFF430" w14:textId="77777777">
      <w:pPr>
        <w:pStyle w:val="SEOStandaard"/>
        <w:rPr>
          <w:rFonts w:ascii="Trebuchet MS" w:hAnsi="Trebuchet MS"/>
          <w:color w:val="auto"/>
          <w:sz w:val="18"/>
          <w:szCs w:val="18"/>
        </w:rPr>
      </w:pPr>
      <w:r w:rsidRPr="003C724E">
        <w:rPr>
          <w:rFonts w:ascii="Trebuchet MS" w:hAnsi="Trebuchet MS"/>
          <w:color w:val="auto"/>
          <w:sz w:val="18"/>
          <w:szCs w:val="18"/>
        </w:rPr>
        <w:lastRenderedPageBreak/>
        <w:t xml:space="preserve">Er is allereerst gevraagd naar deelname aan vier typen activiteiten binnen de school. Meer dan de helft van de lesgevenden (ruim 6 op de 10) geeft aan deelgenomen te hebben aan programmatische ontwikkeling en (her)inrichting van het technieklokaal (55 procent). Werken aan doorlopende leerlijnen en -routes en deelname aan gastlessen of mastclasses door het bedrijfsleven of de branche worden minder vaak genoemd (respectievelijk 45 en 39 procent). Lesgevenden in een technisch vak geven in vergelijking met lesgevenden in een niet-technisch vak significant vaker aan deel te nemen aan de verschillende activiteiten binnen de school, met uitzondering van deelname aan gastlessen of mastclasses door het bedrijfsleven of de branche en andere activiteiten (zoals begeleiden van (onbevoegde of nieuwe) docenten en het organiseren van evenementen). </w:t>
      </w:r>
    </w:p>
    <w:p w:rsidRPr="003C724E" w:rsidR="00F33E01" w:rsidP="00F33E01" w:rsidRDefault="00F33E01" w14:paraId="2FD7BF8A" w14:textId="77777777">
      <w:pPr>
        <w:pStyle w:val="SEOStandaard"/>
        <w:numPr>
          <w:ilvl w:val="0"/>
          <w:numId w:val="0"/>
        </w:numPr>
        <w:rPr>
          <w:rFonts w:ascii="Trebuchet MS" w:hAnsi="Trebuchet MS"/>
          <w:color w:val="auto"/>
          <w:sz w:val="18"/>
          <w:szCs w:val="18"/>
        </w:rPr>
      </w:pPr>
    </w:p>
    <w:p w:rsidRPr="003C724E" w:rsidR="00F33E01" w:rsidP="00F33E01" w:rsidRDefault="00F33E01" w14:paraId="02DBCC68" w14:textId="77777777">
      <w:pPr>
        <w:pStyle w:val="SEOStandaard"/>
        <w:numPr>
          <w:ilvl w:val="0"/>
          <w:numId w:val="0"/>
        </w:numPr>
        <w:rPr>
          <w:rFonts w:ascii="Trebuchet MS" w:hAnsi="Trebuchet MS"/>
          <w:color w:val="auto"/>
          <w:sz w:val="18"/>
          <w:szCs w:val="18"/>
        </w:rPr>
      </w:pPr>
      <w:r w:rsidRPr="003C724E">
        <w:rPr>
          <w:rFonts w:ascii="Trebuchet MS" w:hAnsi="Trebuchet MS"/>
          <w:color w:val="auto"/>
          <w:sz w:val="18"/>
          <w:szCs w:val="18"/>
        </w:rPr>
        <w:t xml:space="preserve">Buiten school heeft meer dan de helft van de lesgevenden deelgenomen aan: een bedrijfsbezoek of bezoeken aan instellingen, bezoek aan een evenement in de regio of op school en praktijkopdrachten of -projecten voor leerlingen. Activiteiten die door ruim 3 op de 10 lesgevenden worden genoemd zijn: lesactiviteiten voor basisschoolleerlingen op vmbo-scholen, bezoek aan voorzieningen met leerlingen en het gebruik van technische inventaris buiten de eigen school. Minder vaak worden lesactiviteiten voor basisschoolleerlingen op de basisschool genoemd (2 op de 10) gevolgd door diezelfde lesactiviteiten op regionale voorzieningen (1 op de 10). Ook hier zien we significante verschillen tussen lesgevenden die wel of niet een technisch vak geven: deelname aan alle activiteiten, behalve lesactiviteiten voor basisschoolleerlingen op regionale voorzieningen en andere activiteiten (zoals lesactiviteiten voor basisschoolleraren), ligt significant hoger onder lesgevenden die een technisch vak geven. </w:t>
      </w:r>
    </w:p>
    <w:p w:rsidRPr="003C724E" w:rsidR="00F33E01" w:rsidP="00F33E01" w:rsidRDefault="00F33E01" w14:paraId="453D58E5" w14:textId="77777777">
      <w:pPr>
        <w:pStyle w:val="SEOStandaard"/>
        <w:numPr>
          <w:ilvl w:val="0"/>
          <w:numId w:val="0"/>
        </w:numPr>
        <w:rPr>
          <w:rFonts w:ascii="Trebuchet MS" w:hAnsi="Trebuchet MS"/>
          <w:color w:val="auto"/>
          <w:sz w:val="18"/>
          <w:szCs w:val="18"/>
        </w:rPr>
      </w:pPr>
    </w:p>
    <w:p w:rsidRPr="003C724E" w:rsidR="00F33E01" w:rsidP="00F33E01" w:rsidRDefault="00F33E01" w14:paraId="5D881BFD" w14:textId="77777777">
      <w:pPr>
        <w:pStyle w:val="SEOStandaard"/>
        <w:numPr>
          <w:ilvl w:val="0"/>
          <w:numId w:val="0"/>
        </w:numPr>
        <w:rPr>
          <w:rFonts w:ascii="Trebuchet MS" w:hAnsi="Trebuchet MS"/>
          <w:color w:val="auto"/>
          <w:sz w:val="18"/>
          <w:szCs w:val="18"/>
        </w:rPr>
      </w:pPr>
      <w:r w:rsidRPr="003C724E">
        <w:rPr>
          <w:rFonts w:ascii="Trebuchet MS" w:hAnsi="Trebuchet MS"/>
          <w:color w:val="auto"/>
          <w:sz w:val="18"/>
          <w:szCs w:val="18"/>
        </w:rPr>
        <w:t xml:space="preserve">Er is in de enquête gevraagd naar tien samenwerkingsactiviteiten met partners binnen en buiten de school. Ongeveer de helft of meer van de lesgevenden geeft aan samenwerkingsactiviteiten te hebben gedaan met docenten in de technische profielen binnen de school (64 procent), met bedrijven (53 procent) en met docenten van andere vmbo-scholen (49 procent; onder techniekdocenten 56%). Deelname aan samenwerkingsactiviteiten met mbo-docenten en opleidingsbedrijven worden door een relatief hoog percentage van de lesgevenden in een technisch vak genoemd (48 en 39 procent) en dit wijkt significant af van lesgevenden die geen technisch vak geven. Een derde van de lesgevenden geeft ook aan deelgenomen te hebben aan samenwerkingsactiviteiten met docenten met niet-technische profielen binnen de school. De andere samenwerkingsactiviteiten (met docenten vso- of praktijkonderwijs, po-docenten en met overheden of maatschappelijke instellingen) worden minder vaak genoemd. </w:t>
      </w:r>
    </w:p>
    <w:p w:rsidRPr="003C724E" w:rsidR="00F33E01" w:rsidP="00F33E01" w:rsidRDefault="00F33E01" w14:paraId="49A69EBD" w14:textId="77777777">
      <w:pPr>
        <w:pStyle w:val="SEOStandaard"/>
        <w:numPr>
          <w:ilvl w:val="0"/>
          <w:numId w:val="0"/>
        </w:numPr>
        <w:rPr>
          <w:rFonts w:ascii="Trebuchet MS" w:hAnsi="Trebuchet MS"/>
          <w:color w:val="auto"/>
          <w:sz w:val="18"/>
          <w:szCs w:val="18"/>
        </w:rPr>
      </w:pPr>
    </w:p>
    <w:p w:rsidRPr="003C724E" w:rsidR="00F33E01" w:rsidP="00F33E01" w:rsidRDefault="00F33E01" w14:paraId="18248CBC" w14:textId="77777777">
      <w:pPr>
        <w:pStyle w:val="SEOStandaard"/>
        <w:numPr>
          <w:ilvl w:val="0"/>
          <w:numId w:val="0"/>
        </w:numPr>
        <w:rPr>
          <w:rFonts w:ascii="Trebuchet MS" w:hAnsi="Trebuchet MS"/>
          <w:color w:val="auto"/>
          <w:sz w:val="18"/>
          <w:szCs w:val="18"/>
        </w:rPr>
      </w:pPr>
      <w:r w:rsidRPr="003C724E">
        <w:rPr>
          <w:rFonts w:ascii="Trebuchet MS" w:hAnsi="Trebuchet MS"/>
          <w:color w:val="auto"/>
          <w:sz w:val="18"/>
          <w:szCs w:val="18"/>
        </w:rPr>
        <w:t xml:space="preserve">Op het gebied van professionaliseringsactiviteiten valt op dat contacten en bezoeken aan bedrijven door meer dan de helft van de lesgevenden wordt genoemd (6 op de 10), gevolgd door scholing op het gebied van techniek (5 op de 10). Een derde noemt collegiale consultatie of intervisie met collega's en een kwart docent- of bedrijfsstages. Deelname aan deze activiteiten, behalve aan docent- of bedrijfsstages en andere professionaliseringsactiviteiten, ligt significant hoger onder lesgevenden die een technisch vak geven. </w:t>
      </w:r>
    </w:p>
    <w:p w:rsidRPr="003C724E" w:rsidR="00F33E01" w:rsidP="00F33E01" w:rsidRDefault="00F33E01" w14:paraId="4D37B421" w14:textId="77777777">
      <w:pPr>
        <w:pStyle w:val="SEOStandaard"/>
        <w:numPr>
          <w:ilvl w:val="0"/>
          <w:numId w:val="0"/>
        </w:numPr>
        <w:rPr>
          <w:rFonts w:ascii="Trebuchet MS" w:hAnsi="Trebuchet MS"/>
          <w:color w:val="auto"/>
          <w:sz w:val="18"/>
          <w:szCs w:val="18"/>
        </w:rPr>
      </w:pPr>
    </w:p>
    <w:p w:rsidRPr="003C724E" w:rsidR="00F33E01" w:rsidP="00F33E01" w:rsidRDefault="00F33E01" w14:paraId="6D0639CA" w14:textId="77777777">
      <w:pPr>
        <w:pStyle w:val="SEOStandaard"/>
        <w:numPr>
          <w:ilvl w:val="0"/>
          <w:numId w:val="0"/>
        </w:numPr>
        <w:rPr>
          <w:rFonts w:ascii="Trebuchet MS" w:hAnsi="Trebuchet MS"/>
          <w:color w:val="auto"/>
          <w:sz w:val="18"/>
          <w:szCs w:val="18"/>
        </w:rPr>
      </w:pPr>
      <w:r w:rsidRPr="003C724E">
        <w:rPr>
          <w:rFonts w:ascii="Trebuchet MS" w:hAnsi="Trebuchet MS"/>
          <w:color w:val="auto"/>
          <w:sz w:val="18"/>
          <w:szCs w:val="18"/>
        </w:rPr>
        <w:t xml:space="preserve">Tot slot zijn er de activiteiten op het niveau van de STO-(project)organisatie. Hier is deelname met name hoog als het gaat om participatie in een werkgroep in kader van STO met name onder de lesgevenden in een technisch vak (6 op de 10 en significant hoger dan bij lesgevenden in een niet-technisch vak). De andere activiteiten (d.w.z. opzetten van een nieuw initiatief/organisatie, activiteiten rondom docententekort en communicatie en evaluaties en voortgangsmetingen), worden door ruim een tiende (van 10 tot 15 procent) gerapporteerd. Hier zien we weinig verschil tussen lesgevenden die wel of geen technisch vak geven. </w:t>
      </w:r>
    </w:p>
    <w:p w:rsidRPr="00C21F2B" w:rsidR="00F33E01" w:rsidP="00F33E01" w:rsidRDefault="00F33E01" w14:paraId="22E3F87D" w14:textId="77777777">
      <w:pPr>
        <w:pStyle w:val="SEOStandaard"/>
        <w:numPr>
          <w:ilvl w:val="0"/>
          <w:numId w:val="0"/>
        </w:numPr>
        <w:rPr>
          <w:rFonts w:ascii="Trebuchet MS" w:hAnsi="Trebuchet MS"/>
          <w:sz w:val="18"/>
          <w:szCs w:val="18"/>
        </w:rPr>
      </w:pPr>
    </w:p>
    <w:p w:rsidRPr="003C724E" w:rsidR="00F33E01" w:rsidP="00F33E01" w:rsidRDefault="00F33E01" w14:paraId="1EC0A1DD" w14:textId="77777777">
      <w:pPr>
        <w:pStyle w:val="SEOStandaard"/>
        <w:numPr>
          <w:ilvl w:val="0"/>
          <w:numId w:val="0"/>
        </w:numPr>
        <w:rPr>
          <w:rFonts w:ascii="Trebuchet MS" w:hAnsi="Trebuchet MS"/>
          <w:color w:val="auto"/>
          <w:sz w:val="18"/>
          <w:szCs w:val="18"/>
        </w:rPr>
      </w:pPr>
      <w:r w:rsidRPr="003C724E">
        <w:rPr>
          <w:rFonts w:ascii="Trebuchet MS" w:hAnsi="Trebuchet MS"/>
          <w:color w:val="auto"/>
          <w:sz w:val="18"/>
          <w:szCs w:val="18"/>
        </w:rPr>
        <w:t xml:space="preserve">De overige activiteiten die worden gerapporteerd door lesgevenden die een technisch vak geven (bijna 1 op de 10) zijn bijvoorbeeld een pilot in het mbo, belevingsdagen, organisatie van netwerkbijeenkomsten en keuzevakken bij bedrijven. </w:t>
      </w:r>
    </w:p>
    <w:p w:rsidRPr="003C724E" w:rsidR="00F33E01" w:rsidP="00F33E01" w:rsidRDefault="00F33E01" w14:paraId="5F0E5594" w14:textId="77777777">
      <w:pPr>
        <w:pStyle w:val="SEOStandaard"/>
        <w:numPr>
          <w:ilvl w:val="0"/>
          <w:numId w:val="0"/>
        </w:numPr>
        <w:rPr>
          <w:rFonts w:ascii="Trebuchet MS" w:hAnsi="Trebuchet MS"/>
          <w:color w:val="auto"/>
          <w:sz w:val="18"/>
          <w:szCs w:val="18"/>
        </w:rPr>
      </w:pPr>
    </w:p>
    <w:p w:rsidRPr="003C724E" w:rsidR="00F33E01" w:rsidP="00F33E01" w:rsidRDefault="00F33E01" w14:paraId="43F5F4BE" w14:textId="77777777">
      <w:pPr>
        <w:pStyle w:val="SEOStandaard"/>
        <w:numPr>
          <w:ilvl w:val="0"/>
          <w:numId w:val="0"/>
        </w:numPr>
        <w:rPr>
          <w:rFonts w:ascii="Trebuchet MS" w:hAnsi="Trebuchet MS"/>
          <w:color w:val="auto"/>
          <w:sz w:val="18"/>
          <w:szCs w:val="18"/>
        </w:rPr>
      </w:pPr>
      <w:r w:rsidRPr="003C724E">
        <w:rPr>
          <w:rFonts w:ascii="Trebuchet MS" w:hAnsi="Trebuchet MS"/>
          <w:color w:val="auto"/>
          <w:sz w:val="18"/>
          <w:szCs w:val="18"/>
        </w:rPr>
        <w:t xml:space="preserve">Samenvattend, op basis van de bevindingen in deze paragraaf blijkt dat de bekendheid met STO hoog is onder lesgevenden; van de lesgevenden in de techniek is 97% (enigszins) bekend. Het merendeel van de lesgevenden is ook actief betrokken bij STO-activiteiten, veelal als gebruiker of deelnemer gevolgd door uitvoerder en ontwikkelaar. Opmerkelijk is dat 13% van de techniekdocenten in geen enkele rol betrokken is en dat 53% van de niet-techniekdocenten wel betrokken is bij STO. Specifieke STO-activiteiten waaraan veelal deelgenomen is, zijn: </w:t>
      </w:r>
      <w:r w:rsidRPr="003C724E">
        <w:rPr>
          <w:rFonts w:ascii="Trebuchet MS" w:hAnsi="Trebuchet MS"/>
          <w:color w:val="auto"/>
          <w:sz w:val="18"/>
          <w:szCs w:val="18"/>
        </w:rPr>
        <w:lastRenderedPageBreak/>
        <w:t>programmatische ontwikkeling, bedrijfsbezoeken en samenwerkingsactiviteiten met docenten van technische profielen binnen de eigen school. Buiten de school werken de techniekdocenten vaker (dan niet-techniekdocenten) samen met docenten van ander vmbo en met het mbo. Bekendheid, (actieve) deelname en betrokkenheid is hoger onder lesgevenden van een technisch vak dan onder lesgevenden die geen technisch vak geven.</w:t>
      </w:r>
    </w:p>
    <w:p w:rsidRPr="00C21F2B" w:rsidR="00F33E01" w:rsidP="00F33E01" w:rsidRDefault="00F33E01" w14:paraId="0E240393" w14:textId="77777777">
      <w:pPr>
        <w:pStyle w:val="SEOStandaard"/>
        <w:numPr>
          <w:ilvl w:val="0"/>
          <w:numId w:val="0"/>
        </w:numPr>
        <w:rPr>
          <w:rFonts w:ascii="Trebuchet MS" w:hAnsi="Trebuchet MS"/>
          <w:sz w:val="18"/>
          <w:szCs w:val="18"/>
        </w:rPr>
      </w:pPr>
    </w:p>
    <w:p w:rsidRPr="00C21F2B" w:rsidR="00F33E01" w:rsidP="00203B2D" w:rsidRDefault="00F33E01" w14:paraId="4DBAFF07" w14:textId="77777777">
      <w:pPr>
        <w:pStyle w:val="Kop2"/>
      </w:pPr>
      <w:bookmarkStart w:name="_Toc198625154" w:id="54"/>
      <w:bookmarkStart w:name="_Toc203573587" w:id="55"/>
      <w:r w:rsidRPr="00C21F2B">
        <w:t>Impact op docenten</w:t>
      </w:r>
      <w:bookmarkEnd w:id="54"/>
      <w:bookmarkEnd w:id="55"/>
    </w:p>
    <w:p w:rsidRPr="003C724E" w:rsidR="00F33E01" w:rsidP="00F33E01" w:rsidRDefault="00F33E01" w14:paraId="19D69FDD" w14:textId="347AD70F">
      <w:pPr>
        <w:pStyle w:val="SEOStandaard"/>
        <w:rPr>
          <w:rFonts w:ascii="Trebuchet MS" w:hAnsi="Trebuchet MS"/>
          <w:color w:val="auto"/>
          <w:sz w:val="18"/>
          <w:szCs w:val="18"/>
        </w:rPr>
      </w:pPr>
      <w:r w:rsidRPr="003C724E">
        <w:rPr>
          <w:rFonts w:ascii="Trebuchet MS" w:hAnsi="Trebuchet MS"/>
          <w:color w:val="auto"/>
          <w:sz w:val="18"/>
          <w:szCs w:val="18"/>
        </w:rPr>
        <w:t xml:space="preserve">Wat is er voor lesgevenden in een beroepsgericht vak door STO veranderd?. Figuur </w:t>
      </w:r>
      <w:r w:rsidRPr="003C724E" w:rsidR="003C724E">
        <w:rPr>
          <w:rFonts w:ascii="Trebuchet MS" w:hAnsi="Trebuchet MS"/>
          <w:color w:val="auto"/>
          <w:sz w:val="18"/>
          <w:szCs w:val="18"/>
        </w:rPr>
        <w:t>5</w:t>
      </w:r>
      <w:r w:rsidRPr="003C724E">
        <w:rPr>
          <w:rFonts w:ascii="Trebuchet MS" w:hAnsi="Trebuchet MS"/>
          <w:color w:val="auto"/>
          <w:sz w:val="18"/>
          <w:szCs w:val="18"/>
        </w:rPr>
        <w:t xml:space="preserve">.1 laat dit zien voor alle lesgevenden uitgesplitst naar achttien geformuleerde concrete veranderingen. Tabel </w:t>
      </w:r>
      <w:r w:rsidRPr="003C724E" w:rsidR="003C724E">
        <w:rPr>
          <w:rFonts w:ascii="Trebuchet MS" w:hAnsi="Trebuchet MS"/>
          <w:color w:val="auto"/>
          <w:sz w:val="18"/>
          <w:szCs w:val="18"/>
        </w:rPr>
        <w:t>5</w:t>
      </w:r>
      <w:r w:rsidRPr="003C724E">
        <w:rPr>
          <w:rFonts w:ascii="Trebuchet MS" w:hAnsi="Trebuchet MS"/>
          <w:color w:val="auto"/>
          <w:sz w:val="18"/>
          <w:szCs w:val="18"/>
        </w:rPr>
        <w:t xml:space="preserve">.4 laat deze verdeling ook zien voor lesgevenden die wel of geen technisch vak geven. </w:t>
      </w:r>
    </w:p>
    <w:p w:rsidRPr="00C21F2B" w:rsidR="003C724E" w:rsidP="00F33E01" w:rsidRDefault="003C724E" w14:paraId="7DE7E0E2" w14:textId="77777777">
      <w:pPr>
        <w:pStyle w:val="SEOStandaard"/>
        <w:rPr>
          <w:rFonts w:ascii="Trebuchet MS" w:hAnsi="Trebuchet MS"/>
          <w:sz w:val="18"/>
          <w:szCs w:val="18"/>
        </w:rPr>
      </w:pPr>
    </w:p>
    <w:p w:rsidRPr="00C21F2B" w:rsidR="00F33E01" w:rsidP="003C724E" w:rsidRDefault="003C724E" w14:paraId="59BF9F79" w14:textId="1796F944">
      <w:pPr>
        <w:pStyle w:val="Figuur"/>
        <w:rPr>
          <w:rFonts w:ascii="Trebuchet MS" w:hAnsi="Trebuchet MS"/>
          <w:sz w:val="18"/>
          <w:szCs w:val="18"/>
        </w:rPr>
      </w:pPr>
      <w:r w:rsidRPr="003C724E">
        <w:rPr>
          <w:rFonts w:ascii="Trebuchet MS" w:hAnsi="Trebuchet MS" w:eastAsiaTheme="minorEastAsia" w:cstheme="minorBidi"/>
          <w:i/>
          <w:iCs/>
          <w:noProof w:val="0"/>
          <w:sz w:val="18"/>
          <w:szCs w:val="18"/>
          <w:lang w:eastAsia="en-US"/>
        </w:rPr>
        <w:t xml:space="preserve">Figuur 5.1. </w:t>
      </w:r>
      <w:r w:rsidRPr="003C724E" w:rsidR="00F33E01">
        <w:rPr>
          <w:rFonts w:ascii="Trebuchet MS" w:hAnsi="Trebuchet MS" w:eastAsiaTheme="minorEastAsia" w:cstheme="minorBidi"/>
          <w:i/>
          <w:iCs/>
          <w:noProof w:val="0"/>
          <w:sz w:val="18"/>
          <w:szCs w:val="18"/>
          <w:lang w:eastAsia="en-US"/>
        </w:rPr>
        <w:t>Concrete veranderingen gerapporteerd door lesgevenden</w:t>
      </w:r>
    </w:p>
    <w:p w:rsidRPr="00C21F2B" w:rsidR="00F33E01" w:rsidP="00F33E01" w:rsidRDefault="00F33E01" w14:paraId="2755DC05" w14:textId="77777777">
      <w:pPr>
        <w:pStyle w:val="SEOStandaard"/>
        <w:rPr>
          <w:rFonts w:ascii="Trebuchet MS" w:hAnsi="Trebuchet MS"/>
          <w:sz w:val="18"/>
          <w:szCs w:val="18"/>
        </w:rPr>
      </w:pPr>
      <w:r w:rsidRPr="00C21F2B">
        <w:rPr>
          <w:rFonts w:ascii="Trebuchet MS" w:hAnsi="Trebuchet MS"/>
          <w:noProof/>
          <w:sz w:val="18"/>
          <w:szCs w:val="18"/>
        </w:rPr>
        <w:drawing>
          <wp:inline distT="0" distB="0" distL="0" distR="0" wp14:anchorId="481DAF9E" wp14:editId="6CE5AE32">
            <wp:extent cx="5940000" cy="4742597"/>
            <wp:effectExtent l="0" t="0" r="3810" b="1270"/>
            <wp:docPr id="1286189057" name="Grafiek 1">
              <a:extLst xmlns:a="http://schemas.openxmlformats.org/drawingml/2006/main">
                <a:ext uri="{FF2B5EF4-FFF2-40B4-BE49-F238E27FC236}">
                  <a16:creationId xmlns:a16="http://schemas.microsoft.com/office/drawing/2014/main" id="{3A6E327C-C107-8712-D843-F0DAA5E557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33E01" w:rsidP="003C724E" w:rsidRDefault="003C724E" w14:paraId="23E67759" w14:textId="64A2F518">
      <w:pPr>
        <w:pStyle w:val="SEOBron"/>
        <w:numPr>
          <w:ilvl w:val="0"/>
          <w:numId w:val="0"/>
        </w:numPr>
        <w:rPr>
          <w:rFonts w:ascii="Trebuchet MS" w:hAnsi="Trebuchet MS"/>
          <w:color w:val="auto"/>
          <w:szCs w:val="18"/>
        </w:rPr>
      </w:pPr>
      <w:r w:rsidRPr="003C724E">
        <w:rPr>
          <w:rFonts w:ascii="Trebuchet MS" w:hAnsi="Trebuchet MS"/>
          <w:color w:val="auto"/>
          <w:szCs w:val="18"/>
        </w:rPr>
        <w:t xml:space="preserve">Bron: </w:t>
      </w:r>
      <w:r w:rsidRPr="003C724E" w:rsidR="00F33E01">
        <w:rPr>
          <w:rFonts w:ascii="Trebuchet MS" w:hAnsi="Trebuchet MS"/>
          <w:color w:val="auto"/>
          <w:szCs w:val="18"/>
        </w:rPr>
        <w:t>Enquête lesgevenden bovenbouw vmbo (februari-mei 2025).</w:t>
      </w:r>
    </w:p>
    <w:p w:rsidRPr="003C724E" w:rsidR="004E1B10" w:rsidP="004E1B10" w:rsidRDefault="004E1B10" w14:paraId="6DC5DEE0" w14:textId="77777777">
      <w:pPr>
        <w:pStyle w:val="SEOStandaardN"/>
        <w:rPr>
          <w:rFonts w:ascii="Trebuchet MS" w:hAnsi="Trebuchet MS"/>
          <w:color w:val="auto"/>
          <w:sz w:val="18"/>
          <w:szCs w:val="18"/>
        </w:rPr>
      </w:pPr>
      <w:r w:rsidRPr="003C724E">
        <w:rPr>
          <w:rFonts w:ascii="Trebuchet MS" w:hAnsi="Trebuchet MS"/>
          <w:color w:val="auto"/>
          <w:sz w:val="18"/>
          <w:szCs w:val="18"/>
        </w:rPr>
        <w:t>Voor lesgevenden, met name in een technisch vak, springen de volgende concrete veranderingen als gevolg van STO eruit (meer dan de helft ervaart deze veranderingen): betere beschikbaarheid nieuwe apparatuur (gemiddeld ruim 8 op de 10), aanbod technische keuzevakken is uitgebreid, meer en beter contact met docenten van andere scholen (gemiddeld 6 op de 10), mbo, opleidingsbedrijven (gemiddeld ruim 5 op de 10), en technische bedrijven (6 op de 10). Ook geeft de helft van deze lesgevenden aan dat leerlingen vaker buitenschools in de praktijk leren door STO, en dat is significant meer dan de niet-techniekdocenten</w:t>
      </w:r>
    </w:p>
    <w:p w:rsidRPr="003C724E" w:rsidR="004E1B10" w:rsidP="004E1B10" w:rsidRDefault="004E1B10" w14:paraId="5B0417CE" w14:textId="77777777">
      <w:pPr>
        <w:pStyle w:val="SEOStandaardN"/>
        <w:rPr>
          <w:rFonts w:ascii="Trebuchet MS" w:hAnsi="Trebuchet MS"/>
          <w:color w:val="auto"/>
          <w:sz w:val="18"/>
          <w:szCs w:val="18"/>
        </w:rPr>
      </w:pPr>
    </w:p>
    <w:p w:rsidRPr="003C724E" w:rsidR="004E1B10" w:rsidP="004E1B10" w:rsidRDefault="004E1B10" w14:paraId="47123159" w14:textId="77777777">
      <w:pPr>
        <w:pStyle w:val="SEOStandaardN"/>
        <w:rPr>
          <w:rFonts w:ascii="Trebuchet MS" w:hAnsi="Trebuchet MS"/>
          <w:color w:val="auto"/>
          <w:sz w:val="18"/>
          <w:szCs w:val="18"/>
        </w:rPr>
      </w:pPr>
      <w:r w:rsidRPr="003C724E">
        <w:rPr>
          <w:rFonts w:ascii="Trebuchet MS" w:hAnsi="Trebuchet MS"/>
          <w:color w:val="auto"/>
          <w:sz w:val="18"/>
          <w:szCs w:val="18"/>
        </w:rPr>
        <w:lastRenderedPageBreak/>
        <w:t xml:space="preserve">Concrete veranderingen die het minst ervaren worden door lesgevenden in een technisch vak zijn het gebruik maken van een regionale voorziening (een kwart), een centrale voorziening zoals een stagebureau of bedrijfscontactpersonen (gemiddeld bijna 3 op de 10) en samenwerking met onderbouwcollega’s (gemiddeld 4 op de 10); hoewel de laatste wel significant vaker wordt genoemd door lesgevenden die een technisch vak geven dan door niet-techniekdocenten. </w:t>
      </w:r>
    </w:p>
    <w:p w:rsidRPr="003C724E" w:rsidR="004E1B10" w:rsidP="004E1B10" w:rsidRDefault="004E1B10" w14:paraId="1FFBF24F" w14:textId="77777777">
      <w:pPr>
        <w:pStyle w:val="SEOOpsommingBulletL1"/>
        <w:numPr>
          <w:ilvl w:val="0"/>
          <w:numId w:val="0"/>
        </w:numPr>
        <w:ind w:left="397" w:hanging="397"/>
        <w:rPr>
          <w:rFonts w:ascii="Trebuchet MS" w:hAnsi="Trebuchet MS"/>
          <w:color w:val="auto"/>
          <w:sz w:val="18"/>
          <w:szCs w:val="18"/>
        </w:rPr>
      </w:pPr>
    </w:p>
    <w:p w:rsidRPr="003C724E" w:rsidR="004E1B10" w:rsidP="004E1B10" w:rsidRDefault="004E1B10" w14:paraId="1F8B8569" w14:textId="77777777">
      <w:pPr>
        <w:pStyle w:val="SEOStandaard"/>
        <w:rPr>
          <w:rFonts w:ascii="Trebuchet MS" w:hAnsi="Trebuchet MS"/>
          <w:color w:val="auto"/>
          <w:sz w:val="18"/>
          <w:szCs w:val="18"/>
        </w:rPr>
      </w:pPr>
      <w:r w:rsidRPr="003C724E">
        <w:rPr>
          <w:rFonts w:ascii="Trebuchet MS" w:hAnsi="Trebuchet MS"/>
          <w:color w:val="auto"/>
          <w:sz w:val="18"/>
          <w:szCs w:val="18"/>
        </w:rPr>
        <w:t xml:space="preserve">Ongeveer de helft van de lesgevenden geeft aan dat STO heeft bijgedragen aan uitbreiding van het aanbod aan technische keuzevakken (gemiddeld 6 op de 10), aan vaker buitenschools leren en aan meer/betere contacten met het mbo en opleidingsbedrijven (gemiddeld 5 op de 10). Ook bij deze percentages geldt dat deze veranderingen met name worden gerapporteerd door lesgevenden die een technisch vak geven. Onder lesgevenden die geen technisch vak geven is dit significant lager.  </w:t>
      </w:r>
    </w:p>
    <w:p w:rsidRPr="003C724E" w:rsidR="004E1B10" w:rsidP="004E1B10" w:rsidRDefault="004E1B10" w14:paraId="4689D646" w14:textId="77777777">
      <w:pPr>
        <w:pStyle w:val="SEOStandaard"/>
        <w:numPr>
          <w:ilvl w:val="0"/>
          <w:numId w:val="0"/>
        </w:numPr>
        <w:rPr>
          <w:rFonts w:ascii="Trebuchet MS" w:hAnsi="Trebuchet MS"/>
          <w:color w:val="auto"/>
          <w:sz w:val="18"/>
          <w:szCs w:val="18"/>
        </w:rPr>
      </w:pPr>
    </w:p>
    <w:p w:rsidR="004E1B10" w:rsidP="004E1B10" w:rsidRDefault="004E1B10" w14:paraId="30EE200F" w14:textId="77777777">
      <w:pPr>
        <w:pStyle w:val="SEOStandaard"/>
        <w:numPr>
          <w:ilvl w:val="0"/>
          <w:numId w:val="0"/>
        </w:numPr>
        <w:rPr>
          <w:rFonts w:ascii="Trebuchet MS" w:hAnsi="Trebuchet MS"/>
          <w:color w:val="auto"/>
          <w:sz w:val="18"/>
          <w:szCs w:val="18"/>
        </w:rPr>
      </w:pPr>
      <w:r w:rsidRPr="003C724E">
        <w:rPr>
          <w:rFonts w:ascii="Trebuchet MS" w:hAnsi="Trebuchet MS"/>
          <w:color w:val="auto"/>
          <w:sz w:val="18"/>
          <w:szCs w:val="18"/>
        </w:rPr>
        <w:t xml:space="preserve">Ongeveer 15 procent van de lesgevenden die een technisch vak geven, rapporteren ook andere concrete veranderingen. In deze open antwoorden komt veelal overleg en regelwerk naar voren. Een deel van de lesgevenden geeft hierin ook aan dat zonder STO bepaalde contacten er ook al waren en hoe dan ook nodig zijn.  </w:t>
      </w:r>
    </w:p>
    <w:p w:rsidRPr="003C724E" w:rsidR="004E1B10" w:rsidP="004E1B10" w:rsidRDefault="004E1B10" w14:paraId="40BD508E" w14:textId="77777777">
      <w:pPr>
        <w:pStyle w:val="SEOStandaard"/>
        <w:numPr>
          <w:ilvl w:val="0"/>
          <w:numId w:val="0"/>
        </w:numPr>
        <w:rPr>
          <w:rFonts w:ascii="Trebuchet MS" w:hAnsi="Trebuchet MS"/>
          <w:color w:val="auto"/>
          <w:sz w:val="18"/>
          <w:szCs w:val="18"/>
        </w:rPr>
      </w:pPr>
    </w:p>
    <w:p w:rsidRPr="003C724E" w:rsidR="00F33E01" w:rsidP="003C724E" w:rsidRDefault="003C724E" w14:paraId="5B7D4867" w14:textId="0E07493E">
      <w:pPr>
        <w:pStyle w:val="Figuur"/>
        <w:rPr>
          <w:rFonts w:ascii="Trebuchet MS" w:hAnsi="Trebuchet MS" w:eastAsiaTheme="minorEastAsia" w:cstheme="minorBidi"/>
          <w:i/>
          <w:iCs/>
          <w:noProof w:val="0"/>
          <w:sz w:val="18"/>
          <w:szCs w:val="18"/>
          <w:lang w:eastAsia="en-US"/>
        </w:rPr>
      </w:pPr>
      <w:r w:rsidRPr="003C724E">
        <w:rPr>
          <w:rFonts w:ascii="Trebuchet MS" w:hAnsi="Trebuchet MS" w:eastAsiaTheme="minorEastAsia" w:cstheme="minorBidi"/>
          <w:i/>
          <w:iCs/>
          <w:noProof w:val="0"/>
          <w:sz w:val="18"/>
          <w:szCs w:val="18"/>
          <w:lang w:eastAsia="en-US"/>
        </w:rPr>
        <w:t xml:space="preserve">Tabel 5.4. </w:t>
      </w:r>
      <w:r w:rsidRPr="003C724E" w:rsidR="00F33E01">
        <w:rPr>
          <w:rFonts w:ascii="Trebuchet MS" w:hAnsi="Trebuchet MS" w:eastAsiaTheme="minorEastAsia" w:cstheme="minorBidi"/>
          <w:i/>
          <w:iCs/>
          <w:noProof w:val="0"/>
          <w:sz w:val="18"/>
          <w:szCs w:val="18"/>
          <w:lang w:eastAsia="en-US"/>
        </w:rPr>
        <w:t>Concrete verandering voor lesgevenden, uitgesplitst naar wel of geen technisch vak</w:t>
      </w:r>
    </w:p>
    <w:tbl>
      <w:tblPr>
        <w:tblStyle w:val="SEOTabel2"/>
        <w:tblW w:w="9380" w:type="dxa"/>
        <w:tblLayout w:type="fixed"/>
        <w:tblCellMar>
          <w:top w:w="28" w:type="dxa"/>
          <w:left w:w="28" w:type="dxa"/>
          <w:bottom w:w="28" w:type="dxa"/>
          <w:right w:w="28" w:type="dxa"/>
        </w:tblCellMar>
        <w:tblLook w:val="04A0" w:firstRow="1" w:lastRow="0" w:firstColumn="1" w:lastColumn="0" w:noHBand="0" w:noVBand="1"/>
      </w:tblPr>
      <w:tblGrid>
        <w:gridCol w:w="7143"/>
        <w:gridCol w:w="745"/>
        <w:gridCol w:w="746"/>
        <w:gridCol w:w="746"/>
      </w:tblGrid>
      <w:tr w:rsidRPr="00C21F2B" w:rsidR="00F33E01" w:rsidTr="00DF52A3" w14:paraId="6401A20A" w14:textId="77777777">
        <w:trPr>
          <w:cnfStyle w:val="100000000000" w:firstRow="1" w:lastRow="0" w:firstColumn="0" w:lastColumn="0" w:oddVBand="0" w:evenVBand="0" w:oddHBand="0" w:evenHBand="0" w:firstRowFirstColumn="0" w:firstRowLastColumn="0" w:lastRowFirstColumn="0" w:lastRowLastColumn="0"/>
          <w:cantSplit/>
          <w:trHeight w:val="1814"/>
        </w:trPr>
        <w:tc>
          <w:tcPr>
            <w:cnfStyle w:val="001000000000" w:firstRow="0" w:lastRow="0" w:firstColumn="1" w:lastColumn="0" w:oddVBand="0" w:evenVBand="0" w:oddHBand="0" w:evenHBand="0" w:firstRowFirstColumn="0" w:firstRowLastColumn="0" w:lastRowFirstColumn="0" w:lastRowLastColumn="0"/>
            <w:tcW w:w="7143" w:type="dxa"/>
            <w:noWrap/>
            <w:vAlign w:val="center"/>
            <w:hideMark/>
          </w:tcPr>
          <w:p w:rsidRPr="00C21F2B" w:rsidR="00F33E01" w:rsidP="00F33E01" w:rsidRDefault="00F33E01" w14:paraId="704F84A9" w14:textId="77777777">
            <w:pPr>
              <w:pStyle w:val="SEOStandaard"/>
              <w:spacing w:line="240" w:lineRule="auto"/>
              <w:jc w:val="left"/>
              <w:rPr>
                <w:rFonts w:ascii="Trebuchet MS" w:hAnsi="Trebuchet MS"/>
                <w:bCs/>
                <w:color w:val="FFFFFF" w:themeColor="background1"/>
                <w:sz w:val="18"/>
                <w:szCs w:val="18"/>
              </w:rPr>
            </w:pPr>
            <w:r w:rsidRPr="00C21F2B">
              <w:rPr>
                <w:rFonts w:ascii="Trebuchet MS" w:hAnsi="Trebuchet MS"/>
                <w:bCs/>
                <w:color w:val="FFFFFF" w:themeColor="background1"/>
                <w:sz w:val="18"/>
                <w:szCs w:val="18"/>
              </w:rPr>
              <w:t>Door Sterk Techniekonderwijs is voor lesgevende/docent beroepsgerichte vakken concreet veranderd:</w:t>
            </w:r>
          </w:p>
        </w:tc>
        <w:tc>
          <w:tcPr>
            <w:tcW w:w="745" w:type="dxa"/>
            <w:noWrap/>
            <w:textDirection w:val="btLr"/>
            <w:vAlign w:val="center"/>
            <w:hideMark/>
          </w:tcPr>
          <w:p w:rsidRPr="00C21F2B" w:rsidR="00F33E01" w:rsidP="00F33E01" w:rsidRDefault="00F33E01" w14:paraId="35A14127" w14:textId="77777777">
            <w:pPr>
              <w:pStyle w:val="SEOStandaard"/>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C21F2B">
              <w:rPr>
                <w:rFonts w:ascii="Trebuchet MS" w:hAnsi="Trebuchet MS"/>
                <w:color w:val="FFFFFF" w:themeColor="background1"/>
                <w:sz w:val="18"/>
                <w:szCs w:val="18"/>
              </w:rPr>
              <w:t>Alle lesgevenden (n=364)</w:t>
            </w:r>
          </w:p>
        </w:tc>
        <w:tc>
          <w:tcPr>
            <w:tcW w:w="746" w:type="dxa"/>
            <w:noWrap/>
            <w:textDirection w:val="btLr"/>
            <w:vAlign w:val="center"/>
            <w:hideMark/>
          </w:tcPr>
          <w:p w:rsidRPr="00C21F2B" w:rsidR="00F33E01" w:rsidP="00F33E01" w:rsidRDefault="00F33E01" w14:paraId="064D5574" w14:textId="77777777">
            <w:pPr>
              <w:pStyle w:val="SEOStandaard"/>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C21F2B">
              <w:rPr>
                <w:rFonts w:ascii="Trebuchet MS" w:hAnsi="Trebuchet MS"/>
                <w:color w:val="FFFFFF" w:themeColor="background1"/>
                <w:sz w:val="18"/>
                <w:szCs w:val="18"/>
              </w:rPr>
              <w:t>Technisch vak (n=284)</w:t>
            </w:r>
          </w:p>
        </w:tc>
        <w:tc>
          <w:tcPr>
            <w:tcW w:w="746" w:type="dxa"/>
            <w:noWrap/>
            <w:textDirection w:val="btLr"/>
            <w:vAlign w:val="center"/>
            <w:hideMark/>
          </w:tcPr>
          <w:p w:rsidRPr="00C21F2B" w:rsidR="00F33E01" w:rsidP="00F33E01" w:rsidRDefault="00F33E01" w14:paraId="5FD40646" w14:textId="77777777">
            <w:pPr>
              <w:pStyle w:val="SEOStandaard"/>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C21F2B">
              <w:rPr>
                <w:rFonts w:ascii="Trebuchet MS" w:hAnsi="Trebuchet MS"/>
                <w:color w:val="FFFFFF" w:themeColor="background1"/>
                <w:sz w:val="18"/>
                <w:szCs w:val="18"/>
              </w:rPr>
              <w:t>Geen technisch vak (n=80)</w:t>
            </w:r>
          </w:p>
        </w:tc>
      </w:tr>
      <w:tr w:rsidRPr="00C21F2B" w:rsidR="00F33E01" w:rsidTr="00DF52A3" w14:paraId="43ED5DF5" w14:textId="77777777">
        <w:trPr>
          <w:trHeight w:val="227"/>
        </w:trPr>
        <w:tc>
          <w:tcPr>
            <w:cnfStyle w:val="001000000000" w:firstRow="0" w:lastRow="0" w:firstColumn="1" w:lastColumn="0" w:oddVBand="0" w:evenVBand="0" w:oddHBand="0" w:evenHBand="0" w:firstRowFirstColumn="0" w:firstRowLastColumn="0" w:lastRowFirstColumn="0" w:lastRowLastColumn="0"/>
            <w:tcW w:w="7143" w:type="dxa"/>
            <w:noWrap/>
            <w:vAlign w:val="center"/>
            <w:hideMark/>
          </w:tcPr>
          <w:p w:rsidRPr="00C21F2B" w:rsidR="00F33E01" w:rsidP="00F33E01" w:rsidRDefault="00F33E01" w14:paraId="2DB24814"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Beschikbaarheid van nieuwe apparatuur etc. in mijn profiel</w:t>
            </w:r>
          </w:p>
        </w:tc>
        <w:tc>
          <w:tcPr>
            <w:tcW w:w="745" w:type="dxa"/>
            <w:noWrap/>
            <w:hideMark/>
          </w:tcPr>
          <w:p w:rsidRPr="00C21F2B" w:rsidR="00F33E01" w:rsidP="00F33E01" w:rsidRDefault="00F33E01" w14:paraId="2B83F711"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79%</w:t>
            </w:r>
          </w:p>
        </w:tc>
        <w:tc>
          <w:tcPr>
            <w:tcW w:w="746" w:type="dxa"/>
            <w:noWrap/>
            <w:hideMark/>
          </w:tcPr>
          <w:p w:rsidRPr="00C21F2B" w:rsidR="00F33E01" w:rsidP="00F33E01" w:rsidRDefault="00F33E01" w14:paraId="00AA0BD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86%*</w:t>
            </w:r>
          </w:p>
        </w:tc>
        <w:tc>
          <w:tcPr>
            <w:tcW w:w="746" w:type="dxa"/>
            <w:noWrap/>
            <w:hideMark/>
          </w:tcPr>
          <w:p w:rsidRPr="00C21F2B" w:rsidR="00F33E01" w:rsidP="00F33E01" w:rsidRDefault="00F33E01" w14:paraId="1693ECBA"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51%</w:t>
            </w:r>
          </w:p>
        </w:tc>
      </w:tr>
      <w:tr w:rsidRPr="00C21F2B" w:rsidR="00F33E01" w:rsidTr="00DF52A3" w14:paraId="4ED840E3" w14:textId="77777777">
        <w:trPr>
          <w:trHeight w:val="227"/>
        </w:trPr>
        <w:tc>
          <w:tcPr>
            <w:cnfStyle w:val="001000000000" w:firstRow="0" w:lastRow="0" w:firstColumn="1" w:lastColumn="0" w:oddVBand="0" w:evenVBand="0" w:oddHBand="0" w:evenHBand="0" w:firstRowFirstColumn="0" w:firstRowLastColumn="0" w:lastRowFirstColumn="0" w:lastRowLastColumn="0"/>
            <w:tcW w:w="7143" w:type="dxa"/>
            <w:noWrap/>
            <w:vAlign w:val="center"/>
            <w:hideMark/>
          </w:tcPr>
          <w:p w:rsidRPr="00C21F2B" w:rsidR="00F33E01" w:rsidP="00F33E01" w:rsidRDefault="00F33E01" w14:paraId="043A62CD"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Nieuwe apparatuur etc. in de school, waar ik gebruik van maak</w:t>
            </w:r>
          </w:p>
        </w:tc>
        <w:tc>
          <w:tcPr>
            <w:tcW w:w="745" w:type="dxa"/>
            <w:noWrap/>
            <w:hideMark/>
          </w:tcPr>
          <w:p w:rsidRPr="00C21F2B" w:rsidR="00F33E01" w:rsidP="00F33E01" w:rsidRDefault="00F33E01" w14:paraId="4EED05B9"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76%</w:t>
            </w:r>
          </w:p>
        </w:tc>
        <w:tc>
          <w:tcPr>
            <w:tcW w:w="746" w:type="dxa"/>
            <w:noWrap/>
            <w:hideMark/>
          </w:tcPr>
          <w:p w:rsidRPr="00C21F2B" w:rsidR="00F33E01" w:rsidP="00F33E01" w:rsidRDefault="00F33E01" w14:paraId="76016D56"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83%*</w:t>
            </w:r>
          </w:p>
        </w:tc>
        <w:tc>
          <w:tcPr>
            <w:tcW w:w="746" w:type="dxa"/>
            <w:noWrap/>
            <w:hideMark/>
          </w:tcPr>
          <w:p w:rsidRPr="00C21F2B" w:rsidR="00F33E01" w:rsidP="00F33E01" w:rsidRDefault="00F33E01" w14:paraId="2FCC61FF"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50%</w:t>
            </w:r>
          </w:p>
        </w:tc>
      </w:tr>
      <w:tr w:rsidRPr="00C21F2B" w:rsidR="00F33E01" w:rsidTr="00DF52A3" w14:paraId="54515EAB" w14:textId="77777777">
        <w:trPr>
          <w:trHeight w:val="227"/>
        </w:trPr>
        <w:tc>
          <w:tcPr>
            <w:cnfStyle w:val="001000000000" w:firstRow="0" w:lastRow="0" w:firstColumn="1" w:lastColumn="0" w:oddVBand="0" w:evenVBand="0" w:oddHBand="0" w:evenHBand="0" w:firstRowFirstColumn="0" w:firstRowLastColumn="0" w:lastRowFirstColumn="0" w:lastRowLastColumn="0"/>
            <w:tcW w:w="7143" w:type="dxa"/>
            <w:noWrap/>
            <w:vAlign w:val="center"/>
            <w:hideMark/>
          </w:tcPr>
          <w:p w:rsidRPr="00C21F2B" w:rsidR="00F33E01" w:rsidP="00F33E01" w:rsidRDefault="00F33E01" w14:paraId="593E28B8"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Nieuw lokaal in school waar ik gebruik van maak</w:t>
            </w:r>
          </w:p>
        </w:tc>
        <w:tc>
          <w:tcPr>
            <w:tcW w:w="745" w:type="dxa"/>
            <w:noWrap/>
            <w:hideMark/>
          </w:tcPr>
          <w:p w:rsidRPr="00C21F2B" w:rsidR="00F33E01" w:rsidP="00F33E01" w:rsidRDefault="00F33E01" w14:paraId="40ACF60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38%</w:t>
            </w:r>
          </w:p>
        </w:tc>
        <w:tc>
          <w:tcPr>
            <w:tcW w:w="746" w:type="dxa"/>
            <w:noWrap/>
            <w:hideMark/>
          </w:tcPr>
          <w:p w:rsidRPr="00C21F2B" w:rsidR="00F33E01" w:rsidP="00F33E01" w:rsidRDefault="00F33E01" w14:paraId="46676CEB"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44%*</w:t>
            </w:r>
          </w:p>
        </w:tc>
        <w:tc>
          <w:tcPr>
            <w:tcW w:w="746" w:type="dxa"/>
            <w:noWrap/>
            <w:hideMark/>
          </w:tcPr>
          <w:p w:rsidRPr="00C21F2B" w:rsidR="00F33E01" w:rsidP="00F33E01" w:rsidRDefault="00F33E01" w14:paraId="08CA4F5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19%</w:t>
            </w:r>
          </w:p>
        </w:tc>
      </w:tr>
      <w:tr w:rsidRPr="00C21F2B" w:rsidR="00F33E01" w:rsidTr="00DF52A3" w14:paraId="01A376D9" w14:textId="77777777">
        <w:trPr>
          <w:trHeight w:val="227"/>
        </w:trPr>
        <w:tc>
          <w:tcPr>
            <w:cnfStyle w:val="001000000000" w:firstRow="0" w:lastRow="0" w:firstColumn="1" w:lastColumn="0" w:oddVBand="0" w:evenVBand="0" w:oddHBand="0" w:evenHBand="0" w:firstRowFirstColumn="0" w:firstRowLastColumn="0" w:lastRowFirstColumn="0" w:lastRowLastColumn="0"/>
            <w:tcW w:w="7143" w:type="dxa"/>
            <w:noWrap/>
            <w:vAlign w:val="center"/>
            <w:hideMark/>
          </w:tcPr>
          <w:p w:rsidRPr="00C21F2B" w:rsidR="00F33E01" w:rsidP="00F33E01" w:rsidRDefault="00F33E01" w14:paraId="50A99F36"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Regionale voorziening waar ik gebruik van maak</w:t>
            </w:r>
          </w:p>
        </w:tc>
        <w:tc>
          <w:tcPr>
            <w:tcW w:w="745" w:type="dxa"/>
            <w:noWrap/>
            <w:hideMark/>
          </w:tcPr>
          <w:p w:rsidRPr="00C21F2B" w:rsidR="00F33E01" w:rsidP="00F33E01" w:rsidRDefault="00F33E01" w14:paraId="164DB356"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24%</w:t>
            </w:r>
          </w:p>
        </w:tc>
        <w:tc>
          <w:tcPr>
            <w:tcW w:w="746" w:type="dxa"/>
            <w:noWrap/>
            <w:hideMark/>
          </w:tcPr>
          <w:p w:rsidRPr="00C21F2B" w:rsidR="00F33E01" w:rsidP="00F33E01" w:rsidRDefault="00F33E01" w14:paraId="3DE5A01E"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24%</w:t>
            </w:r>
          </w:p>
        </w:tc>
        <w:tc>
          <w:tcPr>
            <w:tcW w:w="746" w:type="dxa"/>
            <w:noWrap/>
            <w:hideMark/>
          </w:tcPr>
          <w:p w:rsidRPr="00C21F2B" w:rsidR="00F33E01" w:rsidP="00F33E01" w:rsidRDefault="00F33E01" w14:paraId="2D3C6961"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21%</w:t>
            </w:r>
          </w:p>
        </w:tc>
      </w:tr>
      <w:tr w:rsidRPr="00C21F2B" w:rsidR="00F33E01" w:rsidTr="00DF52A3" w14:paraId="4409A017" w14:textId="77777777">
        <w:trPr>
          <w:trHeight w:val="227"/>
        </w:trPr>
        <w:tc>
          <w:tcPr>
            <w:cnfStyle w:val="001000000000" w:firstRow="0" w:lastRow="0" w:firstColumn="1" w:lastColumn="0" w:oddVBand="0" w:evenVBand="0" w:oddHBand="0" w:evenHBand="0" w:firstRowFirstColumn="0" w:firstRowLastColumn="0" w:lastRowFirstColumn="0" w:lastRowLastColumn="0"/>
            <w:tcW w:w="7143" w:type="dxa"/>
            <w:noWrap/>
            <w:vAlign w:val="center"/>
            <w:hideMark/>
          </w:tcPr>
          <w:p w:rsidRPr="00C21F2B" w:rsidR="00F33E01" w:rsidP="00F33E01" w:rsidRDefault="00F33E01" w14:paraId="771316AE"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Aanbod aan technische keuzevakken uitgebreid</w:t>
            </w:r>
          </w:p>
        </w:tc>
        <w:tc>
          <w:tcPr>
            <w:tcW w:w="745" w:type="dxa"/>
            <w:noWrap/>
            <w:hideMark/>
          </w:tcPr>
          <w:p w:rsidRPr="00C21F2B" w:rsidR="00F33E01" w:rsidP="00F33E01" w:rsidRDefault="00F33E01" w14:paraId="325A05BA"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56%</w:t>
            </w:r>
          </w:p>
        </w:tc>
        <w:tc>
          <w:tcPr>
            <w:tcW w:w="746" w:type="dxa"/>
            <w:noWrap/>
            <w:hideMark/>
          </w:tcPr>
          <w:p w:rsidRPr="00C21F2B" w:rsidR="00F33E01" w:rsidP="00F33E01" w:rsidRDefault="00F33E01" w14:paraId="429A80F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61%*</w:t>
            </w:r>
          </w:p>
        </w:tc>
        <w:tc>
          <w:tcPr>
            <w:tcW w:w="746" w:type="dxa"/>
            <w:noWrap/>
            <w:hideMark/>
          </w:tcPr>
          <w:p w:rsidRPr="00C21F2B" w:rsidR="00F33E01" w:rsidP="00F33E01" w:rsidRDefault="00F33E01" w14:paraId="3C52801D"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36%</w:t>
            </w:r>
          </w:p>
        </w:tc>
      </w:tr>
      <w:tr w:rsidRPr="00C21F2B" w:rsidR="00F33E01" w:rsidTr="00DF52A3" w14:paraId="151CD2B6" w14:textId="77777777">
        <w:trPr>
          <w:trHeight w:val="227"/>
        </w:trPr>
        <w:tc>
          <w:tcPr>
            <w:cnfStyle w:val="001000000000" w:firstRow="0" w:lastRow="0" w:firstColumn="1" w:lastColumn="0" w:oddVBand="0" w:evenVBand="0" w:oddHBand="0" w:evenHBand="0" w:firstRowFirstColumn="0" w:firstRowLastColumn="0" w:lastRowFirstColumn="0" w:lastRowLastColumn="0"/>
            <w:tcW w:w="7143" w:type="dxa"/>
            <w:noWrap/>
            <w:vAlign w:val="center"/>
            <w:hideMark/>
          </w:tcPr>
          <w:p w:rsidRPr="00C21F2B" w:rsidR="00F33E01" w:rsidP="00F33E01" w:rsidRDefault="00F33E01" w14:paraId="404F7E1A"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Leerlingen leren vaker buitenschools, in de praktijk</w:t>
            </w:r>
          </w:p>
        </w:tc>
        <w:tc>
          <w:tcPr>
            <w:tcW w:w="745" w:type="dxa"/>
            <w:noWrap/>
            <w:hideMark/>
          </w:tcPr>
          <w:p w:rsidRPr="00C21F2B" w:rsidR="00F33E01" w:rsidP="00F33E01" w:rsidRDefault="00F33E01" w14:paraId="44A58CED"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46%</w:t>
            </w:r>
          </w:p>
        </w:tc>
        <w:tc>
          <w:tcPr>
            <w:tcW w:w="746" w:type="dxa"/>
            <w:noWrap/>
            <w:hideMark/>
          </w:tcPr>
          <w:p w:rsidRPr="00C21F2B" w:rsidR="00F33E01" w:rsidP="00F33E01" w:rsidRDefault="00F33E01" w14:paraId="1E1C4601"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50%*</w:t>
            </w:r>
          </w:p>
        </w:tc>
        <w:tc>
          <w:tcPr>
            <w:tcW w:w="746" w:type="dxa"/>
            <w:noWrap/>
            <w:hideMark/>
          </w:tcPr>
          <w:p w:rsidRPr="00C21F2B" w:rsidR="00F33E01" w:rsidP="00F33E01" w:rsidRDefault="00F33E01" w14:paraId="3DB6490A"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34%</w:t>
            </w:r>
          </w:p>
        </w:tc>
      </w:tr>
      <w:tr w:rsidRPr="00C21F2B" w:rsidR="00F33E01" w:rsidTr="00DF52A3" w14:paraId="25009E96" w14:textId="77777777">
        <w:trPr>
          <w:trHeight w:val="227"/>
        </w:trPr>
        <w:tc>
          <w:tcPr>
            <w:cnfStyle w:val="001000000000" w:firstRow="0" w:lastRow="0" w:firstColumn="1" w:lastColumn="0" w:oddVBand="0" w:evenVBand="0" w:oddHBand="0" w:evenHBand="0" w:firstRowFirstColumn="0" w:firstRowLastColumn="0" w:lastRowFirstColumn="0" w:lastRowLastColumn="0"/>
            <w:tcW w:w="7143" w:type="dxa"/>
            <w:noWrap/>
            <w:vAlign w:val="center"/>
            <w:hideMark/>
          </w:tcPr>
          <w:p w:rsidRPr="00C21F2B" w:rsidR="00F33E01" w:rsidP="00F33E01" w:rsidRDefault="00F33E01" w14:paraId="0DCC4DF0"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Samenstelling van team is veranderd</w:t>
            </w:r>
          </w:p>
        </w:tc>
        <w:tc>
          <w:tcPr>
            <w:tcW w:w="745" w:type="dxa"/>
            <w:noWrap/>
            <w:hideMark/>
          </w:tcPr>
          <w:p w:rsidRPr="00C21F2B" w:rsidR="00F33E01" w:rsidP="00F33E01" w:rsidRDefault="00F33E01" w14:paraId="71D69E0A"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39%</w:t>
            </w:r>
          </w:p>
        </w:tc>
        <w:tc>
          <w:tcPr>
            <w:tcW w:w="746" w:type="dxa"/>
            <w:noWrap/>
            <w:hideMark/>
          </w:tcPr>
          <w:p w:rsidRPr="00C21F2B" w:rsidR="00F33E01" w:rsidP="00F33E01" w:rsidRDefault="00F33E01" w14:paraId="5179EC21"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45%*</w:t>
            </w:r>
          </w:p>
        </w:tc>
        <w:tc>
          <w:tcPr>
            <w:tcW w:w="746" w:type="dxa"/>
            <w:noWrap/>
            <w:hideMark/>
          </w:tcPr>
          <w:p w:rsidRPr="00C21F2B" w:rsidR="00F33E01" w:rsidP="00F33E01" w:rsidRDefault="00F33E01" w14:paraId="4D6489A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19%</w:t>
            </w:r>
          </w:p>
        </w:tc>
      </w:tr>
      <w:tr w:rsidRPr="00C21F2B" w:rsidR="00F33E01" w:rsidTr="00DF52A3" w14:paraId="74168FA7" w14:textId="77777777">
        <w:trPr>
          <w:trHeight w:val="227"/>
        </w:trPr>
        <w:tc>
          <w:tcPr>
            <w:cnfStyle w:val="001000000000" w:firstRow="0" w:lastRow="0" w:firstColumn="1" w:lastColumn="0" w:oddVBand="0" w:evenVBand="0" w:oddHBand="0" w:evenHBand="0" w:firstRowFirstColumn="0" w:firstRowLastColumn="0" w:lastRowFirstColumn="0" w:lastRowLastColumn="0"/>
            <w:tcW w:w="7143" w:type="dxa"/>
            <w:noWrap/>
            <w:vAlign w:val="center"/>
            <w:hideMark/>
          </w:tcPr>
          <w:p w:rsidRPr="00C21F2B" w:rsidR="00F33E01" w:rsidP="00F33E01" w:rsidRDefault="00F33E01" w14:paraId="23D0A3B4"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Nieuwe collega's afkomstig uit het bedrijfsleven/zij-instromers</w:t>
            </w:r>
          </w:p>
        </w:tc>
        <w:tc>
          <w:tcPr>
            <w:tcW w:w="745" w:type="dxa"/>
            <w:noWrap/>
            <w:hideMark/>
          </w:tcPr>
          <w:p w:rsidRPr="00C21F2B" w:rsidR="00F33E01" w:rsidP="00F33E01" w:rsidRDefault="00F33E01" w14:paraId="1625079C"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40%</w:t>
            </w:r>
          </w:p>
        </w:tc>
        <w:tc>
          <w:tcPr>
            <w:tcW w:w="746" w:type="dxa"/>
            <w:noWrap/>
            <w:hideMark/>
          </w:tcPr>
          <w:p w:rsidRPr="00C21F2B" w:rsidR="00F33E01" w:rsidP="00F33E01" w:rsidRDefault="00F33E01" w14:paraId="25A1AFA2"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45%*</w:t>
            </w:r>
          </w:p>
        </w:tc>
        <w:tc>
          <w:tcPr>
            <w:tcW w:w="746" w:type="dxa"/>
            <w:noWrap/>
            <w:hideMark/>
          </w:tcPr>
          <w:p w:rsidRPr="00C21F2B" w:rsidR="00F33E01" w:rsidP="00F33E01" w:rsidRDefault="00F33E01" w14:paraId="46DBAA06"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23%</w:t>
            </w:r>
          </w:p>
        </w:tc>
      </w:tr>
      <w:tr w:rsidRPr="00C21F2B" w:rsidR="00F33E01" w:rsidTr="00DF52A3" w14:paraId="7AC790AD" w14:textId="77777777">
        <w:trPr>
          <w:trHeight w:val="227"/>
        </w:trPr>
        <w:tc>
          <w:tcPr>
            <w:cnfStyle w:val="001000000000" w:firstRow="0" w:lastRow="0" w:firstColumn="1" w:lastColumn="0" w:oddVBand="0" w:evenVBand="0" w:oddHBand="0" w:evenHBand="0" w:firstRowFirstColumn="0" w:firstRowLastColumn="0" w:lastRowFirstColumn="0" w:lastRowLastColumn="0"/>
            <w:tcW w:w="7143" w:type="dxa"/>
            <w:noWrap/>
            <w:vAlign w:val="center"/>
            <w:hideMark/>
          </w:tcPr>
          <w:p w:rsidRPr="00C21F2B" w:rsidR="00F33E01" w:rsidP="00F33E01" w:rsidRDefault="00F33E01" w14:paraId="2091F3F4"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Effectieve aanpak gekomen om meer personeel aan te nemen</w:t>
            </w:r>
          </w:p>
        </w:tc>
        <w:tc>
          <w:tcPr>
            <w:tcW w:w="745" w:type="dxa"/>
            <w:noWrap/>
            <w:hideMark/>
          </w:tcPr>
          <w:p w:rsidRPr="00C21F2B" w:rsidR="00F33E01" w:rsidP="00F33E01" w:rsidRDefault="00F33E01" w14:paraId="1A489BE7"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37%</w:t>
            </w:r>
          </w:p>
        </w:tc>
        <w:tc>
          <w:tcPr>
            <w:tcW w:w="746" w:type="dxa"/>
            <w:noWrap/>
            <w:hideMark/>
          </w:tcPr>
          <w:p w:rsidRPr="00C21F2B" w:rsidR="00F33E01" w:rsidP="00F33E01" w:rsidRDefault="00F33E01" w14:paraId="6E91B299"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43%*</w:t>
            </w:r>
          </w:p>
        </w:tc>
        <w:tc>
          <w:tcPr>
            <w:tcW w:w="746" w:type="dxa"/>
            <w:noWrap/>
            <w:hideMark/>
          </w:tcPr>
          <w:p w:rsidRPr="00C21F2B" w:rsidR="00F33E01" w:rsidP="00F33E01" w:rsidRDefault="00F33E01" w14:paraId="667D94EF"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15%</w:t>
            </w:r>
          </w:p>
        </w:tc>
      </w:tr>
      <w:tr w:rsidRPr="00C21F2B" w:rsidR="00F33E01" w:rsidTr="00DF52A3" w14:paraId="442EA7A7" w14:textId="77777777">
        <w:trPr>
          <w:trHeight w:val="227"/>
        </w:trPr>
        <w:tc>
          <w:tcPr>
            <w:cnfStyle w:val="001000000000" w:firstRow="0" w:lastRow="0" w:firstColumn="1" w:lastColumn="0" w:oddVBand="0" w:evenVBand="0" w:oddHBand="0" w:evenHBand="0" w:firstRowFirstColumn="0" w:firstRowLastColumn="0" w:lastRowFirstColumn="0" w:lastRowLastColumn="0"/>
            <w:tcW w:w="7143" w:type="dxa"/>
            <w:noWrap/>
            <w:vAlign w:val="center"/>
            <w:hideMark/>
          </w:tcPr>
          <w:p w:rsidRPr="00C21F2B" w:rsidR="00F33E01" w:rsidP="00F33E01" w:rsidRDefault="00F33E01" w14:paraId="550646B7"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Centrale voorzieningen gekomen als stagebureau of bedrijfscontactpersonen</w:t>
            </w:r>
          </w:p>
        </w:tc>
        <w:tc>
          <w:tcPr>
            <w:tcW w:w="745" w:type="dxa"/>
            <w:noWrap/>
            <w:hideMark/>
          </w:tcPr>
          <w:p w:rsidRPr="00C21F2B" w:rsidR="00F33E01" w:rsidP="00F33E01" w:rsidRDefault="00F33E01" w14:paraId="6CD3BCB6"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26%</w:t>
            </w:r>
          </w:p>
        </w:tc>
        <w:tc>
          <w:tcPr>
            <w:tcW w:w="746" w:type="dxa"/>
            <w:noWrap/>
            <w:hideMark/>
          </w:tcPr>
          <w:p w:rsidRPr="00C21F2B" w:rsidR="00F33E01" w:rsidP="00F33E01" w:rsidRDefault="00F33E01" w14:paraId="11FB70FB"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29%</w:t>
            </w:r>
          </w:p>
        </w:tc>
        <w:tc>
          <w:tcPr>
            <w:tcW w:w="746" w:type="dxa"/>
            <w:noWrap/>
            <w:hideMark/>
          </w:tcPr>
          <w:p w:rsidRPr="00C21F2B" w:rsidR="00F33E01" w:rsidP="00F33E01" w:rsidRDefault="00F33E01" w14:paraId="7629FF2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19%</w:t>
            </w:r>
          </w:p>
        </w:tc>
      </w:tr>
      <w:tr w:rsidRPr="00C21F2B" w:rsidR="00F33E01" w:rsidTr="00DF52A3" w14:paraId="49E61466" w14:textId="77777777">
        <w:trPr>
          <w:trHeight w:val="227"/>
        </w:trPr>
        <w:tc>
          <w:tcPr>
            <w:cnfStyle w:val="001000000000" w:firstRow="0" w:lastRow="0" w:firstColumn="1" w:lastColumn="0" w:oddVBand="0" w:evenVBand="0" w:oddHBand="0" w:evenHBand="0" w:firstRowFirstColumn="0" w:firstRowLastColumn="0" w:lastRowFirstColumn="0" w:lastRowLastColumn="0"/>
            <w:tcW w:w="7143" w:type="dxa"/>
            <w:noWrap/>
            <w:vAlign w:val="center"/>
            <w:hideMark/>
          </w:tcPr>
          <w:p w:rsidRPr="00C21F2B" w:rsidR="00F33E01" w:rsidP="00F33E01" w:rsidRDefault="00F33E01" w14:paraId="4CE290E7"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Ik werk meer samen met onderbouwcollega's</w:t>
            </w:r>
          </w:p>
        </w:tc>
        <w:tc>
          <w:tcPr>
            <w:tcW w:w="745" w:type="dxa"/>
            <w:noWrap/>
            <w:hideMark/>
          </w:tcPr>
          <w:p w:rsidRPr="00C21F2B" w:rsidR="00F33E01" w:rsidP="00F33E01" w:rsidRDefault="00F33E01" w14:paraId="2ADDC297"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34%</w:t>
            </w:r>
          </w:p>
        </w:tc>
        <w:tc>
          <w:tcPr>
            <w:tcW w:w="746" w:type="dxa"/>
            <w:noWrap/>
            <w:hideMark/>
          </w:tcPr>
          <w:p w:rsidRPr="00C21F2B" w:rsidR="00F33E01" w:rsidP="00F33E01" w:rsidRDefault="00F33E01" w14:paraId="187ED813"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37%*</w:t>
            </w:r>
          </w:p>
        </w:tc>
        <w:tc>
          <w:tcPr>
            <w:tcW w:w="746" w:type="dxa"/>
            <w:noWrap/>
            <w:hideMark/>
          </w:tcPr>
          <w:p w:rsidRPr="00C21F2B" w:rsidR="00F33E01" w:rsidP="00F33E01" w:rsidRDefault="00F33E01" w14:paraId="553413BD"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23%</w:t>
            </w:r>
          </w:p>
        </w:tc>
      </w:tr>
      <w:tr w:rsidRPr="00C21F2B" w:rsidR="00F33E01" w:rsidTr="00DF52A3" w14:paraId="63792561" w14:textId="77777777">
        <w:trPr>
          <w:trHeight w:val="227"/>
        </w:trPr>
        <w:tc>
          <w:tcPr>
            <w:cnfStyle w:val="001000000000" w:firstRow="0" w:lastRow="0" w:firstColumn="1" w:lastColumn="0" w:oddVBand="0" w:evenVBand="0" w:oddHBand="0" w:evenHBand="0" w:firstRowFirstColumn="0" w:firstRowLastColumn="0" w:lastRowFirstColumn="0" w:lastRowLastColumn="0"/>
            <w:tcW w:w="7143" w:type="dxa"/>
            <w:noWrap/>
            <w:vAlign w:val="center"/>
            <w:hideMark/>
          </w:tcPr>
          <w:p w:rsidRPr="00C21F2B" w:rsidR="00F33E01" w:rsidP="00F33E01" w:rsidRDefault="00F33E01" w14:paraId="1AA9659F"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Ik werk meer samen met collega's van andere profielen binnen mijn school</w:t>
            </w:r>
          </w:p>
        </w:tc>
        <w:tc>
          <w:tcPr>
            <w:tcW w:w="745" w:type="dxa"/>
            <w:noWrap/>
            <w:hideMark/>
          </w:tcPr>
          <w:p w:rsidRPr="00C21F2B" w:rsidR="00F33E01" w:rsidP="00F33E01" w:rsidRDefault="00F33E01" w14:paraId="6FAC530F"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43%</w:t>
            </w:r>
          </w:p>
        </w:tc>
        <w:tc>
          <w:tcPr>
            <w:tcW w:w="746" w:type="dxa"/>
            <w:noWrap/>
            <w:hideMark/>
          </w:tcPr>
          <w:p w:rsidRPr="00C21F2B" w:rsidR="00F33E01" w:rsidP="00F33E01" w:rsidRDefault="00F33E01" w14:paraId="40FB5F89"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45%</w:t>
            </w:r>
          </w:p>
        </w:tc>
        <w:tc>
          <w:tcPr>
            <w:tcW w:w="746" w:type="dxa"/>
            <w:noWrap/>
            <w:hideMark/>
          </w:tcPr>
          <w:p w:rsidRPr="00C21F2B" w:rsidR="00F33E01" w:rsidP="00F33E01" w:rsidRDefault="00F33E01" w14:paraId="068CD2A1"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34%</w:t>
            </w:r>
          </w:p>
        </w:tc>
      </w:tr>
      <w:tr w:rsidRPr="00C21F2B" w:rsidR="00F33E01" w:rsidTr="00DF52A3" w14:paraId="7AEBF68F" w14:textId="77777777">
        <w:trPr>
          <w:trHeight w:val="227"/>
        </w:trPr>
        <w:tc>
          <w:tcPr>
            <w:cnfStyle w:val="001000000000" w:firstRow="0" w:lastRow="0" w:firstColumn="1" w:lastColumn="0" w:oddVBand="0" w:evenVBand="0" w:oddHBand="0" w:evenHBand="0" w:firstRowFirstColumn="0" w:firstRowLastColumn="0" w:lastRowFirstColumn="0" w:lastRowLastColumn="0"/>
            <w:tcW w:w="7143" w:type="dxa"/>
            <w:noWrap/>
            <w:vAlign w:val="center"/>
            <w:hideMark/>
          </w:tcPr>
          <w:p w:rsidRPr="00C21F2B" w:rsidR="00F33E01" w:rsidP="00F33E01" w:rsidRDefault="00F33E01" w14:paraId="399BF19A"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Ik heb meer/betere contacten met collega-docenten van andere scholen</w:t>
            </w:r>
          </w:p>
        </w:tc>
        <w:tc>
          <w:tcPr>
            <w:tcW w:w="745" w:type="dxa"/>
            <w:noWrap/>
            <w:hideMark/>
          </w:tcPr>
          <w:p w:rsidRPr="00C21F2B" w:rsidR="00F33E01" w:rsidP="00F33E01" w:rsidRDefault="00F33E01" w14:paraId="2E9061FC"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56%</w:t>
            </w:r>
          </w:p>
        </w:tc>
        <w:tc>
          <w:tcPr>
            <w:tcW w:w="746" w:type="dxa"/>
            <w:noWrap/>
            <w:hideMark/>
          </w:tcPr>
          <w:p w:rsidRPr="00C21F2B" w:rsidR="00F33E01" w:rsidP="00F33E01" w:rsidRDefault="00F33E01" w14:paraId="740BCD7F"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63%*</w:t>
            </w:r>
          </w:p>
        </w:tc>
        <w:tc>
          <w:tcPr>
            <w:tcW w:w="746" w:type="dxa"/>
            <w:noWrap/>
            <w:hideMark/>
          </w:tcPr>
          <w:p w:rsidRPr="00C21F2B" w:rsidR="00F33E01" w:rsidP="00F33E01" w:rsidRDefault="00F33E01" w14:paraId="03D76FE2"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33%</w:t>
            </w:r>
          </w:p>
        </w:tc>
      </w:tr>
      <w:tr w:rsidRPr="00C21F2B" w:rsidR="00F33E01" w:rsidTr="00DF52A3" w14:paraId="3CAA9C0C" w14:textId="77777777">
        <w:trPr>
          <w:trHeight w:val="227"/>
        </w:trPr>
        <w:tc>
          <w:tcPr>
            <w:cnfStyle w:val="001000000000" w:firstRow="0" w:lastRow="0" w:firstColumn="1" w:lastColumn="0" w:oddVBand="0" w:evenVBand="0" w:oddHBand="0" w:evenHBand="0" w:firstRowFirstColumn="0" w:firstRowLastColumn="0" w:lastRowFirstColumn="0" w:lastRowLastColumn="0"/>
            <w:tcW w:w="7143" w:type="dxa"/>
            <w:noWrap/>
            <w:vAlign w:val="center"/>
            <w:hideMark/>
          </w:tcPr>
          <w:p w:rsidRPr="00C21F2B" w:rsidR="00F33E01" w:rsidP="00F33E01" w:rsidRDefault="00F33E01" w14:paraId="495EB466"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Ik heb meer/betere contacten met mbo</w:t>
            </w:r>
          </w:p>
        </w:tc>
        <w:tc>
          <w:tcPr>
            <w:tcW w:w="745" w:type="dxa"/>
            <w:noWrap/>
            <w:hideMark/>
          </w:tcPr>
          <w:p w:rsidRPr="00C21F2B" w:rsidR="00F33E01" w:rsidP="00F33E01" w:rsidRDefault="00F33E01" w14:paraId="513B8EFC"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47%</w:t>
            </w:r>
          </w:p>
        </w:tc>
        <w:tc>
          <w:tcPr>
            <w:tcW w:w="746" w:type="dxa"/>
            <w:noWrap/>
            <w:hideMark/>
          </w:tcPr>
          <w:p w:rsidRPr="00C21F2B" w:rsidR="00F33E01" w:rsidP="00F33E01" w:rsidRDefault="00F33E01" w14:paraId="74E942E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53%*</w:t>
            </w:r>
          </w:p>
        </w:tc>
        <w:tc>
          <w:tcPr>
            <w:tcW w:w="746" w:type="dxa"/>
            <w:noWrap/>
            <w:hideMark/>
          </w:tcPr>
          <w:p w:rsidRPr="00C21F2B" w:rsidR="00F33E01" w:rsidP="00F33E01" w:rsidRDefault="00F33E01" w14:paraId="33B833DE"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26%</w:t>
            </w:r>
          </w:p>
        </w:tc>
      </w:tr>
      <w:tr w:rsidRPr="00C21F2B" w:rsidR="00F33E01" w:rsidTr="00DF52A3" w14:paraId="5CC6718E" w14:textId="77777777">
        <w:trPr>
          <w:trHeight w:val="227"/>
        </w:trPr>
        <w:tc>
          <w:tcPr>
            <w:cnfStyle w:val="001000000000" w:firstRow="0" w:lastRow="0" w:firstColumn="1" w:lastColumn="0" w:oddVBand="0" w:evenVBand="0" w:oddHBand="0" w:evenHBand="0" w:firstRowFirstColumn="0" w:firstRowLastColumn="0" w:lastRowFirstColumn="0" w:lastRowLastColumn="0"/>
            <w:tcW w:w="7143" w:type="dxa"/>
            <w:noWrap/>
            <w:vAlign w:val="center"/>
            <w:hideMark/>
          </w:tcPr>
          <w:p w:rsidRPr="00C21F2B" w:rsidR="00F33E01" w:rsidP="00F33E01" w:rsidRDefault="00F33E01" w14:paraId="78314E60"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Ik heb meer/betere contacten met opleidingsbedrijven</w:t>
            </w:r>
          </w:p>
        </w:tc>
        <w:tc>
          <w:tcPr>
            <w:tcW w:w="745" w:type="dxa"/>
            <w:noWrap/>
            <w:hideMark/>
          </w:tcPr>
          <w:p w:rsidRPr="00C21F2B" w:rsidR="00F33E01" w:rsidP="00F33E01" w:rsidRDefault="00F33E01" w14:paraId="1698A6CC"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48%</w:t>
            </w:r>
          </w:p>
        </w:tc>
        <w:tc>
          <w:tcPr>
            <w:tcW w:w="746" w:type="dxa"/>
            <w:noWrap/>
            <w:hideMark/>
          </w:tcPr>
          <w:p w:rsidRPr="00C21F2B" w:rsidR="00F33E01" w:rsidP="00F33E01" w:rsidRDefault="00F33E01" w14:paraId="7943A591"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54%*</w:t>
            </w:r>
          </w:p>
        </w:tc>
        <w:tc>
          <w:tcPr>
            <w:tcW w:w="746" w:type="dxa"/>
            <w:noWrap/>
            <w:hideMark/>
          </w:tcPr>
          <w:p w:rsidRPr="00C21F2B" w:rsidR="00F33E01" w:rsidP="00F33E01" w:rsidRDefault="00F33E01" w14:paraId="3333942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28%</w:t>
            </w:r>
          </w:p>
        </w:tc>
      </w:tr>
      <w:tr w:rsidRPr="00C21F2B" w:rsidR="00F33E01" w:rsidTr="00DF52A3" w14:paraId="67853611" w14:textId="77777777">
        <w:trPr>
          <w:trHeight w:val="227"/>
        </w:trPr>
        <w:tc>
          <w:tcPr>
            <w:cnfStyle w:val="001000000000" w:firstRow="0" w:lastRow="0" w:firstColumn="1" w:lastColumn="0" w:oddVBand="0" w:evenVBand="0" w:oddHBand="0" w:evenHBand="0" w:firstRowFirstColumn="0" w:firstRowLastColumn="0" w:lastRowFirstColumn="0" w:lastRowLastColumn="0"/>
            <w:tcW w:w="7143" w:type="dxa"/>
            <w:noWrap/>
            <w:vAlign w:val="center"/>
            <w:hideMark/>
          </w:tcPr>
          <w:p w:rsidRPr="00C21F2B" w:rsidR="00F33E01" w:rsidP="00F33E01" w:rsidRDefault="00F33E01" w14:paraId="43FF3DEF"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Ik heb meer/betere contacten met technische bedrijven</w:t>
            </w:r>
          </w:p>
        </w:tc>
        <w:tc>
          <w:tcPr>
            <w:tcW w:w="745" w:type="dxa"/>
            <w:noWrap/>
            <w:hideMark/>
          </w:tcPr>
          <w:p w:rsidRPr="00C21F2B" w:rsidR="00F33E01" w:rsidP="00F33E01" w:rsidRDefault="00F33E01" w14:paraId="31F7E28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52%</w:t>
            </w:r>
          </w:p>
        </w:tc>
        <w:tc>
          <w:tcPr>
            <w:tcW w:w="746" w:type="dxa"/>
            <w:noWrap/>
            <w:hideMark/>
          </w:tcPr>
          <w:p w:rsidRPr="00C21F2B" w:rsidR="00F33E01" w:rsidP="00F33E01" w:rsidRDefault="00F33E01" w14:paraId="0DB918D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59%*</w:t>
            </w:r>
          </w:p>
        </w:tc>
        <w:tc>
          <w:tcPr>
            <w:tcW w:w="746" w:type="dxa"/>
            <w:noWrap/>
            <w:hideMark/>
          </w:tcPr>
          <w:p w:rsidRPr="00C21F2B" w:rsidR="00F33E01" w:rsidP="00F33E01" w:rsidRDefault="00F33E01" w14:paraId="10FA25B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28%</w:t>
            </w:r>
          </w:p>
        </w:tc>
      </w:tr>
      <w:tr w:rsidRPr="00C21F2B" w:rsidR="00F33E01" w:rsidTr="00DF52A3" w14:paraId="79720E4E" w14:textId="77777777">
        <w:trPr>
          <w:trHeight w:val="227"/>
        </w:trPr>
        <w:tc>
          <w:tcPr>
            <w:cnfStyle w:val="001000000000" w:firstRow="0" w:lastRow="0" w:firstColumn="1" w:lastColumn="0" w:oddVBand="0" w:evenVBand="0" w:oddHBand="0" w:evenHBand="0" w:firstRowFirstColumn="0" w:firstRowLastColumn="0" w:lastRowFirstColumn="0" w:lastRowLastColumn="0"/>
            <w:tcW w:w="7143" w:type="dxa"/>
            <w:noWrap/>
            <w:vAlign w:val="center"/>
            <w:hideMark/>
          </w:tcPr>
          <w:p w:rsidRPr="00C21F2B" w:rsidR="00F33E01" w:rsidP="00F33E01" w:rsidRDefault="00F33E01" w14:paraId="7C78158B"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Andere concrete verandering, namelijk</w:t>
            </w:r>
          </w:p>
        </w:tc>
        <w:tc>
          <w:tcPr>
            <w:tcW w:w="745" w:type="dxa"/>
            <w:noWrap/>
            <w:hideMark/>
          </w:tcPr>
          <w:p w:rsidRPr="00C21F2B" w:rsidR="00F33E01" w:rsidP="00F33E01" w:rsidRDefault="00F33E01" w14:paraId="25DF80DD"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11%</w:t>
            </w:r>
          </w:p>
        </w:tc>
        <w:tc>
          <w:tcPr>
            <w:tcW w:w="746" w:type="dxa"/>
            <w:noWrap/>
            <w:hideMark/>
          </w:tcPr>
          <w:p w:rsidRPr="00C21F2B" w:rsidR="00F33E01" w:rsidP="00F33E01" w:rsidRDefault="00F33E01" w14:paraId="0A5F726F"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15%*</w:t>
            </w:r>
          </w:p>
        </w:tc>
        <w:tc>
          <w:tcPr>
            <w:tcW w:w="746" w:type="dxa"/>
            <w:noWrap/>
            <w:hideMark/>
          </w:tcPr>
          <w:p w:rsidRPr="00C21F2B" w:rsidR="00F33E01" w:rsidP="00F33E01" w:rsidRDefault="00F33E01" w14:paraId="0AB5BF21"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w:t>
            </w:r>
          </w:p>
        </w:tc>
      </w:tr>
      <w:tr w:rsidRPr="00C21F2B" w:rsidR="00F33E01" w:rsidTr="00DF52A3" w14:paraId="112F91E1" w14:textId="77777777">
        <w:trPr>
          <w:trHeight w:val="227"/>
        </w:trPr>
        <w:tc>
          <w:tcPr>
            <w:cnfStyle w:val="001000000000" w:firstRow="0" w:lastRow="0" w:firstColumn="1" w:lastColumn="0" w:oddVBand="0" w:evenVBand="0" w:oddHBand="0" w:evenHBand="0" w:firstRowFirstColumn="0" w:firstRowLastColumn="0" w:lastRowFirstColumn="0" w:lastRowLastColumn="0"/>
            <w:tcW w:w="7143" w:type="dxa"/>
            <w:noWrap/>
            <w:vAlign w:val="center"/>
            <w:hideMark/>
          </w:tcPr>
          <w:p w:rsidRPr="00C21F2B" w:rsidR="00F33E01" w:rsidP="00F33E01" w:rsidRDefault="00F33E01" w14:paraId="279BC4D1"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Andere concrete verandering, namelijk</w:t>
            </w:r>
          </w:p>
        </w:tc>
        <w:tc>
          <w:tcPr>
            <w:tcW w:w="745" w:type="dxa"/>
            <w:noWrap/>
            <w:hideMark/>
          </w:tcPr>
          <w:p w:rsidRPr="00C21F2B" w:rsidR="00F33E01" w:rsidP="00F33E01" w:rsidRDefault="00F33E01" w14:paraId="1DDA50C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w:t>
            </w:r>
          </w:p>
        </w:tc>
        <w:tc>
          <w:tcPr>
            <w:tcW w:w="746" w:type="dxa"/>
            <w:noWrap/>
            <w:hideMark/>
          </w:tcPr>
          <w:p w:rsidRPr="00C21F2B" w:rsidR="00F33E01" w:rsidP="00F33E01" w:rsidRDefault="00F33E01" w14:paraId="5B59CDBD"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w:t>
            </w:r>
          </w:p>
        </w:tc>
        <w:tc>
          <w:tcPr>
            <w:tcW w:w="746" w:type="dxa"/>
            <w:noWrap/>
            <w:hideMark/>
          </w:tcPr>
          <w:p w:rsidRPr="00C21F2B" w:rsidR="00F33E01" w:rsidP="00F33E01" w:rsidRDefault="00F33E01" w14:paraId="1F36B7A2"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0%</w:t>
            </w:r>
          </w:p>
        </w:tc>
      </w:tr>
    </w:tbl>
    <w:p w:rsidRPr="003C724E" w:rsidR="00F33E01" w:rsidP="003C724E" w:rsidRDefault="003C724E" w14:paraId="68FC17EA" w14:textId="4E5AB4E2">
      <w:pPr>
        <w:pStyle w:val="SEOBron"/>
        <w:numPr>
          <w:ilvl w:val="0"/>
          <w:numId w:val="0"/>
        </w:numPr>
        <w:rPr>
          <w:rFonts w:ascii="Trebuchet MS" w:hAnsi="Trebuchet MS"/>
          <w:color w:val="auto"/>
          <w:szCs w:val="18"/>
        </w:rPr>
      </w:pPr>
      <w:r w:rsidRPr="003C724E">
        <w:rPr>
          <w:rFonts w:ascii="Trebuchet MS" w:hAnsi="Trebuchet MS"/>
          <w:color w:val="auto"/>
          <w:szCs w:val="18"/>
        </w:rPr>
        <w:t xml:space="preserve">Bron: </w:t>
      </w:r>
      <w:r w:rsidRPr="003C724E" w:rsidR="00F33E01">
        <w:rPr>
          <w:rFonts w:ascii="Trebuchet MS" w:hAnsi="Trebuchet MS"/>
          <w:color w:val="auto"/>
          <w:szCs w:val="18"/>
        </w:rPr>
        <w:t>Enquête lesgevenden bovenbouw vmbo (februari-mei 2025). % ja. * geeft significant verschil weer tussen lesgevenden van technisch vak en lesgevenden van niet-technisch vak.</w:t>
      </w:r>
    </w:p>
    <w:p w:rsidR="00F33E01" w:rsidP="00F33E01" w:rsidRDefault="00F33E01" w14:paraId="77A3A7ED" w14:textId="5A926504">
      <w:pPr>
        <w:pStyle w:val="SEOStandaard"/>
        <w:rPr>
          <w:rFonts w:ascii="Trebuchet MS" w:hAnsi="Trebuchet MS"/>
          <w:color w:val="auto"/>
          <w:sz w:val="18"/>
          <w:szCs w:val="18"/>
        </w:rPr>
      </w:pPr>
      <w:r w:rsidRPr="003C724E">
        <w:rPr>
          <w:rFonts w:ascii="Trebuchet MS" w:hAnsi="Trebuchet MS"/>
          <w:color w:val="auto"/>
          <w:sz w:val="18"/>
          <w:szCs w:val="18"/>
        </w:rPr>
        <w:t xml:space="preserve">Figuur </w:t>
      </w:r>
      <w:r w:rsidR="003C724E">
        <w:rPr>
          <w:rFonts w:ascii="Trebuchet MS" w:hAnsi="Trebuchet MS"/>
          <w:color w:val="auto"/>
          <w:sz w:val="18"/>
          <w:szCs w:val="18"/>
        </w:rPr>
        <w:t>5</w:t>
      </w:r>
      <w:r w:rsidRPr="003C724E">
        <w:rPr>
          <w:rFonts w:ascii="Trebuchet MS" w:hAnsi="Trebuchet MS"/>
          <w:color w:val="auto"/>
          <w:sz w:val="18"/>
          <w:szCs w:val="18"/>
        </w:rPr>
        <w:t xml:space="preserve">.2 en tabel </w:t>
      </w:r>
      <w:r w:rsidR="003C724E">
        <w:rPr>
          <w:rFonts w:ascii="Trebuchet MS" w:hAnsi="Trebuchet MS"/>
          <w:color w:val="auto"/>
          <w:sz w:val="18"/>
          <w:szCs w:val="18"/>
        </w:rPr>
        <w:t>5</w:t>
      </w:r>
      <w:r w:rsidRPr="003C724E">
        <w:rPr>
          <w:rFonts w:ascii="Trebuchet MS" w:hAnsi="Trebuchet MS"/>
          <w:color w:val="auto"/>
          <w:sz w:val="18"/>
          <w:szCs w:val="18"/>
        </w:rPr>
        <w:t xml:space="preserve">.5 tonen de impact van STO op de rol als docent. Omdat het per regio kan verschillen welke profielen betrokken zijn bij en gebruikmaken van STO, is deze vraag aan lesgevenden van alle profielen voorgelegd. </w:t>
      </w:r>
      <w:r w:rsidRPr="003C724E">
        <w:rPr>
          <w:rFonts w:ascii="Trebuchet MS" w:hAnsi="Trebuchet MS"/>
          <w:color w:val="auto"/>
          <w:sz w:val="18"/>
          <w:szCs w:val="18"/>
        </w:rPr>
        <w:lastRenderedPageBreak/>
        <w:t xml:space="preserve">Hierbij is wel aangegeven dat wanneer deze vragen voor het profiel waarin de lesgevenden werkt niet relevant zijn, deze overgeslagen mochten worden. </w:t>
      </w:r>
    </w:p>
    <w:p w:rsidR="00AF3AAD" w:rsidP="00AF3AAD" w:rsidRDefault="00AF3AAD" w14:paraId="4E811BBD" w14:textId="77777777">
      <w:pPr>
        <w:pStyle w:val="SEOStandaard"/>
        <w:rPr>
          <w:rFonts w:ascii="Trebuchet MS" w:hAnsi="Trebuchet MS"/>
          <w:color w:val="auto"/>
          <w:sz w:val="18"/>
          <w:szCs w:val="18"/>
        </w:rPr>
      </w:pPr>
    </w:p>
    <w:p w:rsidRPr="00AF3AAD" w:rsidR="00AF3AAD" w:rsidP="00AF3AAD" w:rsidRDefault="00AF3AAD" w14:paraId="5D5ABE1B" w14:textId="1DB89D8E">
      <w:pPr>
        <w:pStyle w:val="SEOStandaard"/>
        <w:rPr>
          <w:rFonts w:ascii="Trebuchet MS" w:hAnsi="Trebuchet MS"/>
          <w:color w:val="auto"/>
          <w:sz w:val="18"/>
          <w:szCs w:val="18"/>
        </w:rPr>
      </w:pPr>
      <w:r w:rsidRPr="00AF3AAD">
        <w:rPr>
          <w:rFonts w:ascii="Trebuchet MS" w:hAnsi="Trebuchet MS"/>
          <w:color w:val="auto"/>
          <w:sz w:val="18"/>
          <w:szCs w:val="18"/>
        </w:rPr>
        <w:t>Een meerderheid van de lesgevenden geeft aan vanwege STO meer trots te zijn op hun vak (6 op de 10). Ook geeft een (kleine) meerderheid van de lesgevenden (gemiddeld ruim 5 op 10) aan dat hun rol is uitgebreid en dat zij meer coachend zijn (naast vakdocent), en dat zij ook meer zicht en kennis hebben van actuele ontwikkeling in hun vakgebied. Daarnaast geeft een kleine meerderheid (gemiddeld ruim 5 op 10) aan gemotiveerder te zijn en beter toegerust te zijn op het geven van eigentijds techniekonderwijs</w:t>
      </w:r>
    </w:p>
    <w:p w:rsidRPr="00AF3AAD" w:rsidR="00AF3AAD" w:rsidP="00AF3AAD" w:rsidRDefault="00AF3AAD" w14:paraId="7D3C0A37" w14:textId="77777777">
      <w:pPr>
        <w:pStyle w:val="SEOStandaard"/>
        <w:rPr>
          <w:rFonts w:ascii="Trebuchet MS" w:hAnsi="Trebuchet MS"/>
          <w:color w:val="auto"/>
          <w:sz w:val="18"/>
          <w:szCs w:val="18"/>
        </w:rPr>
      </w:pPr>
    </w:p>
    <w:p w:rsidRPr="00AF3AAD" w:rsidR="00AF3AAD" w:rsidP="00AF3AAD" w:rsidRDefault="00AF3AAD" w14:paraId="0360DC37" w14:textId="77777777">
      <w:pPr>
        <w:pStyle w:val="SEOStandaard"/>
        <w:rPr>
          <w:rFonts w:ascii="Trebuchet MS" w:hAnsi="Trebuchet MS"/>
          <w:color w:val="auto"/>
          <w:sz w:val="18"/>
          <w:szCs w:val="18"/>
        </w:rPr>
      </w:pPr>
      <w:r w:rsidRPr="00AF3AAD">
        <w:rPr>
          <w:rFonts w:ascii="Trebuchet MS" w:hAnsi="Trebuchet MS"/>
          <w:color w:val="auto"/>
          <w:sz w:val="18"/>
          <w:szCs w:val="18"/>
        </w:rPr>
        <w:t xml:space="preserve">Er wordt door een kwart van de lesgevenden aangegeven dat er meer aandacht is gekomen voor bepaalde doelgroepen (meiden of leerlingen met een migratieachtergrond). Ook minder vaker (gemiddeld 4 op 10) geven lesgevenden aan dat hun manier van lesgeven is veranderd, meer werkdruk wordt ervaren, dat zij meer met LOB bezig zijn, of meer op de regio buiten de eigen school gericht zijn. </w:t>
      </w:r>
    </w:p>
    <w:p w:rsidRPr="003C724E" w:rsidR="003C724E" w:rsidP="00F33E01" w:rsidRDefault="003C724E" w14:paraId="53A2D27A" w14:textId="77777777">
      <w:pPr>
        <w:pStyle w:val="SEOStandaard"/>
        <w:rPr>
          <w:rFonts w:ascii="Trebuchet MS" w:hAnsi="Trebuchet MS"/>
          <w:color w:val="auto"/>
          <w:sz w:val="18"/>
          <w:szCs w:val="18"/>
        </w:rPr>
      </w:pPr>
    </w:p>
    <w:p w:rsidRPr="003C724E" w:rsidR="00F33E01" w:rsidP="003C724E" w:rsidRDefault="003C724E" w14:paraId="5C6E17B2" w14:textId="2124C941">
      <w:pPr>
        <w:pStyle w:val="Figuur"/>
        <w:rPr>
          <w:rFonts w:ascii="Trebuchet MS" w:hAnsi="Trebuchet MS" w:eastAsiaTheme="minorEastAsia" w:cstheme="minorBidi"/>
          <w:i/>
          <w:iCs/>
          <w:noProof w:val="0"/>
          <w:sz w:val="18"/>
          <w:szCs w:val="18"/>
          <w:lang w:eastAsia="en-US"/>
        </w:rPr>
      </w:pPr>
      <w:r w:rsidRPr="003C724E">
        <w:rPr>
          <w:rFonts w:ascii="Trebuchet MS" w:hAnsi="Trebuchet MS" w:eastAsiaTheme="minorEastAsia" w:cstheme="minorBidi"/>
          <w:i/>
          <w:iCs/>
          <w:noProof w:val="0"/>
          <w:sz w:val="18"/>
          <w:szCs w:val="18"/>
          <w:lang w:eastAsia="en-US"/>
        </w:rPr>
        <w:t xml:space="preserve">Figuur 5.2. </w:t>
      </w:r>
      <w:r w:rsidRPr="003C724E" w:rsidR="00F33E01">
        <w:rPr>
          <w:rFonts w:ascii="Trebuchet MS" w:hAnsi="Trebuchet MS" w:eastAsiaTheme="minorEastAsia" w:cstheme="minorBidi"/>
          <w:i/>
          <w:iCs/>
          <w:noProof w:val="0"/>
          <w:sz w:val="18"/>
          <w:szCs w:val="18"/>
          <w:lang w:eastAsia="en-US"/>
        </w:rPr>
        <w:t xml:space="preserve">Impact op docenten </w:t>
      </w:r>
    </w:p>
    <w:p w:rsidRPr="00C21F2B" w:rsidR="00F33E01" w:rsidP="00F33E01" w:rsidRDefault="00F33E01" w14:paraId="068FF763" w14:textId="77777777">
      <w:pPr>
        <w:pStyle w:val="SEOStandaard"/>
        <w:rPr>
          <w:rFonts w:ascii="Trebuchet MS" w:hAnsi="Trebuchet MS"/>
          <w:sz w:val="18"/>
          <w:szCs w:val="18"/>
        </w:rPr>
      </w:pPr>
      <w:r w:rsidRPr="00C21F2B">
        <w:rPr>
          <w:rFonts w:ascii="Trebuchet MS" w:hAnsi="Trebuchet MS"/>
          <w:noProof/>
          <w:sz w:val="18"/>
          <w:szCs w:val="18"/>
        </w:rPr>
        <w:drawing>
          <wp:inline distT="0" distB="0" distL="0" distR="0" wp14:anchorId="7DD5289B" wp14:editId="4125E61E">
            <wp:extent cx="5940000" cy="4320000"/>
            <wp:effectExtent l="0" t="0" r="3810" b="4445"/>
            <wp:docPr id="453730930" name="Grafiek 1">
              <a:extLst xmlns:a="http://schemas.openxmlformats.org/drawingml/2006/main">
                <a:ext uri="{FF2B5EF4-FFF2-40B4-BE49-F238E27FC236}">
                  <a16:creationId xmlns:a16="http://schemas.microsoft.com/office/drawing/2014/main" id="{67C9C99D-C3FF-483D-8A8E-002203FC1C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Pr="003C724E" w:rsidR="00F33E01" w:rsidP="003C724E" w:rsidRDefault="003C724E" w14:paraId="5C123DC5" w14:textId="1856B12F">
      <w:pPr>
        <w:pStyle w:val="SEOBron"/>
        <w:numPr>
          <w:ilvl w:val="0"/>
          <w:numId w:val="0"/>
        </w:numPr>
        <w:rPr>
          <w:rFonts w:ascii="Trebuchet MS" w:hAnsi="Trebuchet MS"/>
          <w:color w:val="auto"/>
          <w:szCs w:val="18"/>
        </w:rPr>
      </w:pPr>
      <w:r w:rsidRPr="003C724E">
        <w:rPr>
          <w:rFonts w:ascii="Trebuchet MS" w:hAnsi="Trebuchet MS"/>
          <w:color w:val="auto"/>
          <w:szCs w:val="18"/>
        </w:rPr>
        <w:t xml:space="preserve">Bron: </w:t>
      </w:r>
      <w:r w:rsidRPr="003C724E" w:rsidR="00F33E01">
        <w:rPr>
          <w:rFonts w:ascii="Trebuchet MS" w:hAnsi="Trebuchet MS"/>
          <w:color w:val="auto"/>
          <w:szCs w:val="18"/>
        </w:rPr>
        <w:t>Enquête lesgevenden bovenbouw vmbo (februari-mei 2025).</w:t>
      </w:r>
    </w:p>
    <w:p w:rsidRPr="00C173A1" w:rsidR="00C173A1" w:rsidP="00C173A1" w:rsidRDefault="00C173A1" w14:paraId="5CCD1758" w14:textId="77777777">
      <w:pPr>
        <w:pStyle w:val="SEOStandaard"/>
      </w:pPr>
    </w:p>
    <w:p w:rsidRPr="00C173A1" w:rsidR="00F33E01" w:rsidP="780653D5" w:rsidRDefault="003C724E" w14:paraId="357CC61D" w14:textId="28A065B3">
      <w:pPr>
        <w:pStyle w:val="Figuur"/>
        <w:rPr>
          <w:rFonts w:ascii="Trebuchet MS" w:hAnsi="Trebuchet MS" w:eastAsiaTheme="minorEastAsia" w:cstheme="minorBidi"/>
          <w:i/>
          <w:iCs/>
          <w:noProof w:val="0"/>
          <w:sz w:val="18"/>
          <w:szCs w:val="18"/>
          <w:lang w:eastAsia="en-US"/>
        </w:rPr>
      </w:pPr>
      <w:r w:rsidRPr="780653D5">
        <w:rPr>
          <w:rFonts w:ascii="Trebuchet MS" w:hAnsi="Trebuchet MS" w:eastAsiaTheme="minorEastAsia" w:cstheme="minorBidi"/>
          <w:i/>
          <w:iCs/>
          <w:noProof w:val="0"/>
          <w:sz w:val="18"/>
          <w:szCs w:val="18"/>
          <w:lang w:eastAsia="en-US"/>
        </w:rPr>
        <w:lastRenderedPageBreak/>
        <w:t xml:space="preserve">Tabel 5.5. </w:t>
      </w:r>
      <w:r w:rsidRPr="780653D5" w:rsidR="00F33E01">
        <w:rPr>
          <w:rFonts w:ascii="Trebuchet MS" w:hAnsi="Trebuchet MS" w:eastAsiaTheme="minorEastAsia" w:cstheme="minorBidi"/>
          <w:i/>
          <w:iCs/>
          <w:noProof w:val="0"/>
          <w:sz w:val="18"/>
          <w:szCs w:val="18"/>
          <w:lang w:eastAsia="en-US"/>
        </w:rPr>
        <w:t>Impact op docenten, uitgesplitst naar wel of geen technisch vak</w:t>
      </w:r>
    </w:p>
    <w:tbl>
      <w:tblPr>
        <w:tblStyle w:val="SEOTabel2"/>
        <w:tblW w:w="5000" w:type="pct"/>
        <w:tblCellMar>
          <w:top w:w="28" w:type="dxa"/>
          <w:left w:w="28" w:type="dxa"/>
          <w:bottom w:w="28" w:type="dxa"/>
          <w:right w:w="28" w:type="dxa"/>
        </w:tblCellMar>
        <w:tblLook w:val="04A0" w:firstRow="1" w:lastRow="0" w:firstColumn="1" w:lastColumn="0" w:noHBand="0" w:noVBand="1"/>
      </w:tblPr>
      <w:tblGrid>
        <w:gridCol w:w="6964"/>
        <w:gridCol w:w="889"/>
        <w:gridCol w:w="754"/>
        <w:gridCol w:w="753"/>
      </w:tblGrid>
      <w:tr w:rsidRPr="00C21F2B" w:rsidR="00F33E01" w:rsidTr="00E946AD" w14:paraId="001F7048" w14:textId="77777777">
        <w:trPr>
          <w:cnfStyle w:val="100000000000" w:firstRow="1" w:lastRow="0" w:firstColumn="0" w:lastColumn="0" w:oddVBand="0" w:evenVBand="0" w:oddHBand="0" w:evenHBand="0" w:firstRowFirstColumn="0" w:firstRowLastColumn="0" w:lastRowFirstColumn="0" w:lastRowLastColumn="0"/>
          <w:cantSplit/>
          <w:trHeight w:val="1814"/>
        </w:trPr>
        <w:tc>
          <w:tcPr>
            <w:cnfStyle w:val="001000000000" w:firstRow="0" w:lastRow="0" w:firstColumn="1" w:lastColumn="0" w:oddVBand="0" w:evenVBand="0" w:oddHBand="0" w:evenHBand="0" w:firstRowFirstColumn="0" w:firstRowLastColumn="0" w:lastRowFirstColumn="0" w:lastRowLastColumn="0"/>
            <w:tcW w:w="3720" w:type="pct"/>
            <w:noWrap/>
            <w:vAlign w:val="center"/>
            <w:hideMark/>
          </w:tcPr>
          <w:p w:rsidRPr="00C21F2B" w:rsidR="00F33E01" w:rsidP="00F33E01" w:rsidRDefault="00F33E01" w14:paraId="0EC90B19" w14:textId="77777777">
            <w:pPr>
              <w:pStyle w:val="SEOStandaard"/>
              <w:spacing w:line="240" w:lineRule="auto"/>
              <w:jc w:val="left"/>
              <w:rPr>
                <w:rFonts w:ascii="Trebuchet MS" w:hAnsi="Trebuchet MS"/>
                <w:bCs/>
                <w:color w:val="FFFFFF" w:themeColor="background1"/>
                <w:sz w:val="18"/>
                <w:szCs w:val="18"/>
              </w:rPr>
            </w:pPr>
            <w:r w:rsidRPr="00C21F2B">
              <w:rPr>
                <w:rFonts w:ascii="Trebuchet MS" w:hAnsi="Trebuchet MS"/>
                <w:bCs/>
                <w:color w:val="FFFFFF" w:themeColor="background1"/>
                <w:sz w:val="18"/>
                <w:szCs w:val="18"/>
              </w:rPr>
              <w:t>Impact op docent. Door veranderingen in STO is:</w:t>
            </w:r>
          </w:p>
        </w:tc>
        <w:tc>
          <w:tcPr>
            <w:tcW w:w="475" w:type="pct"/>
            <w:noWrap/>
            <w:textDirection w:val="btLr"/>
            <w:vAlign w:val="center"/>
            <w:hideMark/>
          </w:tcPr>
          <w:p w:rsidRPr="00C21F2B" w:rsidR="00F33E01" w:rsidP="00F33E01" w:rsidRDefault="00F33E01" w14:paraId="51BB7946" w14:textId="77777777">
            <w:pPr>
              <w:pStyle w:val="SEOStandaard"/>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C21F2B">
              <w:rPr>
                <w:rFonts w:ascii="Trebuchet MS" w:hAnsi="Trebuchet MS"/>
                <w:color w:val="FFFFFF" w:themeColor="background1"/>
                <w:sz w:val="18"/>
                <w:szCs w:val="18"/>
              </w:rPr>
              <w:t>Alle lesgevenden (n=322)</w:t>
            </w:r>
          </w:p>
        </w:tc>
        <w:tc>
          <w:tcPr>
            <w:tcW w:w="403" w:type="pct"/>
            <w:noWrap/>
            <w:textDirection w:val="btLr"/>
            <w:vAlign w:val="center"/>
            <w:hideMark/>
          </w:tcPr>
          <w:p w:rsidRPr="00C21F2B" w:rsidR="00F33E01" w:rsidP="00F33E01" w:rsidRDefault="00F33E01" w14:paraId="20285F4E" w14:textId="77777777">
            <w:pPr>
              <w:pStyle w:val="SEOStandaard"/>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C21F2B">
              <w:rPr>
                <w:rFonts w:ascii="Trebuchet MS" w:hAnsi="Trebuchet MS"/>
                <w:color w:val="FFFFFF" w:themeColor="background1"/>
                <w:sz w:val="18"/>
                <w:szCs w:val="18"/>
              </w:rPr>
              <w:t>Technisch vak (n=268)</w:t>
            </w:r>
          </w:p>
        </w:tc>
        <w:tc>
          <w:tcPr>
            <w:tcW w:w="402" w:type="pct"/>
            <w:noWrap/>
            <w:textDirection w:val="btLr"/>
            <w:vAlign w:val="center"/>
            <w:hideMark/>
          </w:tcPr>
          <w:p w:rsidRPr="00C21F2B" w:rsidR="00F33E01" w:rsidP="00F33E01" w:rsidRDefault="00F33E01" w14:paraId="47DCE3E4" w14:textId="77777777">
            <w:pPr>
              <w:pStyle w:val="SEOStandaard"/>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C21F2B">
              <w:rPr>
                <w:rFonts w:ascii="Trebuchet MS" w:hAnsi="Trebuchet MS"/>
                <w:color w:val="FFFFFF" w:themeColor="background1"/>
                <w:sz w:val="18"/>
                <w:szCs w:val="18"/>
              </w:rPr>
              <w:t>Geen technisch vak (n=55)</w:t>
            </w:r>
          </w:p>
        </w:tc>
      </w:tr>
      <w:tr w:rsidRPr="00C21F2B" w:rsidR="00F33E01" w:rsidTr="00E946AD" w14:paraId="4AA4B79E" w14:textId="77777777">
        <w:trPr>
          <w:trHeight w:val="227"/>
        </w:trPr>
        <w:tc>
          <w:tcPr>
            <w:cnfStyle w:val="001000000000" w:firstRow="0" w:lastRow="0" w:firstColumn="1" w:lastColumn="0" w:oddVBand="0" w:evenVBand="0" w:oddHBand="0" w:evenHBand="0" w:firstRowFirstColumn="0" w:firstRowLastColumn="0" w:lastRowFirstColumn="0" w:lastRowLastColumn="0"/>
            <w:tcW w:w="3720" w:type="pct"/>
            <w:noWrap/>
            <w:vAlign w:val="center"/>
            <w:hideMark/>
          </w:tcPr>
          <w:p w:rsidRPr="00C21F2B" w:rsidR="00F33E01" w:rsidP="00F33E01" w:rsidRDefault="00F33E01" w14:paraId="51233473"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Manier van lesgeven veranderd</w:t>
            </w:r>
          </w:p>
        </w:tc>
        <w:tc>
          <w:tcPr>
            <w:tcW w:w="475" w:type="pct"/>
            <w:noWrap/>
            <w:hideMark/>
          </w:tcPr>
          <w:p w:rsidRPr="00C21F2B" w:rsidR="00F33E01" w:rsidP="00F33E01" w:rsidRDefault="00F33E01" w14:paraId="4EA005C1"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41%</w:t>
            </w:r>
          </w:p>
        </w:tc>
        <w:tc>
          <w:tcPr>
            <w:tcW w:w="403" w:type="pct"/>
            <w:noWrap/>
            <w:hideMark/>
          </w:tcPr>
          <w:p w:rsidRPr="00C21F2B" w:rsidR="00F33E01" w:rsidP="00F33E01" w:rsidRDefault="00F33E01" w14:paraId="6C09AD81"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44%*</w:t>
            </w:r>
          </w:p>
        </w:tc>
        <w:tc>
          <w:tcPr>
            <w:tcW w:w="402" w:type="pct"/>
            <w:noWrap/>
            <w:hideMark/>
          </w:tcPr>
          <w:p w:rsidRPr="00C21F2B" w:rsidR="00F33E01" w:rsidP="00F33E01" w:rsidRDefault="00F33E01" w14:paraId="4A521963"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27%</w:t>
            </w:r>
          </w:p>
        </w:tc>
      </w:tr>
      <w:tr w:rsidRPr="00C21F2B" w:rsidR="00F33E01" w:rsidTr="00E946AD" w14:paraId="4423702F" w14:textId="77777777">
        <w:trPr>
          <w:trHeight w:val="227"/>
        </w:trPr>
        <w:tc>
          <w:tcPr>
            <w:cnfStyle w:val="001000000000" w:firstRow="0" w:lastRow="0" w:firstColumn="1" w:lastColumn="0" w:oddVBand="0" w:evenVBand="0" w:oddHBand="0" w:evenHBand="0" w:firstRowFirstColumn="0" w:firstRowLastColumn="0" w:lastRowFirstColumn="0" w:lastRowLastColumn="0"/>
            <w:tcW w:w="3720" w:type="pct"/>
            <w:noWrap/>
            <w:vAlign w:val="center"/>
            <w:hideMark/>
          </w:tcPr>
          <w:p w:rsidRPr="00C21F2B" w:rsidR="00F33E01" w:rsidP="00F33E01" w:rsidRDefault="00F33E01" w14:paraId="2C24FB45"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Meer zicht op en kennis van actuele ontwikkelingen in vakgebied</w:t>
            </w:r>
          </w:p>
        </w:tc>
        <w:tc>
          <w:tcPr>
            <w:tcW w:w="475" w:type="pct"/>
            <w:noWrap/>
            <w:hideMark/>
          </w:tcPr>
          <w:p w:rsidRPr="00C21F2B" w:rsidR="00F33E01" w:rsidP="00F33E01" w:rsidRDefault="00F33E01" w14:paraId="21C85BDD"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53%</w:t>
            </w:r>
          </w:p>
        </w:tc>
        <w:tc>
          <w:tcPr>
            <w:tcW w:w="403" w:type="pct"/>
            <w:noWrap/>
            <w:hideMark/>
          </w:tcPr>
          <w:p w:rsidRPr="00C21F2B" w:rsidR="00F33E01" w:rsidP="00F33E01" w:rsidRDefault="00F33E01" w14:paraId="1E78DFF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55%</w:t>
            </w:r>
          </w:p>
        </w:tc>
        <w:tc>
          <w:tcPr>
            <w:tcW w:w="402" w:type="pct"/>
            <w:noWrap/>
            <w:hideMark/>
          </w:tcPr>
          <w:p w:rsidRPr="00C21F2B" w:rsidR="00F33E01" w:rsidP="00F33E01" w:rsidRDefault="00F33E01" w14:paraId="1E33CBF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43%</w:t>
            </w:r>
          </w:p>
        </w:tc>
      </w:tr>
      <w:tr w:rsidRPr="00C21F2B" w:rsidR="00F33E01" w:rsidTr="00E946AD" w14:paraId="0A0A5C40" w14:textId="77777777">
        <w:trPr>
          <w:trHeight w:val="227"/>
        </w:trPr>
        <w:tc>
          <w:tcPr>
            <w:cnfStyle w:val="001000000000" w:firstRow="0" w:lastRow="0" w:firstColumn="1" w:lastColumn="0" w:oddVBand="0" w:evenVBand="0" w:oddHBand="0" w:evenHBand="0" w:firstRowFirstColumn="0" w:firstRowLastColumn="0" w:lastRowFirstColumn="0" w:lastRowLastColumn="0"/>
            <w:tcW w:w="3720" w:type="pct"/>
            <w:noWrap/>
            <w:vAlign w:val="center"/>
            <w:hideMark/>
          </w:tcPr>
          <w:p w:rsidRPr="00C21F2B" w:rsidR="00F33E01" w:rsidP="00F33E01" w:rsidRDefault="00F33E01" w14:paraId="1E93852E"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Beter toegerust voor geven van eigentijds techniekonderwijs</w:t>
            </w:r>
          </w:p>
        </w:tc>
        <w:tc>
          <w:tcPr>
            <w:tcW w:w="475" w:type="pct"/>
            <w:noWrap/>
            <w:hideMark/>
          </w:tcPr>
          <w:p w:rsidRPr="00C21F2B" w:rsidR="00F33E01" w:rsidP="00F33E01" w:rsidRDefault="00F33E01" w14:paraId="1C6901D7"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51%</w:t>
            </w:r>
          </w:p>
        </w:tc>
        <w:tc>
          <w:tcPr>
            <w:tcW w:w="403" w:type="pct"/>
            <w:noWrap/>
            <w:hideMark/>
          </w:tcPr>
          <w:p w:rsidRPr="00C21F2B" w:rsidR="00F33E01" w:rsidP="00F33E01" w:rsidRDefault="00F33E01" w14:paraId="03785D91"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55%*</w:t>
            </w:r>
          </w:p>
        </w:tc>
        <w:tc>
          <w:tcPr>
            <w:tcW w:w="402" w:type="pct"/>
            <w:noWrap/>
            <w:hideMark/>
          </w:tcPr>
          <w:p w:rsidRPr="00C21F2B" w:rsidR="00F33E01" w:rsidP="00F33E01" w:rsidRDefault="00F33E01" w14:paraId="3BAA2997"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28%</w:t>
            </w:r>
          </w:p>
        </w:tc>
      </w:tr>
      <w:tr w:rsidRPr="00C21F2B" w:rsidR="00F33E01" w:rsidTr="00E946AD" w14:paraId="01DEFED8" w14:textId="77777777">
        <w:trPr>
          <w:trHeight w:val="227"/>
        </w:trPr>
        <w:tc>
          <w:tcPr>
            <w:cnfStyle w:val="001000000000" w:firstRow="0" w:lastRow="0" w:firstColumn="1" w:lastColumn="0" w:oddVBand="0" w:evenVBand="0" w:oddHBand="0" w:evenHBand="0" w:firstRowFirstColumn="0" w:firstRowLastColumn="0" w:lastRowFirstColumn="0" w:lastRowLastColumn="0"/>
            <w:tcW w:w="3720" w:type="pct"/>
            <w:noWrap/>
            <w:vAlign w:val="center"/>
            <w:hideMark/>
          </w:tcPr>
          <w:p w:rsidRPr="00C21F2B" w:rsidR="00F33E01" w:rsidP="00F33E01" w:rsidRDefault="00F33E01" w14:paraId="4A81C749"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Meer met LOB bezig dan voorheen</w:t>
            </w:r>
          </w:p>
        </w:tc>
        <w:tc>
          <w:tcPr>
            <w:tcW w:w="475" w:type="pct"/>
            <w:noWrap/>
            <w:hideMark/>
          </w:tcPr>
          <w:p w:rsidRPr="00C21F2B" w:rsidR="00F33E01" w:rsidP="00F33E01" w:rsidRDefault="00F33E01" w14:paraId="6FC712A9"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39%</w:t>
            </w:r>
          </w:p>
        </w:tc>
        <w:tc>
          <w:tcPr>
            <w:tcW w:w="403" w:type="pct"/>
            <w:noWrap/>
            <w:hideMark/>
          </w:tcPr>
          <w:p w:rsidRPr="00C21F2B" w:rsidR="00F33E01" w:rsidP="00F33E01" w:rsidRDefault="00F33E01" w14:paraId="4323C0C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39%</w:t>
            </w:r>
          </w:p>
        </w:tc>
        <w:tc>
          <w:tcPr>
            <w:tcW w:w="402" w:type="pct"/>
            <w:noWrap/>
            <w:hideMark/>
          </w:tcPr>
          <w:p w:rsidRPr="00C21F2B" w:rsidR="00F33E01" w:rsidP="00F33E01" w:rsidRDefault="00F33E01" w14:paraId="4DA65A32"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41%</w:t>
            </w:r>
          </w:p>
        </w:tc>
      </w:tr>
      <w:tr w:rsidRPr="00C21F2B" w:rsidR="00F33E01" w:rsidTr="00E946AD" w14:paraId="0CCAFF62" w14:textId="77777777">
        <w:trPr>
          <w:trHeight w:val="227"/>
        </w:trPr>
        <w:tc>
          <w:tcPr>
            <w:cnfStyle w:val="001000000000" w:firstRow="0" w:lastRow="0" w:firstColumn="1" w:lastColumn="0" w:oddVBand="0" w:evenVBand="0" w:oddHBand="0" w:evenHBand="0" w:firstRowFirstColumn="0" w:firstRowLastColumn="0" w:lastRowFirstColumn="0" w:lastRowLastColumn="0"/>
            <w:tcW w:w="3720" w:type="pct"/>
            <w:noWrap/>
            <w:vAlign w:val="center"/>
            <w:hideMark/>
          </w:tcPr>
          <w:p w:rsidRPr="00C21F2B" w:rsidR="00F33E01" w:rsidP="00F33E01" w:rsidRDefault="00F33E01" w14:paraId="62E34D4E"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Meer aandacht voor doelgroepen als meiden, leerlingen met migratieachtergrond</w:t>
            </w:r>
          </w:p>
        </w:tc>
        <w:tc>
          <w:tcPr>
            <w:tcW w:w="475" w:type="pct"/>
            <w:noWrap/>
            <w:hideMark/>
          </w:tcPr>
          <w:p w:rsidRPr="00C21F2B" w:rsidR="00F33E01" w:rsidP="00F33E01" w:rsidRDefault="00F33E01" w14:paraId="451982F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28%</w:t>
            </w:r>
          </w:p>
        </w:tc>
        <w:tc>
          <w:tcPr>
            <w:tcW w:w="403" w:type="pct"/>
            <w:noWrap/>
            <w:hideMark/>
          </w:tcPr>
          <w:p w:rsidRPr="00C21F2B" w:rsidR="00F33E01" w:rsidP="00F33E01" w:rsidRDefault="00F33E01" w14:paraId="7EC19E6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30%</w:t>
            </w:r>
          </w:p>
        </w:tc>
        <w:tc>
          <w:tcPr>
            <w:tcW w:w="402" w:type="pct"/>
            <w:noWrap/>
            <w:hideMark/>
          </w:tcPr>
          <w:p w:rsidRPr="00C21F2B" w:rsidR="00F33E01" w:rsidP="00F33E01" w:rsidRDefault="00F33E01" w14:paraId="64E6FED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19%</w:t>
            </w:r>
          </w:p>
        </w:tc>
      </w:tr>
      <w:tr w:rsidRPr="00C21F2B" w:rsidR="00F33E01" w:rsidTr="00E946AD" w14:paraId="7A852CA1" w14:textId="77777777">
        <w:trPr>
          <w:trHeight w:val="227"/>
        </w:trPr>
        <w:tc>
          <w:tcPr>
            <w:cnfStyle w:val="001000000000" w:firstRow="0" w:lastRow="0" w:firstColumn="1" w:lastColumn="0" w:oddVBand="0" w:evenVBand="0" w:oddHBand="0" w:evenHBand="0" w:firstRowFirstColumn="0" w:firstRowLastColumn="0" w:lastRowFirstColumn="0" w:lastRowLastColumn="0"/>
            <w:tcW w:w="3720" w:type="pct"/>
            <w:noWrap/>
            <w:vAlign w:val="center"/>
            <w:hideMark/>
          </w:tcPr>
          <w:p w:rsidRPr="00C21F2B" w:rsidR="00F33E01" w:rsidP="00F33E01" w:rsidRDefault="00F33E01" w14:paraId="62B40973"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Meer gericht op de regio buiten mijn school</w:t>
            </w:r>
          </w:p>
        </w:tc>
        <w:tc>
          <w:tcPr>
            <w:tcW w:w="475" w:type="pct"/>
            <w:noWrap/>
            <w:hideMark/>
          </w:tcPr>
          <w:p w:rsidRPr="00C21F2B" w:rsidR="00F33E01" w:rsidP="00F33E01" w:rsidRDefault="00F33E01" w14:paraId="2FDB591E"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43%</w:t>
            </w:r>
          </w:p>
        </w:tc>
        <w:tc>
          <w:tcPr>
            <w:tcW w:w="403" w:type="pct"/>
            <w:noWrap/>
            <w:hideMark/>
          </w:tcPr>
          <w:p w:rsidRPr="00C21F2B" w:rsidR="00F33E01" w:rsidP="00F33E01" w:rsidRDefault="00F33E01" w14:paraId="0CF6B3A9"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44%</w:t>
            </w:r>
          </w:p>
        </w:tc>
        <w:tc>
          <w:tcPr>
            <w:tcW w:w="402" w:type="pct"/>
            <w:noWrap/>
            <w:hideMark/>
          </w:tcPr>
          <w:p w:rsidRPr="00C21F2B" w:rsidR="00F33E01" w:rsidP="00F33E01" w:rsidRDefault="00F33E01" w14:paraId="6F57131D"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37%</w:t>
            </w:r>
          </w:p>
        </w:tc>
      </w:tr>
      <w:tr w:rsidRPr="00C21F2B" w:rsidR="00F33E01" w:rsidTr="00E946AD" w14:paraId="5A6C6E1C" w14:textId="77777777">
        <w:trPr>
          <w:trHeight w:val="227"/>
        </w:trPr>
        <w:tc>
          <w:tcPr>
            <w:cnfStyle w:val="001000000000" w:firstRow="0" w:lastRow="0" w:firstColumn="1" w:lastColumn="0" w:oddVBand="0" w:evenVBand="0" w:oddHBand="0" w:evenHBand="0" w:firstRowFirstColumn="0" w:firstRowLastColumn="0" w:lastRowFirstColumn="0" w:lastRowLastColumn="0"/>
            <w:tcW w:w="3720" w:type="pct"/>
            <w:noWrap/>
            <w:vAlign w:val="center"/>
            <w:hideMark/>
          </w:tcPr>
          <w:p w:rsidRPr="00C21F2B" w:rsidR="00F33E01" w:rsidP="00F33E01" w:rsidRDefault="00F33E01" w14:paraId="620E084F"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Rol als docent is uitgebreid</w:t>
            </w:r>
          </w:p>
        </w:tc>
        <w:tc>
          <w:tcPr>
            <w:tcW w:w="475" w:type="pct"/>
            <w:noWrap/>
            <w:hideMark/>
          </w:tcPr>
          <w:p w:rsidRPr="00C21F2B" w:rsidR="00F33E01" w:rsidP="00F33E01" w:rsidRDefault="00F33E01" w14:paraId="4F61A739"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58%</w:t>
            </w:r>
          </w:p>
        </w:tc>
        <w:tc>
          <w:tcPr>
            <w:tcW w:w="403" w:type="pct"/>
            <w:noWrap/>
            <w:hideMark/>
          </w:tcPr>
          <w:p w:rsidRPr="00C21F2B" w:rsidR="00F33E01" w:rsidP="00F33E01" w:rsidRDefault="00F33E01" w14:paraId="70591E7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60%</w:t>
            </w:r>
          </w:p>
        </w:tc>
        <w:tc>
          <w:tcPr>
            <w:tcW w:w="402" w:type="pct"/>
            <w:noWrap/>
            <w:hideMark/>
          </w:tcPr>
          <w:p w:rsidRPr="00C21F2B" w:rsidR="00F33E01" w:rsidP="00F33E01" w:rsidRDefault="00F33E01" w14:paraId="25F245CC"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50%</w:t>
            </w:r>
          </w:p>
        </w:tc>
      </w:tr>
      <w:tr w:rsidRPr="00C21F2B" w:rsidR="00F33E01" w:rsidTr="00E946AD" w14:paraId="60A0567E" w14:textId="77777777">
        <w:trPr>
          <w:trHeight w:val="227"/>
        </w:trPr>
        <w:tc>
          <w:tcPr>
            <w:cnfStyle w:val="001000000000" w:firstRow="0" w:lastRow="0" w:firstColumn="1" w:lastColumn="0" w:oddVBand="0" w:evenVBand="0" w:oddHBand="0" w:evenHBand="0" w:firstRowFirstColumn="0" w:firstRowLastColumn="0" w:lastRowFirstColumn="0" w:lastRowLastColumn="0"/>
            <w:tcW w:w="3720" w:type="pct"/>
            <w:noWrap/>
            <w:vAlign w:val="center"/>
            <w:hideMark/>
          </w:tcPr>
          <w:p w:rsidRPr="00C21F2B" w:rsidR="00F33E01" w:rsidP="00F33E01" w:rsidRDefault="00F33E01" w14:paraId="0CC9218F"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Meer coachende rol naast rol als vakdocent</w:t>
            </w:r>
          </w:p>
        </w:tc>
        <w:tc>
          <w:tcPr>
            <w:tcW w:w="475" w:type="pct"/>
            <w:noWrap/>
            <w:hideMark/>
          </w:tcPr>
          <w:p w:rsidRPr="00C21F2B" w:rsidR="00F33E01" w:rsidP="00F33E01" w:rsidRDefault="00F33E01" w14:paraId="1B192851"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53%</w:t>
            </w:r>
          </w:p>
        </w:tc>
        <w:tc>
          <w:tcPr>
            <w:tcW w:w="403" w:type="pct"/>
            <w:noWrap/>
            <w:hideMark/>
          </w:tcPr>
          <w:p w:rsidRPr="00C21F2B" w:rsidR="00F33E01" w:rsidP="00F33E01" w:rsidRDefault="00F33E01" w14:paraId="2F2C7C33"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57%*</w:t>
            </w:r>
          </w:p>
        </w:tc>
        <w:tc>
          <w:tcPr>
            <w:tcW w:w="402" w:type="pct"/>
            <w:noWrap/>
            <w:hideMark/>
          </w:tcPr>
          <w:p w:rsidRPr="00C21F2B" w:rsidR="00F33E01" w:rsidP="00F33E01" w:rsidRDefault="00F33E01" w14:paraId="58A58306"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37%</w:t>
            </w:r>
          </w:p>
        </w:tc>
      </w:tr>
      <w:tr w:rsidRPr="00C21F2B" w:rsidR="00F33E01" w:rsidTr="00E946AD" w14:paraId="04C0D497" w14:textId="77777777">
        <w:trPr>
          <w:trHeight w:val="227"/>
        </w:trPr>
        <w:tc>
          <w:tcPr>
            <w:cnfStyle w:val="001000000000" w:firstRow="0" w:lastRow="0" w:firstColumn="1" w:lastColumn="0" w:oddVBand="0" w:evenVBand="0" w:oddHBand="0" w:evenHBand="0" w:firstRowFirstColumn="0" w:firstRowLastColumn="0" w:lastRowFirstColumn="0" w:lastRowLastColumn="0"/>
            <w:tcW w:w="3720" w:type="pct"/>
            <w:noWrap/>
            <w:vAlign w:val="center"/>
            <w:hideMark/>
          </w:tcPr>
          <w:p w:rsidRPr="00C21F2B" w:rsidR="00F33E01" w:rsidP="00F33E01" w:rsidRDefault="00F33E01" w14:paraId="02230D66"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Meer gemotiveerd voor mijn vak</w:t>
            </w:r>
          </w:p>
        </w:tc>
        <w:tc>
          <w:tcPr>
            <w:tcW w:w="475" w:type="pct"/>
            <w:noWrap/>
            <w:hideMark/>
          </w:tcPr>
          <w:p w:rsidRPr="00C21F2B" w:rsidR="00F33E01" w:rsidP="00F33E01" w:rsidRDefault="00F33E01" w14:paraId="15C5AB91"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51%</w:t>
            </w:r>
          </w:p>
        </w:tc>
        <w:tc>
          <w:tcPr>
            <w:tcW w:w="403" w:type="pct"/>
            <w:noWrap/>
            <w:hideMark/>
          </w:tcPr>
          <w:p w:rsidRPr="00C21F2B" w:rsidR="00F33E01" w:rsidP="00F33E01" w:rsidRDefault="00F33E01" w14:paraId="5B53A54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52%</w:t>
            </w:r>
          </w:p>
        </w:tc>
        <w:tc>
          <w:tcPr>
            <w:tcW w:w="402" w:type="pct"/>
            <w:noWrap/>
            <w:hideMark/>
          </w:tcPr>
          <w:p w:rsidRPr="00C21F2B" w:rsidR="00F33E01" w:rsidP="00F33E01" w:rsidRDefault="00F33E01" w14:paraId="32F89033"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45%</w:t>
            </w:r>
          </w:p>
        </w:tc>
      </w:tr>
      <w:tr w:rsidRPr="00C21F2B" w:rsidR="00F33E01" w:rsidTr="00E946AD" w14:paraId="76769B21" w14:textId="77777777">
        <w:trPr>
          <w:trHeight w:val="227"/>
        </w:trPr>
        <w:tc>
          <w:tcPr>
            <w:cnfStyle w:val="001000000000" w:firstRow="0" w:lastRow="0" w:firstColumn="1" w:lastColumn="0" w:oddVBand="0" w:evenVBand="0" w:oddHBand="0" w:evenHBand="0" w:firstRowFirstColumn="0" w:firstRowLastColumn="0" w:lastRowFirstColumn="0" w:lastRowLastColumn="0"/>
            <w:tcW w:w="3720" w:type="pct"/>
            <w:noWrap/>
            <w:vAlign w:val="center"/>
            <w:hideMark/>
          </w:tcPr>
          <w:p w:rsidRPr="00C21F2B" w:rsidR="00F33E01" w:rsidP="00F33E01" w:rsidRDefault="00F33E01" w14:paraId="74A85315"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Ervaar meer werkdruk</w:t>
            </w:r>
          </w:p>
        </w:tc>
        <w:tc>
          <w:tcPr>
            <w:tcW w:w="475" w:type="pct"/>
            <w:noWrap/>
            <w:hideMark/>
          </w:tcPr>
          <w:p w:rsidRPr="00C21F2B" w:rsidR="00F33E01" w:rsidP="00F33E01" w:rsidRDefault="00F33E01" w14:paraId="78884F9A"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42%</w:t>
            </w:r>
          </w:p>
        </w:tc>
        <w:tc>
          <w:tcPr>
            <w:tcW w:w="403" w:type="pct"/>
            <w:noWrap/>
            <w:hideMark/>
          </w:tcPr>
          <w:p w:rsidRPr="00C21F2B" w:rsidR="00F33E01" w:rsidP="00F33E01" w:rsidRDefault="00F33E01" w14:paraId="2062B44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45%*</w:t>
            </w:r>
          </w:p>
        </w:tc>
        <w:tc>
          <w:tcPr>
            <w:tcW w:w="402" w:type="pct"/>
            <w:noWrap/>
            <w:hideMark/>
          </w:tcPr>
          <w:p w:rsidRPr="00C21F2B" w:rsidR="00F33E01" w:rsidP="00F33E01" w:rsidRDefault="00F33E01" w14:paraId="05AA6F2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26%</w:t>
            </w:r>
          </w:p>
        </w:tc>
      </w:tr>
      <w:tr w:rsidRPr="00C21F2B" w:rsidR="00F33E01" w:rsidTr="00E946AD" w14:paraId="41721542" w14:textId="77777777">
        <w:trPr>
          <w:trHeight w:val="227"/>
        </w:trPr>
        <w:tc>
          <w:tcPr>
            <w:cnfStyle w:val="001000000000" w:firstRow="0" w:lastRow="0" w:firstColumn="1" w:lastColumn="0" w:oddVBand="0" w:evenVBand="0" w:oddHBand="0" w:evenHBand="0" w:firstRowFirstColumn="0" w:firstRowLastColumn="0" w:lastRowFirstColumn="0" w:lastRowLastColumn="0"/>
            <w:tcW w:w="3720" w:type="pct"/>
            <w:noWrap/>
            <w:vAlign w:val="center"/>
            <w:hideMark/>
          </w:tcPr>
          <w:p w:rsidRPr="00C21F2B" w:rsidR="00F33E01" w:rsidP="00F33E01" w:rsidRDefault="00F33E01" w14:paraId="3F2A4623"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Meer trots op mijn vak</w:t>
            </w:r>
          </w:p>
        </w:tc>
        <w:tc>
          <w:tcPr>
            <w:tcW w:w="475" w:type="pct"/>
            <w:noWrap/>
            <w:hideMark/>
          </w:tcPr>
          <w:p w:rsidRPr="00C21F2B" w:rsidR="00F33E01" w:rsidP="00F33E01" w:rsidRDefault="00F33E01" w14:paraId="53D17E03"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60%</w:t>
            </w:r>
          </w:p>
        </w:tc>
        <w:tc>
          <w:tcPr>
            <w:tcW w:w="403" w:type="pct"/>
            <w:noWrap/>
            <w:hideMark/>
          </w:tcPr>
          <w:p w:rsidRPr="00C21F2B" w:rsidR="00F33E01" w:rsidP="00F33E01" w:rsidRDefault="00F33E01" w14:paraId="26DC1601"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64%*</w:t>
            </w:r>
          </w:p>
        </w:tc>
        <w:tc>
          <w:tcPr>
            <w:tcW w:w="402" w:type="pct"/>
            <w:noWrap/>
            <w:hideMark/>
          </w:tcPr>
          <w:p w:rsidRPr="00C21F2B" w:rsidR="00F33E01" w:rsidP="00F33E01" w:rsidRDefault="00F33E01" w14:paraId="6444E0D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43%</w:t>
            </w:r>
          </w:p>
        </w:tc>
      </w:tr>
      <w:tr w:rsidRPr="00C21F2B" w:rsidR="00F33E01" w:rsidTr="00E946AD" w14:paraId="0E57DEC8" w14:textId="77777777">
        <w:trPr>
          <w:trHeight w:val="227"/>
        </w:trPr>
        <w:tc>
          <w:tcPr>
            <w:cnfStyle w:val="001000000000" w:firstRow="0" w:lastRow="0" w:firstColumn="1" w:lastColumn="0" w:oddVBand="0" w:evenVBand="0" w:oddHBand="0" w:evenHBand="0" w:firstRowFirstColumn="0" w:firstRowLastColumn="0" w:lastRowFirstColumn="0" w:lastRowLastColumn="0"/>
            <w:tcW w:w="3720" w:type="pct"/>
            <w:noWrap/>
            <w:vAlign w:val="center"/>
            <w:hideMark/>
          </w:tcPr>
          <w:p w:rsidRPr="00C21F2B" w:rsidR="00F33E01" w:rsidP="00F33E01" w:rsidRDefault="00F33E01" w14:paraId="50A66290"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Andere impact, namelijk</w:t>
            </w:r>
          </w:p>
        </w:tc>
        <w:tc>
          <w:tcPr>
            <w:tcW w:w="475" w:type="pct"/>
            <w:noWrap/>
            <w:hideMark/>
          </w:tcPr>
          <w:p w:rsidRPr="00C21F2B" w:rsidR="00F33E01" w:rsidP="00F33E01" w:rsidRDefault="00F33E01" w14:paraId="1A200322"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26%</w:t>
            </w:r>
          </w:p>
        </w:tc>
        <w:tc>
          <w:tcPr>
            <w:tcW w:w="403" w:type="pct"/>
            <w:noWrap/>
            <w:hideMark/>
          </w:tcPr>
          <w:p w:rsidRPr="00C21F2B" w:rsidR="00F33E01" w:rsidP="00F33E01" w:rsidRDefault="00F33E01" w14:paraId="5924FA81"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33%</w:t>
            </w:r>
          </w:p>
        </w:tc>
        <w:tc>
          <w:tcPr>
            <w:tcW w:w="402" w:type="pct"/>
            <w:noWrap/>
            <w:hideMark/>
          </w:tcPr>
          <w:p w:rsidRPr="00C21F2B" w:rsidR="00F33E01" w:rsidP="00F33E01" w:rsidRDefault="00F33E01" w14:paraId="7AAB07D1"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6%</w:t>
            </w:r>
          </w:p>
        </w:tc>
      </w:tr>
    </w:tbl>
    <w:p w:rsidRPr="00C173A1" w:rsidR="00F33E01" w:rsidP="00C173A1" w:rsidRDefault="00C173A1" w14:paraId="5C0A49E3" w14:textId="53AC3B53">
      <w:pPr>
        <w:pStyle w:val="SEOBron"/>
        <w:numPr>
          <w:ilvl w:val="0"/>
          <w:numId w:val="0"/>
        </w:numPr>
        <w:rPr>
          <w:rFonts w:ascii="Trebuchet MS" w:hAnsi="Trebuchet MS"/>
          <w:color w:val="auto"/>
          <w:szCs w:val="18"/>
        </w:rPr>
      </w:pPr>
      <w:r w:rsidRPr="00C173A1">
        <w:rPr>
          <w:rFonts w:ascii="Trebuchet MS" w:hAnsi="Trebuchet MS"/>
          <w:color w:val="auto"/>
          <w:szCs w:val="18"/>
        </w:rPr>
        <w:t xml:space="preserve">Bron: </w:t>
      </w:r>
      <w:r w:rsidRPr="00C173A1" w:rsidR="00F33E01">
        <w:rPr>
          <w:rFonts w:ascii="Trebuchet MS" w:hAnsi="Trebuchet MS"/>
          <w:color w:val="auto"/>
          <w:szCs w:val="18"/>
        </w:rPr>
        <w:t xml:space="preserve">Enquête lesgevenden bovenbouw vmbo (februari-mei 2025). </w:t>
      </w:r>
      <w:r w:rsidR="00826D4B">
        <w:rPr>
          <w:rFonts w:ascii="Trebuchet MS" w:hAnsi="Trebuchet MS"/>
          <w:color w:val="auto"/>
          <w:szCs w:val="18"/>
        </w:rPr>
        <w:t xml:space="preserve">Alle respondenten. </w:t>
      </w:r>
      <w:r w:rsidRPr="00C173A1" w:rsidR="00F33E01">
        <w:rPr>
          <w:rFonts w:ascii="Trebuchet MS" w:hAnsi="Trebuchet MS"/>
          <w:color w:val="auto"/>
          <w:szCs w:val="18"/>
        </w:rPr>
        <w:t>% (helemaal) mee eens. * geeft significant verschil weer tussen lesgevenden van technisch vak en lesgevenden van niet-technisch vak.</w:t>
      </w:r>
    </w:p>
    <w:p w:rsidRPr="00C173A1" w:rsidR="00F33E01" w:rsidP="27A1E800" w:rsidRDefault="00F33E01" w14:paraId="11C18241" w14:textId="77777777">
      <w:pPr>
        <w:pStyle w:val="SEOStandaard"/>
        <w:numPr>
          <w:ilvl w:val="0"/>
          <w:numId w:val="0"/>
        </w:numPr>
        <w:rPr>
          <w:rFonts w:ascii="Trebuchet MS" w:hAnsi="Trebuchet MS"/>
          <w:color w:val="auto"/>
          <w:sz w:val="18"/>
          <w:szCs w:val="18"/>
        </w:rPr>
      </w:pPr>
      <w:r w:rsidRPr="00C173A1">
        <w:rPr>
          <w:rFonts w:ascii="Trebuchet MS" w:hAnsi="Trebuchet MS"/>
          <w:color w:val="auto"/>
          <w:sz w:val="18"/>
          <w:szCs w:val="18"/>
        </w:rPr>
        <w:t xml:space="preserve">Lesgevenden die les geven in een technisch vak geven significant vaker aan vanwege STO veranderingen te ervaren op het gebied van: manier van lesgeven (4 op de 10), beter toegerust te zijn voor het geven van eigentijds techniekonderwijs (ruim 5 op de 10), meer een coachende rol te hebben naast de rol als vakdocent (bijna 6 op de 10) en trotser te zijn op hun vak (6 op de 10). Echter geeft ook ruim 4 op de 10 aan meer werkdruk te ervaren. Dit komt ook terug in de open antwoorden van de andere impact die lesgevenden konden rapporteren. Een deel geeft hier echter ook aan juist extra tijd te hebben door STO. </w:t>
      </w:r>
    </w:p>
    <w:p w:rsidRPr="00C173A1" w:rsidR="00F33E01" w:rsidP="00F33E01" w:rsidRDefault="00F33E01" w14:paraId="47AEA399" w14:textId="77777777">
      <w:pPr>
        <w:pStyle w:val="SEOStandaardB"/>
        <w:rPr>
          <w:rFonts w:ascii="Trebuchet MS" w:hAnsi="Trebuchet MS"/>
          <w:color w:val="auto"/>
          <w:sz w:val="18"/>
          <w:szCs w:val="18"/>
        </w:rPr>
      </w:pPr>
    </w:p>
    <w:p w:rsidRPr="00C173A1" w:rsidR="00F33E01" w:rsidP="27A1E800" w:rsidRDefault="00F33E01" w14:paraId="11C6EFF7" w14:textId="1F4878A8">
      <w:pPr>
        <w:pStyle w:val="SEOStandaard"/>
        <w:numPr>
          <w:ilvl w:val="0"/>
          <w:numId w:val="0"/>
        </w:numPr>
        <w:rPr>
          <w:rFonts w:ascii="Trebuchet MS" w:hAnsi="Trebuchet MS"/>
          <w:b/>
          <w:bCs/>
          <w:color w:val="auto"/>
          <w:sz w:val="18"/>
          <w:szCs w:val="18"/>
        </w:rPr>
      </w:pPr>
      <w:r w:rsidRPr="00C173A1">
        <w:rPr>
          <w:rFonts w:ascii="Trebuchet MS" w:hAnsi="Trebuchet MS"/>
          <w:color w:val="auto"/>
          <w:sz w:val="18"/>
          <w:szCs w:val="18"/>
        </w:rPr>
        <w:t xml:space="preserve">Samenvattend ervaren lesgevenden (veel) concrete veranderingen door STO als het gaat om de beschikbaarheid van nieuwe apparatuur, betere contacten, het aanbod van technische keuzevakken en buitenschools leren. De veranderingen worden met name ervaren door lesgevenden in een technisch vak. Minder vaak worden veranderingen ervaren in het gebruik van regionale voorzieningen en de komst van centrale voorzieningen. De impact van STO op de docent is vooral zichtbaar in trots, motivatie, kennis van actuele ontwikkelingen en betere voorbereiding voor eigentijds techniekonderwijs. Door een kleiner deel van de lesgevenden wordt verandering gerapporteerd in de aandacht voor doelgroepen (meiden, leerlingen met een migratieachtergrond), manier van lesgeven, hogere werkdruk (dit ligt ook significant hoger onder de lesgevenden in een technisch vak), LOB-tijd en regionale focus. </w:t>
      </w:r>
    </w:p>
    <w:p w:rsidR="27A1E800" w:rsidP="27A1E800" w:rsidRDefault="27A1E800" w14:paraId="4544C174" w14:textId="2775C8F5">
      <w:pPr>
        <w:pStyle w:val="SEOStandaard"/>
        <w:numPr>
          <w:ilvl w:val="0"/>
          <w:numId w:val="0"/>
        </w:numPr>
        <w:rPr>
          <w:rFonts w:ascii="Trebuchet MS" w:hAnsi="Trebuchet MS"/>
          <w:sz w:val="18"/>
          <w:szCs w:val="18"/>
        </w:rPr>
      </w:pPr>
    </w:p>
    <w:p w:rsidRPr="00C21F2B" w:rsidR="00F33E01" w:rsidP="00203B2D" w:rsidRDefault="00F33E01" w14:paraId="17F07FDE" w14:textId="77777777">
      <w:pPr>
        <w:pStyle w:val="Kop2"/>
      </w:pPr>
      <w:bookmarkStart w:name="_Toc198625155" w:id="56"/>
      <w:bookmarkStart w:name="_Toc203573588" w:id="57"/>
      <w:r w:rsidRPr="00C21F2B">
        <w:t>Impact op leerlingen</w:t>
      </w:r>
      <w:bookmarkEnd w:id="56"/>
      <w:bookmarkEnd w:id="57"/>
    </w:p>
    <w:p w:rsidR="00F33E01" w:rsidP="00F33E01" w:rsidRDefault="00F33E01" w14:paraId="006636C7" w14:textId="1B0D4518">
      <w:pPr>
        <w:pStyle w:val="SEOStandaard"/>
        <w:rPr>
          <w:rFonts w:ascii="Trebuchet MS" w:hAnsi="Trebuchet MS"/>
          <w:color w:val="auto"/>
          <w:sz w:val="18"/>
          <w:szCs w:val="18"/>
        </w:rPr>
      </w:pPr>
      <w:r w:rsidRPr="005A7A35">
        <w:rPr>
          <w:rFonts w:ascii="Trebuchet MS" w:hAnsi="Trebuchet MS"/>
          <w:color w:val="auto"/>
          <w:sz w:val="18"/>
          <w:szCs w:val="18"/>
        </w:rPr>
        <w:t xml:space="preserve">Naast de impact op de docentenrol is aan lesgevenden ook gevraagd om aan te geven wat de impact van de veranderingen door STO is op leerlingen (zie figuur </w:t>
      </w:r>
      <w:r w:rsidRPr="005A7A35" w:rsidR="00C173A1">
        <w:rPr>
          <w:rFonts w:ascii="Trebuchet MS" w:hAnsi="Trebuchet MS"/>
          <w:color w:val="auto"/>
          <w:sz w:val="18"/>
          <w:szCs w:val="18"/>
        </w:rPr>
        <w:t>5</w:t>
      </w:r>
      <w:r w:rsidRPr="005A7A35">
        <w:rPr>
          <w:rFonts w:ascii="Trebuchet MS" w:hAnsi="Trebuchet MS"/>
          <w:color w:val="auto"/>
          <w:sz w:val="18"/>
          <w:szCs w:val="18"/>
        </w:rPr>
        <w:t xml:space="preserve">.3 en tabel </w:t>
      </w:r>
      <w:r w:rsidRPr="005A7A35" w:rsidR="00C173A1">
        <w:rPr>
          <w:rFonts w:ascii="Trebuchet MS" w:hAnsi="Trebuchet MS"/>
          <w:color w:val="auto"/>
          <w:sz w:val="18"/>
          <w:szCs w:val="18"/>
        </w:rPr>
        <w:t>5</w:t>
      </w:r>
      <w:r w:rsidRPr="005A7A35">
        <w:rPr>
          <w:rFonts w:ascii="Trebuchet MS" w:hAnsi="Trebuchet MS"/>
          <w:color w:val="auto"/>
          <w:sz w:val="18"/>
          <w:szCs w:val="18"/>
        </w:rPr>
        <w:t xml:space="preserve">.6). </w:t>
      </w:r>
    </w:p>
    <w:p w:rsidR="002774A5" w:rsidP="002774A5" w:rsidRDefault="002774A5" w14:paraId="0E00734E" w14:textId="77777777">
      <w:pPr>
        <w:pStyle w:val="SEOStandaard"/>
        <w:rPr>
          <w:rFonts w:ascii="Trebuchet MS" w:hAnsi="Trebuchet MS"/>
          <w:color w:val="auto"/>
          <w:sz w:val="18"/>
          <w:szCs w:val="18"/>
        </w:rPr>
      </w:pPr>
    </w:p>
    <w:p w:rsidRPr="005A7A35" w:rsidR="002774A5" w:rsidP="002774A5" w:rsidRDefault="002774A5" w14:paraId="5118BA29" w14:textId="2BFC6D79">
      <w:pPr>
        <w:pStyle w:val="SEOStandaard"/>
        <w:rPr>
          <w:rFonts w:ascii="Trebuchet MS" w:hAnsi="Trebuchet MS"/>
          <w:color w:val="auto"/>
          <w:sz w:val="18"/>
          <w:szCs w:val="18"/>
        </w:rPr>
      </w:pPr>
      <w:r w:rsidRPr="005A7A35">
        <w:rPr>
          <w:rFonts w:ascii="Trebuchet MS" w:hAnsi="Trebuchet MS"/>
          <w:color w:val="auto"/>
          <w:sz w:val="18"/>
          <w:szCs w:val="18"/>
        </w:rPr>
        <w:t>Een ruime meerderheid van de lesgevenden geeft aan dat leerlingen door STO beter en rijker techniekonderwijs genieten. Bij lesgevenden in een technisch vak is dit 7 op 10. Eveneens een meerderheid (ruim 6 op de 10) geeft aan dat leerlingen door STO meer zicht hebben op actuele ontwikkelingen binnen de wereld van techniek. Dit wordt door andere lesgevenden minder genoemd dan door lesgevenden die een technisch vak geven.</w:t>
      </w:r>
    </w:p>
    <w:p w:rsidRPr="005A7A35" w:rsidR="00F33E01" w:rsidP="005A7A35" w:rsidRDefault="00C173A1" w14:paraId="6C501C93" w14:textId="1DB5CDB7">
      <w:pPr>
        <w:pStyle w:val="Figuur"/>
        <w:rPr>
          <w:rFonts w:ascii="Trebuchet MS" w:hAnsi="Trebuchet MS" w:eastAsiaTheme="minorEastAsia" w:cstheme="minorBidi"/>
          <w:i/>
          <w:iCs/>
          <w:noProof w:val="0"/>
          <w:sz w:val="18"/>
          <w:szCs w:val="18"/>
          <w:lang w:eastAsia="en-US"/>
        </w:rPr>
      </w:pPr>
      <w:r w:rsidRPr="005A7A35">
        <w:rPr>
          <w:rFonts w:ascii="Trebuchet MS" w:hAnsi="Trebuchet MS" w:eastAsiaTheme="minorEastAsia" w:cstheme="minorBidi"/>
          <w:i/>
          <w:iCs/>
          <w:noProof w:val="0"/>
          <w:sz w:val="18"/>
          <w:szCs w:val="18"/>
          <w:lang w:eastAsia="en-US"/>
        </w:rPr>
        <w:lastRenderedPageBreak/>
        <w:t>Figuur 5.3</w:t>
      </w:r>
      <w:r w:rsidRPr="005A7A35" w:rsidR="005A7A35">
        <w:rPr>
          <w:rFonts w:ascii="Trebuchet MS" w:hAnsi="Trebuchet MS" w:eastAsiaTheme="minorEastAsia" w:cstheme="minorBidi"/>
          <w:i/>
          <w:iCs/>
          <w:noProof w:val="0"/>
          <w:sz w:val="18"/>
          <w:szCs w:val="18"/>
          <w:lang w:eastAsia="en-US"/>
        </w:rPr>
        <w:t>.</w:t>
      </w:r>
      <w:r w:rsidRPr="005A7A35">
        <w:rPr>
          <w:rFonts w:ascii="Trebuchet MS" w:hAnsi="Trebuchet MS" w:eastAsiaTheme="minorEastAsia" w:cstheme="minorBidi"/>
          <w:i/>
          <w:iCs/>
          <w:noProof w:val="0"/>
          <w:sz w:val="18"/>
          <w:szCs w:val="18"/>
          <w:lang w:eastAsia="en-US"/>
        </w:rPr>
        <w:t xml:space="preserve"> </w:t>
      </w:r>
      <w:r w:rsidRPr="005A7A35" w:rsidR="00F33E01">
        <w:rPr>
          <w:rFonts w:ascii="Trebuchet MS" w:hAnsi="Trebuchet MS" w:eastAsiaTheme="minorEastAsia" w:cstheme="minorBidi"/>
          <w:i/>
          <w:iCs/>
          <w:noProof w:val="0"/>
          <w:sz w:val="18"/>
          <w:szCs w:val="18"/>
          <w:lang w:eastAsia="en-US"/>
        </w:rPr>
        <w:t>Impact op leerlingen</w:t>
      </w:r>
    </w:p>
    <w:p w:rsidRPr="00C21F2B" w:rsidR="00F33E01" w:rsidP="00F33E01" w:rsidRDefault="00F33E01" w14:paraId="58651AA7" w14:textId="77777777">
      <w:pPr>
        <w:pStyle w:val="SEOStandaard"/>
        <w:rPr>
          <w:rFonts w:ascii="Trebuchet MS" w:hAnsi="Trebuchet MS"/>
          <w:sz w:val="18"/>
          <w:szCs w:val="18"/>
        </w:rPr>
      </w:pPr>
      <w:r w:rsidRPr="00C21F2B">
        <w:rPr>
          <w:rFonts w:ascii="Trebuchet MS" w:hAnsi="Trebuchet MS"/>
          <w:noProof/>
          <w:sz w:val="18"/>
          <w:szCs w:val="18"/>
        </w:rPr>
        <w:drawing>
          <wp:inline distT="0" distB="0" distL="0" distR="0" wp14:anchorId="58AD85A6" wp14:editId="23E73509">
            <wp:extent cx="5940000" cy="3104866"/>
            <wp:effectExtent l="0" t="0" r="3810" b="635"/>
            <wp:docPr id="1518777432" name="Grafiek 1">
              <a:extLst xmlns:a="http://schemas.openxmlformats.org/drawingml/2006/main">
                <a:ext uri="{FF2B5EF4-FFF2-40B4-BE49-F238E27FC236}">
                  <a16:creationId xmlns:a16="http://schemas.microsoft.com/office/drawing/2014/main" id="{CA84F7AB-2F9A-42A6-8C7C-DCFFB732AC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Pr="005A7A35" w:rsidR="00F33E01" w:rsidP="005A7A35" w:rsidRDefault="005A7A35" w14:paraId="39BC6C6F" w14:textId="690C07A7">
      <w:pPr>
        <w:pStyle w:val="SEOBron"/>
        <w:numPr>
          <w:ilvl w:val="0"/>
          <w:numId w:val="0"/>
        </w:numPr>
        <w:rPr>
          <w:rFonts w:ascii="Trebuchet MS" w:hAnsi="Trebuchet MS"/>
          <w:color w:val="auto"/>
          <w:szCs w:val="18"/>
        </w:rPr>
      </w:pPr>
      <w:r w:rsidRPr="005A7A35">
        <w:rPr>
          <w:rFonts w:ascii="Trebuchet MS" w:hAnsi="Trebuchet MS"/>
          <w:color w:val="auto"/>
          <w:szCs w:val="18"/>
        </w:rPr>
        <w:t xml:space="preserve">Bron: </w:t>
      </w:r>
      <w:r w:rsidRPr="005A7A35" w:rsidR="00F33E01">
        <w:rPr>
          <w:rFonts w:ascii="Trebuchet MS" w:hAnsi="Trebuchet MS"/>
          <w:color w:val="auto"/>
          <w:szCs w:val="18"/>
        </w:rPr>
        <w:t>Enquête lesgevenden bovenbouw vmbo (februari-mei 2025).</w:t>
      </w:r>
    </w:p>
    <w:p w:rsidRPr="005A7A35" w:rsidR="00F33E01" w:rsidP="005A7A35" w:rsidRDefault="005A7A35" w14:paraId="0C98AA28" w14:textId="0476755D">
      <w:pPr>
        <w:pStyle w:val="Figuur"/>
        <w:rPr>
          <w:rFonts w:ascii="Trebuchet MS" w:hAnsi="Trebuchet MS" w:eastAsiaTheme="minorEastAsia" w:cstheme="minorBidi"/>
          <w:i/>
          <w:iCs/>
          <w:noProof w:val="0"/>
          <w:sz w:val="18"/>
          <w:szCs w:val="18"/>
          <w:lang w:eastAsia="en-US"/>
        </w:rPr>
      </w:pPr>
      <w:r w:rsidRPr="005A7A35">
        <w:rPr>
          <w:rFonts w:ascii="Trebuchet MS" w:hAnsi="Trebuchet MS" w:eastAsiaTheme="minorEastAsia" w:cstheme="minorBidi"/>
          <w:i/>
          <w:iCs/>
          <w:noProof w:val="0"/>
          <w:sz w:val="18"/>
          <w:szCs w:val="18"/>
          <w:lang w:eastAsia="en-US"/>
        </w:rPr>
        <w:t xml:space="preserve">Tabel 5.6. </w:t>
      </w:r>
      <w:r w:rsidRPr="005A7A35" w:rsidR="00F33E01">
        <w:rPr>
          <w:rFonts w:ascii="Trebuchet MS" w:hAnsi="Trebuchet MS" w:eastAsiaTheme="minorEastAsia" w:cstheme="minorBidi"/>
          <w:i/>
          <w:iCs/>
          <w:noProof w:val="0"/>
          <w:sz w:val="18"/>
          <w:szCs w:val="18"/>
          <w:lang w:eastAsia="en-US"/>
        </w:rPr>
        <w:t>Impact op leerlingen, uitgesplitst naar wel of geen technisch vak</w:t>
      </w:r>
    </w:p>
    <w:tbl>
      <w:tblPr>
        <w:tblStyle w:val="SEOTabel2"/>
        <w:tblW w:w="5000" w:type="pct"/>
        <w:tblCellMar>
          <w:top w:w="0" w:type="dxa"/>
          <w:left w:w="28" w:type="dxa"/>
          <w:bottom w:w="28" w:type="dxa"/>
          <w:right w:w="28" w:type="dxa"/>
        </w:tblCellMar>
        <w:tblLook w:val="04A0" w:firstRow="1" w:lastRow="0" w:firstColumn="1" w:lastColumn="0" w:noHBand="0" w:noVBand="1"/>
      </w:tblPr>
      <w:tblGrid>
        <w:gridCol w:w="6964"/>
        <w:gridCol w:w="889"/>
        <w:gridCol w:w="754"/>
        <w:gridCol w:w="753"/>
      </w:tblGrid>
      <w:tr w:rsidRPr="00C21F2B" w:rsidR="00F33E01" w:rsidTr="009E054A" w14:paraId="21D66C63" w14:textId="77777777">
        <w:trPr>
          <w:cnfStyle w:val="100000000000" w:firstRow="1" w:lastRow="0" w:firstColumn="0" w:lastColumn="0" w:oddVBand="0" w:evenVBand="0" w:oddHBand="0" w:evenHBand="0" w:firstRowFirstColumn="0" w:firstRowLastColumn="0" w:lastRowFirstColumn="0" w:lastRowLastColumn="0"/>
          <w:cantSplit/>
          <w:trHeight w:val="1531"/>
        </w:trPr>
        <w:tc>
          <w:tcPr>
            <w:cnfStyle w:val="001000000000" w:firstRow="0" w:lastRow="0" w:firstColumn="1" w:lastColumn="0" w:oddVBand="0" w:evenVBand="0" w:oddHBand="0" w:evenHBand="0" w:firstRowFirstColumn="0" w:firstRowLastColumn="0" w:lastRowFirstColumn="0" w:lastRowLastColumn="0"/>
            <w:tcW w:w="3720" w:type="pct"/>
            <w:noWrap/>
            <w:vAlign w:val="center"/>
            <w:hideMark/>
          </w:tcPr>
          <w:p w:rsidRPr="00C21F2B" w:rsidR="00F33E01" w:rsidP="00F33E01" w:rsidRDefault="00F33E01" w14:paraId="57C46D1D" w14:textId="5552219D">
            <w:pPr>
              <w:pStyle w:val="SEOStandaard"/>
              <w:spacing w:line="240" w:lineRule="auto"/>
              <w:jc w:val="left"/>
              <w:rPr>
                <w:rFonts w:ascii="Trebuchet MS" w:hAnsi="Trebuchet MS"/>
                <w:bCs/>
                <w:color w:val="FFFFFF" w:themeColor="background1"/>
                <w:sz w:val="18"/>
                <w:szCs w:val="18"/>
              </w:rPr>
            </w:pPr>
            <w:r w:rsidRPr="00C21F2B">
              <w:rPr>
                <w:rFonts w:ascii="Trebuchet MS" w:hAnsi="Trebuchet MS"/>
                <w:color w:val="FFFFFF" w:themeColor="background1"/>
                <w:sz w:val="18"/>
                <w:szCs w:val="18"/>
              </w:rPr>
              <w:t xml:space="preserve">Impact </w:t>
            </w:r>
            <w:r w:rsidR="00EF734F">
              <w:rPr>
                <w:rFonts w:ascii="Trebuchet MS" w:hAnsi="Trebuchet MS"/>
                <w:color w:val="FFFFFF" w:themeColor="background1"/>
                <w:sz w:val="18"/>
                <w:szCs w:val="18"/>
              </w:rPr>
              <w:t xml:space="preserve">van STO </w:t>
            </w:r>
            <w:r w:rsidRPr="00C21F2B">
              <w:rPr>
                <w:rFonts w:ascii="Trebuchet MS" w:hAnsi="Trebuchet MS"/>
                <w:color w:val="FFFFFF" w:themeColor="background1"/>
                <w:sz w:val="18"/>
                <w:szCs w:val="18"/>
              </w:rPr>
              <w:t xml:space="preserve">op leerlingen: </w:t>
            </w:r>
          </w:p>
        </w:tc>
        <w:tc>
          <w:tcPr>
            <w:tcW w:w="475" w:type="pct"/>
            <w:noWrap/>
            <w:textDirection w:val="btLr"/>
            <w:vAlign w:val="center"/>
            <w:hideMark/>
          </w:tcPr>
          <w:p w:rsidRPr="00C21F2B" w:rsidR="00F33E01" w:rsidP="00F33E01" w:rsidRDefault="00F33E01" w14:paraId="259ACE4C" w14:textId="77777777">
            <w:pPr>
              <w:pStyle w:val="SEOStandaard"/>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C21F2B">
              <w:rPr>
                <w:rFonts w:ascii="Trebuchet MS" w:hAnsi="Trebuchet MS"/>
                <w:color w:val="FFFFFF" w:themeColor="background1"/>
                <w:sz w:val="18"/>
                <w:szCs w:val="18"/>
              </w:rPr>
              <w:t>Alle lesgevenden (n=319)</w:t>
            </w:r>
          </w:p>
        </w:tc>
        <w:tc>
          <w:tcPr>
            <w:tcW w:w="403" w:type="pct"/>
            <w:noWrap/>
            <w:textDirection w:val="btLr"/>
            <w:vAlign w:val="center"/>
            <w:hideMark/>
          </w:tcPr>
          <w:p w:rsidRPr="00C21F2B" w:rsidR="00F33E01" w:rsidP="00F33E01" w:rsidRDefault="00F33E01" w14:paraId="3EE90E81" w14:textId="77777777">
            <w:pPr>
              <w:pStyle w:val="SEOStandaard"/>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C21F2B">
              <w:rPr>
                <w:rFonts w:ascii="Trebuchet MS" w:hAnsi="Trebuchet MS"/>
                <w:color w:val="FFFFFF" w:themeColor="background1"/>
                <w:sz w:val="18"/>
                <w:szCs w:val="18"/>
              </w:rPr>
              <w:t>Technisch vak (n=268)</w:t>
            </w:r>
          </w:p>
        </w:tc>
        <w:tc>
          <w:tcPr>
            <w:tcW w:w="402" w:type="pct"/>
            <w:noWrap/>
            <w:textDirection w:val="btLr"/>
            <w:vAlign w:val="center"/>
            <w:hideMark/>
          </w:tcPr>
          <w:p w:rsidRPr="00C21F2B" w:rsidR="00F33E01" w:rsidP="00F33E01" w:rsidRDefault="00F33E01" w14:paraId="0DDE3CFD" w14:textId="77777777">
            <w:pPr>
              <w:pStyle w:val="SEOStandaard"/>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C21F2B">
              <w:rPr>
                <w:rFonts w:ascii="Trebuchet MS" w:hAnsi="Trebuchet MS"/>
                <w:color w:val="FFFFFF" w:themeColor="background1"/>
                <w:sz w:val="18"/>
                <w:szCs w:val="18"/>
              </w:rPr>
              <w:t>Geen technisch vak (n=55)</w:t>
            </w:r>
          </w:p>
        </w:tc>
      </w:tr>
      <w:tr w:rsidRPr="00C21F2B" w:rsidR="00F33E01" w:rsidTr="004E1B10" w14:paraId="3A84ADEA" w14:textId="77777777">
        <w:trPr>
          <w:trHeight w:val="300"/>
        </w:trPr>
        <w:tc>
          <w:tcPr>
            <w:cnfStyle w:val="001000000000" w:firstRow="0" w:lastRow="0" w:firstColumn="1" w:lastColumn="0" w:oddVBand="0" w:evenVBand="0" w:oddHBand="0" w:evenHBand="0" w:firstRowFirstColumn="0" w:firstRowLastColumn="0" w:lastRowFirstColumn="0" w:lastRowLastColumn="0"/>
            <w:tcW w:w="3720" w:type="pct"/>
            <w:noWrap/>
            <w:vAlign w:val="center"/>
            <w:hideMark/>
          </w:tcPr>
          <w:p w:rsidRPr="00C21F2B" w:rsidR="00F33E01" w:rsidP="004E1B10" w:rsidRDefault="00F33E01" w14:paraId="3A08C777"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Zijn meer gemotiveerd voor technisch onderwijs bij start bovenbouw</w:t>
            </w:r>
          </w:p>
        </w:tc>
        <w:tc>
          <w:tcPr>
            <w:tcW w:w="475" w:type="pct"/>
            <w:noWrap/>
            <w:vAlign w:val="center"/>
            <w:hideMark/>
          </w:tcPr>
          <w:p w:rsidRPr="00C21F2B" w:rsidR="00F33E01" w:rsidP="004E1B10" w:rsidRDefault="00F33E01" w14:paraId="7DD8EE3A"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42%</w:t>
            </w:r>
          </w:p>
        </w:tc>
        <w:tc>
          <w:tcPr>
            <w:tcW w:w="403" w:type="pct"/>
            <w:noWrap/>
            <w:vAlign w:val="center"/>
            <w:hideMark/>
          </w:tcPr>
          <w:p w:rsidRPr="00C21F2B" w:rsidR="00F33E01" w:rsidP="004E1B10" w:rsidRDefault="00F33E01" w14:paraId="06382AA6"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45%*</w:t>
            </w:r>
          </w:p>
        </w:tc>
        <w:tc>
          <w:tcPr>
            <w:tcW w:w="402" w:type="pct"/>
            <w:noWrap/>
            <w:vAlign w:val="center"/>
            <w:hideMark/>
          </w:tcPr>
          <w:p w:rsidRPr="00C21F2B" w:rsidR="00F33E01" w:rsidP="004E1B10" w:rsidRDefault="00F33E01" w14:paraId="33C8D44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25%</w:t>
            </w:r>
          </w:p>
        </w:tc>
      </w:tr>
      <w:tr w:rsidRPr="00C21F2B" w:rsidR="00F33E01" w:rsidTr="004E1B10" w14:paraId="3B6B65B0" w14:textId="77777777">
        <w:trPr>
          <w:trHeight w:val="300"/>
        </w:trPr>
        <w:tc>
          <w:tcPr>
            <w:cnfStyle w:val="001000000000" w:firstRow="0" w:lastRow="0" w:firstColumn="1" w:lastColumn="0" w:oddVBand="0" w:evenVBand="0" w:oddHBand="0" w:evenHBand="0" w:firstRowFirstColumn="0" w:firstRowLastColumn="0" w:lastRowFirstColumn="0" w:lastRowLastColumn="0"/>
            <w:tcW w:w="3720" w:type="pct"/>
            <w:noWrap/>
            <w:vAlign w:val="center"/>
            <w:hideMark/>
          </w:tcPr>
          <w:p w:rsidRPr="00C21F2B" w:rsidR="00F33E01" w:rsidP="004E1B10" w:rsidRDefault="00F33E01" w14:paraId="0F10C918"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Krijgen beter en rijker techniekonderwijs in de bovenbouw</w:t>
            </w:r>
          </w:p>
        </w:tc>
        <w:tc>
          <w:tcPr>
            <w:tcW w:w="475" w:type="pct"/>
            <w:noWrap/>
            <w:vAlign w:val="center"/>
            <w:hideMark/>
          </w:tcPr>
          <w:p w:rsidRPr="00C21F2B" w:rsidR="00F33E01" w:rsidP="004E1B10" w:rsidRDefault="00F33E01" w14:paraId="11FF647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69%</w:t>
            </w:r>
          </w:p>
        </w:tc>
        <w:tc>
          <w:tcPr>
            <w:tcW w:w="403" w:type="pct"/>
            <w:noWrap/>
            <w:vAlign w:val="center"/>
            <w:hideMark/>
          </w:tcPr>
          <w:p w:rsidRPr="00C21F2B" w:rsidR="00F33E01" w:rsidP="004E1B10" w:rsidRDefault="00F33E01" w14:paraId="0DBD7B9A"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71%</w:t>
            </w:r>
          </w:p>
        </w:tc>
        <w:tc>
          <w:tcPr>
            <w:tcW w:w="402" w:type="pct"/>
            <w:noWrap/>
            <w:vAlign w:val="center"/>
            <w:hideMark/>
          </w:tcPr>
          <w:p w:rsidRPr="00C21F2B" w:rsidR="00F33E01" w:rsidP="004E1B10" w:rsidRDefault="00F33E01" w14:paraId="393B850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58%</w:t>
            </w:r>
          </w:p>
        </w:tc>
      </w:tr>
      <w:tr w:rsidRPr="00C21F2B" w:rsidR="00F33E01" w:rsidTr="004E1B10" w14:paraId="69C3B6FC" w14:textId="77777777">
        <w:trPr>
          <w:trHeight w:val="300"/>
        </w:trPr>
        <w:tc>
          <w:tcPr>
            <w:cnfStyle w:val="001000000000" w:firstRow="0" w:lastRow="0" w:firstColumn="1" w:lastColumn="0" w:oddVBand="0" w:evenVBand="0" w:oddHBand="0" w:evenHBand="0" w:firstRowFirstColumn="0" w:firstRowLastColumn="0" w:lastRowFirstColumn="0" w:lastRowLastColumn="0"/>
            <w:tcW w:w="3720" w:type="pct"/>
            <w:noWrap/>
            <w:vAlign w:val="center"/>
            <w:hideMark/>
          </w:tcPr>
          <w:p w:rsidRPr="00C21F2B" w:rsidR="00F33E01" w:rsidP="004E1B10" w:rsidRDefault="00F33E01" w14:paraId="2228EC5A"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Hebben meer zicht op actuele ontwikkelingen binnen wereld van techniek</w:t>
            </w:r>
          </w:p>
        </w:tc>
        <w:tc>
          <w:tcPr>
            <w:tcW w:w="475" w:type="pct"/>
            <w:noWrap/>
            <w:vAlign w:val="center"/>
            <w:hideMark/>
          </w:tcPr>
          <w:p w:rsidRPr="00C21F2B" w:rsidR="00F33E01" w:rsidP="004E1B10" w:rsidRDefault="00F33E01" w14:paraId="1700034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61%</w:t>
            </w:r>
          </w:p>
        </w:tc>
        <w:tc>
          <w:tcPr>
            <w:tcW w:w="403" w:type="pct"/>
            <w:noWrap/>
            <w:vAlign w:val="center"/>
            <w:hideMark/>
          </w:tcPr>
          <w:p w:rsidRPr="00C21F2B" w:rsidR="00F33E01" w:rsidP="004E1B10" w:rsidRDefault="00F33E01" w14:paraId="76897DD2"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64%*</w:t>
            </w:r>
          </w:p>
        </w:tc>
        <w:tc>
          <w:tcPr>
            <w:tcW w:w="402" w:type="pct"/>
            <w:noWrap/>
            <w:vAlign w:val="center"/>
            <w:hideMark/>
          </w:tcPr>
          <w:p w:rsidRPr="00C21F2B" w:rsidR="00F33E01" w:rsidP="004E1B10" w:rsidRDefault="00F33E01" w14:paraId="13ACDDBF"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47%</w:t>
            </w:r>
          </w:p>
        </w:tc>
      </w:tr>
      <w:tr w:rsidRPr="00C21F2B" w:rsidR="00F33E01" w:rsidTr="004E1B10" w14:paraId="5BBA28BC" w14:textId="77777777">
        <w:trPr>
          <w:trHeight w:val="300"/>
        </w:trPr>
        <w:tc>
          <w:tcPr>
            <w:cnfStyle w:val="001000000000" w:firstRow="0" w:lastRow="0" w:firstColumn="1" w:lastColumn="0" w:oddVBand="0" w:evenVBand="0" w:oddHBand="0" w:evenHBand="0" w:firstRowFirstColumn="0" w:firstRowLastColumn="0" w:lastRowFirstColumn="0" w:lastRowLastColumn="0"/>
            <w:tcW w:w="3720" w:type="pct"/>
            <w:noWrap/>
            <w:vAlign w:val="center"/>
            <w:hideMark/>
          </w:tcPr>
          <w:p w:rsidRPr="00C21F2B" w:rsidR="00F33E01" w:rsidP="004E1B10" w:rsidRDefault="00F33E01" w14:paraId="144FD025"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Oriënteren zich beter/breder op technische en technologische vervolgopleidingen</w:t>
            </w:r>
          </w:p>
        </w:tc>
        <w:tc>
          <w:tcPr>
            <w:tcW w:w="475" w:type="pct"/>
            <w:noWrap/>
            <w:vAlign w:val="center"/>
            <w:hideMark/>
          </w:tcPr>
          <w:p w:rsidRPr="00C21F2B" w:rsidR="00F33E01" w:rsidP="004E1B10" w:rsidRDefault="00F33E01" w14:paraId="54F0D2D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55%</w:t>
            </w:r>
          </w:p>
        </w:tc>
        <w:tc>
          <w:tcPr>
            <w:tcW w:w="403" w:type="pct"/>
            <w:noWrap/>
            <w:vAlign w:val="center"/>
            <w:hideMark/>
          </w:tcPr>
          <w:p w:rsidRPr="00C21F2B" w:rsidR="00F33E01" w:rsidP="004E1B10" w:rsidRDefault="00F33E01" w14:paraId="35D45852"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57%</w:t>
            </w:r>
          </w:p>
        </w:tc>
        <w:tc>
          <w:tcPr>
            <w:tcW w:w="402" w:type="pct"/>
            <w:noWrap/>
            <w:vAlign w:val="center"/>
            <w:hideMark/>
          </w:tcPr>
          <w:p w:rsidRPr="00C21F2B" w:rsidR="00F33E01" w:rsidP="004E1B10" w:rsidRDefault="00F33E01" w14:paraId="2E4D04B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46%</w:t>
            </w:r>
          </w:p>
        </w:tc>
      </w:tr>
      <w:tr w:rsidRPr="00C21F2B" w:rsidR="00F33E01" w:rsidTr="004E1B10" w14:paraId="5FA4DBB4" w14:textId="77777777">
        <w:trPr>
          <w:trHeight w:val="300"/>
        </w:trPr>
        <w:tc>
          <w:tcPr>
            <w:cnfStyle w:val="001000000000" w:firstRow="0" w:lastRow="0" w:firstColumn="1" w:lastColumn="0" w:oddVBand="0" w:evenVBand="0" w:oddHBand="0" w:evenHBand="0" w:firstRowFirstColumn="0" w:firstRowLastColumn="0" w:lastRowFirstColumn="0" w:lastRowLastColumn="0"/>
            <w:tcW w:w="3720" w:type="pct"/>
            <w:noWrap/>
            <w:vAlign w:val="center"/>
            <w:hideMark/>
          </w:tcPr>
          <w:p w:rsidRPr="00C21F2B" w:rsidR="00F33E01" w:rsidP="004E1B10" w:rsidRDefault="00F33E01" w14:paraId="0FB988BF"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Maken een bewustere keuze voor een vervolgopleiding</w:t>
            </w:r>
          </w:p>
        </w:tc>
        <w:tc>
          <w:tcPr>
            <w:tcW w:w="475" w:type="pct"/>
            <w:noWrap/>
            <w:vAlign w:val="center"/>
            <w:hideMark/>
          </w:tcPr>
          <w:p w:rsidRPr="00C21F2B" w:rsidR="00F33E01" w:rsidP="004E1B10" w:rsidRDefault="00F33E01" w14:paraId="5BBFAFB2"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47%</w:t>
            </w:r>
          </w:p>
        </w:tc>
        <w:tc>
          <w:tcPr>
            <w:tcW w:w="403" w:type="pct"/>
            <w:noWrap/>
            <w:vAlign w:val="center"/>
            <w:hideMark/>
          </w:tcPr>
          <w:p w:rsidRPr="00C21F2B" w:rsidR="00F33E01" w:rsidP="004E1B10" w:rsidRDefault="00F33E01" w14:paraId="63C4353A"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50%*</w:t>
            </w:r>
          </w:p>
        </w:tc>
        <w:tc>
          <w:tcPr>
            <w:tcW w:w="402" w:type="pct"/>
            <w:noWrap/>
            <w:vAlign w:val="center"/>
            <w:hideMark/>
          </w:tcPr>
          <w:p w:rsidRPr="00C21F2B" w:rsidR="00F33E01" w:rsidP="004E1B10" w:rsidRDefault="00F33E01" w14:paraId="793ACBAE"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30%</w:t>
            </w:r>
          </w:p>
        </w:tc>
      </w:tr>
      <w:tr w:rsidRPr="00C21F2B" w:rsidR="00F33E01" w:rsidTr="004E1B10" w14:paraId="79ADD8E7" w14:textId="77777777">
        <w:trPr>
          <w:trHeight w:val="300"/>
        </w:trPr>
        <w:tc>
          <w:tcPr>
            <w:cnfStyle w:val="001000000000" w:firstRow="0" w:lastRow="0" w:firstColumn="1" w:lastColumn="0" w:oddVBand="0" w:evenVBand="0" w:oddHBand="0" w:evenHBand="0" w:firstRowFirstColumn="0" w:firstRowLastColumn="0" w:lastRowFirstColumn="0" w:lastRowLastColumn="0"/>
            <w:tcW w:w="3720" w:type="pct"/>
            <w:noWrap/>
            <w:vAlign w:val="center"/>
            <w:hideMark/>
          </w:tcPr>
          <w:p w:rsidRPr="00C21F2B" w:rsidR="00F33E01" w:rsidP="004E1B10" w:rsidRDefault="00F33E01" w14:paraId="528D6E38"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Zijn beter voorbereid op een vervolgopleiding</w:t>
            </w:r>
          </w:p>
        </w:tc>
        <w:tc>
          <w:tcPr>
            <w:tcW w:w="475" w:type="pct"/>
            <w:noWrap/>
            <w:vAlign w:val="center"/>
            <w:hideMark/>
          </w:tcPr>
          <w:p w:rsidRPr="00C21F2B" w:rsidR="00F33E01" w:rsidP="004E1B10" w:rsidRDefault="00F33E01" w14:paraId="16CA2E6B"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50%</w:t>
            </w:r>
          </w:p>
        </w:tc>
        <w:tc>
          <w:tcPr>
            <w:tcW w:w="403" w:type="pct"/>
            <w:noWrap/>
            <w:vAlign w:val="center"/>
            <w:hideMark/>
          </w:tcPr>
          <w:p w:rsidRPr="00C21F2B" w:rsidR="00F33E01" w:rsidP="004E1B10" w:rsidRDefault="00F33E01" w14:paraId="65636AB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53%*</w:t>
            </w:r>
          </w:p>
        </w:tc>
        <w:tc>
          <w:tcPr>
            <w:tcW w:w="402" w:type="pct"/>
            <w:noWrap/>
            <w:vAlign w:val="center"/>
            <w:hideMark/>
          </w:tcPr>
          <w:p w:rsidRPr="00C21F2B" w:rsidR="00F33E01" w:rsidP="004E1B10" w:rsidRDefault="00F33E01" w14:paraId="32015F32"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38%</w:t>
            </w:r>
          </w:p>
        </w:tc>
      </w:tr>
      <w:tr w:rsidRPr="00C21F2B" w:rsidR="00F33E01" w:rsidTr="004E1B10" w14:paraId="673BBFF4" w14:textId="77777777">
        <w:trPr>
          <w:trHeight w:val="300"/>
        </w:trPr>
        <w:tc>
          <w:tcPr>
            <w:cnfStyle w:val="001000000000" w:firstRow="0" w:lastRow="0" w:firstColumn="1" w:lastColumn="0" w:oddVBand="0" w:evenVBand="0" w:oddHBand="0" w:evenHBand="0" w:firstRowFirstColumn="0" w:firstRowLastColumn="0" w:lastRowFirstColumn="0" w:lastRowLastColumn="0"/>
            <w:tcW w:w="3720" w:type="pct"/>
            <w:noWrap/>
            <w:vAlign w:val="center"/>
            <w:hideMark/>
          </w:tcPr>
          <w:p w:rsidRPr="00C21F2B" w:rsidR="00F33E01" w:rsidP="004E1B10" w:rsidRDefault="00F33E01" w14:paraId="1D670AA9" w14:textId="31EB8E6C">
            <w:pPr>
              <w:pStyle w:val="SEOStandaard"/>
              <w:spacing w:line="240" w:lineRule="auto"/>
              <w:jc w:val="left"/>
              <w:rPr>
                <w:rFonts w:ascii="Trebuchet MS" w:hAnsi="Trebuchet MS"/>
                <w:sz w:val="18"/>
                <w:szCs w:val="18"/>
              </w:rPr>
            </w:pPr>
            <w:r w:rsidRPr="00C21F2B">
              <w:rPr>
                <w:rFonts w:ascii="Trebuchet MS" w:hAnsi="Trebuchet MS"/>
                <w:sz w:val="18"/>
                <w:szCs w:val="18"/>
              </w:rPr>
              <w:t>Is techniekonderwijs in de regio beter bereikbaar</w:t>
            </w:r>
          </w:p>
        </w:tc>
        <w:tc>
          <w:tcPr>
            <w:tcW w:w="475" w:type="pct"/>
            <w:noWrap/>
            <w:vAlign w:val="center"/>
            <w:hideMark/>
          </w:tcPr>
          <w:p w:rsidRPr="00C21F2B" w:rsidR="00F33E01" w:rsidP="004E1B10" w:rsidRDefault="00F33E01" w14:paraId="1510A8E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44%</w:t>
            </w:r>
          </w:p>
        </w:tc>
        <w:tc>
          <w:tcPr>
            <w:tcW w:w="403" w:type="pct"/>
            <w:noWrap/>
            <w:vAlign w:val="center"/>
            <w:hideMark/>
          </w:tcPr>
          <w:p w:rsidRPr="00C21F2B" w:rsidR="00F33E01" w:rsidP="004E1B10" w:rsidRDefault="00F33E01" w14:paraId="3B2B44AF"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45%</w:t>
            </w:r>
          </w:p>
        </w:tc>
        <w:tc>
          <w:tcPr>
            <w:tcW w:w="402" w:type="pct"/>
            <w:noWrap/>
            <w:vAlign w:val="center"/>
            <w:hideMark/>
          </w:tcPr>
          <w:p w:rsidRPr="00C21F2B" w:rsidR="00F33E01" w:rsidP="004E1B10" w:rsidRDefault="00F33E01" w14:paraId="05F6C6F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42%</w:t>
            </w:r>
          </w:p>
        </w:tc>
      </w:tr>
      <w:tr w:rsidRPr="00C21F2B" w:rsidR="00F33E01" w:rsidTr="004E1B10" w14:paraId="4F1502D6" w14:textId="77777777">
        <w:trPr>
          <w:trHeight w:val="300"/>
        </w:trPr>
        <w:tc>
          <w:tcPr>
            <w:cnfStyle w:val="001000000000" w:firstRow="0" w:lastRow="0" w:firstColumn="1" w:lastColumn="0" w:oddVBand="0" w:evenVBand="0" w:oddHBand="0" w:evenHBand="0" w:firstRowFirstColumn="0" w:firstRowLastColumn="0" w:lastRowFirstColumn="0" w:lastRowLastColumn="0"/>
            <w:tcW w:w="3720" w:type="pct"/>
            <w:noWrap/>
            <w:vAlign w:val="center"/>
            <w:hideMark/>
          </w:tcPr>
          <w:p w:rsidRPr="00C21F2B" w:rsidR="00F33E01" w:rsidP="004E1B10" w:rsidRDefault="00F33E01" w14:paraId="7A3FE5C1"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Andere impact, namelijk</w:t>
            </w:r>
          </w:p>
        </w:tc>
        <w:tc>
          <w:tcPr>
            <w:tcW w:w="475" w:type="pct"/>
            <w:noWrap/>
            <w:vAlign w:val="center"/>
            <w:hideMark/>
          </w:tcPr>
          <w:p w:rsidRPr="00C21F2B" w:rsidR="00F33E01" w:rsidP="004E1B10" w:rsidRDefault="00F33E01" w14:paraId="005E0F7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17%</w:t>
            </w:r>
          </w:p>
        </w:tc>
        <w:tc>
          <w:tcPr>
            <w:tcW w:w="403" w:type="pct"/>
            <w:noWrap/>
            <w:vAlign w:val="center"/>
            <w:hideMark/>
          </w:tcPr>
          <w:p w:rsidRPr="00C21F2B" w:rsidR="00F33E01" w:rsidP="004E1B10" w:rsidRDefault="00F33E01" w14:paraId="3383B62D"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20%</w:t>
            </w:r>
          </w:p>
        </w:tc>
        <w:tc>
          <w:tcPr>
            <w:tcW w:w="402" w:type="pct"/>
            <w:noWrap/>
            <w:vAlign w:val="center"/>
            <w:hideMark/>
          </w:tcPr>
          <w:p w:rsidRPr="00C21F2B" w:rsidR="00F33E01" w:rsidP="004E1B10" w:rsidRDefault="00F33E01" w14:paraId="5EF09871"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11%</w:t>
            </w:r>
          </w:p>
        </w:tc>
      </w:tr>
    </w:tbl>
    <w:p w:rsidR="00F33E01" w:rsidP="005A7A35" w:rsidRDefault="005A7A35" w14:paraId="741AB922" w14:textId="23C5A108">
      <w:pPr>
        <w:pStyle w:val="SEOBron"/>
        <w:numPr>
          <w:ilvl w:val="0"/>
          <w:numId w:val="0"/>
        </w:numPr>
        <w:rPr>
          <w:rFonts w:ascii="Trebuchet MS" w:hAnsi="Trebuchet MS"/>
          <w:color w:val="auto"/>
          <w:szCs w:val="18"/>
        </w:rPr>
      </w:pPr>
      <w:r w:rsidRPr="005A7A35">
        <w:rPr>
          <w:rFonts w:ascii="Trebuchet MS" w:hAnsi="Trebuchet MS"/>
          <w:color w:val="auto"/>
          <w:szCs w:val="18"/>
        </w:rPr>
        <w:t xml:space="preserve">Bron: </w:t>
      </w:r>
      <w:r w:rsidRPr="005A7A35" w:rsidR="00F33E01">
        <w:rPr>
          <w:rFonts w:ascii="Trebuchet MS" w:hAnsi="Trebuchet MS"/>
          <w:color w:val="auto"/>
          <w:szCs w:val="18"/>
        </w:rPr>
        <w:t>Enquête lesgevenden bovenbouw vmbo (februari-mei 2025). % (helemaal) mee eens. * geeft significant verschil weer tussen lesgevenden van technisch vak en lesgevenden van niet-technisch vak.</w:t>
      </w:r>
    </w:p>
    <w:p w:rsidRPr="005A7A35" w:rsidR="005428CB" w:rsidP="005428CB" w:rsidRDefault="005428CB" w14:paraId="20B07108" w14:textId="77777777">
      <w:pPr>
        <w:pStyle w:val="SEOStandaard"/>
        <w:numPr>
          <w:ilvl w:val="0"/>
          <w:numId w:val="0"/>
        </w:numPr>
        <w:rPr>
          <w:rFonts w:ascii="Trebuchet MS" w:hAnsi="Trebuchet MS"/>
          <w:color w:val="auto"/>
          <w:sz w:val="18"/>
          <w:szCs w:val="18"/>
        </w:rPr>
      </w:pPr>
      <w:r w:rsidRPr="005A7A35">
        <w:rPr>
          <w:rFonts w:ascii="Trebuchet MS" w:hAnsi="Trebuchet MS"/>
          <w:color w:val="auto"/>
          <w:sz w:val="18"/>
          <w:szCs w:val="18"/>
        </w:rPr>
        <w:t xml:space="preserve">De helft van de lesgevenden in een technisch vak geeft aan dat leerlingen door STO beter zijn voorbereid op en een bewustere keuze maken voor een vervolgopleiding. Dit wordt door andere lesgevenden minder genoemd. Iets minder dan de helft van de lesgevenden in een technisch vak geeft aan dat voor leerlingen de bereikbaarheid van techniekonderwijs in de regio is verbeterd. Ook geeft iets minder dan de helft van de lesgevenden in een technisch vak aan dat leerlingen meer gemotiveerd zijn voor technisch onderwijs door STO. Dit wordt door andere lesgevenden minder genoemd. Bij de open vraag over andere soorten impact wordt meermaals genoemd dat STO-gelden ook in de onderbouw worden ingezet.  </w:t>
      </w:r>
    </w:p>
    <w:p w:rsidRPr="005428CB" w:rsidR="005428CB" w:rsidP="00503322" w:rsidRDefault="005428CB" w14:paraId="2298B70F" w14:textId="7F8152F3">
      <w:pPr>
        <w:pStyle w:val="SEOStandaard"/>
        <w:numPr>
          <w:ilvl w:val="0"/>
          <w:numId w:val="0"/>
        </w:numPr>
        <w:rPr>
          <w:rFonts w:ascii="Trebuchet MS" w:hAnsi="Trebuchet MS"/>
          <w:color w:val="auto"/>
          <w:szCs w:val="18"/>
        </w:rPr>
      </w:pPr>
      <w:r w:rsidRPr="005428CB">
        <w:rPr>
          <w:rFonts w:ascii="Trebuchet MS" w:hAnsi="Trebuchet MS"/>
          <w:color w:val="auto"/>
          <w:sz w:val="18"/>
          <w:szCs w:val="18"/>
        </w:rPr>
        <w:lastRenderedPageBreak/>
        <w:t xml:space="preserve">Zowel lesgevenden in technische vakken als andere lesgevenden zijn dus vaak positief over de impact van STO op de kwaliteit van het techniekonderwijs in de bovenbouw van het vmbo in termen van breed en rijk techniekonderwijs. Ook is de bereikbaarheid van technisch onderwijs verbeterd volgens een aanzienlijk deel (bijna de helft). Als het gaat om impact op leerlingen (d.w.z. motivatie, bewuste keuze vervolgopleiding, voorbereiding daarop) zijn de lesgevenden in een technisch vak vaker positief dan de lesgevenden in andere vakken. </w:t>
      </w:r>
    </w:p>
    <w:p w:rsidRPr="00C21F2B" w:rsidR="00F33E01" w:rsidP="00F33E01" w:rsidRDefault="00F33E01" w14:paraId="3AF9F82E" w14:textId="77777777">
      <w:pPr>
        <w:pStyle w:val="SEOStandaard"/>
        <w:rPr>
          <w:rFonts w:ascii="Trebuchet MS" w:hAnsi="Trebuchet MS"/>
          <w:sz w:val="18"/>
          <w:szCs w:val="18"/>
        </w:rPr>
      </w:pPr>
    </w:p>
    <w:p w:rsidRPr="00C21F2B" w:rsidR="00F33E01" w:rsidP="00E31E99" w:rsidRDefault="00F33E01" w14:paraId="6E28037A" w14:textId="77777777">
      <w:pPr>
        <w:pStyle w:val="Kop2"/>
      </w:pPr>
      <w:bookmarkStart w:name="_Toc203573589" w:id="58"/>
      <w:bookmarkStart w:name="_Toc198625156" w:id="59"/>
      <w:r w:rsidRPr="00C21F2B">
        <w:t>Impact STO op het onderwijs</w:t>
      </w:r>
      <w:bookmarkEnd w:id="58"/>
      <w:r w:rsidRPr="00C21F2B">
        <w:t xml:space="preserve"> </w:t>
      </w:r>
      <w:bookmarkEnd w:id="59"/>
    </w:p>
    <w:p w:rsidR="00F33E01" w:rsidP="00F33E01" w:rsidRDefault="00F33E01" w14:paraId="101A4D78" w14:textId="1E1F8114">
      <w:pPr>
        <w:pStyle w:val="SEOStandaard"/>
        <w:rPr>
          <w:rFonts w:ascii="Trebuchet MS" w:hAnsi="Trebuchet MS"/>
          <w:color w:val="auto"/>
          <w:sz w:val="18"/>
          <w:szCs w:val="18"/>
        </w:rPr>
      </w:pPr>
      <w:r w:rsidRPr="005A7A35">
        <w:rPr>
          <w:rFonts w:ascii="Trebuchet MS" w:hAnsi="Trebuchet MS"/>
          <w:color w:val="auto"/>
          <w:sz w:val="18"/>
          <w:szCs w:val="18"/>
        </w:rPr>
        <w:t xml:space="preserve">De laatste paragraaf van dit hoofdstuk gaat over de impact van STO op het onderwijs, met name de veranderingen in LOB en de impact van STO op techniek- of technologisch onderwijs. Figuur </w:t>
      </w:r>
      <w:r w:rsidR="005A7A35">
        <w:rPr>
          <w:rFonts w:ascii="Trebuchet MS" w:hAnsi="Trebuchet MS"/>
          <w:color w:val="auto"/>
          <w:sz w:val="18"/>
          <w:szCs w:val="18"/>
        </w:rPr>
        <w:t>5</w:t>
      </w:r>
      <w:r w:rsidRPr="005A7A35">
        <w:rPr>
          <w:rFonts w:ascii="Trebuchet MS" w:hAnsi="Trebuchet MS"/>
          <w:color w:val="auto"/>
          <w:sz w:val="18"/>
          <w:szCs w:val="18"/>
        </w:rPr>
        <w:t xml:space="preserve">.4 en tabel </w:t>
      </w:r>
      <w:r w:rsidR="005A7A35">
        <w:rPr>
          <w:rFonts w:ascii="Trebuchet MS" w:hAnsi="Trebuchet MS"/>
          <w:color w:val="auto"/>
          <w:sz w:val="18"/>
          <w:szCs w:val="18"/>
        </w:rPr>
        <w:t>5</w:t>
      </w:r>
      <w:r w:rsidRPr="005A7A35">
        <w:rPr>
          <w:rFonts w:ascii="Trebuchet MS" w:hAnsi="Trebuchet MS"/>
          <w:color w:val="auto"/>
          <w:sz w:val="18"/>
          <w:szCs w:val="18"/>
        </w:rPr>
        <w:t xml:space="preserve">.7 laten zien in hoeverre LOB is veranderd. </w:t>
      </w:r>
    </w:p>
    <w:p w:rsidR="00EC18B4" w:rsidP="00EC18B4" w:rsidRDefault="00EC18B4" w14:paraId="00FED73D" w14:textId="77777777">
      <w:pPr>
        <w:pStyle w:val="SEOStandaard"/>
        <w:rPr>
          <w:rFonts w:ascii="Trebuchet MS" w:hAnsi="Trebuchet MS"/>
          <w:color w:val="auto"/>
          <w:sz w:val="18"/>
          <w:szCs w:val="18"/>
        </w:rPr>
      </w:pPr>
    </w:p>
    <w:p w:rsidRPr="00EC18B4" w:rsidR="00EC18B4" w:rsidP="00EC18B4" w:rsidRDefault="00EC18B4" w14:paraId="5A03E365" w14:textId="50E875DF">
      <w:pPr>
        <w:pStyle w:val="SEOStandaard"/>
        <w:rPr>
          <w:rFonts w:ascii="Trebuchet MS" w:hAnsi="Trebuchet MS"/>
          <w:color w:val="auto"/>
          <w:sz w:val="18"/>
          <w:szCs w:val="18"/>
        </w:rPr>
      </w:pPr>
      <w:r w:rsidRPr="00EC18B4">
        <w:rPr>
          <w:rFonts w:ascii="Trebuchet MS" w:hAnsi="Trebuchet MS"/>
          <w:color w:val="auto"/>
          <w:sz w:val="18"/>
          <w:szCs w:val="18"/>
        </w:rPr>
        <w:t xml:space="preserve">Een (kleine) meerderheid van de lesgevenden (ruim 5 op 10) geeft aan dat door STO leerlingen meer echte ervaringen opdoen in de beroepspraktijk, beter zicht hebben op beroepen/opleidingen en een bewustere vervolgkeuze kunnen maken.  Iets minder dan de helft (bijna 5 op de 10) zegt dat er meer verbindingen zijn met de praktijk en/of vervolgopleidingen. Bijna vier op de tien van de lesgevenden observeert een meer samenhangend traject met meer betrokkenen op school. </w:t>
      </w:r>
    </w:p>
    <w:p w:rsidRPr="00EC18B4" w:rsidR="00EC18B4" w:rsidP="00EC18B4" w:rsidRDefault="00EC18B4" w14:paraId="6237746E" w14:textId="77777777">
      <w:pPr>
        <w:pStyle w:val="SEOStandaard"/>
        <w:rPr>
          <w:rFonts w:ascii="Trebuchet MS" w:hAnsi="Trebuchet MS"/>
          <w:color w:val="auto"/>
          <w:sz w:val="18"/>
          <w:szCs w:val="18"/>
        </w:rPr>
      </w:pPr>
    </w:p>
    <w:p w:rsidRPr="00EC18B4" w:rsidR="00EC18B4" w:rsidP="00EC18B4" w:rsidRDefault="00EC18B4" w14:paraId="047A7888" w14:textId="77777777">
      <w:pPr>
        <w:pStyle w:val="SEOStandaard"/>
        <w:rPr>
          <w:rFonts w:ascii="Trebuchet MS" w:hAnsi="Trebuchet MS"/>
          <w:color w:val="auto"/>
          <w:sz w:val="18"/>
          <w:szCs w:val="18"/>
        </w:rPr>
      </w:pPr>
      <w:r w:rsidRPr="00EC18B4">
        <w:rPr>
          <w:rFonts w:ascii="Trebuchet MS" w:hAnsi="Trebuchet MS"/>
          <w:color w:val="auto"/>
          <w:sz w:val="18"/>
          <w:szCs w:val="18"/>
        </w:rPr>
        <w:t xml:space="preserve">Veel minder vaak geven lesgevenden aan dat er meer reflectie is op de praktijkervaringen (bijna 3 op de 10), dat ouders actiever betrokken worden (meer dan 2 op de 10) of dat er meer aandacht is voor verwachtingspatronen (meer dan 3 op de 10). Een kwart van de lesgevenden is het (helemaal) oneens met de stelling dat STO rondom LOB actievere ouderlijke betrokkenheid heeft gestimuleerd. </w:t>
      </w:r>
    </w:p>
    <w:p w:rsidRPr="00EC18B4" w:rsidR="00EC18B4" w:rsidP="00EC18B4" w:rsidRDefault="00EC18B4" w14:paraId="696EA157" w14:textId="77777777">
      <w:pPr>
        <w:pStyle w:val="SEOStandaard"/>
        <w:rPr>
          <w:rFonts w:ascii="Trebuchet MS" w:hAnsi="Trebuchet MS"/>
          <w:color w:val="auto"/>
          <w:sz w:val="18"/>
          <w:szCs w:val="18"/>
        </w:rPr>
      </w:pPr>
    </w:p>
    <w:p w:rsidRPr="00EC18B4" w:rsidR="00EC18B4" w:rsidP="00EC18B4" w:rsidRDefault="00EC18B4" w14:paraId="54307FB0" w14:textId="77777777">
      <w:pPr>
        <w:pStyle w:val="SEOStandaard"/>
        <w:rPr>
          <w:rFonts w:ascii="Trebuchet MS" w:hAnsi="Trebuchet MS"/>
          <w:color w:val="auto"/>
          <w:sz w:val="18"/>
          <w:szCs w:val="18"/>
        </w:rPr>
      </w:pPr>
      <w:r w:rsidRPr="00EC18B4">
        <w:rPr>
          <w:rFonts w:ascii="Trebuchet MS" w:hAnsi="Trebuchet MS"/>
          <w:color w:val="auto"/>
          <w:sz w:val="18"/>
          <w:szCs w:val="18"/>
        </w:rPr>
        <w:t xml:space="preserve">Er zijn hierin geen significante verschillen tussen lesgevenden die wel of geen technisch vak geven. </w:t>
      </w:r>
    </w:p>
    <w:p w:rsidRPr="005A7A35" w:rsidR="005A7A35" w:rsidP="00F33E01" w:rsidRDefault="005A7A35" w14:paraId="028F1258" w14:textId="77777777">
      <w:pPr>
        <w:pStyle w:val="SEOStandaard"/>
        <w:rPr>
          <w:rFonts w:ascii="Trebuchet MS" w:hAnsi="Trebuchet MS"/>
          <w:color w:val="auto"/>
          <w:sz w:val="18"/>
          <w:szCs w:val="18"/>
        </w:rPr>
      </w:pPr>
    </w:p>
    <w:p w:rsidRPr="005A7A35" w:rsidR="00F33E01" w:rsidP="780653D5" w:rsidRDefault="005A7A35" w14:paraId="5C1AA8AB" w14:textId="68E08528">
      <w:pPr>
        <w:pStyle w:val="Figuur"/>
        <w:rPr>
          <w:rFonts w:ascii="Trebuchet MS" w:hAnsi="Trebuchet MS" w:eastAsiaTheme="minorEastAsia" w:cstheme="minorBidi"/>
          <w:i/>
          <w:iCs/>
          <w:noProof w:val="0"/>
          <w:sz w:val="18"/>
          <w:szCs w:val="18"/>
          <w:lang w:eastAsia="en-US"/>
        </w:rPr>
      </w:pPr>
      <w:r w:rsidRPr="780653D5">
        <w:rPr>
          <w:rFonts w:ascii="Trebuchet MS" w:hAnsi="Trebuchet MS" w:eastAsiaTheme="minorEastAsia" w:cstheme="minorBidi"/>
          <w:i/>
          <w:iCs/>
          <w:noProof w:val="0"/>
          <w:sz w:val="18"/>
          <w:szCs w:val="18"/>
          <w:lang w:eastAsia="en-US"/>
        </w:rPr>
        <w:t xml:space="preserve">Figuur 5.4. </w:t>
      </w:r>
      <w:r w:rsidRPr="780653D5" w:rsidR="00F33E01">
        <w:rPr>
          <w:rFonts w:ascii="Trebuchet MS" w:hAnsi="Trebuchet MS" w:eastAsiaTheme="minorEastAsia" w:cstheme="minorBidi"/>
          <w:i/>
          <w:iCs/>
          <w:noProof w:val="0"/>
          <w:sz w:val="18"/>
          <w:szCs w:val="18"/>
          <w:lang w:eastAsia="en-US"/>
        </w:rPr>
        <w:t>Impact op LOB</w:t>
      </w:r>
    </w:p>
    <w:p w:rsidRPr="00C21F2B" w:rsidR="00F33E01" w:rsidP="00F33E01" w:rsidRDefault="00F33E01" w14:paraId="05C58B2E" w14:textId="77777777">
      <w:pPr>
        <w:pStyle w:val="SEOStandaard"/>
        <w:rPr>
          <w:rFonts w:ascii="Trebuchet MS" w:hAnsi="Trebuchet MS"/>
          <w:sz w:val="18"/>
          <w:szCs w:val="18"/>
        </w:rPr>
      </w:pPr>
      <w:r w:rsidRPr="00C21F2B">
        <w:rPr>
          <w:rFonts w:ascii="Trebuchet MS" w:hAnsi="Trebuchet MS"/>
          <w:noProof/>
          <w:sz w:val="18"/>
          <w:szCs w:val="18"/>
        </w:rPr>
        <w:drawing>
          <wp:inline distT="0" distB="0" distL="0" distR="0" wp14:anchorId="09EDC3CE" wp14:editId="4CE67C0E">
            <wp:extent cx="6000750" cy="3384000"/>
            <wp:effectExtent l="0" t="0" r="0" b="6985"/>
            <wp:docPr id="2004375111" name="Grafiek 1">
              <a:extLst xmlns:a="http://schemas.openxmlformats.org/drawingml/2006/main">
                <a:ext uri="{FF2B5EF4-FFF2-40B4-BE49-F238E27FC236}">
                  <a16:creationId xmlns:a16="http://schemas.microsoft.com/office/drawing/2014/main" id="{E11D0730-C700-D4AD-6EB7-77A59213C3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33E01" w:rsidP="005A7A35" w:rsidRDefault="005A7A35" w14:paraId="06791C23" w14:textId="0DB3F3B3">
      <w:pPr>
        <w:pStyle w:val="SEOBron"/>
        <w:numPr>
          <w:ilvl w:val="0"/>
          <w:numId w:val="0"/>
        </w:numPr>
        <w:rPr>
          <w:rFonts w:ascii="Trebuchet MS" w:hAnsi="Trebuchet MS"/>
          <w:color w:val="auto"/>
          <w:szCs w:val="18"/>
        </w:rPr>
      </w:pPr>
      <w:r w:rsidRPr="005A7A35">
        <w:rPr>
          <w:rFonts w:ascii="Trebuchet MS" w:hAnsi="Trebuchet MS"/>
          <w:color w:val="auto"/>
          <w:szCs w:val="18"/>
        </w:rPr>
        <w:t xml:space="preserve">Bron: </w:t>
      </w:r>
      <w:r w:rsidRPr="005A7A35" w:rsidR="00F33E01">
        <w:rPr>
          <w:rFonts w:ascii="Trebuchet MS" w:hAnsi="Trebuchet MS"/>
          <w:color w:val="auto"/>
          <w:szCs w:val="18"/>
        </w:rPr>
        <w:t>Enquête lesgevenden bovenbouw vmbo (februari-mei 2025).</w:t>
      </w:r>
      <w:r w:rsidR="00491903">
        <w:rPr>
          <w:rFonts w:ascii="Trebuchet MS" w:hAnsi="Trebuchet MS"/>
          <w:color w:val="auto"/>
          <w:szCs w:val="18"/>
        </w:rPr>
        <w:t xml:space="preserve"> Vragen gebaseerd op Korpershoek et al., 2022.</w:t>
      </w:r>
    </w:p>
    <w:p w:rsidRPr="005A7A35" w:rsidR="00F33E01" w:rsidP="005A7A35" w:rsidRDefault="005A7A35" w14:paraId="6F391592" w14:textId="2579D06B">
      <w:pPr>
        <w:pStyle w:val="Figuur"/>
        <w:rPr>
          <w:rFonts w:ascii="Trebuchet MS" w:hAnsi="Trebuchet MS" w:eastAsiaTheme="minorEastAsia" w:cstheme="minorBidi"/>
          <w:i/>
          <w:iCs/>
          <w:noProof w:val="0"/>
          <w:sz w:val="18"/>
          <w:szCs w:val="18"/>
          <w:lang w:eastAsia="en-US"/>
        </w:rPr>
      </w:pPr>
      <w:r w:rsidRPr="005A7A35">
        <w:rPr>
          <w:rFonts w:ascii="Trebuchet MS" w:hAnsi="Trebuchet MS" w:eastAsiaTheme="minorEastAsia" w:cstheme="minorBidi"/>
          <w:i/>
          <w:iCs/>
          <w:noProof w:val="0"/>
          <w:sz w:val="18"/>
          <w:szCs w:val="18"/>
          <w:lang w:eastAsia="en-US"/>
        </w:rPr>
        <w:lastRenderedPageBreak/>
        <w:t xml:space="preserve">Tabel 5.7. </w:t>
      </w:r>
      <w:r w:rsidRPr="005A7A35" w:rsidR="00F33E01">
        <w:rPr>
          <w:rFonts w:ascii="Trebuchet MS" w:hAnsi="Trebuchet MS" w:eastAsiaTheme="minorEastAsia" w:cstheme="minorBidi"/>
          <w:i/>
          <w:iCs/>
          <w:noProof w:val="0"/>
          <w:sz w:val="18"/>
          <w:szCs w:val="18"/>
          <w:lang w:eastAsia="en-US"/>
        </w:rPr>
        <w:t>Impact op LOB, uitgesplitst naar wel of geen technisch vak</w:t>
      </w:r>
    </w:p>
    <w:tbl>
      <w:tblPr>
        <w:tblStyle w:val="SEOTabel2"/>
        <w:tblW w:w="5000" w:type="pct"/>
        <w:tblCellMar>
          <w:top w:w="0" w:type="dxa"/>
          <w:left w:w="28" w:type="dxa"/>
          <w:bottom w:w="28" w:type="dxa"/>
          <w:right w:w="28" w:type="dxa"/>
        </w:tblCellMar>
        <w:tblLook w:val="04A0" w:firstRow="1" w:lastRow="0" w:firstColumn="1" w:lastColumn="0" w:noHBand="0" w:noVBand="1"/>
      </w:tblPr>
      <w:tblGrid>
        <w:gridCol w:w="6964"/>
        <w:gridCol w:w="889"/>
        <w:gridCol w:w="754"/>
        <w:gridCol w:w="753"/>
      </w:tblGrid>
      <w:tr w:rsidRPr="00C21F2B" w:rsidR="00F33E01" w:rsidTr="00FC2172" w14:paraId="29599039" w14:textId="77777777">
        <w:trPr>
          <w:cnfStyle w:val="100000000000" w:firstRow="1" w:lastRow="0" w:firstColumn="0" w:lastColumn="0" w:oddVBand="0" w:evenVBand="0" w:oddHBand="0" w:evenHBand="0" w:firstRowFirstColumn="0" w:firstRowLastColumn="0" w:lastRowFirstColumn="0" w:lastRowLastColumn="0"/>
          <w:cantSplit/>
          <w:trHeight w:val="1814"/>
        </w:trPr>
        <w:tc>
          <w:tcPr>
            <w:cnfStyle w:val="001000000000" w:firstRow="0" w:lastRow="0" w:firstColumn="1" w:lastColumn="0" w:oddVBand="0" w:evenVBand="0" w:oddHBand="0" w:evenHBand="0" w:firstRowFirstColumn="0" w:firstRowLastColumn="0" w:lastRowFirstColumn="0" w:lastRowLastColumn="0"/>
            <w:tcW w:w="3720" w:type="pct"/>
            <w:noWrap/>
            <w:vAlign w:val="center"/>
            <w:hideMark/>
          </w:tcPr>
          <w:p w:rsidRPr="00C21F2B" w:rsidR="00F33E01" w:rsidP="00F33E01" w:rsidRDefault="00F33E01" w14:paraId="7BFD7E57" w14:textId="77777777">
            <w:pPr>
              <w:pStyle w:val="SEOStandaard"/>
              <w:spacing w:line="240" w:lineRule="auto"/>
              <w:jc w:val="left"/>
              <w:rPr>
                <w:rFonts w:ascii="Trebuchet MS" w:hAnsi="Trebuchet MS"/>
                <w:bCs/>
                <w:color w:val="FFFFFF" w:themeColor="background1"/>
                <w:sz w:val="18"/>
                <w:szCs w:val="18"/>
              </w:rPr>
            </w:pPr>
            <w:r w:rsidRPr="00C21F2B">
              <w:rPr>
                <w:rFonts w:ascii="Trebuchet MS" w:hAnsi="Trebuchet MS"/>
                <w:bCs/>
                <w:color w:val="FFFFFF" w:themeColor="background1"/>
                <w:sz w:val="18"/>
                <w:szCs w:val="18"/>
              </w:rPr>
              <w:t>LOB door Sterk Techniekonderwijs (zeer) sterk veranderd:</w:t>
            </w:r>
          </w:p>
        </w:tc>
        <w:tc>
          <w:tcPr>
            <w:tcW w:w="475" w:type="pct"/>
            <w:noWrap/>
            <w:textDirection w:val="btLr"/>
            <w:vAlign w:val="center"/>
            <w:hideMark/>
          </w:tcPr>
          <w:p w:rsidRPr="00C21F2B" w:rsidR="00F33E01" w:rsidP="00F33E01" w:rsidRDefault="00F33E01" w14:paraId="46E4DCFF" w14:textId="77777777">
            <w:pPr>
              <w:pStyle w:val="SEOStandaard"/>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C21F2B">
              <w:rPr>
                <w:rFonts w:ascii="Trebuchet MS" w:hAnsi="Trebuchet MS"/>
                <w:color w:val="FFFFFF" w:themeColor="background1"/>
                <w:sz w:val="18"/>
                <w:szCs w:val="18"/>
              </w:rPr>
              <w:t>Alle lesgevenden (n=357)</w:t>
            </w:r>
          </w:p>
        </w:tc>
        <w:tc>
          <w:tcPr>
            <w:tcW w:w="403" w:type="pct"/>
            <w:noWrap/>
            <w:textDirection w:val="btLr"/>
            <w:vAlign w:val="center"/>
            <w:hideMark/>
          </w:tcPr>
          <w:p w:rsidRPr="00C21F2B" w:rsidR="00F33E01" w:rsidP="00F33E01" w:rsidRDefault="00F33E01" w14:paraId="54FEF32F" w14:textId="77777777">
            <w:pPr>
              <w:pStyle w:val="SEOStandaard"/>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C21F2B">
              <w:rPr>
                <w:rFonts w:ascii="Trebuchet MS" w:hAnsi="Trebuchet MS"/>
                <w:color w:val="FFFFFF" w:themeColor="background1"/>
                <w:sz w:val="18"/>
                <w:szCs w:val="18"/>
              </w:rPr>
              <w:t>Technisch vak (n=279)</w:t>
            </w:r>
          </w:p>
        </w:tc>
        <w:tc>
          <w:tcPr>
            <w:tcW w:w="402" w:type="pct"/>
            <w:noWrap/>
            <w:textDirection w:val="btLr"/>
            <w:vAlign w:val="center"/>
            <w:hideMark/>
          </w:tcPr>
          <w:p w:rsidRPr="00C21F2B" w:rsidR="00F33E01" w:rsidP="00F33E01" w:rsidRDefault="00F33E01" w14:paraId="53C43607" w14:textId="77777777">
            <w:pPr>
              <w:pStyle w:val="SEOStandaard"/>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C21F2B">
              <w:rPr>
                <w:rFonts w:ascii="Trebuchet MS" w:hAnsi="Trebuchet MS"/>
                <w:color w:val="FFFFFF" w:themeColor="background1"/>
                <w:sz w:val="18"/>
                <w:szCs w:val="18"/>
              </w:rPr>
              <w:t>Geen technisch vak (n=78)</w:t>
            </w:r>
          </w:p>
        </w:tc>
      </w:tr>
      <w:tr w:rsidRPr="00C21F2B" w:rsidR="00F33E01" w:rsidTr="00FC2172" w14:paraId="5C7330D7" w14:textId="77777777">
        <w:trPr>
          <w:trHeight w:val="300"/>
        </w:trPr>
        <w:tc>
          <w:tcPr>
            <w:cnfStyle w:val="001000000000" w:firstRow="0" w:lastRow="0" w:firstColumn="1" w:lastColumn="0" w:oddVBand="0" w:evenVBand="0" w:oddHBand="0" w:evenHBand="0" w:firstRowFirstColumn="0" w:firstRowLastColumn="0" w:lastRowFirstColumn="0" w:lastRowLastColumn="0"/>
            <w:tcW w:w="3720" w:type="pct"/>
            <w:noWrap/>
            <w:vAlign w:val="bottom"/>
            <w:hideMark/>
          </w:tcPr>
          <w:p w:rsidRPr="00C21F2B" w:rsidR="00F33E01" w:rsidP="00F33E01" w:rsidRDefault="00F33E01" w14:paraId="6BFEA0D6"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Meer verbindingen met praktijk en/of vervolgopleidingen</w:t>
            </w:r>
          </w:p>
        </w:tc>
        <w:tc>
          <w:tcPr>
            <w:tcW w:w="475" w:type="pct"/>
            <w:noWrap/>
            <w:hideMark/>
          </w:tcPr>
          <w:p w:rsidRPr="00C21F2B" w:rsidR="00F33E01" w:rsidP="00F33E01" w:rsidRDefault="00F33E01" w14:paraId="226D328C"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46%</w:t>
            </w:r>
          </w:p>
        </w:tc>
        <w:tc>
          <w:tcPr>
            <w:tcW w:w="403" w:type="pct"/>
            <w:noWrap/>
            <w:hideMark/>
          </w:tcPr>
          <w:p w:rsidRPr="00C21F2B" w:rsidR="00F33E01" w:rsidP="00F33E01" w:rsidRDefault="00F33E01" w14:paraId="5238E1A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49%</w:t>
            </w:r>
          </w:p>
        </w:tc>
        <w:tc>
          <w:tcPr>
            <w:tcW w:w="402" w:type="pct"/>
            <w:noWrap/>
            <w:hideMark/>
          </w:tcPr>
          <w:p w:rsidRPr="00C21F2B" w:rsidR="00F33E01" w:rsidP="00F33E01" w:rsidRDefault="00F33E01" w14:paraId="6B349CE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37%</w:t>
            </w:r>
          </w:p>
        </w:tc>
      </w:tr>
      <w:tr w:rsidRPr="00C21F2B" w:rsidR="00F33E01" w:rsidTr="00FC2172" w14:paraId="7695104B" w14:textId="77777777">
        <w:trPr>
          <w:trHeight w:val="300"/>
        </w:trPr>
        <w:tc>
          <w:tcPr>
            <w:cnfStyle w:val="001000000000" w:firstRow="0" w:lastRow="0" w:firstColumn="1" w:lastColumn="0" w:oddVBand="0" w:evenVBand="0" w:oddHBand="0" w:evenHBand="0" w:firstRowFirstColumn="0" w:firstRowLastColumn="0" w:lastRowFirstColumn="0" w:lastRowLastColumn="0"/>
            <w:tcW w:w="3720" w:type="pct"/>
            <w:noWrap/>
            <w:hideMark/>
          </w:tcPr>
          <w:p w:rsidRPr="00C21F2B" w:rsidR="00F33E01" w:rsidP="00F33E01" w:rsidRDefault="00F33E01" w14:paraId="4A257E7F" w14:textId="77777777">
            <w:pPr>
              <w:pStyle w:val="SEOStandaard"/>
              <w:spacing w:line="240" w:lineRule="auto"/>
              <w:rPr>
                <w:rFonts w:ascii="Trebuchet MS" w:hAnsi="Trebuchet MS"/>
                <w:sz w:val="18"/>
                <w:szCs w:val="18"/>
              </w:rPr>
            </w:pPr>
            <w:r w:rsidRPr="00C21F2B">
              <w:rPr>
                <w:rFonts w:ascii="Trebuchet MS" w:hAnsi="Trebuchet MS"/>
                <w:sz w:val="18"/>
                <w:szCs w:val="18"/>
              </w:rPr>
              <w:t>Leerlingen meer echte ervaringen in beroepspraktijk</w:t>
            </w:r>
          </w:p>
        </w:tc>
        <w:tc>
          <w:tcPr>
            <w:tcW w:w="475" w:type="pct"/>
            <w:noWrap/>
            <w:hideMark/>
          </w:tcPr>
          <w:p w:rsidRPr="00C21F2B" w:rsidR="00F33E01" w:rsidP="00F33E01" w:rsidRDefault="00F33E01" w14:paraId="1B72B88A"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54%</w:t>
            </w:r>
          </w:p>
        </w:tc>
        <w:tc>
          <w:tcPr>
            <w:tcW w:w="403" w:type="pct"/>
            <w:noWrap/>
            <w:hideMark/>
          </w:tcPr>
          <w:p w:rsidRPr="00C21F2B" w:rsidR="00F33E01" w:rsidP="00F33E01" w:rsidRDefault="00F33E01" w14:paraId="1B1E36EA"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54%</w:t>
            </w:r>
          </w:p>
        </w:tc>
        <w:tc>
          <w:tcPr>
            <w:tcW w:w="402" w:type="pct"/>
            <w:noWrap/>
            <w:hideMark/>
          </w:tcPr>
          <w:p w:rsidRPr="00C21F2B" w:rsidR="00F33E01" w:rsidP="00F33E01" w:rsidRDefault="00F33E01" w14:paraId="712D6BFF"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51%</w:t>
            </w:r>
          </w:p>
        </w:tc>
      </w:tr>
      <w:tr w:rsidRPr="00C21F2B" w:rsidR="00F33E01" w:rsidTr="00FC2172" w14:paraId="2CEAE18B" w14:textId="77777777">
        <w:trPr>
          <w:trHeight w:val="300"/>
        </w:trPr>
        <w:tc>
          <w:tcPr>
            <w:cnfStyle w:val="001000000000" w:firstRow="0" w:lastRow="0" w:firstColumn="1" w:lastColumn="0" w:oddVBand="0" w:evenVBand="0" w:oddHBand="0" w:evenHBand="0" w:firstRowFirstColumn="0" w:firstRowLastColumn="0" w:lastRowFirstColumn="0" w:lastRowLastColumn="0"/>
            <w:tcW w:w="3720" w:type="pct"/>
            <w:noWrap/>
            <w:hideMark/>
          </w:tcPr>
          <w:p w:rsidRPr="00C21F2B" w:rsidR="00F33E01" w:rsidP="00F33E01" w:rsidRDefault="00F33E01" w14:paraId="4F9EF46C" w14:textId="77777777">
            <w:pPr>
              <w:pStyle w:val="SEOStandaard"/>
              <w:spacing w:line="240" w:lineRule="auto"/>
              <w:rPr>
                <w:rFonts w:ascii="Trebuchet MS" w:hAnsi="Trebuchet MS"/>
                <w:sz w:val="18"/>
                <w:szCs w:val="18"/>
              </w:rPr>
            </w:pPr>
            <w:r w:rsidRPr="00C21F2B">
              <w:rPr>
                <w:rFonts w:ascii="Trebuchet MS" w:hAnsi="Trebuchet MS"/>
                <w:sz w:val="18"/>
                <w:szCs w:val="18"/>
              </w:rPr>
              <w:t>Meer samenhangend traject met meer mensen in school betrokken</w:t>
            </w:r>
          </w:p>
        </w:tc>
        <w:tc>
          <w:tcPr>
            <w:tcW w:w="475" w:type="pct"/>
            <w:noWrap/>
            <w:hideMark/>
          </w:tcPr>
          <w:p w:rsidRPr="00C21F2B" w:rsidR="00F33E01" w:rsidP="00F33E01" w:rsidRDefault="00F33E01" w14:paraId="2013B1B9"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39%</w:t>
            </w:r>
          </w:p>
        </w:tc>
        <w:tc>
          <w:tcPr>
            <w:tcW w:w="403" w:type="pct"/>
            <w:noWrap/>
            <w:hideMark/>
          </w:tcPr>
          <w:p w:rsidRPr="00C21F2B" w:rsidR="00F33E01" w:rsidP="00F33E01" w:rsidRDefault="00F33E01" w14:paraId="2E95BB8F"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40%</w:t>
            </w:r>
          </w:p>
        </w:tc>
        <w:tc>
          <w:tcPr>
            <w:tcW w:w="402" w:type="pct"/>
            <w:noWrap/>
            <w:hideMark/>
          </w:tcPr>
          <w:p w:rsidRPr="00C21F2B" w:rsidR="00F33E01" w:rsidP="00F33E01" w:rsidRDefault="00F33E01" w14:paraId="41491D03"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37%</w:t>
            </w:r>
          </w:p>
        </w:tc>
      </w:tr>
      <w:tr w:rsidRPr="00C21F2B" w:rsidR="00F33E01" w:rsidTr="00FC2172" w14:paraId="138D5858" w14:textId="77777777">
        <w:trPr>
          <w:trHeight w:val="300"/>
        </w:trPr>
        <w:tc>
          <w:tcPr>
            <w:cnfStyle w:val="001000000000" w:firstRow="0" w:lastRow="0" w:firstColumn="1" w:lastColumn="0" w:oddVBand="0" w:evenVBand="0" w:oddHBand="0" w:evenHBand="0" w:firstRowFirstColumn="0" w:firstRowLastColumn="0" w:lastRowFirstColumn="0" w:lastRowLastColumn="0"/>
            <w:tcW w:w="3720" w:type="pct"/>
            <w:noWrap/>
            <w:hideMark/>
          </w:tcPr>
          <w:p w:rsidRPr="00C21F2B" w:rsidR="00F33E01" w:rsidP="00F33E01" w:rsidRDefault="00F33E01" w14:paraId="49DB6916" w14:textId="77777777">
            <w:pPr>
              <w:pStyle w:val="SEOStandaard"/>
              <w:spacing w:line="240" w:lineRule="auto"/>
              <w:rPr>
                <w:rFonts w:ascii="Trebuchet MS" w:hAnsi="Trebuchet MS"/>
                <w:sz w:val="18"/>
                <w:szCs w:val="18"/>
              </w:rPr>
            </w:pPr>
            <w:r w:rsidRPr="00C21F2B">
              <w:rPr>
                <w:rFonts w:ascii="Trebuchet MS" w:hAnsi="Trebuchet MS"/>
                <w:sz w:val="18"/>
                <w:szCs w:val="18"/>
              </w:rPr>
              <w:t>Meer reflectie op praktijkervaringen van lln in gesprekken</w:t>
            </w:r>
          </w:p>
        </w:tc>
        <w:tc>
          <w:tcPr>
            <w:tcW w:w="475" w:type="pct"/>
            <w:noWrap/>
            <w:hideMark/>
          </w:tcPr>
          <w:p w:rsidRPr="00C21F2B" w:rsidR="00F33E01" w:rsidP="00F33E01" w:rsidRDefault="00F33E01" w14:paraId="015B57CC"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28%</w:t>
            </w:r>
          </w:p>
        </w:tc>
        <w:tc>
          <w:tcPr>
            <w:tcW w:w="403" w:type="pct"/>
            <w:noWrap/>
            <w:hideMark/>
          </w:tcPr>
          <w:p w:rsidRPr="00C21F2B" w:rsidR="00F33E01" w:rsidP="00F33E01" w:rsidRDefault="00F33E01" w14:paraId="2843E8AE"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29%</w:t>
            </w:r>
          </w:p>
        </w:tc>
        <w:tc>
          <w:tcPr>
            <w:tcW w:w="402" w:type="pct"/>
            <w:noWrap/>
            <w:hideMark/>
          </w:tcPr>
          <w:p w:rsidRPr="00C21F2B" w:rsidR="00F33E01" w:rsidP="00F33E01" w:rsidRDefault="00F33E01" w14:paraId="50421E33"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27%</w:t>
            </w:r>
          </w:p>
        </w:tc>
      </w:tr>
      <w:tr w:rsidRPr="00C21F2B" w:rsidR="00F33E01" w:rsidTr="00FC2172" w14:paraId="020E613C" w14:textId="77777777">
        <w:trPr>
          <w:trHeight w:val="300"/>
        </w:trPr>
        <w:tc>
          <w:tcPr>
            <w:cnfStyle w:val="001000000000" w:firstRow="0" w:lastRow="0" w:firstColumn="1" w:lastColumn="0" w:oddVBand="0" w:evenVBand="0" w:oddHBand="0" w:evenHBand="0" w:firstRowFirstColumn="0" w:firstRowLastColumn="0" w:lastRowFirstColumn="0" w:lastRowLastColumn="0"/>
            <w:tcW w:w="3720" w:type="pct"/>
            <w:noWrap/>
            <w:hideMark/>
          </w:tcPr>
          <w:p w:rsidRPr="00C21F2B" w:rsidR="00F33E01" w:rsidP="00F33E01" w:rsidRDefault="00F33E01" w14:paraId="3082E09E" w14:textId="77777777">
            <w:pPr>
              <w:pStyle w:val="SEOStandaard"/>
              <w:spacing w:line="240" w:lineRule="auto"/>
              <w:rPr>
                <w:rFonts w:ascii="Trebuchet MS" w:hAnsi="Trebuchet MS"/>
                <w:sz w:val="18"/>
                <w:szCs w:val="18"/>
              </w:rPr>
            </w:pPr>
            <w:r w:rsidRPr="00C21F2B">
              <w:rPr>
                <w:rFonts w:ascii="Trebuchet MS" w:hAnsi="Trebuchet MS"/>
                <w:sz w:val="18"/>
                <w:szCs w:val="18"/>
              </w:rPr>
              <w:t>Ouders actiever betrokken bij activiteiten rondom LOB</w:t>
            </w:r>
          </w:p>
        </w:tc>
        <w:tc>
          <w:tcPr>
            <w:tcW w:w="475" w:type="pct"/>
            <w:noWrap/>
            <w:hideMark/>
          </w:tcPr>
          <w:p w:rsidRPr="00C21F2B" w:rsidR="00F33E01" w:rsidP="00F33E01" w:rsidRDefault="00F33E01" w14:paraId="27EFCD2A"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24%</w:t>
            </w:r>
          </w:p>
        </w:tc>
        <w:tc>
          <w:tcPr>
            <w:tcW w:w="403" w:type="pct"/>
            <w:noWrap/>
            <w:hideMark/>
          </w:tcPr>
          <w:p w:rsidRPr="00C21F2B" w:rsidR="00F33E01" w:rsidP="00F33E01" w:rsidRDefault="00F33E01" w14:paraId="359E8DD7"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26%</w:t>
            </w:r>
          </w:p>
        </w:tc>
        <w:tc>
          <w:tcPr>
            <w:tcW w:w="402" w:type="pct"/>
            <w:noWrap/>
            <w:hideMark/>
          </w:tcPr>
          <w:p w:rsidRPr="00C21F2B" w:rsidR="00F33E01" w:rsidP="00F33E01" w:rsidRDefault="00F33E01" w14:paraId="1EB432D2"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18%</w:t>
            </w:r>
          </w:p>
        </w:tc>
      </w:tr>
      <w:tr w:rsidRPr="00C21F2B" w:rsidR="00F33E01" w:rsidTr="00FC2172" w14:paraId="4CAAAE78" w14:textId="77777777">
        <w:trPr>
          <w:trHeight w:val="300"/>
        </w:trPr>
        <w:tc>
          <w:tcPr>
            <w:cnfStyle w:val="001000000000" w:firstRow="0" w:lastRow="0" w:firstColumn="1" w:lastColumn="0" w:oddVBand="0" w:evenVBand="0" w:oddHBand="0" w:evenHBand="0" w:firstRowFirstColumn="0" w:firstRowLastColumn="0" w:lastRowFirstColumn="0" w:lastRowLastColumn="0"/>
            <w:tcW w:w="3720" w:type="pct"/>
            <w:noWrap/>
            <w:hideMark/>
          </w:tcPr>
          <w:p w:rsidRPr="00C21F2B" w:rsidR="00F33E01" w:rsidP="00F33E01" w:rsidRDefault="00F33E01" w14:paraId="7CB4DE16" w14:textId="77777777">
            <w:pPr>
              <w:pStyle w:val="SEOStandaard"/>
              <w:spacing w:line="240" w:lineRule="auto"/>
              <w:rPr>
                <w:rFonts w:ascii="Trebuchet MS" w:hAnsi="Trebuchet MS"/>
                <w:sz w:val="18"/>
                <w:szCs w:val="18"/>
              </w:rPr>
            </w:pPr>
            <w:r w:rsidRPr="00C21F2B">
              <w:rPr>
                <w:rFonts w:ascii="Trebuchet MS" w:hAnsi="Trebuchet MS"/>
                <w:sz w:val="18"/>
                <w:szCs w:val="18"/>
              </w:rPr>
              <w:t>Meer aandacht voor verwachtingspatronen</w:t>
            </w:r>
          </w:p>
        </w:tc>
        <w:tc>
          <w:tcPr>
            <w:tcW w:w="475" w:type="pct"/>
            <w:noWrap/>
            <w:hideMark/>
          </w:tcPr>
          <w:p w:rsidRPr="00C21F2B" w:rsidR="00F33E01" w:rsidP="00F33E01" w:rsidRDefault="00F33E01" w14:paraId="41B8E10A"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34%</w:t>
            </w:r>
          </w:p>
        </w:tc>
        <w:tc>
          <w:tcPr>
            <w:tcW w:w="403" w:type="pct"/>
            <w:noWrap/>
            <w:hideMark/>
          </w:tcPr>
          <w:p w:rsidRPr="00C21F2B" w:rsidR="00F33E01" w:rsidP="00F33E01" w:rsidRDefault="00F33E01" w14:paraId="6C9E0E87"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34%</w:t>
            </w:r>
          </w:p>
        </w:tc>
        <w:tc>
          <w:tcPr>
            <w:tcW w:w="402" w:type="pct"/>
            <w:noWrap/>
            <w:hideMark/>
          </w:tcPr>
          <w:p w:rsidRPr="00C21F2B" w:rsidR="00F33E01" w:rsidP="00F33E01" w:rsidRDefault="00F33E01" w14:paraId="06A03F57"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32%</w:t>
            </w:r>
          </w:p>
        </w:tc>
      </w:tr>
      <w:tr w:rsidRPr="00C21F2B" w:rsidR="00F33E01" w:rsidTr="00FC2172" w14:paraId="14D9C27C" w14:textId="77777777">
        <w:trPr>
          <w:trHeight w:val="300"/>
        </w:trPr>
        <w:tc>
          <w:tcPr>
            <w:cnfStyle w:val="001000000000" w:firstRow="0" w:lastRow="0" w:firstColumn="1" w:lastColumn="0" w:oddVBand="0" w:evenVBand="0" w:oddHBand="0" w:evenHBand="0" w:firstRowFirstColumn="0" w:firstRowLastColumn="0" w:lastRowFirstColumn="0" w:lastRowLastColumn="0"/>
            <w:tcW w:w="3720" w:type="pct"/>
            <w:noWrap/>
            <w:hideMark/>
          </w:tcPr>
          <w:p w:rsidRPr="00C21F2B" w:rsidR="00F33E01" w:rsidP="00F33E01" w:rsidRDefault="00F33E01" w14:paraId="4AF3FE78" w14:textId="77777777">
            <w:pPr>
              <w:pStyle w:val="SEOStandaard"/>
              <w:spacing w:line="240" w:lineRule="auto"/>
              <w:rPr>
                <w:rFonts w:ascii="Trebuchet MS" w:hAnsi="Trebuchet MS"/>
                <w:sz w:val="18"/>
                <w:szCs w:val="18"/>
              </w:rPr>
            </w:pPr>
            <w:r w:rsidRPr="00C21F2B">
              <w:rPr>
                <w:rFonts w:ascii="Trebuchet MS" w:hAnsi="Trebuchet MS"/>
                <w:sz w:val="18"/>
                <w:szCs w:val="18"/>
              </w:rPr>
              <w:t>Leerlingen beter zicht op beroepen/opleidingen en bewustere vervolgkeuze</w:t>
            </w:r>
          </w:p>
        </w:tc>
        <w:tc>
          <w:tcPr>
            <w:tcW w:w="475" w:type="pct"/>
            <w:noWrap/>
            <w:hideMark/>
          </w:tcPr>
          <w:p w:rsidRPr="00C21F2B" w:rsidR="00F33E01" w:rsidP="00F33E01" w:rsidRDefault="00F33E01" w14:paraId="0D76295F"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52%</w:t>
            </w:r>
          </w:p>
        </w:tc>
        <w:tc>
          <w:tcPr>
            <w:tcW w:w="403" w:type="pct"/>
            <w:noWrap/>
            <w:hideMark/>
          </w:tcPr>
          <w:p w:rsidRPr="00C21F2B" w:rsidR="00F33E01" w:rsidP="00F33E01" w:rsidRDefault="00F33E01" w14:paraId="091DEAF2"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54%</w:t>
            </w:r>
          </w:p>
        </w:tc>
        <w:tc>
          <w:tcPr>
            <w:tcW w:w="402" w:type="pct"/>
            <w:noWrap/>
            <w:hideMark/>
          </w:tcPr>
          <w:p w:rsidRPr="00C21F2B" w:rsidR="00F33E01" w:rsidP="00F33E01" w:rsidRDefault="00F33E01" w14:paraId="5BCAF9B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42%</w:t>
            </w:r>
          </w:p>
        </w:tc>
      </w:tr>
    </w:tbl>
    <w:p w:rsidRPr="005A7A35" w:rsidR="00F33E01" w:rsidP="005A7A35" w:rsidRDefault="005A7A35" w14:paraId="0106D7F5" w14:textId="252F8F0D">
      <w:pPr>
        <w:pStyle w:val="SEOBron"/>
        <w:numPr>
          <w:ilvl w:val="0"/>
          <w:numId w:val="0"/>
        </w:numPr>
        <w:rPr>
          <w:rFonts w:ascii="Trebuchet MS" w:hAnsi="Trebuchet MS"/>
          <w:color w:val="auto"/>
          <w:szCs w:val="18"/>
        </w:rPr>
      </w:pPr>
      <w:r w:rsidRPr="005A7A35">
        <w:rPr>
          <w:rFonts w:ascii="Trebuchet MS" w:hAnsi="Trebuchet MS"/>
          <w:color w:val="auto"/>
          <w:szCs w:val="18"/>
        </w:rPr>
        <w:t xml:space="preserve">Bron: </w:t>
      </w:r>
      <w:r w:rsidRPr="005A7A35" w:rsidR="00F33E01">
        <w:rPr>
          <w:rFonts w:ascii="Trebuchet MS" w:hAnsi="Trebuchet MS"/>
          <w:color w:val="auto"/>
          <w:szCs w:val="18"/>
        </w:rPr>
        <w:t>Enquête lesgevenden bovenbouw vmbo (februari-mei 2025). % (zeer) sterk op vraag “In hoeverre is LOB door Sterk Techniekonderwijs veranderd?” * geeft significant verschil weer tussen lesgevenden van technisch vak en lesgevenden van niet-technisch vak.</w:t>
      </w:r>
    </w:p>
    <w:p w:rsidRPr="005A7A35" w:rsidR="00F33E01" w:rsidP="27A1E800" w:rsidRDefault="00F33E01" w14:paraId="1D6B129A" w14:textId="34C3867F">
      <w:pPr>
        <w:pStyle w:val="SEOStandaardB"/>
        <w:numPr>
          <w:ilvl w:val="0"/>
          <w:numId w:val="0"/>
        </w:numPr>
        <w:rPr>
          <w:rFonts w:ascii="Trebuchet MS" w:hAnsi="Trebuchet MS"/>
          <w:color w:val="auto"/>
          <w:sz w:val="18"/>
          <w:szCs w:val="18"/>
        </w:rPr>
      </w:pPr>
      <w:r w:rsidRPr="780653D5">
        <w:rPr>
          <w:rFonts w:ascii="Trebuchet MS" w:hAnsi="Trebuchet MS"/>
          <w:color w:val="auto"/>
          <w:sz w:val="18"/>
          <w:szCs w:val="18"/>
        </w:rPr>
        <w:t xml:space="preserve">Figuur </w:t>
      </w:r>
      <w:r w:rsidRPr="780653D5" w:rsidR="005A7A35">
        <w:rPr>
          <w:rFonts w:ascii="Trebuchet MS" w:hAnsi="Trebuchet MS"/>
          <w:color w:val="auto"/>
          <w:sz w:val="18"/>
          <w:szCs w:val="18"/>
        </w:rPr>
        <w:t>5</w:t>
      </w:r>
      <w:r w:rsidRPr="780653D5">
        <w:rPr>
          <w:rFonts w:ascii="Trebuchet MS" w:hAnsi="Trebuchet MS"/>
          <w:color w:val="auto"/>
          <w:sz w:val="18"/>
          <w:szCs w:val="18"/>
        </w:rPr>
        <w:t xml:space="preserve">.5 en tabel </w:t>
      </w:r>
      <w:r w:rsidRPr="780653D5" w:rsidR="005A7A35">
        <w:rPr>
          <w:rFonts w:ascii="Trebuchet MS" w:hAnsi="Trebuchet MS"/>
          <w:color w:val="auto"/>
          <w:sz w:val="18"/>
          <w:szCs w:val="18"/>
        </w:rPr>
        <w:t>5</w:t>
      </w:r>
      <w:r w:rsidRPr="780653D5">
        <w:rPr>
          <w:rFonts w:ascii="Trebuchet MS" w:hAnsi="Trebuchet MS"/>
          <w:color w:val="auto"/>
          <w:sz w:val="18"/>
          <w:szCs w:val="18"/>
        </w:rPr>
        <w:t xml:space="preserve">.8 tonen de verandering op het gebied van techniek- en technologisch onderwijs door STO. </w:t>
      </w:r>
    </w:p>
    <w:p w:rsidR="00F33E01" w:rsidP="00F33E01" w:rsidRDefault="00F33E01" w14:paraId="2FB56760" w14:textId="77777777">
      <w:pPr>
        <w:pStyle w:val="SEOStandaard"/>
        <w:numPr>
          <w:ilvl w:val="0"/>
          <w:numId w:val="0"/>
        </w:numPr>
        <w:rPr>
          <w:rFonts w:ascii="Trebuchet MS" w:hAnsi="Trebuchet MS"/>
          <w:sz w:val="18"/>
          <w:szCs w:val="18"/>
        </w:rPr>
      </w:pPr>
    </w:p>
    <w:p w:rsidRPr="005A7A35" w:rsidR="00F33E01" w:rsidP="005A7A35" w:rsidRDefault="005A7A35" w14:paraId="5D4BA803" w14:textId="41A84C04">
      <w:pPr>
        <w:pStyle w:val="Figuur"/>
        <w:rPr>
          <w:rFonts w:ascii="Trebuchet MS" w:hAnsi="Trebuchet MS" w:eastAsiaTheme="minorEastAsia" w:cstheme="minorBidi"/>
          <w:i/>
          <w:iCs/>
          <w:noProof w:val="0"/>
          <w:sz w:val="18"/>
          <w:szCs w:val="18"/>
          <w:lang w:eastAsia="en-US"/>
        </w:rPr>
      </w:pPr>
      <w:r w:rsidRPr="005A7A35">
        <w:rPr>
          <w:rFonts w:ascii="Trebuchet MS" w:hAnsi="Trebuchet MS" w:eastAsiaTheme="minorEastAsia" w:cstheme="minorBidi"/>
          <w:i/>
          <w:iCs/>
          <w:noProof w:val="0"/>
          <w:sz w:val="18"/>
          <w:szCs w:val="18"/>
          <w:lang w:eastAsia="en-US"/>
        </w:rPr>
        <w:t xml:space="preserve">Figuur 5.5. </w:t>
      </w:r>
      <w:r w:rsidRPr="005A7A35" w:rsidR="00F33E01">
        <w:rPr>
          <w:rFonts w:ascii="Trebuchet MS" w:hAnsi="Trebuchet MS" w:eastAsiaTheme="minorEastAsia" w:cstheme="minorBidi"/>
          <w:i/>
          <w:iCs/>
          <w:noProof w:val="0"/>
          <w:sz w:val="18"/>
          <w:szCs w:val="18"/>
          <w:lang w:eastAsia="en-US"/>
        </w:rPr>
        <w:t>Impact op techniek-/technologisch onderwijs</w:t>
      </w:r>
    </w:p>
    <w:p w:rsidRPr="00C21F2B" w:rsidR="00F33E01" w:rsidP="00F33E01" w:rsidRDefault="00F33E01" w14:paraId="3A7968A3" w14:textId="00669B29">
      <w:pPr>
        <w:pStyle w:val="SEOStandaard"/>
        <w:rPr>
          <w:rFonts w:ascii="Trebuchet MS" w:hAnsi="Trebuchet MS"/>
          <w:sz w:val="18"/>
          <w:szCs w:val="18"/>
        </w:rPr>
      </w:pPr>
      <w:r w:rsidRPr="00C21F2B">
        <w:rPr>
          <w:rFonts w:ascii="Trebuchet MS" w:hAnsi="Trebuchet MS"/>
          <w:noProof/>
          <w:sz w:val="18"/>
          <w:szCs w:val="18"/>
        </w:rPr>
        <w:drawing>
          <wp:inline distT="0" distB="0" distL="0" distR="0" wp14:anchorId="420D4171" wp14:editId="4A75F45F">
            <wp:extent cx="5940000" cy="3642360"/>
            <wp:effectExtent l="0" t="0" r="3810" b="15240"/>
            <wp:docPr id="662567220" name="Grafiek 1">
              <a:extLst xmlns:a="http://schemas.openxmlformats.org/drawingml/2006/main">
                <a:ext uri="{FF2B5EF4-FFF2-40B4-BE49-F238E27FC236}">
                  <a16:creationId xmlns:a16="http://schemas.microsoft.com/office/drawing/2014/main" id="{1D16C5C8-7042-40A9-830C-41F202DAC0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33E01" w:rsidP="003A4D92" w:rsidRDefault="003A4D92" w14:paraId="5EAFFE1E" w14:textId="083D48A1">
      <w:pPr>
        <w:pStyle w:val="SEOBron"/>
        <w:numPr>
          <w:ilvl w:val="0"/>
          <w:numId w:val="0"/>
        </w:numPr>
        <w:rPr>
          <w:rFonts w:ascii="Trebuchet MS" w:hAnsi="Trebuchet MS"/>
          <w:color w:val="auto"/>
          <w:szCs w:val="18"/>
        </w:rPr>
      </w:pPr>
      <w:r w:rsidRPr="003A4D92">
        <w:rPr>
          <w:rFonts w:ascii="Trebuchet MS" w:hAnsi="Trebuchet MS"/>
          <w:color w:val="auto"/>
          <w:szCs w:val="18"/>
        </w:rPr>
        <w:t xml:space="preserve">Bron: </w:t>
      </w:r>
      <w:r w:rsidRPr="003A4D92" w:rsidR="00F33E01">
        <w:rPr>
          <w:rFonts w:ascii="Trebuchet MS" w:hAnsi="Trebuchet MS"/>
          <w:color w:val="auto"/>
          <w:szCs w:val="18"/>
        </w:rPr>
        <w:t>Enquête lesgevenden bovenbouw vmbo (februari-mei 2025).</w:t>
      </w:r>
    </w:p>
    <w:p w:rsidR="00880283" w:rsidP="003A4D92" w:rsidRDefault="00880283" w14:paraId="18157CCF" w14:textId="77777777">
      <w:pPr>
        <w:pStyle w:val="SEOBron"/>
        <w:numPr>
          <w:ilvl w:val="0"/>
          <w:numId w:val="0"/>
        </w:numPr>
        <w:rPr>
          <w:rFonts w:ascii="Trebuchet MS" w:hAnsi="Trebuchet MS"/>
          <w:color w:val="auto"/>
          <w:szCs w:val="18"/>
        </w:rPr>
      </w:pPr>
    </w:p>
    <w:p w:rsidRPr="003A4D92" w:rsidR="00F33E01" w:rsidP="003A4D92" w:rsidRDefault="003A4D92" w14:paraId="20B4BAFD" w14:textId="6B7C64A2">
      <w:pPr>
        <w:pStyle w:val="Figuur"/>
        <w:rPr>
          <w:rFonts w:ascii="Trebuchet MS" w:hAnsi="Trebuchet MS" w:eastAsiaTheme="minorEastAsia" w:cstheme="minorBidi"/>
          <w:i/>
          <w:iCs/>
          <w:noProof w:val="0"/>
          <w:sz w:val="18"/>
          <w:szCs w:val="18"/>
          <w:lang w:eastAsia="en-US"/>
        </w:rPr>
      </w:pPr>
      <w:r w:rsidRPr="003A4D92">
        <w:rPr>
          <w:rFonts w:ascii="Trebuchet MS" w:hAnsi="Trebuchet MS" w:eastAsiaTheme="minorEastAsia" w:cstheme="minorBidi"/>
          <w:i/>
          <w:iCs/>
          <w:noProof w:val="0"/>
          <w:sz w:val="18"/>
          <w:szCs w:val="18"/>
          <w:lang w:eastAsia="en-US"/>
        </w:rPr>
        <w:lastRenderedPageBreak/>
        <w:t xml:space="preserve">Tabel 5.8. </w:t>
      </w:r>
      <w:r w:rsidRPr="003A4D92" w:rsidR="00F33E01">
        <w:rPr>
          <w:rFonts w:ascii="Trebuchet MS" w:hAnsi="Trebuchet MS" w:eastAsiaTheme="minorEastAsia" w:cstheme="minorBidi"/>
          <w:i/>
          <w:iCs/>
          <w:noProof w:val="0"/>
          <w:sz w:val="18"/>
          <w:szCs w:val="18"/>
          <w:lang w:eastAsia="en-US"/>
        </w:rPr>
        <w:t>Impact op techniek-/technologisch onderwijs, uitgesplitst naar wel of geen technisch vak</w:t>
      </w:r>
    </w:p>
    <w:tbl>
      <w:tblPr>
        <w:tblStyle w:val="SEOTabel2"/>
        <w:tblW w:w="5000" w:type="pct"/>
        <w:tblCellMar>
          <w:top w:w="0" w:type="dxa"/>
          <w:left w:w="28" w:type="dxa"/>
          <w:bottom w:w="28" w:type="dxa"/>
          <w:right w:w="28" w:type="dxa"/>
        </w:tblCellMar>
        <w:tblLook w:val="04A0" w:firstRow="1" w:lastRow="0" w:firstColumn="1" w:lastColumn="0" w:noHBand="0" w:noVBand="1"/>
      </w:tblPr>
      <w:tblGrid>
        <w:gridCol w:w="7261"/>
        <w:gridCol w:w="790"/>
        <w:gridCol w:w="655"/>
        <w:gridCol w:w="654"/>
      </w:tblGrid>
      <w:tr w:rsidRPr="00C21F2B" w:rsidR="00F33E01" w:rsidTr="00FC2172" w14:paraId="49343DB5" w14:textId="77777777">
        <w:trPr>
          <w:cnfStyle w:val="100000000000" w:firstRow="1" w:lastRow="0" w:firstColumn="0" w:lastColumn="0" w:oddVBand="0" w:evenVBand="0" w:oddHBand="0" w:evenHBand="0" w:firstRowFirstColumn="0" w:firstRowLastColumn="0" w:lastRowFirstColumn="0" w:lastRowLastColumn="0"/>
          <w:cantSplit/>
          <w:trHeight w:val="1814"/>
        </w:trPr>
        <w:tc>
          <w:tcPr>
            <w:cnfStyle w:val="001000000000" w:firstRow="0" w:lastRow="0" w:firstColumn="1" w:lastColumn="0" w:oddVBand="0" w:evenVBand="0" w:oddHBand="0" w:evenHBand="0" w:firstRowFirstColumn="0" w:firstRowLastColumn="0" w:lastRowFirstColumn="0" w:lastRowLastColumn="0"/>
            <w:tcW w:w="3720" w:type="pct"/>
            <w:noWrap/>
            <w:vAlign w:val="center"/>
            <w:hideMark/>
          </w:tcPr>
          <w:p w:rsidRPr="00C21F2B" w:rsidR="00F33E01" w:rsidP="00F33E01" w:rsidRDefault="00F33E01" w14:paraId="50763993" w14:textId="77777777">
            <w:pPr>
              <w:pStyle w:val="SEOStandaard"/>
              <w:spacing w:line="240" w:lineRule="auto"/>
              <w:jc w:val="left"/>
              <w:rPr>
                <w:rFonts w:ascii="Trebuchet MS" w:hAnsi="Trebuchet MS"/>
                <w:bCs/>
                <w:color w:val="FFFFFF" w:themeColor="background1"/>
                <w:sz w:val="18"/>
                <w:szCs w:val="18"/>
              </w:rPr>
            </w:pPr>
            <w:r w:rsidRPr="00C21F2B">
              <w:rPr>
                <w:rFonts w:ascii="Trebuchet MS" w:hAnsi="Trebuchet MS"/>
                <w:color w:val="FFFFFF" w:themeColor="background1"/>
                <w:sz w:val="18"/>
                <w:szCs w:val="18"/>
              </w:rPr>
              <w:t>Impact op het techniek-/technologisch onderwijs. Door veranderingen in STO is:</w:t>
            </w:r>
          </w:p>
        </w:tc>
        <w:tc>
          <w:tcPr>
            <w:tcW w:w="475" w:type="pct"/>
            <w:noWrap/>
            <w:textDirection w:val="btLr"/>
            <w:vAlign w:val="center"/>
            <w:hideMark/>
          </w:tcPr>
          <w:p w:rsidRPr="00C21F2B" w:rsidR="00F33E01" w:rsidP="00F33E01" w:rsidRDefault="00F33E01" w14:paraId="628BA90C" w14:textId="77777777">
            <w:pPr>
              <w:pStyle w:val="SEOStandaard"/>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C21F2B">
              <w:rPr>
                <w:rFonts w:ascii="Trebuchet MS" w:hAnsi="Trebuchet MS"/>
                <w:color w:val="FFFFFF" w:themeColor="background1"/>
                <w:sz w:val="18"/>
                <w:szCs w:val="18"/>
              </w:rPr>
              <w:t>Alle lesgevenden (n=317)</w:t>
            </w:r>
          </w:p>
        </w:tc>
        <w:tc>
          <w:tcPr>
            <w:tcW w:w="403" w:type="pct"/>
            <w:noWrap/>
            <w:textDirection w:val="btLr"/>
            <w:vAlign w:val="center"/>
            <w:hideMark/>
          </w:tcPr>
          <w:p w:rsidRPr="00C21F2B" w:rsidR="00F33E01" w:rsidP="00F33E01" w:rsidRDefault="00F33E01" w14:paraId="22E119BD" w14:textId="77777777">
            <w:pPr>
              <w:pStyle w:val="SEOStandaard"/>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C21F2B">
              <w:rPr>
                <w:rFonts w:ascii="Trebuchet MS" w:hAnsi="Trebuchet MS"/>
                <w:color w:val="FFFFFF" w:themeColor="background1"/>
                <w:sz w:val="18"/>
                <w:szCs w:val="18"/>
              </w:rPr>
              <w:t>Technisch vak (n=263)</w:t>
            </w:r>
          </w:p>
        </w:tc>
        <w:tc>
          <w:tcPr>
            <w:tcW w:w="402" w:type="pct"/>
            <w:noWrap/>
            <w:textDirection w:val="btLr"/>
            <w:vAlign w:val="center"/>
            <w:hideMark/>
          </w:tcPr>
          <w:p w:rsidRPr="00C21F2B" w:rsidR="00F33E01" w:rsidP="00F33E01" w:rsidRDefault="00F33E01" w14:paraId="30A51C1C" w14:textId="77777777">
            <w:pPr>
              <w:pStyle w:val="SEOStandaard"/>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C21F2B">
              <w:rPr>
                <w:rFonts w:ascii="Trebuchet MS" w:hAnsi="Trebuchet MS"/>
                <w:color w:val="FFFFFF" w:themeColor="background1"/>
                <w:sz w:val="18"/>
                <w:szCs w:val="18"/>
              </w:rPr>
              <w:t>Geen technisch vak (n=54)</w:t>
            </w:r>
          </w:p>
        </w:tc>
      </w:tr>
      <w:tr w:rsidRPr="00C21F2B" w:rsidR="00F33E01" w:rsidTr="00FC2172" w14:paraId="3D852A6F" w14:textId="77777777">
        <w:trPr>
          <w:trHeight w:val="300"/>
        </w:trPr>
        <w:tc>
          <w:tcPr>
            <w:cnfStyle w:val="001000000000" w:firstRow="0" w:lastRow="0" w:firstColumn="1" w:lastColumn="0" w:oddVBand="0" w:evenVBand="0" w:oddHBand="0" w:evenHBand="0" w:firstRowFirstColumn="0" w:firstRowLastColumn="0" w:lastRowFirstColumn="0" w:lastRowLastColumn="0"/>
            <w:tcW w:w="3720" w:type="pct"/>
            <w:noWrap/>
            <w:vAlign w:val="center"/>
            <w:hideMark/>
          </w:tcPr>
          <w:p w:rsidRPr="00C21F2B" w:rsidR="00F33E01" w:rsidP="00F33E01" w:rsidRDefault="00F33E01" w14:paraId="743012EE"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Het techniekonderwijs is meer afgestemd op de actuele (regionale) ontwikkelingen</w:t>
            </w:r>
          </w:p>
        </w:tc>
        <w:tc>
          <w:tcPr>
            <w:tcW w:w="475" w:type="pct"/>
            <w:noWrap/>
            <w:hideMark/>
          </w:tcPr>
          <w:p w:rsidRPr="00C21F2B" w:rsidR="00F33E01" w:rsidP="00F33E01" w:rsidRDefault="00F33E01" w14:paraId="73532DEB"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48%</w:t>
            </w:r>
          </w:p>
        </w:tc>
        <w:tc>
          <w:tcPr>
            <w:tcW w:w="403" w:type="pct"/>
            <w:noWrap/>
            <w:hideMark/>
          </w:tcPr>
          <w:p w:rsidRPr="00C21F2B" w:rsidR="00F33E01" w:rsidP="00F33E01" w:rsidRDefault="00F33E01" w14:paraId="59157B2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51%*</w:t>
            </w:r>
          </w:p>
        </w:tc>
        <w:tc>
          <w:tcPr>
            <w:tcW w:w="402" w:type="pct"/>
            <w:noWrap/>
            <w:hideMark/>
          </w:tcPr>
          <w:p w:rsidRPr="00C21F2B" w:rsidR="00F33E01" w:rsidP="00F33E01" w:rsidRDefault="00F33E01" w14:paraId="28220E23"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30%</w:t>
            </w:r>
          </w:p>
        </w:tc>
      </w:tr>
      <w:tr w:rsidRPr="00C21F2B" w:rsidR="00F33E01" w:rsidTr="00FC2172" w14:paraId="4463F69D" w14:textId="77777777">
        <w:trPr>
          <w:trHeight w:val="300"/>
        </w:trPr>
        <w:tc>
          <w:tcPr>
            <w:cnfStyle w:val="001000000000" w:firstRow="0" w:lastRow="0" w:firstColumn="1" w:lastColumn="0" w:oddVBand="0" w:evenVBand="0" w:oddHBand="0" w:evenHBand="0" w:firstRowFirstColumn="0" w:firstRowLastColumn="0" w:lastRowFirstColumn="0" w:lastRowLastColumn="0"/>
            <w:tcW w:w="3720" w:type="pct"/>
            <w:noWrap/>
            <w:vAlign w:val="center"/>
            <w:hideMark/>
          </w:tcPr>
          <w:p w:rsidRPr="00C21F2B" w:rsidR="00F33E01" w:rsidP="00F33E01" w:rsidRDefault="00F33E01" w14:paraId="38B9B65F"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Het technologisch onderwijs is meer afgestemd op de actuele (regionale) ontwikkelingen</w:t>
            </w:r>
          </w:p>
        </w:tc>
        <w:tc>
          <w:tcPr>
            <w:tcW w:w="475" w:type="pct"/>
            <w:noWrap/>
            <w:hideMark/>
          </w:tcPr>
          <w:p w:rsidRPr="00C21F2B" w:rsidR="00F33E01" w:rsidP="00F33E01" w:rsidRDefault="00F33E01" w14:paraId="47963061"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42%</w:t>
            </w:r>
          </w:p>
        </w:tc>
        <w:tc>
          <w:tcPr>
            <w:tcW w:w="403" w:type="pct"/>
            <w:noWrap/>
            <w:hideMark/>
          </w:tcPr>
          <w:p w:rsidRPr="00C21F2B" w:rsidR="00F33E01" w:rsidP="00F33E01" w:rsidRDefault="00F33E01" w14:paraId="67CAD93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44%</w:t>
            </w:r>
          </w:p>
        </w:tc>
        <w:tc>
          <w:tcPr>
            <w:tcW w:w="402" w:type="pct"/>
            <w:noWrap/>
            <w:hideMark/>
          </w:tcPr>
          <w:p w:rsidRPr="00C21F2B" w:rsidR="00F33E01" w:rsidP="00F33E01" w:rsidRDefault="00F33E01" w14:paraId="6BFC2D5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31%</w:t>
            </w:r>
          </w:p>
        </w:tc>
      </w:tr>
      <w:tr w:rsidRPr="00C21F2B" w:rsidR="00F33E01" w:rsidTr="00FC2172" w14:paraId="445CE51C" w14:textId="77777777">
        <w:trPr>
          <w:trHeight w:val="300"/>
        </w:trPr>
        <w:tc>
          <w:tcPr>
            <w:cnfStyle w:val="001000000000" w:firstRow="0" w:lastRow="0" w:firstColumn="1" w:lastColumn="0" w:oddVBand="0" w:evenVBand="0" w:oddHBand="0" w:evenHBand="0" w:firstRowFirstColumn="0" w:firstRowLastColumn="0" w:lastRowFirstColumn="0" w:lastRowLastColumn="0"/>
            <w:tcW w:w="3720" w:type="pct"/>
            <w:noWrap/>
            <w:vAlign w:val="center"/>
            <w:hideMark/>
          </w:tcPr>
          <w:p w:rsidRPr="00C21F2B" w:rsidR="00F33E01" w:rsidP="00F33E01" w:rsidRDefault="00F33E01" w14:paraId="49F8ABB1"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Het techniekonderwijs in de onderwijsketen po-vmbo-mbo sluit beter aan</w:t>
            </w:r>
          </w:p>
        </w:tc>
        <w:tc>
          <w:tcPr>
            <w:tcW w:w="475" w:type="pct"/>
            <w:noWrap/>
            <w:hideMark/>
          </w:tcPr>
          <w:p w:rsidRPr="00C21F2B" w:rsidR="00F33E01" w:rsidP="00F33E01" w:rsidRDefault="00F33E01" w14:paraId="63DF8A27"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47%</w:t>
            </w:r>
          </w:p>
        </w:tc>
        <w:tc>
          <w:tcPr>
            <w:tcW w:w="403" w:type="pct"/>
            <w:noWrap/>
            <w:hideMark/>
          </w:tcPr>
          <w:p w:rsidRPr="00C21F2B" w:rsidR="00F33E01" w:rsidP="00F33E01" w:rsidRDefault="00F33E01" w14:paraId="11C3E6BE"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48%</w:t>
            </w:r>
          </w:p>
        </w:tc>
        <w:tc>
          <w:tcPr>
            <w:tcW w:w="402" w:type="pct"/>
            <w:noWrap/>
            <w:hideMark/>
          </w:tcPr>
          <w:p w:rsidRPr="00C21F2B" w:rsidR="00F33E01" w:rsidP="00F33E01" w:rsidRDefault="00F33E01" w14:paraId="2377C212"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39%</w:t>
            </w:r>
          </w:p>
        </w:tc>
      </w:tr>
      <w:tr w:rsidRPr="00C21F2B" w:rsidR="00F33E01" w:rsidTr="00FC2172" w14:paraId="5DBC0E6B" w14:textId="77777777">
        <w:trPr>
          <w:trHeight w:val="300"/>
        </w:trPr>
        <w:tc>
          <w:tcPr>
            <w:cnfStyle w:val="001000000000" w:firstRow="0" w:lastRow="0" w:firstColumn="1" w:lastColumn="0" w:oddVBand="0" w:evenVBand="0" w:oddHBand="0" w:evenHBand="0" w:firstRowFirstColumn="0" w:firstRowLastColumn="0" w:lastRowFirstColumn="0" w:lastRowLastColumn="0"/>
            <w:tcW w:w="3720" w:type="pct"/>
            <w:noWrap/>
            <w:vAlign w:val="center"/>
            <w:hideMark/>
          </w:tcPr>
          <w:p w:rsidRPr="00C21F2B" w:rsidR="00F33E01" w:rsidP="00F33E01" w:rsidRDefault="00F33E01" w14:paraId="3ACE4255"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Het technologisch onderwijs in de onderwijsketen po-vmbo-mbo sluit beter aan</w:t>
            </w:r>
          </w:p>
        </w:tc>
        <w:tc>
          <w:tcPr>
            <w:tcW w:w="475" w:type="pct"/>
            <w:noWrap/>
            <w:hideMark/>
          </w:tcPr>
          <w:p w:rsidRPr="00C21F2B" w:rsidR="00F33E01" w:rsidP="00F33E01" w:rsidRDefault="00F33E01" w14:paraId="15D3849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42%</w:t>
            </w:r>
          </w:p>
        </w:tc>
        <w:tc>
          <w:tcPr>
            <w:tcW w:w="403" w:type="pct"/>
            <w:noWrap/>
            <w:hideMark/>
          </w:tcPr>
          <w:p w:rsidRPr="00C21F2B" w:rsidR="00F33E01" w:rsidP="00F33E01" w:rsidRDefault="00F33E01" w14:paraId="6E920977"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44%</w:t>
            </w:r>
          </w:p>
        </w:tc>
        <w:tc>
          <w:tcPr>
            <w:tcW w:w="402" w:type="pct"/>
            <w:noWrap/>
            <w:hideMark/>
          </w:tcPr>
          <w:p w:rsidRPr="00C21F2B" w:rsidR="00F33E01" w:rsidP="00F33E01" w:rsidRDefault="00F33E01" w14:paraId="7382030D"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34%</w:t>
            </w:r>
          </w:p>
        </w:tc>
      </w:tr>
      <w:tr w:rsidRPr="00C21F2B" w:rsidR="00F33E01" w:rsidTr="00FC2172" w14:paraId="2669B72C" w14:textId="77777777">
        <w:trPr>
          <w:trHeight w:val="300"/>
        </w:trPr>
        <w:tc>
          <w:tcPr>
            <w:cnfStyle w:val="001000000000" w:firstRow="0" w:lastRow="0" w:firstColumn="1" w:lastColumn="0" w:oddVBand="0" w:evenVBand="0" w:oddHBand="0" w:evenHBand="0" w:firstRowFirstColumn="0" w:firstRowLastColumn="0" w:lastRowFirstColumn="0" w:lastRowLastColumn="0"/>
            <w:tcW w:w="3720" w:type="pct"/>
            <w:noWrap/>
            <w:vAlign w:val="center"/>
            <w:hideMark/>
          </w:tcPr>
          <w:p w:rsidRPr="00C21F2B" w:rsidR="00F33E01" w:rsidP="00F33E01" w:rsidRDefault="00F33E01" w14:paraId="12821317"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Het techniekonderwijs is beter organiseerbaar geworden</w:t>
            </w:r>
          </w:p>
        </w:tc>
        <w:tc>
          <w:tcPr>
            <w:tcW w:w="475" w:type="pct"/>
            <w:noWrap/>
            <w:hideMark/>
          </w:tcPr>
          <w:p w:rsidRPr="00C21F2B" w:rsidR="00F33E01" w:rsidP="00F33E01" w:rsidRDefault="00F33E01" w14:paraId="2323024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40%</w:t>
            </w:r>
          </w:p>
        </w:tc>
        <w:tc>
          <w:tcPr>
            <w:tcW w:w="403" w:type="pct"/>
            <w:noWrap/>
            <w:hideMark/>
          </w:tcPr>
          <w:p w:rsidRPr="00C21F2B" w:rsidR="00F33E01" w:rsidP="00F33E01" w:rsidRDefault="00F33E01" w14:paraId="111ACB4A"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41%</w:t>
            </w:r>
          </w:p>
        </w:tc>
        <w:tc>
          <w:tcPr>
            <w:tcW w:w="402" w:type="pct"/>
            <w:noWrap/>
            <w:hideMark/>
          </w:tcPr>
          <w:p w:rsidRPr="00C21F2B" w:rsidR="00F33E01" w:rsidP="00F33E01" w:rsidRDefault="00F33E01" w14:paraId="4BF58E87"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35%</w:t>
            </w:r>
          </w:p>
        </w:tc>
      </w:tr>
      <w:tr w:rsidRPr="00C21F2B" w:rsidR="00F33E01" w:rsidTr="00FC2172" w14:paraId="6FCBFCE3" w14:textId="77777777">
        <w:trPr>
          <w:trHeight w:val="300"/>
        </w:trPr>
        <w:tc>
          <w:tcPr>
            <w:cnfStyle w:val="001000000000" w:firstRow="0" w:lastRow="0" w:firstColumn="1" w:lastColumn="0" w:oddVBand="0" w:evenVBand="0" w:oddHBand="0" w:evenHBand="0" w:firstRowFirstColumn="0" w:firstRowLastColumn="0" w:lastRowFirstColumn="0" w:lastRowLastColumn="0"/>
            <w:tcW w:w="3720" w:type="pct"/>
            <w:noWrap/>
            <w:vAlign w:val="center"/>
            <w:hideMark/>
          </w:tcPr>
          <w:p w:rsidRPr="00C21F2B" w:rsidR="00F33E01" w:rsidP="00F33E01" w:rsidRDefault="00F33E01" w14:paraId="40A4DC90"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Het techniekonderwijs is praktijkgerichter geworden/vindt meer buitenschools plaats</w:t>
            </w:r>
          </w:p>
        </w:tc>
        <w:tc>
          <w:tcPr>
            <w:tcW w:w="475" w:type="pct"/>
            <w:noWrap/>
            <w:hideMark/>
          </w:tcPr>
          <w:p w:rsidRPr="00C21F2B" w:rsidR="00F33E01" w:rsidP="00F33E01" w:rsidRDefault="00F33E01" w14:paraId="0FAE686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47%</w:t>
            </w:r>
          </w:p>
        </w:tc>
        <w:tc>
          <w:tcPr>
            <w:tcW w:w="403" w:type="pct"/>
            <w:noWrap/>
            <w:hideMark/>
          </w:tcPr>
          <w:p w:rsidRPr="00C21F2B" w:rsidR="00F33E01" w:rsidP="00F33E01" w:rsidRDefault="00F33E01" w14:paraId="30E7834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48%</w:t>
            </w:r>
          </w:p>
        </w:tc>
        <w:tc>
          <w:tcPr>
            <w:tcW w:w="402" w:type="pct"/>
            <w:noWrap/>
            <w:hideMark/>
          </w:tcPr>
          <w:p w:rsidRPr="00C21F2B" w:rsidR="00F33E01" w:rsidP="00F33E01" w:rsidRDefault="00F33E01" w14:paraId="3CA3B7B9"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44%</w:t>
            </w:r>
          </w:p>
        </w:tc>
      </w:tr>
      <w:tr w:rsidRPr="00C21F2B" w:rsidR="00F33E01" w:rsidTr="00FC2172" w14:paraId="7DD6A6A1" w14:textId="77777777">
        <w:trPr>
          <w:trHeight w:val="300"/>
        </w:trPr>
        <w:tc>
          <w:tcPr>
            <w:cnfStyle w:val="001000000000" w:firstRow="0" w:lastRow="0" w:firstColumn="1" w:lastColumn="0" w:oddVBand="0" w:evenVBand="0" w:oddHBand="0" w:evenHBand="0" w:firstRowFirstColumn="0" w:firstRowLastColumn="0" w:lastRowFirstColumn="0" w:lastRowLastColumn="0"/>
            <w:tcW w:w="3720" w:type="pct"/>
            <w:noWrap/>
            <w:vAlign w:val="center"/>
            <w:hideMark/>
          </w:tcPr>
          <w:p w:rsidRPr="00C21F2B" w:rsidR="00F33E01" w:rsidP="00F33E01" w:rsidRDefault="00F33E01" w14:paraId="7FB171A5"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De kwaliteit van de stage(plekken) is toegenomen</w:t>
            </w:r>
          </w:p>
        </w:tc>
        <w:tc>
          <w:tcPr>
            <w:tcW w:w="475" w:type="pct"/>
            <w:noWrap/>
            <w:hideMark/>
          </w:tcPr>
          <w:p w:rsidRPr="00C21F2B" w:rsidR="00F33E01" w:rsidP="00F33E01" w:rsidRDefault="00F33E01" w14:paraId="5561B76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28%</w:t>
            </w:r>
          </w:p>
        </w:tc>
        <w:tc>
          <w:tcPr>
            <w:tcW w:w="403" w:type="pct"/>
            <w:noWrap/>
            <w:hideMark/>
          </w:tcPr>
          <w:p w:rsidRPr="00C21F2B" w:rsidR="00F33E01" w:rsidP="00F33E01" w:rsidRDefault="00F33E01" w14:paraId="20C60359"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29%</w:t>
            </w:r>
          </w:p>
        </w:tc>
        <w:tc>
          <w:tcPr>
            <w:tcW w:w="402" w:type="pct"/>
            <w:noWrap/>
            <w:hideMark/>
          </w:tcPr>
          <w:p w:rsidRPr="00C21F2B" w:rsidR="00F33E01" w:rsidP="00F33E01" w:rsidRDefault="00F33E01" w14:paraId="677B3CC1"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22%</w:t>
            </w:r>
          </w:p>
        </w:tc>
      </w:tr>
      <w:tr w:rsidRPr="00C21F2B" w:rsidR="00F33E01" w:rsidTr="00FC2172" w14:paraId="2CE1067B" w14:textId="77777777">
        <w:trPr>
          <w:trHeight w:val="300"/>
        </w:trPr>
        <w:tc>
          <w:tcPr>
            <w:cnfStyle w:val="001000000000" w:firstRow="0" w:lastRow="0" w:firstColumn="1" w:lastColumn="0" w:oddVBand="0" w:evenVBand="0" w:oddHBand="0" w:evenHBand="0" w:firstRowFirstColumn="0" w:firstRowLastColumn="0" w:lastRowFirstColumn="0" w:lastRowLastColumn="0"/>
            <w:tcW w:w="3720" w:type="pct"/>
            <w:noWrap/>
            <w:vAlign w:val="center"/>
            <w:hideMark/>
          </w:tcPr>
          <w:p w:rsidRPr="00C21F2B" w:rsidR="00F33E01" w:rsidP="00F33E01" w:rsidRDefault="00F33E01" w14:paraId="2EC36B9F" w14:textId="77777777">
            <w:pPr>
              <w:pStyle w:val="SEOStandaard"/>
              <w:spacing w:line="240" w:lineRule="auto"/>
              <w:jc w:val="left"/>
              <w:rPr>
                <w:rFonts w:ascii="Trebuchet MS" w:hAnsi="Trebuchet MS"/>
                <w:sz w:val="18"/>
                <w:szCs w:val="18"/>
              </w:rPr>
            </w:pPr>
            <w:r w:rsidRPr="00C21F2B">
              <w:rPr>
                <w:rFonts w:ascii="Trebuchet MS" w:hAnsi="Trebuchet MS"/>
                <w:sz w:val="18"/>
                <w:szCs w:val="18"/>
              </w:rPr>
              <w:t>Andere impact, namelijk</w:t>
            </w:r>
          </w:p>
        </w:tc>
        <w:tc>
          <w:tcPr>
            <w:tcW w:w="475" w:type="pct"/>
            <w:noWrap/>
            <w:hideMark/>
          </w:tcPr>
          <w:p w:rsidRPr="00C21F2B" w:rsidR="00F33E01" w:rsidP="00F33E01" w:rsidRDefault="00F33E01" w14:paraId="1A04736D"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17%</w:t>
            </w:r>
          </w:p>
        </w:tc>
        <w:tc>
          <w:tcPr>
            <w:tcW w:w="403" w:type="pct"/>
            <w:noWrap/>
            <w:hideMark/>
          </w:tcPr>
          <w:p w:rsidRPr="00C21F2B" w:rsidR="00F33E01" w:rsidP="00F33E01" w:rsidRDefault="00F33E01" w14:paraId="37CCED12"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19%</w:t>
            </w:r>
          </w:p>
        </w:tc>
        <w:tc>
          <w:tcPr>
            <w:tcW w:w="402" w:type="pct"/>
            <w:noWrap/>
            <w:hideMark/>
          </w:tcPr>
          <w:p w:rsidRPr="00C21F2B" w:rsidR="00F33E01" w:rsidP="00F33E01" w:rsidRDefault="00F33E01" w14:paraId="4BAFA886"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C21F2B">
              <w:rPr>
                <w:rFonts w:ascii="Trebuchet MS" w:hAnsi="Trebuchet MS"/>
                <w:sz w:val="18"/>
                <w:szCs w:val="18"/>
              </w:rPr>
              <w:t>15%</w:t>
            </w:r>
          </w:p>
        </w:tc>
      </w:tr>
    </w:tbl>
    <w:p w:rsidRPr="003A4D92" w:rsidR="00F33E01" w:rsidP="003A4D92" w:rsidRDefault="003A4D92" w14:paraId="4FC26271" w14:textId="51A7CB0D">
      <w:pPr>
        <w:pStyle w:val="SEOBron"/>
        <w:numPr>
          <w:ilvl w:val="0"/>
          <w:numId w:val="0"/>
        </w:numPr>
        <w:rPr>
          <w:rFonts w:ascii="Trebuchet MS" w:hAnsi="Trebuchet MS"/>
          <w:color w:val="auto"/>
          <w:szCs w:val="18"/>
        </w:rPr>
      </w:pPr>
      <w:r w:rsidRPr="003A4D92">
        <w:rPr>
          <w:rFonts w:ascii="Trebuchet MS" w:hAnsi="Trebuchet MS"/>
          <w:color w:val="auto"/>
          <w:szCs w:val="18"/>
        </w:rPr>
        <w:t xml:space="preserve">Bron: </w:t>
      </w:r>
      <w:r w:rsidRPr="003A4D92" w:rsidR="00F33E01">
        <w:rPr>
          <w:rFonts w:ascii="Trebuchet MS" w:hAnsi="Trebuchet MS"/>
          <w:color w:val="auto"/>
          <w:szCs w:val="18"/>
        </w:rPr>
        <w:t>Enquête lesgevenden bovenbouw vmbo (februari-mei 2025). % (helemaal) mee eens. * geeft significant verschil weer tussen lesgevenden van technisch vak en lesgevenden van niet-technisch vak.</w:t>
      </w:r>
    </w:p>
    <w:p w:rsidR="00446881" w:rsidP="00446881" w:rsidRDefault="00446881" w14:paraId="777C6BCA" w14:textId="77777777">
      <w:pPr>
        <w:pStyle w:val="SEOStandaard"/>
        <w:rPr>
          <w:rFonts w:ascii="Trebuchet MS" w:hAnsi="Trebuchet MS"/>
          <w:color w:val="auto"/>
          <w:sz w:val="18"/>
          <w:szCs w:val="18"/>
        </w:rPr>
      </w:pPr>
      <w:r w:rsidRPr="003A4D92">
        <w:rPr>
          <w:rFonts w:ascii="Trebuchet MS" w:hAnsi="Trebuchet MS"/>
          <w:color w:val="auto"/>
          <w:sz w:val="18"/>
          <w:szCs w:val="18"/>
        </w:rPr>
        <w:t xml:space="preserve">Bijna 5 op de 10 lesgevenden geeft aan dat door STO het techniekonderwijs meer is afgestemd op actuele (regionale) ontwikkelingen, praktijkgerichter is geworden (meer buitenschools plaatsvindt) en beter aansluit in de keten po-vmbo-mbo. Ongeveer 4 op 10 geeft dit aan voor technologisch onderwijs. Ditzelfde percentage zien we ook voor de betere organiseerbaarheid van techniekonderwijs. De kwaliteit van stage(plekken) is volgens bijna een op de drie lesgevenden toegenomen, terwijl een vijfde het hier (helemaal) mee oneens is. </w:t>
      </w:r>
    </w:p>
    <w:p w:rsidRPr="00C21F2B" w:rsidR="00446881" w:rsidP="00446881" w:rsidRDefault="00446881" w14:paraId="7B4016CC" w14:textId="77777777">
      <w:pPr>
        <w:pStyle w:val="SEOStandaard"/>
        <w:numPr>
          <w:ilvl w:val="0"/>
          <w:numId w:val="0"/>
        </w:numPr>
        <w:rPr>
          <w:rFonts w:ascii="Trebuchet MS" w:hAnsi="Trebuchet MS"/>
          <w:sz w:val="18"/>
          <w:szCs w:val="18"/>
        </w:rPr>
      </w:pPr>
    </w:p>
    <w:p w:rsidRPr="009A1AC3" w:rsidR="00F33E01" w:rsidP="009A1AC3" w:rsidRDefault="00F33E01" w14:paraId="75477F9E" w14:textId="6FD88346">
      <w:pPr>
        <w:pStyle w:val="SEOStandaard"/>
        <w:rPr>
          <w:rFonts w:ascii="Trebuchet MS" w:hAnsi="Trebuchet MS"/>
          <w:color w:val="auto"/>
          <w:sz w:val="18"/>
          <w:szCs w:val="18"/>
        </w:rPr>
      </w:pPr>
      <w:r w:rsidRPr="003A4D92">
        <w:rPr>
          <w:rFonts w:ascii="Trebuchet MS" w:hAnsi="Trebuchet MS"/>
          <w:color w:val="auto"/>
          <w:sz w:val="18"/>
          <w:szCs w:val="18"/>
        </w:rPr>
        <w:t>Samenvattend laat deze paragraaf zien dat lesgevenden door STO positieve veranderingen signaleren op het gebied van LOB en techniek-/technologisch onderwijs, met name in meer praktijkervaringen voor leerlingen, beter zicht op beroepen en een bewustere vervolgkeuze. Ook wordt vaker praktijkgericht onderwijs en betere aansluiting binnen de onderwijsketen genoemd, vooral door lesgevenden in technische vakken. Tegelijkertijd blijven verbeteringen in ouderbetrokkenheid, reflectie op praktijkervaringen en aandacht voor verwachtingspatronen daarbij achter. De impact van STO wordt hier dus vooral gezien in de verbinding met de praktijk en actualiteit, aan de andere kant lopen verdiepende begeleiding en betrokkenheid van ouders daar nog wat op achter.</w:t>
      </w:r>
    </w:p>
    <w:p w:rsidRPr="00C21F2B" w:rsidR="00F33E01" w:rsidP="00F33E01" w:rsidRDefault="00F33E01" w14:paraId="3FF73E88" w14:textId="77777777">
      <w:pPr>
        <w:pStyle w:val="SEOStandaard"/>
        <w:rPr>
          <w:rFonts w:ascii="Trebuchet MS" w:hAnsi="Trebuchet MS"/>
          <w:sz w:val="18"/>
          <w:szCs w:val="18"/>
        </w:rPr>
      </w:pPr>
    </w:p>
    <w:p w:rsidRPr="00C21F2B" w:rsidR="00F33E01" w:rsidP="00E31E99" w:rsidRDefault="00F33E01" w14:paraId="3BBA7606" w14:textId="77777777">
      <w:pPr>
        <w:pStyle w:val="Kop2"/>
      </w:pPr>
      <w:bookmarkStart w:name="_Toc198625157" w:id="60"/>
      <w:bookmarkStart w:name="_Toc203573590" w:id="61"/>
      <w:bookmarkStart w:name="_Hlk199158247" w:id="62"/>
      <w:r w:rsidRPr="00C21F2B">
        <w:t>Lesgevenden aan het woord over de impact van STO</w:t>
      </w:r>
      <w:bookmarkEnd w:id="60"/>
      <w:bookmarkEnd w:id="61"/>
    </w:p>
    <w:bookmarkEnd w:id="62"/>
    <w:p w:rsidRPr="00C21F2B" w:rsidR="00F33E01" w:rsidP="00F33E01" w:rsidRDefault="00F33E01" w14:paraId="7B4EA223" w14:textId="77777777">
      <w:pPr>
        <w:jc w:val="both"/>
        <w:rPr>
          <w:szCs w:val="18"/>
        </w:rPr>
      </w:pPr>
      <w:r w:rsidRPr="00C21F2B">
        <w:rPr>
          <w:szCs w:val="18"/>
        </w:rPr>
        <w:t xml:space="preserve">Aan het slot van de vragenlijst is aan de invullers een aantal open vragen voorgelegd. Daarin is gevraagd naar de mening van de invullers over de impact van activiteiten die in het programma Sterk Techniekonderwijs zijn ondernomen. </w:t>
      </w:r>
    </w:p>
    <w:p w:rsidRPr="00C21F2B" w:rsidR="00F33E01" w:rsidP="00F33E01" w:rsidRDefault="00F33E01" w14:paraId="12AF1061" w14:textId="77777777">
      <w:pPr>
        <w:jc w:val="both"/>
      </w:pPr>
      <w:r>
        <w:t>In totaal hebben 241 lesgevenden deze vragen beantwoord, 203 lesgevenden in een technisch vak en 38 lesgevenden in een niet-technisch vak. De lesgevenden in een niet-technisch vak geven af en toe aan, dat ze minder zicht hebben op wat er in STO gebeurt.</w:t>
      </w:r>
    </w:p>
    <w:p w:rsidR="27A1E800" w:rsidP="27A1E800" w:rsidRDefault="27A1E800" w14:paraId="74FE89E4" w14:textId="5097937A">
      <w:pPr>
        <w:jc w:val="both"/>
      </w:pPr>
    </w:p>
    <w:p w:rsidRPr="00C21F2B" w:rsidR="00F33E01" w:rsidP="00426692" w:rsidRDefault="00F33E01" w14:paraId="61140FDC" w14:textId="77777777">
      <w:pPr>
        <w:pStyle w:val="Lijstalinea"/>
        <w:numPr>
          <w:ilvl w:val="0"/>
          <w:numId w:val="45"/>
        </w:numPr>
        <w:spacing w:after="160" w:line="278" w:lineRule="auto"/>
        <w:jc w:val="both"/>
        <w:rPr>
          <w:szCs w:val="18"/>
        </w:rPr>
      </w:pPr>
      <w:r w:rsidRPr="00C21F2B">
        <w:rPr>
          <w:szCs w:val="18"/>
        </w:rPr>
        <w:t>Belangrijkste verandering door STO voor docenten zelf</w:t>
      </w:r>
    </w:p>
    <w:p w:rsidR="00F33E01" w:rsidP="00F33E01" w:rsidRDefault="00F33E01" w14:paraId="59B154B8" w14:textId="77777777">
      <w:pPr>
        <w:jc w:val="both"/>
        <w:rPr>
          <w:rFonts w:cs="Calibri"/>
          <w:szCs w:val="18"/>
        </w:rPr>
      </w:pPr>
      <w:r w:rsidRPr="00C21F2B">
        <w:rPr>
          <w:szCs w:val="18"/>
        </w:rPr>
        <w:t xml:space="preserve">Lesgevenden noemen vaak meerdere veranderingen die zijn opgetreden door STO en niet zelden hangen die veranderingen ook samen. Gevraagd naar wat lesgevenden als </w:t>
      </w:r>
      <w:r w:rsidRPr="00C21F2B">
        <w:rPr>
          <w:rFonts w:cs="Calibri"/>
          <w:szCs w:val="18"/>
        </w:rPr>
        <w:t xml:space="preserve">belangrijkste verandering voor henzelf hebben ervaren, als gevolg van de deelname van de school aan Sterk Techniekonderwijs antwoordt de overgrote meerderheid, dat STO heeft gezorgd voor </w:t>
      </w:r>
      <w:r w:rsidRPr="00C21F2B">
        <w:rPr>
          <w:rFonts w:cs="Calibri"/>
          <w:b/>
          <w:bCs/>
          <w:szCs w:val="18"/>
        </w:rPr>
        <w:t>middelen</w:t>
      </w:r>
      <w:r w:rsidRPr="00C21F2B">
        <w:rPr>
          <w:rFonts w:cs="Calibri"/>
          <w:szCs w:val="18"/>
        </w:rPr>
        <w:t xml:space="preserve">, waarmee een </w:t>
      </w:r>
      <w:r w:rsidRPr="00C21F2B">
        <w:rPr>
          <w:rFonts w:cs="Calibri"/>
          <w:b/>
          <w:bCs/>
          <w:szCs w:val="18"/>
        </w:rPr>
        <w:t>rijkere en meer moderne/actuele leeromgeving</w:t>
      </w:r>
      <w:r w:rsidRPr="00C21F2B">
        <w:rPr>
          <w:rFonts w:cs="Calibri"/>
          <w:szCs w:val="18"/>
        </w:rPr>
        <w:t xml:space="preserve"> is ingericht. Er zijn technolabs binnen of buiten de school en/of nieuwe lokalen ingericht en verbouwd, er zijn </w:t>
      </w:r>
      <w:r w:rsidRPr="00C21F2B">
        <w:rPr>
          <w:rFonts w:cs="Calibri"/>
          <w:szCs w:val="18"/>
        </w:rPr>
        <w:lastRenderedPageBreak/>
        <w:t>modernere faciliteiten, machines en gereedschappen, waar naast de leerlingen van technische profielen ook andere leerlingen (van po, onderbouw, andere profielen, vso, pro) van kunnen profiteren. Er heeft in de school in de woorden van een docent: “…</w:t>
      </w:r>
      <w:r w:rsidRPr="00C21F2B">
        <w:rPr>
          <w:rFonts w:cs="Calibri"/>
          <w:i/>
          <w:iCs/>
          <w:szCs w:val="18"/>
        </w:rPr>
        <w:t xml:space="preserve"> echt een professionele inhaalslag plaatsgevonden.</w:t>
      </w:r>
      <w:r w:rsidRPr="00C21F2B">
        <w:rPr>
          <w:rFonts w:cs="Calibri"/>
          <w:szCs w:val="18"/>
        </w:rPr>
        <w:t xml:space="preserve">” </w:t>
      </w:r>
      <w:r w:rsidRPr="00C21F2B">
        <w:rPr>
          <w:rFonts w:cs="Calibri"/>
          <w:i/>
          <w:iCs/>
          <w:szCs w:val="18"/>
        </w:rPr>
        <w:t xml:space="preserve">“Techlab is een verrijking voor de regio, VEEEEEL meer basisschoolleerlingen en onderbouwleerlingen van het vo komen zo in aanraking met praktische vakken en dus vaardigheden/kennis (..).” </w:t>
      </w:r>
      <w:r w:rsidRPr="00C21F2B">
        <w:rPr>
          <w:rFonts w:cs="Calibri"/>
          <w:szCs w:val="18"/>
        </w:rPr>
        <w:t>De nieuwe leeromgevingen hebben een positieve impact op zowel docenten als leerlingen, zo stelt men. Met de middelen is ook een groter techniekaanbod gerealiseerd, konden er projecten worden uitgevoerd, zijn er extra mensen aangesteld en was er tijd en ruimte, bijvoorbeeld “</w:t>
      </w:r>
      <w:r w:rsidRPr="00C21F2B">
        <w:rPr>
          <w:rFonts w:cs="Calibri"/>
          <w:i/>
          <w:iCs/>
          <w:szCs w:val="18"/>
        </w:rPr>
        <w:t>voor het ontwikkelen en integreren van nieuwe technieken in de huidige lessen (zoals bv. AI) en het opleiden van onbevoegde docenten</w:t>
      </w:r>
      <w:r w:rsidRPr="00C21F2B">
        <w:rPr>
          <w:rFonts w:cs="Calibri"/>
          <w:szCs w:val="18"/>
        </w:rPr>
        <w:t xml:space="preserve">.” </w:t>
      </w:r>
    </w:p>
    <w:p w:rsidRPr="00C21F2B" w:rsidR="00F33E01" w:rsidP="00F33E01" w:rsidRDefault="00F33E01" w14:paraId="068C26F9" w14:textId="77777777">
      <w:pPr>
        <w:jc w:val="both"/>
        <w:rPr>
          <w:rFonts w:cs="Calibri"/>
          <w:szCs w:val="18"/>
        </w:rPr>
      </w:pPr>
    </w:p>
    <w:p w:rsidR="00F33E01" w:rsidP="00F33E01" w:rsidRDefault="00F33E01" w14:paraId="030C02F8" w14:textId="77777777">
      <w:pPr>
        <w:jc w:val="both"/>
        <w:rPr>
          <w:rFonts w:cs="Calibri"/>
          <w:szCs w:val="18"/>
        </w:rPr>
      </w:pPr>
      <w:r w:rsidRPr="00C21F2B">
        <w:rPr>
          <w:rFonts w:cs="Calibri"/>
          <w:szCs w:val="18"/>
        </w:rPr>
        <w:t xml:space="preserve">Een tweede categorie antwoorden gaat over veranderingen in het </w:t>
      </w:r>
      <w:r w:rsidRPr="00C21F2B">
        <w:rPr>
          <w:rFonts w:cs="Calibri"/>
          <w:b/>
          <w:bCs/>
          <w:szCs w:val="18"/>
        </w:rPr>
        <w:t>onderwijsprogramma</w:t>
      </w:r>
      <w:r w:rsidRPr="00C21F2B">
        <w:rPr>
          <w:rFonts w:cs="Calibri"/>
          <w:szCs w:val="18"/>
        </w:rPr>
        <w:t xml:space="preserve">, dat een aantal docenten als </w:t>
      </w:r>
      <w:r w:rsidRPr="00C21F2B">
        <w:rPr>
          <w:rFonts w:cs="Calibri"/>
          <w:i/>
          <w:iCs/>
          <w:szCs w:val="18"/>
        </w:rPr>
        <w:t>verrijkt</w:t>
      </w:r>
      <w:r w:rsidRPr="00C21F2B">
        <w:rPr>
          <w:rFonts w:cs="Calibri"/>
          <w:szCs w:val="18"/>
        </w:rPr>
        <w:t xml:space="preserve"> beschrijft. Er is een ruimer, meer actueel en gevarieerd aanbod voor leerlingen en het techniekonderwijs wordt aangeduid als meer “contextrijk”. Meer dan voorheen zijn er mogelijkheden om de lesstof en de praktijk te verbinden, zo stellen docenten. Buitenschools leren heeft een vlucht genomen, er wordt vaker gewerkt met echte opdrachtgevers, er zijn gastlessen en er worden bedrijfsbezoeken afgelegd, doordat de contacten met bedrijven, instellingen, bedrijfsvakscholen en mbo zijn toegenomen. Daarnaast worden nieuwe keuzevakken en uitbreiding van keuzevakken genoemd, die soms ook buitenschools worden uitgevoerd. In één adem wordt vaak genoemd dat door het nieuwe programma en de activiteiten ook LOB een praktischer karakter krijgt en dat leerlingen mogelijkheden hebben om meer te kiezen, zich breder te oriënteren en beter de mogelijkheden in de techniek kunnen ontdekken.  </w:t>
      </w:r>
    </w:p>
    <w:p w:rsidRPr="00C21F2B" w:rsidR="00F33E01" w:rsidP="00F33E01" w:rsidRDefault="00F33E01" w14:paraId="1EDDF3CA" w14:textId="77777777">
      <w:pPr>
        <w:jc w:val="both"/>
        <w:rPr>
          <w:rFonts w:cs="Calibri"/>
          <w:szCs w:val="18"/>
        </w:rPr>
      </w:pPr>
    </w:p>
    <w:p w:rsidR="00F33E01" w:rsidP="00F33E01" w:rsidRDefault="00F33E01" w14:paraId="7EDA9BB0" w14:textId="77777777">
      <w:pPr>
        <w:jc w:val="both"/>
        <w:rPr>
          <w:rFonts w:cs="Calibri"/>
          <w:szCs w:val="18"/>
        </w:rPr>
      </w:pPr>
      <w:r w:rsidRPr="00C21F2B">
        <w:rPr>
          <w:rFonts w:cs="Calibri"/>
          <w:szCs w:val="18"/>
        </w:rPr>
        <w:t xml:space="preserve">Nagenoeg even groot is de categorie antwoorden die </w:t>
      </w:r>
      <w:r w:rsidRPr="00C21F2B">
        <w:rPr>
          <w:rFonts w:cs="Calibri"/>
          <w:b/>
          <w:bCs/>
          <w:szCs w:val="18"/>
        </w:rPr>
        <w:t>samenwerking, netwerkvorming en uitwisseling</w:t>
      </w:r>
      <w:r w:rsidRPr="00C21F2B">
        <w:rPr>
          <w:rFonts w:cs="Calibri"/>
          <w:szCs w:val="18"/>
        </w:rPr>
        <w:t xml:space="preserve"> als gemene deler hebben. Het netwerk van de docenten is uitgebreid. Er wordt meer samengewerkt met po, mbo, bedrijfsleven en andere vmbo-scholen: “</w:t>
      </w:r>
      <w:r w:rsidRPr="00C21F2B">
        <w:rPr>
          <w:rFonts w:cs="Calibri"/>
          <w:i/>
          <w:iCs/>
          <w:szCs w:val="18"/>
        </w:rPr>
        <w:t>Er wordt gewerkt aan kennisconstructie, zowel op de scholen als bovenschools.</w:t>
      </w:r>
      <w:r w:rsidRPr="00C21F2B">
        <w:rPr>
          <w:rFonts w:cs="Calibri"/>
          <w:szCs w:val="18"/>
        </w:rPr>
        <w:t>” Ook geven docenten aan meer uit te wisselen met collega’s van andere scholen. Contacten met bedrijven (en mbo) hebben ook ‘LOB-opbrengsten’, doordat leerlingen een beter beeld krijgen van toegepaste techniek in bedrijven.</w:t>
      </w:r>
    </w:p>
    <w:p w:rsidRPr="00C21F2B" w:rsidR="00F33E01" w:rsidP="00F33E01" w:rsidRDefault="00F33E01" w14:paraId="4546B2EA" w14:textId="77777777">
      <w:pPr>
        <w:jc w:val="both"/>
        <w:rPr>
          <w:rFonts w:cs="Calibri"/>
          <w:szCs w:val="18"/>
        </w:rPr>
      </w:pPr>
    </w:p>
    <w:p w:rsidR="00F33E01" w:rsidP="00F33E01" w:rsidRDefault="00F33E01" w14:paraId="2393A69A" w14:textId="444A97D8">
      <w:pPr>
        <w:jc w:val="both"/>
        <w:rPr>
          <w:rFonts w:cs="Calibri"/>
          <w:szCs w:val="18"/>
        </w:rPr>
      </w:pPr>
      <w:r w:rsidRPr="00C21F2B">
        <w:rPr>
          <w:rFonts w:cs="Calibri"/>
          <w:szCs w:val="18"/>
        </w:rPr>
        <w:t xml:space="preserve">Een deel van de docenten benoemt expliciet dat hun </w:t>
      </w:r>
      <w:r w:rsidRPr="00C21F2B">
        <w:rPr>
          <w:rFonts w:cs="Calibri"/>
          <w:b/>
          <w:bCs/>
          <w:szCs w:val="18"/>
        </w:rPr>
        <w:t>werk</w:t>
      </w:r>
      <w:r w:rsidRPr="00C21F2B">
        <w:rPr>
          <w:rFonts w:cs="Calibri"/>
          <w:szCs w:val="18"/>
        </w:rPr>
        <w:t xml:space="preserve"> door STO veranderd is: zo hebben ze bijvoorbeeld te maken met nieuwe collega’s, instructeurs of onderwijsassistenten. Een aantal vermeldt daardoor (bijvoorbeeld omdat de klassen kleiner zijn) meer tijd voor begeleiding en aandacht voor de leerlingen te hebben. Tegelijkertijd wordt vermeld dat nieuwe apparatuur ook om meer begeleiding vraagt. Regelmatig wordt opgemerkt dat het werk leuker en aantrekkelijker geworden is en meer voldoening geeft. Lesgevenden zien dat er meer aandacht is voor techniek, in de school en daarbuiten (“</w:t>
      </w:r>
      <w:r w:rsidRPr="00C21F2B">
        <w:rPr>
          <w:rFonts w:cs="Calibri"/>
          <w:i/>
          <w:iCs/>
          <w:szCs w:val="18"/>
        </w:rPr>
        <w:t>Techniek staat weer op de kaart</w:t>
      </w:r>
      <w:r w:rsidRPr="00C21F2B">
        <w:rPr>
          <w:rFonts w:cs="Calibri"/>
          <w:szCs w:val="18"/>
        </w:rPr>
        <w:t xml:space="preserve">”). Ze geven aan te merken dat po-leerlingen die het vmbo instromen al “meer techniekbewust’ zijn, ze signaleren meer instroom in de technische profielen en zien dat hun leerlingen meer doelgerichte keuzes maken. Ook zien ze meer (mogelijkheden voor) maatwerk voor leerlingen. Een handvol docenten geeft aan dat hun </w:t>
      </w:r>
      <w:r w:rsidRPr="00C21F2B">
        <w:rPr>
          <w:rFonts w:cs="Calibri"/>
          <w:b/>
          <w:bCs/>
          <w:szCs w:val="18"/>
        </w:rPr>
        <w:t>werkdruk</w:t>
      </w:r>
      <w:r w:rsidRPr="00C21F2B">
        <w:rPr>
          <w:rFonts w:cs="Calibri"/>
          <w:szCs w:val="18"/>
        </w:rPr>
        <w:t xml:space="preserve"> is toegenomen, waarbij een aantal malen het woord ‘overleg’ valt. Daarnaast is er een enkeling die het werk ‘onrustiger’ vindt door de aandacht voor STO. </w:t>
      </w:r>
    </w:p>
    <w:p w:rsidRPr="00C21F2B" w:rsidR="00F33E01" w:rsidP="00F33E01" w:rsidRDefault="00F33E01" w14:paraId="3B9625C6" w14:textId="77777777">
      <w:pPr>
        <w:jc w:val="both"/>
        <w:rPr>
          <w:rFonts w:cs="Calibri"/>
          <w:szCs w:val="18"/>
        </w:rPr>
      </w:pPr>
    </w:p>
    <w:p w:rsidR="00F33E01" w:rsidP="00F33E01" w:rsidRDefault="00F33E01" w14:paraId="726B2F7E" w14:textId="77777777">
      <w:pPr>
        <w:jc w:val="both"/>
        <w:rPr>
          <w:rFonts w:cs="Calibri"/>
          <w:szCs w:val="18"/>
        </w:rPr>
      </w:pPr>
      <w:r w:rsidRPr="00C21F2B">
        <w:rPr>
          <w:rFonts w:cs="Calibri"/>
          <w:szCs w:val="18"/>
        </w:rPr>
        <w:t xml:space="preserve">Tot slot is er een groep docenten die, gevraagd naar de voor hun belangrijkste verandering, wijzen op het toegenomen bewustzijn van </w:t>
      </w:r>
      <w:r w:rsidRPr="00C21F2B">
        <w:rPr>
          <w:rFonts w:cs="Calibri"/>
          <w:b/>
          <w:bCs/>
          <w:szCs w:val="18"/>
        </w:rPr>
        <w:t>de rol van het vmbo in/en de keten</w:t>
      </w:r>
      <w:r w:rsidRPr="00C21F2B">
        <w:rPr>
          <w:rFonts w:cs="Calibri"/>
          <w:szCs w:val="18"/>
        </w:rPr>
        <w:t>: “</w:t>
      </w:r>
      <w:r w:rsidRPr="00C21F2B">
        <w:rPr>
          <w:rFonts w:cs="Calibri"/>
          <w:i/>
          <w:iCs/>
          <w:szCs w:val="18"/>
        </w:rPr>
        <w:t>Door STO zijn we beter gaan nadenken over de voorlichtende rol die we hebben in het po. Door STO brengen we basisschoolleerlingen op een speelse manier in aanraking met techniek. Door STO ben ik me bewuster geworden van de doorlopende leerlijn po-vmbo-mbo</w:t>
      </w:r>
      <w:r w:rsidRPr="00C21F2B">
        <w:rPr>
          <w:rFonts w:cs="Calibri"/>
          <w:szCs w:val="18"/>
        </w:rPr>
        <w:t xml:space="preserve">.” Er wordt opgemerkt dat door STO de doorlopende leerlijn vmbo-mbo meer kans van slagen heeft. </w:t>
      </w:r>
    </w:p>
    <w:p w:rsidRPr="00C21F2B" w:rsidR="00F33E01" w:rsidP="00F33E01" w:rsidRDefault="00F33E01" w14:paraId="04B18AB6" w14:textId="77777777">
      <w:pPr>
        <w:jc w:val="both"/>
        <w:rPr>
          <w:rFonts w:cs="Calibri"/>
          <w:szCs w:val="18"/>
        </w:rPr>
      </w:pPr>
    </w:p>
    <w:p w:rsidR="00F33E01" w:rsidP="780653D5" w:rsidRDefault="00F33E01" w14:paraId="1509F4E7" w14:textId="4C0B97FE">
      <w:pPr>
        <w:jc w:val="both"/>
        <w:rPr>
          <w:rFonts w:cs="Calibri"/>
        </w:rPr>
      </w:pPr>
      <w:r w:rsidRPr="780653D5">
        <w:rPr>
          <w:rFonts w:cs="Calibri"/>
        </w:rPr>
        <w:t xml:space="preserve">Enkele lesgevenden in een technisch vak merken (nog) weinig van STO (één docent merkt op dat techniek op de eigen school al van een uitzonderlijk hoog niveau was). Bij de lesgevenden in een niet-technisch vak is dat aandeel groter; zij zijn soms niet actief betrokken bij STO. Toch zijn er ook docenten in een niet-technisch vak, die op voor hun belangrijke veranderingen door STO wijzen: op het gebied van samenwerking en kennisdeling met andere actoren, LOB, minder concurrentie met andere scholen en modernere faciliteiten waar ze gebruik van kunnen maken. Een enkele keer wordt er met lichte jaloezie of met enige zorg gekeken naar de middelen waarmee de techniekprofielen meer uitdagende lessen kunnen verzorgen en wellicht jongeren van andere profielen trekken. </w:t>
      </w:r>
    </w:p>
    <w:p w:rsidRPr="00C21F2B" w:rsidR="00F33E01" w:rsidP="00F33E01" w:rsidRDefault="00F33E01" w14:paraId="568A38A1" w14:textId="77777777">
      <w:pPr>
        <w:jc w:val="both"/>
        <w:rPr>
          <w:rFonts w:cs="Calibri"/>
          <w:szCs w:val="18"/>
        </w:rPr>
      </w:pPr>
    </w:p>
    <w:p w:rsidRPr="00C21F2B" w:rsidR="00F33E01" w:rsidP="00426692" w:rsidRDefault="00F33E01" w14:paraId="3A050CC6" w14:textId="77777777">
      <w:pPr>
        <w:pStyle w:val="Lijstalinea"/>
        <w:numPr>
          <w:ilvl w:val="0"/>
          <w:numId w:val="45"/>
        </w:numPr>
        <w:spacing w:after="160" w:line="278" w:lineRule="auto"/>
        <w:jc w:val="both"/>
        <w:rPr>
          <w:rFonts w:cs="Calibri"/>
          <w:szCs w:val="18"/>
        </w:rPr>
      </w:pPr>
      <w:r w:rsidRPr="00C21F2B">
        <w:rPr>
          <w:rFonts w:cs="Calibri"/>
          <w:szCs w:val="18"/>
        </w:rPr>
        <w:lastRenderedPageBreak/>
        <w:t>Bijdrage van de STO- activiteiten aan de motivatie van leerlingen</w:t>
      </w:r>
    </w:p>
    <w:p w:rsidR="00F33E01" w:rsidP="00F33E01" w:rsidRDefault="00F33E01" w14:paraId="4BDFA97D" w14:textId="77777777">
      <w:pPr>
        <w:jc w:val="both"/>
        <w:rPr>
          <w:rFonts w:cs="Calibri"/>
          <w:szCs w:val="18"/>
        </w:rPr>
      </w:pPr>
      <w:r w:rsidRPr="00C21F2B">
        <w:rPr>
          <w:rFonts w:cs="Calibri"/>
          <w:szCs w:val="18"/>
        </w:rPr>
        <w:t>‘</w:t>
      </w:r>
      <w:r w:rsidRPr="00C21F2B">
        <w:rPr>
          <w:rFonts w:cs="Calibri"/>
          <w:i/>
          <w:iCs/>
          <w:szCs w:val="18"/>
        </w:rPr>
        <w:t>Welke activiteiten, die in Sterk Techniekonderwijs worden uitgevoerd, dragen naar uw mening het meest bij aan de motivatie van leerlingen voor technisch onderwijs?</w:t>
      </w:r>
      <w:r w:rsidRPr="00C21F2B">
        <w:rPr>
          <w:rFonts w:cs="Calibri"/>
          <w:szCs w:val="18"/>
        </w:rPr>
        <w:t xml:space="preserve">’ luidde de tweede vraag aan lesgevenden. In de antwoorden springen twee categorieën eruit: op de eerste plaats het onderwijs zelf, dat onder STO </w:t>
      </w:r>
      <w:r w:rsidRPr="00C21F2B">
        <w:rPr>
          <w:rFonts w:cs="Calibri"/>
          <w:b/>
          <w:bCs/>
          <w:szCs w:val="18"/>
        </w:rPr>
        <w:t>praktijkgerichter, levensechter en uitdagender</w:t>
      </w:r>
      <w:r w:rsidRPr="00C21F2B">
        <w:rPr>
          <w:rFonts w:cs="Calibri"/>
          <w:szCs w:val="18"/>
        </w:rPr>
        <w:t xml:space="preserve"> geworden is. In dit verband worden genoemd worden projectonderwijs, vakkenoverstijgend onderwijs, nieuwe keuzevakken, het bezig zijn met innovatieve techniek in de lessen, meer aandacht voor zelf experimenteren, ontdekken en doen, en activiteiten als bouwen van raceauto’s, tiny houses en wedstrijden. In de tweede plaats gaat het om -daarmee samenhangend - de </w:t>
      </w:r>
      <w:r w:rsidRPr="00C21F2B">
        <w:rPr>
          <w:rFonts w:cs="Calibri"/>
          <w:b/>
          <w:bCs/>
          <w:szCs w:val="18"/>
        </w:rPr>
        <w:t>contacten met de praktijk/bedrijven</w:t>
      </w:r>
      <w:r w:rsidRPr="00C21F2B">
        <w:rPr>
          <w:rFonts w:cs="Calibri"/>
          <w:szCs w:val="18"/>
        </w:rPr>
        <w:t>: buitenschools leren, uitbreiding van leeromgevingen, het bezoeken van (opleidings)bedrijven, gastlessen, waardoor leerlingen een (door)kijkje krijgen in de echte bedrijfspraktijk. “</w:t>
      </w:r>
      <w:r w:rsidRPr="00C21F2B">
        <w:rPr>
          <w:rFonts w:cs="Calibri"/>
          <w:i/>
          <w:iCs/>
          <w:szCs w:val="18"/>
        </w:rPr>
        <w:t>LOB krijgt daardoor meer smoel</w:t>
      </w:r>
      <w:r w:rsidRPr="00C21F2B">
        <w:rPr>
          <w:rFonts w:cs="Calibri"/>
          <w:szCs w:val="18"/>
        </w:rPr>
        <w:t xml:space="preserve">”, zegt een docent. </w:t>
      </w:r>
    </w:p>
    <w:p w:rsidR="00F33E01" w:rsidP="00F33E01" w:rsidRDefault="00F33E01" w14:paraId="6F5337D1" w14:textId="77777777">
      <w:pPr>
        <w:jc w:val="both"/>
        <w:rPr>
          <w:rFonts w:cs="Calibri"/>
          <w:szCs w:val="18"/>
        </w:rPr>
      </w:pPr>
    </w:p>
    <w:p w:rsidR="00F33E01" w:rsidP="780653D5" w:rsidRDefault="00F33E01" w14:paraId="6EC7CD03" w14:textId="79286C76">
      <w:pPr>
        <w:jc w:val="both"/>
        <w:rPr>
          <w:rFonts w:cs="Calibri"/>
          <w:i/>
          <w:iCs/>
        </w:rPr>
      </w:pPr>
      <w:r w:rsidRPr="780653D5">
        <w:rPr>
          <w:rFonts w:cs="Calibri"/>
        </w:rPr>
        <w:t xml:space="preserve">Een bijzondere plaats daarbij nemen zij-instromers in die dicht bij de praktijk staan en vrouwelijke techniekdocenten als rolmodel voor meiden. Op de derde plaats noemen de docenten als meest motiverend voor leerlingen de </w:t>
      </w:r>
      <w:r w:rsidRPr="780653D5">
        <w:rPr>
          <w:rFonts w:cs="Calibri"/>
          <w:b/>
          <w:bCs/>
        </w:rPr>
        <w:t xml:space="preserve">modernere ruimtes, apparaten en gereedschappen </w:t>
      </w:r>
      <w:r w:rsidRPr="780653D5">
        <w:rPr>
          <w:rFonts w:cs="Calibri"/>
        </w:rPr>
        <w:t>waardoor leerlingen bezig kunnen zijn met de moderne technieken als 3D-printen, robotica, AI, VR, lasersnijden, etc.: “</w:t>
      </w:r>
      <w:r w:rsidRPr="780653D5">
        <w:rPr>
          <w:rFonts w:cs="Calibri"/>
          <w:i/>
          <w:iCs/>
        </w:rPr>
        <w:t>Mooiere spullen in de school of werkplaats, dat vinden leerlingen voor dat moment aantrekkelijk</w:t>
      </w:r>
      <w:r w:rsidRPr="780653D5">
        <w:rPr>
          <w:rFonts w:cs="Calibri"/>
        </w:rPr>
        <w:t>.” “</w:t>
      </w:r>
      <w:r w:rsidRPr="780653D5">
        <w:rPr>
          <w:rFonts w:cs="Calibri"/>
          <w:i/>
          <w:iCs/>
        </w:rPr>
        <w:t>Mooie en moderne machines/gereedschappen is het eerste waar leerlingen mee in aanraking komen.”</w:t>
      </w:r>
    </w:p>
    <w:p w:rsidRPr="00C21F2B" w:rsidR="00F33E01" w:rsidP="00F33E01" w:rsidRDefault="00F33E01" w14:paraId="0A2F2BE2" w14:textId="77777777">
      <w:pPr>
        <w:jc w:val="both"/>
        <w:rPr>
          <w:rFonts w:cs="Calibri"/>
          <w:szCs w:val="18"/>
        </w:rPr>
      </w:pPr>
    </w:p>
    <w:p w:rsidR="00F33E01" w:rsidP="00F33E01" w:rsidRDefault="00F33E01" w14:paraId="0210D811" w14:textId="77777777">
      <w:pPr>
        <w:jc w:val="both"/>
        <w:rPr>
          <w:rFonts w:cs="Calibri"/>
          <w:szCs w:val="18"/>
        </w:rPr>
      </w:pPr>
      <w:r w:rsidRPr="00C21F2B">
        <w:rPr>
          <w:rFonts w:cs="Calibri"/>
          <w:szCs w:val="18"/>
        </w:rPr>
        <w:t xml:space="preserve">Verder worden </w:t>
      </w:r>
      <w:r w:rsidRPr="00C21F2B">
        <w:rPr>
          <w:rFonts w:cs="Calibri"/>
          <w:b/>
          <w:bCs/>
          <w:szCs w:val="18"/>
        </w:rPr>
        <w:t>evenementen</w:t>
      </w:r>
      <w:r w:rsidRPr="00C21F2B">
        <w:rPr>
          <w:rFonts w:cs="Calibri"/>
          <w:szCs w:val="18"/>
        </w:rPr>
        <w:t xml:space="preserve"> als Techniek Tastbaar, eigen evenementen, doe-dagen en beurzen als motiverend genoemd om de belangstelling voor techniek te wekken en aandacht te besteden aan een (breder en moderner) beeld van techniek, zowel voor basisschool- als vmbo-leerlingen als hun ouders. Een groep docenten geeft aan dat het zaadje voor techniek al vóór het vmbo geplant moet worden, in het po en de onderbouw, óók voor leerlingen die naar de havo of het vwo gaan. Daarin vervullen technolabs bv een rol. Een kleiner deel noemt contacten met het mbo en daarbinnen ook de </w:t>
      </w:r>
      <w:r w:rsidRPr="00C21F2B">
        <w:rPr>
          <w:rFonts w:cs="Calibri"/>
          <w:b/>
          <w:bCs/>
          <w:szCs w:val="18"/>
        </w:rPr>
        <w:t>doorlopende leerlijn</w:t>
      </w:r>
      <w:r w:rsidRPr="00C21F2B">
        <w:rPr>
          <w:rFonts w:cs="Calibri"/>
          <w:szCs w:val="18"/>
        </w:rPr>
        <w:t xml:space="preserve"> als meest motiverend voor leerlingen. Tot slot is er een kleine groep leerlingen die het ‘totaalpakket’ of ‘totaalplaatje’ van STO (dus de combinatie van activiteiten binnen- en buitenschools) het meest motiverend vindt voor leerlingen. </w:t>
      </w:r>
    </w:p>
    <w:p w:rsidRPr="00C21F2B" w:rsidR="00F33E01" w:rsidP="00F33E01" w:rsidRDefault="00F33E01" w14:paraId="6BE4A3CA" w14:textId="77777777">
      <w:pPr>
        <w:jc w:val="both"/>
        <w:rPr>
          <w:rFonts w:cs="Calibri"/>
          <w:szCs w:val="18"/>
        </w:rPr>
      </w:pPr>
    </w:p>
    <w:p w:rsidRPr="00C21F2B" w:rsidR="00F33E01" w:rsidP="00426692" w:rsidRDefault="00F33E01" w14:paraId="5B3DADE9" w14:textId="77777777">
      <w:pPr>
        <w:pStyle w:val="Lijstalinea"/>
        <w:numPr>
          <w:ilvl w:val="0"/>
          <w:numId w:val="45"/>
        </w:numPr>
        <w:spacing w:after="160" w:line="278" w:lineRule="auto"/>
        <w:jc w:val="both"/>
        <w:rPr>
          <w:rFonts w:cs="Calibri"/>
          <w:szCs w:val="18"/>
        </w:rPr>
      </w:pPr>
      <w:r w:rsidRPr="00C21F2B">
        <w:rPr>
          <w:rFonts w:cs="Calibri"/>
          <w:szCs w:val="18"/>
        </w:rPr>
        <w:t>Bijdrage van STO-activiteiten aan de eigen motivatie van de docent</w:t>
      </w:r>
    </w:p>
    <w:p w:rsidR="00F33E01" w:rsidP="00F33E01" w:rsidRDefault="00F33E01" w14:paraId="6845A427" w14:textId="77777777">
      <w:pPr>
        <w:jc w:val="both"/>
        <w:rPr>
          <w:rFonts w:cs="Calibri"/>
          <w:szCs w:val="18"/>
        </w:rPr>
      </w:pPr>
      <w:r w:rsidRPr="00C21F2B">
        <w:rPr>
          <w:rFonts w:cs="Calibri"/>
          <w:szCs w:val="18"/>
        </w:rPr>
        <w:t xml:space="preserve">Als het gaat om wat het meest bijdraagt aan hun eigen motivatie, zetten lesgevenden de </w:t>
      </w:r>
      <w:r w:rsidRPr="00C21F2B">
        <w:rPr>
          <w:rFonts w:cs="Calibri"/>
          <w:b/>
          <w:bCs/>
          <w:szCs w:val="18"/>
        </w:rPr>
        <w:t>beschikbaarheid en toegang tot moderne apparatuur, gereedschap, materialen en lokalen</w:t>
      </w:r>
      <w:r w:rsidRPr="00C21F2B">
        <w:rPr>
          <w:rFonts w:cs="Calibri"/>
          <w:szCs w:val="18"/>
        </w:rPr>
        <w:t xml:space="preserve"> voorop, die het mogelijk maken om in de lessen bezig te zijn met nieuwe technieken en onderwerpen en aansprekend onderwijs te maken. “Het kunnen werken met nieuwe innovatieve machines die mijn onderwijs verrijken.” “</w:t>
      </w:r>
      <w:r w:rsidRPr="00C21F2B">
        <w:rPr>
          <w:rFonts w:cs="Calibri"/>
          <w:i/>
          <w:iCs/>
          <w:szCs w:val="18"/>
        </w:rPr>
        <w:t>We lopen als school niet meer achter de feiten aan maar zijn vernieuwend</w:t>
      </w:r>
      <w:r w:rsidRPr="00C21F2B">
        <w:rPr>
          <w:rFonts w:cs="Calibri"/>
          <w:szCs w:val="18"/>
        </w:rPr>
        <w:t xml:space="preserve">”, stelt een docent. Daarin klinkt ook waardering voor het vak door. Bijna even groot is de groep docenten die de meeste motivatie haalt uit de </w:t>
      </w:r>
      <w:bookmarkStart w:name="_Hlk198064416" w:id="63"/>
      <w:r w:rsidRPr="00C21F2B">
        <w:rPr>
          <w:rFonts w:cs="Calibri"/>
          <w:b/>
          <w:bCs/>
          <w:szCs w:val="18"/>
        </w:rPr>
        <w:t>contacten met (opleidings)bedrijven en met andere vo-scholen</w:t>
      </w:r>
      <w:r w:rsidRPr="00C21F2B">
        <w:rPr>
          <w:rFonts w:cs="Calibri"/>
          <w:szCs w:val="18"/>
        </w:rPr>
        <w:t xml:space="preserve">. </w:t>
      </w:r>
      <w:bookmarkEnd w:id="63"/>
      <w:r w:rsidRPr="00C21F2B">
        <w:rPr>
          <w:rFonts w:cs="Calibri"/>
          <w:szCs w:val="18"/>
        </w:rPr>
        <w:t xml:space="preserve">Het gaat dan om inspiratie, leren van elkaar, maar ook </w:t>
      </w:r>
      <w:r w:rsidRPr="00C21F2B">
        <w:rPr>
          <w:rFonts w:cs="Calibri"/>
          <w:i/>
          <w:iCs/>
          <w:szCs w:val="18"/>
        </w:rPr>
        <w:t>samen</w:t>
      </w:r>
      <w:r w:rsidRPr="00C21F2B">
        <w:rPr>
          <w:rFonts w:cs="Calibri"/>
          <w:szCs w:val="18"/>
        </w:rPr>
        <w:t xml:space="preserve"> met andere collega’s of met bedrijven innovatief onderwijs maken. Docenten hechten ook aan de </w:t>
      </w:r>
      <w:r w:rsidRPr="00C21F2B">
        <w:rPr>
          <w:rFonts w:cs="Calibri"/>
          <w:b/>
          <w:bCs/>
          <w:szCs w:val="18"/>
        </w:rPr>
        <w:t>ondersteuning en tijd</w:t>
      </w:r>
      <w:r w:rsidRPr="00C21F2B">
        <w:rPr>
          <w:rFonts w:cs="Calibri"/>
          <w:szCs w:val="18"/>
        </w:rPr>
        <w:t xml:space="preserve"> die ze binnen STO krijgen, om lessen en projecten te ontwikkelen en het gegeven dat er op sommige plekken meer handen voor de klas zijn (bijvoorbeeld instructeurs of technische onderwijsassistenten). Voor het eerst wordt hier ook het onderwerp ‘</w:t>
      </w:r>
      <w:r w:rsidRPr="00C21F2B">
        <w:rPr>
          <w:rFonts w:cs="Calibri"/>
          <w:b/>
          <w:bCs/>
          <w:szCs w:val="18"/>
        </w:rPr>
        <w:t>scholing’</w:t>
      </w:r>
      <w:r w:rsidRPr="00C21F2B">
        <w:rPr>
          <w:rFonts w:cs="Calibri"/>
          <w:szCs w:val="18"/>
        </w:rPr>
        <w:t xml:space="preserve"> aangedragen als motiverend voor docenten, niet alleen formelere scholing rond nieuwe technieken, maar ook informeel leren van bedrijven en collega’s van andere scholen en docentenstages. Een wat kleinere groep duidt het </w:t>
      </w:r>
      <w:r w:rsidRPr="00C21F2B">
        <w:rPr>
          <w:rFonts w:cs="Calibri"/>
          <w:b/>
          <w:bCs/>
          <w:szCs w:val="18"/>
        </w:rPr>
        <w:t xml:space="preserve">enthousiasme, de motivatie en het leerplezier van leerlingen </w:t>
      </w:r>
      <w:r w:rsidRPr="00C21F2B">
        <w:rPr>
          <w:rFonts w:cs="Calibri"/>
          <w:szCs w:val="18"/>
        </w:rPr>
        <w:t>expliciet aan als motiverende factor (dit thema zit ook sterk verweven in het vernieuwde onderwijs en buitenschools leren): “</w:t>
      </w:r>
      <w:r w:rsidRPr="00C21F2B">
        <w:rPr>
          <w:rFonts w:cs="Calibri"/>
          <w:i/>
          <w:iCs/>
          <w:szCs w:val="18"/>
        </w:rPr>
        <w:t xml:space="preserve">Dat de leerlingen plezier ervaren en mijn lessen meer coachend worden. En daar word ik blij van. Gemotiveerde leerlingen zorgen voor een nog beter gemotiveerde docent.” </w:t>
      </w:r>
      <w:r w:rsidRPr="00C21F2B">
        <w:rPr>
          <w:rFonts w:cs="Calibri"/>
          <w:szCs w:val="18"/>
        </w:rPr>
        <w:t xml:space="preserve">Verder is er een groep docenten die hun </w:t>
      </w:r>
      <w:r w:rsidRPr="00C21F2B">
        <w:rPr>
          <w:rFonts w:cs="Calibri"/>
          <w:b/>
          <w:bCs/>
          <w:szCs w:val="18"/>
        </w:rPr>
        <w:t>rol in STO</w:t>
      </w:r>
      <w:r w:rsidRPr="00C21F2B">
        <w:rPr>
          <w:rFonts w:cs="Calibri"/>
          <w:szCs w:val="18"/>
        </w:rPr>
        <w:t xml:space="preserve">, binnenschools of buitenschools/regionaal inspirerend vindt. Het gaat dan bijvoorbeeld om meedenken in de regio en in een aantal gevallen om een nieuwe taak van de docent bij de contacten met het po. Daarbij vermeldt een docent: “Meer vrijheid om te onderzoeken wat opleidingen en keuzevakken mogelijk kunnen zijn voor de leerlingen.” Een handvol docenten bestempelt het werken aan </w:t>
      </w:r>
      <w:r w:rsidRPr="00C21F2B">
        <w:rPr>
          <w:rFonts w:cs="Calibri"/>
          <w:b/>
          <w:bCs/>
          <w:szCs w:val="18"/>
        </w:rPr>
        <w:t>doorlopende leerlijnen met het mbo</w:t>
      </w:r>
      <w:r w:rsidRPr="00C21F2B">
        <w:rPr>
          <w:rFonts w:cs="Calibri"/>
          <w:szCs w:val="18"/>
        </w:rPr>
        <w:t xml:space="preserve"> als motiverend en evenveel docenten kunnen niet één afzonderlijk element van STO aanwijzen, maar noemen het geheel motiverend, omdat het bijdraagt aan het beter op de kaart </w:t>
      </w:r>
      <w:r w:rsidRPr="00C21F2B">
        <w:rPr>
          <w:rFonts w:cs="Calibri"/>
          <w:szCs w:val="18"/>
        </w:rPr>
        <w:lastRenderedPageBreak/>
        <w:t xml:space="preserve">zetten van techniek en betere aansluiting: “ Alles, want als ik de leerlingen meer kan laten zien/voelen/proeven van mijn vakgebied maakt me dat gelukkig.” </w:t>
      </w:r>
    </w:p>
    <w:p w:rsidRPr="00C21F2B" w:rsidR="00F33E01" w:rsidP="00F33E01" w:rsidRDefault="00F33E01" w14:paraId="03B851E7" w14:textId="77777777">
      <w:pPr>
        <w:jc w:val="both"/>
        <w:rPr>
          <w:rFonts w:cs="Calibri"/>
          <w:szCs w:val="18"/>
        </w:rPr>
      </w:pPr>
    </w:p>
    <w:p w:rsidRPr="00C21F2B" w:rsidR="00F33E01" w:rsidP="00426692" w:rsidRDefault="00F33E01" w14:paraId="52B75B36" w14:textId="77777777">
      <w:pPr>
        <w:pStyle w:val="Lijstalinea"/>
        <w:numPr>
          <w:ilvl w:val="0"/>
          <w:numId w:val="45"/>
        </w:numPr>
        <w:spacing w:after="160" w:line="278" w:lineRule="auto"/>
        <w:jc w:val="both"/>
        <w:rPr>
          <w:rFonts w:cs="Calibri"/>
          <w:szCs w:val="18"/>
        </w:rPr>
      </w:pPr>
      <w:r w:rsidRPr="00C21F2B">
        <w:rPr>
          <w:rFonts w:cs="Calibri"/>
          <w:szCs w:val="18"/>
        </w:rPr>
        <w:t>STO- activiteiten die het meest bijdragen aan de STO-doelstelling van het behoud en de kwaliteit van het techniekonderwijs in het vmbo</w:t>
      </w:r>
    </w:p>
    <w:p w:rsidRPr="00C21F2B" w:rsidR="00F33E01" w:rsidP="00F33E01" w:rsidRDefault="00F33E01" w14:paraId="5F3307CC" w14:textId="77777777">
      <w:pPr>
        <w:jc w:val="both"/>
        <w:rPr>
          <w:rFonts w:cs="Calibri"/>
          <w:i/>
          <w:iCs/>
          <w:szCs w:val="18"/>
        </w:rPr>
      </w:pPr>
      <w:r w:rsidRPr="00C21F2B">
        <w:rPr>
          <w:rFonts w:cs="Calibri"/>
          <w:szCs w:val="18"/>
        </w:rPr>
        <w:t>Waar ligt volgens de docenten de crux als het gaat om STO-activiteiten die het meest bijdragen aan het behoud en de kwaliteit van techniekonderwijs in het vmbo? Allereerst valt op dat er geen gouden greep is. Docenten adresseren uiteenlopende activiteiten en elementen van STO en per docent worden er ook vaak meerdere activiteiten vermeld. Een enkele keer ontvouwt een docent een ‘praktijktheorie’: “</w:t>
      </w:r>
      <w:r w:rsidRPr="00C21F2B">
        <w:rPr>
          <w:rFonts w:cs="Calibri"/>
          <w:i/>
          <w:iCs/>
          <w:szCs w:val="18"/>
        </w:rPr>
        <w:t>De STO-activiteiten die naar mijn mening het meest bijdragen aan het behoud en de kwaliteit van het techniekonderwijs in het vmbo, zijn de activiteiten die gericht zijn op praktijkgericht en ervaringsgericht leren. Samenwerkingen met bedrijven, projecten waarin leerlingen aan realistische technische uitdagingen werken en de inzet van moderne faciliteiten zorgen ervoor dat het techniekonderwijs aansluit bij de huidige en toekomstige arbeidsmarkt. Daarnaast speelt techniekpromotie op basisscholen een belangrijke rol in het waarborgen van instroom en interesse in technische opleidingen. Door leerlingen al vroeg te enthousiasmeren voor techniek, vergroten we de kans dat zij later voor een technische richting kiezen. Het versterken van de verbinding tussen onderwijs en praktijk draagt daarmee direct bij aan de kern van de STO-doelstelling: het behouden en verbeteren van hoogwaardig techniekonderwijs in het vmbo.”</w:t>
      </w:r>
    </w:p>
    <w:p w:rsidR="00F33E01" w:rsidP="00F33E01" w:rsidRDefault="00F33E01" w14:paraId="43BF0D80" w14:textId="77777777">
      <w:pPr>
        <w:jc w:val="both"/>
        <w:rPr>
          <w:rFonts w:cs="Calibri"/>
          <w:szCs w:val="18"/>
        </w:rPr>
      </w:pPr>
      <w:r w:rsidRPr="00C21F2B">
        <w:rPr>
          <w:rFonts w:cs="Calibri"/>
          <w:szCs w:val="18"/>
        </w:rPr>
        <w:t xml:space="preserve">Soms vindt men het nog te vroeg om deze vraag te beantwoorden of heeft men er geen antwoord op. Daarnaast geldt dat bij deze vraag ook een aantal kritische opmerkingen gemaakt zijn. </w:t>
      </w:r>
    </w:p>
    <w:p w:rsidRPr="00C21F2B" w:rsidR="00F33E01" w:rsidP="00F33E01" w:rsidRDefault="00F33E01" w14:paraId="71F0822D" w14:textId="77777777">
      <w:pPr>
        <w:jc w:val="both"/>
        <w:rPr>
          <w:rFonts w:cs="Calibri"/>
          <w:szCs w:val="18"/>
        </w:rPr>
      </w:pPr>
    </w:p>
    <w:p w:rsidRPr="00C21F2B" w:rsidR="00F33E01" w:rsidP="00F33E01" w:rsidRDefault="00F33E01" w14:paraId="1375D306" w14:textId="77777777">
      <w:pPr>
        <w:jc w:val="both"/>
        <w:rPr>
          <w:rFonts w:cs="Calibri"/>
          <w:i/>
          <w:iCs/>
          <w:szCs w:val="18"/>
        </w:rPr>
      </w:pPr>
      <w:r w:rsidRPr="00C21F2B">
        <w:rPr>
          <w:rFonts w:cs="Calibri"/>
          <w:szCs w:val="18"/>
        </w:rPr>
        <w:t xml:space="preserve">Het vaakst wordt de </w:t>
      </w:r>
      <w:r w:rsidRPr="00C21F2B">
        <w:rPr>
          <w:rFonts w:cs="Calibri"/>
          <w:b/>
          <w:bCs/>
          <w:szCs w:val="18"/>
        </w:rPr>
        <w:t>samenwerking met het bedrijfsleven</w:t>
      </w:r>
      <w:r w:rsidRPr="00C21F2B">
        <w:rPr>
          <w:rFonts w:cs="Calibri"/>
          <w:szCs w:val="18"/>
        </w:rPr>
        <w:t xml:space="preserve"> genoemd en de (educatieve) mogelijkheden die dat biedt: stages, buitenschoolse keuzevakken, uitbreiding van leeromgevingen, echte opdrachten, het opdoen van beroepsbeelden etc.. “</w:t>
      </w:r>
      <w:r w:rsidRPr="00C21F2B">
        <w:rPr>
          <w:rFonts w:cs="Calibri"/>
          <w:i/>
          <w:iCs/>
          <w:szCs w:val="18"/>
        </w:rPr>
        <w:t xml:space="preserve">De activiteiten die het meeste bijdragen zijn de buitenschoolse activiteiten waarmee de leerlingen actief aan de slag kunnen bij de verschillende techniekbedrijven. Hierdoor krijgen zij een beter beeld van de technische bedrijven die zich in de regio bevinden en een beter beeld voor zichzelf in welke richting zij na hun loopbaan op het vmbo kunnen uitstromen.” </w:t>
      </w:r>
      <w:r w:rsidRPr="00C21F2B">
        <w:rPr>
          <w:rFonts w:cs="Calibri"/>
          <w:szCs w:val="18"/>
        </w:rPr>
        <w:t>“</w:t>
      </w:r>
      <w:r w:rsidRPr="00C21F2B">
        <w:rPr>
          <w:rFonts w:cs="Calibri"/>
          <w:i/>
          <w:iCs/>
          <w:szCs w:val="18"/>
        </w:rPr>
        <w:t>De leerlingen lopen stages en doen buitenschoolse keuzevakken in het bedrijfsleven. STO bindt de scholen aan het bedrijfsleven. Het bedrijfsleven wordt zich bewust, dat zij door een doelmatige samenwerking het vakmanschap voor de toekomst kan zekeren</w:t>
      </w:r>
      <w:r w:rsidRPr="00C21F2B">
        <w:rPr>
          <w:rFonts w:cs="Calibri"/>
          <w:szCs w:val="18"/>
        </w:rPr>
        <w:t>.” Een zorg die daarbij geuit wordt is: “</w:t>
      </w:r>
      <w:r w:rsidRPr="00C21F2B">
        <w:rPr>
          <w:rFonts w:cs="Calibri"/>
          <w:i/>
          <w:iCs/>
          <w:szCs w:val="18"/>
        </w:rPr>
        <w:t>Het bedrijfsleven zal zijn verantwoordelijkheid moet behouden om het schoollokaal oneindig groot te houden.”</w:t>
      </w:r>
    </w:p>
    <w:p w:rsidR="00F33E01" w:rsidP="780653D5" w:rsidRDefault="00F33E01" w14:paraId="2A2D59C2" w14:textId="1ED5E12E">
      <w:pPr>
        <w:jc w:val="both"/>
        <w:rPr>
          <w:rFonts w:cs="Calibri"/>
        </w:rPr>
      </w:pPr>
      <w:r w:rsidRPr="780653D5">
        <w:rPr>
          <w:rFonts w:cs="Calibri"/>
        </w:rPr>
        <w:t xml:space="preserve">Daarna worden de investeringen genoemd die gedaan zijn om het </w:t>
      </w:r>
      <w:r w:rsidRPr="780653D5">
        <w:rPr>
          <w:rFonts w:cs="Calibri"/>
          <w:b/>
          <w:bCs/>
        </w:rPr>
        <w:t xml:space="preserve">techniekonderwijs actueel en meer vernieuwend </w:t>
      </w:r>
      <w:r w:rsidRPr="780653D5">
        <w:rPr>
          <w:rFonts w:cs="Calibri"/>
        </w:rPr>
        <w:t>te maken: “</w:t>
      </w:r>
      <w:r w:rsidRPr="780653D5">
        <w:rPr>
          <w:rFonts w:cs="Calibri"/>
          <w:i/>
          <w:iCs/>
        </w:rPr>
        <w:t>Betere leermiddelen geven kwalitatief betere lessen</w:t>
      </w:r>
      <w:r w:rsidRPr="780653D5">
        <w:rPr>
          <w:rFonts w:cs="Calibri"/>
        </w:rPr>
        <w:t>.” Daarbij worden de keuzevakken vaak speciaal vermeld, omdat die aanknopingspunten bieden om het onderwijs buitenschools te laten plaatsvinden in de echte praktijk en om een bredere doelgroep te trekken dan alleen leerlingen uit technische profielen. Soms stelt men de vraag: ‘Hoe weten we of de kwaliteit verbetert?’</w:t>
      </w:r>
    </w:p>
    <w:p w:rsidRPr="00C21F2B" w:rsidR="00F33E01" w:rsidP="00F33E01" w:rsidRDefault="00F33E01" w14:paraId="62BF717D" w14:textId="77777777">
      <w:pPr>
        <w:jc w:val="both"/>
        <w:rPr>
          <w:rFonts w:cs="Calibri"/>
          <w:szCs w:val="18"/>
        </w:rPr>
      </w:pPr>
    </w:p>
    <w:p w:rsidRPr="00C21F2B" w:rsidR="00F33E01" w:rsidP="00F33E01" w:rsidRDefault="00F33E01" w14:paraId="28D93361" w14:textId="77777777">
      <w:pPr>
        <w:jc w:val="both"/>
        <w:rPr>
          <w:rFonts w:cs="Calibri"/>
          <w:szCs w:val="18"/>
        </w:rPr>
      </w:pPr>
      <w:r w:rsidRPr="00C21F2B">
        <w:rPr>
          <w:rFonts w:cs="Calibri"/>
          <w:szCs w:val="18"/>
        </w:rPr>
        <w:t xml:space="preserve">Net zo vaak wordt gewezen op de activiteiten die uitgevoerd worden om in een vroeg stadium belangstelling voor techniek en technologie aan te wakkeren, zoals </w:t>
      </w:r>
      <w:r w:rsidRPr="00C21F2B">
        <w:rPr>
          <w:rFonts w:cs="Calibri"/>
          <w:b/>
          <w:bCs/>
          <w:szCs w:val="18"/>
        </w:rPr>
        <w:t>activiteiten in en vooral voor het po en in de onderbouw</w:t>
      </w:r>
      <w:r w:rsidRPr="00C21F2B">
        <w:rPr>
          <w:rFonts w:cs="Calibri"/>
          <w:szCs w:val="18"/>
        </w:rPr>
        <w:t xml:space="preserve">, promotie van techniekonderwijs en de technieksectoren. Het gaat hier bijvoorbeeld ook om techlabs. Een paar lesgevenden vragen zich af: ‘Zijn we niet teveel bezig met leuke dingen, vooral met ‘smaakmakers’?’ </w:t>
      </w:r>
    </w:p>
    <w:p w:rsidR="00F33E01" w:rsidP="00F33E01" w:rsidRDefault="00F33E01" w14:paraId="2F94EA27" w14:textId="77777777">
      <w:pPr>
        <w:jc w:val="both"/>
        <w:rPr>
          <w:rFonts w:cs="Calibri"/>
          <w:szCs w:val="18"/>
        </w:rPr>
      </w:pPr>
      <w:r w:rsidRPr="00C21F2B">
        <w:rPr>
          <w:rFonts w:cs="Calibri"/>
          <w:b/>
          <w:bCs/>
          <w:szCs w:val="18"/>
        </w:rPr>
        <w:t>Samenwerking in de keten</w:t>
      </w:r>
      <w:r w:rsidRPr="00C21F2B">
        <w:rPr>
          <w:rFonts w:cs="Calibri"/>
          <w:szCs w:val="18"/>
        </w:rPr>
        <w:t xml:space="preserve"> en aandacht voor de loopbaan van leerlingen (de leerlingreis) van het po tot en met het mbo wordt ook genoemd als cruciale factor binnen STO. Het gaat daarbij ook om toegenomen bewustzijn, dat het vmbo een schakelrol in de keten vervult. Zo zegt een vmbo-docent: “</w:t>
      </w:r>
      <w:r w:rsidRPr="00C21F2B">
        <w:rPr>
          <w:rFonts w:cs="Calibri"/>
          <w:i/>
          <w:iCs/>
          <w:szCs w:val="18"/>
        </w:rPr>
        <w:t>Als tussenstation ben ik eigenaar van een curriculum dat voortborduurt (op de basisschool) en voorbereid (op een student carrière op het MBO).”</w:t>
      </w:r>
      <w:r w:rsidRPr="00C21F2B">
        <w:rPr>
          <w:rFonts w:cs="Calibri"/>
          <w:szCs w:val="18"/>
        </w:rPr>
        <w:t xml:space="preserve"> Korte lijnen tussen vmbo, mbo en bedrijfsleven worden van groot belang geacht om zaken goed op elkaar af te stemmen en relevant te houden. Enkele docenten noemen daarbij nadrukkelijk het contact met het mbo, soms met als toevoeging dat dat nog niet goed lukt. </w:t>
      </w:r>
    </w:p>
    <w:p w:rsidRPr="00C21F2B" w:rsidR="00F33E01" w:rsidP="00F33E01" w:rsidRDefault="00F33E01" w14:paraId="56194403" w14:textId="77777777">
      <w:pPr>
        <w:jc w:val="both"/>
        <w:rPr>
          <w:rFonts w:cs="Calibri"/>
          <w:szCs w:val="18"/>
        </w:rPr>
      </w:pPr>
    </w:p>
    <w:p w:rsidR="00F33E01" w:rsidP="00F33E01" w:rsidRDefault="00F33E01" w14:paraId="7EE7B2CE" w14:textId="77777777">
      <w:pPr>
        <w:jc w:val="both"/>
        <w:rPr>
          <w:rFonts w:cs="Calibri"/>
          <w:szCs w:val="18"/>
        </w:rPr>
      </w:pPr>
      <w:r w:rsidRPr="00C21F2B">
        <w:rPr>
          <w:rFonts w:cs="Calibri"/>
          <w:szCs w:val="18"/>
        </w:rPr>
        <w:t xml:space="preserve">Er is een groep docenten die meer in het algemeen </w:t>
      </w:r>
      <w:r w:rsidRPr="00C21F2B">
        <w:rPr>
          <w:rFonts w:cs="Calibri"/>
          <w:b/>
          <w:bCs/>
          <w:szCs w:val="18"/>
        </w:rPr>
        <w:t>STO-middelen</w:t>
      </w:r>
      <w:r w:rsidRPr="00C21F2B">
        <w:rPr>
          <w:rFonts w:cs="Calibri"/>
          <w:szCs w:val="18"/>
        </w:rPr>
        <w:t xml:space="preserve"> en ‘uren voor STO’ als belangrijke factor beschouwt waarmee er mogelijkheden zijn ontstaan. Verrijking van techniekonderwijs zou zonder middelen (en bij krimp) niet zijn gebeurd, zo zegt men. Sommige docenten zien de middelen ook als teken dat de overheid het techniekvraagstuk serieus neemt. Ook de urgentie van STO wordt aangevoerd: “</w:t>
      </w:r>
      <w:r w:rsidRPr="00C21F2B">
        <w:rPr>
          <w:rFonts w:cs="Calibri"/>
          <w:i/>
          <w:iCs/>
          <w:szCs w:val="18"/>
        </w:rPr>
        <w:t xml:space="preserve">Het feit dat het als waardevol wordt </w:t>
      </w:r>
      <w:r w:rsidRPr="00C21F2B">
        <w:rPr>
          <w:rFonts w:cs="Calibri"/>
          <w:i/>
          <w:iCs/>
          <w:szCs w:val="18"/>
        </w:rPr>
        <w:lastRenderedPageBreak/>
        <w:t>gezien door scholen en er structureel ook meer geïnvesteerd wordt in mensen en middelen om de kwaliteit naar een nog hoger plan te trekken</w:t>
      </w:r>
      <w:r w:rsidRPr="00C21F2B">
        <w:rPr>
          <w:rFonts w:cs="Calibri"/>
          <w:szCs w:val="18"/>
        </w:rPr>
        <w:t xml:space="preserve">.” De zorg wordt af en toe geuit of de middelen structureel blijven. </w:t>
      </w:r>
    </w:p>
    <w:p w:rsidRPr="00C21F2B" w:rsidR="00F33E01" w:rsidP="00F33E01" w:rsidRDefault="00F33E01" w14:paraId="59AEA0E5" w14:textId="77777777">
      <w:pPr>
        <w:jc w:val="both"/>
        <w:rPr>
          <w:rFonts w:cs="Calibri"/>
          <w:szCs w:val="18"/>
        </w:rPr>
      </w:pPr>
    </w:p>
    <w:p w:rsidR="00F33E01" w:rsidP="00F33E01" w:rsidRDefault="00F33E01" w14:paraId="19C38478" w14:textId="77777777">
      <w:pPr>
        <w:jc w:val="both"/>
        <w:rPr>
          <w:rFonts w:cs="Calibri"/>
          <w:szCs w:val="18"/>
        </w:rPr>
      </w:pPr>
      <w:r w:rsidRPr="00C21F2B">
        <w:rPr>
          <w:rFonts w:cs="Calibri"/>
          <w:szCs w:val="18"/>
        </w:rPr>
        <w:t xml:space="preserve">Een wat kleinere groep docenten beschouwt </w:t>
      </w:r>
      <w:r w:rsidRPr="00C21F2B">
        <w:rPr>
          <w:rFonts w:cs="Calibri"/>
          <w:b/>
          <w:bCs/>
          <w:szCs w:val="18"/>
        </w:rPr>
        <w:t>goed opgeleide docenten</w:t>
      </w:r>
      <w:r w:rsidRPr="00C21F2B">
        <w:rPr>
          <w:rFonts w:cs="Calibri"/>
          <w:szCs w:val="18"/>
        </w:rPr>
        <w:t xml:space="preserve"> (scholing) en als een belangrijker factor voor kwaliteit en behoud (voor het kunnen lesgeven aan kleine(re) groepen). Een docent merkt hierbij op: “</w:t>
      </w:r>
      <w:r w:rsidRPr="00C21F2B">
        <w:rPr>
          <w:rFonts w:cs="Calibri"/>
          <w:i/>
          <w:iCs/>
          <w:szCs w:val="18"/>
        </w:rPr>
        <w:t>We hebben minder uren voor techniek, maar wel meer mensen</w:t>
      </w:r>
      <w:r w:rsidRPr="00C21F2B">
        <w:rPr>
          <w:rFonts w:cs="Calibri"/>
          <w:szCs w:val="18"/>
        </w:rPr>
        <w:t>.”</w:t>
      </w:r>
    </w:p>
    <w:p w:rsidRPr="00C21F2B" w:rsidR="00F33E01" w:rsidP="00F33E01" w:rsidRDefault="00F33E01" w14:paraId="6726474F" w14:textId="77777777">
      <w:pPr>
        <w:jc w:val="both"/>
        <w:rPr>
          <w:rFonts w:cs="Calibri"/>
          <w:szCs w:val="18"/>
        </w:rPr>
      </w:pPr>
    </w:p>
    <w:p w:rsidR="00F33E01" w:rsidP="00F33E01" w:rsidRDefault="00F33E01" w14:paraId="7CBDBE57" w14:textId="77777777">
      <w:pPr>
        <w:jc w:val="both"/>
        <w:rPr>
          <w:rFonts w:cs="Calibri"/>
          <w:szCs w:val="18"/>
        </w:rPr>
      </w:pPr>
      <w:r w:rsidRPr="00C21F2B">
        <w:rPr>
          <w:rFonts w:cs="Calibri"/>
          <w:szCs w:val="18"/>
        </w:rPr>
        <w:t>Tot slot noemen docenten het regionaal</w:t>
      </w:r>
      <w:r w:rsidRPr="00C21F2B">
        <w:rPr>
          <w:rFonts w:cs="Calibri"/>
          <w:b/>
          <w:bCs/>
          <w:szCs w:val="18"/>
        </w:rPr>
        <w:t xml:space="preserve"> overleg</w:t>
      </w:r>
      <w:r w:rsidRPr="00C21F2B">
        <w:rPr>
          <w:rFonts w:cs="Calibri"/>
          <w:szCs w:val="18"/>
        </w:rPr>
        <w:t xml:space="preserve">, collegiale contacten met docenten van andere scholen en de werkgroepen van STO als factoren die bijdragen aan kwaliteit en behoud van techniekonderwijs. Een enkele docent geeft aan dat STO nog niet voldoende leeft in de school, buiten de mensen die bij STO-activiteiten betrokken zijn. </w:t>
      </w:r>
    </w:p>
    <w:p w:rsidRPr="00C21F2B" w:rsidR="00F33E01" w:rsidP="00F33E01" w:rsidRDefault="00F33E01" w14:paraId="30F6AD47" w14:textId="77777777">
      <w:pPr>
        <w:jc w:val="both"/>
        <w:rPr>
          <w:rFonts w:cs="Calibri"/>
          <w:szCs w:val="18"/>
        </w:rPr>
      </w:pPr>
    </w:p>
    <w:p w:rsidRPr="00C21F2B" w:rsidR="00F33E01" w:rsidP="00426692" w:rsidRDefault="00F33E01" w14:paraId="163C0C24" w14:textId="77777777">
      <w:pPr>
        <w:pStyle w:val="Lijstalinea"/>
        <w:numPr>
          <w:ilvl w:val="0"/>
          <w:numId w:val="45"/>
        </w:numPr>
        <w:spacing w:after="160" w:line="278" w:lineRule="auto"/>
        <w:jc w:val="both"/>
        <w:rPr>
          <w:rFonts w:cs="Calibri"/>
          <w:szCs w:val="18"/>
        </w:rPr>
      </w:pPr>
      <w:r w:rsidRPr="00C21F2B">
        <w:rPr>
          <w:rFonts w:cs="Calibri"/>
          <w:szCs w:val="18"/>
        </w:rPr>
        <w:t>Slotopmerkingen</w:t>
      </w:r>
    </w:p>
    <w:p w:rsidR="00F33E01" w:rsidP="00F33E01" w:rsidRDefault="00F33E01" w14:paraId="18AA705C" w14:textId="77777777">
      <w:pPr>
        <w:jc w:val="both"/>
        <w:rPr>
          <w:rFonts w:cs="Calibri"/>
          <w:i/>
          <w:iCs/>
          <w:szCs w:val="18"/>
        </w:rPr>
      </w:pPr>
      <w:r w:rsidRPr="00C21F2B">
        <w:rPr>
          <w:rFonts w:cs="Calibri"/>
          <w:szCs w:val="18"/>
        </w:rPr>
        <w:t>Aan het eind van de vragenlijst bestond de mogelijkheid om een opmerking te plaatsen die de lesgevenden in de vragenlijst niet kwijt konden. Een beperkte groep lesgevenden heeft hier gebruik van gemaakt. Hun opmerkingen bestrijken een breed scala: van uitdrukkingen van waardering voor STO, tot kritische kanttekeningen en zorgen; en van adviezen/geleerde lessen (“</w:t>
      </w:r>
      <w:r w:rsidRPr="00C21F2B">
        <w:rPr>
          <w:rFonts w:cs="Calibri"/>
          <w:i/>
          <w:iCs/>
          <w:szCs w:val="18"/>
        </w:rPr>
        <w:t>Juiste mensen op de juiste plek</w:t>
      </w:r>
      <w:r w:rsidRPr="00C21F2B">
        <w:rPr>
          <w:rFonts w:cs="Calibri"/>
          <w:szCs w:val="18"/>
        </w:rPr>
        <w:t>”) tot vragen en bezwaren. Er zijn opmerkingen over de middelen, zorgen of de middelen structureel en geoormerkt blijven en niet in de lumpsum ‘verdwijnen’. Een enkeling merkt op dat de middelen anders besteed zouden moeten worden. Vanuit docenten van niet-technische vakken wordt er gepleit voor een bredere inzet van de middelen: “</w:t>
      </w:r>
      <w:r w:rsidRPr="00C21F2B">
        <w:rPr>
          <w:rFonts w:cs="Calibri"/>
          <w:i/>
          <w:iCs/>
          <w:szCs w:val="18"/>
        </w:rPr>
        <w:t>Vergeet de andere profielen niet.”</w:t>
      </w:r>
      <w:r w:rsidRPr="00C21F2B">
        <w:rPr>
          <w:rFonts w:cs="Calibri"/>
          <w:szCs w:val="18"/>
        </w:rPr>
        <w:t xml:space="preserve"> Er wordt een aantal belemmeringen genoemd: (geen) toegang van vmbo-scholen tot SBB, belemmeringen in het examenprogramma en roosters, de verantwoording die “</w:t>
      </w:r>
      <w:r w:rsidRPr="00C21F2B">
        <w:rPr>
          <w:rFonts w:cs="Calibri"/>
          <w:i/>
          <w:iCs/>
          <w:szCs w:val="18"/>
        </w:rPr>
        <w:t>op bedrijfsvoering</w:t>
      </w:r>
      <w:r w:rsidRPr="00C21F2B">
        <w:rPr>
          <w:rFonts w:cs="Calibri"/>
          <w:szCs w:val="18"/>
        </w:rPr>
        <w:t>” of “</w:t>
      </w:r>
      <w:r w:rsidRPr="00C21F2B">
        <w:rPr>
          <w:rFonts w:cs="Calibri"/>
          <w:i/>
          <w:iCs/>
          <w:szCs w:val="18"/>
        </w:rPr>
        <w:t>op een papieren tijger</w:t>
      </w:r>
      <w:r w:rsidRPr="00C21F2B">
        <w:rPr>
          <w:rFonts w:cs="Calibri"/>
          <w:szCs w:val="18"/>
        </w:rPr>
        <w:t>” begint te lijken. Een enkele maal wordt toegenomen werkdruk voor docenten benoemd. Er lijkt behoefte aan een databank waarin materialen en goede initiatieven door alle regio’s gedeeld kunnen worden. Een paar vso-docenten geven aan dat zij minder goed met de vragenlijst uit de voeten konden. Tot slot nog een waarderende opmerking over STO: “</w:t>
      </w:r>
      <w:r w:rsidRPr="00C21F2B">
        <w:rPr>
          <w:rFonts w:cs="Calibri"/>
          <w:i/>
          <w:iCs/>
          <w:szCs w:val="18"/>
        </w:rPr>
        <w:t xml:space="preserve">Jaren gewerkt om dit voor elkaar te krijgen, na de invoering van STO kwam dit ineens in een stroomversnelling. Scholen werken samen, dat was voorheen ondenkbaar!” </w:t>
      </w:r>
    </w:p>
    <w:p w:rsidRPr="00C21F2B" w:rsidR="00F33E01" w:rsidP="00F33E01" w:rsidRDefault="00F33E01" w14:paraId="65780C93" w14:textId="77777777">
      <w:pPr>
        <w:jc w:val="both"/>
        <w:rPr>
          <w:rFonts w:cs="Calibri"/>
          <w:i/>
          <w:iCs/>
          <w:szCs w:val="18"/>
        </w:rPr>
      </w:pPr>
    </w:p>
    <w:p w:rsidRPr="00C21F2B" w:rsidR="00F33E01" w:rsidP="00F33E01" w:rsidRDefault="00F33E01" w14:paraId="5DA54480" w14:textId="77777777">
      <w:pPr>
        <w:pStyle w:val="Kop2"/>
      </w:pPr>
      <w:bookmarkStart w:name="_Toc203573591" w:id="64"/>
      <w:r w:rsidRPr="00C21F2B">
        <w:t>Conclusie</w:t>
      </w:r>
      <w:bookmarkEnd w:id="64"/>
    </w:p>
    <w:p w:rsidRPr="003A4D92" w:rsidR="00F33E01" w:rsidP="003E014E" w:rsidRDefault="00F33E01" w14:paraId="2841BC7E" w14:textId="0E2C745C">
      <w:pPr>
        <w:pStyle w:val="SEOStandaard"/>
        <w:numPr>
          <w:ilvl w:val="0"/>
          <w:numId w:val="0"/>
        </w:numPr>
        <w:rPr>
          <w:rFonts w:ascii="Trebuchet MS" w:hAnsi="Trebuchet MS"/>
          <w:color w:val="auto"/>
          <w:sz w:val="18"/>
          <w:szCs w:val="18"/>
        </w:rPr>
      </w:pPr>
      <w:r w:rsidRPr="780653D5">
        <w:rPr>
          <w:rFonts w:ascii="Trebuchet MS" w:hAnsi="Trebuchet MS"/>
          <w:color w:val="auto"/>
          <w:sz w:val="18"/>
          <w:szCs w:val="18"/>
        </w:rPr>
        <w:t xml:space="preserve">In dit hoofdstuk is de deelname aan STO(-activiteiten) en de impact van STO op docenten, leerlingen en het onderwijs door de ogen van lesgevenden bekeken. 424 lesgevenden in de bovenbouw van het vmbo hebben tussen februari en mei 2025 hierover een vragenlijst ingevuld. Meer dan twee derde daarvan (7 op de 10) geeft les in een technisch vak. Deze groep lesgevenden staat in deze conclusie centraal. Eerst zal een korte samenvatting worden gegeven van de bekendheid en deelname aan verschillende STO-activiteiten onder deze lesgevenden. Daarna volgt op basis van de leerlingenreis van po naar mbo een overzicht van de effecten van de inzet in het po, vmbo (onder- en bovenbouw) en mbo. Tot slot worden de conclusies uit de open antwoorden samengevat. </w:t>
      </w:r>
    </w:p>
    <w:p w:rsidRPr="003A4D92" w:rsidR="00F33E01" w:rsidP="00F33E01" w:rsidRDefault="00F33E01" w14:paraId="7CE8E704" w14:textId="77777777">
      <w:pPr>
        <w:pStyle w:val="SEOStandaard"/>
        <w:rPr>
          <w:rFonts w:ascii="Trebuchet MS" w:hAnsi="Trebuchet MS"/>
          <w:color w:val="auto"/>
          <w:sz w:val="18"/>
          <w:szCs w:val="18"/>
        </w:rPr>
      </w:pPr>
    </w:p>
    <w:p w:rsidRPr="003A4D92" w:rsidR="00F33E01" w:rsidP="00F33E01" w:rsidRDefault="00F33E01" w14:paraId="0DF37BF8" w14:textId="122AB9E4">
      <w:pPr>
        <w:pStyle w:val="SEOStandaard"/>
        <w:rPr>
          <w:rFonts w:ascii="Trebuchet MS" w:hAnsi="Trebuchet MS"/>
          <w:color w:val="auto"/>
          <w:sz w:val="18"/>
          <w:szCs w:val="18"/>
        </w:rPr>
      </w:pPr>
      <w:r w:rsidRPr="780653D5">
        <w:rPr>
          <w:rFonts w:ascii="Trebuchet MS" w:hAnsi="Trebuchet MS"/>
          <w:color w:val="auto"/>
          <w:sz w:val="18"/>
          <w:szCs w:val="18"/>
        </w:rPr>
        <w:t xml:space="preserve">Bijna alle lesgevenden die een technisch vak geven, zijn bekend met STO-activiteiten. De bekendheid is </w:t>
      </w:r>
      <w:r w:rsidRPr="780653D5" w:rsidR="00D274D9">
        <w:rPr>
          <w:rFonts w:ascii="Trebuchet MS" w:hAnsi="Trebuchet MS"/>
          <w:color w:val="auto"/>
          <w:sz w:val="18"/>
          <w:szCs w:val="18"/>
        </w:rPr>
        <w:t xml:space="preserve">wat </w:t>
      </w:r>
      <w:r w:rsidRPr="780653D5">
        <w:rPr>
          <w:rFonts w:ascii="Trebuchet MS" w:hAnsi="Trebuchet MS"/>
          <w:color w:val="auto"/>
          <w:sz w:val="18"/>
          <w:szCs w:val="18"/>
        </w:rPr>
        <w:t xml:space="preserve">lager onder lesgevenden die </w:t>
      </w:r>
      <w:r w:rsidRPr="780653D5">
        <w:rPr>
          <w:rFonts w:ascii="Trebuchet MS" w:hAnsi="Trebuchet MS"/>
          <w:i/>
          <w:iCs/>
          <w:color w:val="auto"/>
          <w:sz w:val="18"/>
          <w:szCs w:val="18"/>
        </w:rPr>
        <w:t>geen</w:t>
      </w:r>
      <w:r w:rsidRPr="780653D5">
        <w:rPr>
          <w:rFonts w:ascii="Trebuchet MS" w:hAnsi="Trebuchet MS"/>
          <w:color w:val="auto"/>
          <w:sz w:val="18"/>
          <w:szCs w:val="18"/>
        </w:rPr>
        <w:t xml:space="preserve"> technisch vak geven; </w:t>
      </w:r>
      <w:r w:rsidRPr="780653D5" w:rsidR="00D274D9">
        <w:rPr>
          <w:rFonts w:ascii="Trebuchet MS" w:hAnsi="Trebuchet MS"/>
          <w:color w:val="auto"/>
          <w:sz w:val="18"/>
          <w:szCs w:val="18"/>
        </w:rPr>
        <w:t>maar nog steed</w:t>
      </w:r>
      <w:r w:rsidRPr="780653D5" w:rsidR="004B735B">
        <w:rPr>
          <w:rFonts w:ascii="Trebuchet MS" w:hAnsi="Trebuchet MS"/>
          <w:color w:val="auto"/>
          <w:sz w:val="18"/>
          <w:szCs w:val="18"/>
        </w:rPr>
        <w:t xml:space="preserve">s is </w:t>
      </w:r>
      <w:r w:rsidRPr="780653D5">
        <w:rPr>
          <w:rFonts w:ascii="Trebuchet MS" w:hAnsi="Trebuchet MS"/>
          <w:color w:val="auto"/>
          <w:sz w:val="18"/>
          <w:szCs w:val="18"/>
        </w:rPr>
        <w:t xml:space="preserve">ongeveer driekwart van hen er (enigszins) bekend mee. Bijna 9 op de 10 lesgevenden van een technisch vak is actief betrokken bij de activiteiten in het kader van STO met name als gebruiker of deelnemer. De STO-activiteiten waar het merendeel van die lesgevenden aan deelneemt binnen het onderwijs zijn: programmatisch ontwikkeling onderwijs en (herinrichting) van het technieklokaal. Buiten school is deelname hoog als het gaat om: bedrijfsbezoeken of bezoeken aan instellingen, projecten voor leerlingen en een bezoek aan een evenement in de regio of op school. Met betrekking tot samenwerking is te zien dat deelname van lesgevenden hoog is als het gaat om activiteiten met technische docenten binnen de eigen school, met docenten van andere vmbo-scholen en met bedrijven. Het merendeel neemt deel aan professionaliseringsactiviteiten als scholing op het techniekgebied en contacten/bezoek aan bedrijven. Wat betreft activiteiten op het niveau van de STO-(project)organisatie neemt het merendeel deel aan een werkgroep in het kader van het programma. Opvallend hier is dat deelname aan andere activiteiten op dit niveau heel weinig voor komen (minder dan 16 procent). Hoewel lesgevenden die geen technisch vak geven minder vaak deelnemen aan STO-activiteiten, zijn ze wel betrokken bij STO met name als het gaat om: bezoeken aan evenementen in de regio of op </w:t>
      </w:r>
      <w:r w:rsidRPr="780653D5">
        <w:rPr>
          <w:rFonts w:ascii="Trebuchet MS" w:hAnsi="Trebuchet MS"/>
          <w:color w:val="auto"/>
          <w:sz w:val="18"/>
          <w:szCs w:val="18"/>
        </w:rPr>
        <w:lastRenderedPageBreak/>
        <w:t xml:space="preserve">school, bedrijfsbezoeken of bezoeken aan instellingen, samenwerkingsactiviteiten met docenten technische profielen binnen school en met opleidingsbedrijven (gemiddeld 4 op de 10). </w:t>
      </w:r>
    </w:p>
    <w:p w:rsidRPr="003A4D92" w:rsidR="00F33E01" w:rsidP="00F33E01" w:rsidRDefault="00F33E01" w14:paraId="50E781C7" w14:textId="77777777">
      <w:pPr>
        <w:pStyle w:val="SEOStandaard"/>
        <w:numPr>
          <w:ilvl w:val="0"/>
          <w:numId w:val="0"/>
        </w:numPr>
        <w:rPr>
          <w:rFonts w:ascii="Trebuchet MS" w:hAnsi="Trebuchet MS"/>
          <w:color w:val="auto"/>
          <w:sz w:val="18"/>
          <w:szCs w:val="18"/>
        </w:rPr>
      </w:pPr>
    </w:p>
    <w:p w:rsidRPr="003A4D92" w:rsidR="00F33E01" w:rsidP="00F33E01" w:rsidRDefault="00F33E01" w14:paraId="5C6AA155" w14:textId="77777777">
      <w:pPr>
        <w:pStyle w:val="SEOStandaard"/>
        <w:numPr>
          <w:ilvl w:val="0"/>
          <w:numId w:val="0"/>
        </w:numPr>
        <w:rPr>
          <w:rFonts w:ascii="Trebuchet MS" w:hAnsi="Trebuchet MS"/>
          <w:color w:val="auto"/>
          <w:sz w:val="18"/>
          <w:szCs w:val="18"/>
        </w:rPr>
      </w:pPr>
      <w:r w:rsidRPr="003A4D92">
        <w:rPr>
          <w:rFonts w:ascii="Trebuchet MS" w:hAnsi="Trebuchet MS"/>
          <w:color w:val="auto"/>
          <w:sz w:val="18"/>
          <w:szCs w:val="18"/>
        </w:rPr>
        <w:t xml:space="preserve">Als we dan kijken naar de leerlingenreis startend in het po, geven lesgevenden die een technisch vak geven aan dat deelname aan activiteiten voor basisschoolleerlingen op vmbo-scholen (ruim 4 op de 10) en op basisscholen zelf (ruim 2 op de 10) vaker voorkomen dan lesactiviteiten voor basisschoolleerlingen op </w:t>
      </w:r>
      <w:r w:rsidRPr="003A4D92">
        <w:rPr>
          <w:rFonts w:ascii="Trebuchet MS" w:hAnsi="Trebuchet MS"/>
          <w:i/>
          <w:iCs/>
          <w:color w:val="auto"/>
          <w:sz w:val="18"/>
          <w:szCs w:val="18"/>
        </w:rPr>
        <w:t>regionale</w:t>
      </w:r>
      <w:r w:rsidRPr="003A4D92">
        <w:rPr>
          <w:rFonts w:ascii="Trebuchet MS" w:hAnsi="Trebuchet MS"/>
          <w:color w:val="auto"/>
          <w:sz w:val="18"/>
          <w:szCs w:val="18"/>
        </w:rPr>
        <w:t xml:space="preserve"> voorzieningen (minder dan 1 op de 10).  Van de lesgevenden geeft een klein deel (een vijfde) aan deel te nemen aan samenwerkingsactiviteiten met po-docenten. Bijna de helft vindt dat door STO het techniekonderwijs in de onderwijsketen po-vmbo-mbo beter aansluit. Een klein deel (1 op de 10) vindt van niet en de rest antwoordt neutraal. Dit wijst erop dat STO-activiteiten vooral gericht zijn op directe interactie met basisscholen en vmbo-scholen, waarbij samenwerking met po-docenten nog ruimte voor groei biedt, terwijl het merendeel van de lesgevenden al positief is over de verbeterde aansluiting van het techniekonderwijs binnen de onderwijsketen.</w:t>
      </w:r>
    </w:p>
    <w:p w:rsidRPr="003A4D92" w:rsidR="00F33E01" w:rsidP="00F33E01" w:rsidRDefault="00F33E01" w14:paraId="01BC2541" w14:textId="77777777">
      <w:pPr>
        <w:pStyle w:val="SEOOpsommingBulletL2"/>
        <w:numPr>
          <w:ilvl w:val="0"/>
          <w:numId w:val="0"/>
        </w:numPr>
        <w:ind w:left="794" w:hanging="397"/>
        <w:rPr>
          <w:rFonts w:ascii="Trebuchet MS" w:hAnsi="Trebuchet MS"/>
          <w:color w:val="auto"/>
          <w:sz w:val="18"/>
          <w:szCs w:val="18"/>
        </w:rPr>
      </w:pPr>
    </w:p>
    <w:p w:rsidRPr="003A4D92" w:rsidR="00F33E01" w:rsidP="00F33E01" w:rsidRDefault="00F33E01" w14:paraId="29EDED41" w14:textId="77777777">
      <w:pPr>
        <w:pStyle w:val="SEOOpsommingBulletL2"/>
        <w:numPr>
          <w:ilvl w:val="0"/>
          <w:numId w:val="0"/>
        </w:numPr>
        <w:rPr>
          <w:rFonts w:ascii="Trebuchet MS" w:hAnsi="Trebuchet MS"/>
          <w:color w:val="auto"/>
          <w:sz w:val="18"/>
          <w:szCs w:val="18"/>
        </w:rPr>
      </w:pPr>
      <w:r w:rsidRPr="003A4D92">
        <w:rPr>
          <w:rFonts w:ascii="Trebuchet MS" w:hAnsi="Trebuchet MS"/>
          <w:color w:val="auto"/>
          <w:sz w:val="18"/>
          <w:szCs w:val="18"/>
        </w:rPr>
        <w:t>In het vmbo springen volgens lesgevenden de volgende concrete veranderingen als gevolg van STO eruit (meer dan de helft ervaart deze veranderingen): betere beschikbaarheid van nieuwe apparatuur, het aanbod van technische keuzevakken is uitgebreid, meer en beter contact met docenten van andere scholen, mbo, opleidingsbedrijven, en technische bedrijven. Ook geeft de helft van de lesgevenden aan dat leerlingen vaker buitenschools in de praktijk leren door STO, en dat STO voor een uitbreiding van keuzevakken heeft gezorgd. Concrete veranderingen die het minst ervaren worden zijn het gebruik maken van een regionale voorziening (24 procent) en centrale voorziening zoals stagebureau of bedrijfscontactpersonen (29 procent).</w:t>
      </w:r>
    </w:p>
    <w:p w:rsidRPr="003A4D92" w:rsidR="00F33E01" w:rsidP="00F33E01" w:rsidRDefault="00F33E01" w14:paraId="27B3AAC3" w14:textId="77777777">
      <w:pPr>
        <w:pStyle w:val="SEOStandaard"/>
        <w:numPr>
          <w:ilvl w:val="0"/>
          <w:numId w:val="0"/>
        </w:numPr>
        <w:rPr>
          <w:rFonts w:ascii="Trebuchet MS" w:hAnsi="Trebuchet MS"/>
          <w:color w:val="auto"/>
          <w:sz w:val="18"/>
          <w:szCs w:val="18"/>
        </w:rPr>
      </w:pPr>
    </w:p>
    <w:p w:rsidRPr="003A4D92" w:rsidR="00F33E01" w:rsidP="00F33E01" w:rsidRDefault="00F33E01" w14:paraId="32AAC4A5" w14:textId="77777777">
      <w:pPr>
        <w:pStyle w:val="SEOStandaard"/>
        <w:rPr>
          <w:rFonts w:ascii="Trebuchet MS" w:hAnsi="Trebuchet MS"/>
          <w:color w:val="auto"/>
          <w:sz w:val="18"/>
          <w:szCs w:val="18"/>
        </w:rPr>
      </w:pPr>
      <w:r w:rsidRPr="003A4D92">
        <w:rPr>
          <w:rFonts w:ascii="Trebuchet MS" w:hAnsi="Trebuchet MS"/>
          <w:color w:val="auto"/>
          <w:sz w:val="18"/>
          <w:szCs w:val="18"/>
        </w:rPr>
        <w:t xml:space="preserve">Een meerderheid van de lesgevenden geeft aan vanwege STO meer trots te zijn op hun vak. Ook geeft een (kleine) meerderheid van de lesgevenden (gemiddeld ruim 5 op 10) aan dat hun rol is uitgebreid en dat zij meer coachend zijn (naast vakdocent), en dat zij ook meer zicht en kennis hebben van actuele ontwikkeling in hun vakgebied. Ook geeft een kleine meerderheid (gemiddeld ruim 5 op 10) aan gemotiveerder te zijn en beter toegerust te zijn op het geven van eigentijds techniekonderwijs. Er wordt door iets minder dan een derde van de lesgevenden aangegeven dat er meer aandacht is gekomen voor doelgroepen (d.w.z. meiden of leerlingen met een migratieachtergrond). Een minderheid is nu meer met LOB bezig (4 op de 10) en iets minder dan de helft (45 procent) geeft aan meer werkdruk te ervaren. </w:t>
      </w:r>
    </w:p>
    <w:p w:rsidRPr="003A4D92" w:rsidR="00F33E01" w:rsidP="00F33E01" w:rsidRDefault="00F33E01" w14:paraId="5C46C48F" w14:textId="77777777">
      <w:pPr>
        <w:pStyle w:val="SEOStandaard"/>
        <w:numPr>
          <w:ilvl w:val="0"/>
          <w:numId w:val="0"/>
        </w:numPr>
        <w:rPr>
          <w:rFonts w:ascii="Trebuchet MS" w:hAnsi="Trebuchet MS"/>
          <w:color w:val="auto"/>
          <w:sz w:val="18"/>
          <w:szCs w:val="18"/>
        </w:rPr>
      </w:pPr>
    </w:p>
    <w:p w:rsidRPr="003A4D92" w:rsidR="00F33E01" w:rsidP="00F33E01" w:rsidRDefault="00F33E01" w14:paraId="21EF7AE4" w14:textId="77777777">
      <w:pPr>
        <w:pStyle w:val="SEOStandaard"/>
        <w:numPr>
          <w:ilvl w:val="0"/>
          <w:numId w:val="0"/>
        </w:numPr>
        <w:rPr>
          <w:rFonts w:ascii="Trebuchet MS" w:hAnsi="Trebuchet MS"/>
          <w:color w:val="auto"/>
          <w:sz w:val="18"/>
          <w:szCs w:val="18"/>
        </w:rPr>
      </w:pPr>
      <w:r w:rsidRPr="003A4D92">
        <w:rPr>
          <w:rFonts w:ascii="Trebuchet MS" w:hAnsi="Trebuchet MS"/>
          <w:color w:val="auto"/>
          <w:sz w:val="18"/>
          <w:szCs w:val="18"/>
        </w:rPr>
        <w:t>De impact van STO op vmbo-leerlingen is volgens de lesgevenden merkbaar. Zo geeft een ruime meerderheid van de lesgevenden in een technisch vak (7 op 10) aan dat leerlingen door STO beter en rijker techniekonderwijs genieten. Dit wordt ook door lesgevenden die geen technisch vak geven bevestigd. Eveneens een meerderheid (ruim 6 op de 10) geeft aan dat leerlingen door STO meer zicht hebben op actuele ontwikkelingen binnen de wereld van techniek. De helft van de lesgevenden in een technisch vak geeft aan dat leerlingen door STO beter zijn voorbereid op en een bewustere keuze maken voor een vervolgopleiding. Iets minder dan de helft van de lesgevenden in een technisch vak geeft aan dat voor leerlingen techniekonderwijs beter bereikbaar is geworden. Ook geeft iets minder dan de helft van de lesgevenden aan dat leerlingen meer gemotiveerd zijn voor technisch onderwijs door STO. Deze veranderingen worden door lesgevenden die geen technisch vak geven minder vaak genoemd.</w:t>
      </w:r>
    </w:p>
    <w:p w:rsidRPr="003A4D92" w:rsidR="00F33E01" w:rsidP="00F33E01" w:rsidRDefault="00F33E01" w14:paraId="7B4A479A" w14:textId="77777777">
      <w:pPr>
        <w:pStyle w:val="SEOStandaard"/>
        <w:numPr>
          <w:ilvl w:val="0"/>
          <w:numId w:val="0"/>
        </w:numPr>
        <w:rPr>
          <w:rFonts w:ascii="Trebuchet MS" w:hAnsi="Trebuchet MS"/>
          <w:color w:val="auto"/>
          <w:sz w:val="18"/>
          <w:szCs w:val="18"/>
        </w:rPr>
      </w:pPr>
    </w:p>
    <w:p w:rsidRPr="003A4D92" w:rsidR="00F33E01" w:rsidP="00F33E01" w:rsidRDefault="00F33E01" w14:paraId="6BA9E9C9" w14:textId="77777777">
      <w:pPr>
        <w:pStyle w:val="SEOStandaard"/>
        <w:numPr>
          <w:ilvl w:val="0"/>
          <w:numId w:val="0"/>
        </w:numPr>
        <w:rPr>
          <w:rFonts w:ascii="Trebuchet MS" w:hAnsi="Trebuchet MS"/>
          <w:color w:val="auto"/>
          <w:sz w:val="18"/>
          <w:szCs w:val="18"/>
        </w:rPr>
      </w:pPr>
      <w:r w:rsidRPr="003A4D92">
        <w:rPr>
          <w:rFonts w:ascii="Trebuchet MS" w:hAnsi="Trebuchet MS"/>
          <w:color w:val="auto"/>
          <w:sz w:val="18"/>
          <w:szCs w:val="18"/>
        </w:rPr>
        <w:t>Het effect van de inzet van STO op de samenwerking binnen het vmbo is duidelijk merkbaar in zowel de onder- als bovenbouw. Bijna 4 op de 10 lesgevenden in een technisch vak geven aan dat zij door STO intensiever zijn gaan samenwerken met collega’s in de onderbouw. Daarnaast werkt bijna de helft van deze lesgevenden vaker samen met bovenbouwcollega’s van andere profielen binnen hun eigen school. Dit wijst op een toegenomen integratie en kennisdeling tussen vakgebieden en leerjaren als gevolg van de STO-inspanningen.</w:t>
      </w:r>
    </w:p>
    <w:p w:rsidRPr="003A4D92" w:rsidR="00F33E01" w:rsidP="00F33E01" w:rsidRDefault="00F33E01" w14:paraId="707AB42F" w14:textId="77777777">
      <w:pPr>
        <w:pStyle w:val="SEOStandaard"/>
        <w:numPr>
          <w:ilvl w:val="0"/>
          <w:numId w:val="0"/>
        </w:numPr>
        <w:rPr>
          <w:rFonts w:ascii="Trebuchet MS" w:hAnsi="Trebuchet MS"/>
          <w:color w:val="auto"/>
          <w:sz w:val="18"/>
          <w:szCs w:val="18"/>
        </w:rPr>
      </w:pPr>
    </w:p>
    <w:p w:rsidRPr="003A4D92" w:rsidR="00F33E01" w:rsidP="00F33E01" w:rsidRDefault="00F33E01" w14:paraId="2E5F6C22" w14:textId="77777777">
      <w:pPr>
        <w:pStyle w:val="SEOStandaard"/>
        <w:numPr>
          <w:ilvl w:val="0"/>
          <w:numId w:val="0"/>
        </w:numPr>
        <w:rPr>
          <w:rFonts w:ascii="Trebuchet MS" w:hAnsi="Trebuchet MS"/>
          <w:color w:val="auto"/>
          <w:sz w:val="18"/>
          <w:szCs w:val="18"/>
        </w:rPr>
      </w:pPr>
      <w:r w:rsidRPr="003A4D92">
        <w:rPr>
          <w:rFonts w:ascii="Trebuchet MS" w:hAnsi="Trebuchet MS"/>
          <w:color w:val="auto"/>
          <w:sz w:val="18"/>
          <w:szCs w:val="18"/>
        </w:rPr>
        <w:t>De ervaringen van lesgevenden geven aan dat STO waardevolle vernieuwingen en meer samenwerking binnen het vmbo stimuleert, wat bijdraagt aan de motivatie van lesgevenden en een rijker techniekonderwijs voor leerlingen. Tegelijkertijd zijn er nog aandachtspunten, zoals het beperkt gebruik van regionale en centrale voorzieningen, de relatief geringe focus op specifieke doelgroepen en de toegenomen werkdruk, die ruimte bieden voor verbetering.</w:t>
      </w:r>
    </w:p>
    <w:p w:rsidRPr="003A4D92" w:rsidR="00F33E01" w:rsidP="00F33E01" w:rsidRDefault="00F33E01" w14:paraId="1DC40DF9" w14:textId="77777777">
      <w:pPr>
        <w:pStyle w:val="SEOStandaard"/>
        <w:numPr>
          <w:ilvl w:val="0"/>
          <w:numId w:val="0"/>
        </w:numPr>
        <w:rPr>
          <w:rFonts w:ascii="Trebuchet MS" w:hAnsi="Trebuchet MS"/>
          <w:color w:val="auto"/>
          <w:sz w:val="18"/>
          <w:szCs w:val="18"/>
        </w:rPr>
      </w:pPr>
    </w:p>
    <w:p w:rsidRPr="003A4D92" w:rsidR="00F33E01" w:rsidP="00F33E01" w:rsidRDefault="00F33E01" w14:paraId="0558D716" w14:textId="77777777">
      <w:pPr>
        <w:pStyle w:val="SEOStandaard"/>
        <w:numPr>
          <w:ilvl w:val="0"/>
          <w:numId w:val="0"/>
        </w:numPr>
        <w:rPr>
          <w:rFonts w:ascii="Trebuchet MS" w:hAnsi="Trebuchet MS"/>
          <w:color w:val="auto"/>
          <w:sz w:val="18"/>
          <w:szCs w:val="18"/>
        </w:rPr>
      </w:pPr>
      <w:r w:rsidRPr="003A4D92">
        <w:rPr>
          <w:rFonts w:ascii="Trebuchet MS" w:hAnsi="Trebuchet MS"/>
          <w:color w:val="auto"/>
          <w:sz w:val="18"/>
          <w:szCs w:val="18"/>
        </w:rPr>
        <w:lastRenderedPageBreak/>
        <w:t>De inzet van STO heeft ook invloed gehad op de samenwerking tussen vmbo en mbo. Zo geeft bijna de helft van de lesgevenden aan dat zij door STO intensiever zijn gaan samenwerken met het mbo. Meer dan de helft van deze lesgevenden ervaart bovendien dat er door STO meer en betere contacten zijn ontstaan met het mbo. Deze versterkte samenwerking heeft ook effect op de leerervaringen van leerlingen. Ruim 5 op de 10 lesgevenden geven aan dat leerlingen, met name op het gebied van LOB, dankzij STO meer echte ervaringen opdoen in de beroepspraktijk. Hierdoor krijgen zij beter zicht op beroepen en opleidingen, wat leidt tot bewustere vervolgkeuzes. Daarnaast zegt iets minder dan de helft (46 procent) van de docenten dat er meer verbindingen zijn ontstaan met de praktijk en/of vervolgopleidingen. Bijna 4 op de 10 lesgevenden ziet bovendien een meer samenhangend traject ontstaan, waarin meer betrokkenen binnen de school samenwerken rondom de leerling. STO bevordert dus de samenwerking tussen vmbo en mbo en verrijkt zo de praktijkervaringen van leerlingen. Toch is er nog ruimte om de aansluiting met vervolgopleidingen en de samenhang binnen scholen verder te verbeteren.</w:t>
      </w:r>
    </w:p>
    <w:p w:rsidRPr="003A4D92" w:rsidR="00F33E01" w:rsidP="00F33E01" w:rsidRDefault="00F33E01" w14:paraId="3C40215D" w14:textId="77777777">
      <w:pPr>
        <w:pStyle w:val="SEOStandaard"/>
        <w:numPr>
          <w:ilvl w:val="0"/>
          <w:numId w:val="0"/>
        </w:numPr>
        <w:rPr>
          <w:rFonts w:ascii="Trebuchet MS" w:hAnsi="Trebuchet MS"/>
          <w:color w:val="auto"/>
          <w:sz w:val="18"/>
          <w:szCs w:val="18"/>
        </w:rPr>
      </w:pPr>
    </w:p>
    <w:p w:rsidR="009A1AC3" w:rsidP="009A1AC3" w:rsidRDefault="00F33E01" w14:paraId="60289B14" w14:textId="257354E3">
      <w:pPr>
        <w:pStyle w:val="SEOStandaard"/>
        <w:rPr>
          <w:rFonts w:ascii="Trebuchet MS" w:hAnsi="Trebuchet MS"/>
          <w:color w:val="auto"/>
          <w:sz w:val="18"/>
          <w:szCs w:val="18"/>
        </w:rPr>
      </w:pPr>
      <w:r w:rsidRPr="003A4D92">
        <w:rPr>
          <w:rFonts w:ascii="Trebuchet MS" w:hAnsi="Trebuchet MS"/>
          <w:color w:val="auto"/>
          <w:sz w:val="18"/>
          <w:szCs w:val="18"/>
        </w:rPr>
        <w:t>De antwoorden op de open vragen aan het einde van de vragenlijst bevestigen en verdiepen dit beeld. Lesgevenden geven aan dat zij vooral veranderingen ervaren op het gebied van een rijkere en meer actuele leeromgeving, mede mogelijk gemaakt door investeringen in lokalen, apparatuur en materialen. Ook noemen zij een verrijkt onderwijsprogramma, intensievere samenwerking en een groter bewustzijn van de rol van het vmbo binnen de onderwijsketen. Voor veel lesgevenden is hun werk veranderd: ze werken vaker samen met andere collega’s, besteden meer tijd aan begeleiding en ervaren hun werk als leuker en betekenisvoller. Volgens lesgevenden worden leerlingen vooral gemotiveerd door praktijkgericht, levensecht en uitdagend onderwijs, contacten met bedrijven, moderne techniekomgevingen en regionale evenementen. Voor hun eigen motivatie zijn de beschikbaarheid van moderne middelen, samenwerking met bedrijven en andere scholen, ondersteuning vanuit STO, scholing, en het enthousiasme van leerlingen belangrijke factoren. Ook hun actieve rol binnen STO draagt daaraan bij. Als meest impactvolle STO-activiteiten noemen lesgevenden de samenwerking met het bedrijfsleven, investeringen in actueel techniekonderwijs, techniekpromotie in po en onderbouw, ketensamenwerking en structureel regionaal overleg. Tijd, middelen en goed opgeleide collega’s worden daarbij als randvoorwaardelijk gezien.</w:t>
      </w:r>
    </w:p>
    <w:p w:rsidR="0061027C" w:rsidP="0061027C" w:rsidRDefault="0061027C" w14:paraId="70B991B7" w14:textId="77777777">
      <w:pPr>
        <w:pStyle w:val="SEOStandaard"/>
        <w:numPr>
          <w:ilvl w:val="0"/>
          <w:numId w:val="0"/>
        </w:numPr>
        <w:rPr>
          <w:rFonts w:ascii="Trebuchet MS" w:hAnsi="Trebuchet MS"/>
          <w:color w:val="auto"/>
          <w:sz w:val="18"/>
          <w:szCs w:val="18"/>
        </w:rPr>
      </w:pPr>
    </w:p>
    <w:p w:rsidR="0061027C" w:rsidP="0061027C" w:rsidRDefault="0061027C" w14:paraId="2975E222" w14:textId="77777777">
      <w:pPr>
        <w:pStyle w:val="SEOStandaard"/>
        <w:numPr>
          <w:ilvl w:val="0"/>
          <w:numId w:val="0"/>
        </w:numPr>
        <w:rPr>
          <w:rFonts w:ascii="Trebuchet MS" w:hAnsi="Trebuchet MS"/>
          <w:color w:val="auto"/>
          <w:sz w:val="18"/>
          <w:szCs w:val="18"/>
        </w:rPr>
      </w:pPr>
    </w:p>
    <w:p w:rsidR="0061027C" w:rsidP="0061027C" w:rsidRDefault="0061027C" w14:paraId="263A7B15" w14:textId="77777777">
      <w:pPr>
        <w:pStyle w:val="SEOStandaard"/>
        <w:numPr>
          <w:ilvl w:val="0"/>
          <w:numId w:val="0"/>
        </w:numPr>
        <w:rPr>
          <w:rFonts w:ascii="Trebuchet MS" w:hAnsi="Trebuchet MS"/>
          <w:color w:val="auto"/>
          <w:sz w:val="18"/>
          <w:szCs w:val="18"/>
        </w:rPr>
      </w:pPr>
    </w:p>
    <w:p w:rsidRPr="001B6CAF" w:rsidR="00491903" w:rsidP="001B6CAF" w:rsidRDefault="0061027C" w14:paraId="3E83F162" w14:textId="22601C04">
      <w:pPr>
        <w:spacing w:after="160" w:line="259" w:lineRule="auto"/>
        <w:rPr>
          <w:rFonts w:eastAsiaTheme="minorEastAsia" w:cstheme="minorBidi"/>
          <w:szCs w:val="18"/>
          <w:lang w:eastAsia="en-US"/>
        </w:rPr>
      </w:pPr>
      <w:r>
        <w:rPr>
          <w:szCs w:val="18"/>
        </w:rPr>
        <w:br w:type="page"/>
      </w:r>
    </w:p>
    <w:p w:rsidRPr="00C04884" w:rsidR="004D179C" w:rsidP="004D179C" w:rsidRDefault="004D179C" w14:paraId="1C8BB280" w14:textId="77777777">
      <w:pPr>
        <w:pStyle w:val="Kop1"/>
        <w:rPr>
          <w:b w:val="0"/>
          <w:bCs w:val="0"/>
          <w:szCs w:val="24"/>
        </w:rPr>
      </w:pPr>
      <w:bookmarkStart w:name="_Toc203573592" w:id="65"/>
      <w:r w:rsidRPr="000D1293">
        <w:rPr>
          <w:szCs w:val="24"/>
        </w:rPr>
        <w:lastRenderedPageBreak/>
        <w:t xml:space="preserve">Wat merken </w:t>
      </w:r>
      <w:r>
        <w:rPr>
          <w:szCs w:val="24"/>
        </w:rPr>
        <w:t>vmbo-</w:t>
      </w:r>
      <w:r w:rsidRPr="000D1293">
        <w:rPr>
          <w:szCs w:val="24"/>
        </w:rPr>
        <w:t>leerlingen van de aandacht voor techniek</w:t>
      </w:r>
      <w:r>
        <w:rPr>
          <w:szCs w:val="24"/>
        </w:rPr>
        <w:t>?</w:t>
      </w:r>
      <w:bookmarkEnd w:id="65"/>
    </w:p>
    <w:p w:rsidR="004D179C" w:rsidP="004D179C" w:rsidRDefault="004D179C" w14:paraId="0C511B78" w14:textId="48EBD179">
      <w:pPr>
        <w:jc w:val="both"/>
        <w:rPr>
          <w:rFonts w:eastAsiaTheme="minorEastAsia"/>
          <w:szCs w:val="18"/>
        </w:rPr>
      </w:pPr>
      <w:r w:rsidRPr="00C04884">
        <w:rPr>
          <w:rFonts w:eastAsiaTheme="minorEastAsia"/>
          <w:szCs w:val="18"/>
        </w:rPr>
        <w:t xml:space="preserve">Van mei tot begin juli 2025 is een vragenlijst uitgezet onder leerlingen van vmbo-scholen, waarin werd gevraagd naar hun ervaringen met STO en techniekactiviteiten. De vragenlijst bevatte vragen over deelname aan en beoordeling van technische activiteiten </w:t>
      </w:r>
      <w:r>
        <w:rPr>
          <w:rFonts w:eastAsiaTheme="minorEastAsia"/>
          <w:szCs w:val="18"/>
        </w:rPr>
        <w:t>in het po en vo,</w:t>
      </w:r>
      <w:r w:rsidRPr="00C04884">
        <w:rPr>
          <w:rFonts w:eastAsiaTheme="minorEastAsia"/>
          <w:szCs w:val="18"/>
        </w:rPr>
        <w:t xml:space="preserve"> hun interesse in techniek, de mening van leerlingen over de gevolgde technieklessen en -docenten en hun beoogde profielkeuze en/of vervolgopleiding. De resultaten van deze vragenlijst geven inzicht in de ervaringen van leerlingen voor wie STO bedoeld is. </w:t>
      </w:r>
      <w:r w:rsidRPr="625A0593">
        <w:rPr>
          <w:rFonts w:eastAsiaTheme="minorEastAsia"/>
          <w:szCs w:val="18"/>
        </w:rPr>
        <w:t xml:space="preserve">In het bijzonder zijn we ook ingegaan op de mate waarin leerlingen interesse ervaren in techniek. Omdat het bevorderen van interesse voor techniek een doel is van STO, is in de vragenlijst (net als bij de lesobservaties in H3) expliciet aandacht besteed aan signalen van betrokkenheid, enthousiasme en motivatie. Om deze interesseontwikkeling systematisch in kaart te brengen, is gebruikgemaakt van het vier fasen model van interesseontwikkeling (Hidi &amp; Renninger, 2006). Dit model beschrijft hoe interesse zich geleidelijk kan ontwikkelen, van een eerste situatieve prikkel tot een diepgewortelde individuele belangstelling. Het model onderscheidt vier fasen van interesseontwikkeling. De eerste fase, </w:t>
      </w:r>
      <w:r w:rsidRPr="625A0593">
        <w:rPr>
          <w:rFonts w:eastAsiaTheme="minorEastAsia"/>
          <w:i/>
          <w:iCs/>
          <w:szCs w:val="18"/>
        </w:rPr>
        <w:t>triggered situational interest</w:t>
      </w:r>
      <w:r w:rsidRPr="625A0593">
        <w:rPr>
          <w:rFonts w:eastAsiaTheme="minorEastAsia"/>
          <w:szCs w:val="18"/>
        </w:rPr>
        <w:t xml:space="preserve">, verwijst naar een kortstondige vorm van interesse die wordt opgewekt door externe prikkels, zoals een boeiende activiteit of een verrassend experiment. Wanneer deze initiële belangstelling wordt vastgehouden, spreekt men van </w:t>
      </w:r>
      <w:r w:rsidRPr="625A0593">
        <w:rPr>
          <w:rFonts w:eastAsiaTheme="minorEastAsia"/>
          <w:i/>
          <w:iCs/>
          <w:szCs w:val="18"/>
        </w:rPr>
        <w:t>maintained situational interest</w:t>
      </w:r>
      <w:r w:rsidRPr="625A0593">
        <w:rPr>
          <w:rFonts w:eastAsiaTheme="minorEastAsia"/>
          <w:szCs w:val="18"/>
        </w:rPr>
        <w:t xml:space="preserve"> – een situatiegebonden vorm van interesse die standhoudt dankzij betekenisvolle en aantrekkelijke ervaringen. In de derde fase, </w:t>
      </w:r>
      <w:r w:rsidRPr="625A0593">
        <w:rPr>
          <w:rFonts w:eastAsiaTheme="minorEastAsia"/>
          <w:i/>
          <w:iCs/>
          <w:szCs w:val="18"/>
        </w:rPr>
        <w:t>emerging individual interest</w:t>
      </w:r>
      <w:r w:rsidRPr="625A0593">
        <w:rPr>
          <w:rFonts w:eastAsiaTheme="minorEastAsia"/>
          <w:szCs w:val="18"/>
        </w:rPr>
        <w:t xml:space="preserve">, ontwikkelt zich een beginnende persoonlijke belangstelling, waarbij leerlingen zelf gemotiveerd raken om meer over het onderwerp te leren. Uiteindelijk kan deze belangstelling uitgroeien tot </w:t>
      </w:r>
      <w:r w:rsidRPr="625A0593">
        <w:rPr>
          <w:rFonts w:eastAsiaTheme="minorEastAsia"/>
          <w:i/>
          <w:iCs/>
          <w:szCs w:val="18"/>
        </w:rPr>
        <w:t>well-developed individual interest</w:t>
      </w:r>
      <w:r w:rsidRPr="625A0593">
        <w:rPr>
          <w:rFonts w:eastAsiaTheme="minorEastAsia"/>
          <w:szCs w:val="18"/>
        </w:rPr>
        <w:t>, een diepgaande en duurzame interesse, waarbij leerlingen actief op zoek gaan naar verdere verdieping en nieuwe leerervaringen binnen het betreffende domein.</w:t>
      </w:r>
    </w:p>
    <w:p w:rsidRPr="005169E4" w:rsidR="00A47A07" w:rsidP="004D179C" w:rsidRDefault="00A47A07" w14:paraId="76EE2FBF" w14:textId="77777777">
      <w:pPr>
        <w:jc w:val="both"/>
        <w:rPr>
          <w:rFonts w:eastAsiaTheme="minorEastAsia"/>
          <w:szCs w:val="18"/>
        </w:rPr>
      </w:pPr>
    </w:p>
    <w:p w:rsidR="004D179C" w:rsidP="004D179C" w:rsidRDefault="004D179C" w14:paraId="1E977DFF" w14:textId="77777777">
      <w:pPr>
        <w:jc w:val="both"/>
        <w:rPr>
          <w:rFonts w:eastAsiaTheme="minorEastAsia"/>
          <w:szCs w:val="18"/>
        </w:rPr>
      </w:pPr>
      <w:r w:rsidRPr="00FA1557">
        <w:rPr>
          <w:rFonts w:eastAsiaTheme="minorEastAsia"/>
          <w:szCs w:val="18"/>
        </w:rPr>
        <w:t xml:space="preserve">Door leerlingen te bevragen op kenmerken die passen bij deze vier fasen, </w:t>
      </w:r>
      <w:r>
        <w:rPr>
          <w:rFonts w:eastAsiaTheme="minorEastAsia"/>
          <w:szCs w:val="18"/>
        </w:rPr>
        <w:t>kunnen we bepalen in hoeverre zij interesse in techniek ervaren. Vervolgens kunnen we nagaan of deze interesse mogelijk hoger is als leerlingen meer in aanraking zijn gekomen met techniek-activiteiten, om zo aanwijzingen voor mogelijke effectiviteit van STO-activiteiten in kaart te brengen.</w:t>
      </w:r>
    </w:p>
    <w:p w:rsidR="00A47A07" w:rsidP="004D179C" w:rsidRDefault="00A47A07" w14:paraId="714A3FE8" w14:textId="77777777">
      <w:pPr>
        <w:jc w:val="both"/>
        <w:rPr>
          <w:rFonts w:eastAsiaTheme="minorEastAsia"/>
          <w:szCs w:val="18"/>
        </w:rPr>
      </w:pPr>
    </w:p>
    <w:p w:rsidR="004D179C" w:rsidP="004D179C" w:rsidRDefault="004D179C" w14:paraId="34C96A57" w14:textId="77777777">
      <w:pPr>
        <w:jc w:val="both"/>
        <w:rPr>
          <w:rFonts w:eastAsiaTheme="minorEastAsia"/>
          <w:szCs w:val="18"/>
        </w:rPr>
      </w:pPr>
      <w:r w:rsidRPr="625A0593">
        <w:rPr>
          <w:rFonts w:eastAsiaTheme="minorEastAsia"/>
          <w:szCs w:val="18"/>
        </w:rPr>
        <w:t>Verder zijn we in de vragenlijst, net als in de observaties (H3) ingegaan op drie basiselementen voor het ontwikkelen van intrinsieke motivatie. Techniekonderwijs – zowel binnen als buiten de school – is doorgaans gericht op het stimuleren van interesse en motivatie voor techniek, en tegelijkertijd op het ontwikkelen van relevante kennis en vaardigheden. Om dit effectief te realiseren, is het van belang dat het onderwijsaanbod niet alleen inhoudelijk aantrekkelijk is, maar ook op een pedagogisch-didactische manier wordt vormgegeven die aansluit bij de psychologische basisbehoeften van leerlingen: autonomie, competentie en verbondenheid. Volgens de Self-Determination Theory van Deci en Ryan (2000) zijn deze drie behoeften essentieel voor het ontstaan en in stand houden van intrinsieke motivatie. Autonomie verwijst naar het gevoel invloed te hebben op het eigen leerproces – bijvoorbeeld door keuzevrijheid of ruimte voor eigen inbreng. Competentie gaat over het ervaren van succes en bekwaamheid, zoals wanneer leerlingen merken dat ze iets beheersen of begrijpen. Verbondenheid betreft het gevoel van erbij horen en gewaardeerd worden, zowel door begeleiders als medeleerlingen. De theorie voorspelt dat, wanneer leerlingen de ruimte krijgen om zelfstandig keuzes te maken, succeservaringen opdoen en zich gezien en ondersteund voelen in de leeromgeving, dit aantoonbaar bijdraagt aan hun motivatie en betrokkenheid.</w:t>
      </w:r>
    </w:p>
    <w:p w:rsidRPr="008366CD" w:rsidR="00A47A07" w:rsidP="004D179C" w:rsidRDefault="00A47A07" w14:paraId="5796AF69" w14:textId="77777777">
      <w:pPr>
        <w:jc w:val="both"/>
        <w:rPr>
          <w:rFonts w:eastAsiaTheme="minorEastAsia"/>
          <w:szCs w:val="18"/>
        </w:rPr>
      </w:pPr>
    </w:p>
    <w:p w:rsidRPr="008366CD" w:rsidR="004D179C" w:rsidP="004D179C" w:rsidRDefault="004D179C" w14:paraId="2E01691E" w14:textId="77777777">
      <w:pPr>
        <w:jc w:val="both"/>
        <w:rPr>
          <w:rFonts w:eastAsiaTheme="minorEastAsia"/>
          <w:szCs w:val="18"/>
        </w:rPr>
      </w:pPr>
      <w:r w:rsidRPr="008366CD">
        <w:rPr>
          <w:rFonts w:eastAsiaTheme="minorEastAsia"/>
          <w:szCs w:val="18"/>
        </w:rPr>
        <w:t>Tegelijkertijd is nog onvoldoende duidelijk in welke mate en op welke manier deze drie elementen idealiter aanwezig zouden moeten zijn in techniekonderwijs voor deze doelgroep. Hoewel het belang van autonomie, competentie en verbondenheid in algemene zin goed onderbouwd is, vraagt de vertaling naar concrete onderwijspraktijken in het techniekdomein – met zijn vaak praktijkgerichte, vakinhoudelijke en contextgebonden karakter – om nader onderzoek.</w:t>
      </w:r>
      <w:r>
        <w:rPr>
          <w:rFonts w:eastAsiaTheme="minorEastAsia"/>
          <w:szCs w:val="18"/>
        </w:rPr>
        <w:t xml:space="preserve"> </w:t>
      </w:r>
      <w:r w:rsidRPr="008366CD">
        <w:rPr>
          <w:rFonts w:eastAsiaTheme="minorEastAsia"/>
          <w:szCs w:val="18"/>
        </w:rPr>
        <w:t xml:space="preserve">Het huidige onderzoek beoogt bij te dragen aan </w:t>
      </w:r>
      <w:r>
        <w:rPr>
          <w:rFonts w:eastAsiaTheme="minorEastAsia"/>
          <w:szCs w:val="18"/>
        </w:rPr>
        <w:t>inzicht hierin</w:t>
      </w:r>
      <w:r w:rsidRPr="008366CD">
        <w:rPr>
          <w:rFonts w:eastAsiaTheme="minorEastAsia"/>
          <w:szCs w:val="18"/>
        </w:rPr>
        <w:t xml:space="preserve"> door </w:t>
      </w:r>
      <w:r>
        <w:rPr>
          <w:rFonts w:eastAsiaTheme="minorEastAsia"/>
          <w:szCs w:val="18"/>
        </w:rPr>
        <w:t xml:space="preserve">ervaringen van leerlingen </w:t>
      </w:r>
      <w:r w:rsidRPr="008366CD">
        <w:rPr>
          <w:rFonts w:eastAsiaTheme="minorEastAsia"/>
          <w:szCs w:val="18"/>
        </w:rPr>
        <w:t>uit de praktijk te koppelen aan deze onderliggende motivatietheorie, met als doel beter te begrijpen hoe techniekonderwijs motiverend kan worden ingericht voor jongeren.</w:t>
      </w:r>
    </w:p>
    <w:p w:rsidR="004D179C" w:rsidP="004D179C" w:rsidRDefault="004D179C" w14:paraId="072A71C1" w14:textId="77777777">
      <w:pPr>
        <w:rPr>
          <w:rFonts w:eastAsiaTheme="minorEastAsia"/>
          <w:szCs w:val="18"/>
        </w:rPr>
      </w:pPr>
      <w:r>
        <w:rPr>
          <w:rFonts w:eastAsiaTheme="minorEastAsia"/>
          <w:szCs w:val="18"/>
        </w:rPr>
        <w:br w:type="page"/>
      </w:r>
    </w:p>
    <w:p w:rsidR="004D179C" w:rsidP="004D179C" w:rsidRDefault="004D179C" w14:paraId="025AA207" w14:textId="77777777">
      <w:pPr>
        <w:jc w:val="both"/>
        <w:rPr>
          <w:rFonts w:eastAsiaTheme="minorEastAsia"/>
          <w:szCs w:val="18"/>
        </w:rPr>
      </w:pPr>
    </w:p>
    <w:p w:rsidR="004D179C" w:rsidP="00915646" w:rsidRDefault="004D179C" w14:paraId="1B5237DB" w14:textId="57369155">
      <w:pPr>
        <w:pStyle w:val="Kop3zondernummering"/>
        <w:rPr>
          <w:rFonts w:eastAsiaTheme="minorEastAsia"/>
        </w:rPr>
      </w:pPr>
    </w:p>
    <w:p w:rsidRPr="00172C52" w:rsidR="00172C52" w:rsidP="00172C52" w:rsidRDefault="00172C52" w14:paraId="6AC20579" w14:textId="515717B8">
      <w:pPr>
        <w:rPr>
          <w:rFonts w:eastAsiaTheme="minorEastAsia"/>
          <w:i/>
          <w:iCs/>
        </w:rPr>
      </w:pPr>
      <w:r w:rsidRPr="00172C52">
        <w:rPr>
          <w:rFonts w:eastAsiaTheme="minorEastAsia"/>
          <w:i/>
          <w:iCs/>
        </w:rPr>
        <w:t>Aanpak</w:t>
      </w:r>
    </w:p>
    <w:p w:rsidR="004D179C" w:rsidP="004D179C" w:rsidRDefault="004D179C" w14:paraId="3C357CF6" w14:textId="77777777">
      <w:pPr>
        <w:jc w:val="both"/>
        <w:rPr>
          <w:rFonts w:eastAsiaTheme="minorEastAsia"/>
          <w:szCs w:val="18"/>
        </w:rPr>
      </w:pPr>
      <w:r w:rsidRPr="625A0593">
        <w:rPr>
          <w:rFonts w:eastAsiaTheme="minorEastAsia"/>
          <w:szCs w:val="18"/>
        </w:rPr>
        <w:t>De oproep om mee te doen met de vragenlijst is verspreid via social media (onder andere LinkedIn), de nieuwsbrief van STO en de website van STO. Daarnaast zijn contactpersonen per e-mail benaderd. Leerkrachten, schooldirecteuren en regiocoördinatoren van STO kwamen in contact met onderzoekers en kregen via e-mail een link toegestuurd naar de vragenlijst voor vmbo-leerlingen. Leerlingen van alle leerjare</w:t>
      </w:r>
      <w:r>
        <w:rPr>
          <w:rFonts w:eastAsiaTheme="minorEastAsia"/>
          <w:szCs w:val="18"/>
        </w:rPr>
        <w:t>n</w:t>
      </w:r>
      <w:r w:rsidRPr="625A0593">
        <w:rPr>
          <w:rFonts w:eastAsiaTheme="minorEastAsia"/>
          <w:szCs w:val="18"/>
        </w:rPr>
        <w:t xml:space="preserve"> konden de vragenlijst volledig anoniem invullen. Per school werd één link aangemaakt, die onder alle leerlingen binnen de school verspreid kon worden. De vragenlijst kon worden ingevuld tot en met 3 juli 2025. Tijdens de wervingsperiode zijn maximaal twee rappels naar contactpersonen verstuurd.</w:t>
      </w:r>
    </w:p>
    <w:p w:rsidRPr="00C04884" w:rsidR="00D43F8C" w:rsidP="004D179C" w:rsidRDefault="00D43F8C" w14:paraId="464DFCBC" w14:textId="77777777">
      <w:pPr>
        <w:jc w:val="both"/>
        <w:rPr>
          <w:rFonts w:eastAsiaTheme="minorEastAsia"/>
          <w:szCs w:val="18"/>
        </w:rPr>
      </w:pPr>
    </w:p>
    <w:p w:rsidRPr="00C04884" w:rsidR="004D179C" w:rsidP="004D179C" w:rsidRDefault="004D179C" w14:paraId="6B07D03E" w14:textId="77777777">
      <w:pPr>
        <w:pStyle w:val="SEOStandaard"/>
        <w:numPr>
          <w:ilvl w:val="0"/>
          <w:numId w:val="0"/>
        </w:numPr>
        <w:rPr>
          <w:rFonts w:ascii="Trebuchet MS" w:hAnsi="Trebuchet MS"/>
          <w:i/>
          <w:iCs/>
          <w:color w:val="auto"/>
          <w:sz w:val="18"/>
          <w:szCs w:val="18"/>
        </w:rPr>
      </w:pPr>
      <w:r w:rsidRPr="00C04884">
        <w:rPr>
          <w:rFonts w:ascii="Trebuchet MS" w:hAnsi="Trebuchet MS"/>
          <w:i/>
          <w:iCs/>
          <w:color w:val="auto"/>
          <w:sz w:val="18"/>
          <w:szCs w:val="18"/>
        </w:rPr>
        <w:t>Respons</w:t>
      </w:r>
    </w:p>
    <w:p w:rsidR="004D179C" w:rsidP="004D179C" w:rsidRDefault="004D179C" w14:paraId="25CCC36D" w14:textId="77777777">
      <w:pPr>
        <w:pStyle w:val="SEOStandaard"/>
        <w:numPr>
          <w:ilvl w:val="0"/>
          <w:numId w:val="0"/>
        </w:numPr>
        <w:rPr>
          <w:rFonts w:ascii="Trebuchet MS" w:hAnsi="Trebuchet MS"/>
          <w:color w:val="auto"/>
          <w:sz w:val="18"/>
          <w:szCs w:val="18"/>
        </w:rPr>
      </w:pPr>
      <w:r w:rsidRPr="625A0593">
        <w:rPr>
          <w:rFonts w:ascii="Trebuchet MS" w:hAnsi="Trebuchet MS"/>
          <w:color w:val="auto"/>
          <w:sz w:val="18"/>
          <w:szCs w:val="18"/>
        </w:rPr>
        <w:t xml:space="preserve">In totaal hebben 1,049 leerlingen van 28 vmbo-scholen de enquête ingevuld. Het merendeel van deze leerlingen is afkomstig van twee </w:t>
      </w:r>
      <w:r>
        <w:rPr>
          <w:rFonts w:ascii="Trebuchet MS" w:hAnsi="Trebuchet MS"/>
          <w:color w:val="auto"/>
          <w:sz w:val="18"/>
          <w:szCs w:val="18"/>
        </w:rPr>
        <w:t>vo-</w:t>
      </w:r>
      <w:r w:rsidRPr="625A0593">
        <w:rPr>
          <w:rFonts w:ascii="Trebuchet MS" w:hAnsi="Trebuchet MS"/>
          <w:color w:val="auto"/>
          <w:sz w:val="18"/>
          <w:szCs w:val="18"/>
        </w:rPr>
        <w:t xml:space="preserve">scholen en bij slechts twaalf scholen hebben meer dan 10 leerlingen de vragenlijst ingevuld. Dit betekent dat de resultaten in dit hoofdstuk uitdrukkelijk </w:t>
      </w:r>
      <w:r w:rsidRPr="625A0593">
        <w:rPr>
          <w:rFonts w:ascii="Trebuchet MS" w:hAnsi="Trebuchet MS"/>
          <w:i/>
          <w:iCs/>
          <w:color w:val="auto"/>
          <w:sz w:val="18"/>
          <w:szCs w:val="18"/>
        </w:rPr>
        <w:t>niet</w:t>
      </w:r>
      <w:r w:rsidRPr="625A0593">
        <w:rPr>
          <w:rFonts w:ascii="Trebuchet MS" w:hAnsi="Trebuchet MS"/>
          <w:color w:val="auto"/>
          <w:sz w:val="18"/>
          <w:szCs w:val="18"/>
        </w:rPr>
        <w:t xml:space="preserve"> generaliseerbaar zijn naar een landelijk beeld, maar hooguit indicaties kunnen geven van verbanden tussen bijvoorbeeld deelname aan technische activiteiten en interesse in techniek.  </w:t>
      </w:r>
    </w:p>
    <w:p w:rsidR="00A47A07" w:rsidP="004D179C" w:rsidRDefault="00A47A07" w14:paraId="49FE28A8" w14:textId="77777777">
      <w:pPr>
        <w:pStyle w:val="SEOStandaard"/>
        <w:numPr>
          <w:ilvl w:val="0"/>
          <w:numId w:val="0"/>
        </w:numPr>
        <w:rPr>
          <w:rFonts w:ascii="Trebuchet MS" w:hAnsi="Trebuchet MS"/>
          <w:color w:val="auto"/>
          <w:sz w:val="18"/>
          <w:szCs w:val="18"/>
        </w:rPr>
      </w:pPr>
    </w:p>
    <w:p w:rsidRPr="00A47A07" w:rsidR="00A47A07" w:rsidP="00A47A07" w:rsidRDefault="00A47A07" w14:paraId="6F6CEC1A" w14:textId="39DFD2BF">
      <w:pPr>
        <w:rPr>
          <w:rFonts w:eastAsiaTheme="majorEastAsia" w:cstheme="majorBidi"/>
          <w:b/>
          <w:bCs/>
          <w:color w:val="1D509A"/>
          <w:szCs w:val="26"/>
        </w:rPr>
      </w:pPr>
      <w:r w:rsidRPr="00C04884">
        <w:rPr>
          <w:rFonts w:eastAsiaTheme="minorEastAsia"/>
          <w:szCs w:val="18"/>
        </w:rPr>
        <w:t xml:space="preserve">Tabel </w:t>
      </w:r>
      <w:r w:rsidR="001B6CAF">
        <w:rPr>
          <w:rFonts w:eastAsiaTheme="minorEastAsia"/>
          <w:szCs w:val="18"/>
        </w:rPr>
        <w:t>6</w:t>
      </w:r>
      <w:r w:rsidRPr="00C04884">
        <w:rPr>
          <w:rFonts w:eastAsiaTheme="minorEastAsia"/>
          <w:szCs w:val="18"/>
        </w:rPr>
        <w:t>.1 Kenmerken van de leerlingen in de vragenlijst</w:t>
      </w:r>
    </w:p>
    <w:tbl>
      <w:tblPr>
        <w:tblStyle w:val="Rastertabel1licht"/>
        <w:tblW w:w="0" w:type="auto"/>
        <w:tblLook w:val="0420" w:firstRow="1" w:lastRow="0" w:firstColumn="0" w:lastColumn="0" w:noHBand="0" w:noVBand="1"/>
      </w:tblPr>
      <w:tblGrid>
        <w:gridCol w:w="3058"/>
        <w:gridCol w:w="1243"/>
      </w:tblGrid>
      <w:tr w:rsidRPr="00C04884" w:rsidR="00A47A07" w:rsidTr="001E4A94" w14:paraId="53A24EA7" w14:textId="77777777">
        <w:trPr>
          <w:cnfStyle w:val="100000000000" w:firstRow="1" w:lastRow="0" w:firstColumn="0" w:lastColumn="0" w:oddVBand="0" w:evenVBand="0" w:oddHBand="0" w:evenHBand="0" w:firstRowFirstColumn="0" w:firstRowLastColumn="0" w:lastRowFirstColumn="0" w:lastRowLastColumn="0"/>
        </w:trPr>
        <w:tc>
          <w:tcPr>
            <w:tcW w:w="0" w:type="auto"/>
          </w:tcPr>
          <w:p w:rsidRPr="00C04884" w:rsidR="00A47A07" w:rsidP="001E4A94" w:rsidRDefault="00A47A07" w14:paraId="40AA846D" w14:textId="77777777">
            <w:pPr>
              <w:rPr>
                <w:rFonts w:eastAsiaTheme="minorEastAsia"/>
                <w:kern w:val="0"/>
                <w:szCs w:val="18"/>
                <w14:ligatures w14:val="none"/>
              </w:rPr>
            </w:pPr>
            <w:r w:rsidRPr="00C04884">
              <w:rPr>
                <w:rFonts w:eastAsiaTheme="minorEastAsia"/>
                <w:kern w:val="0"/>
                <w:szCs w:val="18"/>
                <w14:ligatures w14:val="none"/>
              </w:rPr>
              <w:t>Kenmerken</w:t>
            </w:r>
          </w:p>
        </w:tc>
        <w:tc>
          <w:tcPr>
            <w:tcW w:w="0" w:type="auto"/>
          </w:tcPr>
          <w:p w:rsidRPr="00C04884" w:rsidR="00A47A07" w:rsidP="001E4A94" w:rsidRDefault="00A47A07" w14:paraId="68A7217D" w14:textId="77777777">
            <w:pPr>
              <w:rPr>
                <w:rFonts w:eastAsiaTheme="minorEastAsia"/>
                <w:b w:val="0"/>
                <w:bCs w:val="0"/>
                <w:kern w:val="0"/>
                <w:szCs w:val="18"/>
                <w14:ligatures w14:val="none"/>
              </w:rPr>
            </w:pPr>
            <w:r w:rsidRPr="00C04884">
              <w:rPr>
                <w:rFonts w:eastAsiaTheme="minorEastAsia"/>
                <w:kern w:val="0"/>
                <w:szCs w:val="18"/>
                <w14:ligatures w14:val="none"/>
              </w:rPr>
              <w:t xml:space="preserve">Percentages </w:t>
            </w:r>
          </w:p>
          <w:p w:rsidRPr="00C04884" w:rsidR="00A47A07" w:rsidP="001E4A94" w:rsidRDefault="00A47A07" w14:paraId="6EBC94B8" w14:textId="77777777">
            <w:pPr>
              <w:rPr>
                <w:rFonts w:eastAsiaTheme="minorEastAsia"/>
                <w:kern w:val="0"/>
                <w:szCs w:val="18"/>
                <w14:ligatures w14:val="none"/>
              </w:rPr>
            </w:pPr>
            <w:r w:rsidRPr="00C04884">
              <w:rPr>
                <w:rFonts w:eastAsiaTheme="minorEastAsia"/>
                <w:kern w:val="0"/>
                <w:szCs w:val="18"/>
                <w14:ligatures w14:val="none"/>
              </w:rPr>
              <w:t>(N=1,049)</w:t>
            </w:r>
          </w:p>
        </w:tc>
      </w:tr>
      <w:tr w:rsidRPr="00C04884" w:rsidR="00A47A07" w:rsidTr="001E4A94" w14:paraId="1821A205" w14:textId="77777777">
        <w:tc>
          <w:tcPr>
            <w:tcW w:w="0" w:type="auto"/>
          </w:tcPr>
          <w:p w:rsidRPr="00C04884" w:rsidR="00A47A07" w:rsidP="001E4A94" w:rsidRDefault="00A47A07" w14:paraId="14B04798" w14:textId="77777777">
            <w:pPr>
              <w:rPr>
                <w:rFonts w:eastAsiaTheme="minorEastAsia"/>
                <w:kern w:val="0"/>
                <w:szCs w:val="18"/>
                <w14:ligatures w14:val="none"/>
              </w:rPr>
            </w:pPr>
            <w:r w:rsidRPr="00C04884">
              <w:rPr>
                <w:rFonts w:eastAsiaTheme="minorEastAsia"/>
                <w:kern w:val="0"/>
                <w:szCs w:val="18"/>
                <w14:ligatures w14:val="none"/>
              </w:rPr>
              <w:t>Leerjaar</w:t>
            </w:r>
          </w:p>
        </w:tc>
        <w:tc>
          <w:tcPr>
            <w:tcW w:w="0" w:type="auto"/>
          </w:tcPr>
          <w:p w:rsidRPr="00C04884" w:rsidR="00A47A07" w:rsidP="001E4A94" w:rsidRDefault="00A47A07" w14:paraId="49B74D69" w14:textId="77777777">
            <w:pPr>
              <w:rPr>
                <w:rFonts w:eastAsiaTheme="minorEastAsia"/>
                <w:kern w:val="0"/>
                <w:szCs w:val="18"/>
                <w14:ligatures w14:val="none"/>
              </w:rPr>
            </w:pPr>
          </w:p>
        </w:tc>
      </w:tr>
      <w:tr w:rsidRPr="00C04884" w:rsidR="00A47A07" w:rsidTr="001E4A94" w14:paraId="75F57A06" w14:textId="77777777">
        <w:tc>
          <w:tcPr>
            <w:tcW w:w="0" w:type="auto"/>
          </w:tcPr>
          <w:p w:rsidRPr="00C04884" w:rsidR="00A47A07" w:rsidP="001E4A94" w:rsidRDefault="00A47A07" w14:paraId="5D514A5E" w14:textId="77777777">
            <w:pPr>
              <w:ind w:left="171"/>
              <w:rPr>
                <w:rFonts w:eastAsiaTheme="minorEastAsia"/>
                <w:kern w:val="0"/>
                <w:szCs w:val="18"/>
                <w14:ligatures w14:val="none"/>
              </w:rPr>
            </w:pPr>
            <w:r w:rsidRPr="00C04884">
              <w:rPr>
                <w:rFonts w:eastAsiaTheme="minorEastAsia"/>
                <w:kern w:val="0"/>
                <w:szCs w:val="18"/>
                <w14:ligatures w14:val="none"/>
              </w:rPr>
              <w:t>Leerjaar 1</w:t>
            </w:r>
          </w:p>
        </w:tc>
        <w:tc>
          <w:tcPr>
            <w:tcW w:w="0" w:type="auto"/>
          </w:tcPr>
          <w:p w:rsidRPr="00C04884" w:rsidR="00A47A07" w:rsidP="001E4A94" w:rsidRDefault="00A47A07" w14:paraId="129EECF7" w14:textId="77777777">
            <w:pPr>
              <w:rPr>
                <w:rFonts w:eastAsiaTheme="minorEastAsia"/>
                <w:kern w:val="0"/>
                <w:szCs w:val="18"/>
                <w14:ligatures w14:val="none"/>
              </w:rPr>
            </w:pPr>
            <w:r w:rsidRPr="00C04884">
              <w:rPr>
                <w:rFonts w:cs="Arial"/>
                <w:color w:val="010205"/>
                <w:szCs w:val="18"/>
              </w:rPr>
              <w:t>25,0%</w:t>
            </w:r>
          </w:p>
        </w:tc>
      </w:tr>
      <w:tr w:rsidRPr="00C04884" w:rsidR="00A47A07" w:rsidTr="001E4A94" w14:paraId="02CC45F6" w14:textId="77777777">
        <w:tc>
          <w:tcPr>
            <w:tcW w:w="0" w:type="auto"/>
          </w:tcPr>
          <w:p w:rsidRPr="00C04884" w:rsidR="00A47A07" w:rsidP="001E4A94" w:rsidRDefault="00A47A07" w14:paraId="65571E28" w14:textId="77777777">
            <w:pPr>
              <w:ind w:left="171"/>
              <w:rPr>
                <w:rFonts w:eastAsiaTheme="minorEastAsia"/>
                <w:kern w:val="0"/>
                <w:szCs w:val="18"/>
                <w14:ligatures w14:val="none"/>
              </w:rPr>
            </w:pPr>
            <w:r w:rsidRPr="00C04884">
              <w:rPr>
                <w:rFonts w:eastAsiaTheme="minorEastAsia"/>
                <w:kern w:val="0"/>
                <w:szCs w:val="18"/>
                <w14:ligatures w14:val="none"/>
              </w:rPr>
              <w:t>Leerjaar 2</w:t>
            </w:r>
          </w:p>
        </w:tc>
        <w:tc>
          <w:tcPr>
            <w:tcW w:w="0" w:type="auto"/>
          </w:tcPr>
          <w:p w:rsidRPr="00C04884" w:rsidR="00A47A07" w:rsidP="001E4A94" w:rsidRDefault="00A47A07" w14:paraId="5A2CC69C" w14:textId="77777777">
            <w:pPr>
              <w:rPr>
                <w:rFonts w:eastAsiaTheme="minorEastAsia"/>
                <w:kern w:val="0"/>
                <w:szCs w:val="18"/>
                <w14:ligatures w14:val="none"/>
              </w:rPr>
            </w:pPr>
            <w:r w:rsidRPr="00C04884">
              <w:rPr>
                <w:rFonts w:cs="Arial"/>
                <w:color w:val="010205"/>
                <w:szCs w:val="18"/>
              </w:rPr>
              <w:t>55,8%</w:t>
            </w:r>
          </w:p>
        </w:tc>
      </w:tr>
      <w:tr w:rsidRPr="00C04884" w:rsidR="00A47A07" w:rsidTr="001E4A94" w14:paraId="7BF094EC" w14:textId="77777777">
        <w:trPr>
          <w:trHeight w:val="60"/>
        </w:trPr>
        <w:tc>
          <w:tcPr>
            <w:tcW w:w="0" w:type="auto"/>
          </w:tcPr>
          <w:p w:rsidRPr="00C04884" w:rsidR="00A47A07" w:rsidP="001E4A94" w:rsidRDefault="00A47A07" w14:paraId="71A4A86F" w14:textId="77777777">
            <w:pPr>
              <w:ind w:left="171"/>
              <w:rPr>
                <w:rFonts w:eastAsiaTheme="minorEastAsia"/>
                <w:kern w:val="0"/>
                <w:szCs w:val="18"/>
                <w14:ligatures w14:val="none"/>
              </w:rPr>
            </w:pPr>
            <w:r w:rsidRPr="00C04884">
              <w:rPr>
                <w:rFonts w:eastAsiaTheme="minorEastAsia"/>
                <w:kern w:val="0"/>
                <w:szCs w:val="18"/>
                <w14:ligatures w14:val="none"/>
              </w:rPr>
              <w:t>Leerjaar 3</w:t>
            </w:r>
          </w:p>
        </w:tc>
        <w:tc>
          <w:tcPr>
            <w:tcW w:w="0" w:type="auto"/>
          </w:tcPr>
          <w:p w:rsidRPr="00C04884" w:rsidR="00A47A07" w:rsidP="001E4A94" w:rsidRDefault="00A47A07" w14:paraId="54DEA1C3" w14:textId="77777777">
            <w:pPr>
              <w:rPr>
                <w:rFonts w:eastAsiaTheme="minorEastAsia"/>
                <w:kern w:val="0"/>
                <w:szCs w:val="18"/>
                <w14:ligatures w14:val="none"/>
              </w:rPr>
            </w:pPr>
            <w:r w:rsidRPr="00C04884">
              <w:rPr>
                <w:rFonts w:cs="Arial"/>
                <w:color w:val="010205"/>
                <w:szCs w:val="18"/>
              </w:rPr>
              <w:t>13,9%</w:t>
            </w:r>
          </w:p>
        </w:tc>
      </w:tr>
      <w:tr w:rsidRPr="00C04884" w:rsidR="00A47A07" w:rsidTr="001E4A94" w14:paraId="2D67E832" w14:textId="77777777">
        <w:tc>
          <w:tcPr>
            <w:tcW w:w="0" w:type="auto"/>
          </w:tcPr>
          <w:p w:rsidRPr="00C04884" w:rsidR="00A47A07" w:rsidP="001E4A94" w:rsidRDefault="00A47A07" w14:paraId="578E0ED4" w14:textId="77777777">
            <w:pPr>
              <w:ind w:left="171"/>
              <w:rPr>
                <w:rFonts w:eastAsiaTheme="minorEastAsia"/>
                <w:kern w:val="0"/>
                <w:szCs w:val="18"/>
                <w14:ligatures w14:val="none"/>
              </w:rPr>
            </w:pPr>
            <w:r w:rsidRPr="00C04884">
              <w:rPr>
                <w:rFonts w:eastAsiaTheme="minorEastAsia"/>
                <w:kern w:val="0"/>
                <w:szCs w:val="18"/>
                <w14:ligatures w14:val="none"/>
              </w:rPr>
              <w:t>Leerjaar 4</w:t>
            </w:r>
          </w:p>
        </w:tc>
        <w:tc>
          <w:tcPr>
            <w:tcW w:w="0" w:type="auto"/>
          </w:tcPr>
          <w:p w:rsidRPr="00C04884" w:rsidR="00A47A07" w:rsidP="001E4A94" w:rsidRDefault="00A47A07" w14:paraId="7FDBC6D5" w14:textId="77777777">
            <w:pPr>
              <w:rPr>
                <w:rFonts w:eastAsiaTheme="minorEastAsia"/>
                <w:kern w:val="0"/>
                <w:szCs w:val="18"/>
                <w14:ligatures w14:val="none"/>
              </w:rPr>
            </w:pPr>
            <w:r w:rsidRPr="00C04884">
              <w:rPr>
                <w:rFonts w:cs="Arial"/>
                <w:color w:val="010205"/>
                <w:szCs w:val="18"/>
              </w:rPr>
              <w:t>5,3%</w:t>
            </w:r>
          </w:p>
        </w:tc>
      </w:tr>
      <w:tr w:rsidRPr="00C04884" w:rsidR="00A47A07" w:rsidTr="001E4A94" w14:paraId="0CADCED6" w14:textId="77777777">
        <w:tc>
          <w:tcPr>
            <w:tcW w:w="0" w:type="auto"/>
          </w:tcPr>
          <w:p w:rsidRPr="00C04884" w:rsidR="00A47A07" w:rsidP="001E4A94" w:rsidRDefault="00A47A07" w14:paraId="064381BC" w14:textId="77777777">
            <w:pPr>
              <w:rPr>
                <w:rFonts w:eastAsiaTheme="minorEastAsia"/>
                <w:kern w:val="0"/>
                <w:szCs w:val="18"/>
                <w14:ligatures w14:val="none"/>
              </w:rPr>
            </w:pPr>
            <w:r w:rsidRPr="00C04884">
              <w:rPr>
                <w:rFonts w:eastAsiaTheme="minorEastAsia"/>
                <w:kern w:val="0"/>
                <w:szCs w:val="18"/>
                <w14:ligatures w14:val="none"/>
              </w:rPr>
              <w:t>Leerweg</w:t>
            </w:r>
          </w:p>
        </w:tc>
        <w:tc>
          <w:tcPr>
            <w:tcW w:w="0" w:type="auto"/>
          </w:tcPr>
          <w:p w:rsidRPr="00C04884" w:rsidR="00A47A07" w:rsidP="001E4A94" w:rsidRDefault="00A47A07" w14:paraId="66D4CC48" w14:textId="77777777">
            <w:pPr>
              <w:rPr>
                <w:rFonts w:eastAsiaTheme="minorEastAsia"/>
                <w:kern w:val="0"/>
                <w:szCs w:val="18"/>
                <w14:ligatures w14:val="none"/>
              </w:rPr>
            </w:pPr>
          </w:p>
        </w:tc>
      </w:tr>
      <w:tr w:rsidRPr="00C04884" w:rsidR="00A47A07" w:rsidTr="001E4A94" w14:paraId="13C43BBC" w14:textId="77777777">
        <w:tc>
          <w:tcPr>
            <w:tcW w:w="0" w:type="auto"/>
          </w:tcPr>
          <w:p w:rsidRPr="00C04884" w:rsidR="00A47A07" w:rsidP="001E4A94" w:rsidRDefault="00A47A07" w14:paraId="02E491B5" w14:textId="77777777">
            <w:pPr>
              <w:ind w:left="171"/>
              <w:rPr>
                <w:rFonts w:eastAsiaTheme="minorEastAsia"/>
                <w:kern w:val="0"/>
                <w:szCs w:val="18"/>
                <w14:ligatures w14:val="none"/>
              </w:rPr>
            </w:pPr>
            <w:r w:rsidRPr="00C04884">
              <w:rPr>
                <w:rFonts w:eastAsiaTheme="minorEastAsia"/>
                <w:kern w:val="0"/>
                <w:szCs w:val="18"/>
                <w14:ligatures w14:val="none"/>
              </w:rPr>
              <w:t>vmbo bb</w:t>
            </w:r>
          </w:p>
        </w:tc>
        <w:tc>
          <w:tcPr>
            <w:tcW w:w="0" w:type="auto"/>
          </w:tcPr>
          <w:p w:rsidRPr="00C04884" w:rsidR="00A47A07" w:rsidP="001E4A94" w:rsidRDefault="00A47A07" w14:paraId="15B67571" w14:textId="77777777">
            <w:pPr>
              <w:rPr>
                <w:rFonts w:eastAsiaTheme="minorEastAsia"/>
                <w:kern w:val="0"/>
                <w:szCs w:val="18"/>
                <w14:ligatures w14:val="none"/>
              </w:rPr>
            </w:pPr>
            <w:r w:rsidRPr="00C04884">
              <w:rPr>
                <w:rFonts w:cs="Arial"/>
                <w:color w:val="010205"/>
                <w:szCs w:val="18"/>
              </w:rPr>
              <w:t>24,9%</w:t>
            </w:r>
          </w:p>
        </w:tc>
      </w:tr>
      <w:tr w:rsidRPr="00C04884" w:rsidR="00A47A07" w:rsidTr="001E4A94" w14:paraId="78C29329" w14:textId="77777777">
        <w:tc>
          <w:tcPr>
            <w:tcW w:w="0" w:type="auto"/>
          </w:tcPr>
          <w:p w:rsidRPr="00C04884" w:rsidR="00A47A07" w:rsidP="001E4A94" w:rsidRDefault="00A47A07" w14:paraId="6A3450F1" w14:textId="77777777">
            <w:pPr>
              <w:ind w:left="171"/>
              <w:rPr>
                <w:rFonts w:eastAsiaTheme="minorEastAsia"/>
                <w:kern w:val="0"/>
                <w:szCs w:val="18"/>
                <w14:ligatures w14:val="none"/>
              </w:rPr>
            </w:pPr>
            <w:r w:rsidRPr="00C04884">
              <w:rPr>
                <w:rFonts w:eastAsiaTheme="minorEastAsia"/>
                <w:kern w:val="0"/>
                <w:szCs w:val="18"/>
                <w14:ligatures w14:val="none"/>
              </w:rPr>
              <w:t>vmbo kb</w:t>
            </w:r>
          </w:p>
        </w:tc>
        <w:tc>
          <w:tcPr>
            <w:tcW w:w="0" w:type="auto"/>
          </w:tcPr>
          <w:p w:rsidRPr="00C04884" w:rsidR="00A47A07" w:rsidP="001E4A94" w:rsidRDefault="00A47A07" w14:paraId="74122FD9" w14:textId="77777777">
            <w:pPr>
              <w:rPr>
                <w:rFonts w:eastAsiaTheme="minorEastAsia"/>
                <w:kern w:val="0"/>
                <w:szCs w:val="18"/>
                <w14:ligatures w14:val="none"/>
              </w:rPr>
            </w:pPr>
            <w:r w:rsidRPr="00C04884">
              <w:rPr>
                <w:rFonts w:cs="Arial"/>
                <w:color w:val="010205"/>
                <w:szCs w:val="18"/>
              </w:rPr>
              <w:t>34,1%</w:t>
            </w:r>
          </w:p>
        </w:tc>
      </w:tr>
      <w:tr w:rsidRPr="00C04884" w:rsidR="00A47A07" w:rsidTr="001E4A94" w14:paraId="7A5B923F" w14:textId="77777777">
        <w:tc>
          <w:tcPr>
            <w:tcW w:w="0" w:type="auto"/>
          </w:tcPr>
          <w:p w:rsidRPr="00C04884" w:rsidR="00A47A07" w:rsidP="001E4A94" w:rsidRDefault="00A47A07" w14:paraId="5B948B7F" w14:textId="77777777">
            <w:pPr>
              <w:ind w:left="171"/>
              <w:rPr>
                <w:rFonts w:eastAsiaTheme="minorEastAsia"/>
                <w:kern w:val="0"/>
                <w:szCs w:val="18"/>
                <w14:ligatures w14:val="none"/>
              </w:rPr>
            </w:pPr>
            <w:r w:rsidRPr="00C04884">
              <w:rPr>
                <w:rFonts w:eastAsiaTheme="minorEastAsia"/>
                <w:kern w:val="0"/>
                <w:szCs w:val="18"/>
                <w14:ligatures w14:val="none"/>
              </w:rPr>
              <w:t>vmbo gt</w:t>
            </w:r>
          </w:p>
        </w:tc>
        <w:tc>
          <w:tcPr>
            <w:tcW w:w="0" w:type="auto"/>
          </w:tcPr>
          <w:p w:rsidRPr="00C04884" w:rsidR="00A47A07" w:rsidP="001E4A94" w:rsidRDefault="00A47A07" w14:paraId="6CB86DDC" w14:textId="77777777">
            <w:pPr>
              <w:rPr>
                <w:rFonts w:eastAsiaTheme="minorEastAsia"/>
                <w:kern w:val="0"/>
                <w:szCs w:val="18"/>
                <w14:ligatures w14:val="none"/>
              </w:rPr>
            </w:pPr>
            <w:r w:rsidRPr="00C04884">
              <w:rPr>
                <w:rFonts w:cs="Arial"/>
                <w:color w:val="010205"/>
                <w:szCs w:val="18"/>
              </w:rPr>
              <w:t>16,3%</w:t>
            </w:r>
          </w:p>
        </w:tc>
      </w:tr>
      <w:tr w:rsidRPr="00C04884" w:rsidR="00A47A07" w:rsidTr="001E4A94" w14:paraId="6EC077EB" w14:textId="77777777">
        <w:tc>
          <w:tcPr>
            <w:tcW w:w="0" w:type="auto"/>
          </w:tcPr>
          <w:p w:rsidRPr="00C04884" w:rsidR="00A47A07" w:rsidP="001E4A94" w:rsidRDefault="00A47A07" w14:paraId="26066882" w14:textId="77777777">
            <w:pPr>
              <w:ind w:left="171"/>
              <w:rPr>
                <w:rFonts w:eastAsiaTheme="minorEastAsia"/>
                <w:kern w:val="0"/>
                <w:szCs w:val="18"/>
                <w14:ligatures w14:val="none"/>
              </w:rPr>
            </w:pPr>
            <w:r w:rsidRPr="00C04884">
              <w:rPr>
                <w:rFonts w:eastAsiaTheme="minorEastAsia"/>
                <w:kern w:val="0"/>
                <w:szCs w:val="18"/>
                <w14:ligatures w14:val="none"/>
              </w:rPr>
              <w:t>vmbo tl</w:t>
            </w:r>
          </w:p>
        </w:tc>
        <w:tc>
          <w:tcPr>
            <w:tcW w:w="0" w:type="auto"/>
          </w:tcPr>
          <w:p w:rsidRPr="00C04884" w:rsidR="00A47A07" w:rsidP="001E4A94" w:rsidRDefault="00A47A07" w14:paraId="5EE4132C" w14:textId="77777777">
            <w:pPr>
              <w:rPr>
                <w:rFonts w:eastAsiaTheme="minorEastAsia"/>
                <w:kern w:val="0"/>
                <w:szCs w:val="18"/>
                <w14:ligatures w14:val="none"/>
              </w:rPr>
            </w:pPr>
            <w:r w:rsidRPr="00C04884">
              <w:rPr>
                <w:rFonts w:cs="Arial"/>
                <w:color w:val="010205"/>
                <w:szCs w:val="18"/>
              </w:rPr>
              <w:t>22,2%</w:t>
            </w:r>
          </w:p>
        </w:tc>
      </w:tr>
      <w:tr w:rsidRPr="00C04884" w:rsidR="00A47A07" w:rsidTr="001E4A94" w14:paraId="37F5B3BE" w14:textId="77777777">
        <w:tc>
          <w:tcPr>
            <w:tcW w:w="0" w:type="auto"/>
          </w:tcPr>
          <w:p w:rsidRPr="00C04884" w:rsidR="00A47A07" w:rsidP="001E4A94" w:rsidRDefault="00A47A07" w14:paraId="68C552A7" w14:textId="77777777">
            <w:pPr>
              <w:ind w:left="171"/>
              <w:rPr>
                <w:rFonts w:eastAsiaTheme="minorEastAsia"/>
                <w:kern w:val="0"/>
                <w:szCs w:val="18"/>
                <w14:ligatures w14:val="none"/>
              </w:rPr>
            </w:pPr>
            <w:r w:rsidRPr="00C04884">
              <w:rPr>
                <w:rFonts w:eastAsiaTheme="minorEastAsia"/>
                <w:kern w:val="0"/>
                <w:szCs w:val="18"/>
                <w14:ligatures w14:val="none"/>
              </w:rPr>
              <w:t>Andere leerweg in de onderbouw</w:t>
            </w:r>
          </w:p>
        </w:tc>
        <w:tc>
          <w:tcPr>
            <w:tcW w:w="0" w:type="auto"/>
          </w:tcPr>
          <w:p w:rsidRPr="00C04884" w:rsidR="00A47A07" w:rsidP="001E4A94" w:rsidRDefault="00A47A07" w14:paraId="7500BA3D" w14:textId="77777777">
            <w:pPr>
              <w:rPr>
                <w:rFonts w:eastAsiaTheme="minorEastAsia"/>
                <w:kern w:val="0"/>
                <w:szCs w:val="18"/>
                <w14:ligatures w14:val="none"/>
              </w:rPr>
            </w:pPr>
            <w:r w:rsidRPr="00C04884">
              <w:rPr>
                <w:rFonts w:cs="Arial"/>
                <w:color w:val="010205"/>
                <w:szCs w:val="18"/>
              </w:rPr>
              <w:t>2,5%</w:t>
            </w:r>
          </w:p>
        </w:tc>
      </w:tr>
      <w:tr w:rsidRPr="00C04884" w:rsidR="00A47A07" w:rsidTr="001E4A94" w14:paraId="1BAA7C53" w14:textId="77777777">
        <w:tc>
          <w:tcPr>
            <w:tcW w:w="0" w:type="auto"/>
          </w:tcPr>
          <w:p w:rsidRPr="00C04884" w:rsidR="00A47A07" w:rsidP="001E4A94" w:rsidRDefault="00A47A07" w14:paraId="67FD43FB" w14:textId="77777777">
            <w:pPr>
              <w:rPr>
                <w:rFonts w:eastAsiaTheme="minorEastAsia"/>
                <w:kern w:val="0"/>
                <w:szCs w:val="18"/>
                <w14:ligatures w14:val="none"/>
              </w:rPr>
            </w:pPr>
            <w:r w:rsidRPr="00C04884">
              <w:rPr>
                <w:rFonts w:eastAsiaTheme="minorEastAsia"/>
                <w:kern w:val="0"/>
                <w:szCs w:val="18"/>
                <w14:ligatures w14:val="none"/>
              </w:rPr>
              <w:t>Techniek profiel of keuzevak</w:t>
            </w:r>
          </w:p>
        </w:tc>
        <w:tc>
          <w:tcPr>
            <w:tcW w:w="0" w:type="auto"/>
          </w:tcPr>
          <w:p w:rsidRPr="00C04884" w:rsidR="00A47A07" w:rsidP="001E4A94" w:rsidRDefault="00A47A07" w14:paraId="7A25EAB8" w14:textId="77777777">
            <w:pPr>
              <w:rPr>
                <w:rFonts w:eastAsiaTheme="minorEastAsia"/>
                <w:kern w:val="0"/>
                <w:szCs w:val="18"/>
                <w14:ligatures w14:val="none"/>
              </w:rPr>
            </w:pPr>
          </w:p>
        </w:tc>
      </w:tr>
      <w:tr w:rsidRPr="00C04884" w:rsidR="00A47A07" w:rsidTr="001E4A94" w14:paraId="3BBE8BD0" w14:textId="77777777">
        <w:tc>
          <w:tcPr>
            <w:tcW w:w="0" w:type="auto"/>
          </w:tcPr>
          <w:p w:rsidRPr="00C04884" w:rsidR="00A47A07" w:rsidP="001E4A94" w:rsidRDefault="00A47A07" w14:paraId="767029C8" w14:textId="77777777">
            <w:pPr>
              <w:ind w:left="171"/>
              <w:rPr>
                <w:rFonts w:eastAsiaTheme="minorEastAsia"/>
                <w:kern w:val="0"/>
                <w:szCs w:val="18"/>
                <w14:ligatures w14:val="none"/>
              </w:rPr>
            </w:pPr>
            <w:r w:rsidRPr="00C04884">
              <w:rPr>
                <w:rFonts w:eastAsiaTheme="minorEastAsia"/>
                <w:kern w:val="0"/>
                <w:szCs w:val="18"/>
                <w14:ligatures w14:val="none"/>
              </w:rPr>
              <w:t>Geen techniek profiel of vak</w:t>
            </w:r>
          </w:p>
        </w:tc>
        <w:tc>
          <w:tcPr>
            <w:tcW w:w="0" w:type="auto"/>
          </w:tcPr>
          <w:p w:rsidRPr="00C04884" w:rsidR="00A47A07" w:rsidP="001E4A94" w:rsidRDefault="00A47A07" w14:paraId="47FFCF3F" w14:textId="77777777">
            <w:pPr>
              <w:rPr>
                <w:rFonts w:eastAsiaTheme="minorEastAsia"/>
                <w:kern w:val="0"/>
                <w:szCs w:val="18"/>
                <w14:ligatures w14:val="none"/>
              </w:rPr>
            </w:pPr>
            <w:r w:rsidRPr="00C04884">
              <w:rPr>
                <w:rFonts w:cs="Arial"/>
                <w:color w:val="010205"/>
                <w:szCs w:val="18"/>
              </w:rPr>
              <w:t>8,2%</w:t>
            </w:r>
          </w:p>
        </w:tc>
      </w:tr>
      <w:tr w:rsidRPr="00C04884" w:rsidR="00A47A07" w:rsidTr="001E4A94" w14:paraId="1777E65B" w14:textId="77777777">
        <w:tc>
          <w:tcPr>
            <w:tcW w:w="0" w:type="auto"/>
          </w:tcPr>
          <w:p w:rsidRPr="00C04884" w:rsidR="00A47A07" w:rsidP="001E4A94" w:rsidRDefault="00A47A07" w14:paraId="180681EF" w14:textId="77777777">
            <w:pPr>
              <w:ind w:left="171"/>
              <w:rPr>
                <w:rFonts w:eastAsiaTheme="minorEastAsia"/>
                <w:kern w:val="0"/>
                <w:szCs w:val="18"/>
                <w14:ligatures w14:val="none"/>
              </w:rPr>
            </w:pPr>
            <w:r w:rsidRPr="00C04884">
              <w:rPr>
                <w:rFonts w:eastAsiaTheme="minorEastAsia"/>
                <w:kern w:val="0"/>
                <w:szCs w:val="18"/>
                <w14:ligatures w14:val="none"/>
              </w:rPr>
              <w:t xml:space="preserve">Techniek profiel of vak </w:t>
            </w:r>
          </w:p>
        </w:tc>
        <w:tc>
          <w:tcPr>
            <w:tcW w:w="0" w:type="auto"/>
          </w:tcPr>
          <w:p w:rsidRPr="00C04884" w:rsidR="00A47A07" w:rsidP="001E4A94" w:rsidRDefault="00A47A07" w14:paraId="4CB3595B" w14:textId="77777777">
            <w:pPr>
              <w:rPr>
                <w:rFonts w:eastAsiaTheme="minorEastAsia"/>
                <w:kern w:val="0"/>
                <w:szCs w:val="18"/>
                <w14:ligatures w14:val="none"/>
              </w:rPr>
            </w:pPr>
            <w:r w:rsidRPr="00C04884">
              <w:rPr>
                <w:rFonts w:cs="Arial"/>
                <w:color w:val="010205"/>
                <w:szCs w:val="18"/>
              </w:rPr>
              <w:t>11,2%</w:t>
            </w:r>
          </w:p>
        </w:tc>
      </w:tr>
      <w:tr w:rsidRPr="00C04884" w:rsidR="00A47A07" w:rsidTr="001E4A94" w14:paraId="34738C99" w14:textId="77777777">
        <w:tc>
          <w:tcPr>
            <w:tcW w:w="0" w:type="auto"/>
          </w:tcPr>
          <w:p w:rsidRPr="00C04884" w:rsidR="00A47A07" w:rsidP="001E4A94" w:rsidRDefault="00A47A07" w14:paraId="6DCCF2EB" w14:textId="77777777">
            <w:pPr>
              <w:ind w:left="171"/>
              <w:rPr>
                <w:rFonts w:eastAsiaTheme="minorEastAsia"/>
                <w:kern w:val="0"/>
                <w:szCs w:val="18"/>
                <w14:ligatures w14:val="none"/>
              </w:rPr>
            </w:pPr>
            <w:r w:rsidRPr="00C04884">
              <w:rPr>
                <w:rFonts w:eastAsiaTheme="minorEastAsia"/>
                <w:kern w:val="0"/>
                <w:szCs w:val="18"/>
                <w14:ligatures w14:val="none"/>
              </w:rPr>
              <w:t>Onderbouw</w:t>
            </w:r>
          </w:p>
        </w:tc>
        <w:tc>
          <w:tcPr>
            <w:tcW w:w="0" w:type="auto"/>
          </w:tcPr>
          <w:p w:rsidRPr="00C04884" w:rsidR="00A47A07" w:rsidP="001E4A94" w:rsidRDefault="00A47A07" w14:paraId="6A90149C" w14:textId="77777777">
            <w:pPr>
              <w:rPr>
                <w:rFonts w:eastAsiaTheme="minorEastAsia"/>
                <w:kern w:val="0"/>
                <w:szCs w:val="18"/>
                <w14:ligatures w14:val="none"/>
              </w:rPr>
            </w:pPr>
            <w:r w:rsidRPr="00C04884">
              <w:rPr>
                <w:rFonts w:cs="Arial"/>
                <w:color w:val="010205"/>
                <w:szCs w:val="18"/>
              </w:rPr>
              <w:t>80,6%</w:t>
            </w:r>
          </w:p>
        </w:tc>
      </w:tr>
      <w:tr w:rsidRPr="00C04884" w:rsidR="00A47A07" w:rsidTr="001E4A94" w14:paraId="6D48F247" w14:textId="77777777">
        <w:tc>
          <w:tcPr>
            <w:tcW w:w="0" w:type="auto"/>
          </w:tcPr>
          <w:p w:rsidRPr="00C04884" w:rsidR="00A47A07" w:rsidP="001E4A94" w:rsidRDefault="00A47A07" w14:paraId="4FE5A0F3" w14:textId="77777777">
            <w:pPr>
              <w:rPr>
                <w:rFonts w:eastAsiaTheme="minorEastAsia"/>
                <w:kern w:val="0"/>
                <w:szCs w:val="18"/>
                <w14:ligatures w14:val="none"/>
              </w:rPr>
            </w:pPr>
            <w:r w:rsidRPr="00C04884">
              <w:rPr>
                <w:rFonts w:eastAsiaTheme="minorEastAsia"/>
                <w:kern w:val="0"/>
                <w:szCs w:val="18"/>
                <w14:ligatures w14:val="none"/>
              </w:rPr>
              <w:t>Reistijd naar school</w:t>
            </w:r>
          </w:p>
        </w:tc>
        <w:tc>
          <w:tcPr>
            <w:tcW w:w="0" w:type="auto"/>
          </w:tcPr>
          <w:p w:rsidRPr="00C04884" w:rsidR="00A47A07" w:rsidP="001E4A94" w:rsidRDefault="00A47A07" w14:paraId="375C5C2D" w14:textId="77777777">
            <w:pPr>
              <w:rPr>
                <w:rFonts w:eastAsiaTheme="minorEastAsia"/>
                <w:kern w:val="0"/>
                <w:szCs w:val="18"/>
                <w14:ligatures w14:val="none"/>
              </w:rPr>
            </w:pPr>
          </w:p>
        </w:tc>
      </w:tr>
      <w:tr w:rsidRPr="00C04884" w:rsidR="00A47A07" w:rsidTr="001E4A94" w14:paraId="2333CFF3" w14:textId="77777777">
        <w:tc>
          <w:tcPr>
            <w:tcW w:w="0" w:type="auto"/>
          </w:tcPr>
          <w:p w:rsidRPr="00C04884" w:rsidR="00A47A07" w:rsidP="001E4A94" w:rsidRDefault="00A47A07" w14:paraId="22837605" w14:textId="77777777">
            <w:pPr>
              <w:ind w:left="171"/>
              <w:rPr>
                <w:rFonts w:eastAsiaTheme="minorEastAsia"/>
                <w:kern w:val="0"/>
                <w:szCs w:val="18"/>
                <w14:ligatures w14:val="none"/>
              </w:rPr>
            </w:pPr>
            <w:r w:rsidRPr="00C04884">
              <w:rPr>
                <w:rFonts w:eastAsiaTheme="minorEastAsia"/>
                <w:kern w:val="0"/>
                <w:szCs w:val="18"/>
                <w14:ligatures w14:val="none"/>
              </w:rPr>
              <w:t>0-10 minuten</w:t>
            </w:r>
          </w:p>
        </w:tc>
        <w:tc>
          <w:tcPr>
            <w:tcW w:w="0" w:type="auto"/>
          </w:tcPr>
          <w:p w:rsidRPr="00C04884" w:rsidR="00A47A07" w:rsidP="001E4A94" w:rsidRDefault="00A47A07" w14:paraId="28536AC5" w14:textId="77777777">
            <w:pPr>
              <w:rPr>
                <w:rFonts w:eastAsiaTheme="minorEastAsia"/>
                <w:kern w:val="0"/>
                <w:szCs w:val="18"/>
                <w14:ligatures w14:val="none"/>
              </w:rPr>
            </w:pPr>
            <w:r w:rsidRPr="00C04884">
              <w:rPr>
                <w:rFonts w:cs="Arial"/>
                <w:color w:val="010205"/>
                <w:szCs w:val="18"/>
              </w:rPr>
              <w:t>29,2%</w:t>
            </w:r>
          </w:p>
        </w:tc>
      </w:tr>
      <w:tr w:rsidRPr="00C04884" w:rsidR="00A47A07" w:rsidTr="001E4A94" w14:paraId="368CE363" w14:textId="77777777">
        <w:tc>
          <w:tcPr>
            <w:tcW w:w="0" w:type="auto"/>
          </w:tcPr>
          <w:p w:rsidRPr="00C04884" w:rsidR="00A47A07" w:rsidP="001E4A94" w:rsidRDefault="00A47A07" w14:paraId="15BD6297" w14:textId="77777777">
            <w:pPr>
              <w:ind w:left="171"/>
              <w:rPr>
                <w:rFonts w:eastAsiaTheme="minorEastAsia"/>
                <w:kern w:val="0"/>
                <w:szCs w:val="18"/>
                <w14:ligatures w14:val="none"/>
              </w:rPr>
            </w:pPr>
            <w:r w:rsidRPr="00C04884">
              <w:rPr>
                <w:rFonts w:eastAsiaTheme="minorEastAsia"/>
                <w:kern w:val="0"/>
                <w:szCs w:val="18"/>
                <w14:ligatures w14:val="none"/>
              </w:rPr>
              <w:t>10-20 minuten</w:t>
            </w:r>
          </w:p>
        </w:tc>
        <w:tc>
          <w:tcPr>
            <w:tcW w:w="0" w:type="auto"/>
          </w:tcPr>
          <w:p w:rsidRPr="00C04884" w:rsidR="00A47A07" w:rsidP="001E4A94" w:rsidRDefault="00A47A07" w14:paraId="1D7BEF02" w14:textId="77777777">
            <w:pPr>
              <w:rPr>
                <w:rFonts w:eastAsiaTheme="minorEastAsia"/>
                <w:kern w:val="0"/>
                <w:szCs w:val="18"/>
                <w14:ligatures w14:val="none"/>
              </w:rPr>
            </w:pPr>
            <w:r w:rsidRPr="00C04884">
              <w:rPr>
                <w:rFonts w:cs="Arial"/>
                <w:color w:val="010205"/>
                <w:szCs w:val="18"/>
              </w:rPr>
              <w:t>27,9%</w:t>
            </w:r>
          </w:p>
        </w:tc>
      </w:tr>
      <w:tr w:rsidRPr="00C04884" w:rsidR="00A47A07" w:rsidTr="001E4A94" w14:paraId="382DA76A" w14:textId="77777777">
        <w:tc>
          <w:tcPr>
            <w:tcW w:w="0" w:type="auto"/>
          </w:tcPr>
          <w:p w:rsidRPr="00C04884" w:rsidR="00A47A07" w:rsidP="001E4A94" w:rsidRDefault="00A47A07" w14:paraId="55FC27A1" w14:textId="77777777">
            <w:pPr>
              <w:ind w:left="171"/>
              <w:rPr>
                <w:rFonts w:eastAsiaTheme="minorEastAsia"/>
                <w:kern w:val="0"/>
                <w:szCs w:val="18"/>
                <w14:ligatures w14:val="none"/>
              </w:rPr>
            </w:pPr>
            <w:r w:rsidRPr="00C04884">
              <w:rPr>
                <w:rFonts w:eastAsiaTheme="minorEastAsia"/>
                <w:kern w:val="0"/>
                <w:szCs w:val="18"/>
                <w14:ligatures w14:val="none"/>
              </w:rPr>
              <w:t>20-30 minuten</w:t>
            </w:r>
          </w:p>
        </w:tc>
        <w:tc>
          <w:tcPr>
            <w:tcW w:w="0" w:type="auto"/>
          </w:tcPr>
          <w:p w:rsidRPr="00C04884" w:rsidR="00A47A07" w:rsidP="001E4A94" w:rsidRDefault="00A47A07" w14:paraId="45891D16" w14:textId="77777777">
            <w:pPr>
              <w:rPr>
                <w:rFonts w:eastAsiaTheme="minorEastAsia"/>
                <w:kern w:val="0"/>
                <w:szCs w:val="18"/>
                <w14:ligatures w14:val="none"/>
              </w:rPr>
            </w:pPr>
            <w:r w:rsidRPr="00C04884">
              <w:rPr>
                <w:rFonts w:cs="Arial"/>
                <w:color w:val="010205"/>
                <w:szCs w:val="18"/>
              </w:rPr>
              <w:t>23,5%</w:t>
            </w:r>
          </w:p>
        </w:tc>
      </w:tr>
      <w:tr w:rsidRPr="00C04884" w:rsidR="00A47A07" w:rsidTr="001E4A94" w14:paraId="6EB409AF" w14:textId="77777777">
        <w:tc>
          <w:tcPr>
            <w:tcW w:w="0" w:type="auto"/>
          </w:tcPr>
          <w:p w:rsidRPr="00C04884" w:rsidR="00A47A07" w:rsidP="001E4A94" w:rsidRDefault="00A47A07" w14:paraId="4A7C5FDB" w14:textId="77777777">
            <w:pPr>
              <w:ind w:left="171"/>
              <w:rPr>
                <w:rFonts w:eastAsiaTheme="minorEastAsia"/>
                <w:kern w:val="0"/>
                <w:szCs w:val="18"/>
                <w14:ligatures w14:val="none"/>
              </w:rPr>
            </w:pPr>
            <w:r w:rsidRPr="00C04884">
              <w:rPr>
                <w:rFonts w:eastAsiaTheme="minorEastAsia"/>
                <w:kern w:val="0"/>
                <w:szCs w:val="18"/>
                <w14:ligatures w14:val="none"/>
              </w:rPr>
              <w:t>Meer dan 30 minuten</w:t>
            </w:r>
          </w:p>
        </w:tc>
        <w:tc>
          <w:tcPr>
            <w:tcW w:w="0" w:type="auto"/>
          </w:tcPr>
          <w:p w:rsidRPr="00C04884" w:rsidR="00A47A07" w:rsidP="001E4A94" w:rsidRDefault="00A47A07" w14:paraId="20761FF0" w14:textId="77777777">
            <w:pPr>
              <w:rPr>
                <w:rFonts w:eastAsiaTheme="minorEastAsia"/>
                <w:kern w:val="0"/>
                <w:szCs w:val="18"/>
                <w14:ligatures w14:val="none"/>
              </w:rPr>
            </w:pPr>
            <w:r w:rsidRPr="00C04884">
              <w:rPr>
                <w:rFonts w:cs="Arial"/>
                <w:color w:val="010205"/>
                <w:szCs w:val="18"/>
              </w:rPr>
              <w:t>19,4%</w:t>
            </w:r>
          </w:p>
        </w:tc>
      </w:tr>
    </w:tbl>
    <w:p w:rsidRPr="00C04884" w:rsidR="00A47A07" w:rsidP="00A47A07" w:rsidRDefault="00A47A07" w14:paraId="0BE47411" w14:textId="77777777">
      <w:pPr>
        <w:rPr>
          <w:rFonts w:eastAsiaTheme="minorEastAsia"/>
          <w:szCs w:val="18"/>
        </w:rPr>
      </w:pPr>
      <w:r w:rsidRPr="00C04884">
        <w:rPr>
          <w:rFonts w:eastAsiaTheme="minorEastAsia"/>
          <w:szCs w:val="18"/>
        </w:rPr>
        <w:t>Bron: Leerlingenvragenlijst mei-juli 2025.</w:t>
      </w:r>
    </w:p>
    <w:p w:rsidRPr="00C04884" w:rsidR="00A47A07" w:rsidP="004D179C" w:rsidRDefault="00A47A07" w14:paraId="3070B8C3" w14:textId="77777777">
      <w:pPr>
        <w:pStyle w:val="SEOStandaard"/>
        <w:numPr>
          <w:ilvl w:val="0"/>
          <w:numId w:val="0"/>
        </w:numPr>
        <w:rPr>
          <w:rFonts w:ascii="Trebuchet MS" w:hAnsi="Trebuchet MS"/>
          <w:color w:val="auto"/>
          <w:sz w:val="18"/>
          <w:szCs w:val="18"/>
        </w:rPr>
      </w:pPr>
    </w:p>
    <w:p w:rsidRPr="00C04884" w:rsidR="004D179C" w:rsidP="004D179C" w:rsidRDefault="004D179C" w14:paraId="1C62F6EB" w14:textId="1EB4E138">
      <w:pPr>
        <w:pStyle w:val="SEOStandaard"/>
        <w:numPr>
          <w:ilvl w:val="0"/>
          <w:numId w:val="0"/>
        </w:numPr>
        <w:rPr>
          <w:rFonts w:ascii="Trebuchet MS" w:hAnsi="Trebuchet MS"/>
          <w:color w:val="auto"/>
          <w:sz w:val="18"/>
          <w:szCs w:val="18"/>
        </w:rPr>
      </w:pPr>
      <w:r w:rsidRPr="625A0593">
        <w:rPr>
          <w:rFonts w:ascii="Trebuchet MS" w:hAnsi="Trebuchet MS"/>
          <w:color w:val="auto"/>
          <w:sz w:val="18"/>
          <w:szCs w:val="18"/>
        </w:rPr>
        <w:t>Uit de beschrijvende tabel (</w:t>
      </w:r>
      <w:r w:rsidR="001B6CAF">
        <w:rPr>
          <w:rFonts w:ascii="Trebuchet MS" w:hAnsi="Trebuchet MS"/>
          <w:color w:val="auto"/>
          <w:sz w:val="18"/>
          <w:szCs w:val="18"/>
        </w:rPr>
        <w:t>tabel 6.1)</w:t>
      </w:r>
      <w:r w:rsidRPr="625A0593">
        <w:rPr>
          <w:rFonts w:ascii="Trebuchet MS" w:hAnsi="Trebuchet MS"/>
          <w:color w:val="auto"/>
          <w:sz w:val="18"/>
          <w:szCs w:val="18"/>
        </w:rPr>
        <w:t xml:space="preserve">) komt naar voren dat meer dan de helft van deze leerlingen in het tweede leerjaar zit, gevolgd door een kwart in het eerste leerjaar. De overige leerlingen zitten in leerjaar 3 of 4 (respectievelijk 14 en 5 procent). Een derde van de leerlingen volgt de kaderberoepsgerichte leerweg. Een kwart doet momenteel de basisberoepsgerichte leerweg en een vijfde de theoretische leerweg. De overige leerlingen doen de gemengde leerweg (16 procent) of een andere leerweg (bv bb/kb) in de onderbouw (2,5 procent). </w:t>
      </w:r>
    </w:p>
    <w:p w:rsidRPr="00C04884" w:rsidR="004D179C" w:rsidP="004D179C" w:rsidRDefault="004D179C" w14:paraId="1BA7622D" w14:textId="77777777">
      <w:pPr>
        <w:pStyle w:val="SEOStandaard"/>
        <w:numPr>
          <w:ilvl w:val="0"/>
          <w:numId w:val="0"/>
        </w:numPr>
        <w:rPr>
          <w:rFonts w:ascii="Trebuchet MS" w:hAnsi="Trebuchet MS"/>
          <w:color w:val="auto"/>
          <w:sz w:val="18"/>
          <w:szCs w:val="18"/>
        </w:rPr>
      </w:pPr>
    </w:p>
    <w:p w:rsidR="004D179C" w:rsidP="004D179C" w:rsidRDefault="004D179C" w14:paraId="7F6E12CA" w14:textId="77777777">
      <w:pPr>
        <w:pStyle w:val="SEOStandaard"/>
        <w:numPr>
          <w:ilvl w:val="0"/>
          <w:numId w:val="0"/>
        </w:numPr>
        <w:rPr>
          <w:rFonts w:ascii="Trebuchet MS" w:hAnsi="Trebuchet MS"/>
          <w:color w:val="auto"/>
          <w:sz w:val="18"/>
          <w:szCs w:val="18"/>
        </w:rPr>
      </w:pPr>
      <w:r w:rsidRPr="625A0593">
        <w:rPr>
          <w:rFonts w:ascii="Trebuchet MS" w:hAnsi="Trebuchet MS"/>
          <w:color w:val="auto"/>
          <w:sz w:val="18"/>
          <w:szCs w:val="18"/>
        </w:rPr>
        <w:lastRenderedPageBreak/>
        <w:t xml:space="preserve">Het merendeel van de leerlingen (8 op de 10) zit in de onderbouw. Van de leerlingen in de bovenbouw koos iets meer dan de helft (6 op de 10) een techniekprofiel of een technisch/technologisch (keuze)vak. De afstand naar school is voor iets minder dan de helft (4 op de 10) 20 minuten of langer, terwijl de rest van de leerlingen (6 op de 10) korter dan 20 minuten onderweg is. </w:t>
      </w:r>
    </w:p>
    <w:p w:rsidR="004D179C" w:rsidP="004D179C" w:rsidRDefault="004D179C" w14:paraId="3CD3C34C" w14:textId="77777777">
      <w:pPr>
        <w:pStyle w:val="SEOStandaard"/>
        <w:numPr>
          <w:ilvl w:val="0"/>
          <w:numId w:val="0"/>
        </w:numPr>
        <w:rPr>
          <w:rFonts w:ascii="Trebuchet MS" w:hAnsi="Trebuchet MS"/>
          <w:color w:val="auto"/>
          <w:sz w:val="18"/>
          <w:szCs w:val="18"/>
        </w:rPr>
      </w:pPr>
    </w:p>
    <w:p w:rsidRPr="00C04884" w:rsidR="004D179C" w:rsidP="004D179C" w:rsidRDefault="004D179C" w14:paraId="22355174" w14:textId="77777777">
      <w:pPr>
        <w:rPr>
          <w:rFonts w:eastAsiaTheme="minorEastAsia"/>
          <w:szCs w:val="18"/>
        </w:rPr>
      </w:pPr>
    </w:p>
    <w:p w:rsidRPr="00C04884" w:rsidR="004D179C" w:rsidP="00915646" w:rsidRDefault="004D179C" w14:paraId="7282822A" w14:textId="77777777">
      <w:pPr>
        <w:pStyle w:val="Kop2"/>
      </w:pPr>
      <w:bookmarkStart w:name="_Toc203573593" w:id="66"/>
      <w:r w:rsidRPr="00C04884">
        <w:t>Schoolkeuze</w:t>
      </w:r>
      <w:bookmarkEnd w:id="66"/>
    </w:p>
    <w:p w:rsidR="00915646" w:rsidP="004D179C" w:rsidRDefault="004D179C" w14:paraId="38E6E64B" w14:textId="77777777">
      <w:pPr>
        <w:rPr>
          <w:rFonts w:eastAsiaTheme="minorEastAsia"/>
          <w:szCs w:val="18"/>
        </w:rPr>
      </w:pPr>
      <w:r w:rsidRPr="00C04884">
        <w:rPr>
          <w:rFonts w:eastAsiaTheme="minorEastAsia"/>
          <w:szCs w:val="18"/>
        </w:rPr>
        <w:t xml:space="preserve">Leerlingen is allereerst gevraagd naar hun reden(en) om na de basisschool voor hun huidige </w:t>
      </w:r>
      <w:r>
        <w:rPr>
          <w:rFonts w:eastAsiaTheme="minorEastAsia"/>
          <w:szCs w:val="18"/>
        </w:rPr>
        <w:t>vo-</w:t>
      </w:r>
      <w:r w:rsidRPr="00C04884">
        <w:rPr>
          <w:rFonts w:eastAsiaTheme="minorEastAsia"/>
          <w:szCs w:val="18"/>
        </w:rPr>
        <w:t xml:space="preserve">school te kiezen. Figuur </w:t>
      </w:r>
      <w:r w:rsidR="001B6CAF">
        <w:rPr>
          <w:rFonts w:eastAsiaTheme="minorEastAsia"/>
          <w:szCs w:val="18"/>
        </w:rPr>
        <w:t>6</w:t>
      </w:r>
      <w:r w:rsidRPr="00C04884">
        <w:rPr>
          <w:rFonts w:eastAsiaTheme="minorEastAsia"/>
          <w:szCs w:val="18"/>
        </w:rPr>
        <w:t xml:space="preserve">.1 toont het percentage leerlingen dat per reden heeft aangegeven dat dit meespeelde in hun schoolkeuze. Leerlingen konden meerdere redenen aankruisen. </w:t>
      </w:r>
    </w:p>
    <w:p w:rsidR="00915646" w:rsidP="004D179C" w:rsidRDefault="00915646" w14:paraId="44B7D5A6" w14:textId="77777777">
      <w:pPr>
        <w:rPr>
          <w:rFonts w:eastAsiaTheme="minorEastAsia"/>
          <w:szCs w:val="18"/>
        </w:rPr>
      </w:pPr>
    </w:p>
    <w:p w:rsidRPr="00C04884" w:rsidR="004D179C" w:rsidP="004D179C" w:rsidRDefault="004D179C" w14:paraId="0CF74597" w14:textId="333A099F">
      <w:pPr>
        <w:rPr>
          <w:rFonts w:eastAsiaTheme="minorEastAsia"/>
          <w:szCs w:val="18"/>
        </w:rPr>
      </w:pPr>
      <w:r w:rsidRPr="00C04884">
        <w:rPr>
          <w:rFonts w:eastAsiaTheme="minorEastAsia"/>
          <w:szCs w:val="18"/>
        </w:rPr>
        <w:t xml:space="preserve">Figuur </w:t>
      </w:r>
      <w:r w:rsidR="001B6CAF">
        <w:rPr>
          <w:rFonts w:eastAsiaTheme="minorEastAsia"/>
          <w:szCs w:val="18"/>
        </w:rPr>
        <w:t>6</w:t>
      </w:r>
      <w:r w:rsidRPr="00C04884">
        <w:rPr>
          <w:rFonts w:eastAsiaTheme="minorEastAsia"/>
          <w:szCs w:val="18"/>
        </w:rPr>
        <w:t>.1 Redenen voor schoolkeuze (N=1,049)</w:t>
      </w:r>
    </w:p>
    <w:p w:rsidRPr="00C04884" w:rsidR="004D179C" w:rsidP="004D179C" w:rsidRDefault="004D179C" w14:paraId="05355779" w14:textId="77777777">
      <w:r w:rsidRPr="00C04884">
        <w:rPr>
          <w:noProof/>
        </w:rPr>
        <w:drawing>
          <wp:inline distT="0" distB="0" distL="0" distR="0" wp14:anchorId="3DE83EDB" wp14:editId="11C025A3">
            <wp:extent cx="5760720" cy="3844925"/>
            <wp:effectExtent l="0" t="0" r="11430" b="3175"/>
            <wp:docPr id="216245214" name="Grafiek 1">
              <a:extLst xmlns:a="http://schemas.openxmlformats.org/drawingml/2006/main">
                <a:ext uri="{FF2B5EF4-FFF2-40B4-BE49-F238E27FC236}">
                  <a16:creationId xmlns:a16="http://schemas.microsoft.com/office/drawing/2014/main" id="{CF163415-453F-4412-B4D8-F055A24F94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D179C" w:rsidP="004D179C" w:rsidRDefault="004D179C" w14:paraId="6A697779" w14:textId="77777777">
      <w:pPr>
        <w:rPr>
          <w:rFonts w:eastAsiaTheme="minorEastAsia"/>
          <w:szCs w:val="18"/>
        </w:rPr>
      </w:pPr>
      <w:r w:rsidRPr="00C04884">
        <w:rPr>
          <w:rFonts w:eastAsiaTheme="minorEastAsia"/>
          <w:szCs w:val="18"/>
        </w:rPr>
        <w:t>Bron: Leerlingenvragenlijst mei-juli 2025.</w:t>
      </w:r>
    </w:p>
    <w:p w:rsidRPr="00C04884" w:rsidR="00915646" w:rsidP="004D179C" w:rsidRDefault="00915646" w14:paraId="5FE77F0D" w14:textId="77777777">
      <w:pPr>
        <w:rPr>
          <w:rFonts w:eastAsiaTheme="minorEastAsia"/>
          <w:szCs w:val="18"/>
        </w:rPr>
      </w:pPr>
    </w:p>
    <w:p w:rsidRPr="00C04884" w:rsidR="004D179C" w:rsidP="004D179C" w:rsidRDefault="004D179C" w14:paraId="6B1957D6" w14:textId="77777777">
      <w:pPr>
        <w:jc w:val="both"/>
        <w:rPr>
          <w:rFonts w:eastAsiaTheme="minorEastAsia"/>
          <w:szCs w:val="18"/>
        </w:rPr>
      </w:pPr>
      <w:r w:rsidRPr="625A0593">
        <w:rPr>
          <w:rFonts w:eastAsiaTheme="minorEastAsia"/>
          <w:szCs w:val="18"/>
        </w:rPr>
        <w:t xml:space="preserve">Deze figuur laat zien dat bij een derde van de leerlingen (3 op de 10) in de schoolkeuze een rol heeft gespeeld dat de school dichtbij huis is. Een kwart geeft aan dat in hun schoolkeuze interessante profielen in de bovenbouw een rol speelde. Voor ongeveer 17 procent zijn leuke keuzevakken in de bovenbouw een reden voor de schoolkeuze. Een vijfde (2 op de 10) geeft aan dat bekenden (broer, zus, vrienden, klasgenoten) op de school zaten of er ook heen gingen. Eenzelfde deel (19 procent) geeft aan dat de fijne sfeer op school een reden was. Het uiterlijk van het schoolgebouw en een positieve aanbeveling van de basisschool worden beide door ongeveer 15 procent van de leerlingen genoemd als reden voor de schoolkeuze. Iets meer dan een tiende (1 op de 10) geeft een andere reden op. Deze redenen, opgegeven in open antwoorden, zijn divers. Enkele voorbeelden zijn: voorkeur voor het praktische karakter (‘dingen met je handen doen’), kleine school, geen andere opties en uitgeloot zijn voor de voorkeursschool. </w:t>
      </w:r>
    </w:p>
    <w:p w:rsidR="004D179C" w:rsidP="004D179C" w:rsidRDefault="004D179C" w14:paraId="464BA8C0" w14:textId="77777777">
      <w:pPr>
        <w:jc w:val="both"/>
        <w:rPr>
          <w:rFonts w:eastAsiaTheme="minorEastAsia"/>
          <w:szCs w:val="18"/>
        </w:rPr>
      </w:pPr>
      <w:r w:rsidRPr="625A0593">
        <w:rPr>
          <w:rFonts w:eastAsiaTheme="minorEastAsia"/>
          <w:szCs w:val="18"/>
        </w:rPr>
        <w:t xml:space="preserve">De belangrijkste reden voor de schoolkeuze is dus de nabijheid van de school, gevolgd door inhoudelijke aspecten zoals profielen en keuzevakken in de bovenbouw. Ook sociale factoren en sfeer spelen een duidelijke rol, terwijl andere redenen sterk uiteenlopen. Voor vmbo-scholen biedt dit mogelijk aangrijpingspunten bij het </w:t>
      </w:r>
      <w:r>
        <w:rPr>
          <w:rFonts w:eastAsiaTheme="minorEastAsia"/>
          <w:szCs w:val="18"/>
        </w:rPr>
        <w:t xml:space="preserve">goed informeren </w:t>
      </w:r>
      <w:r>
        <w:rPr>
          <w:rFonts w:eastAsiaTheme="minorEastAsia"/>
          <w:szCs w:val="18"/>
        </w:rPr>
        <w:lastRenderedPageBreak/>
        <w:t>van leerlingen bij hun schoolkeuze</w:t>
      </w:r>
      <w:r w:rsidRPr="625A0593">
        <w:rPr>
          <w:rFonts w:eastAsiaTheme="minorEastAsia"/>
          <w:szCs w:val="18"/>
        </w:rPr>
        <w:t xml:space="preserve">: blijkbaar is voor een deel (een kwart) van schoolkiezers in groep 8 het aanbod van profielen en keuzevakken in de bovenbouw belangrijk. </w:t>
      </w:r>
    </w:p>
    <w:p w:rsidRPr="00C04884" w:rsidR="001C5E92" w:rsidP="004D179C" w:rsidRDefault="001C5E92" w14:paraId="79241E68" w14:textId="77777777">
      <w:pPr>
        <w:jc w:val="both"/>
        <w:rPr>
          <w:rFonts w:eastAsiaTheme="minorEastAsia"/>
          <w:szCs w:val="18"/>
        </w:rPr>
      </w:pPr>
    </w:p>
    <w:p w:rsidRPr="00C04884" w:rsidR="004D179C" w:rsidP="004D179C" w:rsidRDefault="004D179C" w14:paraId="5F9598E7" w14:textId="77777777">
      <w:pPr>
        <w:pStyle w:val="Kop2"/>
        <w:rPr>
          <w:b w:val="0"/>
          <w:bCs w:val="0"/>
        </w:rPr>
      </w:pPr>
      <w:bookmarkStart w:name="_Toc203573594" w:id="67"/>
      <w:bookmarkStart w:name="_Hlk201756703" w:id="68"/>
      <w:r w:rsidRPr="00C04884">
        <w:t>Deelname aan en beoordeling van techniekactiviteiten</w:t>
      </w:r>
      <w:bookmarkEnd w:id="67"/>
    </w:p>
    <w:bookmarkEnd w:id="68"/>
    <w:p w:rsidRPr="00C04884" w:rsidR="004D179C" w:rsidP="004D179C" w:rsidRDefault="004D179C" w14:paraId="0917B6E1" w14:textId="6E075E22">
      <w:pPr>
        <w:jc w:val="both"/>
        <w:rPr>
          <w:rFonts w:eastAsiaTheme="minorEastAsia"/>
          <w:szCs w:val="18"/>
        </w:rPr>
      </w:pPr>
      <w:r w:rsidRPr="625A0593">
        <w:rPr>
          <w:rFonts w:eastAsiaTheme="minorEastAsia"/>
          <w:szCs w:val="18"/>
        </w:rPr>
        <w:t xml:space="preserve">Een belangrijk onderdeel van STO is dat leerlingen kennis maken met techniekactiviteiten. Dit kan op verschillende manieren worden ingevuld en plaatsvinden op zowel </w:t>
      </w:r>
      <w:r>
        <w:rPr>
          <w:rFonts w:eastAsiaTheme="minorEastAsia"/>
          <w:szCs w:val="18"/>
        </w:rPr>
        <w:t>po en vo</w:t>
      </w:r>
      <w:r w:rsidRPr="625A0593">
        <w:rPr>
          <w:rFonts w:eastAsiaTheme="minorEastAsia"/>
          <w:szCs w:val="18"/>
        </w:rPr>
        <w:t xml:space="preserve">. Leerlingen </w:t>
      </w:r>
      <w:r>
        <w:rPr>
          <w:rFonts w:eastAsiaTheme="minorEastAsia"/>
          <w:szCs w:val="18"/>
        </w:rPr>
        <w:t xml:space="preserve">is </w:t>
      </w:r>
      <w:r w:rsidRPr="625A0593">
        <w:rPr>
          <w:rFonts w:eastAsiaTheme="minorEastAsia"/>
          <w:szCs w:val="18"/>
        </w:rPr>
        <w:t xml:space="preserve">daarom gevraagd naar </w:t>
      </w:r>
      <w:r>
        <w:rPr>
          <w:rFonts w:eastAsiaTheme="minorEastAsia"/>
          <w:szCs w:val="18"/>
        </w:rPr>
        <w:t>hun deelname aan</w:t>
      </w:r>
      <w:r w:rsidRPr="625A0593">
        <w:rPr>
          <w:rFonts w:eastAsiaTheme="minorEastAsia"/>
          <w:szCs w:val="18"/>
        </w:rPr>
        <w:t xml:space="preserve"> activiteiten die te maken hadden met techniek </w:t>
      </w:r>
      <w:r>
        <w:rPr>
          <w:rFonts w:eastAsiaTheme="minorEastAsia"/>
          <w:szCs w:val="18"/>
        </w:rPr>
        <w:t xml:space="preserve">georganiseerd </w:t>
      </w:r>
      <w:r w:rsidRPr="625A0593">
        <w:rPr>
          <w:rFonts w:eastAsiaTheme="minorEastAsia"/>
          <w:szCs w:val="18"/>
        </w:rPr>
        <w:t xml:space="preserve">door hun eerdere basisschool. Zij konden voor verschillende activiteiten aangeven óf deze werden georganiseerd en, indien dit het geval was, wat ze van deze activiteit vonden en of het hun mening over techniek heeft veranderd (zie tabel </w:t>
      </w:r>
      <w:r w:rsidR="001B6CAF">
        <w:rPr>
          <w:rFonts w:eastAsiaTheme="minorEastAsia"/>
          <w:szCs w:val="18"/>
        </w:rPr>
        <w:t>6</w:t>
      </w:r>
      <w:r w:rsidRPr="625A0593">
        <w:rPr>
          <w:rFonts w:eastAsiaTheme="minorEastAsia"/>
          <w:szCs w:val="18"/>
        </w:rPr>
        <w:t>.</w:t>
      </w:r>
      <w:r w:rsidR="00D43F8C">
        <w:rPr>
          <w:rFonts w:eastAsiaTheme="minorEastAsia"/>
          <w:szCs w:val="18"/>
        </w:rPr>
        <w:t>2</w:t>
      </w:r>
      <w:r w:rsidRPr="625A0593">
        <w:rPr>
          <w:rFonts w:eastAsiaTheme="minorEastAsia"/>
          <w:szCs w:val="18"/>
        </w:rPr>
        <w:t xml:space="preserve"> en figuur </w:t>
      </w:r>
      <w:r w:rsidR="001B6CAF">
        <w:rPr>
          <w:rFonts w:eastAsiaTheme="minorEastAsia"/>
          <w:szCs w:val="18"/>
        </w:rPr>
        <w:t>6</w:t>
      </w:r>
      <w:r w:rsidRPr="625A0593">
        <w:rPr>
          <w:rFonts w:eastAsiaTheme="minorEastAsia"/>
          <w:szCs w:val="18"/>
        </w:rPr>
        <w:t xml:space="preserve">.2).  </w:t>
      </w:r>
    </w:p>
    <w:p w:rsidRPr="00C04884" w:rsidR="004D179C" w:rsidP="004D179C" w:rsidRDefault="004D179C" w14:paraId="6DCF8ADC" w14:textId="77777777">
      <w:pPr>
        <w:rPr>
          <w:rFonts w:eastAsiaTheme="minorEastAsia"/>
          <w:szCs w:val="18"/>
        </w:rPr>
      </w:pPr>
      <w:r w:rsidRPr="00C04884">
        <w:rPr>
          <w:rFonts w:eastAsiaTheme="minorEastAsia"/>
          <w:szCs w:val="18"/>
        </w:rPr>
        <w:br w:type="page"/>
      </w:r>
    </w:p>
    <w:p w:rsidRPr="00C04884" w:rsidR="004D179C" w:rsidP="004D179C" w:rsidRDefault="004D179C" w14:paraId="4E0F11CE" w14:textId="25318F63">
      <w:pPr>
        <w:rPr>
          <w:rFonts w:eastAsiaTheme="minorEastAsia"/>
          <w:szCs w:val="18"/>
        </w:rPr>
      </w:pPr>
      <w:r w:rsidRPr="00C04884">
        <w:rPr>
          <w:rFonts w:eastAsiaTheme="minorEastAsia"/>
          <w:szCs w:val="18"/>
        </w:rPr>
        <w:lastRenderedPageBreak/>
        <w:t xml:space="preserve">Tabel </w:t>
      </w:r>
      <w:r w:rsidR="001B6CAF">
        <w:rPr>
          <w:rFonts w:eastAsiaTheme="minorEastAsia"/>
          <w:szCs w:val="18"/>
        </w:rPr>
        <w:t>6</w:t>
      </w:r>
      <w:r w:rsidRPr="00C04884">
        <w:rPr>
          <w:rFonts w:eastAsiaTheme="minorEastAsia"/>
          <w:szCs w:val="18"/>
        </w:rPr>
        <w:t>.</w:t>
      </w:r>
      <w:r w:rsidR="00D43F8C">
        <w:rPr>
          <w:rFonts w:eastAsiaTheme="minorEastAsia"/>
          <w:szCs w:val="18"/>
        </w:rPr>
        <w:t>2</w:t>
      </w:r>
      <w:r w:rsidRPr="00C04884">
        <w:rPr>
          <w:rFonts w:eastAsiaTheme="minorEastAsia"/>
          <w:szCs w:val="18"/>
        </w:rPr>
        <w:t xml:space="preserve"> Deelname aan en verandering van mening over techniekactiviteiten georganiseerd door de basisschool (N=724)</w:t>
      </w:r>
    </w:p>
    <w:tbl>
      <w:tblPr>
        <w:tblStyle w:val="Rastertabel1licht"/>
        <w:tblW w:w="9076" w:type="dxa"/>
        <w:tblLook w:val="0420" w:firstRow="1" w:lastRow="0" w:firstColumn="0" w:lastColumn="0" w:noHBand="0" w:noVBand="1"/>
      </w:tblPr>
      <w:tblGrid>
        <w:gridCol w:w="2164"/>
        <w:gridCol w:w="1122"/>
        <w:gridCol w:w="1338"/>
        <w:gridCol w:w="1322"/>
        <w:gridCol w:w="2043"/>
        <w:gridCol w:w="1087"/>
      </w:tblGrid>
      <w:tr w:rsidRPr="00C04884" w:rsidR="004D179C" w:rsidTr="001E4A94" w14:paraId="0E713792" w14:textId="77777777">
        <w:trPr>
          <w:cnfStyle w:val="100000000000" w:firstRow="1" w:lastRow="0" w:firstColumn="0" w:lastColumn="0" w:oddVBand="0" w:evenVBand="0" w:oddHBand="0" w:evenHBand="0" w:firstRowFirstColumn="0" w:firstRowLastColumn="0" w:lastRowFirstColumn="0" w:lastRowLastColumn="0"/>
          <w:trHeight w:val="300"/>
        </w:trPr>
        <w:tc>
          <w:tcPr>
            <w:tcW w:w="0" w:type="dxa"/>
          </w:tcPr>
          <w:p w:rsidRPr="00C04884" w:rsidR="004D179C" w:rsidP="001E4A94" w:rsidRDefault="004D179C" w14:paraId="332AFDA7" w14:textId="77777777">
            <w:pPr>
              <w:rPr>
                <w:rFonts w:eastAsiaTheme="minorEastAsia"/>
                <w:kern w:val="0"/>
                <w:szCs w:val="18"/>
                <w14:ligatures w14:val="none"/>
              </w:rPr>
            </w:pPr>
            <w:r w:rsidRPr="00C04884">
              <w:rPr>
                <w:rFonts w:eastAsiaTheme="minorEastAsia"/>
                <w:kern w:val="0"/>
                <w:szCs w:val="18"/>
                <w14:ligatures w14:val="none"/>
              </w:rPr>
              <w:t>Activiteiten tijdens basisschoo</w:t>
            </w:r>
            <w:r w:rsidRPr="00C04884">
              <w:rPr>
                <w:rFonts w:eastAsiaTheme="minorEastAsia"/>
                <w:b w:val="0"/>
                <w:bCs w:val="0"/>
                <w:kern w:val="0"/>
                <w:szCs w:val="18"/>
                <w14:ligatures w14:val="none"/>
              </w:rPr>
              <w:t>l</w:t>
            </w:r>
          </w:p>
        </w:tc>
        <w:tc>
          <w:tcPr>
            <w:tcW w:w="675" w:type="dxa"/>
          </w:tcPr>
          <w:p w:rsidRPr="00C04884" w:rsidR="004D179C" w:rsidP="001E4A94" w:rsidRDefault="004D179C" w14:paraId="1351C623" w14:textId="77777777">
            <w:pPr>
              <w:rPr>
                <w:rFonts w:eastAsiaTheme="minorEastAsia"/>
                <w:kern w:val="0"/>
                <w:szCs w:val="18"/>
                <w14:ligatures w14:val="none"/>
              </w:rPr>
            </w:pPr>
            <w:r w:rsidRPr="00C04884">
              <w:rPr>
                <w:rFonts w:eastAsiaTheme="minorEastAsia"/>
                <w:kern w:val="0"/>
                <w:szCs w:val="18"/>
                <w14:ligatures w14:val="none"/>
              </w:rPr>
              <w:t>% Ja</w:t>
            </w:r>
          </w:p>
        </w:tc>
        <w:tc>
          <w:tcPr>
            <w:tcW w:w="696" w:type="dxa"/>
          </w:tcPr>
          <w:p w:rsidRPr="00C04884" w:rsidR="004D179C" w:rsidP="001E4A94" w:rsidRDefault="004D179C" w14:paraId="432AF7B8" w14:textId="77777777">
            <w:pPr>
              <w:rPr>
                <w:rFonts w:eastAsiaTheme="minorEastAsia"/>
                <w:kern w:val="0"/>
                <w:szCs w:val="18"/>
                <w14:ligatures w14:val="none"/>
              </w:rPr>
            </w:pPr>
            <w:r w:rsidRPr="00C04884">
              <w:rPr>
                <w:rFonts w:eastAsiaTheme="minorEastAsia"/>
                <w:kern w:val="0"/>
                <w:szCs w:val="18"/>
                <w14:ligatures w14:val="none"/>
              </w:rPr>
              <w:t>Leuker</w:t>
            </w:r>
          </w:p>
        </w:tc>
        <w:tc>
          <w:tcPr>
            <w:tcW w:w="0" w:type="dxa"/>
          </w:tcPr>
          <w:p w:rsidRPr="00C04884" w:rsidR="004D179C" w:rsidP="001E4A94" w:rsidRDefault="004D179C" w14:paraId="626E20DD" w14:textId="77777777">
            <w:pPr>
              <w:rPr>
                <w:rFonts w:eastAsiaTheme="minorEastAsia"/>
                <w:kern w:val="0"/>
                <w:szCs w:val="18"/>
                <w14:ligatures w14:val="none"/>
              </w:rPr>
            </w:pPr>
            <w:r w:rsidRPr="00C04884">
              <w:rPr>
                <w:rFonts w:eastAsiaTheme="minorEastAsia"/>
                <w:kern w:val="0"/>
                <w:szCs w:val="18"/>
                <w14:ligatures w14:val="none"/>
              </w:rPr>
              <w:t xml:space="preserve">Minder leuk </w:t>
            </w:r>
          </w:p>
        </w:tc>
        <w:tc>
          <w:tcPr>
            <w:tcW w:w="0" w:type="dxa"/>
          </w:tcPr>
          <w:p w:rsidRPr="00C04884" w:rsidR="004D179C" w:rsidP="001E4A94" w:rsidRDefault="004D179C" w14:paraId="35EFA204" w14:textId="77777777">
            <w:pPr>
              <w:rPr>
                <w:rFonts w:eastAsiaTheme="minorEastAsia"/>
                <w:kern w:val="0"/>
                <w:szCs w:val="18"/>
                <w14:ligatures w14:val="none"/>
              </w:rPr>
            </w:pPr>
            <w:r w:rsidRPr="00C04884">
              <w:rPr>
                <w:rFonts w:eastAsiaTheme="minorEastAsia"/>
                <w:kern w:val="0"/>
                <w:szCs w:val="18"/>
                <w14:ligatures w14:val="none"/>
              </w:rPr>
              <w:t>Geen verandering</w:t>
            </w:r>
          </w:p>
        </w:tc>
        <w:tc>
          <w:tcPr>
            <w:tcW w:w="0" w:type="dxa"/>
          </w:tcPr>
          <w:p w:rsidRPr="00C04884" w:rsidR="004D179C" w:rsidP="001E4A94" w:rsidRDefault="004D179C" w14:paraId="4527443A" w14:textId="77777777">
            <w:pPr>
              <w:rPr>
                <w:rFonts w:eastAsiaTheme="minorEastAsia"/>
                <w:kern w:val="0"/>
                <w:szCs w:val="18"/>
                <w14:ligatures w14:val="none"/>
              </w:rPr>
            </w:pPr>
            <w:r w:rsidRPr="00C04884">
              <w:rPr>
                <w:rFonts w:eastAsiaTheme="minorEastAsia"/>
                <w:kern w:val="0"/>
                <w:szCs w:val="18"/>
                <w14:ligatures w14:val="none"/>
              </w:rPr>
              <w:t>Weet niet</w:t>
            </w:r>
          </w:p>
        </w:tc>
      </w:tr>
      <w:tr w:rsidRPr="00C04884" w:rsidR="004D179C" w:rsidTr="001E4A94" w14:paraId="05240B0F" w14:textId="77777777">
        <w:trPr>
          <w:trHeight w:val="300"/>
        </w:trPr>
        <w:tc>
          <w:tcPr>
            <w:tcW w:w="0" w:type="dxa"/>
          </w:tcPr>
          <w:p w:rsidRPr="00C04884" w:rsidR="004D179C" w:rsidP="001E4A94" w:rsidRDefault="004D179C" w14:paraId="286D8EFE" w14:textId="77777777">
            <w:pPr>
              <w:rPr>
                <w:rFonts w:eastAsiaTheme="minorEastAsia"/>
                <w:kern w:val="0"/>
                <w:szCs w:val="18"/>
                <w14:ligatures w14:val="none"/>
              </w:rPr>
            </w:pPr>
            <w:r w:rsidRPr="00C04884">
              <w:rPr>
                <w:rFonts w:eastAsiaTheme="minorEastAsia"/>
                <w:kern w:val="0"/>
                <w:szCs w:val="18"/>
                <w14:ligatures w14:val="none"/>
              </w:rPr>
              <w:t>Bezoek aan een bedrijf</w:t>
            </w:r>
          </w:p>
        </w:tc>
        <w:tc>
          <w:tcPr>
            <w:tcW w:w="675" w:type="dxa"/>
          </w:tcPr>
          <w:p w:rsidRPr="00C04884" w:rsidR="004D179C" w:rsidP="001E4A94" w:rsidRDefault="004D179C" w14:paraId="0E136D89" w14:textId="77777777">
            <w:pPr>
              <w:jc w:val="right"/>
              <w:rPr>
                <w:rFonts w:eastAsiaTheme="minorEastAsia"/>
                <w:kern w:val="0"/>
                <w:szCs w:val="18"/>
                <w14:ligatures w14:val="none"/>
              </w:rPr>
            </w:pPr>
            <w:r w:rsidRPr="625A0593">
              <w:rPr>
                <w:rFonts w:eastAsiaTheme="minorEastAsia"/>
                <w:kern w:val="0"/>
                <w:szCs w:val="18"/>
                <w14:ligatures w14:val="none"/>
              </w:rPr>
              <w:t>13,7</w:t>
            </w:r>
          </w:p>
        </w:tc>
        <w:tc>
          <w:tcPr>
            <w:tcW w:w="696" w:type="dxa"/>
          </w:tcPr>
          <w:p w:rsidRPr="00C04884" w:rsidR="004D179C" w:rsidP="001E4A94" w:rsidRDefault="004D179C" w14:paraId="1A5DCA48" w14:textId="77777777">
            <w:pPr>
              <w:jc w:val="right"/>
              <w:rPr>
                <w:rFonts w:eastAsiaTheme="minorEastAsia"/>
                <w:kern w:val="0"/>
                <w:szCs w:val="18"/>
                <w14:ligatures w14:val="none"/>
              </w:rPr>
            </w:pPr>
            <w:r w:rsidRPr="00C04884">
              <w:rPr>
                <w:rFonts w:eastAsiaTheme="minorEastAsia"/>
                <w:kern w:val="0"/>
                <w:szCs w:val="18"/>
                <w14:ligatures w14:val="none"/>
              </w:rPr>
              <w:t>12,5</w:t>
            </w:r>
          </w:p>
        </w:tc>
        <w:tc>
          <w:tcPr>
            <w:tcW w:w="0" w:type="dxa"/>
          </w:tcPr>
          <w:p w:rsidRPr="00C04884" w:rsidR="004D179C" w:rsidP="001E4A94" w:rsidRDefault="004D179C" w14:paraId="1B25F7C3" w14:textId="77777777">
            <w:pPr>
              <w:jc w:val="right"/>
              <w:rPr>
                <w:rFonts w:eastAsiaTheme="minorEastAsia"/>
                <w:kern w:val="0"/>
                <w:szCs w:val="18"/>
                <w14:ligatures w14:val="none"/>
              </w:rPr>
            </w:pPr>
            <w:r w:rsidRPr="00C04884">
              <w:rPr>
                <w:rFonts w:eastAsiaTheme="minorEastAsia"/>
                <w:kern w:val="0"/>
                <w:szCs w:val="18"/>
                <w14:ligatures w14:val="none"/>
              </w:rPr>
              <w:t>6,9</w:t>
            </w:r>
          </w:p>
        </w:tc>
        <w:tc>
          <w:tcPr>
            <w:tcW w:w="0" w:type="dxa"/>
          </w:tcPr>
          <w:p w:rsidRPr="00C04884" w:rsidR="004D179C" w:rsidP="001E4A94" w:rsidRDefault="004D179C" w14:paraId="1A9EB1E2" w14:textId="77777777">
            <w:pPr>
              <w:jc w:val="right"/>
              <w:rPr>
                <w:rFonts w:eastAsiaTheme="minorEastAsia"/>
                <w:kern w:val="0"/>
                <w:szCs w:val="18"/>
                <w14:ligatures w14:val="none"/>
              </w:rPr>
            </w:pPr>
            <w:r w:rsidRPr="00C04884">
              <w:rPr>
                <w:rFonts w:eastAsiaTheme="minorEastAsia"/>
                <w:kern w:val="0"/>
                <w:szCs w:val="18"/>
                <w14:ligatures w14:val="none"/>
              </w:rPr>
              <w:t>59,0</w:t>
            </w:r>
          </w:p>
        </w:tc>
        <w:tc>
          <w:tcPr>
            <w:tcW w:w="0" w:type="dxa"/>
          </w:tcPr>
          <w:p w:rsidRPr="00C04884" w:rsidR="004D179C" w:rsidP="001E4A94" w:rsidRDefault="004D179C" w14:paraId="551AEDDD" w14:textId="77777777">
            <w:pPr>
              <w:jc w:val="right"/>
              <w:rPr>
                <w:rFonts w:eastAsiaTheme="minorEastAsia"/>
                <w:kern w:val="0"/>
                <w:szCs w:val="18"/>
                <w14:ligatures w14:val="none"/>
              </w:rPr>
            </w:pPr>
            <w:r w:rsidRPr="00C04884">
              <w:rPr>
                <w:rFonts w:eastAsiaTheme="minorEastAsia"/>
                <w:kern w:val="0"/>
                <w:szCs w:val="18"/>
                <w14:ligatures w14:val="none"/>
              </w:rPr>
              <w:t>21,5</w:t>
            </w:r>
          </w:p>
        </w:tc>
      </w:tr>
      <w:tr w:rsidRPr="00C04884" w:rsidR="004D179C" w:rsidTr="001E4A94" w14:paraId="15A9BAC5" w14:textId="77777777">
        <w:trPr>
          <w:trHeight w:val="300"/>
        </w:trPr>
        <w:tc>
          <w:tcPr>
            <w:tcW w:w="0" w:type="dxa"/>
          </w:tcPr>
          <w:p w:rsidRPr="00C04884" w:rsidR="004D179C" w:rsidP="001E4A94" w:rsidRDefault="004D179C" w14:paraId="52C8F4C5" w14:textId="77777777">
            <w:pPr>
              <w:rPr>
                <w:rFonts w:eastAsiaTheme="minorEastAsia"/>
                <w:kern w:val="0"/>
                <w:szCs w:val="18"/>
                <w14:ligatures w14:val="none"/>
              </w:rPr>
            </w:pPr>
            <w:r w:rsidRPr="00C04884">
              <w:rPr>
                <w:rFonts w:eastAsiaTheme="minorEastAsia"/>
                <w:kern w:val="0"/>
                <w:szCs w:val="18"/>
                <w14:ligatures w14:val="none"/>
              </w:rPr>
              <w:t xml:space="preserve">Bezoek aan een vmbo-school </w:t>
            </w:r>
          </w:p>
        </w:tc>
        <w:tc>
          <w:tcPr>
            <w:tcW w:w="675" w:type="dxa"/>
          </w:tcPr>
          <w:p w:rsidRPr="00C04884" w:rsidR="004D179C" w:rsidP="001E4A94" w:rsidRDefault="004D179C" w14:paraId="02631DDC" w14:textId="77777777">
            <w:pPr>
              <w:jc w:val="right"/>
              <w:rPr>
                <w:rFonts w:eastAsiaTheme="minorEastAsia"/>
                <w:kern w:val="0"/>
                <w:szCs w:val="18"/>
                <w14:ligatures w14:val="none"/>
              </w:rPr>
            </w:pPr>
            <w:r w:rsidRPr="00C04884">
              <w:rPr>
                <w:rFonts w:eastAsiaTheme="minorEastAsia"/>
                <w:kern w:val="0"/>
                <w:szCs w:val="18"/>
                <w14:ligatures w14:val="none"/>
              </w:rPr>
              <w:t>16,8</w:t>
            </w:r>
          </w:p>
        </w:tc>
        <w:tc>
          <w:tcPr>
            <w:tcW w:w="696" w:type="dxa"/>
          </w:tcPr>
          <w:p w:rsidRPr="00C04884" w:rsidR="004D179C" w:rsidP="001E4A94" w:rsidRDefault="004D179C" w14:paraId="2F7D30CD" w14:textId="77777777">
            <w:pPr>
              <w:jc w:val="right"/>
              <w:rPr>
                <w:rFonts w:eastAsiaTheme="minorEastAsia"/>
                <w:kern w:val="0"/>
                <w:szCs w:val="18"/>
                <w14:ligatures w14:val="none"/>
              </w:rPr>
            </w:pPr>
            <w:r w:rsidRPr="00C04884">
              <w:rPr>
                <w:rFonts w:eastAsiaTheme="minorEastAsia"/>
                <w:kern w:val="0"/>
                <w:szCs w:val="18"/>
                <w14:ligatures w14:val="none"/>
              </w:rPr>
              <w:t>8,0</w:t>
            </w:r>
          </w:p>
        </w:tc>
        <w:tc>
          <w:tcPr>
            <w:tcW w:w="0" w:type="dxa"/>
          </w:tcPr>
          <w:p w:rsidRPr="00C04884" w:rsidR="004D179C" w:rsidP="001E4A94" w:rsidRDefault="004D179C" w14:paraId="70C604EF" w14:textId="77777777">
            <w:pPr>
              <w:jc w:val="right"/>
              <w:rPr>
                <w:rFonts w:eastAsiaTheme="minorEastAsia"/>
                <w:kern w:val="0"/>
                <w:szCs w:val="18"/>
                <w14:ligatures w14:val="none"/>
              </w:rPr>
            </w:pPr>
            <w:r w:rsidRPr="00C04884">
              <w:rPr>
                <w:rFonts w:eastAsiaTheme="minorEastAsia"/>
                <w:kern w:val="0"/>
                <w:szCs w:val="18"/>
                <w14:ligatures w14:val="none"/>
              </w:rPr>
              <w:t>10,3</w:t>
            </w:r>
          </w:p>
        </w:tc>
        <w:tc>
          <w:tcPr>
            <w:tcW w:w="0" w:type="dxa"/>
          </w:tcPr>
          <w:p w:rsidRPr="00C04884" w:rsidR="004D179C" w:rsidP="001E4A94" w:rsidRDefault="004D179C" w14:paraId="77B83B35" w14:textId="77777777">
            <w:pPr>
              <w:jc w:val="right"/>
              <w:rPr>
                <w:rFonts w:eastAsiaTheme="minorEastAsia"/>
                <w:kern w:val="0"/>
                <w:szCs w:val="18"/>
                <w14:ligatures w14:val="none"/>
              </w:rPr>
            </w:pPr>
            <w:r w:rsidRPr="00C04884">
              <w:rPr>
                <w:rFonts w:eastAsiaTheme="minorEastAsia"/>
                <w:kern w:val="0"/>
                <w:szCs w:val="18"/>
                <w14:ligatures w14:val="none"/>
              </w:rPr>
              <w:t>56,6</w:t>
            </w:r>
          </w:p>
        </w:tc>
        <w:tc>
          <w:tcPr>
            <w:tcW w:w="0" w:type="dxa"/>
          </w:tcPr>
          <w:p w:rsidRPr="00C04884" w:rsidR="004D179C" w:rsidP="001E4A94" w:rsidRDefault="004D179C" w14:paraId="71C46027" w14:textId="77777777">
            <w:pPr>
              <w:jc w:val="right"/>
              <w:rPr>
                <w:rFonts w:eastAsiaTheme="minorEastAsia"/>
                <w:kern w:val="0"/>
                <w:szCs w:val="18"/>
                <w14:ligatures w14:val="none"/>
              </w:rPr>
            </w:pPr>
            <w:r w:rsidRPr="00C04884">
              <w:rPr>
                <w:rFonts w:eastAsiaTheme="minorEastAsia"/>
                <w:kern w:val="0"/>
                <w:szCs w:val="18"/>
                <w14:ligatures w14:val="none"/>
              </w:rPr>
              <w:t>25,1</w:t>
            </w:r>
          </w:p>
        </w:tc>
      </w:tr>
      <w:tr w:rsidRPr="00C04884" w:rsidR="004D179C" w:rsidTr="001E4A94" w14:paraId="444BFBE5" w14:textId="77777777">
        <w:trPr>
          <w:trHeight w:val="300"/>
        </w:trPr>
        <w:tc>
          <w:tcPr>
            <w:tcW w:w="0" w:type="dxa"/>
          </w:tcPr>
          <w:p w:rsidRPr="00C04884" w:rsidR="004D179C" w:rsidP="001E4A94" w:rsidRDefault="004D179C" w14:paraId="2B6EE21F" w14:textId="77777777">
            <w:pPr>
              <w:rPr>
                <w:rFonts w:eastAsiaTheme="minorEastAsia"/>
                <w:kern w:val="0"/>
                <w:szCs w:val="18"/>
                <w14:ligatures w14:val="none"/>
              </w:rPr>
            </w:pPr>
            <w:r w:rsidRPr="00C04884">
              <w:rPr>
                <w:rFonts w:eastAsiaTheme="minorEastAsia"/>
                <w:kern w:val="0"/>
                <w:szCs w:val="18"/>
                <w14:ligatures w14:val="none"/>
              </w:rPr>
              <w:t>Bezoek aan het mbo</w:t>
            </w:r>
          </w:p>
        </w:tc>
        <w:tc>
          <w:tcPr>
            <w:tcW w:w="675" w:type="dxa"/>
          </w:tcPr>
          <w:p w:rsidRPr="00C04884" w:rsidR="004D179C" w:rsidP="001E4A94" w:rsidRDefault="004D179C" w14:paraId="57E58ED6" w14:textId="77777777">
            <w:pPr>
              <w:jc w:val="right"/>
              <w:rPr>
                <w:rFonts w:eastAsiaTheme="minorEastAsia"/>
                <w:kern w:val="0"/>
                <w:szCs w:val="18"/>
                <w14:ligatures w14:val="none"/>
              </w:rPr>
            </w:pPr>
            <w:r w:rsidRPr="00C04884">
              <w:rPr>
                <w:rFonts w:eastAsiaTheme="minorEastAsia"/>
                <w:kern w:val="0"/>
                <w:szCs w:val="18"/>
                <w14:ligatures w14:val="none"/>
              </w:rPr>
              <w:t>3,5</w:t>
            </w:r>
          </w:p>
        </w:tc>
        <w:tc>
          <w:tcPr>
            <w:tcW w:w="696" w:type="dxa"/>
          </w:tcPr>
          <w:p w:rsidRPr="00C04884" w:rsidR="004D179C" w:rsidP="001E4A94" w:rsidRDefault="004D179C" w14:paraId="1CA57DD6" w14:textId="77777777">
            <w:pPr>
              <w:jc w:val="right"/>
              <w:rPr>
                <w:rFonts w:eastAsiaTheme="minorEastAsia"/>
                <w:kern w:val="0"/>
                <w:szCs w:val="18"/>
                <w14:ligatures w14:val="none"/>
              </w:rPr>
            </w:pPr>
            <w:r w:rsidRPr="00C04884">
              <w:rPr>
                <w:rFonts w:eastAsiaTheme="minorEastAsia"/>
                <w:kern w:val="0"/>
                <w:szCs w:val="18"/>
                <w14:ligatures w14:val="none"/>
              </w:rPr>
              <w:t>18,9</w:t>
            </w:r>
          </w:p>
        </w:tc>
        <w:tc>
          <w:tcPr>
            <w:tcW w:w="0" w:type="dxa"/>
          </w:tcPr>
          <w:p w:rsidRPr="00C04884" w:rsidR="004D179C" w:rsidP="001E4A94" w:rsidRDefault="004D179C" w14:paraId="13D94945" w14:textId="77777777">
            <w:pPr>
              <w:jc w:val="right"/>
              <w:rPr>
                <w:rFonts w:eastAsiaTheme="minorEastAsia"/>
                <w:kern w:val="0"/>
                <w:szCs w:val="18"/>
                <w14:ligatures w14:val="none"/>
              </w:rPr>
            </w:pPr>
            <w:r w:rsidRPr="00C04884">
              <w:rPr>
                <w:rFonts w:eastAsiaTheme="minorEastAsia"/>
                <w:kern w:val="0"/>
                <w:szCs w:val="18"/>
                <w14:ligatures w14:val="none"/>
              </w:rPr>
              <w:t>18,9</w:t>
            </w:r>
          </w:p>
        </w:tc>
        <w:tc>
          <w:tcPr>
            <w:tcW w:w="0" w:type="dxa"/>
          </w:tcPr>
          <w:p w:rsidRPr="00C04884" w:rsidR="004D179C" w:rsidP="001E4A94" w:rsidRDefault="004D179C" w14:paraId="11DC9D55" w14:textId="77777777">
            <w:pPr>
              <w:jc w:val="right"/>
              <w:rPr>
                <w:rFonts w:eastAsiaTheme="minorEastAsia"/>
                <w:kern w:val="0"/>
                <w:szCs w:val="18"/>
                <w14:ligatures w14:val="none"/>
              </w:rPr>
            </w:pPr>
            <w:r w:rsidRPr="00C04884">
              <w:rPr>
                <w:rFonts w:eastAsiaTheme="minorEastAsia"/>
                <w:kern w:val="0"/>
                <w:szCs w:val="18"/>
                <w14:ligatures w14:val="none"/>
              </w:rPr>
              <w:t>43,2</w:t>
            </w:r>
          </w:p>
        </w:tc>
        <w:tc>
          <w:tcPr>
            <w:tcW w:w="0" w:type="dxa"/>
          </w:tcPr>
          <w:p w:rsidRPr="00C04884" w:rsidR="004D179C" w:rsidP="001E4A94" w:rsidRDefault="004D179C" w14:paraId="578C815F" w14:textId="77777777">
            <w:pPr>
              <w:jc w:val="right"/>
              <w:rPr>
                <w:rFonts w:eastAsiaTheme="minorEastAsia"/>
                <w:kern w:val="0"/>
                <w:szCs w:val="18"/>
                <w14:ligatures w14:val="none"/>
              </w:rPr>
            </w:pPr>
            <w:r w:rsidRPr="00C04884">
              <w:rPr>
                <w:rFonts w:eastAsiaTheme="minorEastAsia"/>
                <w:kern w:val="0"/>
                <w:szCs w:val="18"/>
                <w14:ligatures w14:val="none"/>
              </w:rPr>
              <w:t>18,9</w:t>
            </w:r>
          </w:p>
        </w:tc>
      </w:tr>
      <w:tr w:rsidRPr="00C04884" w:rsidR="004D179C" w:rsidTr="001E4A94" w14:paraId="6EDD4B2B" w14:textId="77777777">
        <w:trPr>
          <w:trHeight w:val="300"/>
        </w:trPr>
        <w:tc>
          <w:tcPr>
            <w:tcW w:w="0" w:type="dxa"/>
          </w:tcPr>
          <w:p w:rsidRPr="00C04884" w:rsidR="004D179C" w:rsidP="001E4A94" w:rsidRDefault="004D179C" w14:paraId="320B46A0" w14:textId="77777777">
            <w:pPr>
              <w:rPr>
                <w:rFonts w:eastAsiaTheme="minorEastAsia"/>
                <w:kern w:val="0"/>
                <w:szCs w:val="18"/>
                <w14:ligatures w14:val="none"/>
              </w:rPr>
            </w:pPr>
            <w:r w:rsidRPr="00C04884">
              <w:rPr>
                <w:rFonts w:eastAsiaTheme="minorEastAsia"/>
                <w:kern w:val="0"/>
                <w:szCs w:val="18"/>
                <w14:ligatures w14:val="none"/>
              </w:rPr>
              <w:t xml:space="preserve">Bezoek aan een ‘techniekhal’ (bijvoorbeeld techhub, hotspot of techlab) </w:t>
            </w:r>
          </w:p>
        </w:tc>
        <w:tc>
          <w:tcPr>
            <w:tcW w:w="675" w:type="dxa"/>
          </w:tcPr>
          <w:p w:rsidRPr="00C04884" w:rsidR="004D179C" w:rsidP="001E4A94" w:rsidRDefault="004D179C" w14:paraId="75A13812" w14:textId="77777777">
            <w:pPr>
              <w:jc w:val="right"/>
              <w:rPr>
                <w:rFonts w:eastAsiaTheme="minorEastAsia"/>
                <w:kern w:val="0"/>
                <w:szCs w:val="18"/>
                <w14:ligatures w14:val="none"/>
              </w:rPr>
            </w:pPr>
            <w:r w:rsidRPr="00C04884">
              <w:rPr>
                <w:rFonts w:eastAsiaTheme="minorEastAsia"/>
                <w:kern w:val="0"/>
                <w:szCs w:val="18"/>
                <w14:ligatures w14:val="none"/>
              </w:rPr>
              <w:t>5,0</w:t>
            </w:r>
          </w:p>
        </w:tc>
        <w:tc>
          <w:tcPr>
            <w:tcW w:w="696" w:type="dxa"/>
          </w:tcPr>
          <w:p w:rsidRPr="00C04884" w:rsidR="004D179C" w:rsidP="001E4A94" w:rsidRDefault="004D179C" w14:paraId="44F10379" w14:textId="77777777">
            <w:pPr>
              <w:jc w:val="right"/>
              <w:rPr>
                <w:rFonts w:eastAsiaTheme="minorEastAsia"/>
                <w:kern w:val="0"/>
                <w:szCs w:val="18"/>
                <w14:ligatures w14:val="none"/>
              </w:rPr>
            </w:pPr>
            <w:r w:rsidRPr="00C04884">
              <w:rPr>
                <w:rFonts w:eastAsiaTheme="minorEastAsia"/>
                <w:kern w:val="0"/>
                <w:szCs w:val="18"/>
                <w14:ligatures w14:val="none"/>
              </w:rPr>
              <w:t>15,4</w:t>
            </w:r>
          </w:p>
        </w:tc>
        <w:tc>
          <w:tcPr>
            <w:tcW w:w="0" w:type="dxa"/>
          </w:tcPr>
          <w:p w:rsidRPr="00C04884" w:rsidR="004D179C" w:rsidP="001E4A94" w:rsidRDefault="004D179C" w14:paraId="6D1F1963" w14:textId="77777777">
            <w:pPr>
              <w:jc w:val="right"/>
              <w:rPr>
                <w:rFonts w:eastAsiaTheme="minorEastAsia"/>
                <w:kern w:val="0"/>
                <w:szCs w:val="18"/>
                <w14:ligatures w14:val="none"/>
              </w:rPr>
            </w:pPr>
            <w:r w:rsidRPr="00C04884">
              <w:rPr>
                <w:rFonts w:eastAsiaTheme="minorEastAsia"/>
                <w:kern w:val="0"/>
                <w:szCs w:val="18"/>
                <w14:ligatures w14:val="none"/>
              </w:rPr>
              <w:t>7,7</w:t>
            </w:r>
          </w:p>
        </w:tc>
        <w:tc>
          <w:tcPr>
            <w:tcW w:w="0" w:type="dxa"/>
          </w:tcPr>
          <w:p w:rsidRPr="00C04884" w:rsidR="004D179C" w:rsidP="001E4A94" w:rsidRDefault="004D179C" w14:paraId="5D1DE266" w14:textId="77777777">
            <w:pPr>
              <w:jc w:val="right"/>
              <w:rPr>
                <w:rFonts w:eastAsiaTheme="minorEastAsia"/>
                <w:kern w:val="0"/>
                <w:szCs w:val="18"/>
                <w14:ligatures w14:val="none"/>
              </w:rPr>
            </w:pPr>
            <w:r w:rsidRPr="00C04884">
              <w:rPr>
                <w:rFonts w:eastAsiaTheme="minorEastAsia"/>
                <w:kern w:val="0"/>
                <w:szCs w:val="18"/>
                <w14:ligatures w14:val="none"/>
              </w:rPr>
              <w:t>57,7</w:t>
            </w:r>
          </w:p>
        </w:tc>
        <w:tc>
          <w:tcPr>
            <w:tcW w:w="0" w:type="dxa"/>
          </w:tcPr>
          <w:p w:rsidRPr="00C04884" w:rsidR="004D179C" w:rsidP="001E4A94" w:rsidRDefault="004D179C" w14:paraId="5E835193" w14:textId="77777777">
            <w:pPr>
              <w:jc w:val="right"/>
              <w:rPr>
                <w:rFonts w:eastAsiaTheme="minorEastAsia"/>
                <w:kern w:val="0"/>
                <w:szCs w:val="18"/>
                <w14:ligatures w14:val="none"/>
              </w:rPr>
            </w:pPr>
            <w:r w:rsidRPr="00C04884">
              <w:rPr>
                <w:rFonts w:eastAsiaTheme="minorEastAsia"/>
                <w:kern w:val="0"/>
                <w:szCs w:val="18"/>
                <w14:ligatures w14:val="none"/>
              </w:rPr>
              <w:t>19,2</w:t>
            </w:r>
          </w:p>
        </w:tc>
      </w:tr>
      <w:tr w:rsidRPr="00C04884" w:rsidR="004D179C" w:rsidTr="001E4A94" w14:paraId="0D204B8E" w14:textId="77777777">
        <w:trPr>
          <w:trHeight w:val="300"/>
        </w:trPr>
        <w:tc>
          <w:tcPr>
            <w:tcW w:w="0" w:type="dxa"/>
          </w:tcPr>
          <w:p w:rsidRPr="00C04884" w:rsidR="004D179C" w:rsidP="001E4A94" w:rsidRDefault="004D179C" w14:paraId="3A999780" w14:textId="77777777">
            <w:pPr>
              <w:rPr>
                <w:rFonts w:eastAsiaTheme="minorEastAsia"/>
                <w:kern w:val="0"/>
                <w:szCs w:val="18"/>
                <w14:ligatures w14:val="none"/>
              </w:rPr>
            </w:pPr>
            <w:r w:rsidRPr="00C04884">
              <w:rPr>
                <w:rFonts w:eastAsiaTheme="minorEastAsia"/>
                <w:kern w:val="0"/>
                <w:szCs w:val="18"/>
                <w14:ligatures w14:val="none"/>
              </w:rPr>
              <w:t xml:space="preserve">Een gastles of workshop over techniek door iemand van buiten de school </w:t>
            </w:r>
          </w:p>
        </w:tc>
        <w:tc>
          <w:tcPr>
            <w:tcW w:w="675" w:type="dxa"/>
          </w:tcPr>
          <w:p w:rsidRPr="00C04884" w:rsidR="004D179C" w:rsidP="001E4A94" w:rsidRDefault="004D179C" w14:paraId="3155CC1D" w14:textId="77777777">
            <w:pPr>
              <w:jc w:val="right"/>
              <w:rPr>
                <w:rFonts w:eastAsiaTheme="minorEastAsia"/>
                <w:kern w:val="0"/>
                <w:szCs w:val="18"/>
                <w14:ligatures w14:val="none"/>
              </w:rPr>
            </w:pPr>
            <w:r w:rsidRPr="00C04884">
              <w:rPr>
                <w:rFonts w:eastAsiaTheme="minorEastAsia"/>
                <w:kern w:val="0"/>
                <w:szCs w:val="18"/>
                <w14:ligatures w14:val="none"/>
              </w:rPr>
              <w:t>12,1</w:t>
            </w:r>
          </w:p>
        </w:tc>
        <w:tc>
          <w:tcPr>
            <w:tcW w:w="696" w:type="dxa"/>
          </w:tcPr>
          <w:p w:rsidRPr="00C04884" w:rsidR="004D179C" w:rsidP="001E4A94" w:rsidRDefault="004D179C" w14:paraId="43843A5E" w14:textId="77777777">
            <w:pPr>
              <w:jc w:val="right"/>
              <w:rPr>
                <w:rFonts w:eastAsiaTheme="minorEastAsia"/>
                <w:kern w:val="0"/>
                <w:szCs w:val="18"/>
                <w14:ligatures w14:val="none"/>
              </w:rPr>
            </w:pPr>
            <w:r w:rsidRPr="00C04884">
              <w:rPr>
                <w:rFonts w:eastAsiaTheme="minorEastAsia"/>
                <w:kern w:val="0"/>
                <w:szCs w:val="18"/>
                <w14:ligatures w14:val="none"/>
              </w:rPr>
              <w:t>11,9</w:t>
            </w:r>
          </w:p>
        </w:tc>
        <w:tc>
          <w:tcPr>
            <w:tcW w:w="0" w:type="dxa"/>
          </w:tcPr>
          <w:p w:rsidRPr="00C04884" w:rsidR="004D179C" w:rsidP="001E4A94" w:rsidRDefault="004D179C" w14:paraId="42C00D14" w14:textId="77777777">
            <w:pPr>
              <w:jc w:val="right"/>
              <w:rPr>
                <w:rFonts w:eastAsiaTheme="minorEastAsia"/>
                <w:kern w:val="0"/>
                <w:szCs w:val="18"/>
                <w14:ligatures w14:val="none"/>
              </w:rPr>
            </w:pPr>
            <w:r w:rsidRPr="00C04884">
              <w:rPr>
                <w:rFonts w:eastAsiaTheme="minorEastAsia"/>
                <w:kern w:val="0"/>
                <w:szCs w:val="18"/>
                <w14:ligatures w14:val="none"/>
              </w:rPr>
              <w:t>6,3</w:t>
            </w:r>
          </w:p>
        </w:tc>
        <w:tc>
          <w:tcPr>
            <w:tcW w:w="0" w:type="dxa"/>
          </w:tcPr>
          <w:p w:rsidRPr="00C04884" w:rsidR="004D179C" w:rsidP="001E4A94" w:rsidRDefault="004D179C" w14:paraId="5CC28571" w14:textId="77777777">
            <w:pPr>
              <w:jc w:val="right"/>
              <w:rPr>
                <w:rFonts w:eastAsiaTheme="minorEastAsia"/>
                <w:kern w:val="0"/>
                <w:szCs w:val="18"/>
                <w14:ligatures w14:val="none"/>
              </w:rPr>
            </w:pPr>
            <w:r w:rsidRPr="00C04884">
              <w:rPr>
                <w:rFonts w:eastAsiaTheme="minorEastAsia"/>
                <w:kern w:val="0"/>
                <w:szCs w:val="18"/>
                <w14:ligatures w14:val="none"/>
              </w:rPr>
              <w:t>62,7</w:t>
            </w:r>
          </w:p>
        </w:tc>
        <w:tc>
          <w:tcPr>
            <w:tcW w:w="0" w:type="dxa"/>
          </w:tcPr>
          <w:p w:rsidRPr="00C04884" w:rsidR="004D179C" w:rsidP="001E4A94" w:rsidRDefault="004D179C" w14:paraId="2D861D57" w14:textId="77777777">
            <w:pPr>
              <w:jc w:val="right"/>
              <w:rPr>
                <w:rFonts w:eastAsiaTheme="minorEastAsia"/>
                <w:kern w:val="0"/>
                <w:szCs w:val="18"/>
                <w14:ligatures w14:val="none"/>
              </w:rPr>
            </w:pPr>
            <w:r w:rsidRPr="00C04884">
              <w:rPr>
                <w:rFonts w:eastAsiaTheme="minorEastAsia"/>
                <w:kern w:val="0"/>
                <w:szCs w:val="18"/>
                <w14:ligatures w14:val="none"/>
              </w:rPr>
              <w:t>19,0</w:t>
            </w:r>
          </w:p>
        </w:tc>
      </w:tr>
      <w:tr w:rsidRPr="00C04884" w:rsidR="004D179C" w:rsidTr="001E4A94" w14:paraId="32319763" w14:textId="77777777">
        <w:trPr>
          <w:trHeight w:val="300"/>
        </w:trPr>
        <w:tc>
          <w:tcPr>
            <w:tcW w:w="0" w:type="dxa"/>
          </w:tcPr>
          <w:p w:rsidRPr="00C04884" w:rsidR="004D179C" w:rsidP="001E4A94" w:rsidRDefault="004D179C" w14:paraId="2AFF3BDD" w14:textId="77777777">
            <w:pPr>
              <w:rPr>
                <w:rFonts w:eastAsiaTheme="minorEastAsia"/>
                <w:kern w:val="0"/>
                <w:szCs w:val="18"/>
                <w14:ligatures w14:val="none"/>
              </w:rPr>
            </w:pPr>
            <w:r w:rsidRPr="00C04884">
              <w:rPr>
                <w:rFonts w:eastAsiaTheme="minorEastAsia"/>
                <w:kern w:val="0"/>
                <w:szCs w:val="18"/>
                <w14:ligatures w14:val="none"/>
              </w:rPr>
              <w:t>Andere techniek-activiteit</w:t>
            </w:r>
          </w:p>
        </w:tc>
        <w:tc>
          <w:tcPr>
            <w:tcW w:w="675" w:type="dxa"/>
          </w:tcPr>
          <w:p w:rsidRPr="00C04884" w:rsidR="004D179C" w:rsidP="001E4A94" w:rsidRDefault="004D179C" w14:paraId="1CA84662" w14:textId="77777777">
            <w:pPr>
              <w:jc w:val="right"/>
              <w:rPr>
                <w:rFonts w:eastAsiaTheme="minorEastAsia"/>
                <w:kern w:val="0"/>
                <w:szCs w:val="18"/>
                <w14:ligatures w14:val="none"/>
              </w:rPr>
            </w:pPr>
            <w:r w:rsidRPr="00C04884">
              <w:rPr>
                <w:rFonts w:eastAsiaTheme="minorEastAsia"/>
                <w:kern w:val="0"/>
                <w:szCs w:val="18"/>
                <w14:ligatures w14:val="none"/>
              </w:rPr>
              <w:t>5,1</w:t>
            </w:r>
          </w:p>
        </w:tc>
        <w:tc>
          <w:tcPr>
            <w:tcW w:w="696" w:type="dxa"/>
          </w:tcPr>
          <w:p w:rsidRPr="00C04884" w:rsidR="004D179C" w:rsidP="001E4A94" w:rsidRDefault="004D179C" w14:paraId="7EA0E0CF" w14:textId="77777777">
            <w:pPr>
              <w:jc w:val="right"/>
              <w:rPr>
                <w:rFonts w:eastAsiaTheme="minorEastAsia"/>
                <w:kern w:val="0"/>
                <w:szCs w:val="18"/>
                <w14:ligatures w14:val="none"/>
              </w:rPr>
            </w:pPr>
            <w:r w:rsidRPr="00C04884">
              <w:rPr>
                <w:rFonts w:eastAsiaTheme="minorEastAsia"/>
                <w:kern w:val="0"/>
                <w:szCs w:val="18"/>
                <w14:ligatures w14:val="none"/>
              </w:rPr>
              <w:t>9,3</w:t>
            </w:r>
          </w:p>
        </w:tc>
        <w:tc>
          <w:tcPr>
            <w:tcW w:w="0" w:type="dxa"/>
          </w:tcPr>
          <w:p w:rsidRPr="00C04884" w:rsidR="004D179C" w:rsidP="001E4A94" w:rsidRDefault="004D179C" w14:paraId="7CDD62C7" w14:textId="77777777">
            <w:pPr>
              <w:jc w:val="right"/>
              <w:rPr>
                <w:rFonts w:eastAsiaTheme="minorEastAsia"/>
                <w:kern w:val="0"/>
                <w:szCs w:val="18"/>
                <w14:ligatures w14:val="none"/>
              </w:rPr>
            </w:pPr>
            <w:r w:rsidRPr="00C04884">
              <w:rPr>
                <w:rFonts w:eastAsiaTheme="minorEastAsia"/>
                <w:kern w:val="0"/>
                <w:szCs w:val="18"/>
                <w14:ligatures w14:val="none"/>
              </w:rPr>
              <w:t>1,9</w:t>
            </w:r>
          </w:p>
        </w:tc>
        <w:tc>
          <w:tcPr>
            <w:tcW w:w="0" w:type="dxa"/>
          </w:tcPr>
          <w:p w:rsidRPr="00C04884" w:rsidR="004D179C" w:rsidP="001E4A94" w:rsidRDefault="004D179C" w14:paraId="5423569E" w14:textId="77777777">
            <w:pPr>
              <w:jc w:val="right"/>
              <w:rPr>
                <w:rFonts w:eastAsiaTheme="minorEastAsia"/>
                <w:kern w:val="0"/>
                <w:szCs w:val="18"/>
                <w14:ligatures w14:val="none"/>
              </w:rPr>
            </w:pPr>
            <w:r w:rsidRPr="00C04884">
              <w:rPr>
                <w:rFonts w:eastAsiaTheme="minorEastAsia"/>
                <w:kern w:val="0"/>
                <w:szCs w:val="18"/>
                <w14:ligatures w14:val="none"/>
              </w:rPr>
              <w:t>51,9</w:t>
            </w:r>
          </w:p>
        </w:tc>
        <w:tc>
          <w:tcPr>
            <w:tcW w:w="0" w:type="dxa"/>
          </w:tcPr>
          <w:p w:rsidRPr="00C04884" w:rsidR="004D179C" w:rsidP="001E4A94" w:rsidRDefault="004D179C" w14:paraId="6ABEBBA5" w14:textId="77777777">
            <w:pPr>
              <w:jc w:val="right"/>
              <w:rPr>
                <w:rFonts w:eastAsiaTheme="minorEastAsia"/>
                <w:kern w:val="0"/>
                <w:szCs w:val="18"/>
                <w14:ligatures w14:val="none"/>
              </w:rPr>
            </w:pPr>
            <w:r w:rsidRPr="00C04884">
              <w:rPr>
                <w:rFonts w:eastAsiaTheme="minorEastAsia"/>
                <w:kern w:val="0"/>
                <w:szCs w:val="18"/>
                <w14:ligatures w14:val="none"/>
              </w:rPr>
              <w:t>37,0</w:t>
            </w:r>
          </w:p>
        </w:tc>
      </w:tr>
      <w:tr w:rsidRPr="00C04884" w:rsidR="004D179C" w:rsidTr="001E4A94" w14:paraId="4D3261AA" w14:textId="77777777">
        <w:trPr>
          <w:trHeight w:val="300"/>
        </w:trPr>
        <w:tc>
          <w:tcPr>
            <w:tcW w:w="0" w:type="dxa"/>
          </w:tcPr>
          <w:p w:rsidRPr="00C04884" w:rsidR="004D179C" w:rsidP="001E4A94" w:rsidRDefault="004D179C" w14:paraId="338980C4" w14:textId="77777777">
            <w:pPr>
              <w:rPr>
                <w:rFonts w:eastAsiaTheme="minorEastAsia"/>
                <w:kern w:val="0"/>
                <w:szCs w:val="18"/>
                <w14:ligatures w14:val="none"/>
              </w:rPr>
            </w:pPr>
            <w:r w:rsidRPr="00C04884">
              <w:rPr>
                <w:rFonts w:eastAsiaTheme="minorEastAsia"/>
                <w:kern w:val="0"/>
                <w:szCs w:val="18"/>
                <w14:ligatures w14:val="none"/>
              </w:rPr>
              <w:t xml:space="preserve">Ik heb geen techniek-activiteit met school meegemaakt </w:t>
            </w:r>
          </w:p>
        </w:tc>
        <w:tc>
          <w:tcPr>
            <w:tcW w:w="675" w:type="dxa"/>
          </w:tcPr>
          <w:p w:rsidRPr="00C04884" w:rsidR="004D179C" w:rsidP="001E4A94" w:rsidRDefault="004D179C" w14:paraId="3D1DA3D7" w14:textId="77777777">
            <w:pPr>
              <w:jc w:val="right"/>
              <w:rPr>
                <w:rFonts w:eastAsiaTheme="minorEastAsia"/>
                <w:kern w:val="0"/>
                <w:szCs w:val="18"/>
                <w14:ligatures w14:val="none"/>
              </w:rPr>
            </w:pPr>
            <w:r w:rsidRPr="00C04884">
              <w:rPr>
                <w:rFonts w:eastAsiaTheme="minorEastAsia"/>
                <w:kern w:val="0"/>
                <w:szCs w:val="18"/>
                <w14:ligatures w14:val="none"/>
              </w:rPr>
              <w:t>28,6</w:t>
            </w:r>
          </w:p>
        </w:tc>
        <w:tc>
          <w:tcPr>
            <w:tcW w:w="696" w:type="dxa"/>
          </w:tcPr>
          <w:p w:rsidRPr="00C04884" w:rsidR="004D179C" w:rsidP="001E4A94" w:rsidRDefault="004D179C" w14:paraId="35233145" w14:textId="77777777">
            <w:pPr>
              <w:jc w:val="right"/>
              <w:rPr>
                <w:rFonts w:eastAsiaTheme="minorEastAsia"/>
                <w:kern w:val="0"/>
                <w:szCs w:val="18"/>
                <w14:ligatures w14:val="none"/>
              </w:rPr>
            </w:pPr>
          </w:p>
        </w:tc>
        <w:tc>
          <w:tcPr>
            <w:tcW w:w="0" w:type="dxa"/>
          </w:tcPr>
          <w:p w:rsidRPr="00C04884" w:rsidR="004D179C" w:rsidP="001E4A94" w:rsidRDefault="004D179C" w14:paraId="2225E674" w14:textId="77777777">
            <w:pPr>
              <w:jc w:val="right"/>
              <w:rPr>
                <w:rFonts w:eastAsiaTheme="minorEastAsia"/>
                <w:kern w:val="0"/>
                <w:szCs w:val="18"/>
                <w14:ligatures w14:val="none"/>
              </w:rPr>
            </w:pPr>
          </w:p>
        </w:tc>
        <w:tc>
          <w:tcPr>
            <w:tcW w:w="0" w:type="dxa"/>
          </w:tcPr>
          <w:p w:rsidRPr="00C04884" w:rsidR="004D179C" w:rsidP="001E4A94" w:rsidRDefault="004D179C" w14:paraId="2306C76F" w14:textId="77777777">
            <w:pPr>
              <w:jc w:val="right"/>
              <w:rPr>
                <w:rFonts w:eastAsiaTheme="minorEastAsia"/>
                <w:kern w:val="0"/>
                <w:szCs w:val="18"/>
                <w14:ligatures w14:val="none"/>
              </w:rPr>
            </w:pPr>
          </w:p>
        </w:tc>
        <w:tc>
          <w:tcPr>
            <w:tcW w:w="0" w:type="dxa"/>
          </w:tcPr>
          <w:p w:rsidRPr="00C04884" w:rsidR="004D179C" w:rsidP="001E4A94" w:rsidRDefault="004D179C" w14:paraId="561DB840" w14:textId="77777777">
            <w:pPr>
              <w:jc w:val="right"/>
              <w:rPr>
                <w:rFonts w:eastAsiaTheme="minorEastAsia"/>
                <w:kern w:val="0"/>
                <w:szCs w:val="18"/>
                <w14:ligatures w14:val="none"/>
              </w:rPr>
            </w:pPr>
          </w:p>
        </w:tc>
      </w:tr>
    </w:tbl>
    <w:p w:rsidR="004D179C" w:rsidP="004D179C" w:rsidRDefault="004D179C" w14:paraId="20D99E9C" w14:textId="77777777">
      <w:pPr>
        <w:rPr>
          <w:rFonts w:eastAsiaTheme="minorEastAsia"/>
          <w:szCs w:val="18"/>
        </w:rPr>
      </w:pPr>
      <w:r w:rsidRPr="00C04884">
        <w:rPr>
          <w:rFonts w:eastAsiaTheme="minorEastAsia"/>
          <w:szCs w:val="18"/>
        </w:rPr>
        <w:t>Bron: Leerlingenvragenlijst mei-juli 2025.</w:t>
      </w:r>
    </w:p>
    <w:p w:rsidRPr="00C04884" w:rsidR="001C5E92" w:rsidP="004D179C" w:rsidRDefault="001C5E92" w14:paraId="5ABE951B" w14:textId="77777777">
      <w:pPr>
        <w:rPr>
          <w:rFonts w:eastAsiaTheme="minorEastAsia"/>
          <w:szCs w:val="18"/>
        </w:rPr>
      </w:pPr>
    </w:p>
    <w:p w:rsidRPr="00C04884" w:rsidR="004D179C" w:rsidP="004D179C" w:rsidRDefault="004D179C" w14:paraId="57A69712" w14:textId="3D9030B6">
      <w:pPr>
        <w:jc w:val="both"/>
        <w:rPr>
          <w:rFonts w:eastAsiaTheme="minorEastAsia"/>
          <w:szCs w:val="18"/>
        </w:rPr>
      </w:pPr>
      <w:r w:rsidRPr="625A0593">
        <w:rPr>
          <w:rFonts w:eastAsiaTheme="minorEastAsia"/>
          <w:szCs w:val="18"/>
        </w:rPr>
        <w:t xml:space="preserve">Uit tabel </w:t>
      </w:r>
      <w:r w:rsidR="001B6CAF">
        <w:rPr>
          <w:rFonts w:eastAsiaTheme="minorEastAsia"/>
          <w:szCs w:val="18"/>
        </w:rPr>
        <w:t>6</w:t>
      </w:r>
      <w:r w:rsidRPr="625A0593">
        <w:rPr>
          <w:rFonts w:eastAsiaTheme="minorEastAsia"/>
          <w:szCs w:val="18"/>
        </w:rPr>
        <w:t>.</w:t>
      </w:r>
      <w:r w:rsidR="004E4B1F">
        <w:rPr>
          <w:rFonts w:eastAsiaTheme="minorEastAsia"/>
          <w:szCs w:val="18"/>
        </w:rPr>
        <w:t>2</w:t>
      </w:r>
      <w:r w:rsidRPr="625A0593">
        <w:rPr>
          <w:rFonts w:eastAsiaTheme="minorEastAsia"/>
          <w:szCs w:val="18"/>
        </w:rPr>
        <w:t xml:space="preserve"> komt naar voren dat de activiteit waar de meeste leerlingen aan hebben deelgenomen tijdens de basisschooltijd een bezoek aan een vmbo-school is (17 procent). Dit wordt gevolgd door een bezoek aan een bedrijf en een gastles of workshop over techniek (respectievelijk 14 en 12 procent). Een bezoek aan een techniekhal (5 procent), mbo (3,5 procent) of een andere activiteit (5,1 procent) worden het minst vaak genoemd. Voorbeelden van andere activiteiten zijn: een ‘girls day’ bij een bedrijf, prachtklas en technovium. Ook geeft een deel aan (3 op de 10) dat zij geen techniekactiviteit met school hebben meegemaakt.</w:t>
      </w:r>
      <w:r>
        <w:rPr>
          <w:rFonts w:eastAsiaTheme="minorEastAsia"/>
          <w:szCs w:val="18"/>
        </w:rPr>
        <w:t xml:space="preserve"> Ongeveer een vijfde tot een kwart van de leerlingen geeft aan niet te weten of zij hebben deelgenomen aan een activiteit.</w:t>
      </w:r>
    </w:p>
    <w:p w:rsidR="001C5E92" w:rsidP="004D179C" w:rsidRDefault="004D179C" w14:paraId="2CFE638F" w14:textId="6F4E6273">
      <w:pPr>
        <w:jc w:val="both"/>
        <w:rPr>
          <w:rFonts w:eastAsiaTheme="minorEastAsia"/>
          <w:szCs w:val="18"/>
        </w:rPr>
      </w:pPr>
      <w:r w:rsidRPr="00C04884">
        <w:rPr>
          <w:rFonts w:eastAsiaTheme="minorEastAsia"/>
          <w:szCs w:val="18"/>
        </w:rPr>
        <w:t xml:space="preserve">De leerlingen die aangaven dat ze een techniekactiviteit hebben gevolgd, is vervolgens gevraagd hoe ze deze activiteit vonden (zie figuur </w:t>
      </w:r>
      <w:r w:rsidR="001B6CAF">
        <w:rPr>
          <w:rFonts w:eastAsiaTheme="minorEastAsia"/>
          <w:szCs w:val="18"/>
        </w:rPr>
        <w:t>6</w:t>
      </w:r>
      <w:r w:rsidRPr="00C04884">
        <w:rPr>
          <w:rFonts w:eastAsiaTheme="minorEastAsia"/>
          <w:szCs w:val="18"/>
        </w:rPr>
        <w:t xml:space="preserve">.2). </w:t>
      </w:r>
    </w:p>
    <w:p w:rsidR="001C5E92" w:rsidRDefault="001C5E92" w14:paraId="0B9AF925" w14:textId="77777777">
      <w:pPr>
        <w:spacing w:after="160" w:line="259" w:lineRule="auto"/>
        <w:rPr>
          <w:rFonts w:eastAsiaTheme="minorEastAsia"/>
          <w:szCs w:val="18"/>
        </w:rPr>
      </w:pPr>
      <w:r>
        <w:rPr>
          <w:rFonts w:eastAsiaTheme="minorEastAsia"/>
          <w:szCs w:val="18"/>
        </w:rPr>
        <w:br w:type="page"/>
      </w:r>
    </w:p>
    <w:p w:rsidRPr="00C04884" w:rsidR="004D179C" w:rsidP="004D179C" w:rsidRDefault="004D179C" w14:paraId="2B1C6A0D" w14:textId="77777777">
      <w:pPr>
        <w:jc w:val="both"/>
        <w:rPr>
          <w:rFonts w:eastAsiaTheme="minorEastAsia"/>
          <w:szCs w:val="18"/>
        </w:rPr>
      </w:pPr>
    </w:p>
    <w:p w:rsidRPr="00C04884" w:rsidR="004D179C" w:rsidP="004D179C" w:rsidRDefault="004D179C" w14:paraId="363E2C82" w14:textId="70894446">
      <w:pPr>
        <w:rPr>
          <w:rFonts w:eastAsiaTheme="minorEastAsia"/>
          <w:szCs w:val="18"/>
        </w:rPr>
      </w:pPr>
      <w:r w:rsidRPr="00C04884">
        <w:rPr>
          <w:rFonts w:eastAsiaTheme="minorEastAsia"/>
          <w:szCs w:val="18"/>
        </w:rPr>
        <w:t xml:space="preserve">Figuur </w:t>
      </w:r>
      <w:r w:rsidR="00E8093A">
        <w:rPr>
          <w:rFonts w:eastAsiaTheme="minorEastAsia"/>
          <w:szCs w:val="18"/>
        </w:rPr>
        <w:t>6</w:t>
      </w:r>
      <w:r w:rsidRPr="00C04884">
        <w:rPr>
          <w:rFonts w:eastAsiaTheme="minorEastAsia"/>
          <w:szCs w:val="18"/>
        </w:rPr>
        <w:t xml:space="preserve">.2 Beoordeling van techniekactiviteiten op de basisschool </w:t>
      </w:r>
    </w:p>
    <w:p w:rsidRPr="00C04884" w:rsidR="004D179C" w:rsidP="004D179C" w:rsidRDefault="004D179C" w14:paraId="0A3E3C9D" w14:textId="77777777">
      <w:pPr>
        <w:rPr>
          <w:rFonts w:eastAsiaTheme="minorEastAsia"/>
          <w:szCs w:val="18"/>
          <w:highlight w:val="yellow"/>
        </w:rPr>
      </w:pPr>
      <w:r w:rsidRPr="00C04884">
        <w:rPr>
          <w:noProof/>
        </w:rPr>
        <w:drawing>
          <wp:inline distT="0" distB="0" distL="0" distR="0" wp14:anchorId="13709C09" wp14:editId="621EB320">
            <wp:extent cx="5907136" cy="2743200"/>
            <wp:effectExtent l="0" t="0" r="17780" b="0"/>
            <wp:docPr id="1442537158" name="Grafiek 1">
              <a:extLst xmlns:a="http://schemas.openxmlformats.org/drawingml/2006/main">
                <a:ext uri="{FF2B5EF4-FFF2-40B4-BE49-F238E27FC236}">
                  <a16:creationId xmlns:a16="http://schemas.microsoft.com/office/drawing/2014/main" id="{5BB6E5CA-5F0D-E164-09A7-1A41173769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D179C" w:rsidP="004D179C" w:rsidRDefault="004D179C" w14:paraId="10A80E28" w14:textId="77777777">
      <w:pPr>
        <w:rPr>
          <w:rFonts w:eastAsiaTheme="minorEastAsia"/>
          <w:szCs w:val="18"/>
        </w:rPr>
      </w:pPr>
      <w:r w:rsidRPr="00C04884">
        <w:rPr>
          <w:rFonts w:eastAsiaTheme="minorEastAsia"/>
          <w:szCs w:val="18"/>
        </w:rPr>
        <w:t>Bron: Leerlingenvragenlijst mei-juli 2025.</w:t>
      </w:r>
    </w:p>
    <w:p w:rsidRPr="00C04884" w:rsidR="001C5E92" w:rsidP="004D179C" w:rsidRDefault="001C5E92" w14:paraId="715F28DF" w14:textId="77777777">
      <w:pPr>
        <w:rPr>
          <w:rFonts w:eastAsiaTheme="minorEastAsia"/>
          <w:szCs w:val="18"/>
        </w:rPr>
      </w:pPr>
    </w:p>
    <w:p w:rsidRPr="00C04884" w:rsidR="004D179C" w:rsidP="004D179C" w:rsidRDefault="004D179C" w14:paraId="1A33D413" w14:textId="77777777">
      <w:pPr>
        <w:jc w:val="both"/>
        <w:rPr>
          <w:rFonts w:eastAsiaTheme="minorEastAsia"/>
          <w:szCs w:val="18"/>
        </w:rPr>
      </w:pPr>
      <w:r w:rsidRPr="625A0593">
        <w:rPr>
          <w:rFonts w:eastAsiaTheme="minorEastAsia"/>
          <w:szCs w:val="18"/>
        </w:rPr>
        <w:t xml:space="preserve">De meeste leerlingen die een bezoek brachten aan een techniekhal vonden dit (heel) leuk (6 op de 10). Iets minder dan de helft (ruim 4 op de 10) geeft aan het bezoek aan een bedrijf, vmbo-school of het mbo (heel) leuk te hebben gevonden. Het overige deel van de leerlingen antwoordt hier veelal neutraal op. Een kleiner deel vond het bezoek (helemaal) niet leuk (1 of bijna 2 op de 10). Deze overwegend positieve of neutrale beoordeling zien we ook bij een gastles of workshop over techniek door iemand van buiten de school. Het overige deel had een neutrale mening (3 op de 10) of vond het (helemaal) niet leuk (1 op de 10). Over andere techniekactiviteiten is de mening van leerlingen met name neutraal (bijna 6 op de 10). </w:t>
      </w:r>
    </w:p>
    <w:p w:rsidR="004D179C" w:rsidP="004D179C" w:rsidRDefault="004D179C" w14:paraId="515B9194" w14:textId="076ED6E5">
      <w:pPr>
        <w:jc w:val="both"/>
        <w:rPr>
          <w:rFonts w:eastAsiaTheme="minorEastAsia"/>
          <w:szCs w:val="18"/>
        </w:rPr>
      </w:pPr>
      <w:r w:rsidRPr="625A0593">
        <w:rPr>
          <w:rFonts w:eastAsiaTheme="minorEastAsia"/>
          <w:szCs w:val="18"/>
        </w:rPr>
        <w:t xml:space="preserve">Leerlingen is daarna gevraagd of de activiteit hun mening over techniek heeft veranderd (zie tabel </w:t>
      </w:r>
      <w:r w:rsidR="00E8093A">
        <w:rPr>
          <w:rFonts w:eastAsiaTheme="minorEastAsia"/>
          <w:szCs w:val="18"/>
        </w:rPr>
        <w:t>6</w:t>
      </w:r>
      <w:r w:rsidRPr="625A0593">
        <w:rPr>
          <w:rFonts w:eastAsiaTheme="minorEastAsia"/>
          <w:szCs w:val="18"/>
        </w:rPr>
        <w:t>.</w:t>
      </w:r>
      <w:r w:rsidR="004E4B1F">
        <w:rPr>
          <w:rFonts w:eastAsiaTheme="minorEastAsia"/>
          <w:szCs w:val="18"/>
        </w:rPr>
        <w:t>3</w:t>
      </w:r>
      <w:r w:rsidRPr="625A0593">
        <w:rPr>
          <w:rFonts w:eastAsiaTheme="minorEastAsia"/>
          <w:szCs w:val="18"/>
        </w:rPr>
        <w:t xml:space="preserve">). </w:t>
      </w:r>
    </w:p>
    <w:p w:rsidRPr="00C04884" w:rsidR="00D43F8C" w:rsidP="004D179C" w:rsidRDefault="00D43F8C" w14:paraId="59649D4C" w14:textId="77777777">
      <w:pPr>
        <w:jc w:val="both"/>
        <w:rPr>
          <w:rFonts w:eastAsiaTheme="minorEastAsia"/>
          <w:szCs w:val="18"/>
        </w:rPr>
      </w:pPr>
    </w:p>
    <w:p w:rsidRPr="00C04884" w:rsidR="004D179C" w:rsidP="004D179C" w:rsidRDefault="004D179C" w14:paraId="40ECA8D7" w14:textId="09B0E188">
      <w:pPr>
        <w:rPr>
          <w:rFonts w:eastAsiaTheme="minorEastAsia"/>
          <w:szCs w:val="18"/>
        </w:rPr>
      </w:pPr>
      <w:r w:rsidRPr="625A0593">
        <w:rPr>
          <w:rFonts w:eastAsiaTheme="minorEastAsia"/>
          <w:szCs w:val="18"/>
        </w:rPr>
        <w:t xml:space="preserve">Tabel </w:t>
      </w:r>
      <w:r w:rsidR="00E8093A">
        <w:rPr>
          <w:rFonts w:eastAsiaTheme="minorEastAsia"/>
          <w:szCs w:val="18"/>
        </w:rPr>
        <w:t>6</w:t>
      </w:r>
      <w:r w:rsidRPr="625A0593">
        <w:rPr>
          <w:rFonts w:eastAsiaTheme="minorEastAsia"/>
          <w:szCs w:val="18"/>
        </w:rPr>
        <w:t>.</w:t>
      </w:r>
      <w:r w:rsidR="00D43F8C">
        <w:rPr>
          <w:rFonts w:eastAsiaTheme="minorEastAsia"/>
          <w:szCs w:val="18"/>
        </w:rPr>
        <w:t>3</w:t>
      </w:r>
      <w:r w:rsidRPr="625A0593">
        <w:rPr>
          <w:rFonts w:eastAsiaTheme="minorEastAsia"/>
          <w:szCs w:val="18"/>
        </w:rPr>
        <w:t xml:space="preserve"> Deelname aan en verandering van mening over techniekactiviteiten georganiseerd door de vo-school (N=953)</w:t>
      </w:r>
    </w:p>
    <w:tbl>
      <w:tblPr>
        <w:tblStyle w:val="Rastertabel1licht"/>
        <w:tblW w:w="9062" w:type="dxa"/>
        <w:tblLook w:val="0420" w:firstRow="1" w:lastRow="0" w:firstColumn="0" w:lastColumn="0" w:noHBand="0" w:noVBand="1"/>
      </w:tblPr>
      <w:tblGrid>
        <w:gridCol w:w="4173"/>
        <w:gridCol w:w="757"/>
        <w:gridCol w:w="970"/>
        <w:gridCol w:w="1057"/>
        <w:gridCol w:w="1434"/>
        <w:gridCol w:w="671"/>
      </w:tblGrid>
      <w:tr w:rsidRPr="00C04884" w:rsidR="004D179C" w:rsidTr="001E4A94" w14:paraId="50F9C632" w14:textId="77777777">
        <w:trPr>
          <w:cnfStyle w:val="100000000000" w:firstRow="1" w:lastRow="0" w:firstColumn="0" w:lastColumn="0" w:oddVBand="0" w:evenVBand="0" w:oddHBand="0" w:evenHBand="0" w:firstRowFirstColumn="0" w:firstRowLastColumn="0" w:lastRowFirstColumn="0" w:lastRowLastColumn="0"/>
          <w:trHeight w:val="300"/>
        </w:trPr>
        <w:tc>
          <w:tcPr>
            <w:tcW w:w="4065" w:type="dxa"/>
          </w:tcPr>
          <w:p w:rsidRPr="00C04884" w:rsidR="004D179C" w:rsidP="001E4A94" w:rsidRDefault="004D179C" w14:paraId="52162449" w14:textId="77777777">
            <w:pPr>
              <w:rPr>
                <w:rFonts w:eastAsiaTheme="minorEastAsia"/>
                <w:kern w:val="0"/>
                <w:szCs w:val="18"/>
                <w14:ligatures w14:val="none"/>
              </w:rPr>
            </w:pPr>
            <w:r w:rsidRPr="00C04884">
              <w:rPr>
                <w:rFonts w:eastAsiaTheme="minorEastAsia"/>
                <w:kern w:val="0"/>
                <w:szCs w:val="18"/>
                <w14:ligatures w14:val="none"/>
              </w:rPr>
              <w:t>Activiteiten eigen school</w:t>
            </w:r>
          </w:p>
        </w:tc>
        <w:tc>
          <w:tcPr>
            <w:tcW w:w="737" w:type="dxa"/>
          </w:tcPr>
          <w:p w:rsidRPr="00C04884" w:rsidR="004D179C" w:rsidP="001E4A94" w:rsidRDefault="004D179C" w14:paraId="367AD8BD" w14:textId="77777777">
            <w:pPr>
              <w:rPr>
                <w:rFonts w:eastAsiaTheme="minorEastAsia"/>
                <w:kern w:val="0"/>
                <w:szCs w:val="18"/>
                <w14:ligatures w14:val="none"/>
              </w:rPr>
            </w:pPr>
            <w:r w:rsidRPr="00C04884">
              <w:rPr>
                <w:rFonts w:eastAsiaTheme="minorEastAsia"/>
                <w:kern w:val="0"/>
                <w:szCs w:val="18"/>
                <w14:ligatures w14:val="none"/>
              </w:rPr>
              <w:t>% Ja</w:t>
            </w:r>
          </w:p>
        </w:tc>
        <w:tc>
          <w:tcPr>
            <w:tcW w:w="945" w:type="dxa"/>
          </w:tcPr>
          <w:p w:rsidRPr="00C04884" w:rsidR="004D179C" w:rsidP="001E4A94" w:rsidRDefault="004D179C" w14:paraId="21D9AACC" w14:textId="77777777">
            <w:pPr>
              <w:rPr>
                <w:rFonts w:eastAsiaTheme="minorEastAsia"/>
                <w:kern w:val="0"/>
                <w:szCs w:val="18"/>
                <w14:ligatures w14:val="none"/>
              </w:rPr>
            </w:pPr>
            <w:r w:rsidRPr="00C04884">
              <w:rPr>
                <w:rFonts w:eastAsiaTheme="minorEastAsia"/>
                <w:kern w:val="0"/>
                <w:szCs w:val="18"/>
                <w14:ligatures w14:val="none"/>
              </w:rPr>
              <w:t>Leuker</w:t>
            </w:r>
          </w:p>
        </w:tc>
        <w:tc>
          <w:tcPr>
            <w:tcW w:w="1030" w:type="dxa"/>
          </w:tcPr>
          <w:p w:rsidRPr="00C04884" w:rsidR="004D179C" w:rsidP="001E4A94" w:rsidRDefault="004D179C" w14:paraId="367A094F" w14:textId="77777777">
            <w:pPr>
              <w:rPr>
                <w:rFonts w:eastAsiaTheme="minorEastAsia"/>
                <w:kern w:val="0"/>
                <w:szCs w:val="18"/>
                <w14:ligatures w14:val="none"/>
              </w:rPr>
            </w:pPr>
            <w:r w:rsidRPr="00C04884">
              <w:rPr>
                <w:rFonts w:eastAsiaTheme="minorEastAsia"/>
                <w:kern w:val="0"/>
                <w:szCs w:val="18"/>
                <w14:ligatures w14:val="none"/>
              </w:rPr>
              <w:t xml:space="preserve">Minder leuk </w:t>
            </w:r>
          </w:p>
        </w:tc>
        <w:tc>
          <w:tcPr>
            <w:tcW w:w="1397" w:type="dxa"/>
          </w:tcPr>
          <w:p w:rsidRPr="00C04884" w:rsidR="004D179C" w:rsidP="001E4A94" w:rsidRDefault="004D179C" w14:paraId="02C3F432" w14:textId="77777777">
            <w:pPr>
              <w:rPr>
                <w:rFonts w:eastAsiaTheme="minorEastAsia"/>
                <w:kern w:val="0"/>
                <w:szCs w:val="18"/>
                <w14:ligatures w14:val="none"/>
              </w:rPr>
            </w:pPr>
            <w:r w:rsidRPr="00C04884">
              <w:rPr>
                <w:rFonts w:eastAsiaTheme="minorEastAsia"/>
                <w:kern w:val="0"/>
                <w:szCs w:val="18"/>
                <w14:ligatures w14:val="none"/>
              </w:rPr>
              <w:t>Geen verandering</w:t>
            </w:r>
          </w:p>
        </w:tc>
        <w:tc>
          <w:tcPr>
            <w:tcW w:w="0" w:type="dxa"/>
          </w:tcPr>
          <w:p w:rsidRPr="00C04884" w:rsidR="004D179C" w:rsidP="001E4A94" w:rsidRDefault="004D179C" w14:paraId="327BC322" w14:textId="77777777">
            <w:pPr>
              <w:rPr>
                <w:rFonts w:eastAsiaTheme="minorEastAsia"/>
                <w:kern w:val="0"/>
                <w:szCs w:val="18"/>
                <w14:ligatures w14:val="none"/>
              </w:rPr>
            </w:pPr>
            <w:r w:rsidRPr="00C04884">
              <w:rPr>
                <w:rFonts w:eastAsiaTheme="minorEastAsia"/>
                <w:kern w:val="0"/>
                <w:szCs w:val="18"/>
                <w14:ligatures w14:val="none"/>
              </w:rPr>
              <w:t>Weet niet</w:t>
            </w:r>
          </w:p>
        </w:tc>
      </w:tr>
      <w:tr w:rsidRPr="00C04884" w:rsidR="004D179C" w:rsidTr="001E4A94" w14:paraId="647617CA" w14:textId="77777777">
        <w:trPr>
          <w:trHeight w:val="300"/>
        </w:trPr>
        <w:tc>
          <w:tcPr>
            <w:tcW w:w="4065" w:type="dxa"/>
          </w:tcPr>
          <w:p w:rsidRPr="00C04884" w:rsidR="004D179C" w:rsidP="001E4A94" w:rsidRDefault="004D179C" w14:paraId="19354AA7" w14:textId="77777777">
            <w:pPr>
              <w:rPr>
                <w:rFonts w:eastAsiaTheme="minorEastAsia"/>
                <w:kern w:val="0"/>
                <w:szCs w:val="18"/>
                <w14:ligatures w14:val="none"/>
              </w:rPr>
            </w:pPr>
            <w:r w:rsidRPr="00C04884">
              <w:rPr>
                <w:rFonts w:eastAsiaTheme="minorEastAsia"/>
                <w:kern w:val="0"/>
                <w:szCs w:val="18"/>
                <w14:ligatures w14:val="none"/>
              </w:rPr>
              <w:t>Bezoek aan een bedrijf</w:t>
            </w:r>
          </w:p>
        </w:tc>
        <w:tc>
          <w:tcPr>
            <w:tcW w:w="737" w:type="dxa"/>
          </w:tcPr>
          <w:p w:rsidRPr="00C04884" w:rsidR="004D179C" w:rsidP="001E4A94" w:rsidRDefault="004D179C" w14:paraId="2C7D9E05" w14:textId="77777777">
            <w:pPr>
              <w:jc w:val="right"/>
              <w:rPr>
                <w:rFonts w:eastAsiaTheme="minorEastAsia"/>
                <w:kern w:val="0"/>
                <w:szCs w:val="18"/>
                <w14:ligatures w14:val="none"/>
              </w:rPr>
            </w:pPr>
            <w:r w:rsidRPr="00C04884">
              <w:rPr>
                <w:rFonts w:eastAsiaTheme="minorEastAsia"/>
                <w:kern w:val="0"/>
                <w:szCs w:val="18"/>
                <w14:ligatures w14:val="none"/>
              </w:rPr>
              <w:t>44,6</w:t>
            </w:r>
          </w:p>
        </w:tc>
        <w:tc>
          <w:tcPr>
            <w:tcW w:w="945" w:type="dxa"/>
          </w:tcPr>
          <w:p w:rsidRPr="00C04884" w:rsidR="004D179C" w:rsidP="001E4A94" w:rsidRDefault="004D179C" w14:paraId="6A23E5E1" w14:textId="77777777">
            <w:pPr>
              <w:jc w:val="right"/>
              <w:rPr>
                <w:rFonts w:eastAsiaTheme="minorEastAsia"/>
                <w:kern w:val="0"/>
                <w:szCs w:val="18"/>
                <w14:ligatures w14:val="none"/>
              </w:rPr>
            </w:pPr>
            <w:r w:rsidRPr="00C04884">
              <w:rPr>
                <w:rFonts w:eastAsiaTheme="minorEastAsia"/>
                <w:kern w:val="0"/>
                <w:szCs w:val="18"/>
                <w14:ligatures w14:val="none"/>
              </w:rPr>
              <w:t>15,6</w:t>
            </w:r>
          </w:p>
        </w:tc>
        <w:tc>
          <w:tcPr>
            <w:tcW w:w="1030" w:type="dxa"/>
          </w:tcPr>
          <w:p w:rsidRPr="00C04884" w:rsidR="004D179C" w:rsidP="001E4A94" w:rsidRDefault="004D179C" w14:paraId="7E36CE30" w14:textId="77777777">
            <w:pPr>
              <w:jc w:val="right"/>
              <w:rPr>
                <w:rFonts w:eastAsiaTheme="minorEastAsia"/>
                <w:kern w:val="0"/>
                <w:szCs w:val="18"/>
                <w14:ligatures w14:val="none"/>
              </w:rPr>
            </w:pPr>
            <w:r w:rsidRPr="00C04884">
              <w:rPr>
                <w:rFonts w:eastAsiaTheme="minorEastAsia"/>
                <w:kern w:val="0"/>
                <w:szCs w:val="18"/>
                <w14:ligatures w14:val="none"/>
              </w:rPr>
              <w:t>5,1</w:t>
            </w:r>
          </w:p>
        </w:tc>
        <w:tc>
          <w:tcPr>
            <w:tcW w:w="1397" w:type="dxa"/>
          </w:tcPr>
          <w:p w:rsidRPr="00C04884" w:rsidR="004D179C" w:rsidP="001E4A94" w:rsidRDefault="004D179C" w14:paraId="17910565" w14:textId="77777777">
            <w:pPr>
              <w:jc w:val="right"/>
              <w:rPr>
                <w:rFonts w:eastAsiaTheme="minorEastAsia"/>
                <w:kern w:val="0"/>
                <w:szCs w:val="18"/>
                <w14:ligatures w14:val="none"/>
              </w:rPr>
            </w:pPr>
            <w:r w:rsidRPr="00C04884">
              <w:rPr>
                <w:rFonts w:eastAsiaTheme="minorEastAsia"/>
                <w:kern w:val="0"/>
                <w:szCs w:val="18"/>
                <w14:ligatures w14:val="none"/>
              </w:rPr>
              <w:t>63,0</w:t>
            </w:r>
          </w:p>
        </w:tc>
        <w:tc>
          <w:tcPr>
            <w:tcW w:w="0" w:type="dxa"/>
          </w:tcPr>
          <w:p w:rsidRPr="00C04884" w:rsidR="004D179C" w:rsidP="001E4A94" w:rsidRDefault="004D179C" w14:paraId="3188B435" w14:textId="77777777">
            <w:pPr>
              <w:jc w:val="right"/>
              <w:rPr>
                <w:rFonts w:eastAsiaTheme="minorEastAsia"/>
                <w:kern w:val="0"/>
                <w:szCs w:val="18"/>
                <w14:ligatures w14:val="none"/>
              </w:rPr>
            </w:pPr>
            <w:r w:rsidRPr="00C04884">
              <w:rPr>
                <w:rFonts w:eastAsiaTheme="minorEastAsia"/>
                <w:kern w:val="0"/>
                <w:szCs w:val="18"/>
                <w14:ligatures w14:val="none"/>
              </w:rPr>
              <w:t>16,2</w:t>
            </w:r>
          </w:p>
        </w:tc>
      </w:tr>
      <w:tr w:rsidRPr="00C04884" w:rsidR="004D179C" w:rsidTr="001E4A94" w14:paraId="441F5F4A" w14:textId="77777777">
        <w:trPr>
          <w:trHeight w:val="300"/>
        </w:trPr>
        <w:tc>
          <w:tcPr>
            <w:tcW w:w="4065" w:type="dxa"/>
          </w:tcPr>
          <w:p w:rsidRPr="00C04884" w:rsidR="004D179C" w:rsidP="001E4A94" w:rsidRDefault="004D179C" w14:paraId="217B859D" w14:textId="77777777">
            <w:pPr>
              <w:rPr>
                <w:rFonts w:eastAsiaTheme="minorEastAsia"/>
                <w:kern w:val="0"/>
                <w:szCs w:val="18"/>
                <w14:ligatures w14:val="none"/>
              </w:rPr>
            </w:pPr>
            <w:r w:rsidRPr="00C04884">
              <w:rPr>
                <w:rFonts w:eastAsiaTheme="minorEastAsia"/>
                <w:kern w:val="0"/>
                <w:szCs w:val="18"/>
                <w14:ligatures w14:val="none"/>
              </w:rPr>
              <w:t xml:space="preserve">Bezoek aan een andere vmbo-school </w:t>
            </w:r>
          </w:p>
        </w:tc>
        <w:tc>
          <w:tcPr>
            <w:tcW w:w="737" w:type="dxa"/>
          </w:tcPr>
          <w:p w:rsidRPr="00C04884" w:rsidR="004D179C" w:rsidP="001E4A94" w:rsidRDefault="004D179C" w14:paraId="1AC19AB9" w14:textId="77777777">
            <w:pPr>
              <w:jc w:val="right"/>
              <w:rPr>
                <w:rFonts w:eastAsiaTheme="minorEastAsia"/>
                <w:kern w:val="0"/>
                <w:szCs w:val="18"/>
                <w14:ligatures w14:val="none"/>
              </w:rPr>
            </w:pPr>
            <w:r w:rsidRPr="00C04884">
              <w:rPr>
                <w:rFonts w:eastAsiaTheme="minorEastAsia"/>
                <w:kern w:val="0"/>
                <w:szCs w:val="18"/>
                <w14:ligatures w14:val="none"/>
              </w:rPr>
              <w:t>7,4</w:t>
            </w:r>
          </w:p>
        </w:tc>
        <w:tc>
          <w:tcPr>
            <w:tcW w:w="945" w:type="dxa"/>
          </w:tcPr>
          <w:p w:rsidRPr="00C04884" w:rsidR="004D179C" w:rsidP="001E4A94" w:rsidRDefault="004D179C" w14:paraId="10597803" w14:textId="77777777">
            <w:pPr>
              <w:jc w:val="right"/>
              <w:rPr>
                <w:rFonts w:eastAsiaTheme="minorEastAsia"/>
                <w:kern w:val="0"/>
                <w:szCs w:val="18"/>
                <w14:ligatures w14:val="none"/>
              </w:rPr>
            </w:pPr>
            <w:r w:rsidRPr="00C04884">
              <w:rPr>
                <w:rFonts w:eastAsiaTheme="minorEastAsia"/>
                <w:kern w:val="0"/>
                <w:szCs w:val="18"/>
                <w14:ligatures w14:val="none"/>
              </w:rPr>
              <w:t>9,2</w:t>
            </w:r>
          </w:p>
        </w:tc>
        <w:tc>
          <w:tcPr>
            <w:tcW w:w="1030" w:type="dxa"/>
          </w:tcPr>
          <w:p w:rsidRPr="00C04884" w:rsidR="004D179C" w:rsidP="001E4A94" w:rsidRDefault="004D179C" w14:paraId="535DC588" w14:textId="77777777">
            <w:pPr>
              <w:jc w:val="right"/>
              <w:rPr>
                <w:rFonts w:eastAsiaTheme="minorEastAsia"/>
                <w:kern w:val="0"/>
                <w:szCs w:val="18"/>
                <w14:ligatures w14:val="none"/>
              </w:rPr>
            </w:pPr>
            <w:r w:rsidRPr="00C04884">
              <w:rPr>
                <w:rFonts w:eastAsiaTheme="minorEastAsia"/>
                <w:kern w:val="0"/>
                <w:szCs w:val="18"/>
                <w14:ligatures w14:val="none"/>
              </w:rPr>
              <w:t>9,2</w:t>
            </w:r>
          </w:p>
        </w:tc>
        <w:tc>
          <w:tcPr>
            <w:tcW w:w="1397" w:type="dxa"/>
          </w:tcPr>
          <w:p w:rsidRPr="00C04884" w:rsidR="004D179C" w:rsidP="001E4A94" w:rsidRDefault="004D179C" w14:paraId="4F6FE652" w14:textId="77777777">
            <w:pPr>
              <w:jc w:val="right"/>
              <w:rPr>
                <w:rFonts w:eastAsiaTheme="minorEastAsia"/>
                <w:kern w:val="0"/>
                <w:szCs w:val="18"/>
                <w14:ligatures w14:val="none"/>
              </w:rPr>
            </w:pPr>
            <w:r w:rsidRPr="00C04884">
              <w:rPr>
                <w:rFonts w:eastAsiaTheme="minorEastAsia"/>
                <w:kern w:val="0"/>
                <w:szCs w:val="18"/>
                <w14:ligatures w14:val="none"/>
              </w:rPr>
              <w:t>56,6</w:t>
            </w:r>
          </w:p>
        </w:tc>
        <w:tc>
          <w:tcPr>
            <w:tcW w:w="0" w:type="dxa"/>
          </w:tcPr>
          <w:p w:rsidRPr="00C04884" w:rsidR="004D179C" w:rsidP="001E4A94" w:rsidRDefault="004D179C" w14:paraId="12E3B18E" w14:textId="77777777">
            <w:pPr>
              <w:jc w:val="right"/>
              <w:rPr>
                <w:rFonts w:eastAsiaTheme="minorEastAsia"/>
                <w:kern w:val="0"/>
                <w:szCs w:val="18"/>
                <w14:ligatures w14:val="none"/>
              </w:rPr>
            </w:pPr>
            <w:r w:rsidRPr="00C04884">
              <w:rPr>
                <w:rFonts w:eastAsiaTheme="minorEastAsia"/>
                <w:kern w:val="0"/>
                <w:szCs w:val="18"/>
                <w14:ligatures w14:val="none"/>
              </w:rPr>
              <w:t>25,0</w:t>
            </w:r>
          </w:p>
        </w:tc>
      </w:tr>
      <w:tr w:rsidRPr="00C04884" w:rsidR="004D179C" w:rsidTr="001E4A94" w14:paraId="0F79A966" w14:textId="77777777">
        <w:trPr>
          <w:trHeight w:val="300"/>
        </w:trPr>
        <w:tc>
          <w:tcPr>
            <w:tcW w:w="4065" w:type="dxa"/>
          </w:tcPr>
          <w:p w:rsidRPr="00C04884" w:rsidR="004D179C" w:rsidP="001E4A94" w:rsidRDefault="004D179C" w14:paraId="02977766" w14:textId="77777777">
            <w:pPr>
              <w:rPr>
                <w:rFonts w:eastAsiaTheme="minorEastAsia"/>
                <w:kern w:val="0"/>
                <w:szCs w:val="18"/>
                <w14:ligatures w14:val="none"/>
              </w:rPr>
            </w:pPr>
            <w:r w:rsidRPr="00C04884">
              <w:rPr>
                <w:rFonts w:eastAsiaTheme="minorEastAsia"/>
                <w:kern w:val="0"/>
                <w:szCs w:val="18"/>
                <w14:ligatures w14:val="none"/>
              </w:rPr>
              <w:t>Bezoek aan het mbo</w:t>
            </w:r>
          </w:p>
        </w:tc>
        <w:tc>
          <w:tcPr>
            <w:tcW w:w="737" w:type="dxa"/>
          </w:tcPr>
          <w:p w:rsidRPr="00C04884" w:rsidR="004D179C" w:rsidP="001E4A94" w:rsidRDefault="004D179C" w14:paraId="07CC2B8C" w14:textId="77777777">
            <w:pPr>
              <w:jc w:val="right"/>
              <w:rPr>
                <w:rFonts w:eastAsiaTheme="minorEastAsia"/>
                <w:kern w:val="0"/>
                <w:szCs w:val="18"/>
                <w14:ligatures w14:val="none"/>
              </w:rPr>
            </w:pPr>
            <w:r w:rsidRPr="00C04884">
              <w:rPr>
                <w:rFonts w:eastAsiaTheme="minorEastAsia"/>
                <w:kern w:val="0"/>
                <w:szCs w:val="18"/>
                <w14:ligatures w14:val="none"/>
              </w:rPr>
              <w:t>16,0</w:t>
            </w:r>
          </w:p>
        </w:tc>
        <w:tc>
          <w:tcPr>
            <w:tcW w:w="945" w:type="dxa"/>
          </w:tcPr>
          <w:p w:rsidRPr="00C04884" w:rsidR="004D179C" w:rsidP="001E4A94" w:rsidRDefault="004D179C" w14:paraId="3EAF42C6" w14:textId="77777777">
            <w:pPr>
              <w:jc w:val="right"/>
              <w:rPr>
                <w:rFonts w:eastAsiaTheme="minorEastAsia"/>
                <w:kern w:val="0"/>
                <w:szCs w:val="18"/>
                <w14:ligatures w14:val="none"/>
              </w:rPr>
            </w:pPr>
            <w:r w:rsidRPr="00C04884">
              <w:rPr>
                <w:rFonts w:eastAsiaTheme="minorEastAsia"/>
                <w:kern w:val="0"/>
                <w:szCs w:val="18"/>
                <w14:ligatures w14:val="none"/>
              </w:rPr>
              <w:t>16,8</w:t>
            </w:r>
          </w:p>
        </w:tc>
        <w:tc>
          <w:tcPr>
            <w:tcW w:w="1030" w:type="dxa"/>
          </w:tcPr>
          <w:p w:rsidRPr="00C04884" w:rsidR="004D179C" w:rsidP="001E4A94" w:rsidRDefault="004D179C" w14:paraId="64A17724" w14:textId="77777777">
            <w:pPr>
              <w:jc w:val="right"/>
              <w:rPr>
                <w:rFonts w:eastAsiaTheme="minorEastAsia"/>
                <w:kern w:val="0"/>
                <w:szCs w:val="18"/>
                <w14:ligatures w14:val="none"/>
              </w:rPr>
            </w:pPr>
            <w:r w:rsidRPr="00C04884">
              <w:rPr>
                <w:rFonts w:eastAsiaTheme="minorEastAsia"/>
                <w:kern w:val="0"/>
                <w:szCs w:val="18"/>
                <w14:ligatures w14:val="none"/>
              </w:rPr>
              <w:t>6,6</w:t>
            </w:r>
          </w:p>
        </w:tc>
        <w:tc>
          <w:tcPr>
            <w:tcW w:w="1397" w:type="dxa"/>
          </w:tcPr>
          <w:p w:rsidRPr="00C04884" w:rsidR="004D179C" w:rsidP="001E4A94" w:rsidRDefault="004D179C" w14:paraId="21648D1A" w14:textId="77777777">
            <w:pPr>
              <w:jc w:val="right"/>
              <w:rPr>
                <w:rFonts w:eastAsiaTheme="minorEastAsia"/>
                <w:kern w:val="0"/>
                <w:szCs w:val="18"/>
                <w14:ligatures w14:val="none"/>
              </w:rPr>
            </w:pPr>
            <w:r w:rsidRPr="00C04884">
              <w:rPr>
                <w:rFonts w:eastAsiaTheme="minorEastAsia"/>
                <w:kern w:val="0"/>
                <w:szCs w:val="18"/>
                <w14:ligatures w14:val="none"/>
              </w:rPr>
              <w:t>62,9</w:t>
            </w:r>
          </w:p>
        </w:tc>
        <w:tc>
          <w:tcPr>
            <w:tcW w:w="0" w:type="dxa"/>
          </w:tcPr>
          <w:p w:rsidRPr="00C04884" w:rsidR="004D179C" w:rsidP="001E4A94" w:rsidRDefault="004D179C" w14:paraId="2985DCF0" w14:textId="77777777">
            <w:pPr>
              <w:jc w:val="right"/>
              <w:rPr>
                <w:rFonts w:eastAsiaTheme="minorEastAsia"/>
                <w:kern w:val="0"/>
                <w:szCs w:val="18"/>
                <w14:ligatures w14:val="none"/>
              </w:rPr>
            </w:pPr>
            <w:r w:rsidRPr="00C04884">
              <w:rPr>
                <w:rFonts w:eastAsiaTheme="minorEastAsia"/>
                <w:kern w:val="0"/>
                <w:szCs w:val="18"/>
                <w14:ligatures w14:val="none"/>
              </w:rPr>
              <w:t>13,8</w:t>
            </w:r>
          </w:p>
        </w:tc>
      </w:tr>
      <w:tr w:rsidRPr="00C04884" w:rsidR="004D179C" w:rsidTr="001E4A94" w14:paraId="6EFD4804" w14:textId="77777777">
        <w:trPr>
          <w:trHeight w:val="300"/>
        </w:trPr>
        <w:tc>
          <w:tcPr>
            <w:tcW w:w="4065" w:type="dxa"/>
          </w:tcPr>
          <w:p w:rsidRPr="00C04884" w:rsidR="004D179C" w:rsidP="001E4A94" w:rsidRDefault="004D179C" w14:paraId="49646919" w14:textId="77777777">
            <w:pPr>
              <w:rPr>
                <w:rFonts w:eastAsiaTheme="minorEastAsia"/>
                <w:kern w:val="0"/>
                <w:szCs w:val="18"/>
                <w14:ligatures w14:val="none"/>
              </w:rPr>
            </w:pPr>
            <w:r w:rsidRPr="00C04884">
              <w:rPr>
                <w:rFonts w:eastAsiaTheme="minorEastAsia"/>
                <w:kern w:val="0"/>
                <w:szCs w:val="18"/>
                <w14:ligatures w14:val="none"/>
              </w:rPr>
              <w:t xml:space="preserve">Bezoek aan een ‘techniekhal’ (bijvoorbeeld techhub, hotspot of techlab) </w:t>
            </w:r>
          </w:p>
        </w:tc>
        <w:tc>
          <w:tcPr>
            <w:tcW w:w="737" w:type="dxa"/>
          </w:tcPr>
          <w:p w:rsidRPr="00C04884" w:rsidR="004D179C" w:rsidP="001E4A94" w:rsidRDefault="004D179C" w14:paraId="2C20C305" w14:textId="77777777">
            <w:pPr>
              <w:jc w:val="right"/>
              <w:rPr>
                <w:rFonts w:eastAsiaTheme="minorEastAsia"/>
                <w:kern w:val="0"/>
                <w:szCs w:val="18"/>
                <w14:ligatures w14:val="none"/>
              </w:rPr>
            </w:pPr>
            <w:r w:rsidRPr="00C04884">
              <w:rPr>
                <w:rFonts w:eastAsiaTheme="minorEastAsia"/>
                <w:kern w:val="0"/>
                <w:szCs w:val="18"/>
                <w14:ligatures w14:val="none"/>
              </w:rPr>
              <w:t>10,2</w:t>
            </w:r>
          </w:p>
        </w:tc>
        <w:tc>
          <w:tcPr>
            <w:tcW w:w="945" w:type="dxa"/>
          </w:tcPr>
          <w:p w:rsidRPr="00C04884" w:rsidR="004D179C" w:rsidP="001E4A94" w:rsidRDefault="004D179C" w14:paraId="7FE64F9C" w14:textId="77777777">
            <w:pPr>
              <w:jc w:val="right"/>
              <w:rPr>
                <w:rFonts w:eastAsiaTheme="minorEastAsia"/>
                <w:kern w:val="0"/>
                <w:szCs w:val="18"/>
                <w14:ligatures w14:val="none"/>
              </w:rPr>
            </w:pPr>
            <w:r w:rsidRPr="00C04884">
              <w:rPr>
                <w:rFonts w:eastAsiaTheme="minorEastAsia"/>
                <w:kern w:val="0"/>
                <w:szCs w:val="18"/>
                <w14:ligatures w14:val="none"/>
              </w:rPr>
              <w:t>19,8</w:t>
            </w:r>
          </w:p>
        </w:tc>
        <w:tc>
          <w:tcPr>
            <w:tcW w:w="1030" w:type="dxa"/>
          </w:tcPr>
          <w:p w:rsidRPr="00C04884" w:rsidR="004D179C" w:rsidP="001E4A94" w:rsidRDefault="004D179C" w14:paraId="418907BC" w14:textId="77777777">
            <w:pPr>
              <w:jc w:val="right"/>
              <w:rPr>
                <w:rFonts w:eastAsiaTheme="minorEastAsia"/>
                <w:kern w:val="0"/>
                <w:szCs w:val="18"/>
                <w14:ligatures w14:val="none"/>
              </w:rPr>
            </w:pPr>
            <w:r w:rsidRPr="00C04884">
              <w:rPr>
                <w:rFonts w:eastAsiaTheme="minorEastAsia"/>
                <w:kern w:val="0"/>
                <w:szCs w:val="18"/>
                <w14:ligatures w14:val="none"/>
              </w:rPr>
              <w:t>13,2</w:t>
            </w:r>
          </w:p>
        </w:tc>
        <w:tc>
          <w:tcPr>
            <w:tcW w:w="1397" w:type="dxa"/>
          </w:tcPr>
          <w:p w:rsidRPr="00C04884" w:rsidR="004D179C" w:rsidP="001E4A94" w:rsidRDefault="004D179C" w14:paraId="40FA9F13" w14:textId="77777777">
            <w:pPr>
              <w:jc w:val="right"/>
              <w:rPr>
                <w:rFonts w:eastAsiaTheme="minorEastAsia"/>
                <w:kern w:val="0"/>
                <w:szCs w:val="18"/>
                <w14:ligatures w14:val="none"/>
              </w:rPr>
            </w:pPr>
            <w:r w:rsidRPr="00C04884">
              <w:rPr>
                <w:rFonts w:eastAsiaTheme="minorEastAsia"/>
                <w:kern w:val="0"/>
                <w:szCs w:val="18"/>
                <w14:ligatures w14:val="none"/>
              </w:rPr>
              <w:t>52,8</w:t>
            </w:r>
          </w:p>
        </w:tc>
        <w:tc>
          <w:tcPr>
            <w:tcW w:w="0" w:type="dxa"/>
          </w:tcPr>
          <w:p w:rsidRPr="00C04884" w:rsidR="004D179C" w:rsidP="001E4A94" w:rsidRDefault="004D179C" w14:paraId="69B56554" w14:textId="77777777">
            <w:pPr>
              <w:jc w:val="right"/>
              <w:rPr>
                <w:rFonts w:eastAsiaTheme="minorEastAsia"/>
                <w:kern w:val="0"/>
                <w:szCs w:val="18"/>
                <w14:ligatures w14:val="none"/>
              </w:rPr>
            </w:pPr>
            <w:r w:rsidRPr="00C04884">
              <w:rPr>
                <w:rFonts w:eastAsiaTheme="minorEastAsia"/>
                <w:kern w:val="0"/>
                <w:szCs w:val="18"/>
                <w14:ligatures w14:val="none"/>
              </w:rPr>
              <w:t>14,2</w:t>
            </w:r>
          </w:p>
        </w:tc>
      </w:tr>
      <w:tr w:rsidRPr="00C04884" w:rsidR="004D179C" w:rsidTr="001E4A94" w14:paraId="2EE41102" w14:textId="77777777">
        <w:trPr>
          <w:trHeight w:val="300"/>
        </w:trPr>
        <w:tc>
          <w:tcPr>
            <w:tcW w:w="4065" w:type="dxa"/>
          </w:tcPr>
          <w:p w:rsidRPr="00C04884" w:rsidR="004D179C" w:rsidP="001E4A94" w:rsidRDefault="004D179C" w14:paraId="05C0AF01" w14:textId="77777777">
            <w:pPr>
              <w:rPr>
                <w:rFonts w:eastAsiaTheme="minorEastAsia"/>
                <w:kern w:val="0"/>
                <w:szCs w:val="18"/>
                <w14:ligatures w14:val="none"/>
              </w:rPr>
            </w:pPr>
            <w:r w:rsidRPr="00C04884">
              <w:rPr>
                <w:rFonts w:eastAsiaTheme="minorEastAsia"/>
                <w:kern w:val="0"/>
                <w:szCs w:val="18"/>
                <w14:ligatures w14:val="none"/>
              </w:rPr>
              <w:t xml:space="preserve">Een gastles of workshop over techniek door iemand van buiten de school </w:t>
            </w:r>
          </w:p>
        </w:tc>
        <w:tc>
          <w:tcPr>
            <w:tcW w:w="737" w:type="dxa"/>
          </w:tcPr>
          <w:p w:rsidRPr="00C04884" w:rsidR="004D179C" w:rsidP="001E4A94" w:rsidRDefault="004D179C" w14:paraId="4C065C0E" w14:textId="77777777">
            <w:pPr>
              <w:jc w:val="right"/>
              <w:rPr>
                <w:rFonts w:eastAsiaTheme="minorEastAsia"/>
                <w:kern w:val="0"/>
                <w:szCs w:val="18"/>
                <w14:ligatures w14:val="none"/>
              </w:rPr>
            </w:pPr>
            <w:r w:rsidRPr="00C04884">
              <w:rPr>
                <w:rFonts w:eastAsiaTheme="minorEastAsia"/>
                <w:kern w:val="0"/>
                <w:szCs w:val="18"/>
                <w14:ligatures w14:val="none"/>
              </w:rPr>
              <w:t>14,9</w:t>
            </w:r>
          </w:p>
        </w:tc>
        <w:tc>
          <w:tcPr>
            <w:tcW w:w="945" w:type="dxa"/>
          </w:tcPr>
          <w:p w:rsidRPr="00C04884" w:rsidR="004D179C" w:rsidP="001E4A94" w:rsidRDefault="004D179C" w14:paraId="2B0662BF" w14:textId="77777777">
            <w:pPr>
              <w:jc w:val="right"/>
              <w:rPr>
                <w:rFonts w:eastAsiaTheme="minorEastAsia"/>
                <w:kern w:val="0"/>
                <w:szCs w:val="18"/>
                <w14:ligatures w14:val="none"/>
              </w:rPr>
            </w:pPr>
            <w:r w:rsidRPr="00C04884">
              <w:rPr>
                <w:rFonts w:eastAsiaTheme="minorEastAsia"/>
                <w:kern w:val="0"/>
                <w:szCs w:val="18"/>
                <w14:ligatures w14:val="none"/>
              </w:rPr>
              <w:t>17,3</w:t>
            </w:r>
          </w:p>
        </w:tc>
        <w:tc>
          <w:tcPr>
            <w:tcW w:w="1030" w:type="dxa"/>
          </w:tcPr>
          <w:p w:rsidRPr="00C04884" w:rsidR="004D179C" w:rsidP="001E4A94" w:rsidRDefault="004D179C" w14:paraId="2F07152D" w14:textId="77777777">
            <w:pPr>
              <w:jc w:val="right"/>
              <w:rPr>
                <w:rFonts w:eastAsiaTheme="minorEastAsia"/>
                <w:kern w:val="0"/>
                <w:szCs w:val="18"/>
                <w14:ligatures w14:val="none"/>
              </w:rPr>
            </w:pPr>
            <w:r w:rsidRPr="00C04884">
              <w:rPr>
                <w:rFonts w:eastAsiaTheme="minorEastAsia"/>
                <w:kern w:val="0"/>
                <w:szCs w:val="18"/>
                <w14:ligatures w14:val="none"/>
              </w:rPr>
              <w:t>8,3</w:t>
            </w:r>
          </w:p>
        </w:tc>
        <w:tc>
          <w:tcPr>
            <w:tcW w:w="1397" w:type="dxa"/>
          </w:tcPr>
          <w:p w:rsidRPr="00C04884" w:rsidR="004D179C" w:rsidP="001E4A94" w:rsidRDefault="004D179C" w14:paraId="3DC42661" w14:textId="77777777">
            <w:pPr>
              <w:jc w:val="right"/>
              <w:rPr>
                <w:rFonts w:eastAsiaTheme="minorEastAsia"/>
                <w:kern w:val="0"/>
                <w:szCs w:val="18"/>
                <w14:ligatures w14:val="none"/>
              </w:rPr>
            </w:pPr>
            <w:r w:rsidRPr="00C04884">
              <w:rPr>
                <w:rFonts w:eastAsiaTheme="minorEastAsia"/>
                <w:kern w:val="0"/>
                <w:szCs w:val="18"/>
                <w14:ligatures w14:val="none"/>
              </w:rPr>
              <w:t>58,3</w:t>
            </w:r>
          </w:p>
        </w:tc>
        <w:tc>
          <w:tcPr>
            <w:tcW w:w="0" w:type="dxa"/>
          </w:tcPr>
          <w:p w:rsidRPr="00C04884" w:rsidR="004D179C" w:rsidP="001E4A94" w:rsidRDefault="004D179C" w14:paraId="29013892" w14:textId="77777777">
            <w:pPr>
              <w:jc w:val="right"/>
              <w:rPr>
                <w:rFonts w:eastAsiaTheme="minorEastAsia"/>
                <w:kern w:val="0"/>
                <w:szCs w:val="18"/>
                <w14:ligatures w14:val="none"/>
              </w:rPr>
            </w:pPr>
            <w:r w:rsidRPr="00C04884">
              <w:rPr>
                <w:rFonts w:eastAsiaTheme="minorEastAsia"/>
                <w:kern w:val="0"/>
                <w:szCs w:val="18"/>
                <w14:ligatures w14:val="none"/>
              </w:rPr>
              <w:t>16,0</w:t>
            </w:r>
          </w:p>
        </w:tc>
      </w:tr>
      <w:tr w:rsidRPr="00C04884" w:rsidR="004D179C" w:rsidTr="001E4A94" w14:paraId="397425A8" w14:textId="77777777">
        <w:trPr>
          <w:trHeight w:val="300"/>
        </w:trPr>
        <w:tc>
          <w:tcPr>
            <w:tcW w:w="4065" w:type="dxa"/>
          </w:tcPr>
          <w:p w:rsidRPr="00C04884" w:rsidR="004D179C" w:rsidP="001E4A94" w:rsidRDefault="004D179C" w14:paraId="7E6D36A4" w14:textId="77777777">
            <w:pPr>
              <w:rPr>
                <w:rFonts w:eastAsiaTheme="minorEastAsia"/>
                <w:kern w:val="0"/>
                <w:szCs w:val="18"/>
                <w14:ligatures w14:val="none"/>
              </w:rPr>
            </w:pPr>
            <w:r w:rsidRPr="00C04884">
              <w:rPr>
                <w:rFonts w:eastAsiaTheme="minorEastAsia"/>
                <w:kern w:val="0"/>
                <w:szCs w:val="18"/>
                <w14:ligatures w14:val="none"/>
              </w:rPr>
              <w:t>Techniekstage</w:t>
            </w:r>
          </w:p>
        </w:tc>
        <w:tc>
          <w:tcPr>
            <w:tcW w:w="737" w:type="dxa"/>
          </w:tcPr>
          <w:p w:rsidRPr="00C04884" w:rsidR="004D179C" w:rsidP="001E4A94" w:rsidRDefault="004D179C" w14:paraId="3ED62545" w14:textId="77777777">
            <w:pPr>
              <w:jc w:val="right"/>
              <w:rPr>
                <w:rFonts w:eastAsiaTheme="minorEastAsia"/>
                <w:kern w:val="0"/>
                <w:szCs w:val="18"/>
                <w14:ligatures w14:val="none"/>
              </w:rPr>
            </w:pPr>
            <w:r w:rsidRPr="00C04884">
              <w:rPr>
                <w:rFonts w:eastAsiaTheme="minorEastAsia"/>
                <w:kern w:val="0"/>
                <w:szCs w:val="18"/>
                <w14:ligatures w14:val="none"/>
              </w:rPr>
              <w:t>9,9</w:t>
            </w:r>
          </w:p>
        </w:tc>
        <w:tc>
          <w:tcPr>
            <w:tcW w:w="945" w:type="dxa"/>
          </w:tcPr>
          <w:p w:rsidRPr="00C04884" w:rsidR="004D179C" w:rsidP="001E4A94" w:rsidRDefault="004D179C" w14:paraId="38608CED" w14:textId="77777777">
            <w:pPr>
              <w:jc w:val="right"/>
              <w:rPr>
                <w:rFonts w:eastAsiaTheme="minorEastAsia"/>
                <w:kern w:val="0"/>
                <w:szCs w:val="18"/>
                <w14:ligatures w14:val="none"/>
              </w:rPr>
            </w:pPr>
            <w:r w:rsidRPr="00C04884">
              <w:rPr>
                <w:rFonts w:eastAsiaTheme="minorEastAsia"/>
                <w:kern w:val="0"/>
                <w:szCs w:val="18"/>
                <w14:ligatures w14:val="none"/>
              </w:rPr>
              <w:t>32,7</w:t>
            </w:r>
          </w:p>
        </w:tc>
        <w:tc>
          <w:tcPr>
            <w:tcW w:w="1030" w:type="dxa"/>
          </w:tcPr>
          <w:p w:rsidRPr="00C04884" w:rsidR="004D179C" w:rsidP="001E4A94" w:rsidRDefault="004D179C" w14:paraId="6B0B3729" w14:textId="77777777">
            <w:pPr>
              <w:tabs>
                <w:tab w:val="left" w:pos="433"/>
              </w:tabs>
              <w:jc w:val="right"/>
              <w:rPr>
                <w:rFonts w:eastAsiaTheme="minorEastAsia"/>
                <w:kern w:val="0"/>
                <w:szCs w:val="18"/>
                <w14:ligatures w14:val="none"/>
              </w:rPr>
            </w:pPr>
            <w:r w:rsidRPr="00C04884">
              <w:rPr>
                <w:rFonts w:eastAsiaTheme="minorEastAsia"/>
                <w:kern w:val="0"/>
                <w:szCs w:val="18"/>
                <w14:ligatures w14:val="none"/>
              </w:rPr>
              <w:t>4,8</w:t>
            </w:r>
          </w:p>
        </w:tc>
        <w:tc>
          <w:tcPr>
            <w:tcW w:w="1397" w:type="dxa"/>
          </w:tcPr>
          <w:p w:rsidRPr="00C04884" w:rsidR="004D179C" w:rsidP="001E4A94" w:rsidRDefault="004D179C" w14:paraId="285022A5" w14:textId="77777777">
            <w:pPr>
              <w:jc w:val="right"/>
              <w:rPr>
                <w:rFonts w:eastAsiaTheme="minorEastAsia"/>
                <w:kern w:val="0"/>
                <w:szCs w:val="18"/>
                <w14:ligatures w14:val="none"/>
              </w:rPr>
            </w:pPr>
            <w:r w:rsidRPr="00C04884">
              <w:rPr>
                <w:rFonts w:eastAsiaTheme="minorEastAsia"/>
                <w:kern w:val="0"/>
                <w:szCs w:val="18"/>
                <w14:ligatures w14:val="none"/>
              </w:rPr>
              <w:t>51,0</w:t>
            </w:r>
          </w:p>
        </w:tc>
        <w:tc>
          <w:tcPr>
            <w:tcW w:w="0" w:type="dxa"/>
          </w:tcPr>
          <w:p w:rsidRPr="00C04884" w:rsidR="004D179C" w:rsidP="001E4A94" w:rsidRDefault="004D179C" w14:paraId="254DEC6F" w14:textId="77777777">
            <w:pPr>
              <w:jc w:val="right"/>
              <w:rPr>
                <w:rFonts w:eastAsiaTheme="minorEastAsia"/>
                <w:kern w:val="0"/>
                <w:szCs w:val="18"/>
                <w14:ligatures w14:val="none"/>
              </w:rPr>
            </w:pPr>
            <w:r w:rsidRPr="00C04884">
              <w:rPr>
                <w:rFonts w:eastAsiaTheme="minorEastAsia"/>
                <w:kern w:val="0"/>
                <w:szCs w:val="18"/>
                <w14:ligatures w14:val="none"/>
              </w:rPr>
              <w:t>11,5</w:t>
            </w:r>
          </w:p>
        </w:tc>
      </w:tr>
      <w:tr w:rsidRPr="00C04884" w:rsidR="004D179C" w:rsidTr="001E4A94" w14:paraId="50B0C6B7" w14:textId="77777777">
        <w:trPr>
          <w:trHeight w:val="300"/>
        </w:trPr>
        <w:tc>
          <w:tcPr>
            <w:tcW w:w="4065" w:type="dxa"/>
          </w:tcPr>
          <w:p w:rsidRPr="00C04884" w:rsidR="004D179C" w:rsidP="001E4A94" w:rsidRDefault="004D179C" w14:paraId="37D574E0" w14:textId="77777777">
            <w:pPr>
              <w:rPr>
                <w:rFonts w:eastAsiaTheme="minorEastAsia"/>
                <w:kern w:val="0"/>
                <w:szCs w:val="18"/>
                <w14:ligatures w14:val="none"/>
              </w:rPr>
            </w:pPr>
            <w:r w:rsidRPr="00C04884">
              <w:rPr>
                <w:rFonts w:eastAsiaTheme="minorEastAsia"/>
                <w:kern w:val="0"/>
                <w:szCs w:val="18"/>
                <w14:ligatures w14:val="none"/>
              </w:rPr>
              <w:t>Andere techniek-activiteit</w:t>
            </w:r>
          </w:p>
        </w:tc>
        <w:tc>
          <w:tcPr>
            <w:tcW w:w="737" w:type="dxa"/>
          </w:tcPr>
          <w:p w:rsidRPr="00C04884" w:rsidR="004D179C" w:rsidP="001E4A94" w:rsidRDefault="004D179C" w14:paraId="12F17CDC" w14:textId="77777777">
            <w:pPr>
              <w:jc w:val="right"/>
              <w:rPr>
                <w:rFonts w:eastAsiaTheme="minorEastAsia"/>
                <w:kern w:val="0"/>
                <w:szCs w:val="18"/>
                <w14:ligatures w14:val="none"/>
              </w:rPr>
            </w:pPr>
            <w:r w:rsidRPr="00C04884">
              <w:rPr>
                <w:rFonts w:eastAsiaTheme="minorEastAsia"/>
                <w:kern w:val="0"/>
                <w:szCs w:val="18"/>
                <w14:ligatures w14:val="none"/>
              </w:rPr>
              <w:t>7,1</w:t>
            </w:r>
          </w:p>
        </w:tc>
        <w:tc>
          <w:tcPr>
            <w:tcW w:w="945" w:type="dxa"/>
          </w:tcPr>
          <w:p w:rsidRPr="00C04884" w:rsidR="004D179C" w:rsidP="001E4A94" w:rsidRDefault="004D179C" w14:paraId="554FC256" w14:textId="77777777">
            <w:pPr>
              <w:jc w:val="right"/>
              <w:rPr>
                <w:rFonts w:eastAsiaTheme="minorEastAsia"/>
                <w:kern w:val="0"/>
                <w:szCs w:val="18"/>
                <w14:ligatures w14:val="none"/>
              </w:rPr>
            </w:pPr>
            <w:r w:rsidRPr="00C04884">
              <w:rPr>
                <w:rFonts w:eastAsiaTheme="minorEastAsia"/>
                <w:kern w:val="0"/>
                <w:szCs w:val="18"/>
                <w14:ligatures w14:val="none"/>
              </w:rPr>
              <w:t>8,8</w:t>
            </w:r>
          </w:p>
        </w:tc>
        <w:tc>
          <w:tcPr>
            <w:tcW w:w="1030" w:type="dxa"/>
          </w:tcPr>
          <w:p w:rsidRPr="00C04884" w:rsidR="004D179C" w:rsidP="001E4A94" w:rsidRDefault="004D179C" w14:paraId="6FDF42D8" w14:textId="77777777">
            <w:pPr>
              <w:jc w:val="right"/>
              <w:rPr>
                <w:rFonts w:eastAsiaTheme="minorEastAsia"/>
                <w:kern w:val="0"/>
                <w:szCs w:val="18"/>
                <w14:ligatures w14:val="none"/>
              </w:rPr>
            </w:pPr>
            <w:r w:rsidRPr="00C04884">
              <w:rPr>
                <w:rFonts w:eastAsiaTheme="minorEastAsia"/>
                <w:kern w:val="0"/>
                <w:szCs w:val="18"/>
                <w14:ligatures w14:val="none"/>
              </w:rPr>
              <w:t>7,0</w:t>
            </w:r>
          </w:p>
        </w:tc>
        <w:tc>
          <w:tcPr>
            <w:tcW w:w="1397" w:type="dxa"/>
          </w:tcPr>
          <w:p w:rsidRPr="00C04884" w:rsidR="004D179C" w:rsidP="001E4A94" w:rsidRDefault="004D179C" w14:paraId="63143DFF" w14:textId="77777777">
            <w:pPr>
              <w:jc w:val="right"/>
              <w:rPr>
                <w:rFonts w:eastAsiaTheme="minorEastAsia"/>
                <w:kern w:val="0"/>
                <w:szCs w:val="18"/>
                <w14:ligatures w14:val="none"/>
              </w:rPr>
            </w:pPr>
            <w:r w:rsidRPr="00C04884">
              <w:rPr>
                <w:rFonts w:eastAsiaTheme="minorEastAsia"/>
                <w:kern w:val="0"/>
                <w:szCs w:val="18"/>
                <w14:ligatures w14:val="none"/>
              </w:rPr>
              <w:t>56,1</w:t>
            </w:r>
          </w:p>
        </w:tc>
        <w:tc>
          <w:tcPr>
            <w:tcW w:w="0" w:type="dxa"/>
          </w:tcPr>
          <w:p w:rsidRPr="00C04884" w:rsidR="004D179C" w:rsidP="001E4A94" w:rsidRDefault="004D179C" w14:paraId="1A9B3E46" w14:textId="77777777">
            <w:pPr>
              <w:jc w:val="right"/>
              <w:rPr>
                <w:rFonts w:eastAsiaTheme="minorEastAsia"/>
                <w:kern w:val="0"/>
                <w:szCs w:val="18"/>
                <w14:ligatures w14:val="none"/>
              </w:rPr>
            </w:pPr>
            <w:r w:rsidRPr="00C04884">
              <w:rPr>
                <w:rFonts w:eastAsiaTheme="minorEastAsia"/>
                <w:kern w:val="0"/>
                <w:szCs w:val="18"/>
                <w14:ligatures w14:val="none"/>
              </w:rPr>
              <w:t>28,1</w:t>
            </w:r>
          </w:p>
        </w:tc>
      </w:tr>
      <w:tr w:rsidRPr="00C04884" w:rsidR="004D179C" w:rsidTr="001E4A94" w14:paraId="7ACC4D35" w14:textId="77777777">
        <w:trPr>
          <w:trHeight w:val="300"/>
        </w:trPr>
        <w:tc>
          <w:tcPr>
            <w:tcW w:w="4065" w:type="dxa"/>
          </w:tcPr>
          <w:p w:rsidRPr="00C04884" w:rsidR="004D179C" w:rsidP="001E4A94" w:rsidRDefault="004D179C" w14:paraId="28C438AB" w14:textId="77777777">
            <w:pPr>
              <w:rPr>
                <w:rFonts w:eastAsiaTheme="minorEastAsia"/>
                <w:kern w:val="0"/>
                <w:szCs w:val="18"/>
                <w14:ligatures w14:val="none"/>
              </w:rPr>
            </w:pPr>
            <w:r w:rsidRPr="00C04884">
              <w:rPr>
                <w:rFonts w:eastAsiaTheme="minorEastAsia"/>
                <w:kern w:val="0"/>
                <w:szCs w:val="18"/>
                <w14:ligatures w14:val="none"/>
              </w:rPr>
              <w:t xml:space="preserve">Ik heb geen techniek-activiteit met school meegemaakt </w:t>
            </w:r>
          </w:p>
        </w:tc>
        <w:tc>
          <w:tcPr>
            <w:tcW w:w="737" w:type="dxa"/>
          </w:tcPr>
          <w:p w:rsidRPr="00C04884" w:rsidR="004D179C" w:rsidP="001E4A94" w:rsidRDefault="004D179C" w14:paraId="0ABEB7F7" w14:textId="77777777">
            <w:pPr>
              <w:jc w:val="right"/>
              <w:rPr>
                <w:rFonts w:eastAsiaTheme="minorEastAsia"/>
                <w:kern w:val="0"/>
                <w:szCs w:val="18"/>
                <w14:ligatures w14:val="none"/>
              </w:rPr>
            </w:pPr>
            <w:r w:rsidRPr="00C04884">
              <w:rPr>
                <w:rFonts w:eastAsiaTheme="minorEastAsia"/>
                <w:kern w:val="0"/>
                <w:szCs w:val="18"/>
                <w14:ligatures w14:val="none"/>
              </w:rPr>
              <w:t>20,2</w:t>
            </w:r>
          </w:p>
        </w:tc>
        <w:tc>
          <w:tcPr>
            <w:tcW w:w="945" w:type="dxa"/>
          </w:tcPr>
          <w:p w:rsidRPr="00C04884" w:rsidR="004D179C" w:rsidP="001E4A94" w:rsidRDefault="004D179C" w14:paraId="51A428EA" w14:textId="77777777">
            <w:pPr>
              <w:jc w:val="right"/>
              <w:rPr>
                <w:rFonts w:eastAsiaTheme="minorEastAsia"/>
                <w:kern w:val="0"/>
                <w:szCs w:val="18"/>
                <w14:ligatures w14:val="none"/>
              </w:rPr>
            </w:pPr>
          </w:p>
        </w:tc>
        <w:tc>
          <w:tcPr>
            <w:tcW w:w="1030" w:type="dxa"/>
          </w:tcPr>
          <w:p w:rsidRPr="00C04884" w:rsidR="004D179C" w:rsidP="001E4A94" w:rsidRDefault="004D179C" w14:paraId="21C27CF7" w14:textId="77777777">
            <w:pPr>
              <w:jc w:val="right"/>
              <w:rPr>
                <w:rFonts w:eastAsiaTheme="minorEastAsia"/>
                <w:kern w:val="0"/>
                <w:szCs w:val="18"/>
                <w14:ligatures w14:val="none"/>
              </w:rPr>
            </w:pPr>
          </w:p>
        </w:tc>
        <w:tc>
          <w:tcPr>
            <w:tcW w:w="1397" w:type="dxa"/>
          </w:tcPr>
          <w:p w:rsidRPr="00C04884" w:rsidR="004D179C" w:rsidP="001E4A94" w:rsidRDefault="004D179C" w14:paraId="3D40CF0C" w14:textId="77777777">
            <w:pPr>
              <w:jc w:val="right"/>
              <w:rPr>
                <w:rFonts w:eastAsiaTheme="minorEastAsia"/>
                <w:kern w:val="0"/>
                <w:szCs w:val="18"/>
                <w14:ligatures w14:val="none"/>
              </w:rPr>
            </w:pPr>
          </w:p>
        </w:tc>
        <w:tc>
          <w:tcPr>
            <w:tcW w:w="0" w:type="dxa"/>
          </w:tcPr>
          <w:p w:rsidRPr="00C04884" w:rsidR="004D179C" w:rsidP="001E4A94" w:rsidRDefault="004D179C" w14:paraId="7A53C57D" w14:textId="77777777">
            <w:pPr>
              <w:jc w:val="right"/>
              <w:rPr>
                <w:rFonts w:eastAsiaTheme="minorEastAsia"/>
                <w:kern w:val="0"/>
                <w:szCs w:val="18"/>
                <w14:ligatures w14:val="none"/>
              </w:rPr>
            </w:pPr>
          </w:p>
        </w:tc>
      </w:tr>
    </w:tbl>
    <w:p w:rsidR="004D179C" w:rsidP="004D179C" w:rsidRDefault="004D179C" w14:paraId="0ABAF3C0" w14:textId="77777777">
      <w:pPr>
        <w:rPr>
          <w:rFonts w:eastAsiaTheme="minorEastAsia"/>
          <w:szCs w:val="18"/>
        </w:rPr>
      </w:pPr>
      <w:r w:rsidRPr="00C04884">
        <w:rPr>
          <w:rFonts w:eastAsiaTheme="minorEastAsia"/>
          <w:szCs w:val="18"/>
        </w:rPr>
        <w:t>Bron: Leerlingenvragenlijst mei-juli 2025.</w:t>
      </w:r>
    </w:p>
    <w:p w:rsidR="001C5E92" w:rsidP="004D179C" w:rsidRDefault="001C5E92" w14:paraId="78D93055" w14:textId="77777777">
      <w:pPr>
        <w:rPr>
          <w:rFonts w:eastAsiaTheme="minorEastAsia"/>
          <w:szCs w:val="18"/>
        </w:rPr>
      </w:pPr>
    </w:p>
    <w:p w:rsidRPr="00C04884" w:rsidR="004D179C" w:rsidP="004D179C" w:rsidRDefault="004D179C" w14:paraId="4125CC37" w14:textId="77777777">
      <w:pPr>
        <w:jc w:val="both"/>
        <w:rPr>
          <w:rFonts w:eastAsiaTheme="minorEastAsia"/>
          <w:szCs w:val="18"/>
        </w:rPr>
      </w:pPr>
      <w:r w:rsidRPr="625A0593">
        <w:rPr>
          <w:rFonts w:eastAsiaTheme="minorEastAsia"/>
          <w:szCs w:val="18"/>
        </w:rPr>
        <w:t xml:space="preserve">Bij de meeste activiteiten zien we dat het grootste deel van de leerlingen aangeven niet van mening te zijn veranderd door de activiteit (6 op de 10 bij bezoek aan bedrijf, vmbo-school, techniekhal en gastles of workshop). Bij een </w:t>
      </w:r>
      <w:r w:rsidRPr="625A0593">
        <w:rPr>
          <w:rFonts w:eastAsiaTheme="minorEastAsia"/>
          <w:szCs w:val="18"/>
        </w:rPr>
        <w:lastRenderedPageBreak/>
        <w:t xml:space="preserve">kleiner deel (1 of 2 op de 10) is de mening positief veranderd. Dit geldt met name bij een bezoek aan het mbo en aan een techniekhal. Let wel, dit zijn ook de activiteiten met een lagere deelname. Bij alle activiteiten, behalve bezoek aan het mbo, geeft een klein deel (1 op de 10) aan techniek minder leuk te vinden. </w:t>
      </w:r>
    </w:p>
    <w:p w:rsidR="004D179C" w:rsidP="004D179C" w:rsidRDefault="004D179C" w14:paraId="62182E0C" w14:textId="49EB0AE3">
      <w:pPr>
        <w:jc w:val="both"/>
        <w:rPr>
          <w:rFonts w:eastAsiaTheme="minorEastAsia"/>
          <w:szCs w:val="18"/>
        </w:rPr>
      </w:pPr>
      <w:r w:rsidRPr="00C04884">
        <w:rPr>
          <w:rFonts w:eastAsiaTheme="minorEastAsia"/>
          <w:szCs w:val="18"/>
        </w:rPr>
        <w:t xml:space="preserve">Naast activiteiten georganiseerd door de basisschool, een periode die voor veel leerlingen alweer een paar jaar geleden is, is ook gevraagd naar activiteiten georganiseerd door de huidige vmbo-school. Ook hiervan weten we het percentage deelname, verandering van mening en de beoordeling (zie tabel </w:t>
      </w:r>
      <w:r w:rsidR="00E8093A">
        <w:rPr>
          <w:rFonts w:eastAsiaTheme="minorEastAsia"/>
          <w:szCs w:val="18"/>
        </w:rPr>
        <w:t>6</w:t>
      </w:r>
      <w:r w:rsidRPr="00C04884">
        <w:rPr>
          <w:rFonts w:eastAsiaTheme="minorEastAsia"/>
          <w:szCs w:val="18"/>
        </w:rPr>
        <w:t>.</w:t>
      </w:r>
      <w:r w:rsidR="004E4B1F">
        <w:rPr>
          <w:rFonts w:eastAsiaTheme="minorEastAsia"/>
          <w:szCs w:val="18"/>
        </w:rPr>
        <w:t>3</w:t>
      </w:r>
      <w:r w:rsidRPr="00C04884">
        <w:rPr>
          <w:rFonts w:eastAsiaTheme="minorEastAsia"/>
          <w:szCs w:val="18"/>
        </w:rPr>
        <w:t xml:space="preserve"> en figuur </w:t>
      </w:r>
      <w:r w:rsidR="00E8093A">
        <w:rPr>
          <w:rFonts w:eastAsiaTheme="minorEastAsia"/>
          <w:szCs w:val="18"/>
        </w:rPr>
        <w:t>6</w:t>
      </w:r>
      <w:r w:rsidRPr="00C04884">
        <w:rPr>
          <w:rFonts w:eastAsiaTheme="minorEastAsia"/>
          <w:szCs w:val="18"/>
        </w:rPr>
        <w:t xml:space="preserve">.3). </w:t>
      </w:r>
    </w:p>
    <w:p w:rsidRPr="00C04884" w:rsidR="00D43F8C" w:rsidP="004D179C" w:rsidRDefault="00D43F8C" w14:paraId="395599B1" w14:textId="77777777">
      <w:pPr>
        <w:jc w:val="both"/>
        <w:rPr>
          <w:rFonts w:eastAsiaTheme="minorEastAsia"/>
          <w:szCs w:val="18"/>
        </w:rPr>
      </w:pPr>
    </w:p>
    <w:p w:rsidRPr="00C04884" w:rsidR="004D179C" w:rsidP="004D179C" w:rsidRDefault="004D179C" w14:paraId="54AB7AEB" w14:textId="687D850D">
      <w:pPr>
        <w:rPr>
          <w:rFonts w:eastAsiaTheme="minorEastAsia"/>
          <w:szCs w:val="18"/>
        </w:rPr>
      </w:pPr>
      <w:r w:rsidRPr="00C04884">
        <w:rPr>
          <w:rFonts w:eastAsiaTheme="minorEastAsia"/>
          <w:szCs w:val="18"/>
        </w:rPr>
        <w:t xml:space="preserve">Figuur </w:t>
      </w:r>
      <w:r w:rsidR="00E8093A">
        <w:rPr>
          <w:rFonts w:eastAsiaTheme="minorEastAsia"/>
          <w:szCs w:val="18"/>
        </w:rPr>
        <w:t>6</w:t>
      </w:r>
      <w:r w:rsidRPr="00C04884">
        <w:rPr>
          <w:rFonts w:eastAsiaTheme="minorEastAsia"/>
          <w:szCs w:val="18"/>
        </w:rPr>
        <w:t xml:space="preserve">.3 Beoordeling van techniekactiviteiten </w:t>
      </w:r>
      <w:r>
        <w:rPr>
          <w:rFonts w:eastAsiaTheme="minorEastAsia"/>
          <w:szCs w:val="18"/>
        </w:rPr>
        <w:t>in het vo</w:t>
      </w:r>
      <w:r w:rsidRPr="00C04884">
        <w:rPr>
          <w:rFonts w:eastAsiaTheme="minorEastAsia"/>
          <w:szCs w:val="18"/>
        </w:rPr>
        <w:t xml:space="preserve"> </w:t>
      </w:r>
    </w:p>
    <w:p w:rsidRPr="00C04884" w:rsidR="004D179C" w:rsidP="004D179C" w:rsidRDefault="004D179C" w14:paraId="51976D2D" w14:textId="77777777">
      <w:pPr>
        <w:rPr>
          <w:rFonts w:eastAsiaTheme="minorEastAsia"/>
          <w:szCs w:val="18"/>
          <w:highlight w:val="yellow"/>
        </w:rPr>
      </w:pPr>
      <w:r w:rsidRPr="00C04884">
        <w:rPr>
          <w:noProof/>
        </w:rPr>
        <w:drawing>
          <wp:inline distT="0" distB="0" distL="0" distR="0" wp14:anchorId="4ECAB2C2" wp14:editId="5138980A">
            <wp:extent cx="5660304" cy="2950763"/>
            <wp:effectExtent l="0" t="0" r="17145" b="2540"/>
            <wp:docPr id="1457579841" name="Grafiek 1">
              <a:extLst xmlns:a="http://schemas.openxmlformats.org/drawingml/2006/main">
                <a:ext uri="{FF2B5EF4-FFF2-40B4-BE49-F238E27FC236}">
                  <a16:creationId xmlns:a16="http://schemas.microsoft.com/office/drawing/2014/main" id="{649E6FB3-CCC8-2335-EC15-248E4EAF65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D179C" w:rsidP="004D179C" w:rsidRDefault="004D179C" w14:paraId="39442F17" w14:textId="77777777">
      <w:pPr>
        <w:rPr>
          <w:rFonts w:eastAsiaTheme="minorEastAsia"/>
          <w:szCs w:val="18"/>
        </w:rPr>
      </w:pPr>
      <w:r w:rsidRPr="00C04884">
        <w:rPr>
          <w:rFonts w:eastAsiaTheme="minorEastAsia"/>
          <w:szCs w:val="18"/>
        </w:rPr>
        <w:t>Bron: Leerlingenvragenlijst mei-juli 2025.</w:t>
      </w:r>
    </w:p>
    <w:p w:rsidRPr="00C04884" w:rsidR="001C5E92" w:rsidP="004D179C" w:rsidRDefault="001C5E92" w14:paraId="4D35556B" w14:textId="77777777">
      <w:pPr>
        <w:rPr>
          <w:rFonts w:eastAsiaTheme="minorEastAsia"/>
          <w:szCs w:val="18"/>
        </w:rPr>
      </w:pPr>
    </w:p>
    <w:p w:rsidR="004D179C" w:rsidP="004D179C" w:rsidRDefault="004D179C" w14:paraId="07CF53BC" w14:textId="528B1CF1">
      <w:pPr>
        <w:jc w:val="both"/>
        <w:rPr>
          <w:rFonts w:eastAsiaTheme="minorEastAsia"/>
          <w:szCs w:val="18"/>
        </w:rPr>
      </w:pPr>
      <w:r w:rsidRPr="00C04884">
        <w:rPr>
          <w:rFonts w:eastAsiaTheme="minorEastAsia"/>
          <w:szCs w:val="18"/>
        </w:rPr>
        <w:t>Hier zien we over het algemeen hogere percentages deelname bij de verschillende activiteiten in vergelijking met activiteiten georganiseerd door de basisschool. Een bezoek aan een bedrijf wordt door bijna de helft (ruim 4 op de 10) genoemd. Dit wordt op afstand gevolgd door een bezoek aan het mbo en een gastles of workshop (bijna 2 op de 10). Een klein deel van de leerlingen (1 op de 10) heeft een techniekstage gedaan. De overige activiteiten, zoals een bezoek aan een andere vmbo-school, techniekhal of andere techniekactiviteit, worden het minst vaak gerapporteerd (minder dan 1 op de 10). Voorbeelden van andere techniekactiviteiten die genoemd worden zijn: de bouwbeurs, verschillende ‘challenges’ en een ‘meet and greet’</w:t>
      </w:r>
      <w:r w:rsidR="001C5E92">
        <w:rPr>
          <w:rFonts w:eastAsiaTheme="minorEastAsia"/>
          <w:szCs w:val="18"/>
        </w:rPr>
        <w:t>.</w:t>
      </w:r>
    </w:p>
    <w:p w:rsidR="001C5E92" w:rsidP="004D179C" w:rsidRDefault="001C5E92" w14:paraId="26C79AD1" w14:textId="77777777">
      <w:pPr>
        <w:jc w:val="both"/>
        <w:rPr>
          <w:rFonts w:eastAsiaTheme="minorEastAsia"/>
          <w:szCs w:val="18"/>
        </w:rPr>
      </w:pPr>
    </w:p>
    <w:p w:rsidR="004D179C" w:rsidP="004D179C" w:rsidRDefault="004D179C" w14:paraId="37CC06A0" w14:textId="159F6B6C">
      <w:pPr>
        <w:jc w:val="both"/>
        <w:rPr>
          <w:rFonts w:eastAsiaTheme="minorEastAsia"/>
          <w:szCs w:val="18"/>
        </w:rPr>
      </w:pPr>
      <w:r w:rsidRPr="625A0593">
        <w:rPr>
          <w:rFonts w:eastAsiaTheme="minorEastAsia"/>
          <w:szCs w:val="18"/>
        </w:rPr>
        <w:t xml:space="preserve">Figuur </w:t>
      </w:r>
      <w:r w:rsidR="00E8093A">
        <w:rPr>
          <w:rFonts w:eastAsiaTheme="minorEastAsia"/>
          <w:szCs w:val="18"/>
        </w:rPr>
        <w:t>6</w:t>
      </w:r>
      <w:r w:rsidRPr="625A0593">
        <w:rPr>
          <w:rFonts w:eastAsiaTheme="minorEastAsia"/>
          <w:szCs w:val="18"/>
        </w:rPr>
        <w:t xml:space="preserve">.3 laat de beoordeling zien van de leerlingen die aan de specifieke activiteit hebben deelgenomen. Een bezoek aan een techniekhal of een gastles of workshop over techniek wordt door bijna de helft van de leerlingen (5 op de 10) als (heel) leuk beoordeeld. Hoewel een techniekstage minder vaak door leerlingen als activiteit is benoemd, zijn de leerlingen die hieraan hebben deelgenomen merendeels positief (6 op de 10).  Een bezoek aan het bedrijf wordt door de meeste deelnemende leerlingen neutraal beoordeeld (5 op de 10), gevolgd door een positieve beoordeling door ruim een derde en een negatievere beoordeling door een vijfde. De beoordelingen van een bezoek aan een andere vmbo-school of aan het mbo komen overeen: het grootste deel is neutraal, gevolgd door leerlingen die het (heel) leuk vonden en een klein deel (helemaal) niet leuk. </w:t>
      </w:r>
    </w:p>
    <w:p w:rsidRPr="00C04884" w:rsidR="001C5E92" w:rsidP="004D179C" w:rsidRDefault="001C5E92" w14:paraId="263E12F8" w14:textId="77777777">
      <w:pPr>
        <w:jc w:val="both"/>
        <w:rPr>
          <w:rFonts w:eastAsiaTheme="minorEastAsia"/>
          <w:szCs w:val="18"/>
        </w:rPr>
      </w:pPr>
    </w:p>
    <w:p w:rsidR="004D179C" w:rsidP="004D179C" w:rsidRDefault="004D179C" w14:paraId="2926EBDD" w14:textId="775BD25B">
      <w:pPr>
        <w:jc w:val="both"/>
        <w:rPr>
          <w:rFonts w:eastAsiaTheme="minorEastAsia"/>
          <w:szCs w:val="18"/>
        </w:rPr>
      </w:pPr>
      <w:r w:rsidRPr="625A0593">
        <w:rPr>
          <w:rFonts w:eastAsiaTheme="minorEastAsia"/>
          <w:szCs w:val="18"/>
        </w:rPr>
        <w:t xml:space="preserve">Ook hier zien we bij het grootste deel van de leerlingen (5 tot 6 op de 10) die hebben deelgenomen aan een activiteit dat de mening over techniek niet is veranderd (zie tabel </w:t>
      </w:r>
      <w:r w:rsidR="00E8093A">
        <w:rPr>
          <w:rFonts w:eastAsiaTheme="minorEastAsia"/>
          <w:szCs w:val="18"/>
        </w:rPr>
        <w:t>6</w:t>
      </w:r>
      <w:r w:rsidRPr="625A0593">
        <w:rPr>
          <w:rFonts w:eastAsiaTheme="minorEastAsia"/>
          <w:szCs w:val="18"/>
        </w:rPr>
        <w:t>.</w:t>
      </w:r>
      <w:r w:rsidR="004E4B1F">
        <w:rPr>
          <w:rFonts w:eastAsiaTheme="minorEastAsia"/>
          <w:szCs w:val="18"/>
        </w:rPr>
        <w:t>3</w:t>
      </w:r>
      <w:r w:rsidRPr="625A0593">
        <w:rPr>
          <w:rFonts w:eastAsiaTheme="minorEastAsia"/>
          <w:szCs w:val="18"/>
        </w:rPr>
        <w:t xml:space="preserve">). Het is daarbij belangrijk te benadrukken dat een verandering in (meer) negatieve richting niet per definitie als ongunstig hoeft te worden geïnterpreteerd. Een mogelijk effect van LOB is immers dat leerlingen beter inzicht krijgen in hun eigen voorkeuren en interesses, en daarmee ook ontdekken welke richtingen minder goed bij hen passen. </w:t>
      </w:r>
    </w:p>
    <w:p w:rsidR="001C5E92" w:rsidP="004D179C" w:rsidRDefault="001C5E92" w14:paraId="2E7836A8" w14:textId="77777777">
      <w:pPr>
        <w:jc w:val="both"/>
        <w:rPr>
          <w:rFonts w:eastAsiaTheme="minorEastAsia"/>
          <w:szCs w:val="18"/>
        </w:rPr>
      </w:pPr>
    </w:p>
    <w:p w:rsidR="004D179C" w:rsidP="004D179C" w:rsidRDefault="004D179C" w14:paraId="5533388D" w14:textId="77777777">
      <w:pPr>
        <w:jc w:val="both"/>
        <w:rPr>
          <w:rFonts w:eastAsiaTheme="minorEastAsia"/>
          <w:szCs w:val="18"/>
        </w:rPr>
      </w:pPr>
      <w:r w:rsidRPr="00C04884">
        <w:rPr>
          <w:rFonts w:eastAsiaTheme="minorEastAsia"/>
          <w:szCs w:val="18"/>
        </w:rPr>
        <w:lastRenderedPageBreak/>
        <w:t xml:space="preserve">Wanneer de mening wel is veranderd, is dat meestal in de positieve richting: leerlingen zijn techniek leuker gaan vinden. Dit geldt met name bij techniekstage (3 op de 10), bezoek aan een techniekhal, of gastles/workshop over techniek (2 op de 10). Een bezoek aan een bedrijf of het mbo zorgt bij een vergelijkbaar deel van de leerlingen voor een positievere mening over techniek. Bij een bezoek aan een andere vmbo-school zorgt dit bij een deel van de leerlingen voor een positievere mening (1 op de 10), terwijl dit bij eenzelfde deel ervoor zorgt dat zij techniek als minder leuk ervaren.  </w:t>
      </w:r>
    </w:p>
    <w:p w:rsidRPr="00C04884" w:rsidR="001C5E92" w:rsidP="004D179C" w:rsidRDefault="001C5E92" w14:paraId="2087EEB0" w14:textId="77777777">
      <w:pPr>
        <w:jc w:val="both"/>
        <w:rPr>
          <w:rFonts w:eastAsiaTheme="minorEastAsia"/>
          <w:szCs w:val="18"/>
        </w:rPr>
      </w:pPr>
    </w:p>
    <w:p w:rsidR="004D179C" w:rsidP="004D179C" w:rsidRDefault="004D179C" w14:paraId="290D6D10" w14:textId="77777777">
      <w:pPr>
        <w:jc w:val="both"/>
        <w:rPr>
          <w:rFonts w:eastAsiaTheme="minorEastAsia"/>
          <w:szCs w:val="18"/>
        </w:rPr>
      </w:pPr>
      <w:r w:rsidRPr="00C04884">
        <w:rPr>
          <w:rFonts w:eastAsiaTheme="minorEastAsia"/>
          <w:szCs w:val="18"/>
        </w:rPr>
        <w:t xml:space="preserve">We zien dus dat een groot deel van de leerlingen heeft deelgenomen aan tenminste één techniekactiviteit </w:t>
      </w:r>
      <w:r>
        <w:rPr>
          <w:rFonts w:eastAsiaTheme="minorEastAsia"/>
          <w:szCs w:val="18"/>
        </w:rPr>
        <w:t>in het po</w:t>
      </w:r>
      <w:r w:rsidRPr="00C04884">
        <w:rPr>
          <w:rFonts w:eastAsiaTheme="minorEastAsia"/>
          <w:szCs w:val="18"/>
        </w:rPr>
        <w:t xml:space="preserve"> </w:t>
      </w:r>
      <w:r>
        <w:rPr>
          <w:rFonts w:eastAsiaTheme="minorEastAsia"/>
          <w:szCs w:val="18"/>
        </w:rPr>
        <w:t>(71%) of vo (80%)</w:t>
      </w:r>
      <w:r w:rsidRPr="00C04884">
        <w:rPr>
          <w:rFonts w:eastAsiaTheme="minorEastAsia"/>
          <w:szCs w:val="18"/>
        </w:rPr>
        <w:t xml:space="preserve">. </w:t>
      </w:r>
      <w:r>
        <w:rPr>
          <w:rFonts w:eastAsiaTheme="minorEastAsia"/>
          <w:szCs w:val="18"/>
        </w:rPr>
        <w:t>In het vo</w:t>
      </w:r>
      <w:r w:rsidRPr="00C04884">
        <w:rPr>
          <w:rFonts w:eastAsiaTheme="minorEastAsia"/>
          <w:szCs w:val="18"/>
        </w:rPr>
        <w:t xml:space="preserve"> ligt de deelname aan de verschillende activiteiten wat hoger. Dit kan mogelijk te maken hebben met het feit dat voor sommige leerlingen inmiddels al veel tijd is verstreken sinds hun basisschooltijd, en met de veranderende focus van STO in de loop der tijd. De meeste activiteiten worden door de leerlingen als (heel) leuk of neutraal beoordeeld. Een verandering in de mening over techniek komt, bij de meeste activiteiten, bij iets minder dan de helft van de leerlingen voor. Leerlingen zijn in dat geval techniek meestal leuker gaan vinden. </w:t>
      </w:r>
    </w:p>
    <w:p w:rsidRPr="00C04884" w:rsidR="001C5E92" w:rsidP="004D179C" w:rsidRDefault="001C5E92" w14:paraId="41CBFCEA" w14:textId="77777777">
      <w:pPr>
        <w:jc w:val="both"/>
        <w:rPr>
          <w:rFonts w:eastAsiaTheme="minorEastAsia"/>
          <w:szCs w:val="18"/>
        </w:rPr>
      </w:pPr>
    </w:p>
    <w:p w:rsidRPr="00C04884" w:rsidR="004D179C" w:rsidP="00915646" w:rsidRDefault="004D179C" w14:paraId="031DD19D" w14:textId="77777777">
      <w:pPr>
        <w:pStyle w:val="Kop2"/>
      </w:pPr>
      <w:bookmarkStart w:name="_Toc203573595" w:id="69"/>
      <w:r w:rsidRPr="625A0593">
        <w:t>Mening over technieklessen en techniekdocenten (alleen bovenbouw)</w:t>
      </w:r>
      <w:bookmarkEnd w:id="69"/>
    </w:p>
    <w:p w:rsidR="000216E7" w:rsidP="004D179C" w:rsidRDefault="004D179C" w14:paraId="5F36C81A" w14:textId="77777777">
      <w:pPr>
        <w:jc w:val="both"/>
        <w:rPr>
          <w:rFonts w:eastAsiaTheme="minorEastAsia"/>
          <w:szCs w:val="18"/>
        </w:rPr>
      </w:pPr>
      <w:r>
        <w:rPr>
          <w:rFonts w:eastAsiaTheme="minorEastAsia"/>
          <w:szCs w:val="18"/>
        </w:rPr>
        <w:t>Ook hebben we b</w:t>
      </w:r>
      <w:r w:rsidRPr="00C04884">
        <w:rPr>
          <w:rFonts w:eastAsiaTheme="minorEastAsia"/>
          <w:szCs w:val="18"/>
        </w:rPr>
        <w:t>ovenbouwleerlingen met een technisch profiel en/of keuzevak</w:t>
      </w:r>
      <w:r>
        <w:rPr>
          <w:rFonts w:eastAsiaTheme="minorEastAsia"/>
          <w:szCs w:val="18"/>
        </w:rPr>
        <w:t xml:space="preserve"> bevraagd over hun ervaringen met</w:t>
      </w:r>
      <w:r w:rsidRPr="00C04884">
        <w:rPr>
          <w:rFonts w:eastAsiaTheme="minorEastAsia"/>
          <w:szCs w:val="18"/>
        </w:rPr>
        <w:t xml:space="preserve"> technieklessen en techniekdocenten. Zij krijgen immers lessen in techniek en kunnen dit beoordelen. Aan deze leerlingen (N=91) zijn de stellingen uit figuur </w:t>
      </w:r>
      <w:r w:rsidR="000216E7">
        <w:rPr>
          <w:rFonts w:eastAsiaTheme="minorEastAsia"/>
          <w:szCs w:val="18"/>
        </w:rPr>
        <w:t>6</w:t>
      </w:r>
      <w:r w:rsidRPr="00C04884">
        <w:rPr>
          <w:rFonts w:eastAsiaTheme="minorEastAsia"/>
          <w:szCs w:val="18"/>
        </w:rPr>
        <w:t xml:space="preserve">.4 voorgelegd. Leerlingen konden aangeven in hoeverre zij het (helemaal) oneens, neutraal of (helemaal) eens waren met deze stellingen over technieklessen. </w:t>
      </w:r>
    </w:p>
    <w:p w:rsidRPr="00C04884" w:rsidR="004D179C" w:rsidP="004D179C" w:rsidRDefault="004D179C" w14:paraId="29FF1C80" w14:textId="4CE7445F">
      <w:pPr>
        <w:jc w:val="both"/>
        <w:rPr>
          <w:rFonts w:eastAsiaTheme="minorEastAsia"/>
          <w:szCs w:val="18"/>
        </w:rPr>
      </w:pPr>
      <w:r w:rsidRPr="00C04884">
        <w:rPr>
          <w:rFonts w:eastAsiaTheme="minorEastAsia"/>
          <w:szCs w:val="18"/>
        </w:rPr>
        <w:t xml:space="preserve"> </w:t>
      </w:r>
    </w:p>
    <w:p w:rsidRPr="00C04884" w:rsidR="004D179C" w:rsidP="004D179C" w:rsidRDefault="004D179C" w14:paraId="3AF51147" w14:textId="40AD257C">
      <w:pPr>
        <w:rPr>
          <w:rFonts w:eastAsiaTheme="minorEastAsia"/>
          <w:szCs w:val="18"/>
        </w:rPr>
      </w:pPr>
      <w:r w:rsidRPr="00C04884">
        <w:rPr>
          <w:rFonts w:eastAsiaTheme="minorEastAsia"/>
          <w:szCs w:val="18"/>
        </w:rPr>
        <w:t xml:space="preserve">Figuur </w:t>
      </w:r>
      <w:r w:rsidR="000216E7">
        <w:rPr>
          <w:rFonts w:eastAsiaTheme="minorEastAsia"/>
          <w:szCs w:val="18"/>
        </w:rPr>
        <w:t>6</w:t>
      </w:r>
      <w:r w:rsidRPr="00C04884">
        <w:rPr>
          <w:rFonts w:eastAsiaTheme="minorEastAsia"/>
          <w:szCs w:val="18"/>
        </w:rPr>
        <w:t>.4 Mening over technieklessen (alleen bovenbouwleerlingen met een technisch profiel en/of keuzevak, N=91)</w:t>
      </w:r>
    </w:p>
    <w:p w:rsidRPr="00C04884" w:rsidR="004D179C" w:rsidP="004D179C" w:rsidRDefault="004D179C" w14:paraId="66A492CE" w14:textId="77777777">
      <w:pPr>
        <w:jc w:val="both"/>
        <w:rPr>
          <w:rFonts w:eastAsiaTheme="minorEastAsia"/>
          <w:szCs w:val="18"/>
        </w:rPr>
      </w:pPr>
      <w:r w:rsidRPr="00C04884">
        <w:rPr>
          <w:noProof/>
        </w:rPr>
        <w:drawing>
          <wp:inline distT="0" distB="0" distL="0" distR="0" wp14:anchorId="032D9021" wp14:editId="05FEE2F6">
            <wp:extent cx="5760720" cy="2976880"/>
            <wp:effectExtent l="0" t="0" r="11430" b="13970"/>
            <wp:docPr id="1334775726" name="Grafiek 1">
              <a:extLst xmlns:a="http://schemas.openxmlformats.org/drawingml/2006/main">
                <a:ext uri="{FF2B5EF4-FFF2-40B4-BE49-F238E27FC236}">
                  <a16:creationId xmlns:a16="http://schemas.microsoft.com/office/drawing/2014/main" id="{47466F88-E1B9-D7CB-AF40-8A42226D74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D179C" w:rsidP="004D179C" w:rsidRDefault="004D179C" w14:paraId="52A0C3A6" w14:textId="77777777">
      <w:pPr>
        <w:rPr>
          <w:rFonts w:eastAsiaTheme="minorEastAsia"/>
          <w:szCs w:val="18"/>
        </w:rPr>
      </w:pPr>
      <w:r w:rsidRPr="00C04884">
        <w:rPr>
          <w:rFonts w:eastAsiaTheme="minorEastAsia"/>
          <w:szCs w:val="18"/>
        </w:rPr>
        <w:t>Bron: Leerlingenvragenlijst mei-juli 2025.</w:t>
      </w:r>
    </w:p>
    <w:p w:rsidRPr="00C04884" w:rsidR="001C5E92" w:rsidP="004D179C" w:rsidRDefault="001C5E92" w14:paraId="5E1EB928" w14:textId="77777777">
      <w:pPr>
        <w:rPr>
          <w:rFonts w:eastAsiaTheme="minorEastAsia"/>
          <w:szCs w:val="18"/>
        </w:rPr>
      </w:pPr>
    </w:p>
    <w:p w:rsidR="004D179C" w:rsidP="004D179C" w:rsidRDefault="004D179C" w14:paraId="7C7E96D6" w14:textId="77777777">
      <w:pPr>
        <w:jc w:val="both"/>
        <w:rPr>
          <w:rFonts w:eastAsiaTheme="minorEastAsia"/>
          <w:szCs w:val="18"/>
        </w:rPr>
      </w:pPr>
      <w:r w:rsidRPr="00C04884">
        <w:rPr>
          <w:rFonts w:eastAsiaTheme="minorEastAsia"/>
          <w:szCs w:val="18"/>
        </w:rPr>
        <w:t xml:space="preserve">Het merendeel van de bovenbouwleerlingen met een technisch profiel of keuzevak (6 op de 10) vindt het leuk om praktisch bezig te zijn in de techniekles. Ook geeft een even groot deel (6 op de 10) aan dat de lessen techniek worden gegeven door docenten die veel weten van het bedrijfsleven. De helft van de leerlingen (5 op de 10) begrijpt vaak goed wat er in de lessen over techniek wordt verteld en vindt de lessen techniek interessant. Echter geeft een deel van de leerlingen (4 op de 10) aan blij te zijn als de les over techniek voorbij is, maar een net zo’n groot deel antwoordt hier neutraal op. Een kleiner deel (2 op de 10) is het (helemaal) niet eens met deze stelling. De meeste leerlingen (6 op de 10) gaven een neutraal antwoord op de stelling dat de lessen over techniek vaak moeilijk zijn. </w:t>
      </w:r>
      <w:r w:rsidRPr="00C04884">
        <w:rPr>
          <w:rFonts w:eastAsiaTheme="minorEastAsia"/>
          <w:szCs w:val="18"/>
        </w:rPr>
        <w:lastRenderedPageBreak/>
        <w:t xml:space="preserve">Een deel is het hier helemaal mee eens (3 op de 10), terwijl een kleiner deel (ruim 1 op de 10) het hier (helemaal) niet mee eens is. </w:t>
      </w:r>
    </w:p>
    <w:p w:rsidRPr="00C04884" w:rsidR="001C5E92" w:rsidP="004D179C" w:rsidRDefault="001C5E92" w14:paraId="5DA2CE8A" w14:textId="77777777">
      <w:pPr>
        <w:jc w:val="both"/>
        <w:rPr>
          <w:rFonts w:eastAsiaTheme="minorEastAsia"/>
          <w:szCs w:val="18"/>
        </w:rPr>
      </w:pPr>
    </w:p>
    <w:p w:rsidR="004D179C" w:rsidP="004D179C" w:rsidRDefault="004D179C" w14:paraId="1F6D8049" w14:textId="5A2376D1">
      <w:pPr>
        <w:jc w:val="both"/>
        <w:rPr>
          <w:rFonts w:eastAsiaTheme="minorEastAsia"/>
          <w:szCs w:val="18"/>
        </w:rPr>
      </w:pPr>
      <w:r w:rsidRPr="00C04884">
        <w:rPr>
          <w:rFonts w:eastAsiaTheme="minorEastAsia"/>
          <w:szCs w:val="18"/>
        </w:rPr>
        <w:t xml:space="preserve">Daarnaast zijn aan de bovenbouwleerlingen met een technisch profiel of keuzevak een aantal vragen gesteld over hun mening over de leraren/instructeurs bij technieklessen. In figuur </w:t>
      </w:r>
      <w:r w:rsidR="000216E7">
        <w:rPr>
          <w:rFonts w:eastAsiaTheme="minorEastAsia"/>
          <w:szCs w:val="18"/>
        </w:rPr>
        <w:t>6</w:t>
      </w:r>
      <w:r w:rsidRPr="00C04884">
        <w:rPr>
          <w:rFonts w:eastAsiaTheme="minorEastAsia"/>
          <w:szCs w:val="18"/>
        </w:rPr>
        <w:t xml:space="preserve">.5 presenteren we de bevindingen. </w:t>
      </w:r>
    </w:p>
    <w:p w:rsidRPr="00C04884" w:rsidR="000216E7" w:rsidP="004D179C" w:rsidRDefault="000216E7" w14:paraId="68E96666" w14:textId="77777777">
      <w:pPr>
        <w:jc w:val="both"/>
        <w:rPr>
          <w:rFonts w:eastAsiaTheme="minorEastAsia"/>
          <w:szCs w:val="18"/>
        </w:rPr>
      </w:pPr>
    </w:p>
    <w:p w:rsidRPr="00C04884" w:rsidR="004D179C" w:rsidP="004D179C" w:rsidRDefault="004D179C" w14:paraId="46DF43C4" w14:textId="08E07B1C">
      <w:pPr>
        <w:rPr>
          <w:rFonts w:eastAsiaTheme="minorEastAsia"/>
          <w:szCs w:val="18"/>
        </w:rPr>
      </w:pPr>
      <w:r w:rsidRPr="00C04884">
        <w:rPr>
          <w:rFonts w:eastAsiaTheme="minorEastAsia"/>
          <w:szCs w:val="18"/>
        </w:rPr>
        <w:t xml:space="preserve">Figuur </w:t>
      </w:r>
      <w:r w:rsidR="000216E7">
        <w:rPr>
          <w:rFonts w:eastAsiaTheme="minorEastAsia"/>
          <w:szCs w:val="18"/>
        </w:rPr>
        <w:t>6</w:t>
      </w:r>
      <w:r w:rsidRPr="00C04884">
        <w:rPr>
          <w:rFonts w:eastAsiaTheme="minorEastAsia"/>
          <w:szCs w:val="18"/>
        </w:rPr>
        <w:t>.5 Mening over techniekdocenten (alleen bovenbouwleerlingen met een technisch profiel en/of keuzevak, N=90)</w:t>
      </w:r>
    </w:p>
    <w:p w:rsidRPr="00C04884" w:rsidR="004D179C" w:rsidP="004D179C" w:rsidRDefault="004D179C" w14:paraId="7E378879" w14:textId="77777777">
      <w:pPr>
        <w:rPr>
          <w:rFonts w:eastAsiaTheme="minorEastAsia"/>
          <w:szCs w:val="18"/>
          <w:highlight w:val="yellow"/>
        </w:rPr>
      </w:pPr>
      <w:r w:rsidRPr="00C04884">
        <w:rPr>
          <w:noProof/>
        </w:rPr>
        <w:drawing>
          <wp:inline distT="0" distB="0" distL="0" distR="0" wp14:anchorId="1E55A7DA" wp14:editId="57150E4E">
            <wp:extent cx="5760720" cy="2880000"/>
            <wp:effectExtent l="0" t="0" r="11430" b="15875"/>
            <wp:docPr id="479589283" name="Grafiek 1">
              <a:extLst xmlns:a="http://schemas.openxmlformats.org/drawingml/2006/main">
                <a:ext uri="{FF2B5EF4-FFF2-40B4-BE49-F238E27FC236}">
                  <a16:creationId xmlns:a16="http://schemas.microsoft.com/office/drawing/2014/main" id="{9979BF26-18D3-DA31-B69F-2BB94DE2F6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D179C" w:rsidP="004D179C" w:rsidRDefault="004D179C" w14:paraId="337B74BB" w14:textId="77777777">
      <w:pPr>
        <w:rPr>
          <w:rFonts w:eastAsiaTheme="minorEastAsia"/>
          <w:szCs w:val="18"/>
        </w:rPr>
      </w:pPr>
      <w:r w:rsidRPr="00C04884">
        <w:rPr>
          <w:rFonts w:eastAsiaTheme="minorEastAsia"/>
          <w:szCs w:val="18"/>
        </w:rPr>
        <w:t>Bron: Leerlingenvragenlijst mei-juli 2025.</w:t>
      </w:r>
    </w:p>
    <w:p w:rsidRPr="00C04884" w:rsidR="001C5E92" w:rsidP="004D179C" w:rsidRDefault="001C5E92" w14:paraId="58F7EF44" w14:textId="77777777">
      <w:pPr>
        <w:rPr>
          <w:rFonts w:eastAsiaTheme="minorEastAsia"/>
          <w:szCs w:val="18"/>
          <w:highlight w:val="yellow"/>
        </w:rPr>
      </w:pPr>
    </w:p>
    <w:p w:rsidR="004D179C" w:rsidP="004D179C" w:rsidRDefault="004D179C" w14:paraId="2239FDA1" w14:textId="77777777">
      <w:pPr>
        <w:jc w:val="both"/>
        <w:rPr>
          <w:rFonts w:eastAsiaTheme="minorEastAsia"/>
          <w:szCs w:val="18"/>
        </w:rPr>
      </w:pPr>
      <w:r w:rsidRPr="00C04884">
        <w:rPr>
          <w:rFonts w:eastAsiaTheme="minorEastAsia"/>
          <w:szCs w:val="18"/>
        </w:rPr>
        <w:t xml:space="preserve">Deze figuur laat zien dat het merendeel van de bovenbouwleerlingen (7 op de 10) vindt dat hun techniekleraren letten op wat zij goed en minder goed kunnen. Eenzelfde aandeel vindt dat leraren goed omgaan met de leerlingen en duidelijk uitleggen. Een iets kleiner aandeel (6 op de 10) is van mening dat leraren hen helpen om hun best te doen en voldoende tijd hebben. Deze percentages hebben betrekking op de antwoordopties ‘zeker wel’ en ‘meestal wel’. Leerlingen die deze opties niet kozen, gaven meestal aan dat dit ‘soms wel, soms niet’ het geval is. De optie ‘zeker of meestal niet’ werd bij alle vragen door vijf procent of minder van de leerlingen gebruikt. </w:t>
      </w:r>
      <w:r>
        <w:rPr>
          <w:rFonts w:eastAsiaTheme="minorEastAsia"/>
          <w:szCs w:val="18"/>
        </w:rPr>
        <w:t>Deze vraag over leraren is overgenomen uit de LAKS-monitor (2024) waardoor we deze resultaten kunnen vergelijken met het landelijk beeld</w:t>
      </w:r>
      <w:r>
        <w:rPr>
          <w:rStyle w:val="Voetnootmarkering"/>
          <w:rFonts w:eastAsiaTheme="minorEastAsia"/>
          <w:szCs w:val="18"/>
        </w:rPr>
        <w:footnoteReference w:id="7"/>
      </w:r>
      <w:r>
        <w:rPr>
          <w:rFonts w:eastAsiaTheme="minorEastAsia"/>
          <w:szCs w:val="18"/>
        </w:rPr>
        <w:t xml:space="preserve">. Het landelijk beeld laat zien dat van leerlingen in vmbo basis, kader, gl en tl gemiddeld 51 tot 62 procent positief zijn over hun leraren. Onder de leerlingen met een technisch profiel in onze enquête is aandeel dat hoger: gemiddeld 65 procent is positief. </w:t>
      </w:r>
    </w:p>
    <w:p w:rsidRPr="00C04884" w:rsidR="001C5E92" w:rsidP="004D179C" w:rsidRDefault="001C5E92" w14:paraId="178C92FA" w14:textId="77777777">
      <w:pPr>
        <w:jc w:val="both"/>
        <w:rPr>
          <w:rFonts w:eastAsiaTheme="minorEastAsia"/>
          <w:szCs w:val="18"/>
        </w:rPr>
      </w:pPr>
    </w:p>
    <w:p w:rsidR="004D179C" w:rsidP="004D179C" w:rsidRDefault="004D179C" w14:paraId="25C3DF35" w14:textId="77777777">
      <w:pPr>
        <w:jc w:val="both"/>
        <w:rPr>
          <w:rFonts w:eastAsiaTheme="minorEastAsia"/>
          <w:szCs w:val="18"/>
        </w:rPr>
      </w:pPr>
      <w:r w:rsidRPr="00C04884">
        <w:rPr>
          <w:rFonts w:eastAsiaTheme="minorEastAsia"/>
          <w:szCs w:val="18"/>
        </w:rPr>
        <w:t>De meeste bovenbouwleerlingen met een technisch profiel of keuzevak zijn positief over de technieklessen en hun docenten. Ze vinden het leuk om praktisch bezig te zijn, ervaren hun leraren/instructeurs als deskundig en ondersteunend, en voelen zich gezien in wat ze wel en niet kunnen. Tegelijkertijd is er een deel van de leerlingen dat neutraal staat tegenover verschillende elementen van de lessen, met name als het gaat om moeilijkheidsgraad.</w:t>
      </w:r>
    </w:p>
    <w:p w:rsidR="004D179C" w:rsidP="004D179C" w:rsidRDefault="004D179C" w14:paraId="6656C64C" w14:textId="77777777">
      <w:pPr>
        <w:jc w:val="both"/>
        <w:rPr>
          <w:rFonts w:eastAsiaTheme="minorEastAsia"/>
          <w:szCs w:val="18"/>
        </w:rPr>
      </w:pPr>
    </w:p>
    <w:p w:rsidRPr="00C04884" w:rsidR="004D179C" w:rsidP="00915646" w:rsidRDefault="004D179C" w14:paraId="2A024DD8" w14:textId="77777777">
      <w:pPr>
        <w:pStyle w:val="Kop2"/>
      </w:pPr>
      <w:bookmarkStart w:name="_Toc203573596" w:id="70"/>
      <w:r w:rsidRPr="00C04884">
        <w:t>Interesse in techniek</w:t>
      </w:r>
      <w:bookmarkEnd w:id="70"/>
    </w:p>
    <w:p w:rsidRPr="00C04884" w:rsidR="004D179C" w:rsidP="004D179C" w:rsidRDefault="004D179C" w14:paraId="35711117" w14:textId="77777777">
      <w:pPr>
        <w:jc w:val="both"/>
        <w:rPr>
          <w:rFonts w:eastAsiaTheme="minorEastAsia"/>
          <w:szCs w:val="18"/>
        </w:rPr>
      </w:pPr>
      <w:r w:rsidRPr="00C04884">
        <w:rPr>
          <w:rFonts w:eastAsiaTheme="minorEastAsia"/>
          <w:szCs w:val="18"/>
        </w:rPr>
        <w:t>STO draagt mogelijk bij aan het ver</w:t>
      </w:r>
      <w:r>
        <w:rPr>
          <w:rFonts w:eastAsiaTheme="minorEastAsia"/>
          <w:szCs w:val="18"/>
        </w:rPr>
        <w:t>hogen</w:t>
      </w:r>
      <w:r w:rsidRPr="00C04884">
        <w:rPr>
          <w:rFonts w:eastAsiaTheme="minorEastAsia"/>
          <w:szCs w:val="18"/>
        </w:rPr>
        <w:t xml:space="preserve"> van de interesse van leerlingen in techniek. Om dit zichtbaar te maken, is gebruikt gemaakt van </w:t>
      </w:r>
      <w:r>
        <w:rPr>
          <w:rFonts w:eastAsiaTheme="minorEastAsia"/>
          <w:szCs w:val="18"/>
        </w:rPr>
        <w:t>een</w:t>
      </w:r>
      <w:r w:rsidRPr="00C04884">
        <w:rPr>
          <w:rFonts w:eastAsiaTheme="minorEastAsia"/>
          <w:szCs w:val="18"/>
        </w:rPr>
        <w:t xml:space="preserve"> vierfasemodel van interesseontwikkeling</w:t>
      </w:r>
      <w:r>
        <w:rPr>
          <w:rFonts w:eastAsiaTheme="minorEastAsia"/>
          <w:szCs w:val="18"/>
        </w:rPr>
        <w:t xml:space="preserve">. </w:t>
      </w:r>
      <w:r w:rsidRPr="00C04884">
        <w:rPr>
          <w:rFonts w:eastAsiaTheme="minorEastAsia"/>
          <w:szCs w:val="18"/>
        </w:rPr>
        <w:t>Dit model onderscheidt vier fasen die elkaar</w:t>
      </w:r>
      <w:r w:rsidRPr="002F7D2B">
        <w:rPr>
          <w:rFonts w:eastAsiaTheme="minorEastAsia"/>
          <w:szCs w:val="18"/>
        </w:rPr>
        <w:t xml:space="preserve"> </w:t>
      </w:r>
      <w:r w:rsidRPr="00C04884">
        <w:rPr>
          <w:rFonts w:eastAsiaTheme="minorEastAsia"/>
          <w:szCs w:val="18"/>
        </w:rPr>
        <w:t xml:space="preserve">logischerwijs opvolgen en toenemende interesseontwikkeling meet. </w:t>
      </w:r>
    </w:p>
    <w:p w:rsidR="001C5E92" w:rsidP="004D179C" w:rsidRDefault="004D179C" w14:paraId="47641C4B" w14:textId="32CB70BF">
      <w:pPr>
        <w:jc w:val="both"/>
        <w:rPr>
          <w:rFonts w:eastAsiaTheme="minorEastAsia"/>
          <w:szCs w:val="18"/>
        </w:rPr>
      </w:pPr>
      <w:r w:rsidRPr="00C04884">
        <w:rPr>
          <w:rFonts w:eastAsiaTheme="minorEastAsia"/>
          <w:szCs w:val="18"/>
        </w:rPr>
        <w:lastRenderedPageBreak/>
        <w:t xml:space="preserve">Voordat we de leerlingen indelen in deze vier fasen, kijken we eerst naar de antwoorden op de onderliggende stellingen (zie figuur </w:t>
      </w:r>
      <w:r w:rsidR="00D43399">
        <w:rPr>
          <w:rFonts w:eastAsiaTheme="minorEastAsia"/>
          <w:szCs w:val="18"/>
        </w:rPr>
        <w:t>6</w:t>
      </w:r>
      <w:r w:rsidRPr="00C04884">
        <w:rPr>
          <w:rFonts w:eastAsiaTheme="minorEastAsia"/>
          <w:szCs w:val="18"/>
        </w:rPr>
        <w:t>.</w:t>
      </w:r>
      <w:r w:rsidR="004E4B1F">
        <w:rPr>
          <w:rFonts w:eastAsiaTheme="minorEastAsia"/>
          <w:szCs w:val="18"/>
        </w:rPr>
        <w:t>6</w:t>
      </w:r>
      <w:r w:rsidRPr="00C04884">
        <w:rPr>
          <w:rFonts w:eastAsiaTheme="minorEastAsia"/>
          <w:szCs w:val="18"/>
        </w:rPr>
        <w:t xml:space="preserve">). </w:t>
      </w:r>
    </w:p>
    <w:p w:rsidRPr="00C04884" w:rsidR="001C5E92" w:rsidP="004D179C" w:rsidRDefault="001C5E92" w14:paraId="5F83800B" w14:textId="77777777">
      <w:pPr>
        <w:jc w:val="both"/>
        <w:rPr>
          <w:rFonts w:eastAsiaTheme="minorEastAsia"/>
          <w:szCs w:val="18"/>
        </w:rPr>
      </w:pPr>
    </w:p>
    <w:p w:rsidRPr="00C04884" w:rsidR="004D179C" w:rsidP="004D179C" w:rsidRDefault="004D179C" w14:paraId="77C6B9EA" w14:textId="2C34E9FD">
      <w:pPr>
        <w:rPr>
          <w:rFonts w:eastAsiaTheme="minorEastAsia"/>
          <w:szCs w:val="18"/>
        </w:rPr>
      </w:pPr>
      <w:r w:rsidRPr="00C04884">
        <w:rPr>
          <w:rFonts w:eastAsiaTheme="minorEastAsia"/>
          <w:szCs w:val="18"/>
        </w:rPr>
        <w:t xml:space="preserve">Figuur </w:t>
      </w:r>
      <w:r w:rsidR="00D43399">
        <w:rPr>
          <w:rFonts w:eastAsiaTheme="minorEastAsia"/>
          <w:szCs w:val="18"/>
        </w:rPr>
        <w:t>6</w:t>
      </w:r>
      <w:r w:rsidRPr="00C04884">
        <w:rPr>
          <w:rFonts w:eastAsiaTheme="minorEastAsia"/>
          <w:szCs w:val="18"/>
        </w:rPr>
        <w:t>.</w:t>
      </w:r>
      <w:r w:rsidR="00D43F8C">
        <w:rPr>
          <w:rFonts w:eastAsiaTheme="minorEastAsia"/>
          <w:szCs w:val="18"/>
        </w:rPr>
        <w:t>6</w:t>
      </w:r>
      <w:r w:rsidRPr="00C04884">
        <w:rPr>
          <w:rFonts w:eastAsiaTheme="minorEastAsia"/>
          <w:szCs w:val="18"/>
        </w:rPr>
        <w:t xml:space="preserve"> Interesse in techniek (N=888)</w:t>
      </w:r>
    </w:p>
    <w:p w:rsidRPr="00C04884" w:rsidR="004D179C" w:rsidP="004D179C" w:rsidRDefault="004D179C" w14:paraId="1DD732F5" w14:textId="77777777">
      <w:pPr>
        <w:rPr>
          <w:rFonts w:eastAsiaTheme="minorEastAsia"/>
          <w:szCs w:val="18"/>
          <w:highlight w:val="yellow"/>
        </w:rPr>
      </w:pPr>
      <w:r w:rsidRPr="00C04884">
        <w:rPr>
          <w:noProof/>
        </w:rPr>
        <w:drawing>
          <wp:inline distT="0" distB="0" distL="0" distR="0" wp14:anchorId="5DD2B929" wp14:editId="781654EC">
            <wp:extent cx="5760720" cy="4991100"/>
            <wp:effectExtent l="0" t="0" r="11430" b="0"/>
            <wp:docPr id="1924116065" name="Grafiek 1">
              <a:extLst xmlns:a="http://schemas.openxmlformats.org/drawingml/2006/main">
                <a:ext uri="{FF2B5EF4-FFF2-40B4-BE49-F238E27FC236}">
                  <a16:creationId xmlns:a16="http://schemas.microsoft.com/office/drawing/2014/main" id="{0F49D289-BF2C-0BAE-9242-0E1EEDECB7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D179C" w:rsidP="004D179C" w:rsidRDefault="004D179C" w14:paraId="63CA98AC" w14:textId="77777777">
      <w:pPr>
        <w:rPr>
          <w:rFonts w:eastAsiaTheme="minorEastAsia"/>
          <w:szCs w:val="18"/>
        </w:rPr>
      </w:pPr>
      <w:r w:rsidRPr="00C04884">
        <w:rPr>
          <w:rFonts w:eastAsiaTheme="minorEastAsia"/>
          <w:szCs w:val="18"/>
        </w:rPr>
        <w:t>Bron: Leerlingenvragenlijst mei-juli 2025.</w:t>
      </w:r>
    </w:p>
    <w:p w:rsidRPr="00C04884" w:rsidR="001C5E92" w:rsidP="004D179C" w:rsidRDefault="001C5E92" w14:paraId="2C942930" w14:textId="77777777">
      <w:pPr>
        <w:rPr>
          <w:rFonts w:eastAsiaTheme="minorEastAsia"/>
          <w:szCs w:val="18"/>
        </w:rPr>
      </w:pPr>
    </w:p>
    <w:p w:rsidR="004D179C" w:rsidP="004D179C" w:rsidRDefault="004D179C" w14:paraId="6E4FFD1C" w14:textId="77777777">
      <w:pPr>
        <w:jc w:val="both"/>
        <w:rPr>
          <w:rFonts w:eastAsiaTheme="minorEastAsia"/>
          <w:szCs w:val="18"/>
        </w:rPr>
      </w:pPr>
      <w:r w:rsidRPr="625A0593">
        <w:rPr>
          <w:rFonts w:eastAsiaTheme="minorEastAsia"/>
          <w:szCs w:val="18"/>
        </w:rPr>
        <w:t xml:space="preserve">Het merendeel van de leerlingen (6 op de 10) geeft aan het soms of (bijna) altijd leuk te vinden om te luisteren naar iemand die enthousiast over techniek praat, of nieuwsgierig te zijn naar techniekprojecten op school. Het overige deel (4 op de 10) geeft aan dit (bijna) nooit te hebben. Het aanwakkeren van interesse in techniek door het kijken van filmpjes wordt door de helft van de leerlingen soms of (bijna) altijd ervaren. Het merendeel van de leerlingen (6 op de 10) zoekt (bijna) nooit zelf meer informatie op als zij iets leuks over techniek zien. Een groot deel (7 op de 10) geeft daarentegen aan het soms of (bijna) altijd leuk te vinden om op school bezig te zijn met techniek. Iets meer dan de helft van de leerlingen geeft aan soms of (bijna) altijd graag te kiezen voor technische vakken en projecten, de andere helft doet dit (bijna) nooit. Eenzelfde deel lost graag technische problemen op ook als het moeilijk is. Leerlingen die graag iets met techniek doen, denken later een technische opleiding te volgen en zich kunnen voorstellen later een technisch beroep te kiezen, zijn in de minderheid (4 op de 10). Het merendeel (6 op de 10) antwoordt hier met (bijna) nooit op. </w:t>
      </w:r>
    </w:p>
    <w:p w:rsidRPr="00C04884" w:rsidR="001C5E92" w:rsidP="004D179C" w:rsidRDefault="001C5E92" w14:paraId="62F1389A" w14:textId="77777777">
      <w:pPr>
        <w:jc w:val="both"/>
        <w:rPr>
          <w:rFonts w:eastAsiaTheme="minorEastAsia"/>
          <w:szCs w:val="18"/>
        </w:rPr>
      </w:pPr>
    </w:p>
    <w:p w:rsidRPr="00C04884" w:rsidR="004D179C" w:rsidP="004D179C" w:rsidRDefault="004D179C" w14:paraId="0DAE1A54" w14:textId="432E7743">
      <w:pPr>
        <w:jc w:val="both"/>
        <w:rPr>
          <w:rFonts w:eastAsiaTheme="minorEastAsia"/>
          <w:szCs w:val="18"/>
        </w:rPr>
      </w:pPr>
      <w:r w:rsidRPr="00C04884">
        <w:rPr>
          <w:rFonts w:eastAsiaTheme="minorEastAsia"/>
          <w:szCs w:val="18"/>
        </w:rPr>
        <w:t xml:space="preserve">De ontwikkelingsfasen zijn gemeten aan de hand van drie stellingen per fase. Voor elke fase is een gemiddelde schaalscore berekend op basis van deze stellingen. Per leerling is vervolgens gekeken bij welke fase de hoogste </w:t>
      </w:r>
      <w:r w:rsidRPr="00C04884">
        <w:rPr>
          <w:rFonts w:eastAsiaTheme="minorEastAsia"/>
          <w:szCs w:val="18"/>
        </w:rPr>
        <w:lastRenderedPageBreak/>
        <w:t xml:space="preserve">gemiddelde score hoort. Die fase is aan de leerling toegekend. Als een leerling bij alle fasen een lage gemiddelde score had (&lt; 2,5 op een schaal die loopt tot 5), is deze ingedeeld in de categorie ‘geen interesse’. Figuur </w:t>
      </w:r>
      <w:r w:rsidR="00D43399">
        <w:rPr>
          <w:rFonts w:eastAsiaTheme="minorEastAsia"/>
          <w:szCs w:val="18"/>
        </w:rPr>
        <w:t>6</w:t>
      </w:r>
      <w:r w:rsidRPr="00C04884">
        <w:rPr>
          <w:rFonts w:eastAsiaTheme="minorEastAsia"/>
          <w:szCs w:val="18"/>
        </w:rPr>
        <w:t>.</w:t>
      </w:r>
      <w:r w:rsidR="004E4B1F">
        <w:rPr>
          <w:rFonts w:eastAsiaTheme="minorEastAsia"/>
          <w:szCs w:val="18"/>
        </w:rPr>
        <w:t>7</w:t>
      </w:r>
      <w:r w:rsidRPr="00C04884">
        <w:rPr>
          <w:rFonts w:eastAsiaTheme="minorEastAsia"/>
          <w:szCs w:val="18"/>
        </w:rPr>
        <w:t xml:space="preserve"> toont de indeling van leerlingen in de fasen.</w:t>
      </w:r>
    </w:p>
    <w:p w:rsidRPr="00C04884" w:rsidR="004D179C" w:rsidP="004D179C" w:rsidRDefault="004D179C" w14:paraId="6B34C56E" w14:textId="77777777">
      <w:pPr>
        <w:jc w:val="both"/>
        <w:rPr>
          <w:rFonts w:eastAsiaTheme="minorEastAsia"/>
          <w:szCs w:val="18"/>
        </w:rPr>
      </w:pPr>
    </w:p>
    <w:p w:rsidRPr="00C04884" w:rsidR="004D179C" w:rsidP="004D179C" w:rsidRDefault="004D179C" w14:paraId="628700A6" w14:textId="61AC4E0F">
      <w:pPr>
        <w:rPr>
          <w:rFonts w:eastAsiaTheme="minorEastAsia"/>
          <w:szCs w:val="18"/>
        </w:rPr>
      </w:pPr>
      <w:r w:rsidRPr="00C04884">
        <w:rPr>
          <w:rFonts w:eastAsiaTheme="minorEastAsia"/>
          <w:szCs w:val="18"/>
        </w:rPr>
        <w:t xml:space="preserve">Figuur </w:t>
      </w:r>
      <w:r w:rsidR="00D43399">
        <w:rPr>
          <w:rFonts w:eastAsiaTheme="minorEastAsia"/>
          <w:szCs w:val="18"/>
        </w:rPr>
        <w:t>6</w:t>
      </w:r>
      <w:r w:rsidRPr="00C04884">
        <w:rPr>
          <w:rFonts w:eastAsiaTheme="minorEastAsia"/>
          <w:szCs w:val="18"/>
        </w:rPr>
        <w:t>.</w:t>
      </w:r>
      <w:r w:rsidR="00D43F8C">
        <w:rPr>
          <w:rFonts w:eastAsiaTheme="minorEastAsia"/>
          <w:szCs w:val="18"/>
        </w:rPr>
        <w:t xml:space="preserve">7 </w:t>
      </w:r>
      <w:r w:rsidRPr="00C04884">
        <w:rPr>
          <w:rFonts w:eastAsiaTheme="minorEastAsia"/>
          <w:szCs w:val="18"/>
        </w:rPr>
        <w:t xml:space="preserve">Indeling leerlingen in fasen van interesseontwikkeling (N=888) </w:t>
      </w:r>
    </w:p>
    <w:p w:rsidRPr="00C04884" w:rsidR="004D179C" w:rsidP="004D179C" w:rsidRDefault="004D179C" w14:paraId="7030CB86" w14:textId="77777777">
      <w:r w:rsidRPr="00C04884">
        <w:rPr>
          <w:noProof/>
        </w:rPr>
        <w:drawing>
          <wp:inline distT="0" distB="0" distL="0" distR="0" wp14:anchorId="0BC4EBAE" wp14:editId="1C923520">
            <wp:extent cx="4277802" cy="2981325"/>
            <wp:effectExtent l="0" t="0" r="8890" b="9525"/>
            <wp:docPr id="1153671543" name="Grafiek 1">
              <a:extLst xmlns:a="http://schemas.openxmlformats.org/drawingml/2006/main">
                <a:ext uri="{FF2B5EF4-FFF2-40B4-BE49-F238E27FC236}">
                  <a16:creationId xmlns:a16="http://schemas.microsoft.com/office/drawing/2014/main" id="{918DC9B1-83F2-D004-9078-6E58B465AF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D179C" w:rsidP="004D179C" w:rsidRDefault="004D179C" w14:paraId="1AFCD11D" w14:textId="77777777">
      <w:pPr>
        <w:rPr>
          <w:rFonts w:eastAsiaTheme="minorEastAsia"/>
          <w:szCs w:val="18"/>
        </w:rPr>
      </w:pPr>
      <w:r w:rsidRPr="00C04884">
        <w:rPr>
          <w:rFonts w:eastAsiaTheme="minorEastAsia"/>
          <w:szCs w:val="18"/>
        </w:rPr>
        <w:t xml:space="preserve">Bron: Leerlingenvragenlijst mei-juli 2025. </w:t>
      </w:r>
    </w:p>
    <w:p w:rsidRPr="00C04884" w:rsidR="00D43399" w:rsidP="004D179C" w:rsidRDefault="00D43399" w14:paraId="0AAFB74F" w14:textId="77777777">
      <w:pPr>
        <w:rPr>
          <w:rFonts w:eastAsiaTheme="minorEastAsia"/>
          <w:szCs w:val="18"/>
        </w:rPr>
      </w:pPr>
    </w:p>
    <w:p w:rsidR="004D179C" w:rsidP="004D179C" w:rsidRDefault="004D179C" w14:paraId="6FEEFBB5" w14:textId="18225AEE">
      <w:pPr>
        <w:jc w:val="both"/>
        <w:rPr>
          <w:rFonts w:eastAsiaTheme="minorEastAsia"/>
          <w:szCs w:val="18"/>
        </w:rPr>
      </w:pPr>
      <w:r w:rsidRPr="625A0593">
        <w:rPr>
          <w:rFonts w:eastAsiaTheme="minorEastAsia"/>
          <w:szCs w:val="18"/>
        </w:rPr>
        <w:t>Bij een derde van de leerlingen (3 op de 10) zien we geen interesseontwikkeling terug; deze lijken dus geen enkele vorm van interesse in techniek te ervaren. Daar staat tegenover dat meer dan 40 procent van de leerlingen in fase 3 of 4 zitten. Dit betekent dat, als het sprake is van interesseontwikkeling, dit veelal verdergaande ontwikkeling is. Het overige deel (1 op de 10) zit in fase 1 of 2.</w:t>
      </w:r>
    </w:p>
    <w:p w:rsidRPr="00C04884" w:rsidR="001C5E92" w:rsidP="004D179C" w:rsidRDefault="001C5E92" w14:paraId="5F3C06FA" w14:textId="77777777">
      <w:pPr>
        <w:jc w:val="both"/>
        <w:rPr>
          <w:rFonts w:eastAsiaTheme="minorEastAsia"/>
          <w:szCs w:val="18"/>
        </w:rPr>
      </w:pPr>
    </w:p>
    <w:p w:rsidR="004D179C" w:rsidP="004D179C" w:rsidRDefault="004D179C" w14:paraId="3E3B351B" w14:textId="2DE0C167">
      <w:pPr>
        <w:jc w:val="both"/>
        <w:rPr>
          <w:rFonts w:eastAsiaTheme="minorEastAsia"/>
          <w:szCs w:val="18"/>
        </w:rPr>
      </w:pPr>
      <w:r w:rsidRPr="625A0593">
        <w:rPr>
          <w:rFonts w:eastAsiaTheme="minorEastAsia"/>
          <w:szCs w:val="18"/>
        </w:rPr>
        <w:t xml:space="preserve">Om beter inzicht te krijgen in de interesseontwikkeling, hebben we een uitsplitsing gemaakt naar leerlingen uit de onderbouw, uit de bovenbouw met een technisch profiel of keuzevak, en uit de bovenbouw zonder technisch profiel of keuzevak (zie tabel </w:t>
      </w:r>
      <w:r w:rsidR="004E4B1F">
        <w:rPr>
          <w:rFonts w:eastAsiaTheme="minorEastAsia"/>
          <w:szCs w:val="18"/>
        </w:rPr>
        <w:t>6</w:t>
      </w:r>
      <w:r w:rsidRPr="625A0593">
        <w:rPr>
          <w:rFonts w:eastAsiaTheme="minorEastAsia"/>
          <w:szCs w:val="18"/>
        </w:rPr>
        <w:t xml:space="preserve">.3). </w:t>
      </w:r>
    </w:p>
    <w:p w:rsidRPr="00C04884" w:rsidR="001C5E92" w:rsidP="004D179C" w:rsidRDefault="001C5E92" w14:paraId="061DDC96" w14:textId="77777777">
      <w:pPr>
        <w:jc w:val="both"/>
        <w:rPr>
          <w:rFonts w:eastAsiaTheme="minorEastAsia"/>
          <w:szCs w:val="18"/>
        </w:rPr>
      </w:pPr>
    </w:p>
    <w:p w:rsidRPr="00C04884" w:rsidR="004D179C" w:rsidP="004D179C" w:rsidRDefault="004D179C" w14:paraId="00712B72" w14:textId="70C99587">
      <w:pPr>
        <w:rPr>
          <w:rFonts w:eastAsiaTheme="minorEastAsia"/>
          <w:szCs w:val="18"/>
        </w:rPr>
      </w:pPr>
      <w:r w:rsidRPr="00C04884">
        <w:rPr>
          <w:rFonts w:eastAsiaTheme="minorEastAsia"/>
          <w:szCs w:val="18"/>
        </w:rPr>
        <w:t xml:space="preserve">Tabel </w:t>
      </w:r>
      <w:r w:rsidR="00D43399">
        <w:rPr>
          <w:rFonts w:eastAsiaTheme="minorEastAsia"/>
          <w:szCs w:val="18"/>
        </w:rPr>
        <w:t>6</w:t>
      </w:r>
      <w:r w:rsidRPr="00C04884">
        <w:rPr>
          <w:rFonts w:eastAsiaTheme="minorEastAsia"/>
          <w:szCs w:val="18"/>
        </w:rPr>
        <w:t>.</w:t>
      </w:r>
      <w:r w:rsidR="00D43F8C">
        <w:rPr>
          <w:rFonts w:eastAsiaTheme="minorEastAsia"/>
          <w:szCs w:val="18"/>
        </w:rPr>
        <w:t>4</w:t>
      </w:r>
      <w:r w:rsidRPr="00C04884">
        <w:rPr>
          <w:rFonts w:eastAsiaTheme="minorEastAsia"/>
          <w:szCs w:val="18"/>
        </w:rPr>
        <w:t xml:space="preserve"> Indeling leerlingen in fasen van interesseontwikkeling uitgesplitst naar onderbouw, bovenbouw technisch profiel of keuzevak, bovenbouw geen technisch profiel of keuzevak</w:t>
      </w:r>
    </w:p>
    <w:tbl>
      <w:tblPr>
        <w:tblStyle w:val="Onopgemaaktetabel2"/>
        <w:tblW w:w="0" w:type="auto"/>
        <w:tblLook w:val="06A0" w:firstRow="1" w:lastRow="0" w:firstColumn="1" w:lastColumn="0" w:noHBand="1" w:noVBand="1"/>
      </w:tblPr>
      <w:tblGrid>
        <w:gridCol w:w="1212"/>
        <w:gridCol w:w="1596"/>
        <w:gridCol w:w="3293"/>
        <w:gridCol w:w="3037"/>
        <w:gridCol w:w="222"/>
      </w:tblGrid>
      <w:tr w:rsidRPr="00C04884" w:rsidR="004D179C" w:rsidTr="001E4A94" w14:paraId="4AD39A85" w14:textId="77777777">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tcPr>
          <w:p w:rsidRPr="00C04884" w:rsidR="004D179C" w:rsidP="001E4A94" w:rsidRDefault="004D179C" w14:paraId="109C77B4" w14:textId="77777777">
            <w:pPr>
              <w:rPr>
                <w:szCs w:val="18"/>
              </w:rPr>
            </w:pPr>
          </w:p>
        </w:tc>
        <w:tc>
          <w:tcPr>
            <w:tcW w:w="0" w:type="auto"/>
          </w:tcPr>
          <w:p w:rsidRPr="00C04884" w:rsidR="004D179C" w:rsidP="001E4A94" w:rsidRDefault="004D179C" w14:paraId="5DA8EC36" w14:textId="77777777">
            <w:pPr>
              <w:jc w:val="right"/>
              <w:cnfStyle w:val="100000000000" w:firstRow="1"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C04884">
              <w:rPr>
                <w:rFonts w:eastAsia="Calibri" w:cs="Calibri"/>
                <w:color w:val="000000" w:themeColor="text1"/>
                <w:szCs w:val="18"/>
              </w:rPr>
              <w:t>Onderbouw (N=718)</w:t>
            </w:r>
          </w:p>
        </w:tc>
        <w:tc>
          <w:tcPr>
            <w:tcW w:w="0" w:type="auto"/>
          </w:tcPr>
          <w:p w:rsidRPr="00C04884" w:rsidR="004D179C" w:rsidP="001E4A94" w:rsidRDefault="004D179C" w14:paraId="347AC552" w14:textId="77777777">
            <w:pPr>
              <w:jc w:val="right"/>
              <w:cnfStyle w:val="100000000000" w:firstRow="1"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C04884">
              <w:rPr>
                <w:rFonts w:eastAsia="Calibri" w:cs="Calibri"/>
                <w:color w:val="000000" w:themeColor="text1"/>
                <w:szCs w:val="18"/>
              </w:rPr>
              <w:t>Bovenbouw (geen technisch profiel of keuzevak) (N=73)</w:t>
            </w:r>
          </w:p>
        </w:tc>
        <w:tc>
          <w:tcPr>
            <w:tcW w:w="0" w:type="auto"/>
          </w:tcPr>
          <w:p w:rsidRPr="00C04884" w:rsidR="004D179C" w:rsidP="001E4A94" w:rsidRDefault="004D179C" w14:paraId="64F0B9F2" w14:textId="77777777">
            <w:pPr>
              <w:jc w:val="right"/>
              <w:cnfStyle w:val="100000000000" w:firstRow="1"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C04884">
              <w:rPr>
                <w:rFonts w:eastAsia="Calibri" w:cs="Calibri"/>
                <w:color w:val="000000" w:themeColor="text1"/>
                <w:szCs w:val="18"/>
              </w:rPr>
              <w:t>Bovenbouw (technisch profiel of keuzevak) (N=96)</w:t>
            </w:r>
          </w:p>
        </w:tc>
        <w:tc>
          <w:tcPr>
            <w:tcW w:w="0" w:type="auto"/>
          </w:tcPr>
          <w:p w:rsidRPr="00C04884" w:rsidR="004D179C" w:rsidP="001E4A94" w:rsidRDefault="004D179C" w14:paraId="021A6CFB" w14:textId="77777777">
            <w:pPr>
              <w:jc w:val="right"/>
              <w:cnfStyle w:val="100000000000" w:firstRow="1" w:lastRow="0" w:firstColumn="0" w:lastColumn="0" w:oddVBand="0" w:evenVBand="0" w:oddHBand="0" w:evenHBand="0" w:firstRowFirstColumn="0" w:firstRowLastColumn="0" w:lastRowFirstColumn="0" w:lastRowLastColumn="0"/>
              <w:rPr>
                <w:rFonts w:eastAsia="Calibri" w:cs="Calibri"/>
                <w:color w:val="000000" w:themeColor="text1"/>
                <w:szCs w:val="18"/>
              </w:rPr>
            </w:pPr>
          </w:p>
        </w:tc>
      </w:tr>
      <w:tr w:rsidRPr="00C04884" w:rsidR="004D179C" w:rsidTr="001E4A94" w14:paraId="0173379C"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Pr="00C04884" w:rsidR="004D179C" w:rsidP="001E4A94" w:rsidRDefault="004D179C" w14:paraId="32DBC925" w14:textId="77777777">
            <w:pPr>
              <w:rPr>
                <w:szCs w:val="18"/>
              </w:rPr>
            </w:pPr>
            <w:r w:rsidRPr="00C04884">
              <w:rPr>
                <w:rFonts w:eastAsia="Calibri" w:cs="Calibri"/>
                <w:b w:val="0"/>
                <w:bCs w:val="0"/>
                <w:color w:val="000000" w:themeColor="text1"/>
                <w:szCs w:val="18"/>
              </w:rPr>
              <w:t>Geen interesse</w:t>
            </w:r>
          </w:p>
        </w:tc>
        <w:tc>
          <w:tcPr>
            <w:tcW w:w="0" w:type="auto"/>
          </w:tcPr>
          <w:p w:rsidRPr="00C04884" w:rsidR="004D179C" w:rsidP="001E4A94" w:rsidRDefault="004D179C" w14:paraId="34C05F58"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C04884">
              <w:rPr>
                <w:rFonts w:eastAsia="Calibri" w:cs="Calibri"/>
                <w:color w:val="000000" w:themeColor="text1"/>
                <w:szCs w:val="18"/>
              </w:rPr>
              <w:t>32%</w:t>
            </w:r>
          </w:p>
        </w:tc>
        <w:tc>
          <w:tcPr>
            <w:tcW w:w="0" w:type="auto"/>
          </w:tcPr>
          <w:p w:rsidRPr="00C04884" w:rsidR="004D179C" w:rsidP="001E4A94" w:rsidRDefault="004D179C" w14:paraId="531670B5"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C04884">
              <w:rPr>
                <w:rFonts w:eastAsia="Calibri" w:cs="Calibri"/>
                <w:color w:val="000000" w:themeColor="text1"/>
                <w:szCs w:val="18"/>
              </w:rPr>
              <w:t>70%</w:t>
            </w:r>
          </w:p>
        </w:tc>
        <w:tc>
          <w:tcPr>
            <w:tcW w:w="0" w:type="auto"/>
          </w:tcPr>
          <w:p w:rsidRPr="00C04884" w:rsidR="004D179C" w:rsidP="001E4A94" w:rsidRDefault="004D179C" w14:paraId="1EEEC35F" w14:textId="77777777">
            <w:pPr>
              <w:jc w:val="right"/>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C04884">
              <w:rPr>
                <w:rFonts w:eastAsia="Calibri" w:cs="Calibri"/>
                <w:color w:val="000000" w:themeColor="text1"/>
                <w:szCs w:val="18"/>
              </w:rPr>
              <w:t>6%</w:t>
            </w:r>
          </w:p>
        </w:tc>
        <w:tc>
          <w:tcPr>
            <w:tcW w:w="0" w:type="auto"/>
          </w:tcPr>
          <w:p w:rsidRPr="00C04884" w:rsidR="004D179C" w:rsidP="001E4A94" w:rsidRDefault="004D179C" w14:paraId="48C9D167" w14:textId="77777777">
            <w:pPr>
              <w:jc w:val="right"/>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p>
        </w:tc>
      </w:tr>
      <w:tr w:rsidRPr="00C04884" w:rsidR="004D179C" w:rsidTr="001E4A94" w14:paraId="548A263C"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Pr="00C04884" w:rsidR="004D179C" w:rsidP="001E4A94" w:rsidRDefault="004D179C" w14:paraId="3C291152" w14:textId="77777777">
            <w:pPr>
              <w:rPr>
                <w:szCs w:val="18"/>
              </w:rPr>
            </w:pPr>
            <w:r w:rsidRPr="00C04884">
              <w:rPr>
                <w:rFonts w:eastAsia="Calibri" w:cs="Calibri"/>
                <w:b w:val="0"/>
                <w:bCs w:val="0"/>
                <w:color w:val="000000" w:themeColor="text1"/>
                <w:szCs w:val="18"/>
              </w:rPr>
              <w:t>Fase 1</w:t>
            </w:r>
          </w:p>
        </w:tc>
        <w:tc>
          <w:tcPr>
            <w:tcW w:w="0" w:type="auto"/>
          </w:tcPr>
          <w:p w:rsidRPr="00C04884" w:rsidR="004D179C" w:rsidP="001E4A94" w:rsidRDefault="004D179C" w14:paraId="0E8A52BB"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C04884">
              <w:rPr>
                <w:rFonts w:eastAsia="Calibri" w:cs="Calibri"/>
                <w:color w:val="000000" w:themeColor="text1"/>
                <w:szCs w:val="18"/>
              </w:rPr>
              <w:t>13%</w:t>
            </w:r>
          </w:p>
        </w:tc>
        <w:tc>
          <w:tcPr>
            <w:tcW w:w="0" w:type="auto"/>
          </w:tcPr>
          <w:p w:rsidRPr="00C04884" w:rsidR="004D179C" w:rsidP="001E4A94" w:rsidRDefault="004D179C" w14:paraId="6B948A00"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C04884">
              <w:rPr>
                <w:rFonts w:eastAsia="Calibri" w:cs="Calibri"/>
                <w:color w:val="000000" w:themeColor="text1"/>
                <w:szCs w:val="18"/>
              </w:rPr>
              <w:t>12%</w:t>
            </w:r>
          </w:p>
        </w:tc>
        <w:tc>
          <w:tcPr>
            <w:tcW w:w="0" w:type="auto"/>
          </w:tcPr>
          <w:p w:rsidRPr="00C04884" w:rsidR="004D179C" w:rsidP="001E4A94" w:rsidRDefault="004D179C" w14:paraId="3C7F1970" w14:textId="77777777">
            <w:pPr>
              <w:jc w:val="right"/>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C04884">
              <w:rPr>
                <w:rFonts w:eastAsia="Calibri" w:cs="Calibri"/>
                <w:color w:val="000000" w:themeColor="text1"/>
                <w:szCs w:val="18"/>
              </w:rPr>
              <w:t>10%</w:t>
            </w:r>
          </w:p>
        </w:tc>
        <w:tc>
          <w:tcPr>
            <w:tcW w:w="0" w:type="auto"/>
          </w:tcPr>
          <w:p w:rsidRPr="00C04884" w:rsidR="004D179C" w:rsidP="001E4A94" w:rsidRDefault="004D179C" w14:paraId="72FFA5D7" w14:textId="77777777">
            <w:pPr>
              <w:jc w:val="right"/>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p>
        </w:tc>
      </w:tr>
      <w:tr w:rsidRPr="00C04884" w:rsidR="004D179C" w:rsidTr="001E4A94" w14:paraId="73661771"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Pr="00C04884" w:rsidR="004D179C" w:rsidP="001E4A94" w:rsidRDefault="004D179C" w14:paraId="52E9B2D3" w14:textId="77777777">
            <w:pPr>
              <w:rPr>
                <w:szCs w:val="18"/>
              </w:rPr>
            </w:pPr>
            <w:r w:rsidRPr="00C04884">
              <w:rPr>
                <w:rFonts w:eastAsia="Calibri" w:cs="Calibri"/>
                <w:b w:val="0"/>
                <w:bCs w:val="0"/>
                <w:color w:val="000000" w:themeColor="text1"/>
                <w:szCs w:val="18"/>
              </w:rPr>
              <w:t>Fase 2</w:t>
            </w:r>
          </w:p>
        </w:tc>
        <w:tc>
          <w:tcPr>
            <w:tcW w:w="0" w:type="auto"/>
          </w:tcPr>
          <w:p w:rsidRPr="00C04884" w:rsidR="004D179C" w:rsidP="001E4A94" w:rsidRDefault="004D179C" w14:paraId="6A7E1920"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C04884">
              <w:rPr>
                <w:rFonts w:eastAsia="Calibri" w:cs="Calibri"/>
                <w:color w:val="000000" w:themeColor="text1"/>
                <w:szCs w:val="18"/>
              </w:rPr>
              <w:t>12%</w:t>
            </w:r>
          </w:p>
        </w:tc>
        <w:tc>
          <w:tcPr>
            <w:tcW w:w="0" w:type="auto"/>
          </w:tcPr>
          <w:p w:rsidRPr="00C04884" w:rsidR="004D179C" w:rsidP="001E4A94" w:rsidRDefault="004D179C" w14:paraId="0296BD9D"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C04884">
              <w:rPr>
                <w:rFonts w:eastAsia="Calibri" w:cs="Calibri"/>
                <w:color w:val="000000" w:themeColor="text1"/>
                <w:szCs w:val="18"/>
              </w:rPr>
              <w:t>8%</w:t>
            </w:r>
          </w:p>
        </w:tc>
        <w:tc>
          <w:tcPr>
            <w:tcW w:w="0" w:type="auto"/>
          </w:tcPr>
          <w:p w:rsidRPr="00C04884" w:rsidR="004D179C" w:rsidP="001E4A94" w:rsidRDefault="004D179C" w14:paraId="6BF4F378" w14:textId="77777777">
            <w:pPr>
              <w:jc w:val="right"/>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C04884">
              <w:rPr>
                <w:rFonts w:eastAsia="Calibri" w:cs="Calibri"/>
                <w:color w:val="000000" w:themeColor="text1"/>
                <w:szCs w:val="18"/>
              </w:rPr>
              <w:t>10%</w:t>
            </w:r>
          </w:p>
        </w:tc>
        <w:tc>
          <w:tcPr>
            <w:tcW w:w="0" w:type="auto"/>
          </w:tcPr>
          <w:p w:rsidRPr="00C04884" w:rsidR="004D179C" w:rsidP="001E4A94" w:rsidRDefault="004D179C" w14:paraId="2F2D2EB8" w14:textId="77777777">
            <w:pPr>
              <w:jc w:val="right"/>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p>
        </w:tc>
      </w:tr>
      <w:tr w:rsidRPr="00C04884" w:rsidR="004D179C" w:rsidTr="001E4A94" w14:paraId="47BD042B"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Pr="00C04884" w:rsidR="004D179C" w:rsidP="001E4A94" w:rsidRDefault="004D179C" w14:paraId="2E9E38A5" w14:textId="77777777">
            <w:pPr>
              <w:rPr>
                <w:szCs w:val="18"/>
              </w:rPr>
            </w:pPr>
            <w:r w:rsidRPr="00C04884">
              <w:rPr>
                <w:rFonts w:eastAsia="Calibri" w:cs="Calibri"/>
                <w:b w:val="0"/>
                <w:bCs w:val="0"/>
                <w:color w:val="000000" w:themeColor="text1"/>
                <w:szCs w:val="18"/>
              </w:rPr>
              <w:t>Fase 3</w:t>
            </w:r>
          </w:p>
        </w:tc>
        <w:tc>
          <w:tcPr>
            <w:tcW w:w="0" w:type="auto"/>
          </w:tcPr>
          <w:p w:rsidRPr="00C04884" w:rsidR="004D179C" w:rsidP="001E4A94" w:rsidRDefault="004D179C" w14:paraId="06EFEFAE"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C04884">
              <w:rPr>
                <w:rFonts w:eastAsia="Calibri" w:cs="Calibri"/>
                <w:color w:val="000000" w:themeColor="text1"/>
                <w:szCs w:val="18"/>
              </w:rPr>
              <w:t>26%</w:t>
            </w:r>
          </w:p>
        </w:tc>
        <w:tc>
          <w:tcPr>
            <w:tcW w:w="0" w:type="auto"/>
          </w:tcPr>
          <w:p w:rsidRPr="00C04884" w:rsidR="004D179C" w:rsidP="001E4A94" w:rsidRDefault="004D179C" w14:paraId="3DCAA29B"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C04884">
              <w:rPr>
                <w:rFonts w:eastAsia="Calibri" w:cs="Calibri"/>
                <w:color w:val="000000" w:themeColor="text1"/>
                <w:szCs w:val="18"/>
              </w:rPr>
              <w:t>3%</w:t>
            </w:r>
          </w:p>
        </w:tc>
        <w:tc>
          <w:tcPr>
            <w:tcW w:w="0" w:type="auto"/>
          </w:tcPr>
          <w:p w:rsidRPr="00C04884" w:rsidR="004D179C" w:rsidP="001E4A94" w:rsidRDefault="004D179C" w14:paraId="21CCD739" w14:textId="77777777">
            <w:pPr>
              <w:jc w:val="right"/>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C04884">
              <w:rPr>
                <w:rFonts w:eastAsia="Calibri" w:cs="Calibri"/>
                <w:color w:val="000000" w:themeColor="text1"/>
                <w:szCs w:val="18"/>
              </w:rPr>
              <w:t>25%</w:t>
            </w:r>
          </w:p>
        </w:tc>
        <w:tc>
          <w:tcPr>
            <w:tcW w:w="0" w:type="auto"/>
          </w:tcPr>
          <w:p w:rsidRPr="00C04884" w:rsidR="004D179C" w:rsidP="001E4A94" w:rsidRDefault="004D179C" w14:paraId="4A69610D" w14:textId="77777777">
            <w:pPr>
              <w:jc w:val="right"/>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p>
        </w:tc>
      </w:tr>
      <w:tr w:rsidRPr="00C04884" w:rsidR="004D179C" w:rsidTr="001E4A94" w14:paraId="5F07EC30"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Pr="00C04884" w:rsidR="004D179C" w:rsidP="001E4A94" w:rsidRDefault="004D179C" w14:paraId="3955B44C" w14:textId="77777777">
            <w:pPr>
              <w:rPr>
                <w:szCs w:val="18"/>
              </w:rPr>
            </w:pPr>
            <w:r w:rsidRPr="00C04884">
              <w:rPr>
                <w:rFonts w:eastAsia="Calibri" w:cs="Calibri"/>
                <w:b w:val="0"/>
                <w:bCs w:val="0"/>
                <w:color w:val="000000" w:themeColor="text1"/>
                <w:szCs w:val="18"/>
              </w:rPr>
              <w:t>Fase 4</w:t>
            </w:r>
          </w:p>
        </w:tc>
        <w:tc>
          <w:tcPr>
            <w:tcW w:w="0" w:type="auto"/>
          </w:tcPr>
          <w:p w:rsidRPr="00C04884" w:rsidR="004D179C" w:rsidP="001E4A94" w:rsidRDefault="004D179C" w14:paraId="27F296CF"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C04884">
              <w:rPr>
                <w:rFonts w:eastAsia="Calibri" w:cs="Calibri"/>
                <w:color w:val="000000" w:themeColor="text1"/>
                <w:szCs w:val="18"/>
              </w:rPr>
              <w:t>16%</w:t>
            </w:r>
          </w:p>
        </w:tc>
        <w:tc>
          <w:tcPr>
            <w:tcW w:w="0" w:type="auto"/>
          </w:tcPr>
          <w:p w:rsidRPr="00C04884" w:rsidR="004D179C" w:rsidP="001E4A94" w:rsidRDefault="004D179C" w14:paraId="20905CD1"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C04884">
              <w:rPr>
                <w:rFonts w:eastAsia="Calibri" w:cs="Calibri"/>
                <w:color w:val="000000" w:themeColor="text1"/>
                <w:szCs w:val="18"/>
              </w:rPr>
              <w:t>7%</w:t>
            </w:r>
          </w:p>
        </w:tc>
        <w:tc>
          <w:tcPr>
            <w:tcW w:w="0" w:type="auto"/>
          </w:tcPr>
          <w:p w:rsidRPr="00C04884" w:rsidR="004D179C" w:rsidP="001E4A94" w:rsidRDefault="004D179C" w14:paraId="5D457AB1" w14:textId="77777777">
            <w:pPr>
              <w:jc w:val="right"/>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C04884">
              <w:rPr>
                <w:rFonts w:eastAsia="Calibri" w:cs="Calibri"/>
                <w:color w:val="000000" w:themeColor="text1"/>
                <w:szCs w:val="18"/>
              </w:rPr>
              <w:t>48%</w:t>
            </w:r>
          </w:p>
        </w:tc>
        <w:tc>
          <w:tcPr>
            <w:tcW w:w="0" w:type="auto"/>
          </w:tcPr>
          <w:p w:rsidRPr="00C04884" w:rsidR="004D179C" w:rsidP="001E4A94" w:rsidRDefault="004D179C" w14:paraId="4D80BE0E" w14:textId="77777777">
            <w:pPr>
              <w:jc w:val="right"/>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p>
        </w:tc>
      </w:tr>
    </w:tbl>
    <w:p w:rsidR="004D179C" w:rsidP="004D179C" w:rsidRDefault="004D179C" w14:paraId="4DFCC3C1" w14:textId="77777777">
      <w:pPr>
        <w:rPr>
          <w:rFonts w:eastAsiaTheme="minorEastAsia"/>
          <w:szCs w:val="18"/>
        </w:rPr>
      </w:pPr>
      <w:r w:rsidRPr="00C04884">
        <w:rPr>
          <w:rFonts w:eastAsiaTheme="minorEastAsia"/>
          <w:szCs w:val="18"/>
        </w:rPr>
        <w:t xml:space="preserve">Bron: Leerlingenvragenlijst mei-juli 2025. </w:t>
      </w:r>
    </w:p>
    <w:p w:rsidRPr="00C04884" w:rsidR="001C5E92" w:rsidP="004D179C" w:rsidRDefault="001C5E92" w14:paraId="2C45D39D" w14:textId="77777777">
      <w:pPr>
        <w:rPr>
          <w:rFonts w:eastAsiaTheme="minorEastAsia"/>
          <w:szCs w:val="18"/>
        </w:rPr>
      </w:pPr>
    </w:p>
    <w:p w:rsidR="004D179C" w:rsidP="004D179C" w:rsidRDefault="004D179C" w14:paraId="74EEA68A" w14:textId="77777777">
      <w:pPr>
        <w:jc w:val="both"/>
        <w:rPr>
          <w:rFonts w:eastAsiaTheme="minorEastAsia"/>
          <w:szCs w:val="18"/>
        </w:rPr>
      </w:pPr>
      <w:r w:rsidRPr="00C04884">
        <w:rPr>
          <w:rFonts w:eastAsiaTheme="minorEastAsia"/>
          <w:szCs w:val="18"/>
        </w:rPr>
        <w:lastRenderedPageBreak/>
        <w:t xml:space="preserve">Bij de onderbouwleerlingen zien we dat </w:t>
      </w:r>
      <w:r>
        <w:rPr>
          <w:rFonts w:eastAsiaTheme="minorEastAsia"/>
          <w:szCs w:val="18"/>
        </w:rPr>
        <w:t>een aanzienlijke</w:t>
      </w:r>
      <w:r w:rsidRPr="00C04884">
        <w:rPr>
          <w:rFonts w:eastAsiaTheme="minorEastAsia"/>
          <w:szCs w:val="18"/>
        </w:rPr>
        <w:t xml:space="preserve"> groep leerlingen geen interesse heeft (3 op de 10)</w:t>
      </w:r>
      <w:r>
        <w:rPr>
          <w:rFonts w:eastAsiaTheme="minorEastAsia"/>
          <w:szCs w:val="18"/>
        </w:rPr>
        <w:t>, en het merendeel ervaart een bepaalde mate van interesse (7 op de 10)</w:t>
      </w:r>
      <w:r w:rsidRPr="00C04884">
        <w:rPr>
          <w:rFonts w:eastAsiaTheme="minorEastAsia"/>
          <w:szCs w:val="18"/>
        </w:rPr>
        <w:t xml:space="preserve">. Een kwart van de onderbouwleerlingen zit in fase 3 en een ander groter deel in fase 4 (16 procent). In fase 1 en 2 zitten ruim 10 procent van de leerlingen. </w:t>
      </w:r>
    </w:p>
    <w:p w:rsidRPr="00C04884" w:rsidR="001C5E92" w:rsidP="004D179C" w:rsidRDefault="001C5E92" w14:paraId="168498FC" w14:textId="77777777">
      <w:pPr>
        <w:jc w:val="both"/>
        <w:rPr>
          <w:rFonts w:eastAsiaTheme="minorEastAsia"/>
          <w:szCs w:val="18"/>
        </w:rPr>
      </w:pPr>
    </w:p>
    <w:p w:rsidR="004D179C" w:rsidP="004D179C" w:rsidRDefault="004D179C" w14:paraId="0277FDC3" w14:textId="77777777">
      <w:pPr>
        <w:jc w:val="both"/>
        <w:rPr>
          <w:rFonts w:eastAsiaTheme="minorEastAsia"/>
          <w:szCs w:val="18"/>
        </w:rPr>
      </w:pPr>
      <w:r w:rsidRPr="625A0593">
        <w:rPr>
          <w:rFonts w:eastAsiaTheme="minorEastAsia"/>
          <w:szCs w:val="18"/>
        </w:rPr>
        <w:t xml:space="preserve">De verdeling bij bovenbouwleerlingen met en zonder een technisch profiel of keuzevak ziet er anders uit. Bij bovenbouwleerlingen die geen technisch profiel of keuzevak heeft, heeft het merendeel geen interesse (7 op de 10). Daarnaast zit een deel in fase 1 of 2 (respectievelijk 12 en 8 procent). De rest zit in fase 3 (3 procent) of 4 (7 procent). Zo’n tien procent van de leerlingen in een niet-technisch profiel zijn dus wel sterk geïnteresseerd in techniek. Hier zit dus mogelijk wel potentie voor technische vervolgopleidingen. Bij de bovenbouwleerlingen met een technisch profiel of keuzevak bevindt bijna de helft zich in fase 4 (5 op de 10) en een kwart in fase 3. Een klein deel (1 op de 10) zit in fase 1 of 2. Opmerkelijk genoeg zijn er ook bovenbouwleerlingen met een techniek profiel of keuzevak die geen interesse in techniek hebben (6 procent). </w:t>
      </w:r>
    </w:p>
    <w:p w:rsidRPr="00C04884" w:rsidR="001C5E92" w:rsidP="004D179C" w:rsidRDefault="001C5E92" w14:paraId="78205FA7" w14:textId="77777777">
      <w:pPr>
        <w:jc w:val="both"/>
        <w:rPr>
          <w:rFonts w:eastAsiaTheme="minorEastAsia"/>
          <w:szCs w:val="18"/>
        </w:rPr>
      </w:pPr>
    </w:p>
    <w:p w:rsidR="004D179C" w:rsidP="004D179C" w:rsidRDefault="004D179C" w14:paraId="504EDE9B" w14:textId="77777777">
      <w:pPr>
        <w:jc w:val="both"/>
        <w:rPr>
          <w:rFonts w:eastAsiaTheme="minorEastAsia"/>
          <w:szCs w:val="18"/>
        </w:rPr>
      </w:pPr>
      <w:r w:rsidRPr="625A0593">
        <w:rPr>
          <w:rFonts w:eastAsiaTheme="minorEastAsia"/>
          <w:szCs w:val="18"/>
        </w:rPr>
        <w:t>Al met al varieert de interesse in techniek sterk onder leerlingen, waarbij een groot deel zich in een gevorderde fase van interesseontwikkeling bevindt, maar ook een substantieel deel weinig tot geen interesse heeft. Specifiek zien we dat onderbouwleerlingen relatief verdeeld zijn in hun interesse, terwijl in de bovenbouw vooral leerlingen met een technisch profiel of keuzevak een duidelijke en sterke interesseontwikkeling doormaken en bovenbouwleerlingen zonder technische profiel of keuzevak veelal weinig interesse hebben.</w:t>
      </w:r>
    </w:p>
    <w:p w:rsidRPr="00C04884" w:rsidR="001C5E92" w:rsidP="004D179C" w:rsidRDefault="001C5E92" w14:paraId="3610FA84" w14:textId="77777777">
      <w:pPr>
        <w:jc w:val="both"/>
        <w:rPr>
          <w:rFonts w:eastAsiaTheme="minorEastAsia"/>
          <w:szCs w:val="18"/>
        </w:rPr>
      </w:pPr>
    </w:p>
    <w:p w:rsidRPr="00C04884" w:rsidR="004D179C" w:rsidP="00915646" w:rsidRDefault="004D179C" w14:paraId="7CBEC60F" w14:textId="77777777">
      <w:pPr>
        <w:pStyle w:val="Kop2"/>
      </w:pPr>
      <w:bookmarkStart w:name="_Toc203573597" w:id="71"/>
      <w:r w:rsidRPr="00C04884">
        <w:t>Profielkeuze en vervolgopleiding</w:t>
      </w:r>
      <w:bookmarkEnd w:id="71"/>
    </w:p>
    <w:p w:rsidR="004D179C" w:rsidP="004D179C" w:rsidRDefault="004D179C" w14:paraId="3DC137EB" w14:textId="77777777">
      <w:pPr>
        <w:jc w:val="both"/>
        <w:rPr>
          <w:rFonts w:eastAsiaTheme="minorEastAsia"/>
          <w:szCs w:val="18"/>
        </w:rPr>
      </w:pPr>
      <w:r w:rsidRPr="00C04884">
        <w:rPr>
          <w:rFonts w:eastAsiaTheme="minorEastAsia"/>
          <w:szCs w:val="18"/>
        </w:rPr>
        <w:t xml:space="preserve">Om te onderzoeken of interesse in techniek zich daadwerkelijk vertaalt naar een keuze voor een technisch profiel of een beroepsgerichte opleiding, kijken we naar de profielkeuze in de bovenbouw en de gekozen vervolgopleiding. Daarbij richten we ons op twee aspecten waarop STO probeert in te spelen: 1) de ontwikkeling van interesse, en 2) deelname aan techniekactiviteiten. </w:t>
      </w:r>
    </w:p>
    <w:p w:rsidRPr="00C04884" w:rsidR="004E4B1F" w:rsidP="004D179C" w:rsidRDefault="004E4B1F" w14:paraId="20D86665" w14:textId="77777777">
      <w:pPr>
        <w:jc w:val="both"/>
        <w:rPr>
          <w:rFonts w:eastAsiaTheme="minorEastAsia"/>
          <w:szCs w:val="18"/>
        </w:rPr>
      </w:pPr>
    </w:p>
    <w:p w:rsidR="004D179C" w:rsidP="004D179C" w:rsidRDefault="004D179C" w14:paraId="388AFF9F" w14:textId="3E100CF3">
      <w:pPr>
        <w:jc w:val="both"/>
        <w:rPr>
          <w:rFonts w:eastAsiaTheme="minorEastAsia"/>
          <w:szCs w:val="18"/>
        </w:rPr>
      </w:pPr>
      <w:r w:rsidRPr="00C04884">
        <w:rPr>
          <w:rFonts w:eastAsiaTheme="minorEastAsia"/>
          <w:szCs w:val="18"/>
        </w:rPr>
        <w:t xml:space="preserve">Aangezien bovenbouwleerlingen hun profiel al hebben gekozen, is de vraag welk profiel leerlingen denken te gaan kiezen alleen gesteld aan onderbouwleerlingen. In tabel </w:t>
      </w:r>
      <w:r w:rsidR="003B787A">
        <w:rPr>
          <w:rFonts w:eastAsiaTheme="minorEastAsia"/>
          <w:szCs w:val="18"/>
        </w:rPr>
        <w:t>6</w:t>
      </w:r>
      <w:r w:rsidRPr="00C04884">
        <w:rPr>
          <w:rFonts w:eastAsiaTheme="minorEastAsia"/>
          <w:szCs w:val="18"/>
        </w:rPr>
        <w:t>.</w:t>
      </w:r>
      <w:r w:rsidR="004E4B1F">
        <w:rPr>
          <w:rFonts w:eastAsiaTheme="minorEastAsia"/>
          <w:szCs w:val="18"/>
        </w:rPr>
        <w:t>5</w:t>
      </w:r>
      <w:r w:rsidRPr="00C04884">
        <w:rPr>
          <w:rFonts w:eastAsiaTheme="minorEastAsia"/>
          <w:szCs w:val="18"/>
        </w:rPr>
        <w:t xml:space="preserve"> hebben we een uitsplitsing gemaakt naar de fasen van ontwikkeling. </w:t>
      </w:r>
    </w:p>
    <w:p w:rsidRPr="00C04884" w:rsidR="00D43399" w:rsidP="004D179C" w:rsidRDefault="00D43399" w14:paraId="4A86FCDE" w14:textId="77777777">
      <w:pPr>
        <w:jc w:val="both"/>
        <w:rPr>
          <w:rFonts w:eastAsiaTheme="minorEastAsia"/>
          <w:szCs w:val="18"/>
        </w:rPr>
      </w:pPr>
    </w:p>
    <w:p w:rsidRPr="00C04884" w:rsidR="004D179C" w:rsidP="004D179C" w:rsidRDefault="004D179C" w14:paraId="477D5B04" w14:textId="71097071">
      <w:pPr>
        <w:rPr>
          <w:rFonts w:eastAsiaTheme="minorEastAsia"/>
          <w:szCs w:val="18"/>
        </w:rPr>
      </w:pPr>
      <w:r w:rsidRPr="00C04884">
        <w:rPr>
          <w:rFonts w:eastAsiaTheme="minorEastAsia"/>
          <w:szCs w:val="18"/>
        </w:rPr>
        <w:t xml:space="preserve">Tabel </w:t>
      </w:r>
      <w:r w:rsidR="00D43399">
        <w:rPr>
          <w:rFonts w:eastAsiaTheme="minorEastAsia"/>
          <w:szCs w:val="18"/>
        </w:rPr>
        <w:t>6</w:t>
      </w:r>
      <w:r w:rsidRPr="00C04884">
        <w:rPr>
          <w:rFonts w:eastAsiaTheme="minorEastAsia"/>
          <w:szCs w:val="18"/>
        </w:rPr>
        <w:t>.</w:t>
      </w:r>
      <w:r w:rsidR="00D43F8C">
        <w:rPr>
          <w:rFonts w:eastAsiaTheme="minorEastAsia"/>
          <w:szCs w:val="18"/>
        </w:rPr>
        <w:t>5</w:t>
      </w:r>
      <w:r w:rsidRPr="00C04884">
        <w:rPr>
          <w:rFonts w:eastAsiaTheme="minorEastAsia"/>
          <w:szCs w:val="18"/>
        </w:rPr>
        <w:t xml:space="preserve"> Verwachte profielkeuze van onderbouwleerlingen uitgesplitst naar fasen van interesseontwikkeling</w:t>
      </w:r>
    </w:p>
    <w:tbl>
      <w:tblPr>
        <w:tblStyle w:val="Onopgemaaktetabel2"/>
        <w:tblW w:w="0" w:type="auto"/>
        <w:tblLayout w:type="fixed"/>
        <w:tblLook w:val="06E0" w:firstRow="1" w:lastRow="1" w:firstColumn="1" w:lastColumn="0" w:noHBand="1" w:noVBand="1"/>
      </w:tblPr>
      <w:tblGrid>
        <w:gridCol w:w="2552"/>
        <w:gridCol w:w="1787"/>
        <w:gridCol w:w="1991"/>
      </w:tblGrid>
      <w:tr w:rsidRPr="00C04884" w:rsidR="004D179C" w:rsidTr="001E4A94" w14:paraId="52A602B7"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Pr>
          <w:p w:rsidRPr="00C04884" w:rsidR="004D179C" w:rsidP="001E4A94" w:rsidRDefault="004D179C" w14:paraId="2F1983A4" w14:textId="77777777">
            <w:pPr>
              <w:rPr>
                <w:szCs w:val="18"/>
              </w:rPr>
            </w:pPr>
            <w:r w:rsidRPr="00C04884">
              <w:rPr>
                <w:szCs w:val="18"/>
              </w:rPr>
              <w:t>Profielkeuze (onderbouw) (N=658)</w:t>
            </w:r>
          </w:p>
        </w:tc>
        <w:tc>
          <w:tcPr>
            <w:tcW w:w="1787" w:type="dxa"/>
          </w:tcPr>
          <w:p w:rsidRPr="00C04884" w:rsidR="004D179C" w:rsidP="001E4A94" w:rsidRDefault="004D179C" w14:paraId="00DC0698" w14:textId="77777777">
            <w:pPr>
              <w:cnfStyle w:val="100000000000" w:firstRow="1" w:lastRow="0" w:firstColumn="0" w:lastColumn="0" w:oddVBand="0" w:evenVBand="0" w:oddHBand="0" w:evenHBand="0" w:firstRowFirstColumn="0" w:firstRowLastColumn="0" w:lastRowFirstColumn="0" w:lastRowLastColumn="0"/>
              <w:rPr>
                <w:szCs w:val="18"/>
              </w:rPr>
            </w:pPr>
            <w:r w:rsidRPr="00C04884">
              <w:rPr>
                <w:szCs w:val="18"/>
              </w:rPr>
              <w:t>Geen technisch profiel</w:t>
            </w:r>
          </w:p>
        </w:tc>
        <w:tc>
          <w:tcPr>
            <w:tcW w:w="1991" w:type="dxa"/>
          </w:tcPr>
          <w:p w:rsidRPr="00C04884" w:rsidR="004D179C" w:rsidP="001E4A94" w:rsidRDefault="004D179C" w14:paraId="13F5AACC" w14:textId="77777777">
            <w:pPr>
              <w:cnfStyle w:val="100000000000" w:firstRow="1" w:lastRow="0" w:firstColumn="0" w:lastColumn="0" w:oddVBand="0" w:evenVBand="0" w:oddHBand="0" w:evenHBand="0" w:firstRowFirstColumn="0" w:firstRowLastColumn="0" w:lastRowFirstColumn="0" w:lastRowLastColumn="0"/>
              <w:rPr>
                <w:szCs w:val="18"/>
              </w:rPr>
            </w:pPr>
            <w:r w:rsidRPr="00C04884">
              <w:rPr>
                <w:szCs w:val="18"/>
              </w:rPr>
              <w:t>Technisch profiel</w:t>
            </w:r>
          </w:p>
        </w:tc>
      </w:tr>
      <w:tr w:rsidRPr="00C04884" w:rsidR="004D179C" w:rsidTr="001E4A94" w14:paraId="773C773E" w14:textId="77777777">
        <w:trPr>
          <w:trHeight w:val="300"/>
        </w:trPr>
        <w:tc>
          <w:tcPr>
            <w:cnfStyle w:val="001000000000" w:firstRow="0" w:lastRow="0" w:firstColumn="1" w:lastColumn="0" w:oddVBand="0" w:evenVBand="0" w:oddHBand="0" w:evenHBand="0" w:firstRowFirstColumn="0" w:firstRowLastColumn="0" w:lastRowFirstColumn="0" w:lastRowLastColumn="0"/>
            <w:tcW w:w="2552" w:type="dxa"/>
          </w:tcPr>
          <w:p w:rsidRPr="00C04884" w:rsidR="004D179C" w:rsidP="001E4A94" w:rsidRDefault="004D179C" w14:paraId="45C30B12" w14:textId="77777777">
            <w:pPr>
              <w:rPr>
                <w:b w:val="0"/>
                <w:bCs w:val="0"/>
                <w:szCs w:val="18"/>
              </w:rPr>
            </w:pPr>
            <w:r w:rsidRPr="00C04884">
              <w:rPr>
                <w:b w:val="0"/>
                <w:bCs w:val="0"/>
                <w:szCs w:val="18"/>
              </w:rPr>
              <w:t>Geen interesse</w:t>
            </w:r>
          </w:p>
        </w:tc>
        <w:tc>
          <w:tcPr>
            <w:tcW w:w="1787" w:type="dxa"/>
          </w:tcPr>
          <w:p w:rsidRPr="00C04884" w:rsidR="004D179C" w:rsidP="001E4A94" w:rsidRDefault="004D179C" w14:paraId="668C98F0" w14:textId="77777777">
            <w:pPr>
              <w:cnfStyle w:val="000000000000" w:firstRow="0" w:lastRow="0" w:firstColumn="0" w:lastColumn="0" w:oddVBand="0" w:evenVBand="0" w:oddHBand="0" w:evenHBand="0" w:firstRowFirstColumn="0" w:firstRowLastColumn="0" w:lastRowFirstColumn="0" w:lastRowLastColumn="0"/>
              <w:rPr>
                <w:szCs w:val="18"/>
              </w:rPr>
            </w:pPr>
            <w:r w:rsidRPr="00C04884">
              <w:rPr>
                <w:szCs w:val="18"/>
              </w:rPr>
              <w:t>92%</w:t>
            </w:r>
          </w:p>
        </w:tc>
        <w:tc>
          <w:tcPr>
            <w:tcW w:w="1991" w:type="dxa"/>
          </w:tcPr>
          <w:p w:rsidRPr="00C04884" w:rsidR="004D179C" w:rsidP="001E4A94" w:rsidRDefault="004D179C" w14:paraId="3AD42281" w14:textId="77777777">
            <w:pPr>
              <w:cnfStyle w:val="000000000000" w:firstRow="0" w:lastRow="0" w:firstColumn="0" w:lastColumn="0" w:oddVBand="0" w:evenVBand="0" w:oddHBand="0" w:evenHBand="0" w:firstRowFirstColumn="0" w:firstRowLastColumn="0" w:lastRowFirstColumn="0" w:lastRowLastColumn="0"/>
              <w:rPr>
                <w:szCs w:val="18"/>
              </w:rPr>
            </w:pPr>
            <w:r w:rsidRPr="00C04884">
              <w:rPr>
                <w:szCs w:val="18"/>
              </w:rPr>
              <w:t>8%</w:t>
            </w:r>
          </w:p>
        </w:tc>
      </w:tr>
      <w:tr w:rsidRPr="00C04884" w:rsidR="004D179C" w:rsidTr="001E4A94" w14:paraId="0A22BA92" w14:textId="77777777">
        <w:trPr>
          <w:trHeight w:val="300"/>
        </w:trPr>
        <w:tc>
          <w:tcPr>
            <w:cnfStyle w:val="001000000000" w:firstRow="0" w:lastRow="0" w:firstColumn="1" w:lastColumn="0" w:oddVBand="0" w:evenVBand="0" w:oddHBand="0" w:evenHBand="0" w:firstRowFirstColumn="0" w:firstRowLastColumn="0" w:lastRowFirstColumn="0" w:lastRowLastColumn="0"/>
            <w:tcW w:w="2552" w:type="dxa"/>
          </w:tcPr>
          <w:p w:rsidRPr="00C04884" w:rsidR="004D179C" w:rsidP="001E4A94" w:rsidRDefault="004D179C" w14:paraId="65B77132" w14:textId="77777777">
            <w:pPr>
              <w:rPr>
                <w:b w:val="0"/>
                <w:bCs w:val="0"/>
                <w:szCs w:val="18"/>
              </w:rPr>
            </w:pPr>
            <w:r w:rsidRPr="00C04884">
              <w:rPr>
                <w:b w:val="0"/>
                <w:bCs w:val="0"/>
                <w:szCs w:val="18"/>
              </w:rPr>
              <w:t>Fase 1</w:t>
            </w:r>
          </w:p>
        </w:tc>
        <w:tc>
          <w:tcPr>
            <w:tcW w:w="1787" w:type="dxa"/>
          </w:tcPr>
          <w:p w:rsidRPr="00C04884" w:rsidR="004D179C" w:rsidP="001E4A94" w:rsidRDefault="004D179C" w14:paraId="497E65C1" w14:textId="77777777">
            <w:pPr>
              <w:cnfStyle w:val="000000000000" w:firstRow="0" w:lastRow="0" w:firstColumn="0" w:lastColumn="0" w:oddVBand="0" w:evenVBand="0" w:oddHBand="0" w:evenHBand="0" w:firstRowFirstColumn="0" w:firstRowLastColumn="0" w:lastRowFirstColumn="0" w:lastRowLastColumn="0"/>
              <w:rPr>
                <w:szCs w:val="18"/>
              </w:rPr>
            </w:pPr>
            <w:r w:rsidRPr="00C04884">
              <w:rPr>
                <w:szCs w:val="18"/>
              </w:rPr>
              <w:t>78%</w:t>
            </w:r>
          </w:p>
        </w:tc>
        <w:tc>
          <w:tcPr>
            <w:tcW w:w="1991" w:type="dxa"/>
          </w:tcPr>
          <w:p w:rsidRPr="00C04884" w:rsidR="004D179C" w:rsidP="001E4A94" w:rsidRDefault="004D179C" w14:paraId="111267BF" w14:textId="77777777">
            <w:pPr>
              <w:cnfStyle w:val="000000000000" w:firstRow="0" w:lastRow="0" w:firstColumn="0" w:lastColumn="0" w:oddVBand="0" w:evenVBand="0" w:oddHBand="0" w:evenHBand="0" w:firstRowFirstColumn="0" w:firstRowLastColumn="0" w:lastRowFirstColumn="0" w:lastRowLastColumn="0"/>
              <w:rPr>
                <w:szCs w:val="18"/>
              </w:rPr>
            </w:pPr>
            <w:r w:rsidRPr="00C04884">
              <w:rPr>
                <w:szCs w:val="18"/>
              </w:rPr>
              <w:t>22%</w:t>
            </w:r>
          </w:p>
        </w:tc>
      </w:tr>
      <w:tr w:rsidRPr="00C04884" w:rsidR="004D179C" w:rsidTr="001E4A94" w14:paraId="1F9316D6" w14:textId="77777777">
        <w:trPr>
          <w:trHeight w:val="300"/>
        </w:trPr>
        <w:tc>
          <w:tcPr>
            <w:cnfStyle w:val="001000000000" w:firstRow="0" w:lastRow="0" w:firstColumn="1" w:lastColumn="0" w:oddVBand="0" w:evenVBand="0" w:oddHBand="0" w:evenHBand="0" w:firstRowFirstColumn="0" w:firstRowLastColumn="0" w:lastRowFirstColumn="0" w:lastRowLastColumn="0"/>
            <w:tcW w:w="2552" w:type="dxa"/>
          </w:tcPr>
          <w:p w:rsidRPr="00C04884" w:rsidR="004D179C" w:rsidP="001E4A94" w:rsidRDefault="004D179C" w14:paraId="715C1EA5" w14:textId="77777777">
            <w:pPr>
              <w:rPr>
                <w:b w:val="0"/>
                <w:bCs w:val="0"/>
                <w:szCs w:val="18"/>
              </w:rPr>
            </w:pPr>
            <w:r w:rsidRPr="00C04884">
              <w:rPr>
                <w:b w:val="0"/>
                <w:bCs w:val="0"/>
                <w:szCs w:val="18"/>
              </w:rPr>
              <w:t>Fase 2</w:t>
            </w:r>
          </w:p>
        </w:tc>
        <w:tc>
          <w:tcPr>
            <w:tcW w:w="1787" w:type="dxa"/>
          </w:tcPr>
          <w:p w:rsidRPr="00C04884" w:rsidR="004D179C" w:rsidP="001E4A94" w:rsidRDefault="004D179C" w14:paraId="76109534" w14:textId="77777777">
            <w:pPr>
              <w:cnfStyle w:val="000000000000" w:firstRow="0" w:lastRow="0" w:firstColumn="0" w:lastColumn="0" w:oddVBand="0" w:evenVBand="0" w:oddHBand="0" w:evenHBand="0" w:firstRowFirstColumn="0" w:firstRowLastColumn="0" w:lastRowFirstColumn="0" w:lastRowLastColumn="0"/>
              <w:rPr>
                <w:szCs w:val="18"/>
              </w:rPr>
            </w:pPr>
            <w:r w:rsidRPr="00C04884">
              <w:rPr>
                <w:szCs w:val="18"/>
              </w:rPr>
              <w:t>79%</w:t>
            </w:r>
          </w:p>
        </w:tc>
        <w:tc>
          <w:tcPr>
            <w:tcW w:w="1991" w:type="dxa"/>
          </w:tcPr>
          <w:p w:rsidRPr="00C04884" w:rsidR="004D179C" w:rsidP="001E4A94" w:rsidRDefault="004D179C" w14:paraId="7538D011" w14:textId="77777777">
            <w:pPr>
              <w:cnfStyle w:val="000000000000" w:firstRow="0" w:lastRow="0" w:firstColumn="0" w:lastColumn="0" w:oddVBand="0" w:evenVBand="0" w:oddHBand="0" w:evenHBand="0" w:firstRowFirstColumn="0" w:firstRowLastColumn="0" w:lastRowFirstColumn="0" w:lastRowLastColumn="0"/>
              <w:rPr>
                <w:szCs w:val="18"/>
              </w:rPr>
            </w:pPr>
            <w:r w:rsidRPr="00C04884">
              <w:rPr>
                <w:szCs w:val="18"/>
              </w:rPr>
              <w:t>21%</w:t>
            </w:r>
          </w:p>
        </w:tc>
      </w:tr>
      <w:tr w:rsidRPr="00C04884" w:rsidR="004D179C" w:rsidTr="001E4A94" w14:paraId="05478FDD" w14:textId="77777777">
        <w:trPr>
          <w:trHeight w:val="300"/>
        </w:trPr>
        <w:tc>
          <w:tcPr>
            <w:cnfStyle w:val="001000000000" w:firstRow="0" w:lastRow="0" w:firstColumn="1" w:lastColumn="0" w:oddVBand="0" w:evenVBand="0" w:oddHBand="0" w:evenHBand="0" w:firstRowFirstColumn="0" w:firstRowLastColumn="0" w:lastRowFirstColumn="0" w:lastRowLastColumn="0"/>
            <w:tcW w:w="2552" w:type="dxa"/>
          </w:tcPr>
          <w:p w:rsidRPr="00C04884" w:rsidR="004D179C" w:rsidP="001E4A94" w:rsidRDefault="004D179C" w14:paraId="68DFD08E" w14:textId="77777777">
            <w:pPr>
              <w:rPr>
                <w:b w:val="0"/>
                <w:bCs w:val="0"/>
                <w:szCs w:val="18"/>
              </w:rPr>
            </w:pPr>
            <w:r w:rsidRPr="00C04884">
              <w:rPr>
                <w:b w:val="0"/>
                <w:bCs w:val="0"/>
                <w:szCs w:val="18"/>
              </w:rPr>
              <w:t>Fase 3</w:t>
            </w:r>
          </w:p>
        </w:tc>
        <w:tc>
          <w:tcPr>
            <w:tcW w:w="1787" w:type="dxa"/>
          </w:tcPr>
          <w:p w:rsidRPr="00C04884" w:rsidR="004D179C" w:rsidP="001E4A94" w:rsidRDefault="004D179C" w14:paraId="6D50B5FE" w14:textId="77777777">
            <w:pPr>
              <w:cnfStyle w:val="000000000000" w:firstRow="0" w:lastRow="0" w:firstColumn="0" w:lastColumn="0" w:oddVBand="0" w:evenVBand="0" w:oddHBand="0" w:evenHBand="0" w:firstRowFirstColumn="0" w:firstRowLastColumn="0" w:lastRowFirstColumn="0" w:lastRowLastColumn="0"/>
              <w:rPr>
                <w:szCs w:val="18"/>
              </w:rPr>
            </w:pPr>
            <w:r w:rsidRPr="00C04884">
              <w:rPr>
                <w:szCs w:val="18"/>
              </w:rPr>
              <w:t>46%</w:t>
            </w:r>
          </w:p>
        </w:tc>
        <w:tc>
          <w:tcPr>
            <w:tcW w:w="1991" w:type="dxa"/>
          </w:tcPr>
          <w:p w:rsidRPr="00C04884" w:rsidR="004D179C" w:rsidP="001E4A94" w:rsidRDefault="004D179C" w14:paraId="4C62CC61" w14:textId="77777777">
            <w:pPr>
              <w:cnfStyle w:val="000000000000" w:firstRow="0" w:lastRow="0" w:firstColumn="0" w:lastColumn="0" w:oddVBand="0" w:evenVBand="0" w:oddHBand="0" w:evenHBand="0" w:firstRowFirstColumn="0" w:firstRowLastColumn="0" w:lastRowFirstColumn="0" w:lastRowLastColumn="0"/>
              <w:rPr>
                <w:szCs w:val="18"/>
              </w:rPr>
            </w:pPr>
            <w:r w:rsidRPr="00C04884">
              <w:rPr>
                <w:szCs w:val="18"/>
              </w:rPr>
              <w:t>54%</w:t>
            </w:r>
          </w:p>
        </w:tc>
      </w:tr>
      <w:tr w:rsidRPr="00C04884" w:rsidR="004D179C" w:rsidTr="001E4A94" w14:paraId="4D108CAE" w14:textId="77777777">
        <w:trPr>
          <w:trHeight w:val="300"/>
        </w:trPr>
        <w:tc>
          <w:tcPr>
            <w:cnfStyle w:val="001000000000" w:firstRow="0" w:lastRow="0" w:firstColumn="1" w:lastColumn="0" w:oddVBand="0" w:evenVBand="0" w:oddHBand="0" w:evenHBand="0" w:firstRowFirstColumn="0" w:firstRowLastColumn="0" w:lastRowFirstColumn="0" w:lastRowLastColumn="0"/>
            <w:tcW w:w="2552" w:type="dxa"/>
          </w:tcPr>
          <w:p w:rsidRPr="00C04884" w:rsidR="004D179C" w:rsidP="001E4A94" w:rsidRDefault="004D179C" w14:paraId="2566D6F8" w14:textId="77777777">
            <w:pPr>
              <w:rPr>
                <w:b w:val="0"/>
                <w:bCs w:val="0"/>
                <w:szCs w:val="18"/>
              </w:rPr>
            </w:pPr>
            <w:r w:rsidRPr="00C04884">
              <w:rPr>
                <w:b w:val="0"/>
                <w:bCs w:val="0"/>
                <w:szCs w:val="18"/>
              </w:rPr>
              <w:t>Fase 4</w:t>
            </w:r>
          </w:p>
        </w:tc>
        <w:tc>
          <w:tcPr>
            <w:tcW w:w="1787" w:type="dxa"/>
          </w:tcPr>
          <w:p w:rsidRPr="00C04884" w:rsidR="004D179C" w:rsidP="001E4A94" w:rsidRDefault="004D179C" w14:paraId="7551BF15" w14:textId="77777777">
            <w:pPr>
              <w:cnfStyle w:val="000000000000" w:firstRow="0" w:lastRow="0" w:firstColumn="0" w:lastColumn="0" w:oddVBand="0" w:evenVBand="0" w:oddHBand="0" w:evenHBand="0" w:firstRowFirstColumn="0" w:firstRowLastColumn="0" w:lastRowFirstColumn="0" w:lastRowLastColumn="0"/>
              <w:rPr>
                <w:szCs w:val="18"/>
              </w:rPr>
            </w:pPr>
            <w:r w:rsidRPr="00C04884">
              <w:rPr>
                <w:szCs w:val="18"/>
              </w:rPr>
              <w:t>32%</w:t>
            </w:r>
          </w:p>
        </w:tc>
        <w:tc>
          <w:tcPr>
            <w:tcW w:w="1991" w:type="dxa"/>
          </w:tcPr>
          <w:p w:rsidRPr="00C04884" w:rsidR="004D179C" w:rsidP="001E4A94" w:rsidRDefault="004D179C" w14:paraId="5C1C8469" w14:textId="77777777">
            <w:pPr>
              <w:cnfStyle w:val="000000000000" w:firstRow="0" w:lastRow="0" w:firstColumn="0" w:lastColumn="0" w:oddVBand="0" w:evenVBand="0" w:oddHBand="0" w:evenHBand="0" w:firstRowFirstColumn="0" w:firstRowLastColumn="0" w:lastRowFirstColumn="0" w:lastRowLastColumn="0"/>
              <w:rPr>
                <w:szCs w:val="18"/>
              </w:rPr>
            </w:pPr>
            <w:r w:rsidRPr="00C04884">
              <w:rPr>
                <w:szCs w:val="18"/>
              </w:rPr>
              <w:t>68%</w:t>
            </w:r>
          </w:p>
        </w:tc>
      </w:tr>
      <w:tr w:rsidRPr="00C04884" w:rsidR="004D179C" w:rsidTr="001E4A94" w14:paraId="7E77A2B6" w14:textId="77777777">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Pr>
          <w:p w:rsidRPr="00C04884" w:rsidR="004D179C" w:rsidP="001E4A94" w:rsidRDefault="004D179C" w14:paraId="0EF1D591" w14:textId="77777777">
            <w:pPr>
              <w:rPr>
                <w:szCs w:val="18"/>
              </w:rPr>
            </w:pPr>
            <w:r w:rsidRPr="00C04884">
              <w:rPr>
                <w:szCs w:val="18"/>
              </w:rPr>
              <w:t>Totaal</w:t>
            </w:r>
          </w:p>
        </w:tc>
        <w:tc>
          <w:tcPr>
            <w:tcW w:w="1787" w:type="dxa"/>
          </w:tcPr>
          <w:p w:rsidRPr="00C04884" w:rsidR="004D179C" w:rsidP="001E4A94" w:rsidRDefault="004D179C" w14:paraId="6E9AD3CB" w14:textId="77777777">
            <w:pPr>
              <w:cnfStyle w:val="010000000000" w:firstRow="0" w:lastRow="1" w:firstColumn="0" w:lastColumn="0" w:oddVBand="0" w:evenVBand="0" w:oddHBand="0" w:evenHBand="0" w:firstRowFirstColumn="0" w:firstRowLastColumn="0" w:lastRowFirstColumn="0" w:lastRowLastColumn="0"/>
              <w:rPr>
                <w:szCs w:val="18"/>
              </w:rPr>
            </w:pPr>
            <w:r w:rsidRPr="00C04884">
              <w:rPr>
                <w:szCs w:val="18"/>
              </w:rPr>
              <w:t>67%</w:t>
            </w:r>
          </w:p>
        </w:tc>
        <w:tc>
          <w:tcPr>
            <w:tcW w:w="1991" w:type="dxa"/>
          </w:tcPr>
          <w:p w:rsidRPr="00C04884" w:rsidR="004D179C" w:rsidP="001E4A94" w:rsidRDefault="004D179C" w14:paraId="44BC14D2" w14:textId="77777777">
            <w:pPr>
              <w:cnfStyle w:val="010000000000" w:firstRow="0" w:lastRow="1" w:firstColumn="0" w:lastColumn="0" w:oddVBand="0" w:evenVBand="0" w:oddHBand="0" w:evenHBand="0" w:firstRowFirstColumn="0" w:firstRowLastColumn="0" w:lastRowFirstColumn="0" w:lastRowLastColumn="0"/>
              <w:rPr>
                <w:szCs w:val="18"/>
              </w:rPr>
            </w:pPr>
            <w:r w:rsidRPr="00C04884">
              <w:rPr>
                <w:szCs w:val="18"/>
              </w:rPr>
              <w:t>33%</w:t>
            </w:r>
          </w:p>
        </w:tc>
      </w:tr>
    </w:tbl>
    <w:p w:rsidR="004D179C" w:rsidP="004D179C" w:rsidRDefault="004D179C" w14:paraId="4EAA2BEF" w14:textId="77777777">
      <w:pPr>
        <w:rPr>
          <w:rFonts w:eastAsiaTheme="minorEastAsia"/>
          <w:szCs w:val="18"/>
        </w:rPr>
      </w:pPr>
      <w:r w:rsidRPr="00C04884">
        <w:rPr>
          <w:rFonts w:eastAsiaTheme="minorEastAsia"/>
          <w:szCs w:val="18"/>
        </w:rPr>
        <w:t>Bron: Leerlingenvragenlijst mei-juli 2025.</w:t>
      </w:r>
    </w:p>
    <w:p w:rsidRPr="00C04884" w:rsidR="001C5E92" w:rsidP="004D179C" w:rsidRDefault="001C5E92" w14:paraId="50B51A33" w14:textId="77777777">
      <w:pPr>
        <w:rPr>
          <w:rFonts w:eastAsiaTheme="minorEastAsia"/>
          <w:szCs w:val="18"/>
        </w:rPr>
      </w:pPr>
    </w:p>
    <w:p w:rsidRPr="00C04884" w:rsidR="004D179C" w:rsidP="004D179C" w:rsidRDefault="004D179C" w14:paraId="71644790" w14:textId="77777777">
      <w:pPr>
        <w:jc w:val="both"/>
        <w:rPr>
          <w:rFonts w:eastAsiaTheme="minorEastAsia"/>
          <w:szCs w:val="18"/>
        </w:rPr>
      </w:pPr>
      <w:r w:rsidRPr="00C04884">
        <w:rPr>
          <w:rFonts w:eastAsiaTheme="minorEastAsia"/>
          <w:szCs w:val="18"/>
        </w:rPr>
        <w:t xml:space="preserve">Van alle onderbouwleerlingen denkt een derde (3 op de 10) een technisch profiel te gaan kiezen. Wanneer we kijken naar de fasen van interesseontwikkeling, zien we dat het merendeel </w:t>
      </w:r>
      <w:r>
        <w:rPr>
          <w:rFonts w:eastAsiaTheme="minorEastAsia"/>
          <w:szCs w:val="18"/>
        </w:rPr>
        <w:t xml:space="preserve">van de leerlingen </w:t>
      </w:r>
      <w:r w:rsidRPr="00C04884">
        <w:rPr>
          <w:rFonts w:eastAsiaTheme="minorEastAsia"/>
          <w:szCs w:val="18"/>
        </w:rPr>
        <w:t xml:space="preserve">dat in fase 3 en 4 zit </w:t>
      </w:r>
      <w:r>
        <w:rPr>
          <w:rFonts w:eastAsiaTheme="minorEastAsia"/>
          <w:szCs w:val="18"/>
        </w:rPr>
        <w:t>wil gaan</w:t>
      </w:r>
      <w:r w:rsidRPr="00C04884">
        <w:rPr>
          <w:rFonts w:eastAsiaTheme="minorEastAsia"/>
          <w:szCs w:val="18"/>
        </w:rPr>
        <w:t xml:space="preserve"> kiezen voor een technisch profiel (respectievelijk 54 en 68 procent). Ongeveer een vijfde (2 op de 10) leerlingen van de leerlingen in fase 1 of 2 denkt een technisch profiel te gaan kiezen. Leerlingen die geen sterke interesse in techniek hebben denken het minst vaak voor een technisch profiel te gaan (bijna 1 op de 10).  </w:t>
      </w:r>
    </w:p>
    <w:p w:rsidR="004D179C" w:rsidP="004D179C" w:rsidRDefault="004D179C" w14:paraId="2F1A540D" w14:textId="77777777">
      <w:pPr>
        <w:rPr>
          <w:rFonts w:eastAsiaTheme="minorEastAsia"/>
          <w:szCs w:val="18"/>
        </w:rPr>
      </w:pPr>
      <w:r>
        <w:rPr>
          <w:rFonts w:eastAsiaTheme="minorEastAsia"/>
          <w:szCs w:val="18"/>
        </w:rPr>
        <w:br w:type="page"/>
      </w:r>
    </w:p>
    <w:p w:rsidR="004D179C" w:rsidP="004D179C" w:rsidRDefault="004D179C" w14:paraId="20175090" w14:textId="0999AD55">
      <w:pPr>
        <w:jc w:val="both"/>
        <w:rPr>
          <w:rFonts w:eastAsiaTheme="minorEastAsia"/>
          <w:szCs w:val="18"/>
        </w:rPr>
      </w:pPr>
      <w:r w:rsidRPr="625A0593">
        <w:rPr>
          <w:rFonts w:eastAsiaTheme="minorEastAsia"/>
          <w:szCs w:val="18"/>
        </w:rPr>
        <w:lastRenderedPageBreak/>
        <w:t xml:space="preserve">De profielkeuze van onderbouwleerlingen is ook uitgesplitst naar deelname aan technische activiteiten </w:t>
      </w:r>
      <w:r>
        <w:rPr>
          <w:rFonts w:eastAsiaTheme="minorEastAsia"/>
          <w:szCs w:val="18"/>
        </w:rPr>
        <w:t>in het po en vo</w:t>
      </w:r>
      <w:r w:rsidRPr="625A0593">
        <w:rPr>
          <w:rFonts w:eastAsiaTheme="minorEastAsia"/>
          <w:szCs w:val="18"/>
        </w:rPr>
        <w:t xml:space="preserve"> (zie tabel </w:t>
      </w:r>
      <w:r w:rsidR="003B787A">
        <w:rPr>
          <w:rFonts w:eastAsiaTheme="minorEastAsia"/>
          <w:szCs w:val="18"/>
        </w:rPr>
        <w:t>6</w:t>
      </w:r>
      <w:r w:rsidRPr="625A0593">
        <w:rPr>
          <w:rFonts w:eastAsiaTheme="minorEastAsia"/>
          <w:szCs w:val="18"/>
        </w:rPr>
        <w:t>.</w:t>
      </w:r>
      <w:r w:rsidR="004E4B1F">
        <w:rPr>
          <w:rFonts w:eastAsiaTheme="minorEastAsia"/>
          <w:szCs w:val="18"/>
        </w:rPr>
        <w:t>6</w:t>
      </w:r>
      <w:r w:rsidRPr="625A0593">
        <w:rPr>
          <w:rFonts w:eastAsiaTheme="minorEastAsia"/>
          <w:szCs w:val="18"/>
        </w:rPr>
        <w:t xml:space="preserve"> en </w:t>
      </w:r>
      <w:r w:rsidR="003B787A">
        <w:rPr>
          <w:rFonts w:eastAsiaTheme="minorEastAsia"/>
          <w:szCs w:val="18"/>
        </w:rPr>
        <w:t>6</w:t>
      </w:r>
      <w:r w:rsidRPr="625A0593">
        <w:rPr>
          <w:rFonts w:eastAsiaTheme="minorEastAsia"/>
          <w:szCs w:val="18"/>
        </w:rPr>
        <w:t>.</w:t>
      </w:r>
      <w:r w:rsidR="004E4B1F">
        <w:rPr>
          <w:rFonts w:eastAsiaTheme="minorEastAsia"/>
          <w:szCs w:val="18"/>
        </w:rPr>
        <w:t>7</w:t>
      </w:r>
      <w:r w:rsidRPr="625A0593">
        <w:rPr>
          <w:rFonts w:eastAsiaTheme="minorEastAsia"/>
          <w:szCs w:val="18"/>
        </w:rPr>
        <w:t xml:space="preserve">). </w:t>
      </w:r>
    </w:p>
    <w:p w:rsidRPr="00C04884" w:rsidR="001C5E92" w:rsidP="004D179C" w:rsidRDefault="001C5E92" w14:paraId="7786D695" w14:textId="77777777">
      <w:pPr>
        <w:jc w:val="both"/>
        <w:rPr>
          <w:rFonts w:eastAsiaTheme="minorEastAsia"/>
          <w:szCs w:val="18"/>
        </w:rPr>
      </w:pPr>
    </w:p>
    <w:p w:rsidRPr="00C04884" w:rsidR="004D179C" w:rsidP="004D179C" w:rsidRDefault="004D179C" w14:paraId="397A75FC" w14:textId="2CA9536C">
      <w:pPr>
        <w:rPr>
          <w:rFonts w:eastAsiaTheme="minorEastAsia"/>
          <w:szCs w:val="18"/>
        </w:rPr>
      </w:pPr>
      <w:r w:rsidRPr="00C04884">
        <w:rPr>
          <w:rFonts w:eastAsiaTheme="minorEastAsia"/>
          <w:szCs w:val="18"/>
        </w:rPr>
        <w:t xml:space="preserve">Tabel </w:t>
      </w:r>
      <w:r w:rsidR="003B787A">
        <w:rPr>
          <w:rFonts w:eastAsiaTheme="minorEastAsia"/>
          <w:szCs w:val="18"/>
        </w:rPr>
        <w:t>6</w:t>
      </w:r>
      <w:r w:rsidRPr="00C04884">
        <w:rPr>
          <w:rFonts w:eastAsiaTheme="minorEastAsia"/>
          <w:szCs w:val="18"/>
        </w:rPr>
        <w:t>.</w:t>
      </w:r>
      <w:r w:rsidR="00D43F8C">
        <w:rPr>
          <w:rFonts w:eastAsiaTheme="minorEastAsia"/>
          <w:szCs w:val="18"/>
        </w:rPr>
        <w:t>6</w:t>
      </w:r>
      <w:r w:rsidRPr="00C04884">
        <w:rPr>
          <w:rFonts w:eastAsiaTheme="minorEastAsia"/>
          <w:szCs w:val="18"/>
        </w:rPr>
        <w:t xml:space="preserve"> Verwachte profielkeuze van onderbouwleerlingen uitgesplitst naar deelname aan een technische activiteit op de basisschool</w:t>
      </w:r>
    </w:p>
    <w:tbl>
      <w:tblPr>
        <w:tblStyle w:val="Onopgemaaktetabel2"/>
        <w:tblW w:w="0" w:type="auto"/>
        <w:tblLayout w:type="fixed"/>
        <w:tblLook w:val="0620" w:firstRow="1" w:lastRow="0" w:firstColumn="0" w:lastColumn="0" w:noHBand="1" w:noVBand="1"/>
      </w:tblPr>
      <w:tblGrid>
        <w:gridCol w:w="3582"/>
        <w:gridCol w:w="2230"/>
        <w:gridCol w:w="1701"/>
      </w:tblGrid>
      <w:tr w:rsidRPr="00C04884" w:rsidR="004D179C" w:rsidTr="001E4A94" w14:paraId="03FB4A52" w14:textId="77777777">
        <w:trPr>
          <w:cnfStyle w:val="100000000000" w:firstRow="1" w:lastRow="0" w:firstColumn="0" w:lastColumn="0" w:oddVBand="0" w:evenVBand="0" w:oddHBand="0" w:evenHBand="0" w:firstRowFirstColumn="0" w:firstRowLastColumn="0" w:lastRowFirstColumn="0" w:lastRowLastColumn="0"/>
          <w:trHeight w:val="315"/>
        </w:trPr>
        <w:tc>
          <w:tcPr>
            <w:tcW w:w="3582" w:type="dxa"/>
          </w:tcPr>
          <w:p w:rsidRPr="00C04884" w:rsidR="004D179C" w:rsidP="001E4A94" w:rsidRDefault="004D179C" w14:paraId="2A0D1DF0" w14:textId="77777777">
            <w:pPr>
              <w:rPr>
                <w:szCs w:val="18"/>
              </w:rPr>
            </w:pPr>
            <w:r w:rsidRPr="00C04884">
              <w:rPr>
                <w:szCs w:val="18"/>
              </w:rPr>
              <w:t xml:space="preserve">Profielkeuze (onderbouw) (N=656) </w:t>
            </w:r>
          </w:p>
        </w:tc>
        <w:tc>
          <w:tcPr>
            <w:tcW w:w="2230" w:type="dxa"/>
          </w:tcPr>
          <w:p w:rsidRPr="00C04884" w:rsidR="004D179C" w:rsidP="001E4A94" w:rsidRDefault="004D179C" w14:paraId="54424E69" w14:textId="77777777">
            <w:pPr>
              <w:rPr>
                <w:szCs w:val="18"/>
              </w:rPr>
            </w:pPr>
            <w:r w:rsidRPr="00C04884">
              <w:rPr>
                <w:szCs w:val="18"/>
              </w:rPr>
              <w:t xml:space="preserve">Geen technisch profiel </w:t>
            </w:r>
          </w:p>
        </w:tc>
        <w:tc>
          <w:tcPr>
            <w:tcW w:w="1701" w:type="dxa"/>
          </w:tcPr>
          <w:p w:rsidRPr="00C04884" w:rsidR="004D179C" w:rsidP="001E4A94" w:rsidRDefault="004D179C" w14:paraId="0EC70443" w14:textId="77777777">
            <w:pPr>
              <w:rPr>
                <w:szCs w:val="18"/>
              </w:rPr>
            </w:pPr>
            <w:r w:rsidRPr="00C04884">
              <w:rPr>
                <w:szCs w:val="18"/>
              </w:rPr>
              <w:t xml:space="preserve">Technisch profiel </w:t>
            </w:r>
          </w:p>
        </w:tc>
      </w:tr>
      <w:tr w:rsidRPr="00C04884" w:rsidR="004D179C" w:rsidTr="001E4A94" w14:paraId="23862AFE" w14:textId="77777777">
        <w:trPr>
          <w:trHeight w:val="265"/>
        </w:trPr>
        <w:tc>
          <w:tcPr>
            <w:tcW w:w="3582" w:type="dxa"/>
          </w:tcPr>
          <w:p w:rsidRPr="00C04884" w:rsidR="004D179C" w:rsidP="001E4A94" w:rsidRDefault="004D179C" w14:paraId="5A5EE64F" w14:textId="77777777">
            <w:pPr>
              <w:rPr>
                <w:szCs w:val="18"/>
              </w:rPr>
            </w:pPr>
            <w:r w:rsidRPr="00C04884">
              <w:rPr>
                <w:szCs w:val="18"/>
              </w:rPr>
              <w:t>Geen deelname aan een technische activiteit op de basisschool</w:t>
            </w:r>
          </w:p>
        </w:tc>
        <w:tc>
          <w:tcPr>
            <w:tcW w:w="2230" w:type="dxa"/>
          </w:tcPr>
          <w:p w:rsidRPr="00C04884" w:rsidR="004D179C" w:rsidP="001E4A94" w:rsidRDefault="004D179C" w14:paraId="05B63939" w14:textId="77777777">
            <w:pPr>
              <w:rPr>
                <w:szCs w:val="18"/>
              </w:rPr>
            </w:pPr>
            <w:r w:rsidRPr="00C04884">
              <w:rPr>
                <w:szCs w:val="18"/>
              </w:rPr>
              <w:t>74%</w:t>
            </w:r>
          </w:p>
        </w:tc>
        <w:tc>
          <w:tcPr>
            <w:tcW w:w="1701" w:type="dxa"/>
          </w:tcPr>
          <w:p w:rsidRPr="00C04884" w:rsidR="004D179C" w:rsidP="001E4A94" w:rsidRDefault="004D179C" w14:paraId="3ABDEEFD" w14:textId="77777777">
            <w:pPr>
              <w:rPr>
                <w:szCs w:val="18"/>
              </w:rPr>
            </w:pPr>
            <w:r w:rsidRPr="00C04884">
              <w:rPr>
                <w:szCs w:val="18"/>
              </w:rPr>
              <w:t>26%</w:t>
            </w:r>
          </w:p>
        </w:tc>
      </w:tr>
      <w:tr w:rsidRPr="00C04884" w:rsidR="004D179C" w:rsidTr="001E4A94" w14:paraId="205FF8C2" w14:textId="77777777">
        <w:trPr>
          <w:trHeight w:val="355"/>
        </w:trPr>
        <w:tc>
          <w:tcPr>
            <w:tcW w:w="3582" w:type="dxa"/>
          </w:tcPr>
          <w:p w:rsidRPr="00C04884" w:rsidR="004D179C" w:rsidP="001E4A94" w:rsidRDefault="004D179C" w14:paraId="6D2C05E6" w14:textId="77777777">
            <w:pPr>
              <w:rPr>
                <w:szCs w:val="18"/>
              </w:rPr>
            </w:pPr>
            <w:r w:rsidRPr="00C04884">
              <w:rPr>
                <w:szCs w:val="18"/>
              </w:rPr>
              <w:t>Deelgenomen aan tenminste één activiteit</w:t>
            </w:r>
          </w:p>
        </w:tc>
        <w:tc>
          <w:tcPr>
            <w:tcW w:w="2230" w:type="dxa"/>
          </w:tcPr>
          <w:p w:rsidRPr="00C04884" w:rsidR="004D179C" w:rsidP="001E4A94" w:rsidRDefault="004D179C" w14:paraId="4CEB282A" w14:textId="77777777">
            <w:pPr>
              <w:rPr>
                <w:szCs w:val="18"/>
              </w:rPr>
            </w:pPr>
            <w:r w:rsidRPr="00C04884">
              <w:rPr>
                <w:szCs w:val="18"/>
              </w:rPr>
              <w:t>62%</w:t>
            </w:r>
          </w:p>
        </w:tc>
        <w:tc>
          <w:tcPr>
            <w:tcW w:w="1701" w:type="dxa"/>
          </w:tcPr>
          <w:p w:rsidRPr="00C04884" w:rsidR="004D179C" w:rsidP="001E4A94" w:rsidRDefault="004D179C" w14:paraId="7470A467" w14:textId="77777777">
            <w:pPr>
              <w:rPr>
                <w:szCs w:val="18"/>
              </w:rPr>
            </w:pPr>
            <w:r w:rsidRPr="00C04884">
              <w:rPr>
                <w:szCs w:val="18"/>
              </w:rPr>
              <w:t>38%</w:t>
            </w:r>
          </w:p>
        </w:tc>
      </w:tr>
    </w:tbl>
    <w:p w:rsidRPr="00C04884" w:rsidR="004D179C" w:rsidP="004D179C" w:rsidRDefault="004D179C" w14:paraId="1CD6EF57" w14:textId="77777777">
      <w:pPr>
        <w:rPr>
          <w:rFonts w:eastAsiaTheme="minorEastAsia"/>
          <w:szCs w:val="18"/>
        </w:rPr>
      </w:pPr>
      <w:r w:rsidRPr="00C04884">
        <w:rPr>
          <w:rFonts w:eastAsiaTheme="minorEastAsia"/>
          <w:szCs w:val="18"/>
        </w:rPr>
        <w:t>Bron: Leerlingenvragenlijst mei-juli 2025.</w:t>
      </w:r>
    </w:p>
    <w:p w:rsidR="004D179C" w:rsidP="004D179C" w:rsidRDefault="004D179C" w14:paraId="7CA88D4E" w14:textId="77777777">
      <w:pPr>
        <w:rPr>
          <w:rFonts w:eastAsiaTheme="minorEastAsia"/>
          <w:szCs w:val="18"/>
        </w:rPr>
      </w:pPr>
    </w:p>
    <w:p w:rsidRPr="00C04884" w:rsidR="004D179C" w:rsidP="004D179C" w:rsidRDefault="004D179C" w14:paraId="6941EC15" w14:textId="4398812B">
      <w:pPr>
        <w:rPr>
          <w:rFonts w:eastAsiaTheme="minorEastAsia"/>
          <w:szCs w:val="18"/>
        </w:rPr>
      </w:pPr>
      <w:r w:rsidRPr="00C04884">
        <w:rPr>
          <w:rFonts w:eastAsiaTheme="minorEastAsia"/>
          <w:szCs w:val="18"/>
        </w:rPr>
        <w:t xml:space="preserve">Tabel </w:t>
      </w:r>
      <w:r w:rsidR="003B787A">
        <w:rPr>
          <w:rFonts w:eastAsiaTheme="minorEastAsia"/>
          <w:szCs w:val="18"/>
        </w:rPr>
        <w:t>6</w:t>
      </w:r>
      <w:r w:rsidRPr="00C04884">
        <w:rPr>
          <w:rFonts w:eastAsiaTheme="minorEastAsia"/>
          <w:szCs w:val="18"/>
        </w:rPr>
        <w:t>.</w:t>
      </w:r>
      <w:r w:rsidR="00D43F8C">
        <w:rPr>
          <w:rFonts w:eastAsiaTheme="minorEastAsia"/>
          <w:szCs w:val="18"/>
        </w:rPr>
        <w:t>7</w:t>
      </w:r>
      <w:r w:rsidRPr="00C04884">
        <w:rPr>
          <w:rFonts w:eastAsiaTheme="minorEastAsia"/>
          <w:szCs w:val="18"/>
        </w:rPr>
        <w:t xml:space="preserve"> Verwachte profielkeuze van onderbouwleerlingen uitgesplitst naar deelname aan een technische activiteit </w:t>
      </w:r>
      <w:r>
        <w:rPr>
          <w:rFonts w:eastAsiaTheme="minorEastAsia"/>
          <w:szCs w:val="18"/>
        </w:rPr>
        <w:t>in het vo</w:t>
      </w:r>
      <w:r w:rsidRPr="00C04884">
        <w:rPr>
          <w:rFonts w:eastAsiaTheme="minorEastAsia"/>
          <w:szCs w:val="18"/>
        </w:rPr>
        <w:t xml:space="preserve"> </w:t>
      </w:r>
    </w:p>
    <w:tbl>
      <w:tblPr>
        <w:tblStyle w:val="Onopgemaaktetabel2"/>
        <w:tblW w:w="0" w:type="auto"/>
        <w:tblLayout w:type="fixed"/>
        <w:tblLook w:val="0620" w:firstRow="1" w:lastRow="0" w:firstColumn="0" w:lastColumn="0" w:noHBand="1" w:noVBand="1"/>
      </w:tblPr>
      <w:tblGrid>
        <w:gridCol w:w="3582"/>
        <w:gridCol w:w="2230"/>
        <w:gridCol w:w="1701"/>
      </w:tblGrid>
      <w:tr w:rsidRPr="00C04884" w:rsidR="004D179C" w:rsidTr="001E4A94" w14:paraId="5F03691C" w14:textId="77777777">
        <w:trPr>
          <w:cnfStyle w:val="100000000000" w:firstRow="1" w:lastRow="0" w:firstColumn="0" w:lastColumn="0" w:oddVBand="0" w:evenVBand="0" w:oddHBand="0" w:evenHBand="0" w:firstRowFirstColumn="0" w:firstRowLastColumn="0" w:lastRowFirstColumn="0" w:lastRowLastColumn="0"/>
          <w:trHeight w:val="315"/>
        </w:trPr>
        <w:tc>
          <w:tcPr>
            <w:tcW w:w="3582" w:type="dxa"/>
          </w:tcPr>
          <w:p w:rsidRPr="00C04884" w:rsidR="004D179C" w:rsidP="001E4A94" w:rsidRDefault="004D179C" w14:paraId="210AE07C" w14:textId="77777777">
            <w:pPr>
              <w:rPr>
                <w:szCs w:val="18"/>
              </w:rPr>
            </w:pPr>
            <w:r w:rsidRPr="00C04884">
              <w:rPr>
                <w:rFonts w:eastAsia="Trebuchet MS" w:cs="Trebuchet MS"/>
                <w:szCs w:val="18"/>
              </w:rPr>
              <w:t xml:space="preserve">Profielkeuze (onderbouw) (N=658) </w:t>
            </w:r>
          </w:p>
        </w:tc>
        <w:tc>
          <w:tcPr>
            <w:tcW w:w="2230" w:type="dxa"/>
          </w:tcPr>
          <w:p w:rsidRPr="00C04884" w:rsidR="004D179C" w:rsidP="001E4A94" w:rsidRDefault="004D179C" w14:paraId="3952BC61" w14:textId="77777777">
            <w:pPr>
              <w:rPr>
                <w:szCs w:val="18"/>
              </w:rPr>
            </w:pPr>
            <w:r w:rsidRPr="00C04884">
              <w:rPr>
                <w:rFonts w:eastAsia="Calibri" w:cs="Calibri"/>
                <w:color w:val="000000" w:themeColor="text1"/>
                <w:szCs w:val="18"/>
              </w:rPr>
              <w:t xml:space="preserve">Geen technisch profiel </w:t>
            </w:r>
          </w:p>
        </w:tc>
        <w:tc>
          <w:tcPr>
            <w:tcW w:w="1701" w:type="dxa"/>
          </w:tcPr>
          <w:p w:rsidRPr="00C04884" w:rsidR="004D179C" w:rsidP="001E4A94" w:rsidRDefault="004D179C" w14:paraId="3611AC15" w14:textId="77777777">
            <w:pPr>
              <w:rPr>
                <w:szCs w:val="18"/>
              </w:rPr>
            </w:pPr>
            <w:r w:rsidRPr="00C04884">
              <w:rPr>
                <w:rFonts w:eastAsia="Calibri" w:cs="Calibri"/>
                <w:color w:val="000000" w:themeColor="text1"/>
                <w:szCs w:val="18"/>
              </w:rPr>
              <w:t xml:space="preserve">Technisch profiel  </w:t>
            </w:r>
          </w:p>
        </w:tc>
      </w:tr>
      <w:tr w:rsidRPr="00C04884" w:rsidR="004D179C" w:rsidTr="001E4A94" w14:paraId="2BEB4657" w14:textId="77777777">
        <w:trPr>
          <w:trHeight w:val="518"/>
        </w:trPr>
        <w:tc>
          <w:tcPr>
            <w:tcW w:w="3582" w:type="dxa"/>
          </w:tcPr>
          <w:p w:rsidRPr="00C04884" w:rsidR="004D179C" w:rsidP="001E4A94" w:rsidRDefault="004D179C" w14:paraId="20E43BF4" w14:textId="77777777">
            <w:pPr>
              <w:rPr>
                <w:szCs w:val="18"/>
              </w:rPr>
            </w:pPr>
            <w:r w:rsidRPr="00C04884">
              <w:rPr>
                <w:rFonts w:eastAsia="Calibri" w:cs="Calibri"/>
                <w:color w:val="000000" w:themeColor="text1"/>
                <w:szCs w:val="18"/>
              </w:rPr>
              <w:t xml:space="preserve">Geen deelname aan een technische activiteit </w:t>
            </w:r>
            <w:r>
              <w:rPr>
                <w:rFonts w:eastAsia="Calibri" w:cs="Calibri"/>
                <w:color w:val="000000" w:themeColor="text1"/>
                <w:szCs w:val="18"/>
              </w:rPr>
              <w:t>in het vo</w:t>
            </w:r>
          </w:p>
        </w:tc>
        <w:tc>
          <w:tcPr>
            <w:tcW w:w="2230" w:type="dxa"/>
          </w:tcPr>
          <w:p w:rsidRPr="00C04884" w:rsidR="004D179C" w:rsidP="001E4A94" w:rsidRDefault="004D179C" w14:paraId="6EDCBEE1" w14:textId="77777777">
            <w:pPr>
              <w:rPr>
                <w:szCs w:val="18"/>
              </w:rPr>
            </w:pPr>
            <w:r w:rsidRPr="00C04884">
              <w:rPr>
                <w:rFonts w:eastAsia="Calibri" w:cs="Calibri"/>
                <w:color w:val="000000" w:themeColor="text1"/>
                <w:szCs w:val="18"/>
              </w:rPr>
              <w:t>71%</w:t>
            </w:r>
          </w:p>
        </w:tc>
        <w:tc>
          <w:tcPr>
            <w:tcW w:w="1701" w:type="dxa"/>
          </w:tcPr>
          <w:p w:rsidRPr="00C04884" w:rsidR="004D179C" w:rsidP="001E4A94" w:rsidRDefault="004D179C" w14:paraId="2593A345" w14:textId="77777777">
            <w:pPr>
              <w:rPr>
                <w:szCs w:val="18"/>
              </w:rPr>
            </w:pPr>
            <w:r w:rsidRPr="00C04884">
              <w:rPr>
                <w:rFonts w:eastAsia="Calibri" w:cs="Calibri"/>
                <w:color w:val="000000" w:themeColor="text1"/>
                <w:szCs w:val="18"/>
              </w:rPr>
              <w:t>29%</w:t>
            </w:r>
          </w:p>
        </w:tc>
      </w:tr>
      <w:tr w:rsidRPr="00C04884" w:rsidR="004D179C" w:rsidTr="001E4A94" w14:paraId="49DC75AA" w14:textId="77777777">
        <w:trPr>
          <w:trHeight w:val="421"/>
        </w:trPr>
        <w:tc>
          <w:tcPr>
            <w:tcW w:w="3582" w:type="dxa"/>
          </w:tcPr>
          <w:p w:rsidRPr="00C04884" w:rsidR="004D179C" w:rsidP="001E4A94" w:rsidRDefault="004D179C" w14:paraId="7BF63AE3" w14:textId="77777777">
            <w:pPr>
              <w:rPr>
                <w:szCs w:val="18"/>
              </w:rPr>
            </w:pPr>
            <w:r w:rsidRPr="00C04884">
              <w:rPr>
                <w:rFonts w:eastAsia="Calibri" w:cs="Calibri"/>
                <w:color w:val="000000" w:themeColor="text1"/>
                <w:szCs w:val="18"/>
              </w:rPr>
              <w:t>Deelgenomen aan tenminste één activiteit</w:t>
            </w:r>
          </w:p>
        </w:tc>
        <w:tc>
          <w:tcPr>
            <w:tcW w:w="2230" w:type="dxa"/>
          </w:tcPr>
          <w:p w:rsidRPr="00C04884" w:rsidR="004D179C" w:rsidP="001E4A94" w:rsidRDefault="004D179C" w14:paraId="303E1B04" w14:textId="77777777">
            <w:pPr>
              <w:rPr>
                <w:szCs w:val="18"/>
              </w:rPr>
            </w:pPr>
            <w:r w:rsidRPr="00C04884">
              <w:rPr>
                <w:rFonts w:eastAsia="Calibri" w:cs="Calibri"/>
                <w:color w:val="000000" w:themeColor="text1"/>
                <w:szCs w:val="18"/>
              </w:rPr>
              <w:t>66%</w:t>
            </w:r>
          </w:p>
        </w:tc>
        <w:tc>
          <w:tcPr>
            <w:tcW w:w="1701" w:type="dxa"/>
          </w:tcPr>
          <w:p w:rsidRPr="00C04884" w:rsidR="004D179C" w:rsidP="001E4A94" w:rsidRDefault="004D179C" w14:paraId="599F285E" w14:textId="77777777">
            <w:pPr>
              <w:rPr>
                <w:szCs w:val="18"/>
              </w:rPr>
            </w:pPr>
            <w:r w:rsidRPr="00C04884">
              <w:rPr>
                <w:rFonts w:eastAsia="Calibri" w:cs="Calibri"/>
                <w:color w:val="000000" w:themeColor="text1"/>
                <w:szCs w:val="18"/>
              </w:rPr>
              <w:t>34%</w:t>
            </w:r>
          </w:p>
        </w:tc>
      </w:tr>
    </w:tbl>
    <w:p w:rsidR="004D179C" w:rsidP="004D179C" w:rsidRDefault="004D179C" w14:paraId="299ADA98" w14:textId="77777777">
      <w:pPr>
        <w:rPr>
          <w:rFonts w:eastAsiaTheme="minorEastAsia"/>
          <w:szCs w:val="18"/>
        </w:rPr>
      </w:pPr>
      <w:r w:rsidRPr="00C04884">
        <w:rPr>
          <w:rFonts w:eastAsiaTheme="minorEastAsia"/>
          <w:szCs w:val="18"/>
        </w:rPr>
        <w:t>Bron: Leerlingenvragenlijst mei-juli 2025.</w:t>
      </w:r>
    </w:p>
    <w:p w:rsidRPr="00C04884" w:rsidR="001C5E92" w:rsidP="004D179C" w:rsidRDefault="001C5E92" w14:paraId="40B3E1B2" w14:textId="77777777">
      <w:pPr>
        <w:rPr>
          <w:rFonts w:eastAsiaTheme="minorEastAsia"/>
          <w:szCs w:val="18"/>
        </w:rPr>
      </w:pPr>
    </w:p>
    <w:p w:rsidR="004D179C" w:rsidP="004D179C" w:rsidRDefault="004D179C" w14:paraId="34C0B8E9" w14:textId="77777777">
      <w:pPr>
        <w:jc w:val="both"/>
        <w:rPr>
          <w:rFonts w:eastAsiaTheme="minorEastAsia"/>
          <w:szCs w:val="18"/>
        </w:rPr>
      </w:pPr>
      <w:r w:rsidRPr="00C04884">
        <w:rPr>
          <w:rFonts w:eastAsiaTheme="minorEastAsia"/>
          <w:szCs w:val="18"/>
        </w:rPr>
        <w:t xml:space="preserve">Van de leerlingen die aan een technische activiteit hebben deelgenomen op de basisschool geeft iets minder dan de helft (4 op de 10) aan voor een technisch profiel te kiezen. Dit percentage is hoger dan onder de leerlingen die niet hebben deelgenomen aan een technische activiteit op de basisschool (verschil is 12 procent). Ook onder leerlingen die hebben deelgenomen aan een technische activiteit </w:t>
      </w:r>
      <w:r>
        <w:rPr>
          <w:rFonts w:eastAsiaTheme="minorEastAsia"/>
          <w:szCs w:val="18"/>
        </w:rPr>
        <w:t>in het vo</w:t>
      </w:r>
      <w:r w:rsidRPr="00C04884">
        <w:rPr>
          <w:rFonts w:eastAsiaTheme="minorEastAsia"/>
          <w:szCs w:val="18"/>
        </w:rPr>
        <w:t xml:space="preserve"> zien we een hoger percentage dat wilt gaan kiezen voor een technisch profiel (ruim 3 op de 10). Hier is het verschil met leerlingen die geen technische activiteit hebben gedaan en kiest voor een technisch profiel echter kleiner (verschil is 5 procent). </w:t>
      </w:r>
    </w:p>
    <w:p w:rsidR="001C5E92" w:rsidP="004D179C" w:rsidRDefault="001C5E92" w14:paraId="520B82C4" w14:textId="77777777">
      <w:pPr>
        <w:jc w:val="both"/>
        <w:rPr>
          <w:rFonts w:eastAsiaTheme="minorEastAsia"/>
          <w:szCs w:val="18"/>
        </w:rPr>
      </w:pPr>
    </w:p>
    <w:p w:rsidR="004D179C" w:rsidP="004D179C" w:rsidRDefault="004D179C" w14:paraId="60828541" w14:textId="77777777">
      <w:pPr>
        <w:jc w:val="both"/>
        <w:rPr>
          <w:rFonts w:eastAsiaTheme="minorEastAsia"/>
          <w:szCs w:val="18"/>
        </w:rPr>
      </w:pPr>
      <w:r>
        <w:rPr>
          <w:rFonts w:eastAsiaTheme="minorEastAsia"/>
          <w:szCs w:val="18"/>
        </w:rPr>
        <w:t xml:space="preserve">Hoewel het erop lijkt dat er dus een positief verband is tussen deelname aan technische activiteiten (in po en onderbouw vmbo) en daadwerkelijke keuze voor een techniekprofiel, moeten we voorzichtig zijn met de interpretatie hiervan. Mogelijk kunnen leerlingen die toch al interesse hebben in techniek zich beter herinneren welke activiteiten ze hebben gedaan, waardoor zij deze ook meer rapporteren. Ook is het mogelijk dat het mogen deelnemen aan technische activiteiten gecorreleerd is met andere schoolkenmerken die samengaan met meer aandacht voor techniek. In dat geval is het dus niet de activiteit op zich die een mogelijk effect veroorzaakt. Tegelijkertijd: als deelname aan technische activiteiten de kans op keuze voor technische profielen verhoogt, zou dit resultaat een patroon zijn wat daarbij past. </w:t>
      </w:r>
    </w:p>
    <w:p w:rsidR="004D179C" w:rsidP="004D179C" w:rsidRDefault="004D179C" w14:paraId="0A3EFAD0" w14:textId="77777777">
      <w:pPr>
        <w:rPr>
          <w:rFonts w:eastAsiaTheme="minorEastAsia"/>
          <w:szCs w:val="18"/>
        </w:rPr>
      </w:pPr>
      <w:r>
        <w:rPr>
          <w:rFonts w:eastAsiaTheme="minorEastAsia"/>
          <w:szCs w:val="18"/>
        </w:rPr>
        <w:br w:type="page"/>
      </w:r>
    </w:p>
    <w:p w:rsidR="004D179C" w:rsidP="004D179C" w:rsidRDefault="004D179C" w14:paraId="2D28BC21" w14:textId="77777777">
      <w:pPr>
        <w:jc w:val="both"/>
        <w:rPr>
          <w:rFonts w:eastAsiaTheme="minorEastAsia"/>
          <w:szCs w:val="18"/>
        </w:rPr>
      </w:pPr>
    </w:p>
    <w:p w:rsidR="004D179C" w:rsidP="004D179C" w:rsidRDefault="004D179C" w14:paraId="0EC60B2B" w14:textId="4B37B806">
      <w:pPr>
        <w:jc w:val="both"/>
        <w:rPr>
          <w:rFonts w:eastAsiaTheme="minorEastAsia"/>
          <w:szCs w:val="18"/>
        </w:rPr>
      </w:pPr>
      <w:r>
        <w:rPr>
          <w:rFonts w:eastAsiaTheme="minorEastAsia"/>
          <w:szCs w:val="18"/>
        </w:rPr>
        <w:t xml:space="preserve">De onderbouwleerlingen is vervolgens gevraagd waarom ze misschien kiezen voor het aangegeven profiel. In figuur </w:t>
      </w:r>
      <w:r w:rsidR="003B787A">
        <w:rPr>
          <w:rFonts w:eastAsiaTheme="minorEastAsia"/>
          <w:szCs w:val="18"/>
        </w:rPr>
        <w:t>6</w:t>
      </w:r>
      <w:r>
        <w:rPr>
          <w:rFonts w:eastAsiaTheme="minorEastAsia"/>
          <w:szCs w:val="18"/>
        </w:rPr>
        <w:t>.</w:t>
      </w:r>
      <w:r w:rsidR="004E4B1F">
        <w:rPr>
          <w:rFonts w:eastAsiaTheme="minorEastAsia"/>
          <w:szCs w:val="18"/>
        </w:rPr>
        <w:t>8</w:t>
      </w:r>
      <w:r>
        <w:rPr>
          <w:rFonts w:eastAsiaTheme="minorEastAsia"/>
          <w:szCs w:val="18"/>
        </w:rPr>
        <w:t xml:space="preserve"> staan deze redenen uitgesplitst naar het percentage ‘ja’. Leerlingen konden meerdere redenen aangeven.  </w:t>
      </w:r>
    </w:p>
    <w:p w:rsidR="003B787A" w:rsidP="004D179C" w:rsidRDefault="003B787A" w14:paraId="1BEF9BAE" w14:textId="77777777">
      <w:pPr>
        <w:jc w:val="both"/>
        <w:rPr>
          <w:rFonts w:eastAsiaTheme="minorEastAsia"/>
          <w:szCs w:val="18"/>
        </w:rPr>
      </w:pPr>
    </w:p>
    <w:p w:rsidR="004D179C" w:rsidP="004D179C" w:rsidRDefault="004D179C" w14:paraId="5EA7278B" w14:textId="474B62FC">
      <w:pPr>
        <w:jc w:val="both"/>
        <w:rPr>
          <w:rFonts w:eastAsiaTheme="minorEastAsia"/>
          <w:szCs w:val="18"/>
        </w:rPr>
      </w:pPr>
      <w:r>
        <w:rPr>
          <w:rFonts w:eastAsiaTheme="minorEastAsia"/>
          <w:szCs w:val="18"/>
        </w:rPr>
        <w:t xml:space="preserve">Figuur </w:t>
      </w:r>
      <w:r w:rsidR="003B787A">
        <w:rPr>
          <w:rFonts w:eastAsiaTheme="minorEastAsia"/>
          <w:szCs w:val="18"/>
        </w:rPr>
        <w:t>6</w:t>
      </w:r>
      <w:r>
        <w:rPr>
          <w:rFonts w:eastAsiaTheme="minorEastAsia"/>
          <w:szCs w:val="18"/>
        </w:rPr>
        <w:t>.</w:t>
      </w:r>
      <w:r w:rsidR="00D43F8C">
        <w:rPr>
          <w:rFonts w:eastAsiaTheme="minorEastAsia"/>
          <w:szCs w:val="18"/>
        </w:rPr>
        <w:t>8</w:t>
      </w:r>
      <w:r>
        <w:rPr>
          <w:rFonts w:eastAsiaTheme="minorEastAsia"/>
          <w:szCs w:val="18"/>
        </w:rPr>
        <w:t xml:space="preserve"> Reden voor verwachte profielkeuze </w:t>
      </w:r>
    </w:p>
    <w:p w:rsidRPr="00C04884" w:rsidR="004D179C" w:rsidP="004D179C" w:rsidRDefault="004D179C" w14:paraId="4DA4DECE" w14:textId="77777777">
      <w:pPr>
        <w:jc w:val="both"/>
        <w:rPr>
          <w:rFonts w:eastAsiaTheme="minorEastAsia"/>
          <w:szCs w:val="18"/>
        </w:rPr>
      </w:pPr>
      <w:r>
        <w:rPr>
          <w:noProof/>
        </w:rPr>
        <w:drawing>
          <wp:inline distT="0" distB="0" distL="0" distR="0" wp14:anchorId="300CC7F8" wp14:editId="75604989">
            <wp:extent cx="5760720" cy="3832225"/>
            <wp:effectExtent l="0" t="0" r="11430" b="15875"/>
            <wp:docPr id="1622523162" name="Grafiek 1">
              <a:extLst xmlns:a="http://schemas.openxmlformats.org/drawingml/2006/main">
                <a:ext uri="{FF2B5EF4-FFF2-40B4-BE49-F238E27FC236}">
                  <a16:creationId xmlns:a16="http://schemas.microsoft.com/office/drawing/2014/main" id="{85CF1A1E-68EA-01EC-1532-11B878FB8A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D179C" w:rsidP="004D179C" w:rsidRDefault="004D179C" w14:paraId="49046079" w14:textId="77777777">
      <w:pPr>
        <w:rPr>
          <w:rFonts w:eastAsiaTheme="minorEastAsia"/>
          <w:szCs w:val="18"/>
        </w:rPr>
      </w:pPr>
      <w:r w:rsidRPr="00C04884">
        <w:rPr>
          <w:rFonts w:eastAsiaTheme="minorEastAsia"/>
          <w:szCs w:val="18"/>
        </w:rPr>
        <w:t>Bron: Leerlingenvragenlijst mei-juli 2025.</w:t>
      </w:r>
    </w:p>
    <w:p w:rsidRPr="00C04884" w:rsidR="001C5E92" w:rsidP="004D179C" w:rsidRDefault="001C5E92" w14:paraId="24712F18" w14:textId="77777777">
      <w:pPr>
        <w:rPr>
          <w:rFonts w:eastAsiaTheme="minorEastAsia"/>
          <w:szCs w:val="18"/>
        </w:rPr>
      </w:pPr>
    </w:p>
    <w:p w:rsidR="004D179C" w:rsidP="004D179C" w:rsidRDefault="004D179C" w14:paraId="47F5E16A" w14:textId="4BDE33C8">
      <w:pPr>
        <w:jc w:val="both"/>
        <w:rPr>
          <w:rFonts w:eastAsiaTheme="minorEastAsia"/>
          <w:szCs w:val="18"/>
        </w:rPr>
      </w:pPr>
      <w:r w:rsidRPr="625A0593">
        <w:rPr>
          <w:rFonts w:eastAsiaTheme="minorEastAsia"/>
          <w:szCs w:val="18"/>
        </w:rPr>
        <w:t>De helft van de leerlingen geeft aan het profiel te kiezen omdat het aansluit bij de interesses. Een iets minder groot deel (bijna 3 op de 10) geeft aan dat het profiel past bij het beroep dat zij hierna willen doen. Bijna een vijfde (2 op de 10) geeft aan dat het aansluit bij de vervolgopleiding. Ongeveer 1 op de 10 geeft aan dat de ouders het een goede keuze vinden en eenzelfde deel</w:t>
      </w:r>
      <w:r w:rsidR="004E4B1F">
        <w:rPr>
          <w:rFonts w:eastAsiaTheme="minorEastAsia"/>
          <w:szCs w:val="18"/>
        </w:rPr>
        <w:t xml:space="preserve"> </w:t>
      </w:r>
      <w:r w:rsidRPr="625A0593">
        <w:rPr>
          <w:rFonts w:eastAsiaTheme="minorEastAsia"/>
          <w:szCs w:val="18"/>
        </w:rPr>
        <w:t xml:space="preserve">heeft geen specifieke reden. Het minst vaak werden de volgende redenen aangekruist: vrienden/vriendinnen kiezen dit ook (6 procent), mijn mentor of decaan vindt het een goede keuze (3 procent) en vanwege de docent (1 procent). Andere redenen (7 procent) die worden gegeven in de open antwoorden lopen sterk uiteen: profiel past bij de cijfers, leerlingen vinden het profiel leuk, vanwege familie etc. Leerlingen die willen kiezen voor een techniek profiel, geven iets vaker aan dit te doen omdat het past bij hun interesses (6 op de 10). </w:t>
      </w:r>
    </w:p>
    <w:p w:rsidR="001C5E92" w:rsidP="004D179C" w:rsidRDefault="001C5E92" w14:paraId="1C794911" w14:textId="77777777">
      <w:pPr>
        <w:jc w:val="both"/>
        <w:rPr>
          <w:rFonts w:eastAsiaTheme="minorEastAsia"/>
          <w:szCs w:val="18"/>
        </w:rPr>
      </w:pPr>
    </w:p>
    <w:p w:rsidR="001C5E92" w:rsidP="004D179C" w:rsidRDefault="004D179C" w14:paraId="3ED58915" w14:textId="7F3C2BB4">
      <w:pPr>
        <w:jc w:val="both"/>
        <w:rPr>
          <w:rFonts w:eastAsiaTheme="minorEastAsia"/>
          <w:szCs w:val="18"/>
        </w:rPr>
      </w:pPr>
      <w:r w:rsidRPr="00C04884">
        <w:rPr>
          <w:rFonts w:eastAsiaTheme="minorEastAsia"/>
          <w:szCs w:val="18"/>
        </w:rPr>
        <w:t xml:space="preserve">Aan alle leerlingen is de vraag gesteld wat zij na het vmbo willen gaan doen. Daarbij konden zij kiezen uit: mbo, havo of nog geen idee. Ook hier is een uitsplitsing gemaakt naar de fasen van ontwikkeling (zie tabel </w:t>
      </w:r>
      <w:r w:rsidR="00407273">
        <w:rPr>
          <w:rFonts w:eastAsiaTheme="minorEastAsia"/>
          <w:szCs w:val="18"/>
        </w:rPr>
        <w:t>6</w:t>
      </w:r>
      <w:r w:rsidRPr="00C04884">
        <w:rPr>
          <w:rFonts w:eastAsiaTheme="minorEastAsia"/>
          <w:szCs w:val="18"/>
        </w:rPr>
        <w:t>.</w:t>
      </w:r>
      <w:r w:rsidR="004E4B1F">
        <w:rPr>
          <w:rFonts w:eastAsiaTheme="minorEastAsia"/>
          <w:szCs w:val="18"/>
        </w:rPr>
        <w:t>8</w:t>
      </w:r>
      <w:r>
        <w:rPr>
          <w:rFonts w:eastAsiaTheme="minorEastAsia"/>
          <w:szCs w:val="18"/>
        </w:rPr>
        <w:t>).</w:t>
      </w:r>
    </w:p>
    <w:p w:rsidR="001C5E92" w:rsidRDefault="001C5E92" w14:paraId="28AA18F2" w14:textId="77777777">
      <w:pPr>
        <w:spacing w:after="160" w:line="259" w:lineRule="auto"/>
        <w:rPr>
          <w:rFonts w:eastAsiaTheme="minorEastAsia"/>
          <w:szCs w:val="18"/>
        </w:rPr>
      </w:pPr>
      <w:r>
        <w:rPr>
          <w:rFonts w:eastAsiaTheme="minorEastAsia"/>
          <w:szCs w:val="18"/>
        </w:rPr>
        <w:br w:type="page"/>
      </w:r>
    </w:p>
    <w:p w:rsidR="004D179C" w:rsidP="004D179C" w:rsidRDefault="004D179C" w14:paraId="11D55913" w14:textId="77777777">
      <w:pPr>
        <w:jc w:val="both"/>
        <w:rPr>
          <w:rFonts w:eastAsiaTheme="minorEastAsia"/>
          <w:szCs w:val="18"/>
        </w:rPr>
      </w:pPr>
    </w:p>
    <w:p w:rsidRPr="004A6338" w:rsidR="004D179C" w:rsidP="004D179C" w:rsidRDefault="004D179C" w14:paraId="20F8C1D9" w14:textId="39EEE980">
      <w:pPr>
        <w:rPr>
          <w:rFonts w:eastAsiaTheme="minorEastAsia"/>
          <w:szCs w:val="18"/>
        </w:rPr>
      </w:pPr>
      <w:r w:rsidRPr="004A6338">
        <w:rPr>
          <w:rFonts w:eastAsiaTheme="minorEastAsia"/>
          <w:szCs w:val="18"/>
        </w:rPr>
        <w:t xml:space="preserve">Tabel </w:t>
      </w:r>
      <w:r w:rsidR="00407273">
        <w:rPr>
          <w:rFonts w:eastAsiaTheme="minorEastAsia"/>
          <w:szCs w:val="18"/>
        </w:rPr>
        <w:t>6</w:t>
      </w:r>
      <w:r w:rsidRPr="004A6338">
        <w:rPr>
          <w:rFonts w:eastAsiaTheme="minorEastAsia"/>
          <w:szCs w:val="18"/>
        </w:rPr>
        <w:t>.</w:t>
      </w:r>
      <w:r w:rsidR="00D43F8C">
        <w:rPr>
          <w:rFonts w:eastAsiaTheme="minorEastAsia"/>
          <w:szCs w:val="18"/>
        </w:rPr>
        <w:t>8</w:t>
      </w:r>
      <w:r w:rsidRPr="004A6338">
        <w:rPr>
          <w:rFonts w:eastAsiaTheme="minorEastAsia"/>
          <w:szCs w:val="18"/>
        </w:rPr>
        <w:t xml:space="preserve"> Verwachte vervolgopleiding uitgesplitst naar fasen van interesseontwikkeling</w:t>
      </w:r>
    </w:p>
    <w:tbl>
      <w:tblPr>
        <w:tblStyle w:val="Onopgemaaktetabel2"/>
        <w:tblW w:w="0" w:type="auto"/>
        <w:tblLayout w:type="fixed"/>
        <w:tblLook w:val="0660" w:firstRow="1" w:lastRow="1" w:firstColumn="0" w:lastColumn="0" w:noHBand="1" w:noVBand="1"/>
      </w:tblPr>
      <w:tblGrid>
        <w:gridCol w:w="1833"/>
        <w:gridCol w:w="719"/>
        <w:gridCol w:w="709"/>
        <w:gridCol w:w="1417"/>
      </w:tblGrid>
      <w:tr w:rsidRPr="00C04884" w:rsidR="004D179C" w:rsidTr="001E4A94" w14:paraId="32F94ABF" w14:textId="77777777">
        <w:trPr>
          <w:cnfStyle w:val="100000000000" w:firstRow="1" w:lastRow="0" w:firstColumn="0" w:lastColumn="0" w:oddVBand="0" w:evenVBand="0" w:oddHBand="0" w:evenHBand="0" w:firstRowFirstColumn="0" w:firstRowLastColumn="0" w:lastRowFirstColumn="0" w:lastRowLastColumn="0"/>
          <w:trHeight w:val="300"/>
        </w:trPr>
        <w:tc>
          <w:tcPr>
            <w:tcW w:w="1833" w:type="dxa"/>
          </w:tcPr>
          <w:p w:rsidRPr="00C04884" w:rsidR="004D179C" w:rsidP="001E4A94" w:rsidRDefault="004D179C" w14:paraId="023165CC" w14:textId="77777777">
            <w:pPr>
              <w:rPr>
                <w:szCs w:val="18"/>
              </w:rPr>
            </w:pPr>
            <w:r w:rsidRPr="00C04884">
              <w:rPr>
                <w:szCs w:val="18"/>
              </w:rPr>
              <w:t>Vervolgopleiding (N=883)</w:t>
            </w:r>
          </w:p>
        </w:tc>
        <w:tc>
          <w:tcPr>
            <w:tcW w:w="719" w:type="dxa"/>
          </w:tcPr>
          <w:p w:rsidRPr="00C04884" w:rsidR="004D179C" w:rsidP="001E4A94" w:rsidRDefault="004D179C" w14:paraId="3C1AECEC" w14:textId="77777777">
            <w:pPr>
              <w:jc w:val="right"/>
              <w:rPr>
                <w:szCs w:val="18"/>
              </w:rPr>
            </w:pPr>
            <w:r w:rsidRPr="00C04884">
              <w:rPr>
                <w:rFonts w:eastAsia="Calibri" w:cs="Calibri"/>
                <w:color w:val="000000" w:themeColor="text1"/>
                <w:szCs w:val="18"/>
              </w:rPr>
              <w:t>mbo</w:t>
            </w:r>
          </w:p>
        </w:tc>
        <w:tc>
          <w:tcPr>
            <w:tcW w:w="709" w:type="dxa"/>
          </w:tcPr>
          <w:p w:rsidRPr="00C04884" w:rsidR="004D179C" w:rsidP="001E4A94" w:rsidRDefault="004D179C" w14:paraId="6FFFDAD9" w14:textId="77777777">
            <w:pPr>
              <w:jc w:val="right"/>
              <w:rPr>
                <w:szCs w:val="18"/>
              </w:rPr>
            </w:pPr>
            <w:r w:rsidRPr="00C04884">
              <w:rPr>
                <w:rFonts w:eastAsia="Calibri" w:cs="Calibri"/>
                <w:color w:val="000000" w:themeColor="text1"/>
                <w:szCs w:val="18"/>
              </w:rPr>
              <w:t>havo</w:t>
            </w:r>
          </w:p>
        </w:tc>
        <w:tc>
          <w:tcPr>
            <w:tcW w:w="1417" w:type="dxa"/>
          </w:tcPr>
          <w:p w:rsidRPr="00C04884" w:rsidR="004D179C" w:rsidP="001E4A94" w:rsidRDefault="004D179C" w14:paraId="457BA1C1" w14:textId="77777777">
            <w:pPr>
              <w:jc w:val="right"/>
              <w:rPr>
                <w:szCs w:val="18"/>
              </w:rPr>
            </w:pPr>
            <w:r w:rsidRPr="00C04884">
              <w:rPr>
                <w:rFonts w:eastAsia="Calibri" w:cs="Calibri"/>
                <w:color w:val="000000" w:themeColor="text1"/>
                <w:szCs w:val="18"/>
              </w:rPr>
              <w:t>nog geen idee</w:t>
            </w:r>
          </w:p>
        </w:tc>
      </w:tr>
      <w:tr w:rsidRPr="00C04884" w:rsidR="004D179C" w:rsidTr="001E4A94" w14:paraId="7AAD4F29" w14:textId="77777777">
        <w:trPr>
          <w:trHeight w:val="300"/>
        </w:trPr>
        <w:tc>
          <w:tcPr>
            <w:tcW w:w="1833" w:type="dxa"/>
          </w:tcPr>
          <w:p w:rsidRPr="00C04884" w:rsidR="004D179C" w:rsidP="001E4A94" w:rsidRDefault="004D179C" w14:paraId="20B54EDD" w14:textId="77777777">
            <w:pPr>
              <w:rPr>
                <w:szCs w:val="18"/>
              </w:rPr>
            </w:pPr>
            <w:r w:rsidRPr="00C04884">
              <w:rPr>
                <w:rFonts w:eastAsia="Calibri" w:cs="Calibri"/>
                <w:color w:val="000000" w:themeColor="text1"/>
                <w:szCs w:val="18"/>
              </w:rPr>
              <w:t>Geen interesse</w:t>
            </w:r>
          </w:p>
        </w:tc>
        <w:tc>
          <w:tcPr>
            <w:tcW w:w="719" w:type="dxa"/>
          </w:tcPr>
          <w:p w:rsidRPr="00C04884" w:rsidR="004D179C" w:rsidP="001E4A94" w:rsidRDefault="004D179C" w14:paraId="669F4714" w14:textId="77777777">
            <w:pPr>
              <w:jc w:val="right"/>
              <w:rPr>
                <w:szCs w:val="18"/>
              </w:rPr>
            </w:pPr>
            <w:r w:rsidRPr="00C04884">
              <w:rPr>
                <w:rFonts w:eastAsia="Calibri" w:cs="Calibri"/>
                <w:color w:val="000000" w:themeColor="text1"/>
                <w:szCs w:val="18"/>
              </w:rPr>
              <w:t>31%</w:t>
            </w:r>
          </w:p>
        </w:tc>
        <w:tc>
          <w:tcPr>
            <w:tcW w:w="709" w:type="dxa"/>
          </w:tcPr>
          <w:p w:rsidRPr="00C04884" w:rsidR="004D179C" w:rsidP="001E4A94" w:rsidRDefault="004D179C" w14:paraId="0776BF75" w14:textId="77777777">
            <w:pPr>
              <w:jc w:val="right"/>
              <w:rPr>
                <w:szCs w:val="18"/>
              </w:rPr>
            </w:pPr>
            <w:r w:rsidRPr="00C04884">
              <w:rPr>
                <w:rFonts w:eastAsia="Calibri" w:cs="Calibri"/>
                <w:color w:val="000000" w:themeColor="text1"/>
                <w:szCs w:val="18"/>
              </w:rPr>
              <w:t>9%</w:t>
            </w:r>
          </w:p>
        </w:tc>
        <w:tc>
          <w:tcPr>
            <w:tcW w:w="1417" w:type="dxa"/>
          </w:tcPr>
          <w:p w:rsidRPr="00C04884" w:rsidR="004D179C" w:rsidP="001E4A94" w:rsidRDefault="004D179C" w14:paraId="719BA246" w14:textId="77777777">
            <w:pPr>
              <w:jc w:val="right"/>
              <w:rPr>
                <w:szCs w:val="18"/>
              </w:rPr>
            </w:pPr>
            <w:r w:rsidRPr="00C04884">
              <w:rPr>
                <w:rFonts w:eastAsia="Calibri" w:cs="Calibri"/>
                <w:color w:val="000000" w:themeColor="text1"/>
                <w:szCs w:val="18"/>
              </w:rPr>
              <w:t>60%</w:t>
            </w:r>
          </w:p>
        </w:tc>
      </w:tr>
      <w:tr w:rsidRPr="00C04884" w:rsidR="004D179C" w:rsidTr="001E4A94" w14:paraId="09B78FF6" w14:textId="77777777">
        <w:trPr>
          <w:trHeight w:val="300"/>
        </w:trPr>
        <w:tc>
          <w:tcPr>
            <w:tcW w:w="1833" w:type="dxa"/>
          </w:tcPr>
          <w:p w:rsidRPr="00C04884" w:rsidR="004D179C" w:rsidP="001E4A94" w:rsidRDefault="004D179C" w14:paraId="65C2E249" w14:textId="77777777">
            <w:pPr>
              <w:rPr>
                <w:szCs w:val="18"/>
              </w:rPr>
            </w:pPr>
            <w:r w:rsidRPr="00C04884">
              <w:rPr>
                <w:rFonts w:eastAsia="Calibri" w:cs="Calibri"/>
                <w:color w:val="000000" w:themeColor="text1"/>
                <w:szCs w:val="18"/>
              </w:rPr>
              <w:t>Fase 1</w:t>
            </w:r>
          </w:p>
        </w:tc>
        <w:tc>
          <w:tcPr>
            <w:tcW w:w="719" w:type="dxa"/>
          </w:tcPr>
          <w:p w:rsidRPr="00C04884" w:rsidR="004D179C" w:rsidP="001E4A94" w:rsidRDefault="004D179C" w14:paraId="006FF73F" w14:textId="77777777">
            <w:pPr>
              <w:jc w:val="right"/>
              <w:rPr>
                <w:szCs w:val="18"/>
              </w:rPr>
            </w:pPr>
            <w:r w:rsidRPr="00C04884">
              <w:rPr>
                <w:rFonts w:eastAsia="Calibri" w:cs="Calibri"/>
                <w:color w:val="000000" w:themeColor="text1"/>
                <w:szCs w:val="18"/>
              </w:rPr>
              <w:t>25%</w:t>
            </w:r>
          </w:p>
        </w:tc>
        <w:tc>
          <w:tcPr>
            <w:tcW w:w="709" w:type="dxa"/>
          </w:tcPr>
          <w:p w:rsidRPr="00C04884" w:rsidR="004D179C" w:rsidP="001E4A94" w:rsidRDefault="004D179C" w14:paraId="626CCE80" w14:textId="77777777">
            <w:pPr>
              <w:jc w:val="right"/>
              <w:rPr>
                <w:szCs w:val="18"/>
              </w:rPr>
            </w:pPr>
            <w:r w:rsidRPr="00C04884">
              <w:rPr>
                <w:rFonts w:eastAsia="Calibri" w:cs="Calibri"/>
                <w:color w:val="000000" w:themeColor="text1"/>
                <w:szCs w:val="18"/>
              </w:rPr>
              <w:t>7%</w:t>
            </w:r>
          </w:p>
        </w:tc>
        <w:tc>
          <w:tcPr>
            <w:tcW w:w="1417" w:type="dxa"/>
          </w:tcPr>
          <w:p w:rsidRPr="00C04884" w:rsidR="004D179C" w:rsidP="001E4A94" w:rsidRDefault="004D179C" w14:paraId="033B018F" w14:textId="77777777">
            <w:pPr>
              <w:jc w:val="right"/>
              <w:rPr>
                <w:szCs w:val="18"/>
              </w:rPr>
            </w:pPr>
            <w:r w:rsidRPr="00C04884">
              <w:rPr>
                <w:rFonts w:eastAsia="Calibri" w:cs="Calibri"/>
                <w:color w:val="000000" w:themeColor="text1"/>
                <w:szCs w:val="18"/>
              </w:rPr>
              <w:t>68%</w:t>
            </w:r>
          </w:p>
        </w:tc>
      </w:tr>
      <w:tr w:rsidRPr="00C04884" w:rsidR="004D179C" w:rsidTr="001E4A94" w14:paraId="60637089" w14:textId="77777777">
        <w:trPr>
          <w:trHeight w:val="300"/>
        </w:trPr>
        <w:tc>
          <w:tcPr>
            <w:tcW w:w="1833" w:type="dxa"/>
          </w:tcPr>
          <w:p w:rsidRPr="00C04884" w:rsidR="004D179C" w:rsidP="001E4A94" w:rsidRDefault="004D179C" w14:paraId="621A8F02" w14:textId="77777777">
            <w:pPr>
              <w:rPr>
                <w:szCs w:val="18"/>
              </w:rPr>
            </w:pPr>
            <w:r w:rsidRPr="00C04884">
              <w:rPr>
                <w:rFonts w:eastAsia="Calibri" w:cs="Calibri"/>
                <w:color w:val="000000" w:themeColor="text1"/>
                <w:szCs w:val="18"/>
              </w:rPr>
              <w:t>Fase 2</w:t>
            </w:r>
          </w:p>
        </w:tc>
        <w:tc>
          <w:tcPr>
            <w:tcW w:w="719" w:type="dxa"/>
          </w:tcPr>
          <w:p w:rsidRPr="00C04884" w:rsidR="004D179C" w:rsidP="001E4A94" w:rsidRDefault="004D179C" w14:paraId="2FED2ADE" w14:textId="77777777">
            <w:pPr>
              <w:jc w:val="right"/>
              <w:rPr>
                <w:szCs w:val="18"/>
              </w:rPr>
            </w:pPr>
            <w:r w:rsidRPr="00C04884">
              <w:rPr>
                <w:rFonts w:eastAsia="Calibri" w:cs="Calibri"/>
                <w:color w:val="000000" w:themeColor="text1"/>
                <w:szCs w:val="18"/>
              </w:rPr>
              <w:t>29%</w:t>
            </w:r>
          </w:p>
        </w:tc>
        <w:tc>
          <w:tcPr>
            <w:tcW w:w="709" w:type="dxa"/>
          </w:tcPr>
          <w:p w:rsidRPr="00C04884" w:rsidR="004D179C" w:rsidP="001E4A94" w:rsidRDefault="004D179C" w14:paraId="38924776" w14:textId="77777777">
            <w:pPr>
              <w:jc w:val="right"/>
              <w:rPr>
                <w:szCs w:val="18"/>
              </w:rPr>
            </w:pPr>
            <w:r w:rsidRPr="00C04884">
              <w:rPr>
                <w:rFonts w:eastAsia="Calibri" w:cs="Calibri"/>
                <w:color w:val="000000" w:themeColor="text1"/>
                <w:szCs w:val="18"/>
              </w:rPr>
              <w:t>6%</w:t>
            </w:r>
          </w:p>
        </w:tc>
        <w:tc>
          <w:tcPr>
            <w:tcW w:w="1417" w:type="dxa"/>
          </w:tcPr>
          <w:p w:rsidRPr="00C04884" w:rsidR="004D179C" w:rsidP="001E4A94" w:rsidRDefault="004D179C" w14:paraId="5ECC5846" w14:textId="77777777">
            <w:pPr>
              <w:jc w:val="right"/>
              <w:rPr>
                <w:szCs w:val="18"/>
              </w:rPr>
            </w:pPr>
            <w:r w:rsidRPr="00C04884">
              <w:rPr>
                <w:rFonts w:eastAsia="Calibri" w:cs="Calibri"/>
                <w:color w:val="000000" w:themeColor="text1"/>
                <w:szCs w:val="18"/>
              </w:rPr>
              <w:t>65%</w:t>
            </w:r>
          </w:p>
        </w:tc>
      </w:tr>
      <w:tr w:rsidRPr="00C04884" w:rsidR="004D179C" w:rsidTr="001E4A94" w14:paraId="7EC50E57" w14:textId="77777777">
        <w:trPr>
          <w:trHeight w:val="300"/>
        </w:trPr>
        <w:tc>
          <w:tcPr>
            <w:tcW w:w="1833" w:type="dxa"/>
          </w:tcPr>
          <w:p w:rsidRPr="00C04884" w:rsidR="004D179C" w:rsidP="001E4A94" w:rsidRDefault="004D179C" w14:paraId="61E12251" w14:textId="77777777">
            <w:pPr>
              <w:rPr>
                <w:szCs w:val="18"/>
              </w:rPr>
            </w:pPr>
            <w:r w:rsidRPr="00C04884">
              <w:rPr>
                <w:rFonts w:eastAsia="Calibri" w:cs="Calibri"/>
                <w:color w:val="000000" w:themeColor="text1"/>
                <w:szCs w:val="18"/>
              </w:rPr>
              <w:t>Fase 3</w:t>
            </w:r>
          </w:p>
        </w:tc>
        <w:tc>
          <w:tcPr>
            <w:tcW w:w="719" w:type="dxa"/>
          </w:tcPr>
          <w:p w:rsidRPr="00C04884" w:rsidR="004D179C" w:rsidP="001E4A94" w:rsidRDefault="004D179C" w14:paraId="14EE6282" w14:textId="77777777">
            <w:pPr>
              <w:jc w:val="right"/>
              <w:rPr>
                <w:szCs w:val="18"/>
              </w:rPr>
            </w:pPr>
            <w:r w:rsidRPr="00C04884">
              <w:rPr>
                <w:rFonts w:eastAsia="Calibri" w:cs="Calibri"/>
                <w:color w:val="000000" w:themeColor="text1"/>
                <w:szCs w:val="18"/>
              </w:rPr>
              <w:t>24%</w:t>
            </w:r>
          </w:p>
        </w:tc>
        <w:tc>
          <w:tcPr>
            <w:tcW w:w="709" w:type="dxa"/>
          </w:tcPr>
          <w:p w:rsidRPr="00C04884" w:rsidR="004D179C" w:rsidP="001E4A94" w:rsidRDefault="004D179C" w14:paraId="1845C9FB" w14:textId="77777777">
            <w:pPr>
              <w:jc w:val="right"/>
              <w:rPr>
                <w:szCs w:val="18"/>
              </w:rPr>
            </w:pPr>
            <w:r w:rsidRPr="00C04884">
              <w:rPr>
                <w:rFonts w:eastAsia="Calibri" w:cs="Calibri"/>
                <w:color w:val="000000" w:themeColor="text1"/>
                <w:szCs w:val="18"/>
              </w:rPr>
              <w:t>7%</w:t>
            </w:r>
          </w:p>
        </w:tc>
        <w:tc>
          <w:tcPr>
            <w:tcW w:w="1417" w:type="dxa"/>
          </w:tcPr>
          <w:p w:rsidRPr="00C04884" w:rsidR="004D179C" w:rsidP="001E4A94" w:rsidRDefault="004D179C" w14:paraId="486250DD" w14:textId="77777777">
            <w:pPr>
              <w:jc w:val="right"/>
              <w:rPr>
                <w:szCs w:val="18"/>
              </w:rPr>
            </w:pPr>
            <w:r w:rsidRPr="00C04884">
              <w:rPr>
                <w:rFonts w:eastAsia="Calibri" w:cs="Calibri"/>
                <w:color w:val="000000" w:themeColor="text1"/>
                <w:szCs w:val="18"/>
              </w:rPr>
              <w:t>69%</w:t>
            </w:r>
          </w:p>
        </w:tc>
      </w:tr>
      <w:tr w:rsidRPr="00C04884" w:rsidR="004D179C" w:rsidTr="001E4A94" w14:paraId="0DEFFC13" w14:textId="77777777">
        <w:trPr>
          <w:trHeight w:val="300"/>
        </w:trPr>
        <w:tc>
          <w:tcPr>
            <w:tcW w:w="1833" w:type="dxa"/>
          </w:tcPr>
          <w:p w:rsidRPr="00C04884" w:rsidR="004D179C" w:rsidP="001E4A94" w:rsidRDefault="004D179C" w14:paraId="68C41A90" w14:textId="77777777">
            <w:pPr>
              <w:rPr>
                <w:szCs w:val="18"/>
              </w:rPr>
            </w:pPr>
            <w:r w:rsidRPr="00C04884">
              <w:rPr>
                <w:rFonts w:eastAsia="Calibri" w:cs="Calibri"/>
                <w:color w:val="000000" w:themeColor="text1"/>
                <w:szCs w:val="18"/>
              </w:rPr>
              <w:t>Fase 4</w:t>
            </w:r>
          </w:p>
        </w:tc>
        <w:tc>
          <w:tcPr>
            <w:tcW w:w="719" w:type="dxa"/>
          </w:tcPr>
          <w:p w:rsidRPr="00C04884" w:rsidR="004D179C" w:rsidP="001E4A94" w:rsidRDefault="004D179C" w14:paraId="463BE300" w14:textId="77777777">
            <w:pPr>
              <w:jc w:val="right"/>
              <w:rPr>
                <w:szCs w:val="18"/>
              </w:rPr>
            </w:pPr>
            <w:r w:rsidRPr="00C04884">
              <w:rPr>
                <w:rFonts w:eastAsia="Calibri" w:cs="Calibri"/>
                <w:color w:val="000000" w:themeColor="text1"/>
                <w:szCs w:val="18"/>
              </w:rPr>
              <w:t>37%</w:t>
            </w:r>
          </w:p>
        </w:tc>
        <w:tc>
          <w:tcPr>
            <w:tcW w:w="709" w:type="dxa"/>
          </w:tcPr>
          <w:p w:rsidRPr="00C04884" w:rsidR="004D179C" w:rsidP="001E4A94" w:rsidRDefault="004D179C" w14:paraId="028044EE" w14:textId="77777777">
            <w:pPr>
              <w:jc w:val="right"/>
              <w:rPr>
                <w:szCs w:val="18"/>
              </w:rPr>
            </w:pPr>
            <w:r w:rsidRPr="00C04884">
              <w:rPr>
                <w:rFonts w:eastAsia="Calibri" w:cs="Calibri"/>
                <w:color w:val="000000" w:themeColor="text1"/>
                <w:szCs w:val="18"/>
              </w:rPr>
              <w:t>8%</w:t>
            </w:r>
          </w:p>
        </w:tc>
        <w:tc>
          <w:tcPr>
            <w:tcW w:w="1417" w:type="dxa"/>
          </w:tcPr>
          <w:p w:rsidRPr="00C04884" w:rsidR="004D179C" w:rsidP="001E4A94" w:rsidRDefault="004D179C" w14:paraId="0DE10E58" w14:textId="77777777">
            <w:pPr>
              <w:jc w:val="right"/>
              <w:rPr>
                <w:szCs w:val="18"/>
              </w:rPr>
            </w:pPr>
            <w:r w:rsidRPr="00C04884">
              <w:rPr>
                <w:rFonts w:eastAsia="Calibri" w:cs="Calibri"/>
                <w:color w:val="000000" w:themeColor="text1"/>
                <w:szCs w:val="18"/>
              </w:rPr>
              <w:t>56%</w:t>
            </w:r>
          </w:p>
        </w:tc>
      </w:tr>
      <w:tr w:rsidRPr="00C04884" w:rsidR="004D179C" w:rsidTr="001E4A94" w14:paraId="560F078D" w14:textId="77777777">
        <w:trPr>
          <w:cnfStyle w:val="010000000000" w:firstRow="0" w:lastRow="1" w:firstColumn="0" w:lastColumn="0" w:oddVBand="0" w:evenVBand="0" w:oddHBand="0" w:evenHBand="0" w:firstRowFirstColumn="0" w:firstRowLastColumn="0" w:lastRowFirstColumn="0" w:lastRowLastColumn="0"/>
          <w:trHeight w:val="300"/>
        </w:trPr>
        <w:tc>
          <w:tcPr>
            <w:tcW w:w="1833" w:type="dxa"/>
          </w:tcPr>
          <w:p w:rsidRPr="00C04884" w:rsidR="004D179C" w:rsidP="001E4A94" w:rsidRDefault="004D179C" w14:paraId="4AA60E90" w14:textId="77777777">
            <w:pPr>
              <w:rPr>
                <w:szCs w:val="18"/>
              </w:rPr>
            </w:pPr>
            <w:r w:rsidRPr="00C04884">
              <w:rPr>
                <w:rFonts w:eastAsia="Calibri" w:cs="Calibri"/>
                <w:color w:val="000000" w:themeColor="text1"/>
                <w:szCs w:val="18"/>
              </w:rPr>
              <w:t>Totaal</w:t>
            </w:r>
          </w:p>
        </w:tc>
        <w:tc>
          <w:tcPr>
            <w:tcW w:w="719" w:type="dxa"/>
          </w:tcPr>
          <w:p w:rsidRPr="00C04884" w:rsidR="004D179C" w:rsidP="001E4A94" w:rsidRDefault="004D179C" w14:paraId="5F8983DA" w14:textId="77777777">
            <w:pPr>
              <w:jc w:val="right"/>
              <w:rPr>
                <w:szCs w:val="18"/>
              </w:rPr>
            </w:pPr>
            <w:r w:rsidRPr="00C04884">
              <w:rPr>
                <w:rFonts w:eastAsia="Calibri" w:cs="Calibri"/>
                <w:color w:val="000000" w:themeColor="text1"/>
                <w:szCs w:val="18"/>
              </w:rPr>
              <w:t>30%</w:t>
            </w:r>
          </w:p>
        </w:tc>
        <w:tc>
          <w:tcPr>
            <w:tcW w:w="709" w:type="dxa"/>
          </w:tcPr>
          <w:p w:rsidRPr="00C04884" w:rsidR="004D179C" w:rsidP="001E4A94" w:rsidRDefault="004D179C" w14:paraId="39941E5C" w14:textId="77777777">
            <w:pPr>
              <w:jc w:val="right"/>
              <w:rPr>
                <w:szCs w:val="18"/>
              </w:rPr>
            </w:pPr>
            <w:r w:rsidRPr="00C04884">
              <w:rPr>
                <w:rFonts w:eastAsia="Calibri" w:cs="Calibri"/>
                <w:color w:val="000000" w:themeColor="text1"/>
                <w:szCs w:val="18"/>
              </w:rPr>
              <w:t>8%</w:t>
            </w:r>
          </w:p>
        </w:tc>
        <w:tc>
          <w:tcPr>
            <w:tcW w:w="1417" w:type="dxa"/>
          </w:tcPr>
          <w:p w:rsidRPr="00C04884" w:rsidR="004D179C" w:rsidP="001E4A94" w:rsidRDefault="004D179C" w14:paraId="025D72F0" w14:textId="77777777">
            <w:pPr>
              <w:jc w:val="right"/>
              <w:rPr>
                <w:szCs w:val="18"/>
              </w:rPr>
            </w:pPr>
            <w:r w:rsidRPr="00C04884">
              <w:rPr>
                <w:rFonts w:eastAsia="Calibri" w:cs="Calibri"/>
                <w:color w:val="000000" w:themeColor="text1"/>
                <w:szCs w:val="18"/>
              </w:rPr>
              <w:t>63%</w:t>
            </w:r>
          </w:p>
        </w:tc>
      </w:tr>
    </w:tbl>
    <w:p w:rsidR="004D179C" w:rsidP="004D179C" w:rsidRDefault="004D179C" w14:paraId="19A18611" w14:textId="77777777">
      <w:pPr>
        <w:rPr>
          <w:rFonts w:eastAsiaTheme="minorEastAsia"/>
          <w:szCs w:val="18"/>
        </w:rPr>
      </w:pPr>
      <w:r w:rsidRPr="00C04884">
        <w:rPr>
          <w:rFonts w:eastAsiaTheme="minorEastAsia"/>
          <w:szCs w:val="18"/>
        </w:rPr>
        <w:t>Bron: Leerlingenvragenlijst mei-juli 2025.</w:t>
      </w:r>
    </w:p>
    <w:p w:rsidRPr="00C04884" w:rsidR="001C5E92" w:rsidP="004D179C" w:rsidRDefault="001C5E92" w14:paraId="2EB3E8E0" w14:textId="77777777">
      <w:pPr>
        <w:rPr>
          <w:rFonts w:eastAsiaTheme="minorEastAsia"/>
          <w:szCs w:val="18"/>
        </w:rPr>
      </w:pPr>
    </w:p>
    <w:p w:rsidR="004D179C" w:rsidP="004D179C" w:rsidRDefault="004D179C" w14:paraId="64A0FC7C" w14:textId="77777777">
      <w:pPr>
        <w:jc w:val="both"/>
        <w:rPr>
          <w:rFonts w:eastAsiaTheme="minorEastAsia"/>
          <w:szCs w:val="18"/>
        </w:rPr>
      </w:pPr>
      <w:r w:rsidRPr="00C04884">
        <w:rPr>
          <w:rFonts w:eastAsiaTheme="minorEastAsia"/>
          <w:szCs w:val="18"/>
        </w:rPr>
        <w:t xml:space="preserve">Meer dan de helft (6 op de 10) van de leerlingen heeft nog geen idee welke vervolgopleiding zij willen gaan doen. Bijna een derde (3 op de 10) wil een mbo-opleiding gaan doen en het overige deel (bijna 1 op de 10) havo. De keuze voor mbo ligt hoger onder leerlingen die in fase 4 van interesseontwikkeling zitten (bijna 4 op de 10), en ietwat lager onder leerlingen in fase 1 en 3.  </w:t>
      </w:r>
    </w:p>
    <w:p w:rsidR="001C5E92" w:rsidP="004D179C" w:rsidRDefault="001C5E92" w14:paraId="70B9C08D" w14:textId="77777777">
      <w:pPr>
        <w:jc w:val="both"/>
        <w:rPr>
          <w:rFonts w:eastAsiaTheme="minorEastAsia"/>
          <w:szCs w:val="18"/>
        </w:rPr>
      </w:pPr>
    </w:p>
    <w:p w:rsidR="004D179C" w:rsidP="004D179C" w:rsidRDefault="004D179C" w14:paraId="0F0317BD" w14:textId="77777777">
      <w:pPr>
        <w:jc w:val="both"/>
        <w:rPr>
          <w:rFonts w:eastAsiaTheme="minorEastAsia"/>
          <w:szCs w:val="18"/>
        </w:rPr>
      </w:pPr>
      <w:r w:rsidRPr="625A0593">
        <w:rPr>
          <w:rFonts w:eastAsiaTheme="minorEastAsia"/>
          <w:szCs w:val="18"/>
        </w:rPr>
        <w:t xml:space="preserve">Samengevat zien we dat leerlingen die zich in een gevorderde fase van interesseontwikkeling in techniek bevinden, vaker kiezen voor een technisch profiel dan leerlingen in de vroege fasen of zonder sterke interesse. Deelname aan technische activiteiten, zowel </w:t>
      </w:r>
      <w:r>
        <w:rPr>
          <w:rFonts w:eastAsiaTheme="minorEastAsia"/>
          <w:szCs w:val="18"/>
        </w:rPr>
        <w:t>in po als vo</w:t>
      </w:r>
      <w:r w:rsidRPr="625A0593">
        <w:rPr>
          <w:rFonts w:eastAsiaTheme="minorEastAsia"/>
          <w:szCs w:val="18"/>
        </w:rPr>
        <w:t>, hangt samen met een hogere kans op het kiezen voor een technisch profiel. Tegelijkertijd is het belangrijk om te benoemen dat de organisatie van technische activiteiten door scholen mogelijk ook een indicatie is van een bredere inzet op techniekonderwijs. Op scholen waar techniek vaker terugkomt in het onderwijsaanbod, kan dit bijdragen aan het ontwikkelen van interesse bij leerlingen. Interesse in het profiel is voor de meeste leerlingen een belangrijke reden om het profiel te kiezen. Meer dan de helft van de leerlingen heeft nog geen duidelijk beeld van hun vervolgopleiding, waarbij vooral leerlingen in fase 4 van interesseontwikkeling vaker kiezen voor een mbo-opleiding.</w:t>
      </w:r>
    </w:p>
    <w:p w:rsidRPr="00C04884" w:rsidR="001C5E92" w:rsidP="004D179C" w:rsidRDefault="001C5E92" w14:paraId="6AD0320D" w14:textId="77777777">
      <w:pPr>
        <w:jc w:val="both"/>
        <w:rPr>
          <w:rFonts w:eastAsiaTheme="minorEastAsia"/>
          <w:szCs w:val="18"/>
        </w:rPr>
      </w:pPr>
    </w:p>
    <w:p w:rsidRPr="00C04884" w:rsidR="004D179C" w:rsidP="00915646" w:rsidRDefault="004D179C" w14:paraId="04B2565A" w14:textId="77777777">
      <w:pPr>
        <w:pStyle w:val="Kop2"/>
      </w:pPr>
      <w:bookmarkStart w:name="_Toc203573598" w:id="72"/>
      <w:r w:rsidRPr="00C04884">
        <w:t>In hoeverre voelen leerlingen in de techniek zich autonoom, verbonden en competent?</w:t>
      </w:r>
      <w:bookmarkEnd w:id="72"/>
    </w:p>
    <w:p w:rsidR="001C5E92" w:rsidP="004D179C" w:rsidRDefault="004D179C" w14:paraId="48A76002" w14:textId="286E56C7">
      <w:pPr>
        <w:jc w:val="both"/>
        <w:rPr>
          <w:rFonts w:eastAsiaTheme="minorEastAsia"/>
          <w:szCs w:val="18"/>
        </w:rPr>
      </w:pPr>
      <w:r w:rsidRPr="00C04884">
        <w:rPr>
          <w:rFonts w:eastAsiaTheme="minorEastAsia"/>
          <w:szCs w:val="18"/>
        </w:rPr>
        <w:t xml:space="preserve">Aan dezelfde bovenbouwleerlingen met een technisch profiel of keuzevak </w:t>
      </w:r>
      <w:r>
        <w:rPr>
          <w:rFonts w:eastAsiaTheme="minorEastAsia"/>
          <w:szCs w:val="18"/>
        </w:rPr>
        <w:t xml:space="preserve">is </w:t>
      </w:r>
      <w:r w:rsidRPr="00C04884">
        <w:rPr>
          <w:rFonts w:eastAsiaTheme="minorEastAsia"/>
          <w:szCs w:val="18"/>
        </w:rPr>
        <w:t xml:space="preserve">een aantal stellingen voorgelegd die iets zeggen over de mate van competentie, autonomie en verbondenheid die zij ervaren. </w:t>
      </w:r>
      <w:r w:rsidRPr="0071530C">
        <w:rPr>
          <w:rFonts w:eastAsiaTheme="minorEastAsia"/>
          <w:szCs w:val="18"/>
        </w:rPr>
        <w:t>Deze drie basisbehoeften worden gezien als essentiële voorwaarden voor motivatie en het welbevinden van leerlingen.</w:t>
      </w:r>
    </w:p>
    <w:p w:rsidR="001C5E92" w:rsidRDefault="001C5E92" w14:paraId="2C03D634" w14:textId="77777777">
      <w:pPr>
        <w:spacing w:after="160" w:line="259" w:lineRule="auto"/>
        <w:rPr>
          <w:rFonts w:eastAsiaTheme="minorEastAsia"/>
          <w:szCs w:val="18"/>
        </w:rPr>
      </w:pPr>
      <w:r>
        <w:rPr>
          <w:rFonts w:eastAsiaTheme="minorEastAsia"/>
          <w:szCs w:val="18"/>
        </w:rPr>
        <w:br w:type="page"/>
      </w:r>
    </w:p>
    <w:p w:rsidR="004D179C" w:rsidP="004D179C" w:rsidRDefault="004D179C" w14:paraId="055EFF21" w14:textId="77777777">
      <w:pPr>
        <w:jc w:val="both"/>
        <w:rPr>
          <w:rFonts w:eastAsiaTheme="minorEastAsia"/>
          <w:szCs w:val="18"/>
        </w:rPr>
      </w:pPr>
    </w:p>
    <w:p w:rsidRPr="00C04884" w:rsidR="004D179C" w:rsidP="004D179C" w:rsidRDefault="004D179C" w14:paraId="581B1819" w14:textId="77777777">
      <w:pPr>
        <w:jc w:val="both"/>
        <w:rPr>
          <w:rFonts w:eastAsiaTheme="minorEastAsia"/>
          <w:szCs w:val="18"/>
        </w:rPr>
      </w:pPr>
    </w:p>
    <w:p w:rsidRPr="00C04884" w:rsidR="004D179C" w:rsidP="004D179C" w:rsidRDefault="004D179C" w14:paraId="22785C16" w14:textId="3CE9BE92">
      <w:pPr>
        <w:rPr>
          <w:rFonts w:eastAsiaTheme="minorEastAsia"/>
          <w:szCs w:val="18"/>
        </w:rPr>
      </w:pPr>
      <w:r w:rsidRPr="00C04884">
        <w:rPr>
          <w:rFonts w:eastAsiaTheme="minorEastAsia"/>
          <w:szCs w:val="18"/>
        </w:rPr>
        <w:t xml:space="preserve">Figuur </w:t>
      </w:r>
      <w:r w:rsidR="00407273">
        <w:rPr>
          <w:rFonts w:eastAsiaTheme="minorEastAsia"/>
          <w:szCs w:val="18"/>
        </w:rPr>
        <w:t>6</w:t>
      </w:r>
      <w:r w:rsidRPr="00C04884">
        <w:rPr>
          <w:rFonts w:eastAsiaTheme="minorEastAsia"/>
          <w:szCs w:val="18"/>
        </w:rPr>
        <w:t>.</w:t>
      </w:r>
      <w:r w:rsidR="00D43F8C">
        <w:rPr>
          <w:rFonts w:eastAsiaTheme="minorEastAsia"/>
          <w:szCs w:val="18"/>
        </w:rPr>
        <w:t>9</w:t>
      </w:r>
      <w:r w:rsidRPr="00C04884">
        <w:rPr>
          <w:rFonts w:eastAsiaTheme="minorEastAsia"/>
          <w:szCs w:val="18"/>
        </w:rPr>
        <w:t xml:space="preserve"> Mate van ervaren autonomie, verbondenheid en competentie (alleen bovenbouwleerlingen met een technisch profiel en/of keuzevak, N=90)</w:t>
      </w:r>
    </w:p>
    <w:p w:rsidRPr="00C04884" w:rsidR="004D179C" w:rsidP="004D179C" w:rsidRDefault="004D179C" w14:paraId="7E718C22" w14:textId="77777777">
      <w:pPr>
        <w:jc w:val="both"/>
        <w:rPr>
          <w:rFonts w:eastAsiaTheme="minorEastAsia"/>
          <w:szCs w:val="18"/>
        </w:rPr>
      </w:pPr>
      <w:r w:rsidRPr="00C04884">
        <w:rPr>
          <w:noProof/>
        </w:rPr>
        <w:drawing>
          <wp:inline distT="0" distB="0" distL="0" distR="0" wp14:anchorId="09F201D0" wp14:editId="243C318D">
            <wp:extent cx="5760720" cy="4044950"/>
            <wp:effectExtent l="0" t="0" r="11430" b="12700"/>
            <wp:docPr id="1373633745" name="Grafiek 1">
              <a:extLst xmlns:a="http://schemas.openxmlformats.org/drawingml/2006/main">
                <a:ext uri="{FF2B5EF4-FFF2-40B4-BE49-F238E27FC236}">
                  <a16:creationId xmlns:a16="http://schemas.microsoft.com/office/drawing/2014/main" id="{5303882B-9CC3-8086-68CC-135CAD4A43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D179C" w:rsidP="004D179C" w:rsidRDefault="004D179C" w14:paraId="6519F3E1" w14:textId="77777777">
      <w:pPr>
        <w:rPr>
          <w:rFonts w:eastAsiaTheme="minorEastAsia"/>
          <w:szCs w:val="18"/>
        </w:rPr>
      </w:pPr>
      <w:r w:rsidRPr="00C04884">
        <w:rPr>
          <w:rFonts w:eastAsiaTheme="minorEastAsia"/>
          <w:szCs w:val="18"/>
        </w:rPr>
        <w:t>Bron: Leerlingenvragenlijst mei-juli 2025.</w:t>
      </w:r>
    </w:p>
    <w:p w:rsidRPr="00C04884" w:rsidR="001C5E92" w:rsidP="004D179C" w:rsidRDefault="001C5E92" w14:paraId="0CF674A8" w14:textId="77777777">
      <w:pPr>
        <w:rPr>
          <w:rFonts w:eastAsiaTheme="minorEastAsia"/>
          <w:szCs w:val="18"/>
          <w:highlight w:val="yellow"/>
        </w:rPr>
      </w:pPr>
    </w:p>
    <w:p w:rsidR="004D179C" w:rsidP="004D179C" w:rsidRDefault="004D179C" w14:paraId="2FADDE93" w14:textId="70E7C339">
      <w:pPr>
        <w:jc w:val="both"/>
        <w:rPr>
          <w:rFonts w:eastAsiaTheme="minorEastAsia"/>
          <w:szCs w:val="18"/>
        </w:rPr>
      </w:pPr>
      <w:r w:rsidRPr="00C04884">
        <w:rPr>
          <w:rFonts w:eastAsiaTheme="minorEastAsia"/>
          <w:szCs w:val="18"/>
        </w:rPr>
        <w:t xml:space="preserve">De eerste drie stellingen in figuur </w:t>
      </w:r>
      <w:r w:rsidR="00407273">
        <w:rPr>
          <w:rFonts w:eastAsiaTheme="minorEastAsia"/>
          <w:szCs w:val="18"/>
        </w:rPr>
        <w:t>6</w:t>
      </w:r>
      <w:r w:rsidRPr="00C04884">
        <w:rPr>
          <w:rFonts w:eastAsiaTheme="minorEastAsia"/>
          <w:szCs w:val="18"/>
        </w:rPr>
        <w:t>.</w:t>
      </w:r>
      <w:r w:rsidR="004E4B1F">
        <w:rPr>
          <w:rFonts w:eastAsiaTheme="minorEastAsia"/>
          <w:szCs w:val="18"/>
        </w:rPr>
        <w:t>9</w:t>
      </w:r>
      <w:r w:rsidRPr="00C04884">
        <w:rPr>
          <w:rFonts w:eastAsiaTheme="minorEastAsia"/>
          <w:szCs w:val="18"/>
        </w:rPr>
        <w:t xml:space="preserve"> hebben betrekking op de ervaren mate van autonomie. Bij de keuze voor het maken van opdrachten zien we dat een minderheid van de leerlingen hier autonomie in ervaart (2 op de 10). Bijna de helft antwoordt neutraal en een derde ervaart deze keuzevrijheid (helemaal) niet. Wat betreft het gebruik van eigen ideeën en oplossingen in de les en het bepalen van het tempo tijdens een technische opdracht, zien we een iets hogere mate van autonomie. Een derde van de leerlingen (ruim 3 op de 10) is het met deze twee stellingen (helemaal) eens. De helft van de leerlingen antwoordt neutraal. </w:t>
      </w:r>
    </w:p>
    <w:p w:rsidRPr="00C04884" w:rsidR="001C5E92" w:rsidP="004D179C" w:rsidRDefault="001C5E92" w14:paraId="44DA5A4E" w14:textId="77777777">
      <w:pPr>
        <w:jc w:val="both"/>
        <w:rPr>
          <w:rFonts w:eastAsiaTheme="minorEastAsia"/>
          <w:szCs w:val="18"/>
        </w:rPr>
      </w:pPr>
    </w:p>
    <w:p w:rsidR="004D179C" w:rsidP="004D179C" w:rsidRDefault="004D179C" w14:paraId="3C406D18" w14:textId="77777777">
      <w:pPr>
        <w:jc w:val="both"/>
        <w:rPr>
          <w:rFonts w:eastAsiaTheme="minorEastAsia"/>
          <w:szCs w:val="18"/>
        </w:rPr>
      </w:pPr>
      <w:r w:rsidRPr="00C04884">
        <w:rPr>
          <w:rFonts w:eastAsiaTheme="minorEastAsia"/>
          <w:szCs w:val="18"/>
        </w:rPr>
        <w:t xml:space="preserve">Dan zijn er drie stellingen die de mate van verbondenheid meet. Deze hebben betrekking op de hulp die leerlingen krijgen, als dit nodig is, van docenten of klasgenoten, en de mate van ervaren waardering in de les. De helft of meer van de leerlingen ervaart hulp van de docent, klasgenoten en voelt zich gewaardeerd door anderen in de les. Slechts een klein deel (minder dan 9 procent) voelt deze verbondenheid niet. De rest antwoordt neutraal. </w:t>
      </w:r>
    </w:p>
    <w:p w:rsidRPr="00C04884" w:rsidR="001C5E92" w:rsidP="004D179C" w:rsidRDefault="001C5E92" w14:paraId="7E8ADC7A" w14:textId="77777777">
      <w:pPr>
        <w:jc w:val="both"/>
        <w:rPr>
          <w:rFonts w:eastAsiaTheme="minorEastAsia"/>
          <w:szCs w:val="18"/>
        </w:rPr>
      </w:pPr>
    </w:p>
    <w:p w:rsidR="004D179C" w:rsidP="004D179C" w:rsidRDefault="004D179C" w14:paraId="0EA5F455" w14:textId="77777777">
      <w:pPr>
        <w:jc w:val="both"/>
        <w:rPr>
          <w:rFonts w:eastAsiaTheme="minorEastAsia"/>
          <w:szCs w:val="18"/>
        </w:rPr>
      </w:pPr>
      <w:r w:rsidRPr="00C04884">
        <w:rPr>
          <w:rFonts w:eastAsiaTheme="minorEastAsia"/>
          <w:szCs w:val="18"/>
        </w:rPr>
        <w:t>Tot slot zijn drie stellingen voorgelegd die betrekking hebben op competentie. Hier zien we dat de helft van de leerlingen vindt dat zij technische opdrachten goed kunnen uitvoeren, problemen tijdens de les kunnen oplossen en veel leren tijdens de les. Ongeveer 4 op de 10 leerlingen is neutraal van mening en minder dan 7 procent is het (helemaal) niet eens met de competentie-stellingen.</w:t>
      </w:r>
    </w:p>
    <w:p w:rsidRPr="00C04884" w:rsidR="001C5E92" w:rsidP="004D179C" w:rsidRDefault="001C5E92" w14:paraId="1D58EDBD" w14:textId="77777777">
      <w:pPr>
        <w:jc w:val="both"/>
        <w:rPr>
          <w:rFonts w:eastAsiaTheme="minorEastAsia"/>
          <w:szCs w:val="18"/>
        </w:rPr>
      </w:pPr>
    </w:p>
    <w:p w:rsidR="004D179C" w:rsidP="004D179C" w:rsidRDefault="004D179C" w14:paraId="0F9B26B7" w14:textId="15802F09">
      <w:pPr>
        <w:jc w:val="both"/>
        <w:rPr>
          <w:rFonts w:eastAsiaTheme="minorEastAsia"/>
          <w:szCs w:val="18"/>
        </w:rPr>
      </w:pPr>
      <w:r w:rsidRPr="625A0593">
        <w:rPr>
          <w:rFonts w:eastAsiaTheme="minorEastAsia"/>
          <w:szCs w:val="18"/>
        </w:rPr>
        <w:t xml:space="preserve">De laatste twee stellingen in figuur </w:t>
      </w:r>
      <w:r w:rsidR="004E4B1F">
        <w:rPr>
          <w:rFonts w:eastAsiaTheme="minorEastAsia"/>
          <w:szCs w:val="18"/>
        </w:rPr>
        <w:t>6.9</w:t>
      </w:r>
      <w:r w:rsidRPr="625A0593">
        <w:rPr>
          <w:rFonts w:eastAsiaTheme="minorEastAsia"/>
          <w:szCs w:val="18"/>
        </w:rPr>
        <w:t xml:space="preserve"> hebben geen betrekking op de motivatietheorie, maar zeggen iets over de technische voorzieningen op school. Meer dan de helft (6 op de 10) van de leerlingen kan werken met goedwerkende </w:t>
      </w:r>
      <w:r w:rsidRPr="625A0593">
        <w:rPr>
          <w:rFonts w:eastAsiaTheme="minorEastAsia"/>
          <w:szCs w:val="18"/>
        </w:rPr>
        <w:lastRenderedPageBreak/>
        <w:t xml:space="preserve">en moderne machine. Eenzelfde aandeel geeft aan les te krijgen in een mooi lokaal met alle materialen en gereedschappen die nodig zijn. </w:t>
      </w:r>
    </w:p>
    <w:p w:rsidRPr="00C04884" w:rsidR="001C5E92" w:rsidP="004D179C" w:rsidRDefault="001C5E92" w14:paraId="39400302" w14:textId="77777777">
      <w:pPr>
        <w:jc w:val="both"/>
        <w:rPr>
          <w:rFonts w:eastAsiaTheme="minorEastAsia"/>
          <w:szCs w:val="18"/>
        </w:rPr>
      </w:pPr>
    </w:p>
    <w:p w:rsidR="004D179C" w:rsidP="004D179C" w:rsidRDefault="004D179C" w14:paraId="4E28F90C" w14:textId="77777777">
      <w:pPr>
        <w:jc w:val="both"/>
        <w:rPr>
          <w:rFonts w:eastAsiaTheme="minorEastAsia"/>
          <w:szCs w:val="18"/>
        </w:rPr>
      </w:pPr>
      <w:r w:rsidRPr="00C04884">
        <w:rPr>
          <w:rFonts w:eastAsiaTheme="minorEastAsia"/>
          <w:szCs w:val="18"/>
        </w:rPr>
        <w:t xml:space="preserve">Leerlingen ervaren </w:t>
      </w:r>
      <w:r>
        <w:rPr>
          <w:rFonts w:eastAsiaTheme="minorEastAsia"/>
          <w:szCs w:val="18"/>
        </w:rPr>
        <w:t xml:space="preserve">dus </w:t>
      </w:r>
      <w:r w:rsidRPr="00C04884">
        <w:rPr>
          <w:rFonts w:eastAsiaTheme="minorEastAsia"/>
          <w:szCs w:val="18"/>
        </w:rPr>
        <w:t xml:space="preserve">over het algemeen verbondenheid en competentie tijdens technieklessen, terwijl de ervaren autonomie </w:t>
      </w:r>
      <w:r>
        <w:rPr>
          <w:rFonts w:eastAsiaTheme="minorEastAsia"/>
          <w:szCs w:val="18"/>
        </w:rPr>
        <w:t>wat lager ligt</w:t>
      </w:r>
      <w:r w:rsidRPr="00C04884">
        <w:rPr>
          <w:rFonts w:eastAsiaTheme="minorEastAsia"/>
          <w:szCs w:val="18"/>
        </w:rPr>
        <w:t>.</w:t>
      </w:r>
      <w:r>
        <w:rPr>
          <w:rFonts w:eastAsiaTheme="minorEastAsia"/>
          <w:szCs w:val="18"/>
        </w:rPr>
        <w:t xml:space="preserve"> </w:t>
      </w:r>
      <w:r w:rsidRPr="00C04884">
        <w:rPr>
          <w:rFonts w:eastAsiaTheme="minorEastAsia"/>
          <w:szCs w:val="18"/>
        </w:rPr>
        <w:t>Daarnaast zijn de meeste leerlingen positief over de technische voorzieningen op school.</w:t>
      </w:r>
    </w:p>
    <w:p w:rsidR="001C5E92" w:rsidP="004D179C" w:rsidRDefault="001C5E92" w14:paraId="14DEF0EF" w14:textId="77777777">
      <w:pPr>
        <w:jc w:val="both"/>
        <w:rPr>
          <w:rFonts w:eastAsiaTheme="minorEastAsia"/>
          <w:szCs w:val="18"/>
        </w:rPr>
      </w:pPr>
    </w:p>
    <w:p w:rsidR="004D179C" w:rsidP="00915646" w:rsidRDefault="004D179C" w14:paraId="14E70E8A" w14:textId="77777777">
      <w:pPr>
        <w:pStyle w:val="Kop2"/>
        <w:rPr>
          <w:rFonts w:eastAsiaTheme="minorEastAsia"/>
        </w:rPr>
      </w:pPr>
      <w:bookmarkStart w:name="_Toc203573599" w:id="73"/>
      <w:r>
        <w:t>A</w:t>
      </w:r>
      <w:r w:rsidRPr="00C04884">
        <w:t>utono</w:t>
      </w:r>
      <w:r>
        <w:t>mie</w:t>
      </w:r>
      <w:r w:rsidRPr="00C04884">
        <w:t>, verbonden</w:t>
      </w:r>
      <w:r>
        <w:t>heid</w:t>
      </w:r>
      <w:r w:rsidRPr="00C04884">
        <w:t xml:space="preserve"> en competent</w:t>
      </w:r>
      <w:r>
        <w:t>ie in relatie tot interesse voor techniek</w:t>
      </w:r>
      <w:bookmarkEnd w:id="73"/>
    </w:p>
    <w:p w:rsidR="004D179C" w:rsidP="004D179C" w:rsidRDefault="004D179C" w14:paraId="7F257B0D" w14:textId="1D9D26BB">
      <w:pPr>
        <w:jc w:val="both"/>
        <w:rPr>
          <w:rFonts w:eastAsiaTheme="minorEastAsia"/>
          <w:szCs w:val="18"/>
        </w:rPr>
      </w:pPr>
      <w:r>
        <w:rPr>
          <w:rFonts w:eastAsiaTheme="minorEastAsia"/>
          <w:szCs w:val="18"/>
        </w:rPr>
        <w:t xml:space="preserve">De kern van de motivatietheorie waarbij autonomie, verbondenheid en competentie centraal staan, is dat dit noodzakelijke voorwaarden zijn om intrinsieke motivatie en interesse te ontwikkelen. We hebben daarom de gegevens over interesseontwikkeling in techniek gerelateerd aan deze drie basiselementen in tabel </w:t>
      </w:r>
      <w:r w:rsidR="00407273">
        <w:rPr>
          <w:rFonts w:eastAsiaTheme="minorEastAsia"/>
          <w:szCs w:val="18"/>
        </w:rPr>
        <w:t>6.</w:t>
      </w:r>
      <w:r w:rsidR="004E4B1F">
        <w:rPr>
          <w:rFonts w:eastAsiaTheme="minorEastAsia"/>
          <w:szCs w:val="18"/>
        </w:rPr>
        <w:t>9</w:t>
      </w:r>
      <w:r w:rsidR="00407273">
        <w:rPr>
          <w:rFonts w:eastAsiaTheme="minorEastAsia"/>
          <w:szCs w:val="18"/>
        </w:rPr>
        <w:t>, 6.</w:t>
      </w:r>
      <w:r w:rsidR="004E4B1F">
        <w:rPr>
          <w:rFonts w:eastAsiaTheme="minorEastAsia"/>
          <w:szCs w:val="18"/>
        </w:rPr>
        <w:t>10</w:t>
      </w:r>
      <w:r w:rsidR="00712BBD">
        <w:rPr>
          <w:rFonts w:eastAsiaTheme="minorEastAsia"/>
          <w:szCs w:val="18"/>
        </w:rPr>
        <w:t xml:space="preserve"> en 6.1</w:t>
      </w:r>
      <w:r w:rsidR="004E4B1F">
        <w:rPr>
          <w:rFonts w:eastAsiaTheme="minorEastAsia"/>
          <w:szCs w:val="18"/>
        </w:rPr>
        <w:t>1</w:t>
      </w:r>
      <w:r w:rsidR="00712BBD">
        <w:rPr>
          <w:rFonts w:eastAsiaTheme="minorEastAsia"/>
          <w:szCs w:val="18"/>
        </w:rPr>
        <w:t>.</w:t>
      </w:r>
    </w:p>
    <w:p w:rsidR="00407273" w:rsidP="004D179C" w:rsidRDefault="00407273" w14:paraId="6816B31C" w14:textId="77777777">
      <w:pPr>
        <w:jc w:val="both"/>
        <w:rPr>
          <w:rFonts w:eastAsiaTheme="minorEastAsia"/>
          <w:szCs w:val="18"/>
        </w:rPr>
      </w:pPr>
    </w:p>
    <w:p w:rsidR="004D179C" w:rsidP="004D179C" w:rsidRDefault="004D179C" w14:paraId="5BEEA765" w14:textId="6DB76691">
      <w:pPr>
        <w:jc w:val="both"/>
        <w:rPr>
          <w:rFonts w:eastAsiaTheme="minorEastAsia"/>
          <w:szCs w:val="18"/>
        </w:rPr>
      </w:pPr>
      <w:r>
        <w:rPr>
          <w:rFonts w:eastAsiaTheme="minorEastAsia"/>
          <w:szCs w:val="18"/>
        </w:rPr>
        <w:t xml:space="preserve">Tabel </w:t>
      </w:r>
      <w:r w:rsidR="00407273">
        <w:rPr>
          <w:rFonts w:eastAsiaTheme="minorEastAsia"/>
          <w:szCs w:val="18"/>
        </w:rPr>
        <w:t>6</w:t>
      </w:r>
      <w:r>
        <w:rPr>
          <w:rFonts w:eastAsiaTheme="minorEastAsia"/>
          <w:szCs w:val="18"/>
        </w:rPr>
        <w:t>.</w:t>
      </w:r>
      <w:r w:rsidR="00D43F8C">
        <w:rPr>
          <w:rFonts w:eastAsiaTheme="minorEastAsia"/>
          <w:szCs w:val="18"/>
        </w:rPr>
        <w:t>9</w:t>
      </w:r>
      <w:r>
        <w:rPr>
          <w:rFonts w:eastAsiaTheme="minorEastAsia"/>
          <w:szCs w:val="18"/>
        </w:rPr>
        <w:t xml:space="preserve"> Mate van autonomie naar fasen van interesseontwikkeling </w:t>
      </w:r>
      <w:r w:rsidRPr="00C04884">
        <w:rPr>
          <w:rFonts w:eastAsiaTheme="minorEastAsia"/>
          <w:szCs w:val="18"/>
        </w:rPr>
        <w:t>(alleen bovenbouwleerlingen met een technisch profiel en/of keuzevak, N=90)</w:t>
      </w:r>
    </w:p>
    <w:tbl>
      <w:tblPr>
        <w:tblStyle w:val="Onopgemaaktetabel2"/>
        <w:tblW w:w="0" w:type="auto"/>
        <w:tblLayout w:type="fixed"/>
        <w:tblLook w:val="06A0" w:firstRow="1" w:lastRow="0" w:firstColumn="1" w:lastColumn="0" w:noHBand="1" w:noVBand="1"/>
      </w:tblPr>
      <w:tblGrid>
        <w:gridCol w:w="236"/>
        <w:gridCol w:w="3875"/>
        <w:gridCol w:w="992"/>
        <w:gridCol w:w="851"/>
        <w:gridCol w:w="850"/>
        <w:gridCol w:w="851"/>
        <w:gridCol w:w="776"/>
      </w:tblGrid>
      <w:tr w:rsidRPr="00C134FB" w:rsidR="004D179C" w:rsidTr="001E4A94" w14:paraId="68B5A282"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gridSpan w:val="2"/>
          </w:tcPr>
          <w:p w:rsidRPr="00C360C4" w:rsidR="004D179C" w:rsidP="001E4A94" w:rsidRDefault="004D179C" w14:paraId="6D98A954" w14:textId="77777777">
            <w:pPr>
              <w:rPr>
                <w:rFonts w:eastAsiaTheme="minorEastAsia"/>
                <w:kern w:val="0"/>
                <w:szCs w:val="18"/>
                <w14:ligatures w14:val="none"/>
              </w:rPr>
            </w:pPr>
          </w:p>
        </w:tc>
        <w:tc>
          <w:tcPr>
            <w:tcW w:w="992" w:type="dxa"/>
          </w:tcPr>
          <w:p w:rsidRPr="00C360C4" w:rsidR="004D179C" w:rsidP="001E4A94" w:rsidRDefault="004D179C" w14:paraId="14A4DAFA" w14:textId="77777777">
            <w:pPr>
              <w:cnfStyle w:val="100000000000" w:firstRow="1"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Geen interesse</w:t>
            </w:r>
          </w:p>
        </w:tc>
        <w:tc>
          <w:tcPr>
            <w:tcW w:w="851" w:type="dxa"/>
          </w:tcPr>
          <w:p w:rsidRPr="00C360C4" w:rsidR="004D179C" w:rsidP="001E4A94" w:rsidRDefault="004D179C" w14:paraId="13716C2F" w14:textId="77777777">
            <w:pPr>
              <w:cnfStyle w:val="100000000000" w:firstRow="1"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Fase 1</w:t>
            </w:r>
          </w:p>
        </w:tc>
        <w:tc>
          <w:tcPr>
            <w:tcW w:w="850" w:type="dxa"/>
          </w:tcPr>
          <w:p w:rsidRPr="00C360C4" w:rsidR="004D179C" w:rsidP="001E4A94" w:rsidRDefault="004D179C" w14:paraId="015005DE" w14:textId="77777777">
            <w:pPr>
              <w:cnfStyle w:val="100000000000" w:firstRow="1"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 xml:space="preserve">Fase 2 </w:t>
            </w:r>
          </w:p>
        </w:tc>
        <w:tc>
          <w:tcPr>
            <w:tcW w:w="851" w:type="dxa"/>
          </w:tcPr>
          <w:p w:rsidRPr="00C360C4" w:rsidR="004D179C" w:rsidP="001E4A94" w:rsidRDefault="004D179C" w14:paraId="75FDD15D" w14:textId="77777777">
            <w:pPr>
              <w:cnfStyle w:val="100000000000" w:firstRow="1"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Fase 3</w:t>
            </w:r>
          </w:p>
        </w:tc>
        <w:tc>
          <w:tcPr>
            <w:tcW w:w="776" w:type="dxa"/>
          </w:tcPr>
          <w:p w:rsidRPr="00C360C4" w:rsidR="004D179C" w:rsidP="001E4A94" w:rsidRDefault="004D179C" w14:paraId="2555D413" w14:textId="77777777">
            <w:pPr>
              <w:cnfStyle w:val="100000000000" w:firstRow="1"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Fase 4</w:t>
            </w:r>
          </w:p>
        </w:tc>
      </w:tr>
      <w:tr w:rsidRPr="00C134FB" w:rsidR="004D179C" w:rsidTr="001E4A94" w14:paraId="2D4D0C29" w14:textId="77777777">
        <w:trPr>
          <w:trHeight w:val="300"/>
        </w:trPr>
        <w:tc>
          <w:tcPr>
            <w:cnfStyle w:val="001000000000" w:firstRow="0" w:lastRow="0" w:firstColumn="1" w:lastColumn="0" w:oddVBand="0" w:evenVBand="0" w:oddHBand="0" w:evenHBand="0" w:firstRowFirstColumn="0" w:firstRowLastColumn="0" w:lastRowFirstColumn="0" w:lastRowLastColumn="0"/>
            <w:tcW w:w="4111" w:type="dxa"/>
            <w:gridSpan w:val="2"/>
          </w:tcPr>
          <w:p w:rsidRPr="00C360C4" w:rsidR="004D179C" w:rsidP="001E4A94" w:rsidRDefault="004D179C" w14:paraId="1B284B9E" w14:textId="77777777">
            <w:pPr>
              <w:rPr>
                <w:rFonts w:eastAsiaTheme="minorEastAsia"/>
                <w:kern w:val="0"/>
                <w:szCs w:val="18"/>
                <w14:ligatures w14:val="none"/>
              </w:rPr>
            </w:pPr>
            <w:r w:rsidRPr="00C360C4">
              <w:rPr>
                <w:rFonts w:eastAsiaTheme="minorEastAsia"/>
                <w:kern w:val="0"/>
                <w:szCs w:val="18"/>
                <w14:ligatures w14:val="none"/>
              </w:rPr>
              <w:t>Ik mag zelf kiezen hoe ik een opdracht maak</w:t>
            </w:r>
          </w:p>
        </w:tc>
        <w:tc>
          <w:tcPr>
            <w:tcW w:w="992" w:type="dxa"/>
          </w:tcPr>
          <w:p w:rsidRPr="00C360C4" w:rsidR="004D179C" w:rsidP="001E4A94" w:rsidRDefault="004D179C" w14:paraId="73E99F92"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p>
        </w:tc>
        <w:tc>
          <w:tcPr>
            <w:tcW w:w="851" w:type="dxa"/>
          </w:tcPr>
          <w:p w:rsidRPr="00C360C4" w:rsidR="004D179C" w:rsidP="001E4A94" w:rsidRDefault="004D179C" w14:paraId="649BA690"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p>
        </w:tc>
        <w:tc>
          <w:tcPr>
            <w:tcW w:w="850" w:type="dxa"/>
          </w:tcPr>
          <w:p w:rsidRPr="00C360C4" w:rsidR="004D179C" w:rsidP="001E4A94" w:rsidRDefault="004D179C" w14:paraId="4251CC56"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p>
        </w:tc>
        <w:tc>
          <w:tcPr>
            <w:tcW w:w="851" w:type="dxa"/>
          </w:tcPr>
          <w:p w:rsidRPr="00C360C4" w:rsidR="004D179C" w:rsidP="001E4A94" w:rsidRDefault="004D179C" w14:paraId="5718D9E8"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p>
        </w:tc>
        <w:tc>
          <w:tcPr>
            <w:tcW w:w="776" w:type="dxa"/>
          </w:tcPr>
          <w:p w:rsidRPr="00C360C4" w:rsidR="004D179C" w:rsidP="001E4A94" w:rsidRDefault="004D179C" w14:paraId="6F6C6AE0"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p>
        </w:tc>
      </w:tr>
      <w:tr w:rsidRPr="00C134FB" w:rsidR="004D179C" w:rsidTr="001E4A94" w14:paraId="535C9C54" w14:textId="77777777">
        <w:trPr>
          <w:trHeight w:val="300"/>
        </w:trPr>
        <w:tc>
          <w:tcPr>
            <w:cnfStyle w:val="001000000000" w:firstRow="0" w:lastRow="0" w:firstColumn="1" w:lastColumn="0" w:oddVBand="0" w:evenVBand="0" w:oddHBand="0" w:evenHBand="0" w:firstRowFirstColumn="0" w:firstRowLastColumn="0" w:lastRowFirstColumn="0" w:lastRowLastColumn="0"/>
            <w:tcW w:w="236" w:type="dxa"/>
          </w:tcPr>
          <w:p w:rsidRPr="00C360C4" w:rsidR="004D179C" w:rsidP="001E4A94" w:rsidRDefault="004D179C" w14:paraId="7FD8533D" w14:textId="77777777">
            <w:pPr>
              <w:rPr>
                <w:rFonts w:eastAsiaTheme="minorEastAsia"/>
                <w:kern w:val="0"/>
                <w:szCs w:val="18"/>
                <w14:ligatures w14:val="none"/>
              </w:rPr>
            </w:pPr>
          </w:p>
        </w:tc>
        <w:tc>
          <w:tcPr>
            <w:tcW w:w="3875" w:type="dxa"/>
          </w:tcPr>
          <w:p w:rsidRPr="00C360C4" w:rsidR="004D179C" w:rsidP="001E4A94" w:rsidRDefault="004D179C" w14:paraId="28FE3CE7"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(Helemaal) niet mee eens</w:t>
            </w:r>
          </w:p>
        </w:tc>
        <w:tc>
          <w:tcPr>
            <w:tcW w:w="992" w:type="dxa"/>
          </w:tcPr>
          <w:p w:rsidRPr="00C360C4" w:rsidR="004D179C" w:rsidP="001E4A94" w:rsidRDefault="004D179C" w14:paraId="3C733991"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3%</w:t>
            </w:r>
          </w:p>
        </w:tc>
        <w:tc>
          <w:tcPr>
            <w:tcW w:w="851" w:type="dxa"/>
          </w:tcPr>
          <w:p w:rsidRPr="00C360C4" w:rsidR="004D179C" w:rsidP="001E4A94" w:rsidRDefault="004D179C" w14:paraId="2B744CBD"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7%</w:t>
            </w:r>
          </w:p>
        </w:tc>
        <w:tc>
          <w:tcPr>
            <w:tcW w:w="850" w:type="dxa"/>
          </w:tcPr>
          <w:p w:rsidRPr="00C360C4" w:rsidR="004D179C" w:rsidP="001E4A94" w:rsidRDefault="004D179C" w14:paraId="27B0B911"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13%</w:t>
            </w:r>
          </w:p>
        </w:tc>
        <w:tc>
          <w:tcPr>
            <w:tcW w:w="851" w:type="dxa"/>
          </w:tcPr>
          <w:p w:rsidRPr="00C360C4" w:rsidR="004D179C" w:rsidP="001E4A94" w:rsidRDefault="004D179C" w14:paraId="41B882D0"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33%</w:t>
            </w:r>
          </w:p>
        </w:tc>
        <w:tc>
          <w:tcPr>
            <w:tcW w:w="776" w:type="dxa"/>
          </w:tcPr>
          <w:p w:rsidRPr="00C360C4" w:rsidR="004D179C" w:rsidP="001E4A94" w:rsidRDefault="004D179C" w14:paraId="5E7F43E5"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43%</w:t>
            </w:r>
          </w:p>
        </w:tc>
      </w:tr>
      <w:tr w:rsidRPr="00C134FB" w:rsidR="004D179C" w:rsidTr="001E4A94" w14:paraId="0729AE2A" w14:textId="77777777">
        <w:trPr>
          <w:trHeight w:val="300"/>
        </w:trPr>
        <w:tc>
          <w:tcPr>
            <w:cnfStyle w:val="001000000000" w:firstRow="0" w:lastRow="0" w:firstColumn="1" w:lastColumn="0" w:oddVBand="0" w:evenVBand="0" w:oddHBand="0" w:evenHBand="0" w:firstRowFirstColumn="0" w:firstRowLastColumn="0" w:lastRowFirstColumn="0" w:lastRowLastColumn="0"/>
            <w:tcW w:w="236" w:type="dxa"/>
          </w:tcPr>
          <w:p w:rsidRPr="00C360C4" w:rsidR="004D179C" w:rsidP="001E4A94" w:rsidRDefault="004D179C" w14:paraId="22E63130" w14:textId="77777777">
            <w:pPr>
              <w:rPr>
                <w:rFonts w:eastAsiaTheme="minorEastAsia"/>
                <w:kern w:val="0"/>
                <w:szCs w:val="18"/>
                <w14:ligatures w14:val="none"/>
              </w:rPr>
            </w:pPr>
          </w:p>
        </w:tc>
        <w:tc>
          <w:tcPr>
            <w:tcW w:w="3875" w:type="dxa"/>
          </w:tcPr>
          <w:p w:rsidRPr="00C360C4" w:rsidR="004D179C" w:rsidP="001E4A94" w:rsidRDefault="004D179C" w14:paraId="73F9BCC6"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Neutraal</w:t>
            </w:r>
          </w:p>
        </w:tc>
        <w:tc>
          <w:tcPr>
            <w:tcW w:w="992" w:type="dxa"/>
          </w:tcPr>
          <w:p w:rsidRPr="00C360C4" w:rsidR="004D179C" w:rsidP="001E4A94" w:rsidRDefault="004D179C" w14:paraId="4ECBFCED"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12%</w:t>
            </w:r>
          </w:p>
        </w:tc>
        <w:tc>
          <w:tcPr>
            <w:tcW w:w="851" w:type="dxa"/>
          </w:tcPr>
          <w:p w:rsidRPr="00C360C4" w:rsidR="004D179C" w:rsidP="001E4A94" w:rsidRDefault="004D179C" w14:paraId="02B2F9D3"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12%</w:t>
            </w:r>
          </w:p>
        </w:tc>
        <w:tc>
          <w:tcPr>
            <w:tcW w:w="850" w:type="dxa"/>
          </w:tcPr>
          <w:p w:rsidRPr="00C360C4" w:rsidR="004D179C" w:rsidP="001E4A94" w:rsidRDefault="004D179C" w14:paraId="2726D272"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7%</w:t>
            </w:r>
          </w:p>
        </w:tc>
        <w:tc>
          <w:tcPr>
            <w:tcW w:w="851" w:type="dxa"/>
          </w:tcPr>
          <w:p w:rsidRPr="00C360C4" w:rsidR="004D179C" w:rsidP="001E4A94" w:rsidRDefault="004D179C" w14:paraId="17641B23"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21%</w:t>
            </w:r>
          </w:p>
        </w:tc>
        <w:tc>
          <w:tcPr>
            <w:tcW w:w="776" w:type="dxa"/>
          </w:tcPr>
          <w:p w:rsidRPr="00C360C4" w:rsidR="004D179C" w:rsidP="001E4A94" w:rsidRDefault="004D179C" w14:paraId="7671CF46"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48%</w:t>
            </w:r>
          </w:p>
        </w:tc>
      </w:tr>
      <w:tr w:rsidRPr="00C134FB" w:rsidR="004D179C" w:rsidTr="001E4A94" w14:paraId="1D1D2A60" w14:textId="77777777">
        <w:trPr>
          <w:trHeight w:val="300"/>
        </w:trPr>
        <w:tc>
          <w:tcPr>
            <w:cnfStyle w:val="001000000000" w:firstRow="0" w:lastRow="0" w:firstColumn="1" w:lastColumn="0" w:oddVBand="0" w:evenVBand="0" w:oddHBand="0" w:evenHBand="0" w:firstRowFirstColumn="0" w:firstRowLastColumn="0" w:lastRowFirstColumn="0" w:lastRowLastColumn="0"/>
            <w:tcW w:w="236" w:type="dxa"/>
          </w:tcPr>
          <w:p w:rsidRPr="00C360C4" w:rsidR="004D179C" w:rsidP="001E4A94" w:rsidRDefault="004D179C" w14:paraId="650B2CF0" w14:textId="77777777">
            <w:pPr>
              <w:rPr>
                <w:rFonts w:eastAsiaTheme="minorEastAsia"/>
                <w:kern w:val="0"/>
                <w:szCs w:val="18"/>
                <w14:ligatures w14:val="none"/>
              </w:rPr>
            </w:pPr>
          </w:p>
        </w:tc>
        <w:tc>
          <w:tcPr>
            <w:tcW w:w="3875" w:type="dxa"/>
          </w:tcPr>
          <w:p w:rsidRPr="00C360C4" w:rsidR="004D179C" w:rsidP="001E4A94" w:rsidRDefault="004D179C" w14:paraId="78C7EF6A"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(Helemaal) mee eens</w:t>
            </w:r>
          </w:p>
        </w:tc>
        <w:tc>
          <w:tcPr>
            <w:tcW w:w="992" w:type="dxa"/>
          </w:tcPr>
          <w:p w:rsidRPr="00C360C4" w:rsidR="004D179C" w:rsidP="001E4A94" w:rsidRDefault="004D179C" w14:paraId="2938BBDB"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0%</w:t>
            </w:r>
          </w:p>
        </w:tc>
        <w:tc>
          <w:tcPr>
            <w:tcW w:w="851" w:type="dxa"/>
          </w:tcPr>
          <w:p w:rsidRPr="00C360C4" w:rsidR="004D179C" w:rsidP="001E4A94" w:rsidRDefault="004D179C" w14:paraId="008B8E43"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11%</w:t>
            </w:r>
          </w:p>
        </w:tc>
        <w:tc>
          <w:tcPr>
            <w:tcW w:w="850" w:type="dxa"/>
          </w:tcPr>
          <w:p w:rsidRPr="00C360C4" w:rsidR="004D179C" w:rsidP="001E4A94" w:rsidRDefault="004D179C" w14:paraId="04DD61AE"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11%</w:t>
            </w:r>
          </w:p>
        </w:tc>
        <w:tc>
          <w:tcPr>
            <w:tcW w:w="851" w:type="dxa"/>
          </w:tcPr>
          <w:p w:rsidRPr="00C360C4" w:rsidR="004D179C" w:rsidP="001E4A94" w:rsidRDefault="004D179C" w14:paraId="3BF912AD"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22%</w:t>
            </w:r>
          </w:p>
        </w:tc>
        <w:tc>
          <w:tcPr>
            <w:tcW w:w="776" w:type="dxa"/>
          </w:tcPr>
          <w:p w:rsidRPr="00C360C4" w:rsidR="004D179C" w:rsidP="001E4A94" w:rsidRDefault="004D179C" w14:paraId="5D4E3A3D"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56%</w:t>
            </w:r>
          </w:p>
        </w:tc>
      </w:tr>
      <w:tr w:rsidRPr="00C134FB" w:rsidR="004D179C" w:rsidTr="001E4A94" w14:paraId="4570139E" w14:textId="77777777">
        <w:trPr>
          <w:trHeight w:val="300"/>
        </w:trPr>
        <w:tc>
          <w:tcPr>
            <w:cnfStyle w:val="001000000000" w:firstRow="0" w:lastRow="0" w:firstColumn="1" w:lastColumn="0" w:oddVBand="0" w:evenVBand="0" w:oddHBand="0" w:evenHBand="0" w:firstRowFirstColumn="0" w:firstRowLastColumn="0" w:lastRowFirstColumn="0" w:lastRowLastColumn="0"/>
            <w:tcW w:w="4111" w:type="dxa"/>
            <w:gridSpan w:val="2"/>
          </w:tcPr>
          <w:p w:rsidR="004D179C" w:rsidP="001E4A94" w:rsidRDefault="004D179C" w14:paraId="02EF7427" w14:textId="77777777">
            <w:pPr>
              <w:rPr>
                <w:rFonts w:eastAsiaTheme="minorEastAsia"/>
                <w:b w:val="0"/>
                <w:bCs w:val="0"/>
                <w:kern w:val="0"/>
                <w:szCs w:val="18"/>
                <w14:ligatures w14:val="none"/>
              </w:rPr>
            </w:pPr>
            <w:r w:rsidRPr="00C360C4">
              <w:rPr>
                <w:rFonts w:eastAsiaTheme="minorEastAsia"/>
                <w:kern w:val="0"/>
                <w:szCs w:val="18"/>
                <w14:ligatures w14:val="none"/>
              </w:rPr>
              <w:t xml:space="preserve">Ik mag mijn eigen ideeën en oplossingen </w:t>
            </w:r>
          </w:p>
          <w:p w:rsidRPr="00C360C4" w:rsidR="004D179C" w:rsidP="001E4A94" w:rsidRDefault="004D179C" w14:paraId="3747B663" w14:textId="77777777">
            <w:pPr>
              <w:rPr>
                <w:rFonts w:eastAsiaTheme="minorEastAsia"/>
                <w:kern w:val="0"/>
                <w:szCs w:val="18"/>
                <w14:ligatures w14:val="none"/>
              </w:rPr>
            </w:pPr>
            <w:r w:rsidRPr="00C360C4">
              <w:rPr>
                <w:rFonts w:eastAsiaTheme="minorEastAsia"/>
                <w:kern w:val="0"/>
                <w:szCs w:val="18"/>
                <w14:ligatures w14:val="none"/>
              </w:rPr>
              <w:t>gebruiken in de les</w:t>
            </w:r>
          </w:p>
        </w:tc>
        <w:tc>
          <w:tcPr>
            <w:tcW w:w="992" w:type="dxa"/>
          </w:tcPr>
          <w:p w:rsidRPr="00C360C4" w:rsidR="004D179C" w:rsidP="001E4A94" w:rsidRDefault="004D179C" w14:paraId="552CD2FA"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p>
        </w:tc>
        <w:tc>
          <w:tcPr>
            <w:tcW w:w="851" w:type="dxa"/>
          </w:tcPr>
          <w:p w:rsidRPr="00C360C4" w:rsidR="004D179C" w:rsidP="001E4A94" w:rsidRDefault="004D179C" w14:paraId="33A69797"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p>
        </w:tc>
        <w:tc>
          <w:tcPr>
            <w:tcW w:w="850" w:type="dxa"/>
          </w:tcPr>
          <w:p w:rsidRPr="00C360C4" w:rsidR="004D179C" w:rsidP="001E4A94" w:rsidRDefault="004D179C" w14:paraId="19123C5F"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p>
        </w:tc>
        <w:tc>
          <w:tcPr>
            <w:tcW w:w="851" w:type="dxa"/>
          </w:tcPr>
          <w:p w:rsidRPr="00C360C4" w:rsidR="004D179C" w:rsidP="001E4A94" w:rsidRDefault="004D179C" w14:paraId="6BA2CB0C"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p>
        </w:tc>
        <w:tc>
          <w:tcPr>
            <w:tcW w:w="776" w:type="dxa"/>
          </w:tcPr>
          <w:p w:rsidRPr="00C360C4" w:rsidR="004D179C" w:rsidP="001E4A94" w:rsidRDefault="004D179C" w14:paraId="5F547096"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p>
        </w:tc>
      </w:tr>
      <w:tr w:rsidRPr="00C134FB" w:rsidR="004D179C" w:rsidTr="001E4A94" w14:paraId="1C1F978C" w14:textId="77777777">
        <w:trPr>
          <w:trHeight w:val="300"/>
        </w:trPr>
        <w:tc>
          <w:tcPr>
            <w:cnfStyle w:val="001000000000" w:firstRow="0" w:lastRow="0" w:firstColumn="1" w:lastColumn="0" w:oddVBand="0" w:evenVBand="0" w:oddHBand="0" w:evenHBand="0" w:firstRowFirstColumn="0" w:firstRowLastColumn="0" w:lastRowFirstColumn="0" w:lastRowLastColumn="0"/>
            <w:tcW w:w="236" w:type="dxa"/>
          </w:tcPr>
          <w:p w:rsidRPr="00C360C4" w:rsidR="004D179C" w:rsidP="001E4A94" w:rsidRDefault="004D179C" w14:paraId="77AD682A" w14:textId="77777777">
            <w:pPr>
              <w:rPr>
                <w:rFonts w:eastAsiaTheme="minorEastAsia"/>
                <w:kern w:val="0"/>
                <w:szCs w:val="18"/>
                <w14:ligatures w14:val="none"/>
              </w:rPr>
            </w:pPr>
          </w:p>
        </w:tc>
        <w:tc>
          <w:tcPr>
            <w:tcW w:w="3875" w:type="dxa"/>
          </w:tcPr>
          <w:p w:rsidRPr="00C360C4" w:rsidR="004D179C" w:rsidP="001E4A94" w:rsidRDefault="004D179C" w14:paraId="5282164E"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(Helemaal) niet mee eens</w:t>
            </w:r>
          </w:p>
        </w:tc>
        <w:tc>
          <w:tcPr>
            <w:tcW w:w="992" w:type="dxa"/>
          </w:tcPr>
          <w:p w:rsidRPr="00C360C4" w:rsidR="004D179C" w:rsidP="001E4A94" w:rsidRDefault="004D179C" w14:paraId="639EA2B3"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23%</w:t>
            </w:r>
          </w:p>
        </w:tc>
        <w:tc>
          <w:tcPr>
            <w:tcW w:w="851" w:type="dxa"/>
          </w:tcPr>
          <w:p w:rsidRPr="00C360C4" w:rsidR="004D179C" w:rsidP="001E4A94" w:rsidRDefault="004D179C" w14:paraId="57D48A3D"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8%</w:t>
            </w:r>
          </w:p>
        </w:tc>
        <w:tc>
          <w:tcPr>
            <w:tcW w:w="850" w:type="dxa"/>
          </w:tcPr>
          <w:p w:rsidRPr="00C360C4" w:rsidR="004D179C" w:rsidP="001E4A94" w:rsidRDefault="004D179C" w14:paraId="0FC81E81"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15%</w:t>
            </w:r>
          </w:p>
        </w:tc>
        <w:tc>
          <w:tcPr>
            <w:tcW w:w="851" w:type="dxa"/>
          </w:tcPr>
          <w:p w:rsidRPr="00C360C4" w:rsidR="004D179C" w:rsidP="001E4A94" w:rsidRDefault="004D179C" w14:paraId="0B46F443"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23%</w:t>
            </w:r>
          </w:p>
        </w:tc>
        <w:tc>
          <w:tcPr>
            <w:tcW w:w="776" w:type="dxa"/>
          </w:tcPr>
          <w:p w:rsidRPr="00C360C4" w:rsidR="004D179C" w:rsidP="001E4A94" w:rsidRDefault="004D179C" w14:paraId="3C156710"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31%</w:t>
            </w:r>
          </w:p>
        </w:tc>
      </w:tr>
      <w:tr w:rsidRPr="00C134FB" w:rsidR="004D179C" w:rsidTr="001E4A94" w14:paraId="3F4C863C" w14:textId="77777777">
        <w:trPr>
          <w:trHeight w:val="300"/>
        </w:trPr>
        <w:tc>
          <w:tcPr>
            <w:cnfStyle w:val="001000000000" w:firstRow="0" w:lastRow="0" w:firstColumn="1" w:lastColumn="0" w:oddVBand="0" w:evenVBand="0" w:oddHBand="0" w:evenHBand="0" w:firstRowFirstColumn="0" w:firstRowLastColumn="0" w:lastRowFirstColumn="0" w:lastRowLastColumn="0"/>
            <w:tcW w:w="236" w:type="dxa"/>
          </w:tcPr>
          <w:p w:rsidRPr="00C360C4" w:rsidR="004D179C" w:rsidP="001E4A94" w:rsidRDefault="004D179C" w14:paraId="03059B52" w14:textId="77777777">
            <w:pPr>
              <w:rPr>
                <w:rFonts w:eastAsiaTheme="minorEastAsia"/>
                <w:kern w:val="0"/>
                <w:szCs w:val="18"/>
                <w14:ligatures w14:val="none"/>
              </w:rPr>
            </w:pPr>
          </w:p>
        </w:tc>
        <w:tc>
          <w:tcPr>
            <w:tcW w:w="3875" w:type="dxa"/>
          </w:tcPr>
          <w:p w:rsidRPr="00C360C4" w:rsidR="004D179C" w:rsidP="001E4A94" w:rsidRDefault="004D179C" w14:paraId="09245AE1"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Neutraal</w:t>
            </w:r>
          </w:p>
        </w:tc>
        <w:tc>
          <w:tcPr>
            <w:tcW w:w="992" w:type="dxa"/>
          </w:tcPr>
          <w:p w:rsidRPr="00C360C4" w:rsidR="004D179C" w:rsidP="001E4A94" w:rsidRDefault="004D179C" w14:paraId="52BF2528"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7%</w:t>
            </w:r>
          </w:p>
        </w:tc>
        <w:tc>
          <w:tcPr>
            <w:tcW w:w="851" w:type="dxa"/>
          </w:tcPr>
          <w:p w:rsidRPr="00C360C4" w:rsidR="004D179C" w:rsidP="001E4A94" w:rsidRDefault="004D179C" w14:paraId="0A0161F1"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17%</w:t>
            </w:r>
          </w:p>
        </w:tc>
        <w:tc>
          <w:tcPr>
            <w:tcW w:w="850" w:type="dxa"/>
          </w:tcPr>
          <w:p w:rsidRPr="00C360C4" w:rsidR="004D179C" w:rsidP="001E4A94" w:rsidRDefault="004D179C" w14:paraId="72170CC0"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2%</w:t>
            </w:r>
          </w:p>
        </w:tc>
        <w:tc>
          <w:tcPr>
            <w:tcW w:w="851" w:type="dxa"/>
          </w:tcPr>
          <w:p w:rsidRPr="00C360C4" w:rsidR="004D179C" w:rsidP="001E4A94" w:rsidRDefault="004D179C" w14:paraId="79511669"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26%</w:t>
            </w:r>
          </w:p>
        </w:tc>
        <w:tc>
          <w:tcPr>
            <w:tcW w:w="776" w:type="dxa"/>
          </w:tcPr>
          <w:p w:rsidRPr="00C360C4" w:rsidR="004D179C" w:rsidP="001E4A94" w:rsidRDefault="004D179C" w14:paraId="36D5B34E"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48%</w:t>
            </w:r>
          </w:p>
        </w:tc>
      </w:tr>
      <w:tr w:rsidRPr="00C134FB" w:rsidR="004D179C" w:rsidTr="001E4A94" w14:paraId="26C03E26" w14:textId="77777777">
        <w:trPr>
          <w:trHeight w:val="300"/>
        </w:trPr>
        <w:tc>
          <w:tcPr>
            <w:cnfStyle w:val="001000000000" w:firstRow="0" w:lastRow="0" w:firstColumn="1" w:lastColumn="0" w:oddVBand="0" w:evenVBand="0" w:oddHBand="0" w:evenHBand="0" w:firstRowFirstColumn="0" w:firstRowLastColumn="0" w:lastRowFirstColumn="0" w:lastRowLastColumn="0"/>
            <w:tcW w:w="236" w:type="dxa"/>
          </w:tcPr>
          <w:p w:rsidRPr="00C360C4" w:rsidR="004D179C" w:rsidP="001E4A94" w:rsidRDefault="004D179C" w14:paraId="75C68FE6" w14:textId="77777777">
            <w:pPr>
              <w:rPr>
                <w:rFonts w:eastAsiaTheme="minorEastAsia"/>
                <w:kern w:val="0"/>
                <w:szCs w:val="18"/>
                <w14:ligatures w14:val="none"/>
              </w:rPr>
            </w:pPr>
          </w:p>
        </w:tc>
        <w:tc>
          <w:tcPr>
            <w:tcW w:w="3875" w:type="dxa"/>
          </w:tcPr>
          <w:p w:rsidRPr="00C360C4" w:rsidR="004D179C" w:rsidP="001E4A94" w:rsidRDefault="004D179C" w14:paraId="5D8B5E2B"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(Helemaal) mee eens</w:t>
            </w:r>
          </w:p>
        </w:tc>
        <w:tc>
          <w:tcPr>
            <w:tcW w:w="992" w:type="dxa"/>
          </w:tcPr>
          <w:p w:rsidRPr="00C360C4" w:rsidR="004D179C" w:rsidP="001E4A94" w:rsidRDefault="004D179C" w14:paraId="46A87BF3"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0%</w:t>
            </w:r>
          </w:p>
        </w:tc>
        <w:tc>
          <w:tcPr>
            <w:tcW w:w="851" w:type="dxa"/>
          </w:tcPr>
          <w:p w:rsidRPr="00C360C4" w:rsidR="004D179C" w:rsidP="001E4A94" w:rsidRDefault="004D179C" w14:paraId="48A7FB6F"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0%</w:t>
            </w:r>
          </w:p>
        </w:tc>
        <w:tc>
          <w:tcPr>
            <w:tcW w:w="850" w:type="dxa"/>
          </w:tcPr>
          <w:p w:rsidRPr="00C360C4" w:rsidR="004D179C" w:rsidP="001E4A94" w:rsidRDefault="004D179C" w14:paraId="6F65A936"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19%</w:t>
            </w:r>
          </w:p>
        </w:tc>
        <w:tc>
          <w:tcPr>
            <w:tcW w:w="851" w:type="dxa"/>
          </w:tcPr>
          <w:p w:rsidRPr="00C360C4" w:rsidR="004D179C" w:rsidP="001E4A94" w:rsidRDefault="004D179C" w14:paraId="2A197F4B"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26%</w:t>
            </w:r>
          </w:p>
        </w:tc>
        <w:tc>
          <w:tcPr>
            <w:tcW w:w="776" w:type="dxa"/>
          </w:tcPr>
          <w:p w:rsidRPr="00C360C4" w:rsidR="004D179C" w:rsidP="001E4A94" w:rsidRDefault="004D179C" w14:paraId="2F3531B2"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55%</w:t>
            </w:r>
          </w:p>
        </w:tc>
      </w:tr>
      <w:tr w:rsidRPr="00C134FB" w:rsidR="004D179C" w:rsidTr="001E4A94" w14:paraId="3A8852E7" w14:textId="77777777">
        <w:trPr>
          <w:trHeight w:val="300"/>
        </w:trPr>
        <w:tc>
          <w:tcPr>
            <w:cnfStyle w:val="001000000000" w:firstRow="0" w:lastRow="0" w:firstColumn="1" w:lastColumn="0" w:oddVBand="0" w:evenVBand="0" w:oddHBand="0" w:evenHBand="0" w:firstRowFirstColumn="0" w:firstRowLastColumn="0" w:lastRowFirstColumn="0" w:lastRowLastColumn="0"/>
            <w:tcW w:w="4111" w:type="dxa"/>
            <w:gridSpan w:val="2"/>
          </w:tcPr>
          <w:p w:rsidRPr="00C360C4" w:rsidR="004D179C" w:rsidP="001E4A94" w:rsidRDefault="004D179C" w14:paraId="381D1265" w14:textId="77777777">
            <w:pPr>
              <w:rPr>
                <w:rFonts w:eastAsiaTheme="minorEastAsia"/>
                <w:kern w:val="0"/>
                <w:szCs w:val="18"/>
                <w14:ligatures w14:val="none"/>
              </w:rPr>
            </w:pPr>
            <w:r w:rsidRPr="00C360C4">
              <w:rPr>
                <w:rFonts w:eastAsiaTheme="minorEastAsia"/>
                <w:kern w:val="0"/>
                <w:szCs w:val="18"/>
                <w14:ligatures w14:val="none"/>
              </w:rPr>
              <w:t>Ik kan mijn eigen tempo bepalen tijdens een technische opdracht</w:t>
            </w:r>
          </w:p>
        </w:tc>
        <w:tc>
          <w:tcPr>
            <w:tcW w:w="992" w:type="dxa"/>
          </w:tcPr>
          <w:p w:rsidRPr="00C360C4" w:rsidR="004D179C" w:rsidP="001E4A94" w:rsidRDefault="004D179C" w14:paraId="4E577752"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p>
        </w:tc>
        <w:tc>
          <w:tcPr>
            <w:tcW w:w="851" w:type="dxa"/>
          </w:tcPr>
          <w:p w:rsidRPr="00C360C4" w:rsidR="004D179C" w:rsidP="001E4A94" w:rsidRDefault="004D179C" w14:paraId="0C895B56"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p>
        </w:tc>
        <w:tc>
          <w:tcPr>
            <w:tcW w:w="850" w:type="dxa"/>
          </w:tcPr>
          <w:p w:rsidRPr="00C360C4" w:rsidR="004D179C" w:rsidP="001E4A94" w:rsidRDefault="004D179C" w14:paraId="0C819DDB"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p>
        </w:tc>
        <w:tc>
          <w:tcPr>
            <w:tcW w:w="851" w:type="dxa"/>
          </w:tcPr>
          <w:p w:rsidRPr="00C360C4" w:rsidR="004D179C" w:rsidP="001E4A94" w:rsidRDefault="004D179C" w14:paraId="63918318"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p>
        </w:tc>
        <w:tc>
          <w:tcPr>
            <w:tcW w:w="776" w:type="dxa"/>
          </w:tcPr>
          <w:p w:rsidRPr="00C360C4" w:rsidR="004D179C" w:rsidP="001E4A94" w:rsidRDefault="004D179C" w14:paraId="605F13D2"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p>
        </w:tc>
      </w:tr>
      <w:tr w:rsidRPr="00C134FB" w:rsidR="004D179C" w:rsidTr="001E4A94" w14:paraId="37CB0EE0" w14:textId="77777777">
        <w:trPr>
          <w:trHeight w:val="300"/>
        </w:trPr>
        <w:tc>
          <w:tcPr>
            <w:cnfStyle w:val="001000000000" w:firstRow="0" w:lastRow="0" w:firstColumn="1" w:lastColumn="0" w:oddVBand="0" w:evenVBand="0" w:oddHBand="0" w:evenHBand="0" w:firstRowFirstColumn="0" w:firstRowLastColumn="0" w:lastRowFirstColumn="0" w:lastRowLastColumn="0"/>
            <w:tcW w:w="236" w:type="dxa"/>
          </w:tcPr>
          <w:p w:rsidRPr="00C360C4" w:rsidR="004D179C" w:rsidP="001E4A94" w:rsidRDefault="004D179C" w14:paraId="1AE14C2D" w14:textId="77777777">
            <w:pPr>
              <w:rPr>
                <w:rFonts w:eastAsiaTheme="minorEastAsia"/>
                <w:kern w:val="0"/>
                <w:szCs w:val="18"/>
                <w14:ligatures w14:val="none"/>
              </w:rPr>
            </w:pPr>
          </w:p>
        </w:tc>
        <w:tc>
          <w:tcPr>
            <w:tcW w:w="3875" w:type="dxa"/>
          </w:tcPr>
          <w:p w:rsidRPr="00C360C4" w:rsidR="004D179C" w:rsidP="001E4A94" w:rsidRDefault="004D179C" w14:paraId="50340F2C"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(Helemaal) niet mee eens</w:t>
            </w:r>
          </w:p>
        </w:tc>
        <w:tc>
          <w:tcPr>
            <w:tcW w:w="992" w:type="dxa"/>
          </w:tcPr>
          <w:p w:rsidRPr="00C360C4" w:rsidR="004D179C" w:rsidP="001E4A94" w:rsidRDefault="004D179C" w14:paraId="7836E6FE"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0%</w:t>
            </w:r>
          </w:p>
        </w:tc>
        <w:tc>
          <w:tcPr>
            <w:tcW w:w="851" w:type="dxa"/>
          </w:tcPr>
          <w:p w:rsidRPr="00C360C4" w:rsidR="004D179C" w:rsidP="001E4A94" w:rsidRDefault="004D179C" w14:paraId="6D48A092"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6%</w:t>
            </w:r>
          </w:p>
        </w:tc>
        <w:tc>
          <w:tcPr>
            <w:tcW w:w="850" w:type="dxa"/>
          </w:tcPr>
          <w:p w:rsidRPr="00C360C4" w:rsidR="004D179C" w:rsidP="001E4A94" w:rsidRDefault="004D179C" w14:paraId="1644FC73"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13%</w:t>
            </w:r>
          </w:p>
        </w:tc>
        <w:tc>
          <w:tcPr>
            <w:tcW w:w="851" w:type="dxa"/>
          </w:tcPr>
          <w:p w:rsidRPr="00C360C4" w:rsidR="004D179C" w:rsidP="001E4A94" w:rsidRDefault="004D179C" w14:paraId="6F95818B"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31%</w:t>
            </w:r>
          </w:p>
        </w:tc>
        <w:tc>
          <w:tcPr>
            <w:tcW w:w="776" w:type="dxa"/>
          </w:tcPr>
          <w:p w:rsidRPr="00C360C4" w:rsidR="004D179C" w:rsidP="001E4A94" w:rsidRDefault="004D179C" w14:paraId="5597B36C"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50%</w:t>
            </w:r>
          </w:p>
        </w:tc>
      </w:tr>
      <w:tr w:rsidRPr="00C134FB" w:rsidR="004D179C" w:rsidTr="001E4A94" w14:paraId="2031D4E2" w14:textId="77777777">
        <w:trPr>
          <w:trHeight w:val="300"/>
        </w:trPr>
        <w:tc>
          <w:tcPr>
            <w:cnfStyle w:val="001000000000" w:firstRow="0" w:lastRow="0" w:firstColumn="1" w:lastColumn="0" w:oddVBand="0" w:evenVBand="0" w:oddHBand="0" w:evenHBand="0" w:firstRowFirstColumn="0" w:firstRowLastColumn="0" w:lastRowFirstColumn="0" w:lastRowLastColumn="0"/>
            <w:tcW w:w="236" w:type="dxa"/>
          </w:tcPr>
          <w:p w:rsidRPr="00C360C4" w:rsidR="004D179C" w:rsidP="001E4A94" w:rsidRDefault="004D179C" w14:paraId="04067CA6" w14:textId="77777777">
            <w:pPr>
              <w:rPr>
                <w:rFonts w:eastAsiaTheme="minorEastAsia"/>
                <w:kern w:val="0"/>
                <w:szCs w:val="18"/>
                <w14:ligatures w14:val="none"/>
              </w:rPr>
            </w:pPr>
          </w:p>
        </w:tc>
        <w:tc>
          <w:tcPr>
            <w:tcW w:w="3875" w:type="dxa"/>
          </w:tcPr>
          <w:p w:rsidRPr="00C360C4" w:rsidR="004D179C" w:rsidP="001E4A94" w:rsidRDefault="004D179C" w14:paraId="07E8948C"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Neutraal</w:t>
            </w:r>
          </w:p>
        </w:tc>
        <w:tc>
          <w:tcPr>
            <w:tcW w:w="992" w:type="dxa"/>
          </w:tcPr>
          <w:p w:rsidRPr="00C360C4" w:rsidR="004D179C" w:rsidP="001E4A94" w:rsidRDefault="004D179C" w14:paraId="009760BB"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12%</w:t>
            </w:r>
          </w:p>
        </w:tc>
        <w:tc>
          <w:tcPr>
            <w:tcW w:w="851" w:type="dxa"/>
          </w:tcPr>
          <w:p w:rsidRPr="00C360C4" w:rsidR="004D179C" w:rsidP="001E4A94" w:rsidRDefault="004D179C" w14:paraId="4A669D4E"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10%</w:t>
            </w:r>
          </w:p>
        </w:tc>
        <w:tc>
          <w:tcPr>
            <w:tcW w:w="850" w:type="dxa"/>
          </w:tcPr>
          <w:p w:rsidRPr="00C360C4" w:rsidR="004D179C" w:rsidP="001E4A94" w:rsidRDefault="004D179C" w14:paraId="5DAD9C17"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5%</w:t>
            </w:r>
          </w:p>
        </w:tc>
        <w:tc>
          <w:tcPr>
            <w:tcW w:w="851" w:type="dxa"/>
          </w:tcPr>
          <w:p w:rsidRPr="00C360C4" w:rsidR="004D179C" w:rsidP="001E4A94" w:rsidRDefault="004D179C" w14:paraId="684A1317"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29%</w:t>
            </w:r>
          </w:p>
        </w:tc>
        <w:tc>
          <w:tcPr>
            <w:tcW w:w="776" w:type="dxa"/>
          </w:tcPr>
          <w:p w:rsidRPr="00C360C4" w:rsidR="004D179C" w:rsidP="001E4A94" w:rsidRDefault="004D179C" w14:paraId="7CCB5968"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45%</w:t>
            </w:r>
          </w:p>
        </w:tc>
      </w:tr>
      <w:tr w:rsidRPr="00C134FB" w:rsidR="004D179C" w:rsidTr="001E4A94" w14:paraId="6E435E9F" w14:textId="77777777">
        <w:trPr>
          <w:trHeight w:val="300"/>
        </w:trPr>
        <w:tc>
          <w:tcPr>
            <w:cnfStyle w:val="001000000000" w:firstRow="0" w:lastRow="0" w:firstColumn="1" w:lastColumn="0" w:oddVBand="0" w:evenVBand="0" w:oddHBand="0" w:evenHBand="0" w:firstRowFirstColumn="0" w:firstRowLastColumn="0" w:lastRowFirstColumn="0" w:lastRowLastColumn="0"/>
            <w:tcW w:w="236" w:type="dxa"/>
          </w:tcPr>
          <w:p w:rsidRPr="00C360C4" w:rsidR="004D179C" w:rsidP="001E4A94" w:rsidRDefault="004D179C" w14:paraId="32C09D5F" w14:textId="77777777">
            <w:pPr>
              <w:rPr>
                <w:rFonts w:eastAsiaTheme="minorEastAsia"/>
                <w:kern w:val="0"/>
                <w:szCs w:val="18"/>
                <w14:ligatures w14:val="none"/>
              </w:rPr>
            </w:pPr>
          </w:p>
        </w:tc>
        <w:tc>
          <w:tcPr>
            <w:tcW w:w="3875" w:type="dxa"/>
          </w:tcPr>
          <w:p w:rsidRPr="00C360C4" w:rsidR="004D179C" w:rsidP="001E4A94" w:rsidRDefault="004D179C" w14:paraId="226212FD"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(Helemaal) mee eens</w:t>
            </w:r>
          </w:p>
        </w:tc>
        <w:tc>
          <w:tcPr>
            <w:tcW w:w="992" w:type="dxa"/>
          </w:tcPr>
          <w:p w:rsidRPr="00C360C4" w:rsidR="004D179C" w:rsidP="001E4A94" w:rsidRDefault="004D179C" w14:paraId="277F46B5"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3%</w:t>
            </w:r>
          </w:p>
        </w:tc>
        <w:tc>
          <w:tcPr>
            <w:tcW w:w="851" w:type="dxa"/>
          </w:tcPr>
          <w:p w:rsidRPr="00C360C4" w:rsidR="004D179C" w:rsidP="001E4A94" w:rsidRDefault="004D179C" w14:paraId="58C85C94"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13%</w:t>
            </w:r>
          </w:p>
        </w:tc>
        <w:tc>
          <w:tcPr>
            <w:tcW w:w="850" w:type="dxa"/>
          </w:tcPr>
          <w:p w:rsidRPr="00C360C4" w:rsidR="004D179C" w:rsidP="001E4A94" w:rsidRDefault="004D179C" w14:paraId="199476E7"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16%</w:t>
            </w:r>
          </w:p>
        </w:tc>
        <w:tc>
          <w:tcPr>
            <w:tcW w:w="851" w:type="dxa"/>
          </w:tcPr>
          <w:p w:rsidRPr="00C360C4" w:rsidR="004D179C" w:rsidP="001E4A94" w:rsidRDefault="004D179C" w14:paraId="6FA24D4A"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19%</w:t>
            </w:r>
          </w:p>
        </w:tc>
        <w:tc>
          <w:tcPr>
            <w:tcW w:w="776" w:type="dxa"/>
          </w:tcPr>
          <w:p w:rsidRPr="00C360C4" w:rsidR="004D179C" w:rsidP="001E4A94" w:rsidRDefault="004D179C" w14:paraId="407BF3C3" w14:textId="77777777">
            <w:pPr>
              <w:cnfStyle w:val="000000000000" w:firstRow="0" w:lastRow="0" w:firstColumn="0" w:lastColumn="0" w:oddVBand="0" w:evenVBand="0" w:oddHBand="0" w:evenHBand="0" w:firstRowFirstColumn="0" w:firstRowLastColumn="0" w:lastRowFirstColumn="0" w:lastRowLastColumn="0"/>
              <w:rPr>
                <w:rFonts w:eastAsiaTheme="minorEastAsia"/>
                <w:kern w:val="0"/>
                <w:szCs w:val="18"/>
                <w14:ligatures w14:val="none"/>
              </w:rPr>
            </w:pPr>
            <w:r w:rsidRPr="00C360C4">
              <w:rPr>
                <w:rFonts w:eastAsiaTheme="minorEastAsia"/>
                <w:kern w:val="0"/>
                <w:szCs w:val="18"/>
                <w14:ligatures w14:val="none"/>
              </w:rPr>
              <w:t>50%</w:t>
            </w:r>
          </w:p>
        </w:tc>
      </w:tr>
    </w:tbl>
    <w:p w:rsidR="004D179C" w:rsidP="004D179C" w:rsidRDefault="004D179C" w14:paraId="2991F159" w14:textId="77777777">
      <w:pPr>
        <w:rPr>
          <w:rFonts w:eastAsiaTheme="minorEastAsia"/>
          <w:szCs w:val="18"/>
        </w:rPr>
      </w:pPr>
      <w:r w:rsidRPr="00C04884">
        <w:rPr>
          <w:rFonts w:eastAsiaTheme="minorEastAsia"/>
          <w:szCs w:val="18"/>
        </w:rPr>
        <w:t>Bron: Leerlingenvragenlijst mei-juli 2025.</w:t>
      </w:r>
      <w:r>
        <w:rPr>
          <w:rFonts w:eastAsiaTheme="minorEastAsia"/>
          <w:szCs w:val="18"/>
        </w:rPr>
        <w:t xml:space="preserve"> Rijpercentages. </w:t>
      </w:r>
    </w:p>
    <w:p w:rsidR="00A47A07" w:rsidP="004D179C" w:rsidRDefault="00A47A07" w14:paraId="1AFE75B1" w14:textId="77777777">
      <w:pPr>
        <w:rPr>
          <w:rFonts w:eastAsiaTheme="minorEastAsia"/>
          <w:szCs w:val="18"/>
        </w:rPr>
      </w:pPr>
    </w:p>
    <w:p w:rsidR="004D179C" w:rsidP="004D179C" w:rsidRDefault="004D179C" w14:paraId="5EE4B946" w14:textId="77777777">
      <w:pPr>
        <w:rPr>
          <w:rFonts w:eastAsiaTheme="minorEastAsia"/>
          <w:szCs w:val="18"/>
        </w:rPr>
      </w:pPr>
      <w:r>
        <w:rPr>
          <w:rFonts w:eastAsiaTheme="minorEastAsia"/>
          <w:szCs w:val="18"/>
        </w:rPr>
        <w:t>Als het gaat om ervaren autonomie tijdens technieklessen en interesse in techniek, zien we aanwijzingen voor een positief verband bij de stelling ‘Ik mag zelf kiezen hoe ik een opdracht maak’ en ‘Ik mag mijn eigen ideeën en oplossingen gebruiken tijdens de les”. Leerlingen die het hier (helemaal) mee eens zijn, bevinden zich vaker in fase 4 van interesseontwikkeling, en vallen nooit in de categorie ‘geen interesse’. Dit patroon is niet zichtbaar bij de derde stelling (</w:t>
      </w:r>
      <w:r w:rsidRPr="00C360C4">
        <w:rPr>
          <w:rFonts w:eastAsiaTheme="minorEastAsia"/>
          <w:szCs w:val="18"/>
        </w:rPr>
        <w:t>Ik kan mijn eigen tempo bepalen tijdens een technische opdracht</w:t>
      </w:r>
      <w:r>
        <w:rPr>
          <w:rFonts w:eastAsiaTheme="minorEastAsia"/>
          <w:szCs w:val="18"/>
        </w:rPr>
        <w:t xml:space="preserve">). </w:t>
      </w:r>
    </w:p>
    <w:p w:rsidR="004D179C" w:rsidP="004D179C" w:rsidRDefault="004D179C" w14:paraId="07A49963" w14:textId="77777777">
      <w:pPr>
        <w:rPr>
          <w:rFonts w:eastAsiaTheme="minorEastAsia"/>
          <w:szCs w:val="18"/>
        </w:rPr>
      </w:pPr>
      <w:r>
        <w:rPr>
          <w:rFonts w:eastAsiaTheme="minorEastAsia"/>
          <w:szCs w:val="18"/>
        </w:rPr>
        <w:br w:type="page"/>
      </w:r>
    </w:p>
    <w:p w:rsidRPr="008F1384" w:rsidR="004D179C" w:rsidP="004D179C" w:rsidRDefault="004D179C" w14:paraId="509D0E1B" w14:textId="77777777">
      <w:pPr>
        <w:rPr>
          <w:rFonts w:eastAsiaTheme="minorEastAsia"/>
          <w:szCs w:val="18"/>
        </w:rPr>
      </w:pPr>
    </w:p>
    <w:p w:rsidR="004D179C" w:rsidP="004D179C" w:rsidRDefault="004D179C" w14:paraId="343302EB" w14:textId="391BE0B6">
      <w:pPr>
        <w:jc w:val="both"/>
        <w:rPr>
          <w:rFonts w:eastAsiaTheme="minorEastAsia"/>
          <w:szCs w:val="18"/>
        </w:rPr>
      </w:pPr>
      <w:r>
        <w:rPr>
          <w:rFonts w:eastAsiaTheme="minorEastAsia"/>
          <w:szCs w:val="18"/>
        </w:rPr>
        <w:t xml:space="preserve">Tabel </w:t>
      </w:r>
      <w:r w:rsidR="00407273">
        <w:rPr>
          <w:rFonts w:eastAsiaTheme="minorEastAsia"/>
          <w:szCs w:val="18"/>
        </w:rPr>
        <w:t>6.</w:t>
      </w:r>
      <w:r w:rsidR="00D43F8C">
        <w:rPr>
          <w:rFonts w:eastAsiaTheme="minorEastAsia"/>
          <w:szCs w:val="18"/>
        </w:rPr>
        <w:t>10</w:t>
      </w:r>
      <w:r>
        <w:rPr>
          <w:rFonts w:eastAsiaTheme="minorEastAsia"/>
          <w:szCs w:val="18"/>
        </w:rPr>
        <w:t xml:space="preserve"> Mate van verbondenheid naar fasen van interesseontwikkeling </w:t>
      </w:r>
      <w:r w:rsidRPr="00C04884">
        <w:rPr>
          <w:rFonts w:eastAsiaTheme="minorEastAsia"/>
          <w:szCs w:val="18"/>
        </w:rPr>
        <w:t>(alleen bovenbouwleerlingen met een technisch profiel en/of keuzevak, N=90)</w:t>
      </w:r>
    </w:p>
    <w:tbl>
      <w:tblPr>
        <w:tblStyle w:val="Onopgemaaktetabel2"/>
        <w:tblW w:w="0" w:type="auto"/>
        <w:tblLook w:val="06A0" w:firstRow="1" w:lastRow="0" w:firstColumn="1" w:lastColumn="0" w:noHBand="1" w:noVBand="1"/>
      </w:tblPr>
      <w:tblGrid>
        <w:gridCol w:w="417"/>
        <w:gridCol w:w="4324"/>
        <w:gridCol w:w="1040"/>
        <w:gridCol w:w="851"/>
        <w:gridCol w:w="850"/>
        <w:gridCol w:w="851"/>
        <w:gridCol w:w="850"/>
      </w:tblGrid>
      <w:tr w:rsidRPr="00ED2C45" w:rsidR="004D179C" w:rsidTr="001E4A94" w14:paraId="37B79191"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2"/>
          </w:tcPr>
          <w:p w:rsidR="004D179C" w:rsidP="001E4A94" w:rsidRDefault="004D179C" w14:paraId="2403B46F" w14:textId="77777777">
            <w:pPr>
              <w:rPr>
                <w:rFonts w:eastAsiaTheme="minorEastAsia"/>
                <w:szCs w:val="18"/>
              </w:rPr>
            </w:pPr>
          </w:p>
        </w:tc>
        <w:tc>
          <w:tcPr>
            <w:tcW w:w="1040" w:type="dxa"/>
          </w:tcPr>
          <w:p w:rsidR="004D179C" w:rsidP="001E4A94" w:rsidRDefault="004D179C" w14:paraId="3D2DCF9B" w14:textId="77777777">
            <w:pPr>
              <w:cnfStyle w:val="100000000000" w:firstRow="1" w:lastRow="0" w:firstColumn="0" w:lastColumn="0" w:oddVBand="0" w:evenVBand="0" w:oddHBand="0" w:evenHBand="0" w:firstRowFirstColumn="0" w:firstRowLastColumn="0" w:lastRowFirstColumn="0" w:lastRowLastColumn="0"/>
              <w:rPr>
                <w:rFonts w:eastAsiaTheme="minorEastAsia"/>
                <w:szCs w:val="18"/>
              </w:rPr>
            </w:pPr>
            <w:r w:rsidRPr="20ACCEE9">
              <w:rPr>
                <w:rFonts w:eastAsiaTheme="minorEastAsia"/>
                <w:szCs w:val="18"/>
              </w:rPr>
              <w:t>Geen interesse</w:t>
            </w:r>
          </w:p>
        </w:tc>
        <w:tc>
          <w:tcPr>
            <w:tcW w:w="851" w:type="dxa"/>
          </w:tcPr>
          <w:p w:rsidR="004D179C" w:rsidP="001E4A94" w:rsidRDefault="004D179C" w14:paraId="21823983" w14:textId="77777777">
            <w:pPr>
              <w:cnfStyle w:val="100000000000" w:firstRow="1" w:lastRow="0" w:firstColumn="0" w:lastColumn="0" w:oddVBand="0" w:evenVBand="0" w:oddHBand="0" w:evenHBand="0" w:firstRowFirstColumn="0" w:firstRowLastColumn="0" w:lastRowFirstColumn="0" w:lastRowLastColumn="0"/>
              <w:rPr>
                <w:rFonts w:eastAsiaTheme="minorEastAsia"/>
                <w:szCs w:val="18"/>
              </w:rPr>
            </w:pPr>
            <w:r w:rsidRPr="20ACCEE9">
              <w:rPr>
                <w:rFonts w:eastAsiaTheme="minorEastAsia"/>
                <w:szCs w:val="18"/>
              </w:rPr>
              <w:t>Fase 1</w:t>
            </w:r>
          </w:p>
        </w:tc>
        <w:tc>
          <w:tcPr>
            <w:tcW w:w="850" w:type="dxa"/>
          </w:tcPr>
          <w:p w:rsidR="004D179C" w:rsidP="001E4A94" w:rsidRDefault="004D179C" w14:paraId="1BE52604" w14:textId="77777777">
            <w:pPr>
              <w:cnfStyle w:val="100000000000" w:firstRow="1" w:lastRow="0" w:firstColumn="0" w:lastColumn="0" w:oddVBand="0" w:evenVBand="0" w:oddHBand="0" w:evenHBand="0" w:firstRowFirstColumn="0" w:firstRowLastColumn="0" w:lastRowFirstColumn="0" w:lastRowLastColumn="0"/>
              <w:rPr>
                <w:rFonts w:eastAsiaTheme="minorEastAsia"/>
                <w:szCs w:val="18"/>
              </w:rPr>
            </w:pPr>
            <w:r w:rsidRPr="20ACCEE9">
              <w:rPr>
                <w:rFonts w:eastAsiaTheme="minorEastAsia"/>
                <w:szCs w:val="18"/>
              </w:rPr>
              <w:t xml:space="preserve">Fase 2 </w:t>
            </w:r>
          </w:p>
        </w:tc>
        <w:tc>
          <w:tcPr>
            <w:tcW w:w="851" w:type="dxa"/>
          </w:tcPr>
          <w:p w:rsidR="004D179C" w:rsidP="001E4A94" w:rsidRDefault="004D179C" w14:paraId="40F02F9C" w14:textId="77777777">
            <w:pPr>
              <w:cnfStyle w:val="100000000000" w:firstRow="1" w:lastRow="0" w:firstColumn="0" w:lastColumn="0" w:oddVBand="0" w:evenVBand="0" w:oddHBand="0" w:evenHBand="0" w:firstRowFirstColumn="0" w:firstRowLastColumn="0" w:lastRowFirstColumn="0" w:lastRowLastColumn="0"/>
              <w:rPr>
                <w:rFonts w:eastAsiaTheme="minorEastAsia"/>
                <w:szCs w:val="18"/>
              </w:rPr>
            </w:pPr>
            <w:r w:rsidRPr="20ACCEE9">
              <w:rPr>
                <w:rFonts w:eastAsiaTheme="minorEastAsia"/>
                <w:szCs w:val="18"/>
              </w:rPr>
              <w:t>Fase 3</w:t>
            </w:r>
          </w:p>
        </w:tc>
        <w:tc>
          <w:tcPr>
            <w:tcW w:w="850" w:type="dxa"/>
          </w:tcPr>
          <w:p w:rsidR="004D179C" w:rsidP="001E4A94" w:rsidRDefault="004D179C" w14:paraId="595F4A70" w14:textId="77777777">
            <w:pPr>
              <w:cnfStyle w:val="100000000000" w:firstRow="1" w:lastRow="0" w:firstColumn="0" w:lastColumn="0" w:oddVBand="0" w:evenVBand="0" w:oddHBand="0" w:evenHBand="0" w:firstRowFirstColumn="0" w:firstRowLastColumn="0" w:lastRowFirstColumn="0" w:lastRowLastColumn="0"/>
              <w:rPr>
                <w:rFonts w:eastAsiaTheme="minorEastAsia"/>
                <w:szCs w:val="18"/>
              </w:rPr>
            </w:pPr>
            <w:r w:rsidRPr="20ACCEE9">
              <w:rPr>
                <w:rFonts w:eastAsiaTheme="minorEastAsia"/>
                <w:szCs w:val="18"/>
              </w:rPr>
              <w:t>Fase 4</w:t>
            </w:r>
          </w:p>
        </w:tc>
      </w:tr>
      <w:tr w:rsidRPr="00ED2C45" w:rsidR="004D179C" w:rsidTr="001E4A94" w14:paraId="750B3E19"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gridSpan w:val="2"/>
          </w:tcPr>
          <w:p w:rsidRPr="00ED2C45" w:rsidR="004D179C" w:rsidP="001E4A94" w:rsidRDefault="004D179C" w14:paraId="18582A37" w14:textId="77777777">
            <w:pPr>
              <w:rPr>
                <w:rFonts w:eastAsia="Calibri" w:cs="Calibri"/>
                <w:color w:val="000000" w:themeColor="text1"/>
                <w:szCs w:val="18"/>
              </w:rPr>
            </w:pPr>
            <w:r w:rsidRPr="00ED2C45">
              <w:rPr>
                <w:rFonts w:eastAsia="Calibri" w:cs="Calibri"/>
                <w:color w:val="000000" w:themeColor="text1"/>
                <w:szCs w:val="18"/>
              </w:rPr>
              <w:t>Mijn docent helpt me als ik dat nodig heb</w:t>
            </w:r>
          </w:p>
        </w:tc>
        <w:tc>
          <w:tcPr>
            <w:tcW w:w="1040" w:type="dxa"/>
          </w:tcPr>
          <w:p w:rsidRPr="00ED2C45" w:rsidR="004D179C" w:rsidP="001E4A94" w:rsidRDefault="004D179C" w14:paraId="09583ED9" w14:textId="77777777">
            <w:pPr>
              <w:cnfStyle w:val="000000000000" w:firstRow="0" w:lastRow="0" w:firstColumn="0" w:lastColumn="0" w:oddVBand="0" w:evenVBand="0" w:oddHBand="0" w:evenHBand="0" w:firstRowFirstColumn="0" w:firstRowLastColumn="0" w:lastRowFirstColumn="0" w:lastRowLastColumn="0"/>
              <w:rPr>
                <w:szCs w:val="18"/>
              </w:rPr>
            </w:pPr>
          </w:p>
        </w:tc>
        <w:tc>
          <w:tcPr>
            <w:tcW w:w="851" w:type="dxa"/>
          </w:tcPr>
          <w:p w:rsidRPr="00ED2C45" w:rsidR="004D179C" w:rsidP="001E4A94" w:rsidRDefault="004D179C" w14:paraId="196FCD85" w14:textId="77777777">
            <w:pPr>
              <w:cnfStyle w:val="000000000000" w:firstRow="0" w:lastRow="0" w:firstColumn="0" w:lastColumn="0" w:oddVBand="0" w:evenVBand="0" w:oddHBand="0" w:evenHBand="0" w:firstRowFirstColumn="0" w:firstRowLastColumn="0" w:lastRowFirstColumn="0" w:lastRowLastColumn="0"/>
              <w:rPr>
                <w:szCs w:val="18"/>
              </w:rPr>
            </w:pPr>
          </w:p>
        </w:tc>
        <w:tc>
          <w:tcPr>
            <w:tcW w:w="850" w:type="dxa"/>
          </w:tcPr>
          <w:p w:rsidRPr="00ED2C45" w:rsidR="004D179C" w:rsidP="001E4A94" w:rsidRDefault="004D179C" w14:paraId="712C341D" w14:textId="77777777">
            <w:pPr>
              <w:cnfStyle w:val="000000000000" w:firstRow="0" w:lastRow="0" w:firstColumn="0" w:lastColumn="0" w:oddVBand="0" w:evenVBand="0" w:oddHBand="0" w:evenHBand="0" w:firstRowFirstColumn="0" w:firstRowLastColumn="0" w:lastRowFirstColumn="0" w:lastRowLastColumn="0"/>
              <w:rPr>
                <w:szCs w:val="18"/>
              </w:rPr>
            </w:pPr>
          </w:p>
        </w:tc>
        <w:tc>
          <w:tcPr>
            <w:tcW w:w="851" w:type="dxa"/>
          </w:tcPr>
          <w:p w:rsidRPr="00ED2C45" w:rsidR="004D179C" w:rsidP="001E4A94" w:rsidRDefault="004D179C" w14:paraId="47D843B5" w14:textId="77777777">
            <w:pPr>
              <w:cnfStyle w:val="000000000000" w:firstRow="0" w:lastRow="0" w:firstColumn="0" w:lastColumn="0" w:oddVBand="0" w:evenVBand="0" w:oddHBand="0" w:evenHBand="0" w:firstRowFirstColumn="0" w:firstRowLastColumn="0" w:lastRowFirstColumn="0" w:lastRowLastColumn="0"/>
              <w:rPr>
                <w:szCs w:val="18"/>
              </w:rPr>
            </w:pPr>
          </w:p>
        </w:tc>
        <w:tc>
          <w:tcPr>
            <w:tcW w:w="850" w:type="dxa"/>
          </w:tcPr>
          <w:p w:rsidRPr="00ED2C45" w:rsidR="004D179C" w:rsidP="001E4A94" w:rsidRDefault="004D179C" w14:paraId="4EAA444E" w14:textId="77777777">
            <w:pPr>
              <w:cnfStyle w:val="000000000000" w:firstRow="0" w:lastRow="0" w:firstColumn="0" w:lastColumn="0" w:oddVBand="0" w:evenVBand="0" w:oddHBand="0" w:evenHBand="0" w:firstRowFirstColumn="0" w:firstRowLastColumn="0" w:lastRowFirstColumn="0" w:lastRowLastColumn="0"/>
              <w:rPr>
                <w:szCs w:val="18"/>
              </w:rPr>
            </w:pPr>
          </w:p>
        </w:tc>
      </w:tr>
      <w:tr w:rsidRPr="00ED2C45" w:rsidR="004D179C" w:rsidTr="001E4A94" w14:paraId="79EFB114"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Pr="00ED2C45" w:rsidR="004D179C" w:rsidP="001E4A94" w:rsidRDefault="004D179C" w14:paraId="4B5A3626" w14:textId="77777777">
            <w:pPr>
              <w:rPr>
                <w:szCs w:val="18"/>
              </w:rPr>
            </w:pPr>
          </w:p>
        </w:tc>
        <w:tc>
          <w:tcPr>
            <w:tcW w:w="0" w:type="auto"/>
          </w:tcPr>
          <w:p w:rsidRPr="00ED2C45" w:rsidR="004D179C" w:rsidP="001E4A94" w:rsidRDefault="004D179C" w14:paraId="5EDC2D63"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(Helemaal) niet mee eens</w:t>
            </w:r>
          </w:p>
        </w:tc>
        <w:tc>
          <w:tcPr>
            <w:tcW w:w="1040" w:type="dxa"/>
          </w:tcPr>
          <w:p w:rsidRPr="00ED2C45" w:rsidR="004D179C" w:rsidP="001E4A94" w:rsidRDefault="004D179C" w14:paraId="3FC62A26"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50%</w:t>
            </w:r>
          </w:p>
        </w:tc>
        <w:tc>
          <w:tcPr>
            <w:tcW w:w="851" w:type="dxa"/>
          </w:tcPr>
          <w:p w:rsidRPr="00ED2C45" w:rsidR="004D179C" w:rsidP="001E4A94" w:rsidRDefault="004D179C" w14:paraId="304BBEF6"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50%</w:t>
            </w:r>
          </w:p>
        </w:tc>
        <w:tc>
          <w:tcPr>
            <w:tcW w:w="850" w:type="dxa"/>
          </w:tcPr>
          <w:p w:rsidRPr="00ED2C45" w:rsidR="004D179C" w:rsidP="001E4A94" w:rsidRDefault="004D179C" w14:paraId="64E99DF6"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0%</w:t>
            </w:r>
          </w:p>
        </w:tc>
        <w:tc>
          <w:tcPr>
            <w:tcW w:w="851" w:type="dxa"/>
          </w:tcPr>
          <w:p w:rsidRPr="00ED2C45" w:rsidR="004D179C" w:rsidP="001E4A94" w:rsidRDefault="004D179C" w14:paraId="715DC1DA"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0%</w:t>
            </w:r>
          </w:p>
        </w:tc>
        <w:tc>
          <w:tcPr>
            <w:tcW w:w="850" w:type="dxa"/>
          </w:tcPr>
          <w:p w:rsidRPr="00ED2C45" w:rsidR="004D179C" w:rsidP="001E4A94" w:rsidRDefault="004D179C" w14:paraId="34E2C015"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0%</w:t>
            </w:r>
          </w:p>
        </w:tc>
      </w:tr>
      <w:tr w:rsidRPr="00ED2C45" w:rsidR="004D179C" w:rsidTr="001E4A94" w14:paraId="6DD9E338"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Pr="00ED2C45" w:rsidR="004D179C" w:rsidP="001E4A94" w:rsidRDefault="004D179C" w14:paraId="7B694918" w14:textId="77777777">
            <w:pPr>
              <w:rPr>
                <w:szCs w:val="18"/>
              </w:rPr>
            </w:pPr>
          </w:p>
        </w:tc>
        <w:tc>
          <w:tcPr>
            <w:tcW w:w="0" w:type="auto"/>
          </w:tcPr>
          <w:p w:rsidRPr="00ED2C45" w:rsidR="004D179C" w:rsidP="001E4A94" w:rsidRDefault="004D179C" w14:paraId="11260F3D"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Neutraal</w:t>
            </w:r>
          </w:p>
        </w:tc>
        <w:tc>
          <w:tcPr>
            <w:tcW w:w="1040" w:type="dxa"/>
          </w:tcPr>
          <w:p w:rsidRPr="00ED2C45" w:rsidR="004D179C" w:rsidP="001E4A94" w:rsidRDefault="004D179C" w14:paraId="7C2351D3"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14%</w:t>
            </w:r>
          </w:p>
        </w:tc>
        <w:tc>
          <w:tcPr>
            <w:tcW w:w="851" w:type="dxa"/>
          </w:tcPr>
          <w:p w:rsidRPr="00ED2C45" w:rsidR="004D179C" w:rsidP="001E4A94" w:rsidRDefault="004D179C" w14:paraId="72071478"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14%</w:t>
            </w:r>
          </w:p>
        </w:tc>
        <w:tc>
          <w:tcPr>
            <w:tcW w:w="850" w:type="dxa"/>
          </w:tcPr>
          <w:p w:rsidRPr="00ED2C45" w:rsidR="004D179C" w:rsidP="001E4A94" w:rsidRDefault="004D179C" w14:paraId="14A93383"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0%</w:t>
            </w:r>
          </w:p>
        </w:tc>
        <w:tc>
          <w:tcPr>
            <w:tcW w:w="851" w:type="dxa"/>
          </w:tcPr>
          <w:p w:rsidRPr="00ED2C45" w:rsidR="004D179C" w:rsidP="001E4A94" w:rsidRDefault="004D179C" w14:paraId="3A29DC11"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21%</w:t>
            </w:r>
          </w:p>
        </w:tc>
        <w:tc>
          <w:tcPr>
            <w:tcW w:w="850" w:type="dxa"/>
          </w:tcPr>
          <w:p w:rsidRPr="00ED2C45" w:rsidR="004D179C" w:rsidP="001E4A94" w:rsidRDefault="004D179C" w14:paraId="72EC49D8"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50%</w:t>
            </w:r>
          </w:p>
        </w:tc>
      </w:tr>
      <w:tr w:rsidRPr="00ED2C45" w:rsidR="004D179C" w:rsidTr="001E4A94" w14:paraId="0AEF1DE4"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Pr="00ED2C45" w:rsidR="004D179C" w:rsidP="001E4A94" w:rsidRDefault="004D179C" w14:paraId="5AEED001" w14:textId="77777777">
            <w:pPr>
              <w:rPr>
                <w:szCs w:val="18"/>
              </w:rPr>
            </w:pPr>
          </w:p>
        </w:tc>
        <w:tc>
          <w:tcPr>
            <w:tcW w:w="0" w:type="auto"/>
          </w:tcPr>
          <w:p w:rsidRPr="00ED2C45" w:rsidR="004D179C" w:rsidP="001E4A94" w:rsidRDefault="004D179C" w14:paraId="16AEAF86"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(Helemaal) mee eens</w:t>
            </w:r>
          </w:p>
        </w:tc>
        <w:tc>
          <w:tcPr>
            <w:tcW w:w="1040" w:type="dxa"/>
          </w:tcPr>
          <w:p w:rsidRPr="00ED2C45" w:rsidR="004D179C" w:rsidP="001E4A94" w:rsidRDefault="004D179C" w14:paraId="46907681"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2%</w:t>
            </w:r>
          </w:p>
        </w:tc>
        <w:tc>
          <w:tcPr>
            <w:tcW w:w="851" w:type="dxa"/>
          </w:tcPr>
          <w:p w:rsidRPr="00ED2C45" w:rsidR="004D179C" w:rsidP="001E4A94" w:rsidRDefault="004D179C" w14:paraId="2F1F1000"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7%</w:t>
            </w:r>
          </w:p>
        </w:tc>
        <w:tc>
          <w:tcPr>
            <w:tcW w:w="850" w:type="dxa"/>
          </w:tcPr>
          <w:p w:rsidRPr="00ED2C45" w:rsidR="004D179C" w:rsidP="001E4A94" w:rsidRDefault="004D179C" w14:paraId="55B5A15F"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15%</w:t>
            </w:r>
          </w:p>
        </w:tc>
        <w:tc>
          <w:tcPr>
            <w:tcW w:w="851" w:type="dxa"/>
          </w:tcPr>
          <w:p w:rsidRPr="00ED2C45" w:rsidR="004D179C" w:rsidP="001E4A94" w:rsidRDefault="004D179C" w14:paraId="33FC9D64"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28%</w:t>
            </w:r>
          </w:p>
        </w:tc>
        <w:tc>
          <w:tcPr>
            <w:tcW w:w="850" w:type="dxa"/>
          </w:tcPr>
          <w:p w:rsidRPr="00ED2C45" w:rsidR="004D179C" w:rsidP="001E4A94" w:rsidRDefault="004D179C" w14:paraId="7D2EE409"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48%</w:t>
            </w:r>
          </w:p>
        </w:tc>
      </w:tr>
      <w:tr w:rsidRPr="00ED2C45" w:rsidR="004D179C" w:rsidTr="001E4A94" w14:paraId="2A6F7FA2"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gridSpan w:val="2"/>
          </w:tcPr>
          <w:p w:rsidRPr="00ED2C45" w:rsidR="004D179C" w:rsidP="001E4A94" w:rsidRDefault="004D179C" w14:paraId="125A679B" w14:textId="77777777">
            <w:pPr>
              <w:rPr>
                <w:rFonts w:eastAsia="Calibri" w:cs="Calibri"/>
                <w:color w:val="000000" w:themeColor="text1"/>
                <w:szCs w:val="18"/>
              </w:rPr>
            </w:pPr>
            <w:r w:rsidRPr="00ED2C45">
              <w:rPr>
                <w:rFonts w:eastAsia="Calibri" w:cs="Calibri"/>
                <w:color w:val="000000" w:themeColor="text1"/>
                <w:szCs w:val="18"/>
              </w:rPr>
              <w:t>Mijn klasgenoten zouden me helpen als dat nodig was</w:t>
            </w:r>
          </w:p>
        </w:tc>
        <w:tc>
          <w:tcPr>
            <w:tcW w:w="1040" w:type="dxa"/>
          </w:tcPr>
          <w:p w:rsidRPr="00ED2C45" w:rsidR="004D179C" w:rsidP="001E4A94" w:rsidRDefault="004D179C" w14:paraId="31456C7E" w14:textId="77777777">
            <w:pPr>
              <w:cnfStyle w:val="000000000000" w:firstRow="0" w:lastRow="0" w:firstColumn="0" w:lastColumn="0" w:oddVBand="0" w:evenVBand="0" w:oddHBand="0" w:evenHBand="0" w:firstRowFirstColumn="0" w:firstRowLastColumn="0" w:lastRowFirstColumn="0" w:lastRowLastColumn="0"/>
              <w:rPr>
                <w:szCs w:val="18"/>
              </w:rPr>
            </w:pPr>
          </w:p>
        </w:tc>
        <w:tc>
          <w:tcPr>
            <w:tcW w:w="851" w:type="dxa"/>
          </w:tcPr>
          <w:p w:rsidRPr="00ED2C45" w:rsidR="004D179C" w:rsidP="001E4A94" w:rsidRDefault="004D179C" w14:paraId="4F5FE6AE" w14:textId="77777777">
            <w:pPr>
              <w:cnfStyle w:val="000000000000" w:firstRow="0" w:lastRow="0" w:firstColumn="0" w:lastColumn="0" w:oddVBand="0" w:evenVBand="0" w:oddHBand="0" w:evenHBand="0" w:firstRowFirstColumn="0" w:firstRowLastColumn="0" w:lastRowFirstColumn="0" w:lastRowLastColumn="0"/>
              <w:rPr>
                <w:szCs w:val="18"/>
              </w:rPr>
            </w:pPr>
          </w:p>
        </w:tc>
        <w:tc>
          <w:tcPr>
            <w:tcW w:w="850" w:type="dxa"/>
          </w:tcPr>
          <w:p w:rsidRPr="00ED2C45" w:rsidR="004D179C" w:rsidP="001E4A94" w:rsidRDefault="004D179C" w14:paraId="2D2170F0" w14:textId="77777777">
            <w:pPr>
              <w:cnfStyle w:val="000000000000" w:firstRow="0" w:lastRow="0" w:firstColumn="0" w:lastColumn="0" w:oddVBand="0" w:evenVBand="0" w:oddHBand="0" w:evenHBand="0" w:firstRowFirstColumn="0" w:firstRowLastColumn="0" w:lastRowFirstColumn="0" w:lastRowLastColumn="0"/>
              <w:rPr>
                <w:szCs w:val="18"/>
              </w:rPr>
            </w:pPr>
          </w:p>
        </w:tc>
        <w:tc>
          <w:tcPr>
            <w:tcW w:w="851" w:type="dxa"/>
          </w:tcPr>
          <w:p w:rsidRPr="00ED2C45" w:rsidR="004D179C" w:rsidP="001E4A94" w:rsidRDefault="004D179C" w14:paraId="76F664DA" w14:textId="77777777">
            <w:pPr>
              <w:cnfStyle w:val="000000000000" w:firstRow="0" w:lastRow="0" w:firstColumn="0" w:lastColumn="0" w:oddVBand="0" w:evenVBand="0" w:oddHBand="0" w:evenHBand="0" w:firstRowFirstColumn="0" w:firstRowLastColumn="0" w:lastRowFirstColumn="0" w:lastRowLastColumn="0"/>
              <w:rPr>
                <w:szCs w:val="18"/>
              </w:rPr>
            </w:pPr>
          </w:p>
        </w:tc>
        <w:tc>
          <w:tcPr>
            <w:tcW w:w="850" w:type="dxa"/>
          </w:tcPr>
          <w:p w:rsidRPr="00ED2C45" w:rsidR="004D179C" w:rsidP="001E4A94" w:rsidRDefault="004D179C" w14:paraId="6587EBD7" w14:textId="77777777">
            <w:pPr>
              <w:cnfStyle w:val="000000000000" w:firstRow="0" w:lastRow="0" w:firstColumn="0" w:lastColumn="0" w:oddVBand="0" w:evenVBand="0" w:oddHBand="0" w:evenHBand="0" w:firstRowFirstColumn="0" w:firstRowLastColumn="0" w:lastRowFirstColumn="0" w:lastRowLastColumn="0"/>
              <w:rPr>
                <w:szCs w:val="18"/>
              </w:rPr>
            </w:pPr>
          </w:p>
        </w:tc>
      </w:tr>
      <w:tr w:rsidRPr="00ED2C45" w:rsidR="004D179C" w:rsidTr="001E4A94" w14:paraId="3B3BC0C7"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Pr="00ED2C45" w:rsidR="004D179C" w:rsidP="001E4A94" w:rsidRDefault="004D179C" w14:paraId="12802C3E" w14:textId="77777777">
            <w:pPr>
              <w:rPr>
                <w:szCs w:val="18"/>
              </w:rPr>
            </w:pPr>
          </w:p>
        </w:tc>
        <w:tc>
          <w:tcPr>
            <w:tcW w:w="0" w:type="auto"/>
          </w:tcPr>
          <w:p w:rsidRPr="00ED2C45" w:rsidR="004D179C" w:rsidP="001E4A94" w:rsidRDefault="004D179C" w14:paraId="5A2DF773"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(Helemaal) niet mee eens</w:t>
            </w:r>
          </w:p>
        </w:tc>
        <w:tc>
          <w:tcPr>
            <w:tcW w:w="1040" w:type="dxa"/>
          </w:tcPr>
          <w:p w:rsidRPr="00ED2C45" w:rsidR="004D179C" w:rsidP="001E4A94" w:rsidRDefault="004D179C" w14:paraId="307AE812"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13%</w:t>
            </w:r>
          </w:p>
        </w:tc>
        <w:tc>
          <w:tcPr>
            <w:tcW w:w="851" w:type="dxa"/>
          </w:tcPr>
          <w:p w:rsidRPr="00ED2C45" w:rsidR="004D179C" w:rsidP="001E4A94" w:rsidRDefault="004D179C" w14:paraId="7625C697"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13%</w:t>
            </w:r>
          </w:p>
        </w:tc>
        <w:tc>
          <w:tcPr>
            <w:tcW w:w="850" w:type="dxa"/>
          </w:tcPr>
          <w:p w:rsidRPr="00ED2C45" w:rsidR="004D179C" w:rsidP="001E4A94" w:rsidRDefault="004D179C" w14:paraId="224076B5"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25%</w:t>
            </w:r>
          </w:p>
        </w:tc>
        <w:tc>
          <w:tcPr>
            <w:tcW w:w="851" w:type="dxa"/>
          </w:tcPr>
          <w:p w:rsidRPr="00ED2C45" w:rsidR="004D179C" w:rsidP="001E4A94" w:rsidRDefault="004D179C" w14:paraId="1E16CE4E"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25%</w:t>
            </w:r>
          </w:p>
        </w:tc>
        <w:tc>
          <w:tcPr>
            <w:tcW w:w="850" w:type="dxa"/>
          </w:tcPr>
          <w:p w:rsidRPr="00ED2C45" w:rsidR="004D179C" w:rsidP="001E4A94" w:rsidRDefault="004D179C" w14:paraId="6BF543ED"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25%</w:t>
            </w:r>
          </w:p>
        </w:tc>
      </w:tr>
      <w:tr w:rsidRPr="00ED2C45" w:rsidR="004D179C" w:rsidTr="001E4A94" w14:paraId="61B030D2"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Pr="00ED2C45" w:rsidR="004D179C" w:rsidP="001E4A94" w:rsidRDefault="004D179C" w14:paraId="7E5F587F" w14:textId="77777777">
            <w:pPr>
              <w:rPr>
                <w:szCs w:val="18"/>
              </w:rPr>
            </w:pPr>
          </w:p>
        </w:tc>
        <w:tc>
          <w:tcPr>
            <w:tcW w:w="0" w:type="auto"/>
          </w:tcPr>
          <w:p w:rsidRPr="00ED2C45" w:rsidR="004D179C" w:rsidP="001E4A94" w:rsidRDefault="004D179C" w14:paraId="2AD307E9"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Neutraal</w:t>
            </w:r>
          </w:p>
        </w:tc>
        <w:tc>
          <w:tcPr>
            <w:tcW w:w="1040" w:type="dxa"/>
          </w:tcPr>
          <w:p w:rsidRPr="00ED2C45" w:rsidR="004D179C" w:rsidP="001E4A94" w:rsidRDefault="004D179C" w14:paraId="7CE32E36"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16%</w:t>
            </w:r>
          </w:p>
        </w:tc>
        <w:tc>
          <w:tcPr>
            <w:tcW w:w="851" w:type="dxa"/>
          </w:tcPr>
          <w:p w:rsidRPr="00ED2C45" w:rsidR="004D179C" w:rsidP="001E4A94" w:rsidRDefault="004D179C" w14:paraId="3270D324"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16%</w:t>
            </w:r>
          </w:p>
        </w:tc>
        <w:tc>
          <w:tcPr>
            <w:tcW w:w="850" w:type="dxa"/>
          </w:tcPr>
          <w:p w:rsidRPr="00ED2C45" w:rsidR="004D179C" w:rsidP="001E4A94" w:rsidRDefault="004D179C" w14:paraId="2D60D9EE"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3%</w:t>
            </w:r>
          </w:p>
        </w:tc>
        <w:tc>
          <w:tcPr>
            <w:tcW w:w="851" w:type="dxa"/>
          </w:tcPr>
          <w:p w:rsidRPr="00ED2C45" w:rsidR="004D179C" w:rsidP="001E4A94" w:rsidRDefault="004D179C" w14:paraId="77954EBB"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26%</w:t>
            </w:r>
          </w:p>
        </w:tc>
        <w:tc>
          <w:tcPr>
            <w:tcW w:w="850" w:type="dxa"/>
          </w:tcPr>
          <w:p w:rsidRPr="00ED2C45" w:rsidR="004D179C" w:rsidP="001E4A94" w:rsidRDefault="004D179C" w14:paraId="35FA62E1"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39%</w:t>
            </w:r>
          </w:p>
        </w:tc>
      </w:tr>
      <w:tr w:rsidRPr="00ED2C45" w:rsidR="004D179C" w:rsidTr="001E4A94" w14:paraId="3E75E25A"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Pr="00ED2C45" w:rsidR="004D179C" w:rsidP="001E4A94" w:rsidRDefault="004D179C" w14:paraId="3F4DD563" w14:textId="77777777">
            <w:pPr>
              <w:rPr>
                <w:szCs w:val="18"/>
              </w:rPr>
            </w:pPr>
          </w:p>
        </w:tc>
        <w:tc>
          <w:tcPr>
            <w:tcW w:w="0" w:type="auto"/>
          </w:tcPr>
          <w:p w:rsidRPr="00ED2C45" w:rsidR="004D179C" w:rsidP="001E4A94" w:rsidRDefault="004D179C" w14:paraId="27FFFC6D"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(Helemaal) mee eens</w:t>
            </w:r>
          </w:p>
        </w:tc>
        <w:tc>
          <w:tcPr>
            <w:tcW w:w="1040" w:type="dxa"/>
          </w:tcPr>
          <w:p w:rsidRPr="00ED2C45" w:rsidR="004D179C" w:rsidP="001E4A94" w:rsidRDefault="004D179C" w14:paraId="2283A3B0"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0%</w:t>
            </w:r>
          </w:p>
        </w:tc>
        <w:tc>
          <w:tcPr>
            <w:tcW w:w="851" w:type="dxa"/>
          </w:tcPr>
          <w:p w:rsidRPr="00ED2C45" w:rsidR="004D179C" w:rsidP="001E4A94" w:rsidRDefault="004D179C" w14:paraId="2F2B525B"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6%</w:t>
            </w:r>
          </w:p>
        </w:tc>
        <w:tc>
          <w:tcPr>
            <w:tcW w:w="850" w:type="dxa"/>
          </w:tcPr>
          <w:p w:rsidRPr="00ED2C45" w:rsidR="004D179C" w:rsidP="001E4A94" w:rsidRDefault="004D179C" w14:paraId="2C034879"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12%</w:t>
            </w:r>
          </w:p>
        </w:tc>
        <w:tc>
          <w:tcPr>
            <w:tcW w:w="851" w:type="dxa"/>
          </w:tcPr>
          <w:p w:rsidRPr="00ED2C45" w:rsidR="004D179C" w:rsidP="001E4A94" w:rsidRDefault="004D179C" w14:paraId="15001483"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25%</w:t>
            </w:r>
          </w:p>
        </w:tc>
        <w:tc>
          <w:tcPr>
            <w:tcW w:w="850" w:type="dxa"/>
          </w:tcPr>
          <w:p w:rsidRPr="00ED2C45" w:rsidR="004D179C" w:rsidP="001E4A94" w:rsidRDefault="004D179C" w14:paraId="3F1FB52A"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57%</w:t>
            </w:r>
          </w:p>
        </w:tc>
      </w:tr>
      <w:tr w:rsidRPr="00ED2C45" w:rsidR="004D179C" w:rsidTr="001E4A94" w14:paraId="400DFE4D"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gridSpan w:val="2"/>
          </w:tcPr>
          <w:p w:rsidRPr="00ED2C45" w:rsidR="004D179C" w:rsidP="001E4A94" w:rsidRDefault="004D179C" w14:paraId="4B796538" w14:textId="77777777">
            <w:pPr>
              <w:rPr>
                <w:rFonts w:eastAsia="Calibri" w:cs="Calibri"/>
                <w:color w:val="000000" w:themeColor="text1"/>
                <w:szCs w:val="18"/>
              </w:rPr>
            </w:pPr>
            <w:r w:rsidRPr="00ED2C45">
              <w:rPr>
                <w:rFonts w:eastAsia="Calibri" w:cs="Calibri"/>
                <w:color w:val="000000" w:themeColor="text1"/>
                <w:szCs w:val="18"/>
              </w:rPr>
              <w:t>Ik voel me gewaardeerd door anderen tijdens de les</w:t>
            </w:r>
          </w:p>
        </w:tc>
        <w:tc>
          <w:tcPr>
            <w:tcW w:w="1040" w:type="dxa"/>
          </w:tcPr>
          <w:p w:rsidRPr="00ED2C45" w:rsidR="004D179C" w:rsidP="001E4A94" w:rsidRDefault="004D179C" w14:paraId="0B2CFCF9" w14:textId="77777777">
            <w:pPr>
              <w:cnfStyle w:val="000000000000" w:firstRow="0" w:lastRow="0" w:firstColumn="0" w:lastColumn="0" w:oddVBand="0" w:evenVBand="0" w:oddHBand="0" w:evenHBand="0" w:firstRowFirstColumn="0" w:firstRowLastColumn="0" w:lastRowFirstColumn="0" w:lastRowLastColumn="0"/>
              <w:rPr>
                <w:szCs w:val="18"/>
              </w:rPr>
            </w:pPr>
          </w:p>
        </w:tc>
        <w:tc>
          <w:tcPr>
            <w:tcW w:w="851" w:type="dxa"/>
          </w:tcPr>
          <w:p w:rsidRPr="00ED2C45" w:rsidR="004D179C" w:rsidP="001E4A94" w:rsidRDefault="004D179C" w14:paraId="57F197F3" w14:textId="77777777">
            <w:pPr>
              <w:cnfStyle w:val="000000000000" w:firstRow="0" w:lastRow="0" w:firstColumn="0" w:lastColumn="0" w:oddVBand="0" w:evenVBand="0" w:oddHBand="0" w:evenHBand="0" w:firstRowFirstColumn="0" w:firstRowLastColumn="0" w:lastRowFirstColumn="0" w:lastRowLastColumn="0"/>
              <w:rPr>
                <w:szCs w:val="18"/>
              </w:rPr>
            </w:pPr>
          </w:p>
        </w:tc>
        <w:tc>
          <w:tcPr>
            <w:tcW w:w="850" w:type="dxa"/>
          </w:tcPr>
          <w:p w:rsidRPr="00ED2C45" w:rsidR="004D179C" w:rsidP="001E4A94" w:rsidRDefault="004D179C" w14:paraId="6A5F27A8" w14:textId="77777777">
            <w:pPr>
              <w:cnfStyle w:val="000000000000" w:firstRow="0" w:lastRow="0" w:firstColumn="0" w:lastColumn="0" w:oddVBand="0" w:evenVBand="0" w:oddHBand="0" w:evenHBand="0" w:firstRowFirstColumn="0" w:firstRowLastColumn="0" w:lastRowFirstColumn="0" w:lastRowLastColumn="0"/>
              <w:rPr>
                <w:szCs w:val="18"/>
              </w:rPr>
            </w:pPr>
          </w:p>
        </w:tc>
        <w:tc>
          <w:tcPr>
            <w:tcW w:w="851" w:type="dxa"/>
          </w:tcPr>
          <w:p w:rsidRPr="00ED2C45" w:rsidR="004D179C" w:rsidP="001E4A94" w:rsidRDefault="004D179C" w14:paraId="5F8144D3" w14:textId="77777777">
            <w:pPr>
              <w:cnfStyle w:val="000000000000" w:firstRow="0" w:lastRow="0" w:firstColumn="0" w:lastColumn="0" w:oddVBand="0" w:evenVBand="0" w:oddHBand="0" w:evenHBand="0" w:firstRowFirstColumn="0" w:firstRowLastColumn="0" w:lastRowFirstColumn="0" w:lastRowLastColumn="0"/>
              <w:rPr>
                <w:szCs w:val="18"/>
              </w:rPr>
            </w:pPr>
          </w:p>
        </w:tc>
        <w:tc>
          <w:tcPr>
            <w:tcW w:w="850" w:type="dxa"/>
          </w:tcPr>
          <w:p w:rsidRPr="00ED2C45" w:rsidR="004D179C" w:rsidP="001E4A94" w:rsidRDefault="004D179C" w14:paraId="7D3A48F6" w14:textId="77777777">
            <w:pPr>
              <w:cnfStyle w:val="000000000000" w:firstRow="0" w:lastRow="0" w:firstColumn="0" w:lastColumn="0" w:oddVBand="0" w:evenVBand="0" w:oddHBand="0" w:evenHBand="0" w:firstRowFirstColumn="0" w:firstRowLastColumn="0" w:lastRowFirstColumn="0" w:lastRowLastColumn="0"/>
              <w:rPr>
                <w:szCs w:val="18"/>
              </w:rPr>
            </w:pPr>
          </w:p>
        </w:tc>
      </w:tr>
      <w:tr w:rsidRPr="00ED2C45" w:rsidR="004D179C" w:rsidTr="001E4A94" w14:paraId="150A4285"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Pr="00ED2C45" w:rsidR="004D179C" w:rsidP="001E4A94" w:rsidRDefault="004D179C" w14:paraId="73E1B067" w14:textId="77777777">
            <w:pPr>
              <w:rPr>
                <w:szCs w:val="18"/>
              </w:rPr>
            </w:pPr>
          </w:p>
        </w:tc>
        <w:tc>
          <w:tcPr>
            <w:tcW w:w="0" w:type="auto"/>
          </w:tcPr>
          <w:p w:rsidRPr="00ED2C45" w:rsidR="004D179C" w:rsidP="001E4A94" w:rsidRDefault="004D179C" w14:paraId="343956DB"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(Helemaal) niet mee eens</w:t>
            </w:r>
          </w:p>
        </w:tc>
        <w:tc>
          <w:tcPr>
            <w:tcW w:w="1040" w:type="dxa"/>
          </w:tcPr>
          <w:p w:rsidRPr="00ED2C45" w:rsidR="004D179C" w:rsidP="001E4A94" w:rsidRDefault="004D179C" w14:paraId="16C5D7B8"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0%</w:t>
            </w:r>
          </w:p>
        </w:tc>
        <w:tc>
          <w:tcPr>
            <w:tcW w:w="851" w:type="dxa"/>
          </w:tcPr>
          <w:p w:rsidRPr="00ED2C45" w:rsidR="004D179C" w:rsidP="001E4A94" w:rsidRDefault="004D179C" w14:paraId="3EF15E3F"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33%</w:t>
            </w:r>
          </w:p>
        </w:tc>
        <w:tc>
          <w:tcPr>
            <w:tcW w:w="850" w:type="dxa"/>
          </w:tcPr>
          <w:p w:rsidRPr="00ED2C45" w:rsidR="004D179C" w:rsidP="001E4A94" w:rsidRDefault="004D179C" w14:paraId="4CB97DC3"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17%</w:t>
            </w:r>
          </w:p>
        </w:tc>
        <w:tc>
          <w:tcPr>
            <w:tcW w:w="851" w:type="dxa"/>
          </w:tcPr>
          <w:p w:rsidRPr="00ED2C45" w:rsidR="004D179C" w:rsidP="001E4A94" w:rsidRDefault="004D179C" w14:paraId="031A8ABE"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33%</w:t>
            </w:r>
          </w:p>
        </w:tc>
        <w:tc>
          <w:tcPr>
            <w:tcW w:w="850" w:type="dxa"/>
          </w:tcPr>
          <w:p w:rsidRPr="00ED2C45" w:rsidR="004D179C" w:rsidP="001E4A94" w:rsidRDefault="004D179C" w14:paraId="2C4959E4"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17%</w:t>
            </w:r>
          </w:p>
        </w:tc>
      </w:tr>
      <w:tr w:rsidRPr="00ED2C45" w:rsidR="004D179C" w:rsidTr="001E4A94" w14:paraId="625370D4"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Pr="00ED2C45" w:rsidR="004D179C" w:rsidP="001E4A94" w:rsidRDefault="004D179C" w14:paraId="45A6A5C2" w14:textId="77777777">
            <w:pPr>
              <w:rPr>
                <w:szCs w:val="18"/>
              </w:rPr>
            </w:pPr>
          </w:p>
        </w:tc>
        <w:tc>
          <w:tcPr>
            <w:tcW w:w="0" w:type="auto"/>
          </w:tcPr>
          <w:p w:rsidRPr="00ED2C45" w:rsidR="004D179C" w:rsidP="001E4A94" w:rsidRDefault="004D179C" w14:paraId="2531DB38"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Neutraal</w:t>
            </w:r>
          </w:p>
        </w:tc>
        <w:tc>
          <w:tcPr>
            <w:tcW w:w="1040" w:type="dxa"/>
          </w:tcPr>
          <w:p w:rsidRPr="00ED2C45" w:rsidR="004D179C" w:rsidP="001E4A94" w:rsidRDefault="004D179C" w14:paraId="04B3C1B9"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13%</w:t>
            </w:r>
          </w:p>
        </w:tc>
        <w:tc>
          <w:tcPr>
            <w:tcW w:w="851" w:type="dxa"/>
          </w:tcPr>
          <w:p w:rsidRPr="00ED2C45" w:rsidR="004D179C" w:rsidP="001E4A94" w:rsidRDefault="004D179C" w14:paraId="7F1B8988"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10%</w:t>
            </w:r>
          </w:p>
        </w:tc>
        <w:tc>
          <w:tcPr>
            <w:tcW w:w="850" w:type="dxa"/>
          </w:tcPr>
          <w:p w:rsidRPr="00ED2C45" w:rsidR="004D179C" w:rsidP="001E4A94" w:rsidRDefault="004D179C" w14:paraId="5E781081"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10%</w:t>
            </w:r>
          </w:p>
        </w:tc>
        <w:tc>
          <w:tcPr>
            <w:tcW w:w="851" w:type="dxa"/>
          </w:tcPr>
          <w:p w:rsidRPr="00ED2C45" w:rsidR="004D179C" w:rsidP="001E4A94" w:rsidRDefault="004D179C" w14:paraId="3F1E067F"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21%</w:t>
            </w:r>
          </w:p>
        </w:tc>
        <w:tc>
          <w:tcPr>
            <w:tcW w:w="850" w:type="dxa"/>
          </w:tcPr>
          <w:p w:rsidRPr="00ED2C45" w:rsidR="004D179C" w:rsidP="001E4A94" w:rsidRDefault="004D179C" w14:paraId="7DEC039C"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46%</w:t>
            </w:r>
          </w:p>
        </w:tc>
      </w:tr>
      <w:tr w:rsidRPr="00ED2C45" w:rsidR="004D179C" w:rsidTr="001E4A94" w14:paraId="4FB7E58F"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Pr="00ED2C45" w:rsidR="004D179C" w:rsidP="001E4A94" w:rsidRDefault="004D179C" w14:paraId="361C6A48" w14:textId="77777777">
            <w:pPr>
              <w:rPr>
                <w:szCs w:val="18"/>
              </w:rPr>
            </w:pPr>
          </w:p>
        </w:tc>
        <w:tc>
          <w:tcPr>
            <w:tcW w:w="0" w:type="auto"/>
          </w:tcPr>
          <w:p w:rsidRPr="00ED2C45" w:rsidR="004D179C" w:rsidP="001E4A94" w:rsidRDefault="004D179C" w14:paraId="7B2609E5"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(Helemaal) mee eens</w:t>
            </w:r>
          </w:p>
        </w:tc>
        <w:tc>
          <w:tcPr>
            <w:tcW w:w="1040" w:type="dxa"/>
          </w:tcPr>
          <w:p w:rsidRPr="00ED2C45" w:rsidR="004D179C" w:rsidP="001E4A94" w:rsidRDefault="004D179C" w14:paraId="7D5689CD"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2%</w:t>
            </w:r>
          </w:p>
        </w:tc>
        <w:tc>
          <w:tcPr>
            <w:tcW w:w="851" w:type="dxa"/>
          </w:tcPr>
          <w:p w:rsidRPr="00ED2C45" w:rsidR="004D179C" w:rsidP="001E4A94" w:rsidRDefault="004D179C" w14:paraId="7BF18829"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7%</w:t>
            </w:r>
          </w:p>
        </w:tc>
        <w:tc>
          <w:tcPr>
            <w:tcW w:w="850" w:type="dxa"/>
          </w:tcPr>
          <w:p w:rsidRPr="00ED2C45" w:rsidR="004D179C" w:rsidP="001E4A94" w:rsidRDefault="004D179C" w14:paraId="7C01957C"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9%</w:t>
            </w:r>
          </w:p>
        </w:tc>
        <w:tc>
          <w:tcPr>
            <w:tcW w:w="851" w:type="dxa"/>
          </w:tcPr>
          <w:p w:rsidRPr="00ED2C45" w:rsidR="004D179C" w:rsidP="001E4A94" w:rsidRDefault="004D179C" w14:paraId="63D0BB58"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29%</w:t>
            </w:r>
          </w:p>
        </w:tc>
        <w:tc>
          <w:tcPr>
            <w:tcW w:w="850" w:type="dxa"/>
          </w:tcPr>
          <w:p w:rsidRPr="00ED2C45" w:rsidR="004D179C" w:rsidP="001E4A94" w:rsidRDefault="004D179C" w14:paraId="59AFFE34"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Cs w:val="18"/>
              </w:rPr>
            </w:pPr>
            <w:r w:rsidRPr="00ED2C45">
              <w:rPr>
                <w:rFonts w:eastAsia="Calibri" w:cs="Calibri"/>
                <w:color w:val="000000" w:themeColor="text1"/>
                <w:szCs w:val="18"/>
              </w:rPr>
              <w:t>53%</w:t>
            </w:r>
          </w:p>
        </w:tc>
      </w:tr>
    </w:tbl>
    <w:p w:rsidR="004D179C" w:rsidP="004D179C" w:rsidRDefault="004D179C" w14:paraId="5CEE8287" w14:textId="77777777">
      <w:pPr>
        <w:rPr>
          <w:rFonts w:eastAsiaTheme="minorEastAsia"/>
          <w:szCs w:val="18"/>
        </w:rPr>
      </w:pPr>
      <w:r w:rsidRPr="00C04884">
        <w:rPr>
          <w:rFonts w:eastAsiaTheme="minorEastAsia"/>
          <w:szCs w:val="18"/>
        </w:rPr>
        <w:t>Bron: Leerlingenvragenlijst mei-juli 2025.</w:t>
      </w:r>
      <w:r>
        <w:rPr>
          <w:rFonts w:eastAsiaTheme="minorEastAsia"/>
          <w:szCs w:val="18"/>
        </w:rPr>
        <w:t xml:space="preserve"> Rijpercentages.</w:t>
      </w:r>
    </w:p>
    <w:p w:rsidRPr="008F1384" w:rsidR="00A47A07" w:rsidP="004D179C" w:rsidRDefault="00A47A07" w14:paraId="265E3B32" w14:textId="77777777">
      <w:pPr>
        <w:rPr>
          <w:rFonts w:eastAsiaTheme="minorEastAsia"/>
          <w:szCs w:val="18"/>
        </w:rPr>
      </w:pPr>
    </w:p>
    <w:p w:rsidR="004D179C" w:rsidP="004D179C" w:rsidRDefault="004D179C" w14:paraId="45125E3E" w14:textId="77777777">
      <w:pPr>
        <w:rPr>
          <w:rFonts w:eastAsiaTheme="minorEastAsia"/>
          <w:szCs w:val="18"/>
        </w:rPr>
      </w:pPr>
      <w:r>
        <w:rPr>
          <w:rFonts w:eastAsiaTheme="minorEastAsia"/>
          <w:szCs w:val="18"/>
        </w:rPr>
        <w:t xml:space="preserve">Ook zien we aanwijzingen voor een positief verband tussen de drie stellingen die gaan over ervaren verbondenheid en interesseontwikkeling. De leerlingen die positief zijn over de verbondenheid vallen (bijna) nooit in de categorie ‘geen interesse’’, en juist relatief vaak in fase 4 van interesseontwikkeling. </w:t>
      </w:r>
    </w:p>
    <w:p w:rsidR="004D179C" w:rsidP="004D179C" w:rsidRDefault="004D179C" w14:paraId="6CB64B42" w14:textId="77777777">
      <w:pPr>
        <w:rPr>
          <w:rFonts w:eastAsiaTheme="minorEastAsia"/>
          <w:szCs w:val="18"/>
        </w:rPr>
      </w:pPr>
    </w:p>
    <w:p w:rsidR="004D179C" w:rsidP="004D179C" w:rsidRDefault="004D179C" w14:paraId="287221E8" w14:textId="76518650">
      <w:pPr>
        <w:jc w:val="both"/>
        <w:rPr>
          <w:rFonts w:eastAsiaTheme="minorEastAsia"/>
          <w:szCs w:val="18"/>
        </w:rPr>
      </w:pPr>
      <w:r>
        <w:rPr>
          <w:rFonts w:eastAsiaTheme="minorEastAsia"/>
          <w:szCs w:val="18"/>
        </w:rPr>
        <w:t xml:space="preserve">Tabel </w:t>
      </w:r>
      <w:r w:rsidR="00407273">
        <w:rPr>
          <w:rFonts w:eastAsiaTheme="minorEastAsia"/>
          <w:szCs w:val="18"/>
        </w:rPr>
        <w:t>6.1</w:t>
      </w:r>
      <w:r w:rsidR="00D43F8C">
        <w:rPr>
          <w:rFonts w:eastAsiaTheme="minorEastAsia"/>
          <w:szCs w:val="18"/>
        </w:rPr>
        <w:t>1</w:t>
      </w:r>
      <w:r>
        <w:rPr>
          <w:rFonts w:eastAsiaTheme="minorEastAsia"/>
          <w:szCs w:val="18"/>
        </w:rPr>
        <w:t xml:space="preserve"> Mate van competentie naar fasen van interesseontwikkeling </w:t>
      </w:r>
      <w:r w:rsidRPr="00C04884">
        <w:rPr>
          <w:rFonts w:eastAsiaTheme="minorEastAsia"/>
          <w:szCs w:val="18"/>
        </w:rPr>
        <w:t>(alleen bovenbouwleerlingen met een technisch profiel en/of keuzevak, N=90)</w:t>
      </w:r>
    </w:p>
    <w:tbl>
      <w:tblPr>
        <w:tblStyle w:val="Onopgemaaktetabel2"/>
        <w:tblW w:w="0" w:type="auto"/>
        <w:tblLook w:val="06A0" w:firstRow="1" w:lastRow="0" w:firstColumn="1" w:lastColumn="0" w:noHBand="1" w:noVBand="1"/>
      </w:tblPr>
      <w:tblGrid>
        <w:gridCol w:w="377"/>
        <w:gridCol w:w="3907"/>
        <w:gridCol w:w="1478"/>
        <w:gridCol w:w="750"/>
        <w:gridCol w:w="750"/>
        <w:gridCol w:w="750"/>
        <w:gridCol w:w="750"/>
      </w:tblGrid>
      <w:tr w:rsidRPr="004418BA" w:rsidR="004D179C" w:rsidTr="001E4A94" w14:paraId="534A26BD"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2"/>
          </w:tcPr>
          <w:p w:rsidR="004D179C" w:rsidP="001E4A94" w:rsidRDefault="004D179C" w14:paraId="3D8B8FBB" w14:textId="77777777">
            <w:pPr>
              <w:rPr>
                <w:rFonts w:eastAsiaTheme="minorEastAsia"/>
                <w:szCs w:val="18"/>
              </w:rPr>
            </w:pPr>
          </w:p>
        </w:tc>
        <w:tc>
          <w:tcPr>
            <w:tcW w:w="0" w:type="auto"/>
          </w:tcPr>
          <w:p w:rsidR="004D179C" w:rsidP="001E4A94" w:rsidRDefault="004D179C" w14:paraId="2E15D998" w14:textId="77777777">
            <w:pPr>
              <w:cnfStyle w:val="100000000000" w:firstRow="1" w:lastRow="0" w:firstColumn="0" w:lastColumn="0" w:oddVBand="0" w:evenVBand="0" w:oddHBand="0" w:evenHBand="0" w:firstRowFirstColumn="0" w:firstRowLastColumn="0" w:lastRowFirstColumn="0" w:lastRowLastColumn="0"/>
              <w:rPr>
                <w:rFonts w:eastAsiaTheme="minorEastAsia"/>
                <w:szCs w:val="18"/>
              </w:rPr>
            </w:pPr>
            <w:r w:rsidRPr="1B266293">
              <w:rPr>
                <w:rFonts w:eastAsiaTheme="minorEastAsia"/>
                <w:szCs w:val="18"/>
              </w:rPr>
              <w:t>Geen interesse</w:t>
            </w:r>
          </w:p>
        </w:tc>
        <w:tc>
          <w:tcPr>
            <w:tcW w:w="0" w:type="auto"/>
          </w:tcPr>
          <w:p w:rsidR="004D179C" w:rsidP="001E4A94" w:rsidRDefault="004D179C" w14:paraId="17495BD6" w14:textId="77777777">
            <w:pPr>
              <w:cnfStyle w:val="100000000000" w:firstRow="1" w:lastRow="0" w:firstColumn="0" w:lastColumn="0" w:oddVBand="0" w:evenVBand="0" w:oddHBand="0" w:evenHBand="0" w:firstRowFirstColumn="0" w:firstRowLastColumn="0" w:lastRowFirstColumn="0" w:lastRowLastColumn="0"/>
              <w:rPr>
                <w:rFonts w:eastAsiaTheme="minorEastAsia"/>
                <w:szCs w:val="18"/>
              </w:rPr>
            </w:pPr>
            <w:r w:rsidRPr="1B266293">
              <w:rPr>
                <w:rFonts w:eastAsiaTheme="minorEastAsia"/>
                <w:szCs w:val="18"/>
              </w:rPr>
              <w:t>Fase 1</w:t>
            </w:r>
          </w:p>
        </w:tc>
        <w:tc>
          <w:tcPr>
            <w:tcW w:w="0" w:type="auto"/>
          </w:tcPr>
          <w:p w:rsidR="004D179C" w:rsidP="001E4A94" w:rsidRDefault="004D179C" w14:paraId="7454DC62" w14:textId="77777777">
            <w:pPr>
              <w:cnfStyle w:val="100000000000" w:firstRow="1" w:lastRow="0" w:firstColumn="0" w:lastColumn="0" w:oddVBand="0" w:evenVBand="0" w:oddHBand="0" w:evenHBand="0" w:firstRowFirstColumn="0" w:firstRowLastColumn="0" w:lastRowFirstColumn="0" w:lastRowLastColumn="0"/>
              <w:rPr>
                <w:rFonts w:eastAsiaTheme="minorEastAsia"/>
                <w:szCs w:val="18"/>
              </w:rPr>
            </w:pPr>
            <w:r w:rsidRPr="1B266293">
              <w:rPr>
                <w:rFonts w:eastAsiaTheme="minorEastAsia"/>
                <w:szCs w:val="18"/>
              </w:rPr>
              <w:t xml:space="preserve">Fase 2 </w:t>
            </w:r>
          </w:p>
        </w:tc>
        <w:tc>
          <w:tcPr>
            <w:tcW w:w="0" w:type="auto"/>
          </w:tcPr>
          <w:p w:rsidR="004D179C" w:rsidP="001E4A94" w:rsidRDefault="004D179C" w14:paraId="76978BEB" w14:textId="77777777">
            <w:pPr>
              <w:cnfStyle w:val="100000000000" w:firstRow="1" w:lastRow="0" w:firstColumn="0" w:lastColumn="0" w:oddVBand="0" w:evenVBand="0" w:oddHBand="0" w:evenHBand="0" w:firstRowFirstColumn="0" w:firstRowLastColumn="0" w:lastRowFirstColumn="0" w:lastRowLastColumn="0"/>
              <w:rPr>
                <w:rFonts w:eastAsiaTheme="minorEastAsia"/>
                <w:szCs w:val="18"/>
              </w:rPr>
            </w:pPr>
            <w:r w:rsidRPr="1B266293">
              <w:rPr>
                <w:rFonts w:eastAsiaTheme="minorEastAsia"/>
                <w:szCs w:val="18"/>
              </w:rPr>
              <w:t>Fase 3</w:t>
            </w:r>
          </w:p>
        </w:tc>
        <w:tc>
          <w:tcPr>
            <w:tcW w:w="0" w:type="auto"/>
          </w:tcPr>
          <w:p w:rsidR="004D179C" w:rsidP="001E4A94" w:rsidRDefault="004D179C" w14:paraId="2EDF9B00" w14:textId="77777777">
            <w:pPr>
              <w:cnfStyle w:val="100000000000" w:firstRow="1" w:lastRow="0" w:firstColumn="0" w:lastColumn="0" w:oddVBand="0" w:evenVBand="0" w:oddHBand="0" w:evenHBand="0" w:firstRowFirstColumn="0" w:firstRowLastColumn="0" w:lastRowFirstColumn="0" w:lastRowLastColumn="0"/>
              <w:rPr>
                <w:rFonts w:eastAsiaTheme="minorEastAsia"/>
                <w:szCs w:val="18"/>
              </w:rPr>
            </w:pPr>
            <w:r w:rsidRPr="1B266293">
              <w:rPr>
                <w:rFonts w:eastAsiaTheme="minorEastAsia"/>
                <w:szCs w:val="18"/>
              </w:rPr>
              <w:t>Fase 4</w:t>
            </w:r>
          </w:p>
        </w:tc>
      </w:tr>
      <w:tr w:rsidRPr="004418BA" w:rsidR="004D179C" w:rsidTr="001E4A94" w14:paraId="366EB5F0"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gridSpan w:val="2"/>
          </w:tcPr>
          <w:p w:rsidRPr="00504BFC" w:rsidR="004D179C" w:rsidP="001E4A94" w:rsidRDefault="004D179C" w14:paraId="5EBD1566" w14:textId="77777777">
            <w:pPr>
              <w:rPr>
                <w:szCs w:val="18"/>
              </w:rPr>
            </w:pPr>
            <w:r w:rsidRPr="00504BFC">
              <w:rPr>
                <w:rFonts w:eastAsia="Calibri" w:cs="Calibri"/>
                <w:color w:val="000000" w:themeColor="text1"/>
                <w:szCs w:val="18"/>
              </w:rPr>
              <w:t>Ik kan de technische opdrachten goed uitvoeren</w:t>
            </w:r>
          </w:p>
        </w:tc>
        <w:tc>
          <w:tcPr>
            <w:tcW w:w="0" w:type="auto"/>
          </w:tcPr>
          <w:p w:rsidRPr="004418BA" w:rsidR="004D179C" w:rsidP="001E4A94" w:rsidRDefault="004D179C" w14:paraId="16EAC3BF" w14:textId="77777777">
            <w:pPr>
              <w:cnfStyle w:val="000000000000" w:firstRow="0" w:lastRow="0" w:firstColumn="0" w:lastColumn="0" w:oddVBand="0" w:evenVBand="0" w:oddHBand="0" w:evenHBand="0" w:firstRowFirstColumn="0" w:firstRowLastColumn="0" w:lastRowFirstColumn="0" w:lastRowLastColumn="0"/>
              <w:rPr>
                <w:szCs w:val="18"/>
              </w:rPr>
            </w:pPr>
          </w:p>
        </w:tc>
        <w:tc>
          <w:tcPr>
            <w:tcW w:w="0" w:type="auto"/>
          </w:tcPr>
          <w:p w:rsidRPr="004418BA" w:rsidR="004D179C" w:rsidP="001E4A94" w:rsidRDefault="004D179C" w14:paraId="47643A1F" w14:textId="77777777">
            <w:pPr>
              <w:cnfStyle w:val="000000000000" w:firstRow="0" w:lastRow="0" w:firstColumn="0" w:lastColumn="0" w:oddVBand="0" w:evenVBand="0" w:oddHBand="0" w:evenHBand="0" w:firstRowFirstColumn="0" w:firstRowLastColumn="0" w:lastRowFirstColumn="0" w:lastRowLastColumn="0"/>
              <w:rPr>
                <w:szCs w:val="18"/>
              </w:rPr>
            </w:pPr>
          </w:p>
        </w:tc>
        <w:tc>
          <w:tcPr>
            <w:tcW w:w="0" w:type="auto"/>
          </w:tcPr>
          <w:p w:rsidRPr="004418BA" w:rsidR="004D179C" w:rsidP="001E4A94" w:rsidRDefault="004D179C" w14:paraId="6B1698E4" w14:textId="77777777">
            <w:pPr>
              <w:cnfStyle w:val="000000000000" w:firstRow="0" w:lastRow="0" w:firstColumn="0" w:lastColumn="0" w:oddVBand="0" w:evenVBand="0" w:oddHBand="0" w:evenHBand="0" w:firstRowFirstColumn="0" w:firstRowLastColumn="0" w:lastRowFirstColumn="0" w:lastRowLastColumn="0"/>
              <w:rPr>
                <w:szCs w:val="18"/>
              </w:rPr>
            </w:pPr>
          </w:p>
        </w:tc>
        <w:tc>
          <w:tcPr>
            <w:tcW w:w="0" w:type="auto"/>
          </w:tcPr>
          <w:p w:rsidRPr="004418BA" w:rsidR="004D179C" w:rsidP="001E4A94" w:rsidRDefault="004D179C" w14:paraId="5CF456AA" w14:textId="77777777">
            <w:pPr>
              <w:cnfStyle w:val="000000000000" w:firstRow="0" w:lastRow="0" w:firstColumn="0" w:lastColumn="0" w:oddVBand="0" w:evenVBand="0" w:oddHBand="0" w:evenHBand="0" w:firstRowFirstColumn="0" w:firstRowLastColumn="0" w:lastRowFirstColumn="0" w:lastRowLastColumn="0"/>
              <w:rPr>
                <w:szCs w:val="18"/>
              </w:rPr>
            </w:pPr>
          </w:p>
        </w:tc>
        <w:tc>
          <w:tcPr>
            <w:tcW w:w="0" w:type="auto"/>
          </w:tcPr>
          <w:p w:rsidRPr="004418BA" w:rsidR="004D179C" w:rsidP="001E4A94" w:rsidRDefault="004D179C" w14:paraId="24ADB112" w14:textId="77777777">
            <w:pPr>
              <w:cnfStyle w:val="000000000000" w:firstRow="0" w:lastRow="0" w:firstColumn="0" w:lastColumn="0" w:oddVBand="0" w:evenVBand="0" w:oddHBand="0" w:evenHBand="0" w:firstRowFirstColumn="0" w:firstRowLastColumn="0" w:lastRowFirstColumn="0" w:lastRowLastColumn="0"/>
              <w:rPr>
                <w:szCs w:val="18"/>
              </w:rPr>
            </w:pPr>
          </w:p>
        </w:tc>
      </w:tr>
      <w:tr w:rsidRPr="004418BA" w:rsidR="004D179C" w:rsidTr="001E4A94" w14:paraId="7F3FBC0D"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Pr="004418BA" w:rsidR="004D179C" w:rsidP="001E4A94" w:rsidRDefault="004D179C" w14:paraId="50468D15" w14:textId="77777777">
            <w:pPr>
              <w:rPr>
                <w:szCs w:val="18"/>
              </w:rPr>
            </w:pPr>
          </w:p>
        </w:tc>
        <w:tc>
          <w:tcPr>
            <w:tcW w:w="0" w:type="auto"/>
          </w:tcPr>
          <w:p w:rsidRPr="004418BA" w:rsidR="004D179C" w:rsidP="001E4A94" w:rsidRDefault="004D179C" w14:paraId="3D9F30C0" w14:textId="77777777">
            <w:pPr>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(Helemaal) niet mee eens</w:t>
            </w:r>
          </w:p>
        </w:tc>
        <w:tc>
          <w:tcPr>
            <w:tcW w:w="0" w:type="auto"/>
          </w:tcPr>
          <w:p w:rsidRPr="004418BA" w:rsidR="004D179C" w:rsidP="001E4A94" w:rsidRDefault="004D179C" w14:paraId="1F1E1297"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0%</w:t>
            </w:r>
          </w:p>
        </w:tc>
        <w:tc>
          <w:tcPr>
            <w:tcW w:w="0" w:type="auto"/>
          </w:tcPr>
          <w:p w:rsidRPr="004418BA" w:rsidR="004D179C" w:rsidP="001E4A94" w:rsidRDefault="004D179C" w14:paraId="5FBBE05A"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40%</w:t>
            </w:r>
          </w:p>
        </w:tc>
        <w:tc>
          <w:tcPr>
            <w:tcW w:w="0" w:type="auto"/>
          </w:tcPr>
          <w:p w:rsidRPr="004418BA" w:rsidR="004D179C" w:rsidP="001E4A94" w:rsidRDefault="004D179C" w14:paraId="459AD10F"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20%</w:t>
            </w:r>
          </w:p>
        </w:tc>
        <w:tc>
          <w:tcPr>
            <w:tcW w:w="0" w:type="auto"/>
          </w:tcPr>
          <w:p w:rsidRPr="004418BA" w:rsidR="004D179C" w:rsidP="001E4A94" w:rsidRDefault="004D179C" w14:paraId="5F5309A9"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20%</w:t>
            </w:r>
          </w:p>
        </w:tc>
        <w:tc>
          <w:tcPr>
            <w:tcW w:w="0" w:type="auto"/>
          </w:tcPr>
          <w:p w:rsidRPr="004418BA" w:rsidR="004D179C" w:rsidP="001E4A94" w:rsidRDefault="004D179C" w14:paraId="0FA670BD"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20%</w:t>
            </w:r>
          </w:p>
        </w:tc>
      </w:tr>
      <w:tr w:rsidRPr="004418BA" w:rsidR="004D179C" w:rsidTr="001E4A94" w14:paraId="45B7627D"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Pr="004418BA" w:rsidR="004D179C" w:rsidP="001E4A94" w:rsidRDefault="004D179C" w14:paraId="4B1E442B" w14:textId="77777777">
            <w:pPr>
              <w:rPr>
                <w:szCs w:val="18"/>
              </w:rPr>
            </w:pPr>
          </w:p>
        </w:tc>
        <w:tc>
          <w:tcPr>
            <w:tcW w:w="0" w:type="auto"/>
          </w:tcPr>
          <w:p w:rsidRPr="004418BA" w:rsidR="004D179C" w:rsidP="001E4A94" w:rsidRDefault="004D179C" w14:paraId="632A12CA" w14:textId="77777777">
            <w:pPr>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Neutraal</w:t>
            </w:r>
          </w:p>
        </w:tc>
        <w:tc>
          <w:tcPr>
            <w:tcW w:w="0" w:type="auto"/>
          </w:tcPr>
          <w:p w:rsidRPr="004418BA" w:rsidR="004D179C" w:rsidP="001E4A94" w:rsidRDefault="004D179C" w14:paraId="601FC22C"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19%</w:t>
            </w:r>
          </w:p>
        </w:tc>
        <w:tc>
          <w:tcPr>
            <w:tcW w:w="0" w:type="auto"/>
          </w:tcPr>
          <w:p w:rsidRPr="004418BA" w:rsidR="004D179C" w:rsidP="001E4A94" w:rsidRDefault="004D179C" w14:paraId="3D68F650"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15%</w:t>
            </w:r>
          </w:p>
        </w:tc>
        <w:tc>
          <w:tcPr>
            <w:tcW w:w="0" w:type="auto"/>
          </w:tcPr>
          <w:p w:rsidRPr="004418BA" w:rsidR="004D179C" w:rsidP="001E4A94" w:rsidRDefault="004D179C" w14:paraId="7EBE3D37"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7%</w:t>
            </w:r>
          </w:p>
        </w:tc>
        <w:tc>
          <w:tcPr>
            <w:tcW w:w="0" w:type="auto"/>
          </w:tcPr>
          <w:p w:rsidRPr="004418BA" w:rsidR="004D179C" w:rsidP="001E4A94" w:rsidRDefault="004D179C" w14:paraId="633F653C"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22%</w:t>
            </w:r>
          </w:p>
        </w:tc>
        <w:tc>
          <w:tcPr>
            <w:tcW w:w="0" w:type="auto"/>
          </w:tcPr>
          <w:p w:rsidRPr="004418BA" w:rsidR="004D179C" w:rsidP="001E4A94" w:rsidRDefault="004D179C" w14:paraId="121B8B30"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37%</w:t>
            </w:r>
          </w:p>
        </w:tc>
      </w:tr>
      <w:tr w:rsidRPr="004418BA" w:rsidR="004D179C" w:rsidTr="001E4A94" w14:paraId="4622FC6E"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Pr="004418BA" w:rsidR="004D179C" w:rsidP="001E4A94" w:rsidRDefault="004D179C" w14:paraId="274A3C24" w14:textId="77777777">
            <w:pPr>
              <w:rPr>
                <w:szCs w:val="18"/>
              </w:rPr>
            </w:pPr>
          </w:p>
        </w:tc>
        <w:tc>
          <w:tcPr>
            <w:tcW w:w="0" w:type="auto"/>
          </w:tcPr>
          <w:p w:rsidRPr="004418BA" w:rsidR="004D179C" w:rsidP="001E4A94" w:rsidRDefault="004D179C" w14:paraId="65F1E5AD" w14:textId="77777777">
            <w:pPr>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(Helemaal) mee eens</w:t>
            </w:r>
          </w:p>
        </w:tc>
        <w:tc>
          <w:tcPr>
            <w:tcW w:w="0" w:type="auto"/>
          </w:tcPr>
          <w:p w:rsidRPr="004418BA" w:rsidR="004D179C" w:rsidP="001E4A94" w:rsidRDefault="004D179C" w14:paraId="0C050B52"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2%</w:t>
            </w:r>
          </w:p>
        </w:tc>
        <w:tc>
          <w:tcPr>
            <w:tcW w:w="0" w:type="auto"/>
          </w:tcPr>
          <w:p w:rsidRPr="004418BA" w:rsidR="004D179C" w:rsidP="001E4A94" w:rsidRDefault="004D179C" w14:paraId="38900ABA"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5%</w:t>
            </w:r>
          </w:p>
        </w:tc>
        <w:tc>
          <w:tcPr>
            <w:tcW w:w="0" w:type="auto"/>
          </w:tcPr>
          <w:p w:rsidRPr="004418BA" w:rsidR="004D179C" w:rsidP="001E4A94" w:rsidRDefault="004D179C" w14:paraId="08F8556B"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10%</w:t>
            </w:r>
          </w:p>
        </w:tc>
        <w:tc>
          <w:tcPr>
            <w:tcW w:w="0" w:type="auto"/>
          </w:tcPr>
          <w:p w:rsidRPr="004418BA" w:rsidR="004D179C" w:rsidP="001E4A94" w:rsidRDefault="004D179C" w14:paraId="39F1A72A"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28%</w:t>
            </w:r>
          </w:p>
        </w:tc>
        <w:tc>
          <w:tcPr>
            <w:tcW w:w="0" w:type="auto"/>
          </w:tcPr>
          <w:p w:rsidRPr="004418BA" w:rsidR="004D179C" w:rsidP="001E4A94" w:rsidRDefault="004D179C" w14:paraId="06A6C011"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55%</w:t>
            </w:r>
          </w:p>
        </w:tc>
      </w:tr>
      <w:tr w:rsidRPr="004418BA" w:rsidR="004D179C" w:rsidTr="001E4A94" w14:paraId="5E91A369"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gridSpan w:val="2"/>
          </w:tcPr>
          <w:p w:rsidRPr="00504BFC" w:rsidR="004D179C" w:rsidP="001E4A94" w:rsidRDefault="004D179C" w14:paraId="473AE0E7" w14:textId="77777777">
            <w:pPr>
              <w:rPr>
                <w:szCs w:val="18"/>
              </w:rPr>
            </w:pPr>
            <w:r w:rsidRPr="00504BFC">
              <w:rPr>
                <w:rFonts w:eastAsia="Calibri" w:cs="Calibri"/>
                <w:color w:val="000000" w:themeColor="text1"/>
                <w:szCs w:val="18"/>
              </w:rPr>
              <w:t>Ik kan problemen tijdens de les oplossen</w:t>
            </w:r>
          </w:p>
        </w:tc>
        <w:tc>
          <w:tcPr>
            <w:tcW w:w="0" w:type="auto"/>
          </w:tcPr>
          <w:p w:rsidRPr="004418BA" w:rsidR="004D179C" w:rsidP="001E4A94" w:rsidRDefault="004D179C" w14:paraId="38D2C8B2" w14:textId="77777777">
            <w:pPr>
              <w:jc w:val="right"/>
              <w:cnfStyle w:val="000000000000" w:firstRow="0" w:lastRow="0" w:firstColumn="0" w:lastColumn="0" w:oddVBand="0" w:evenVBand="0" w:oddHBand="0" w:evenHBand="0" w:firstRowFirstColumn="0" w:firstRowLastColumn="0" w:lastRowFirstColumn="0" w:lastRowLastColumn="0"/>
              <w:rPr>
                <w:szCs w:val="18"/>
              </w:rPr>
            </w:pPr>
          </w:p>
        </w:tc>
        <w:tc>
          <w:tcPr>
            <w:tcW w:w="0" w:type="auto"/>
          </w:tcPr>
          <w:p w:rsidRPr="004418BA" w:rsidR="004D179C" w:rsidP="001E4A94" w:rsidRDefault="004D179C" w14:paraId="096A3926" w14:textId="77777777">
            <w:pPr>
              <w:jc w:val="right"/>
              <w:cnfStyle w:val="000000000000" w:firstRow="0" w:lastRow="0" w:firstColumn="0" w:lastColumn="0" w:oddVBand="0" w:evenVBand="0" w:oddHBand="0" w:evenHBand="0" w:firstRowFirstColumn="0" w:firstRowLastColumn="0" w:lastRowFirstColumn="0" w:lastRowLastColumn="0"/>
              <w:rPr>
                <w:szCs w:val="18"/>
              </w:rPr>
            </w:pPr>
          </w:p>
        </w:tc>
        <w:tc>
          <w:tcPr>
            <w:tcW w:w="0" w:type="auto"/>
          </w:tcPr>
          <w:p w:rsidRPr="004418BA" w:rsidR="004D179C" w:rsidP="001E4A94" w:rsidRDefault="004D179C" w14:paraId="4B1F0A2C" w14:textId="77777777">
            <w:pPr>
              <w:jc w:val="right"/>
              <w:cnfStyle w:val="000000000000" w:firstRow="0" w:lastRow="0" w:firstColumn="0" w:lastColumn="0" w:oddVBand="0" w:evenVBand="0" w:oddHBand="0" w:evenHBand="0" w:firstRowFirstColumn="0" w:firstRowLastColumn="0" w:lastRowFirstColumn="0" w:lastRowLastColumn="0"/>
              <w:rPr>
                <w:szCs w:val="18"/>
              </w:rPr>
            </w:pPr>
          </w:p>
        </w:tc>
        <w:tc>
          <w:tcPr>
            <w:tcW w:w="0" w:type="auto"/>
          </w:tcPr>
          <w:p w:rsidRPr="004418BA" w:rsidR="004D179C" w:rsidP="001E4A94" w:rsidRDefault="004D179C" w14:paraId="00D609A3" w14:textId="77777777">
            <w:pPr>
              <w:jc w:val="right"/>
              <w:cnfStyle w:val="000000000000" w:firstRow="0" w:lastRow="0" w:firstColumn="0" w:lastColumn="0" w:oddVBand="0" w:evenVBand="0" w:oddHBand="0" w:evenHBand="0" w:firstRowFirstColumn="0" w:firstRowLastColumn="0" w:lastRowFirstColumn="0" w:lastRowLastColumn="0"/>
              <w:rPr>
                <w:szCs w:val="18"/>
              </w:rPr>
            </w:pPr>
          </w:p>
        </w:tc>
        <w:tc>
          <w:tcPr>
            <w:tcW w:w="0" w:type="auto"/>
          </w:tcPr>
          <w:p w:rsidRPr="004418BA" w:rsidR="004D179C" w:rsidP="001E4A94" w:rsidRDefault="004D179C" w14:paraId="2E3C68EA" w14:textId="77777777">
            <w:pPr>
              <w:jc w:val="right"/>
              <w:cnfStyle w:val="000000000000" w:firstRow="0" w:lastRow="0" w:firstColumn="0" w:lastColumn="0" w:oddVBand="0" w:evenVBand="0" w:oddHBand="0" w:evenHBand="0" w:firstRowFirstColumn="0" w:firstRowLastColumn="0" w:lastRowFirstColumn="0" w:lastRowLastColumn="0"/>
              <w:rPr>
                <w:szCs w:val="18"/>
              </w:rPr>
            </w:pPr>
          </w:p>
        </w:tc>
      </w:tr>
      <w:tr w:rsidRPr="004418BA" w:rsidR="004D179C" w:rsidTr="001E4A94" w14:paraId="349F3C3D"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Pr="004418BA" w:rsidR="004D179C" w:rsidP="001E4A94" w:rsidRDefault="004D179C" w14:paraId="1436E6A6" w14:textId="77777777">
            <w:pPr>
              <w:rPr>
                <w:szCs w:val="18"/>
              </w:rPr>
            </w:pPr>
          </w:p>
        </w:tc>
        <w:tc>
          <w:tcPr>
            <w:tcW w:w="0" w:type="auto"/>
          </w:tcPr>
          <w:p w:rsidRPr="004418BA" w:rsidR="004D179C" w:rsidP="001E4A94" w:rsidRDefault="004D179C" w14:paraId="193B34E4" w14:textId="77777777">
            <w:pPr>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(Helemaal) niet mee eens</w:t>
            </w:r>
          </w:p>
        </w:tc>
        <w:tc>
          <w:tcPr>
            <w:tcW w:w="0" w:type="auto"/>
          </w:tcPr>
          <w:p w:rsidRPr="004418BA" w:rsidR="004D179C" w:rsidP="001E4A94" w:rsidRDefault="004D179C" w14:paraId="0F68C65A"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0%</w:t>
            </w:r>
          </w:p>
        </w:tc>
        <w:tc>
          <w:tcPr>
            <w:tcW w:w="0" w:type="auto"/>
          </w:tcPr>
          <w:p w:rsidRPr="004418BA" w:rsidR="004D179C" w:rsidP="001E4A94" w:rsidRDefault="004D179C" w14:paraId="418E3506"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33%</w:t>
            </w:r>
          </w:p>
        </w:tc>
        <w:tc>
          <w:tcPr>
            <w:tcW w:w="0" w:type="auto"/>
          </w:tcPr>
          <w:p w:rsidRPr="004418BA" w:rsidR="004D179C" w:rsidP="001E4A94" w:rsidRDefault="004D179C" w14:paraId="07950837"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0%</w:t>
            </w:r>
          </w:p>
        </w:tc>
        <w:tc>
          <w:tcPr>
            <w:tcW w:w="0" w:type="auto"/>
          </w:tcPr>
          <w:p w:rsidRPr="004418BA" w:rsidR="004D179C" w:rsidP="001E4A94" w:rsidRDefault="004D179C" w14:paraId="7B68E212"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33%</w:t>
            </w:r>
          </w:p>
        </w:tc>
        <w:tc>
          <w:tcPr>
            <w:tcW w:w="0" w:type="auto"/>
          </w:tcPr>
          <w:p w:rsidRPr="004418BA" w:rsidR="004D179C" w:rsidP="001E4A94" w:rsidRDefault="004D179C" w14:paraId="01B5C04F"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33%</w:t>
            </w:r>
          </w:p>
        </w:tc>
      </w:tr>
      <w:tr w:rsidRPr="004418BA" w:rsidR="004D179C" w:rsidTr="001E4A94" w14:paraId="0FD6DBC0"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Pr="004418BA" w:rsidR="004D179C" w:rsidP="001E4A94" w:rsidRDefault="004D179C" w14:paraId="5BD6CA13" w14:textId="77777777">
            <w:pPr>
              <w:rPr>
                <w:szCs w:val="18"/>
              </w:rPr>
            </w:pPr>
          </w:p>
        </w:tc>
        <w:tc>
          <w:tcPr>
            <w:tcW w:w="0" w:type="auto"/>
          </w:tcPr>
          <w:p w:rsidRPr="004418BA" w:rsidR="004D179C" w:rsidP="001E4A94" w:rsidRDefault="004D179C" w14:paraId="5A132A8B" w14:textId="77777777">
            <w:pPr>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Neutraal</w:t>
            </w:r>
          </w:p>
        </w:tc>
        <w:tc>
          <w:tcPr>
            <w:tcW w:w="0" w:type="auto"/>
          </w:tcPr>
          <w:p w:rsidRPr="004418BA" w:rsidR="004D179C" w:rsidP="001E4A94" w:rsidRDefault="004D179C" w14:paraId="2C540910"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14%</w:t>
            </w:r>
          </w:p>
        </w:tc>
        <w:tc>
          <w:tcPr>
            <w:tcW w:w="0" w:type="auto"/>
          </w:tcPr>
          <w:p w:rsidRPr="004418BA" w:rsidR="004D179C" w:rsidP="001E4A94" w:rsidRDefault="004D179C" w14:paraId="2EEC7A3D"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14%</w:t>
            </w:r>
          </w:p>
        </w:tc>
        <w:tc>
          <w:tcPr>
            <w:tcW w:w="0" w:type="auto"/>
          </w:tcPr>
          <w:p w:rsidRPr="004418BA" w:rsidR="004D179C" w:rsidP="001E4A94" w:rsidRDefault="004D179C" w14:paraId="411A3E51"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8%</w:t>
            </w:r>
          </w:p>
        </w:tc>
        <w:tc>
          <w:tcPr>
            <w:tcW w:w="0" w:type="auto"/>
          </w:tcPr>
          <w:p w:rsidRPr="004418BA" w:rsidR="004D179C" w:rsidP="001E4A94" w:rsidRDefault="004D179C" w14:paraId="26D58032"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22%</w:t>
            </w:r>
          </w:p>
        </w:tc>
        <w:tc>
          <w:tcPr>
            <w:tcW w:w="0" w:type="auto"/>
          </w:tcPr>
          <w:p w:rsidRPr="004418BA" w:rsidR="004D179C" w:rsidP="001E4A94" w:rsidRDefault="004D179C" w14:paraId="67A3BEAD"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43%</w:t>
            </w:r>
          </w:p>
        </w:tc>
      </w:tr>
      <w:tr w:rsidRPr="004418BA" w:rsidR="004D179C" w:rsidTr="001E4A94" w14:paraId="5A305AB3"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Pr="004418BA" w:rsidR="004D179C" w:rsidP="001E4A94" w:rsidRDefault="004D179C" w14:paraId="40B9139D" w14:textId="77777777">
            <w:pPr>
              <w:rPr>
                <w:szCs w:val="18"/>
              </w:rPr>
            </w:pPr>
          </w:p>
        </w:tc>
        <w:tc>
          <w:tcPr>
            <w:tcW w:w="0" w:type="auto"/>
          </w:tcPr>
          <w:p w:rsidRPr="004418BA" w:rsidR="004D179C" w:rsidP="001E4A94" w:rsidRDefault="004D179C" w14:paraId="17325716" w14:textId="77777777">
            <w:pPr>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(Helemaal) mee eens</w:t>
            </w:r>
          </w:p>
        </w:tc>
        <w:tc>
          <w:tcPr>
            <w:tcW w:w="0" w:type="auto"/>
          </w:tcPr>
          <w:p w:rsidRPr="004418BA" w:rsidR="004D179C" w:rsidP="001E4A94" w:rsidRDefault="004D179C" w14:paraId="0143B3CC"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2%</w:t>
            </w:r>
          </w:p>
        </w:tc>
        <w:tc>
          <w:tcPr>
            <w:tcW w:w="0" w:type="auto"/>
          </w:tcPr>
          <w:p w:rsidRPr="004418BA" w:rsidR="004D179C" w:rsidP="001E4A94" w:rsidRDefault="004D179C" w14:paraId="1D55538E"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4%</w:t>
            </w:r>
          </w:p>
        </w:tc>
        <w:tc>
          <w:tcPr>
            <w:tcW w:w="0" w:type="auto"/>
          </w:tcPr>
          <w:p w:rsidRPr="004418BA" w:rsidR="004D179C" w:rsidP="001E4A94" w:rsidRDefault="004D179C" w14:paraId="6D733C23"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13%</w:t>
            </w:r>
          </w:p>
        </w:tc>
        <w:tc>
          <w:tcPr>
            <w:tcW w:w="0" w:type="auto"/>
          </w:tcPr>
          <w:p w:rsidRPr="004418BA" w:rsidR="004D179C" w:rsidP="001E4A94" w:rsidRDefault="004D179C" w14:paraId="78D6EFFA"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28%</w:t>
            </w:r>
          </w:p>
        </w:tc>
        <w:tc>
          <w:tcPr>
            <w:tcW w:w="0" w:type="auto"/>
          </w:tcPr>
          <w:p w:rsidRPr="004418BA" w:rsidR="004D179C" w:rsidP="001E4A94" w:rsidRDefault="004D179C" w14:paraId="68C14992"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53%</w:t>
            </w:r>
          </w:p>
        </w:tc>
      </w:tr>
      <w:tr w:rsidRPr="004418BA" w:rsidR="004D179C" w:rsidTr="001E4A94" w14:paraId="1507AC56"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gridSpan w:val="2"/>
          </w:tcPr>
          <w:p w:rsidRPr="00504BFC" w:rsidR="004D179C" w:rsidP="001E4A94" w:rsidRDefault="004D179C" w14:paraId="0C147E1D" w14:textId="77777777">
            <w:pPr>
              <w:rPr>
                <w:szCs w:val="18"/>
              </w:rPr>
            </w:pPr>
            <w:r w:rsidRPr="00504BFC">
              <w:rPr>
                <w:rFonts w:eastAsia="Calibri" w:cs="Calibri"/>
                <w:color w:val="000000" w:themeColor="text1"/>
                <w:szCs w:val="18"/>
              </w:rPr>
              <w:t>Ik leer veel tijdens deze lessen</w:t>
            </w:r>
          </w:p>
        </w:tc>
        <w:tc>
          <w:tcPr>
            <w:tcW w:w="0" w:type="auto"/>
          </w:tcPr>
          <w:p w:rsidRPr="004418BA" w:rsidR="004D179C" w:rsidP="001E4A94" w:rsidRDefault="004D179C" w14:paraId="0936E665" w14:textId="77777777">
            <w:pPr>
              <w:jc w:val="right"/>
              <w:cnfStyle w:val="000000000000" w:firstRow="0" w:lastRow="0" w:firstColumn="0" w:lastColumn="0" w:oddVBand="0" w:evenVBand="0" w:oddHBand="0" w:evenHBand="0" w:firstRowFirstColumn="0" w:firstRowLastColumn="0" w:lastRowFirstColumn="0" w:lastRowLastColumn="0"/>
              <w:rPr>
                <w:szCs w:val="18"/>
              </w:rPr>
            </w:pPr>
          </w:p>
        </w:tc>
        <w:tc>
          <w:tcPr>
            <w:tcW w:w="0" w:type="auto"/>
          </w:tcPr>
          <w:p w:rsidRPr="004418BA" w:rsidR="004D179C" w:rsidP="001E4A94" w:rsidRDefault="004D179C" w14:paraId="1A316B96" w14:textId="77777777">
            <w:pPr>
              <w:jc w:val="right"/>
              <w:cnfStyle w:val="000000000000" w:firstRow="0" w:lastRow="0" w:firstColumn="0" w:lastColumn="0" w:oddVBand="0" w:evenVBand="0" w:oddHBand="0" w:evenHBand="0" w:firstRowFirstColumn="0" w:firstRowLastColumn="0" w:lastRowFirstColumn="0" w:lastRowLastColumn="0"/>
              <w:rPr>
                <w:szCs w:val="18"/>
              </w:rPr>
            </w:pPr>
          </w:p>
        </w:tc>
        <w:tc>
          <w:tcPr>
            <w:tcW w:w="0" w:type="auto"/>
          </w:tcPr>
          <w:p w:rsidRPr="004418BA" w:rsidR="004D179C" w:rsidP="001E4A94" w:rsidRDefault="004D179C" w14:paraId="74F92A7D" w14:textId="77777777">
            <w:pPr>
              <w:jc w:val="right"/>
              <w:cnfStyle w:val="000000000000" w:firstRow="0" w:lastRow="0" w:firstColumn="0" w:lastColumn="0" w:oddVBand="0" w:evenVBand="0" w:oddHBand="0" w:evenHBand="0" w:firstRowFirstColumn="0" w:firstRowLastColumn="0" w:lastRowFirstColumn="0" w:lastRowLastColumn="0"/>
              <w:rPr>
                <w:szCs w:val="18"/>
              </w:rPr>
            </w:pPr>
          </w:p>
        </w:tc>
        <w:tc>
          <w:tcPr>
            <w:tcW w:w="0" w:type="auto"/>
          </w:tcPr>
          <w:p w:rsidRPr="004418BA" w:rsidR="004D179C" w:rsidP="001E4A94" w:rsidRDefault="004D179C" w14:paraId="15DFE4D0" w14:textId="77777777">
            <w:pPr>
              <w:jc w:val="right"/>
              <w:cnfStyle w:val="000000000000" w:firstRow="0" w:lastRow="0" w:firstColumn="0" w:lastColumn="0" w:oddVBand="0" w:evenVBand="0" w:oddHBand="0" w:evenHBand="0" w:firstRowFirstColumn="0" w:firstRowLastColumn="0" w:lastRowFirstColumn="0" w:lastRowLastColumn="0"/>
              <w:rPr>
                <w:szCs w:val="18"/>
              </w:rPr>
            </w:pPr>
          </w:p>
        </w:tc>
        <w:tc>
          <w:tcPr>
            <w:tcW w:w="0" w:type="auto"/>
          </w:tcPr>
          <w:p w:rsidRPr="004418BA" w:rsidR="004D179C" w:rsidP="001E4A94" w:rsidRDefault="004D179C" w14:paraId="4959CC83" w14:textId="77777777">
            <w:pPr>
              <w:jc w:val="right"/>
              <w:cnfStyle w:val="000000000000" w:firstRow="0" w:lastRow="0" w:firstColumn="0" w:lastColumn="0" w:oddVBand="0" w:evenVBand="0" w:oddHBand="0" w:evenHBand="0" w:firstRowFirstColumn="0" w:firstRowLastColumn="0" w:lastRowFirstColumn="0" w:lastRowLastColumn="0"/>
              <w:rPr>
                <w:szCs w:val="18"/>
              </w:rPr>
            </w:pPr>
          </w:p>
        </w:tc>
      </w:tr>
      <w:tr w:rsidRPr="004418BA" w:rsidR="004D179C" w:rsidTr="001E4A94" w14:paraId="14124234"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Pr="004418BA" w:rsidR="004D179C" w:rsidP="001E4A94" w:rsidRDefault="004D179C" w14:paraId="626B248D" w14:textId="77777777">
            <w:pPr>
              <w:rPr>
                <w:szCs w:val="18"/>
              </w:rPr>
            </w:pPr>
          </w:p>
        </w:tc>
        <w:tc>
          <w:tcPr>
            <w:tcW w:w="0" w:type="auto"/>
          </w:tcPr>
          <w:p w:rsidRPr="004418BA" w:rsidR="004D179C" w:rsidP="001E4A94" w:rsidRDefault="004D179C" w14:paraId="43660FBC" w14:textId="77777777">
            <w:pPr>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(Helemaal) niet mee eens</w:t>
            </w:r>
          </w:p>
        </w:tc>
        <w:tc>
          <w:tcPr>
            <w:tcW w:w="0" w:type="auto"/>
          </w:tcPr>
          <w:p w:rsidRPr="004418BA" w:rsidR="004D179C" w:rsidP="001E4A94" w:rsidRDefault="004D179C" w14:paraId="3D768952"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0%</w:t>
            </w:r>
          </w:p>
        </w:tc>
        <w:tc>
          <w:tcPr>
            <w:tcW w:w="0" w:type="auto"/>
          </w:tcPr>
          <w:p w:rsidRPr="004418BA" w:rsidR="004D179C" w:rsidP="001E4A94" w:rsidRDefault="004D179C" w14:paraId="077EE975"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17%</w:t>
            </w:r>
          </w:p>
        </w:tc>
        <w:tc>
          <w:tcPr>
            <w:tcW w:w="0" w:type="auto"/>
          </w:tcPr>
          <w:p w:rsidRPr="004418BA" w:rsidR="004D179C" w:rsidP="001E4A94" w:rsidRDefault="004D179C" w14:paraId="2ACED8BD"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0%</w:t>
            </w:r>
          </w:p>
        </w:tc>
        <w:tc>
          <w:tcPr>
            <w:tcW w:w="0" w:type="auto"/>
          </w:tcPr>
          <w:p w:rsidRPr="004418BA" w:rsidR="004D179C" w:rsidP="001E4A94" w:rsidRDefault="004D179C" w14:paraId="5C5D9D14"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33%</w:t>
            </w:r>
          </w:p>
        </w:tc>
        <w:tc>
          <w:tcPr>
            <w:tcW w:w="0" w:type="auto"/>
          </w:tcPr>
          <w:p w:rsidRPr="004418BA" w:rsidR="004D179C" w:rsidP="001E4A94" w:rsidRDefault="004D179C" w14:paraId="0E6000FA"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50%</w:t>
            </w:r>
          </w:p>
        </w:tc>
      </w:tr>
      <w:tr w:rsidRPr="004418BA" w:rsidR="004D179C" w:rsidTr="001E4A94" w14:paraId="2F42FF4D"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Pr="004418BA" w:rsidR="004D179C" w:rsidP="001E4A94" w:rsidRDefault="004D179C" w14:paraId="1B826E07" w14:textId="77777777">
            <w:pPr>
              <w:rPr>
                <w:szCs w:val="18"/>
              </w:rPr>
            </w:pPr>
          </w:p>
        </w:tc>
        <w:tc>
          <w:tcPr>
            <w:tcW w:w="0" w:type="auto"/>
          </w:tcPr>
          <w:p w:rsidRPr="004418BA" w:rsidR="004D179C" w:rsidP="001E4A94" w:rsidRDefault="004D179C" w14:paraId="75C3D1AA" w14:textId="77777777">
            <w:pPr>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Neutraal</w:t>
            </w:r>
          </w:p>
        </w:tc>
        <w:tc>
          <w:tcPr>
            <w:tcW w:w="0" w:type="auto"/>
          </w:tcPr>
          <w:p w:rsidRPr="004418BA" w:rsidR="004D179C" w:rsidP="001E4A94" w:rsidRDefault="004D179C" w14:paraId="744F5FC4"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17%</w:t>
            </w:r>
          </w:p>
        </w:tc>
        <w:tc>
          <w:tcPr>
            <w:tcW w:w="0" w:type="auto"/>
          </w:tcPr>
          <w:p w:rsidRPr="004418BA" w:rsidR="004D179C" w:rsidP="001E4A94" w:rsidRDefault="004D179C" w14:paraId="2419C988"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17%</w:t>
            </w:r>
          </w:p>
        </w:tc>
        <w:tc>
          <w:tcPr>
            <w:tcW w:w="0" w:type="auto"/>
          </w:tcPr>
          <w:p w:rsidRPr="004418BA" w:rsidR="004D179C" w:rsidP="001E4A94" w:rsidRDefault="004D179C" w14:paraId="0C552C78"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9%</w:t>
            </w:r>
          </w:p>
        </w:tc>
        <w:tc>
          <w:tcPr>
            <w:tcW w:w="0" w:type="auto"/>
          </w:tcPr>
          <w:p w:rsidRPr="004418BA" w:rsidR="004D179C" w:rsidP="001E4A94" w:rsidRDefault="004D179C" w14:paraId="3A97A4B4"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23%</w:t>
            </w:r>
          </w:p>
        </w:tc>
        <w:tc>
          <w:tcPr>
            <w:tcW w:w="0" w:type="auto"/>
          </w:tcPr>
          <w:p w:rsidRPr="004418BA" w:rsidR="004D179C" w:rsidP="001E4A94" w:rsidRDefault="004D179C" w14:paraId="66964E34"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34%</w:t>
            </w:r>
          </w:p>
        </w:tc>
      </w:tr>
      <w:tr w:rsidRPr="004418BA" w:rsidR="004D179C" w:rsidTr="001E4A94" w14:paraId="37274776"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Pr="004418BA" w:rsidR="004D179C" w:rsidP="001E4A94" w:rsidRDefault="004D179C" w14:paraId="384901B8" w14:textId="77777777">
            <w:pPr>
              <w:rPr>
                <w:szCs w:val="18"/>
              </w:rPr>
            </w:pPr>
          </w:p>
        </w:tc>
        <w:tc>
          <w:tcPr>
            <w:tcW w:w="0" w:type="auto"/>
          </w:tcPr>
          <w:p w:rsidRPr="004418BA" w:rsidR="004D179C" w:rsidP="001E4A94" w:rsidRDefault="004D179C" w14:paraId="63D3B407" w14:textId="77777777">
            <w:pPr>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(Helemaal) mee eens</w:t>
            </w:r>
          </w:p>
        </w:tc>
        <w:tc>
          <w:tcPr>
            <w:tcW w:w="0" w:type="auto"/>
          </w:tcPr>
          <w:p w:rsidRPr="004418BA" w:rsidR="004D179C" w:rsidP="001E4A94" w:rsidRDefault="004D179C" w14:paraId="4BAE559F"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0%</w:t>
            </w:r>
          </w:p>
        </w:tc>
        <w:tc>
          <w:tcPr>
            <w:tcW w:w="0" w:type="auto"/>
          </w:tcPr>
          <w:p w:rsidRPr="004418BA" w:rsidR="004D179C" w:rsidP="001E4A94" w:rsidRDefault="004D179C" w14:paraId="7A178FDF"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4%</w:t>
            </w:r>
          </w:p>
        </w:tc>
        <w:tc>
          <w:tcPr>
            <w:tcW w:w="0" w:type="auto"/>
          </w:tcPr>
          <w:p w:rsidRPr="004418BA" w:rsidR="004D179C" w:rsidP="001E4A94" w:rsidRDefault="004D179C" w14:paraId="74F7596A"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12%</w:t>
            </w:r>
          </w:p>
        </w:tc>
        <w:tc>
          <w:tcPr>
            <w:tcW w:w="0" w:type="auto"/>
          </w:tcPr>
          <w:p w:rsidRPr="004418BA" w:rsidR="004D179C" w:rsidP="001E4A94" w:rsidRDefault="004D179C" w14:paraId="502E3E01"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27%</w:t>
            </w:r>
          </w:p>
        </w:tc>
        <w:tc>
          <w:tcPr>
            <w:tcW w:w="0" w:type="auto"/>
          </w:tcPr>
          <w:p w:rsidRPr="004418BA" w:rsidR="004D179C" w:rsidP="001E4A94" w:rsidRDefault="004D179C" w14:paraId="190D8801" w14:textId="77777777">
            <w:pPr>
              <w:jc w:val="right"/>
              <w:cnfStyle w:val="000000000000" w:firstRow="0" w:lastRow="0" w:firstColumn="0" w:lastColumn="0" w:oddVBand="0" w:evenVBand="0" w:oddHBand="0" w:evenHBand="0" w:firstRowFirstColumn="0" w:firstRowLastColumn="0" w:lastRowFirstColumn="0" w:lastRowLastColumn="0"/>
              <w:rPr>
                <w:szCs w:val="18"/>
              </w:rPr>
            </w:pPr>
            <w:r w:rsidRPr="004418BA">
              <w:rPr>
                <w:rFonts w:eastAsia="Calibri" w:cs="Calibri"/>
                <w:color w:val="000000" w:themeColor="text1"/>
                <w:szCs w:val="18"/>
              </w:rPr>
              <w:t>57%</w:t>
            </w:r>
          </w:p>
        </w:tc>
      </w:tr>
    </w:tbl>
    <w:p w:rsidR="004D179C" w:rsidP="004D179C" w:rsidRDefault="004D179C" w14:paraId="78ED3D13" w14:textId="77777777">
      <w:pPr>
        <w:rPr>
          <w:rFonts w:eastAsiaTheme="minorEastAsia"/>
          <w:szCs w:val="18"/>
        </w:rPr>
      </w:pPr>
      <w:r w:rsidRPr="00C04884">
        <w:rPr>
          <w:rFonts w:eastAsiaTheme="minorEastAsia"/>
          <w:szCs w:val="18"/>
        </w:rPr>
        <w:t>Bron: Leerlingenvragenlijst mei-juli 2025.</w:t>
      </w:r>
      <w:r w:rsidRPr="00A10D67">
        <w:rPr>
          <w:rFonts w:eastAsiaTheme="minorEastAsia"/>
          <w:szCs w:val="18"/>
        </w:rPr>
        <w:t xml:space="preserve"> </w:t>
      </w:r>
      <w:r>
        <w:rPr>
          <w:rFonts w:eastAsiaTheme="minorEastAsia"/>
          <w:szCs w:val="18"/>
        </w:rPr>
        <w:t>Rijpercentages.</w:t>
      </w:r>
    </w:p>
    <w:p w:rsidR="00A47A07" w:rsidP="004D179C" w:rsidRDefault="00A47A07" w14:paraId="2B9F3376" w14:textId="77777777">
      <w:pPr>
        <w:rPr>
          <w:rFonts w:eastAsiaTheme="minorEastAsia"/>
          <w:szCs w:val="18"/>
        </w:rPr>
      </w:pPr>
    </w:p>
    <w:p w:rsidR="004D179C" w:rsidP="004D179C" w:rsidRDefault="004D179C" w14:paraId="404CFF7C" w14:textId="77777777">
      <w:pPr>
        <w:rPr>
          <w:rFonts w:eastAsiaTheme="minorEastAsia"/>
          <w:szCs w:val="18"/>
        </w:rPr>
      </w:pPr>
      <w:r>
        <w:rPr>
          <w:rFonts w:eastAsiaTheme="minorEastAsia"/>
          <w:szCs w:val="18"/>
        </w:rPr>
        <w:t xml:space="preserve">Hetzelfde geldt voor ervaren competentie: we zien ook hier aanwijzingen dat ervaren competentie samengaat met meer interesse in techniek, met name als het gaat om de stellingen ‘Ik kan de technische opdrachten goed uitvoeren’ en ‘Ik kan problemen tijdens de les oplossen’. Dit patroon is in mindere mate aanwezig voor de stelling ‘Ik leer veel tijdens deze lessen’. </w:t>
      </w:r>
    </w:p>
    <w:p w:rsidR="00A47A07" w:rsidP="004D179C" w:rsidRDefault="00A47A07" w14:paraId="50F61CDE" w14:textId="77777777">
      <w:pPr>
        <w:rPr>
          <w:rFonts w:eastAsiaTheme="minorEastAsia"/>
          <w:szCs w:val="18"/>
        </w:rPr>
      </w:pPr>
    </w:p>
    <w:p w:rsidR="004D179C" w:rsidP="004D179C" w:rsidRDefault="004D179C" w14:paraId="64F1FC01" w14:textId="77777777">
      <w:pPr>
        <w:jc w:val="both"/>
        <w:rPr>
          <w:rFonts w:eastAsiaTheme="minorEastAsia"/>
          <w:szCs w:val="18"/>
        </w:rPr>
      </w:pPr>
      <w:r w:rsidRPr="625A0593">
        <w:rPr>
          <w:rFonts w:eastAsiaTheme="minorEastAsia"/>
          <w:szCs w:val="18"/>
        </w:rPr>
        <w:lastRenderedPageBreak/>
        <w:t>Samenvattend laten deze bevindingen zien dat er in het techniekonderwijs in het vmbo al veel gebeurt dat waarschijnlijk bijdraagt aan motivatie en betrokkenheid van leerlingen. Aspecten als ruimte voor eigen inbreng, succeservaringen in praktische opdrachten en een ondersteunende leeromgeving sluiten aan bij de psychologische basisbehoeften van autonomie, competentie en verbondenheid, en lijken een positieve relatie te hebben met interesse in techniek. Dit geeft aan dat aandacht voor deze pedagogisch-didactische principes ook in deze onderwijscontext van belang is. Tegelijkertijd roept het ook nieuwe vragen op. Zo is het nog niet duidelijk of deze bevindingen voor alle doelgroepen</w:t>
      </w:r>
      <w:r>
        <w:rPr>
          <w:rFonts w:eastAsiaTheme="minorEastAsia"/>
          <w:szCs w:val="18"/>
        </w:rPr>
        <w:t xml:space="preserve"> </w:t>
      </w:r>
      <w:r w:rsidRPr="625A0593">
        <w:rPr>
          <w:rFonts w:eastAsiaTheme="minorEastAsia"/>
          <w:szCs w:val="18"/>
        </w:rPr>
        <w:t>in gelijke mate gelden. Vervolgonderzoek kan uitwijzen hoe verschillend leerlingen reageren op bepaalde pedagogisch-didactische benaderingen, en hoe techniekonderwijs optimaal ingericht kan worden voor uiteenlopende groepen jongeren.</w:t>
      </w:r>
    </w:p>
    <w:p w:rsidR="004D179C" w:rsidP="004D179C" w:rsidRDefault="004D179C" w14:paraId="325DA8E7" w14:textId="77777777">
      <w:pPr>
        <w:jc w:val="both"/>
        <w:rPr>
          <w:rFonts w:eastAsiaTheme="minorEastAsia"/>
          <w:szCs w:val="18"/>
        </w:rPr>
      </w:pPr>
    </w:p>
    <w:p w:rsidRPr="004A6338" w:rsidR="004D179C" w:rsidP="00915646" w:rsidRDefault="004D179C" w14:paraId="4E256708" w14:textId="77777777">
      <w:pPr>
        <w:pStyle w:val="Kop2"/>
      </w:pPr>
      <w:bookmarkStart w:name="_Toc203573600" w:id="74"/>
      <w:r w:rsidRPr="004A6338">
        <w:t>Conclusie</w:t>
      </w:r>
      <w:bookmarkEnd w:id="74"/>
    </w:p>
    <w:p w:rsidR="004D179C" w:rsidP="004D179C" w:rsidRDefault="004D179C" w14:paraId="0BEE71D4" w14:textId="60A48CBA">
      <w:pPr>
        <w:jc w:val="both"/>
        <w:rPr>
          <w:rFonts w:eastAsiaTheme="minorEastAsia"/>
          <w:szCs w:val="18"/>
        </w:rPr>
      </w:pPr>
      <w:r>
        <w:rPr>
          <w:rFonts w:eastAsiaTheme="minorEastAsia"/>
          <w:szCs w:val="18"/>
        </w:rPr>
        <w:t xml:space="preserve">Om een licht te werpen op ervaringen van de doelgroep waar STO uiteindelijk voor bedoeld is, is in </w:t>
      </w:r>
      <w:r w:rsidRPr="00836DFF">
        <w:rPr>
          <w:rFonts w:eastAsiaTheme="minorEastAsia"/>
          <w:szCs w:val="18"/>
        </w:rPr>
        <w:t>dit hoofdstuk gekeken naar de deelname van vmbo-leerlingen aan techniekactiviteiten, de ontwikkeling van hun interesse in techniek en hun keuzes voor technisch onderwijs</w:t>
      </w:r>
      <w:r>
        <w:rPr>
          <w:rFonts w:eastAsiaTheme="minorEastAsia"/>
          <w:szCs w:val="18"/>
        </w:rPr>
        <w:t xml:space="preserve">. 1,049 leerlingen in 28 scholen hebben tussen mei en juli 2025 hierover een vragenlijst ingevuld. Deze gegevens van leerlingen zijn niet generaliseerbaar naar een landelijk beeld, omdat </w:t>
      </w:r>
      <w:r w:rsidR="00915646">
        <w:rPr>
          <w:rFonts w:eastAsiaTheme="minorEastAsia"/>
          <w:szCs w:val="18"/>
        </w:rPr>
        <w:t xml:space="preserve">bepaalde </w:t>
      </w:r>
      <w:r>
        <w:rPr>
          <w:rFonts w:eastAsiaTheme="minorEastAsia"/>
          <w:szCs w:val="18"/>
        </w:rPr>
        <w:t xml:space="preserve">regio’s </w:t>
      </w:r>
      <w:r w:rsidR="00915646">
        <w:rPr>
          <w:rFonts w:eastAsiaTheme="minorEastAsia"/>
          <w:szCs w:val="18"/>
        </w:rPr>
        <w:t>ontbreken</w:t>
      </w:r>
      <w:r>
        <w:rPr>
          <w:rFonts w:eastAsiaTheme="minorEastAsia"/>
          <w:szCs w:val="18"/>
        </w:rPr>
        <w:t xml:space="preserve"> en een groot deel van de leerlingen afkomstig is van dezelfde scholen. De resultaten kunnen echter wel interessante patronen laten zien, op het gebied van deelname aan technische activiteiten, mening over het huidige aanbod, interesseontwikkeling in techniek, motivatie en welbevinden, en daadwerkelijke keuzes voor techniek. </w:t>
      </w:r>
    </w:p>
    <w:p w:rsidR="00915646" w:rsidP="004D179C" w:rsidRDefault="00915646" w14:paraId="020DFC13" w14:textId="77777777">
      <w:pPr>
        <w:jc w:val="both"/>
        <w:rPr>
          <w:rFonts w:eastAsiaTheme="minorEastAsia"/>
          <w:szCs w:val="18"/>
        </w:rPr>
      </w:pPr>
    </w:p>
    <w:p w:rsidR="004D179C" w:rsidP="004D179C" w:rsidRDefault="004D179C" w14:paraId="55919646" w14:textId="77777777">
      <w:pPr>
        <w:jc w:val="both"/>
        <w:rPr>
          <w:rFonts w:eastAsiaTheme="minorEastAsia"/>
          <w:szCs w:val="18"/>
        </w:rPr>
      </w:pPr>
      <w:r w:rsidRPr="625A0593">
        <w:rPr>
          <w:rFonts w:eastAsiaTheme="minorEastAsia"/>
          <w:szCs w:val="18"/>
        </w:rPr>
        <w:t>Bijna driekwart van de leerlingen in de vragenlijst heeft op de basisschool deelgenomen aan tenminste één techniekactiviteit. Deelname is het hoogst bij een bezoek aan een vmbo-school, bedrijf of gastles. De beoordeling van de activiteiten is veelal neutraal of (heel) positief.</w:t>
      </w:r>
      <w:r w:rsidRPr="00BA3E4D">
        <w:t xml:space="preserve"> </w:t>
      </w:r>
      <w:r w:rsidRPr="625A0593">
        <w:rPr>
          <w:rFonts w:eastAsiaTheme="minorEastAsia"/>
          <w:szCs w:val="18"/>
        </w:rPr>
        <w:t>De meeste leerlingen rapporteren dat hun mening over techniek door deelname aan de activiteiten niet is veranderd. We zien dat onderbouwleerlingen die hebben deelgenomen aan technische activiteiten op de basisschool vaker verwachten te kiezen voor een technisch profiel. Dit hoeft niet te betekenen dat het met name (buitenschoolse) techniekactiviteiten zijn die deze profielkeuze sturen. Het kan bijvoorbeeld ook een indicatie zijn dat deze basisscholen meer gericht zijn op techniek. Na de basisschool kiezen leerlingen meestal voor een vo-school die dicht bij huis ligt. Andere belangrijke overwegingen zijn het aanbod van profielen en keuzevakken.</w:t>
      </w:r>
    </w:p>
    <w:p w:rsidR="00915646" w:rsidP="004D179C" w:rsidRDefault="00915646" w14:paraId="30B5C841" w14:textId="77777777">
      <w:pPr>
        <w:jc w:val="both"/>
        <w:rPr>
          <w:rFonts w:eastAsiaTheme="minorEastAsia"/>
          <w:szCs w:val="18"/>
        </w:rPr>
      </w:pPr>
    </w:p>
    <w:p w:rsidR="004D179C" w:rsidP="004D179C" w:rsidRDefault="004D179C" w14:paraId="4D3EE77A" w14:textId="59E235A7">
      <w:pPr>
        <w:jc w:val="both"/>
        <w:rPr>
          <w:rFonts w:eastAsiaTheme="minorEastAsia"/>
          <w:szCs w:val="18"/>
        </w:rPr>
      </w:pPr>
      <w:r>
        <w:rPr>
          <w:rFonts w:eastAsiaTheme="minorEastAsia"/>
          <w:szCs w:val="18"/>
        </w:rPr>
        <w:t>I</w:t>
      </w:r>
      <w:r w:rsidR="00915646">
        <w:rPr>
          <w:rFonts w:eastAsiaTheme="minorEastAsia"/>
          <w:szCs w:val="18"/>
        </w:rPr>
        <w:t>n</w:t>
      </w:r>
      <w:r>
        <w:rPr>
          <w:rFonts w:eastAsiaTheme="minorEastAsia"/>
          <w:szCs w:val="18"/>
        </w:rPr>
        <w:t xml:space="preserve"> het vo</w:t>
      </w:r>
      <w:r w:rsidRPr="625A0593">
        <w:rPr>
          <w:rFonts w:eastAsiaTheme="minorEastAsia"/>
          <w:szCs w:val="18"/>
        </w:rPr>
        <w:t xml:space="preserve"> hebben nog meer leerlingen (8 op de 10) aan tenminste één techniekactiviteit deelgenomen. Bijna de helft heeft een bezoek aan een bedrijf gebracht. Andere activiteiten waaraan relatief vaak is deelgenomen zijn: bezoek aan een mbo en gastles of workshop. Ook bij deze activiteiten zien we dat hoewel de beoordeling meestal neutraal of (heel) positief is, de activiteiten volgens de meeste leerlingen niet zorgen voor een verandering in hun mening over techniek. Als dit wel het geval is, vinden de leerlingen het meestal leuker geworden. Deelname aan tenminste één technische activiteit op de vo-school lijkt ook samen te hangen met een grotere kans op keuze voor een technisch profiel.</w:t>
      </w:r>
    </w:p>
    <w:p w:rsidR="00915646" w:rsidP="004D179C" w:rsidRDefault="00915646" w14:paraId="742B4455" w14:textId="77777777">
      <w:pPr>
        <w:jc w:val="both"/>
        <w:rPr>
          <w:rFonts w:eastAsiaTheme="minorEastAsia"/>
          <w:szCs w:val="18"/>
        </w:rPr>
      </w:pPr>
    </w:p>
    <w:p w:rsidR="004D179C" w:rsidP="004D179C" w:rsidRDefault="004D179C" w14:paraId="01430A51" w14:textId="77777777">
      <w:pPr>
        <w:jc w:val="both"/>
        <w:rPr>
          <w:rFonts w:eastAsiaTheme="minorEastAsia"/>
          <w:szCs w:val="18"/>
        </w:rPr>
      </w:pPr>
      <w:r>
        <w:rPr>
          <w:rFonts w:eastAsiaTheme="minorEastAsia"/>
          <w:szCs w:val="18"/>
        </w:rPr>
        <w:t xml:space="preserve">Specifiek voor onderbouwleerlingen zien we dat een groot deel van de leerlingen (3 op de 10) (nog) geen (diepgaande) interesse heeft ontwikkeld in techniek. </w:t>
      </w:r>
      <w:r w:rsidRPr="0012026F">
        <w:rPr>
          <w:rFonts w:eastAsiaTheme="minorEastAsia"/>
          <w:szCs w:val="18"/>
        </w:rPr>
        <w:t xml:space="preserve">Tegelijkertijd is er ook een relatief grote groep die </w:t>
      </w:r>
      <w:r>
        <w:rPr>
          <w:rFonts w:eastAsiaTheme="minorEastAsia"/>
          <w:szCs w:val="18"/>
        </w:rPr>
        <w:t xml:space="preserve">al </w:t>
      </w:r>
      <w:r w:rsidRPr="0012026F">
        <w:rPr>
          <w:rFonts w:eastAsiaTheme="minorEastAsia"/>
          <w:szCs w:val="18"/>
        </w:rPr>
        <w:t xml:space="preserve">wél persoonlijk geïnteresseerd is in techniek. </w:t>
      </w:r>
      <w:r>
        <w:rPr>
          <w:rFonts w:eastAsiaTheme="minorEastAsia"/>
          <w:szCs w:val="18"/>
        </w:rPr>
        <w:t xml:space="preserve">Duidelijk zichtbaar is dat de meeste onderbouwleerlingen die een technisch profiel willen gaan kiezen ook al diepgaand geïnteresseerd zijn in techniek. </w:t>
      </w:r>
      <w:r w:rsidRPr="00AD01AD">
        <w:rPr>
          <w:rFonts w:eastAsiaTheme="minorEastAsia"/>
          <w:szCs w:val="18"/>
        </w:rPr>
        <w:t>Interessant is dat er ook potentieel zichtbaar is bij</w:t>
      </w:r>
      <w:r>
        <w:rPr>
          <w:rFonts w:eastAsiaTheme="minorEastAsia"/>
          <w:szCs w:val="18"/>
        </w:rPr>
        <w:t xml:space="preserve"> de groep</w:t>
      </w:r>
      <w:r w:rsidRPr="00AD01AD">
        <w:rPr>
          <w:rFonts w:eastAsiaTheme="minorEastAsia"/>
          <w:szCs w:val="18"/>
        </w:rPr>
        <w:t xml:space="preserve"> leerlingen die geen technisch profiel denken te</w:t>
      </w:r>
      <w:r>
        <w:rPr>
          <w:rFonts w:eastAsiaTheme="minorEastAsia"/>
          <w:szCs w:val="18"/>
        </w:rPr>
        <w:t xml:space="preserve"> gaan</w:t>
      </w:r>
      <w:r w:rsidRPr="00AD01AD">
        <w:rPr>
          <w:rFonts w:eastAsiaTheme="minorEastAsia"/>
          <w:szCs w:val="18"/>
        </w:rPr>
        <w:t xml:space="preserve"> kiezen, maar toch persoonlijke interesse in techniek tonen.</w:t>
      </w:r>
      <w:r>
        <w:rPr>
          <w:rFonts w:eastAsiaTheme="minorEastAsia"/>
          <w:szCs w:val="18"/>
        </w:rPr>
        <w:t xml:space="preserve"> </w:t>
      </w:r>
      <w:r w:rsidRPr="00D234F6">
        <w:rPr>
          <w:rFonts w:eastAsiaTheme="minorEastAsia"/>
          <w:szCs w:val="18"/>
        </w:rPr>
        <w:t xml:space="preserve">De meeste </w:t>
      </w:r>
      <w:r>
        <w:rPr>
          <w:rFonts w:eastAsiaTheme="minorEastAsia"/>
          <w:szCs w:val="18"/>
        </w:rPr>
        <w:t>onderbouw</w:t>
      </w:r>
      <w:r w:rsidRPr="00D234F6">
        <w:rPr>
          <w:rFonts w:eastAsiaTheme="minorEastAsia"/>
          <w:szCs w:val="18"/>
        </w:rPr>
        <w:t xml:space="preserve">leerlingen kiezen een profiel op basis van hun interesses, gevolgd door </w:t>
      </w:r>
      <w:r>
        <w:rPr>
          <w:rFonts w:eastAsiaTheme="minorEastAsia"/>
          <w:szCs w:val="18"/>
        </w:rPr>
        <w:t xml:space="preserve">de drijfveer van goede </w:t>
      </w:r>
      <w:r w:rsidRPr="00D234F6">
        <w:rPr>
          <w:rFonts w:eastAsiaTheme="minorEastAsia"/>
          <w:szCs w:val="18"/>
        </w:rPr>
        <w:t>aansluiting bij een toekomstig beroep of vervolgopleiding.</w:t>
      </w:r>
    </w:p>
    <w:p w:rsidR="00915646" w:rsidP="004D179C" w:rsidRDefault="00915646" w14:paraId="277ED192" w14:textId="77777777">
      <w:pPr>
        <w:jc w:val="both"/>
        <w:rPr>
          <w:rFonts w:eastAsiaTheme="minorEastAsia"/>
          <w:szCs w:val="18"/>
        </w:rPr>
      </w:pPr>
    </w:p>
    <w:p w:rsidR="004D179C" w:rsidP="004D179C" w:rsidRDefault="004D179C" w14:paraId="03EF747C" w14:textId="0DAB661C">
      <w:pPr>
        <w:jc w:val="both"/>
        <w:rPr>
          <w:rFonts w:eastAsiaTheme="minorEastAsia"/>
          <w:szCs w:val="18"/>
        </w:rPr>
      </w:pPr>
      <w:r w:rsidRPr="625A0593">
        <w:rPr>
          <w:rFonts w:eastAsiaTheme="minorEastAsia"/>
          <w:szCs w:val="18"/>
        </w:rPr>
        <w:t xml:space="preserve">Tot slot zien we bij de bovenbouwleerlingen met een technisch profiel of keuzevak dat zij positief zijn over de technieklessen, docenten/instructeurs en materialen en gereedschappen op school. Het spreekt hen aan om praktisch bezig te zijn in de les, leerlingen voelen zich gezien en ondersteund door hun docenten. Leerlingen zijn ook te spreken over de kennis van hun docenten over het bedrijfsleven en de moderne voorzieningen in de technieklokalen. Daarentegen geeft slechts een klein deel van de leerlingen (2 op de 10) aan dat zij vrijheid hebben </w:t>
      </w:r>
      <w:r w:rsidRPr="625A0593">
        <w:rPr>
          <w:rFonts w:eastAsiaTheme="minorEastAsia"/>
          <w:szCs w:val="18"/>
        </w:rPr>
        <w:lastRenderedPageBreak/>
        <w:t>in het maken van opdrachten</w:t>
      </w:r>
      <w:r w:rsidR="00915646">
        <w:rPr>
          <w:rFonts w:eastAsiaTheme="minorEastAsia"/>
          <w:szCs w:val="18"/>
        </w:rPr>
        <w:t>. O</w:t>
      </w:r>
      <w:r w:rsidRPr="625A0593">
        <w:rPr>
          <w:rFonts w:eastAsiaTheme="minorEastAsia"/>
          <w:szCs w:val="18"/>
        </w:rPr>
        <w:t xml:space="preserve">ok antwoordt de helft van de leerlingen neutraal op stellingen die gaan over het gebruik van eigen ideeën en oplossingen en de vrijheid om het eigen tempo te bepalen bij een technische opdracht. Het merendeel van de bovenbouwleerlingen ervaart verbondenheid met hun docent en klasgenoten. De meeste bovenbouwleerlingen ervaren ook competentie op het gebied van techniek. We zien aanwijzingen dat een hogere mate van ervaren autonomie, verbondenheid en competentie samengaat met meer interesse in techniek. </w:t>
      </w:r>
    </w:p>
    <w:p w:rsidR="00915646" w:rsidP="004D179C" w:rsidRDefault="00915646" w14:paraId="528114F7" w14:textId="77777777">
      <w:pPr>
        <w:jc w:val="both"/>
        <w:rPr>
          <w:rFonts w:eastAsiaTheme="minorEastAsia"/>
          <w:szCs w:val="18"/>
        </w:rPr>
      </w:pPr>
    </w:p>
    <w:p w:rsidRPr="005C408D" w:rsidR="004D179C" w:rsidP="004D179C" w:rsidRDefault="004D179C" w14:paraId="14546F39" w14:textId="77777777">
      <w:pPr>
        <w:jc w:val="both"/>
        <w:rPr>
          <w:rFonts w:eastAsiaTheme="minorEastAsia"/>
          <w:color w:val="FF0000"/>
          <w:szCs w:val="18"/>
        </w:rPr>
      </w:pPr>
      <w:r w:rsidRPr="003942F1">
        <w:rPr>
          <w:rFonts w:eastAsiaTheme="minorEastAsia"/>
          <w:szCs w:val="18"/>
        </w:rPr>
        <w:t xml:space="preserve">Bij bovenbouwleerlingen is er een duidelijk verschil in interesse </w:t>
      </w:r>
      <w:r>
        <w:rPr>
          <w:rFonts w:eastAsiaTheme="minorEastAsia"/>
          <w:szCs w:val="18"/>
        </w:rPr>
        <w:t xml:space="preserve">in techniek </w:t>
      </w:r>
      <w:r w:rsidRPr="003942F1">
        <w:rPr>
          <w:rFonts w:eastAsiaTheme="minorEastAsia"/>
          <w:szCs w:val="18"/>
        </w:rPr>
        <w:t xml:space="preserve">tussen wie wel of geen technisch profiel of keuzevak kiest. Leerlingen zonder techniekprofiel of keuzevak laten vaak weinig interesse zien, al zit zelfs daar een groep </w:t>
      </w:r>
      <w:r>
        <w:rPr>
          <w:rFonts w:eastAsiaTheme="minorEastAsia"/>
          <w:szCs w:val="18"/>
        </w:rPr>
        <w:t xml:space="preserve">(zo’n 10 procent) </w:t>
      </w:r>
      <w:r w:rsidRPr="003942F1">
        <w:rPr>
          <w:rFonts w:eastAsiaTheme="minorEastAsia"/>
          <w:szCs w:val="18"/>
        </w:rPr>
        <w:t xml:space="preserve">die </w:t>
      </w:r>
      <w:r>
        <w:rPr>
          <w:rFonts w:eastAsiaTheme="minorEastAsia"/>
          <w:szCs w:val="18"/>
        </w:rPr>
        <w:t>vergaand</w:t>
      </w:r>
      <w:r w:rsidRPr="003942F1">
        <w:rPr>
          <w:rFonts w:eastAsiaTheme="minorEastAsia"/>
          <w:szCs w:val="18"/>
        </w:rPr>
        <w:t xml:space="preserve"> geïnteresseerd is in techniek. Bij leerlingen met een techniekprofiel is de interesse meestal verder ontwikkeld, maar ook in deze groep zijn er wat leerlingen met weinig interesse. Meer dan de helft van de leerlingen heeft nog geen duidelijk beeld van hun vervolgopleiding, </w:t>
      </w:r>
      <w:r>
        <w:rPr>
          <w:rFonts w:eastAsiaTheme="minorEastAsia"/>
          <w:szCs w:val="18"/>
        </w:rPr>
        <w:t xml:space="preserve">maar leerlingen met persoonlijke interesse in techniek verwachten wel vaker voor een mbo-opleiding te kiezen. </w:t>
      </w:r>
    </w:p>
    <w:p w:rsidR="00A47A07" w:rsidP="004D179C" w:rsidRDefault="00A47A07" w14:paraId="5030A8B0" w14:textId="77777777">
      <w:pPr>
        <w:rPr>
          <w:rFonts w:eastAsiaTheme="majorEastAsia" w:cstheme="majorBidi"/>
          <w:b/>
          <w:bCs/>
          <w:color w:val="1D509A"/>
          <w:szCs w:val="26"/>
        </w:rPr>
      </w:pPr>
    </w:p>
    <w:p w:rsidRPr="00C04884" w:rsidR="004D179C" w:rsidP="004D179C" w:rsidRDefault="004D179C" w14:paraId="3ED2F405" w14:textId="77777777"/>
    <w:p w:rsidRPr="00491903" w:rsidR="00491903" w:rsidP="00491903" w:rsidRDefault="00491903" w14:paraId="56E5CB23" w14:textId="77777777">
      <w:pPr>
        <w:pStyle w:val="Plattetekst"/>
        <w:rPr>
          <w:lang w:eastAsia="en-US"/>
        </w:rPr>
      </w:pPr>
    </w:p>
    <w:p w:rsidR="0061027C" w:rsidP="0061027C" w:rsidRDefault="0061027C" w14:paraId="66FF907E" w14:textId="77777777">
      <w:pPr>
        <w:pStyle w:val="Plattetekst"/>
        <w:rPr>
          <w:lang w:eastAsia="en-US"/>
        </w:rPr>
      </w:pPr>
    </w:p>
    <w:p w:rsidRPr="0061027C" w:rsidR="0061027C" w:rsidP="0061027C" w:rsidRDefault="0061027C" w14:paraId="6F304E20" w14:textId="77777777">
      <w:pPr>
        <w:pStyle w:val="Plattetekst"/>
        <w:rPr>
          <w:lang w:eastAsia="en-US"/>
        </w:rPr>
      </w:pPr>
    </w:p>
    <w:p w:rsidR="00995D34" w:rsidRDefault="00995D34" w14:paraId="2D7E51D3" w14:textId="77777777">
      <w:pPr>
        <w:spacing w:after="160" w:line="259" w:lineRule="auto"/>
        <w:rPr>
          <w:rFonts w:eastAsiaTheme="majorEastAsia" w:cstheme="majorBidi"/>
          <w:b/>
          <w:bCs/>
          <w:color w:val="1D509A"/>
          <w:sz w:val="24"/>
          <w:szCs w:val="28"/>
          <w:lang w:eastAsia="en-US"/>
        </w:rPr>
      </w:pPr>
      <w:r>
        <w:br w:type="page"/>
      </w:r>
    </w:p>
    <w:p w:rsidR="00E13F1E" w:rsidP="00FC2172" w:rsidRDefault="00E13F1E" w14:paraId="17D6A8DF" w14:textId="07AA7F22">
      <w:pPr>
        <w:pStyle w:val="Kop1"/>
      </w:pPr>
      <w:bookmarkStart w:name="_Toc203573601" w:id="75"/>
      <w:r>
        <w:lastRenderedPageBreak/>
        <w:t>Samenvattend beeld van de ontwikkelingen op indicatoren: STO in cijfers</w:t>
      </w:r>
      <w:bookmarkEnd w:id="75"/>
    </w:p>
    <w:p w:rsidRPr="00E13F1E" w:rsidR="00E13F1E" w:rsidP="00283B39" w:rsidRDefault="00E13F1E" w14:paraId="2D4E27D0" w14:textId="2B4E21FE">
      <w:pPr>
        <w:spacing w:line="259" w:lineRule="auto"/>
        <w:rPr>
          <w:rFonts w:cs="Calibri"/>
          <w:szCs w:val="18"/>
        </w:rPr>
      </w:pPr>
      <w:r w:rsidRPr="00E13F1E">
        <w:rPr>
          <w:rFonts w:cs="Calibri"/>
          <w:szCs w:val="18"/>
        </w:rPr>
        <w:t xml:space="preserve">In dit hoofdstuk wordt het kwantitatieve deel van de monitor op hoofdlijnen samengevat. Dit betreft </w:t>
      </w:r>
      <w:r w:rsidRPr="27A1E800">
        <w:rPr>
          <w:rFonts w:cs="Calibri"/>
        </w:rPr>
        <w:t>zowel de ontwikkelingen in het aanbod en de in- en doorstroom van leerlingen, de oordelen van oud-</w:t>
      </w:r>
      <w:r w:rsidRPr="00E13F1E">
        <w:rPr>
          <w:rFonts w:cs="Calibri"/>
          <w:szCs w:val="18"/>
        </w:rPr>
        <w:t xml:space="preserve">vmboleerlingen over hun opleiding en de beschikbaarheid van docenten/instructeurs in de STO-regio’s. </w:t>
      </w:r>
    </w:p>
    <w:p w:rsidRPr="00E13F1E" w:rsidR="00E13F1E" w:rsidP="00E13F1E" w:rsidRDefault="00E13F1E" w14:paraId="2A5A2DDB" w14:textId="77777777">
      <w:pPr>
        <w:spacing w:line="259" w:lineRule="auto"/>
        <w:ind w:left="709" w:hanging="709"/>
        <w:rPr>
          <w:rFonts w:cs="Calibri"/>
          <w:szCs w:val="18"/>
        </w:rPr>
      </w:pPr>
    </w:p>
    <w:p w:rsidRPr="00E13F1E" w:rsidR="00E13F1E" w:rsidP="00283B39" w:rsidRDefault="00E13F1E" w14:paraId="3A12983A" w14:textId="53A8C78F">
      <w:pPr>
        <w:spacing w:line="259" w:lineRule="auto"/>
        <w:rPr>
          <w:rFonts w:cs="Calibri"/>
          <w:szCs w:val="18"/>
        </w:rPr>
      </w:pPr>
      <w:r w:rsidRPr="00E13F1E">
        <w:rPr>
          <w:rFonts w:cs="Calibri"/>
          <w:szCs w:val="18"/>
        </w:rPr>
        <w:t>In de eerste paragraaf wordt het aanbod, de dekking en bereikbaarheid van het technische</w:t>
      </w:r>
      <w:r w:rsidR="00F61876">
        <w:rPr>
          <w:rFonts w:cs="Calibri"/>
          <w:szCs w:val="18"/>
        </w:rPr>
        <w:t xml:space="preserve"> </w:t>
      </w:r>
      <w:r w:rsidRPr="00E13F1E">
        <w:rPr>
          <w:rFonts w:cs="Calibri"/>
          <w:szCs w:val="18"/>
        </w:rPr>
        <w:t xml:space="preserve">onderwijsaanbod in de beroepsgerichte leerwegen van het vmbo en de doorstroom naar het vervolgonderwijs van leerlingen, die voor één van de vijf technische profielen kozen, in beeld gebracht. Deze analyse is net als voorgaande jaren uitgevoerd op basis van DUO-bestanden, lopend tot en met schooljaar 23/24. Waar recentere openbare DUO-cijfers voorhanden zijn, nemen we deze mee in de samenvatting. Een uitgebreide en gedetailleerde beschrijving is opgenomen in </w:t>
      </w:r>
      <w:r w:rsidR="00F61876">
        <w:rPr>
          <w:rFonts w:cs="Calibri"/>
          <w:szCs w:val="18"/>
        </w:rPr>
        <w:t>B</w:t>
      </w:r>
      <w:r w:rsidRPr="00E13F1E">
        <w:rPr>
          <w:rFonts w:cs="Calibri"/>
          <w:szCs w:val="18"/>
        </w:rPr>
        <w:t xml:space="preserve">ijlage </w:t>
      </w:r>
      <w:r w:rsidR="00F61876">
        <w:rPr>
          <w:rFonts w:cs="Calibri"/>
          <w:szCs w:val="18"/>
        </w:rPr>
        <w:t>3</w:t>
      </w:r>
      <w:r w:rsidRPr="00E13F1E">
        <w:rPr>
          <w:rFonts w:cs="Calibri"/>
          <w:szCs w:val="18"/>
        </w:rPr>
        <w:t xml:space="preserve">. De tweede paragraaf omvat de belangrijkste conclusies uit het ‘docentenhoofdstuk’. </w:t>
      </w:r>
      <w:r w:rsidR="0033664C">
        <w:rPr>
          <w:rFonts w:cs="Calibri"/>
          <w:szCs w:val="18"/>
        </w:rPr>
        <w:t>H</w:t>
      </w:r>
      <w:r w:rsidRPr="00E13F1E">
        <w:rPr>
          <w:rFonts w:cs="Calibri"/>
          <w:szCs w:val="18"/>
        </w:rPr>
        <w:t xml:space="preserve">ier wordt voor de gedetailleerde resultaten verwezen naar </w:t>
      </w:r>
      <w:r w:rsidR="00F61876">
        <w:rPr>
          <w:rFonts w:cs="Calibri"/>
          <w:szCs w:val="18"/>
        </w:rPr>
        <w:t>B</w:t>
      </w:r>
      <w:r w:rsidRPr="00E13F1E">
        <w:rPr>
          <w:rFonts w:cs="Calibri"/>
          <w:szCs w:val="18"/>
        </w:rPr>
        <w:t xml:space="preserve">ijlage </w:t>
      </w:r>
      <w:r w:rsidR="0033664C">
        <w:rPr>
          <w:rFonts w:cs="Calibri"/>
          <w:szCs w:val="18"/>
        </w:rPr>
        <w:t>4</w:t>
      </w:r>
      <w:r w:rsidRPr="00E13F1E">
        <w:rPr>
          <w:rFonts w:cs="Calibri"/>
          <w:szCs w:val="18"/>
        </w:rPr>
        <w:t>.</w:t>
      </w:r>
    </w:p>
    <w:p w:rsidRPr="00E13F1E" w:rsidR="00E13F1E" w:rsidP="00E13F1E" w:rsidRDefault="00E13F1E" w14:paraId="7666B68B" w14:textId="77777777">
      <w:pPr>
        <w:spacing w:line="259" w:lineRule="auto"/>
        <w:ind w:left="709" w:hanging="709"/>
        <w:rPr>
          <w:rFonts w:cs="Calibri"/>
          <w:szCs w:val="18"/>
        </w:rPr>
      </w:pPr>
    </w:p>
    <w:p w:rsidRPr="00E13F1E" w:rsidR="00E13F1E" w:rsidP="006538CB" w:rsidRDefault="00E13F1E" w14:paraId="5D75EBA7" w14:textId="494C9D7C">
      <w:pPr>
        <w:pStyle w:val="Kop2"/>
      </w:pPr>
      <w:bookmarkStart w:name="_Toc203573602" w:id="76"/>
      <w:r w:rsidRPr="00E13F1E">
        <w:t>Sterk Techniekonderwijs in cijfers</w:t>
      </w:r>
      <w:bookmarkEnd w:id="76"/>
    </w:p>
    <w:p w:rsidRPr="00E13F1E" w:rsidR="00E13F1E" w:rsidP="00E13F1E" w:rsidRDefault="00E13F1E" w14:paraId="0FDE5AEF" w14:textId="77777777">
      <w:pPr>
        <w:spacing w:line="259" w:lineRule="auto"/>
        <w:ind w:left="709" w:hanging="709"/>
        <w:rPr>
          <w:rFonts w:cs="Calibri"/>
          <w:szCs w:val="18"/>
        </w:rPr>
      </w:pPr>
    </w:p>
    <w:p w:rsidRPr="00E13F1E" w:rsidR="00E13F1E" w:rsidP="00E13F1E" w:rsidRDefault="00E13F1E" w14:paraId="60534090" w14:textId="77777777">
      <w:pPr>
        <w:spacing w:line="259" w:lineRule="auto"/>
        <w:ind w:left="709" w:hanging="709"/>
        <w:rPr>
          <w:rFonts w:cs="Calibri"/>
          <w:i/>
          <w:iCs/>
          <w:szCs w:val="18"/>
        </w:rPr>
      </w:pPr>
      <w:r w:rsidRPr="00E13F1E">
        <w:rPr>
          <w:rFonts w:cs="Calibri"/>
          <w:szCs w:val="18"/>
        </w:rPr>
        <w:t>De o</w:t>
      </w:r>
      <w:r w:rsidRPr="00E13F1E">
        <w:rPr>
          <w:rFonts w:cs="Calibri"/>
          <w:i/>
          <w:iCs/>
          <w:szCs w:val="18"/>
        </w:rPr>
        <w:t>ntwikkelingen in aantallen/aandelen leerlingen en de keuze voor een technisch profiel</w:t>
      </w:r>
    </w:p>
    <w:p w:rsidRPr="00E13F1E" w:rsidR="00E13F1E" w:rsidP="00426692" w:rsidRDefault="00E13F1E" w14:paraId="74E0C7ED" w14:textId="47C2CB85">
      <w:pPr>
        <w:pStyle w:val="Lijstalinea"/>
        <w:numPr>
          <w:ilvl w:val="0"/>
          <w:numId w:val="47"/>
        </w:numPr>
        <w:spacing w:line="259" w:lineRule="auto"/>
        <w:rPr>
          <w:rFonts w:cs="Calibri"/>
        </w:rPr>
      </w:pPr>
      <w:r w:rsidRPr="780653D5">
        <w:rPr>
          <w:rFonts w:cs="Calibri"/>
        </w:rPr>
        <w:t xml:space="preserve">Het totale aantal leerlingen in de bovenbouw vo daalt sinds 2016-2017 tot aan 2020-21; vanaf dat jaar </w:t>
      </w:r>
      <w:r w:rsidRPr="780653D5" w:rsidR="001D6D1D">
        <w:rPr>
          <w:rFonts w:cs="Calibri"/>
        </w:rPr>
        <w:t xml:space="preserve">tot </w:t>
      </w:r>
      <w:r w:rsidRPr="780653D5" w:rsidR="34ADD566">
        <w:rPr>
          <w:rFonts w:cs="Calibri"/>
        </w:rPr>
        <w:t>20</w:t>
      </w:r>
      <w:r w:rsidRPr="780653D5" w:rsidR="001D6D1D">
        <w:rPr>
          <w:rFonts w:cs="Calibri"/>
        </w:rPr>
        <w:t>23</w:t>
      </w:r>
      <w:r w:rsidRPr="780653D5" w:rsidR="3B94B61A">
        <w:rPr>
          <w:rFonts w:cs="Calibri"/>
        </w:rPr>
        <w:t>-20</w:t>
      </w:r>
      <w:r w:rsidRPr="780653D5" w:rsidR="001D6D1D">
        <w:rPr>
          <w:rFonts w:cs="Calibri"/>
        </w:rPr>
        <w:t xml:space="preserve">24 stabiliseerde </w:t>
      </w:r>
      <w:r w:rsidRPr="780653D5">
        <w:rPr>
          <w:rFonts w:cs="Calibri"/>
        </w:rPr>
        <w:t>het. Leerjaar 3 van het vo telt in schooljaar 2024-2025 196.000 leerlingen.</w:t>
      </w:r>
    </w:p>
    <w:p w:rsidRPr="00E13F1E" w:rsidR="00E13F1E" w:rsidP="00426692" w:rsidRDefault="00E13F1E" w14:paraId="6E62B359" w14:textId="77777777">
      <w:pPr>
        <w:pStyle w:val="Lijstalinea"/>
        <w:numPr>
          <w:ilvl w:val="0"/>
          <w:numId w:val="47"/>
        </w:numPr>
        <w:spacing w:line="259" w:lineRule="auto"/>
        <w:rPr>
          <w:rFonts w:cs="Calibri"/>
          <w:szCs w:val="18"/>
        </w:rPr>
      </w:pPr>
      <w:r w:rsidRPr="00E13F1E">
        <w:rPr>
          <w:rFonts w:cs="Calibri"/>
          <w:szCs w:val="18"/>
        </w:rPr>
        <w:t xml:space="preserve">Daarvan zijn ruim 60.000 derdejaars leerlingen van vmbo beroepsgericht. Dat aantal is ten opzichte van 2020-2021 (58.000 leerlingen) licht gegroeid. Het vmbo tl is sinds 2021-2022 gegroeid naar 38.500 leerlingen in leerjaar 3. </w:t>
      </w:r>
    </w:p>
    <w:p w:rsidRPr="00E13F1E" w:rsidR="00E13F1E" w:rsidP="00426692" w:rsidRDefault="00E13F1E" w14:paraId="5B875F08" w14:textId="6407C2E3">
      <w:pPr>
        <w:pStyle w:val="Lijstalinea"/>
        <w:numPr>
          <w:ilvl w:val="0"/>
          <w:numId w:val="47"/>
        </w:numPr>
        <w:spacing w:line="259" w:lineRule="auto"/>
        <w:rPr>
          <w:rFonts w:cs="Calibri"/>
          <w:szCs w:val="18"/>
        </w:rPr>
      </w:pPr>
      <w:r w:rsidRPr="00E13F1E">
        <w:rPr>
          <w:rFonts w:cs="Calibri"/>
          <w:szCs w:val="18"/>
        </w:rPr>
        <w:t>Het aandeel derdejaars leerlingen dat een van de vijf technische profielen kiest, is tussen 2020-2021 en 2024-2025 licht gestegen, van 19.8% naar 20,2% in 2023-2024 en 20,4</w:t>
      </w:r>
      <w:r w:rsidR="00A150D5">
        <w:rPr>
          <w:rFonts w:cs="Calibri"/>
          <w:szCs w:val="18"/>
        </w:rPr>
        <w:t>%</w:t>
      </w:r>
      <w:r w:rsidRPr="00E13F1E">
        <w:rPr>
          <w:rFonts w:cs="Calibri"/>
          <w:szCs w:val="18"/>
        </w:rPr>
        <w:t xml:space="preserve"> in 2024-2025. </w:t>
      </w:r>
    </w:p>
    <w:p w:rsidRPr="00E13F1E" w:rsidR="00E13F1E" w:rsidP="00426692" w:rsidRDefault="00E13F1E" w14:paraId="73559FED" w14:textId="77777777">
      <w:pPr>
        <w:pStyle w:val="Lijstalinea"/>
        <w:numPr>
          <w:ilvl w:val="0"/>
          <w:numId w:val="47"/>
        </w:numPr>
        <w:spacing w:line="259" w:lineRule="auto"/>
        <w:rPr>
          <w:rFonts w:cs="Calibri"/>
          <w:szCs w:val="18"/>
        </w:rPr>
      </w:pPr>
      <w:r w:rsidRPr="00E13F1E">
        <w:rPr>
          <w:rFonts w:cs="Calibri"/>
          <w:szCs w:val="18"/>
        </w:rPr>
        <w:t xml:space="preserve">Bezien naar het aandeel leerlingen dat binnen een leerweg al dan niet een technisch profiel volgt zijn de verhouding nauwelijks gewijzigd ten opzichte van 2018-2019: in de basisberoepsgerichte leerweg is de verhouding tussen techniek – niet-techniek onveranderd: 23% - 77%; in de kaderberoepsgerichte weg is het aandeel leerlingen in de techniek met één procent gestegen naar 23 - 77% en in de gl is het aandeel techniekleerlingen van 10% naar 12% gestegen (12% - 88%). </w:t>
      </w:r>
    </w:p>
    <w:p w:rsidRPr="00E13F1E" w:rsidR="00E13F1E" w:rsidP="00426692" w:rsidRDefault="40C7990A" w14:paraId="36E54820" w14:textId="0DF8AB08">
      <w:pPr>
        <w:pStyle w:val="Lijstalinea"/>
        <w:numPr>
          <w:ilvl w:val="0"/>
          <w:numId w:val="47"/>
        </w:numPr>
        <w:spacing w:line="259" w:lineRule="auto"/>
        <w:rPr>
          <w:rFonts w:cs="Calibri"/>
          <w:szCs w:val="18"/>
        </w:rPr>
      </w:pPr>
      <w:r w:rsidRPr="780653D5">
        <w:t>De nieuwe regeling (2025–2029) legt meer nadruk op het aantrekken van mei</w:t>
      </w:r>
      <w:r w:rsidR="00995EA7">
        <w:t>den</w:t>
      </w:r>
      <w:r w:rsidRPr="780653D5">
        <w:t xml:space="preserve"> voor techniek. </w:t>
      </w:r>
      <w:r w:rsidRPr="780653D5" w:rsidR="00E13F1E">
        <w:rPr>
          <w:rFonts w:cs="Calibri"/>
        </w:rPr>
        <w:t>Het aandeel mei</w:t>
      </w:r>
      <w:r w:rsidR="00995EA7">
        <w:rPr>
          <w:rFonts w:cs="Calibri"/>
        </w:rPr>
        <w:t xml:space="preserve">den </w:t>
      </w:r>
      <w:r w:rsidRPr="780653D5" w:rsidR="00E13F1E">
        <w:rPr>
          <w:rFonts w:cs="Calibri"/>
        </w:rPr>
        <w:t xml:space="preserve">dat voor een technisch profiel kiest is in de ‘harde’ techniekprofielen zowel in de basis- als kaderberoepsgerichte leerwegen gestegen; in de gl is het bij BWI afgenomen en bij PIE en M&amp;T toegenomen. De deelname van meiden bij MVI is in alle leerwegen gestegen. </w:t>
      </w:r>
    </w:p>
    <w:p w:rsidRPr="00E13F1E" w:rsidR="00E13F1E" w:rsidP="00426692" w:rsidRDefault="00E13F1E" w14:paraId="150CC560" w14:textId="7D875F5E">
      <w:pPr>
        <w:pStyle w:val="Lijstalinea"/>
        <w:numPr>
          <w:ilvl w:val="0"/>
          <w:numId w:val="47"/>
        </w:numPr>
        <w:spacing w:line="259" w:lineRule="auto"/>
        <w:rPr>
          <w:rFonts w:cs="Calibri"/>
          <w:szCs w:val="18"/>
        </w:rPr>
      </w:pPr>
      <w:r w:rsidRPr="780653D5">
        <w:rPr>
          <w:rFonts w:cs="Calibri"/>
        </w:rPr>
        <w:t xml:space="preserve">De deelname van leerlingen met een migratieachtergrond is in alle techniekprofielen en leerwegen gegroeid, en is harder gegroeid dan de deelname aan niet-technische profielen.     </w:t>
      </w:r>
    </w:p>
    <w:p w:rsidRPr="00E13F1E" w:rsidR="00E13F1E" w:rsidP="00E13F1E" w:rsidRDefault="00E13F1E" w14:paraId="25FCADDF" w14:textId="77777777">
      <w:pPr>
        <w:pStyle w:val="Lijstalinea"/>
        <w:spacing w:line="259" w:lineRule="auto"/>
        <w:rPr>
          <w:rFonts w:cs="Calibri"/>
          <w:szCs w:val="18"/>
        </w:rPr>
      </w:pPr>
    </w:p>
    <w:p w:rsidRPr="00E13F1E" w:rsidR="00E13F1E" w:rsidP="00E13F1E" w:rsidRDefault="00E13F1E" w14:paraId="69A70E1D" w14:textId="77777777">
      <w:pPr>
        <w:spacing w:line="259" w:lineRule="auto"/>
        <w:rPr>
          <w:rFonts w:cs="Calibri"/>
          <w:i/>
          <w:iCs/>
          <w:szCs w:val="18"/>
        </w:rPr>
      </w:pPr>
      <w:r w:rsidRPr="00E13F1E">
        <w:rPr>
          <w:rFonts w:cs="Calibri"/>
          <w:i/>
          <w:iCs/>
          <w:szCs w:val="18"/>
        </w:rPr>
        <w:t>Duurzaam aanbod</w:t>
      </w:r>
    </w:p>
    <w:p w:rsidRPr="00E13F1E" w:rsidR="00E13F1E" w:rsidP="00426692" w:rsidRDefault="00E13F1E" w14:paraId="48D56106" w14:textId="76F18C8A">
      <w:pPr>
        <w:pStyle w:val="Lijstalinea"/>
        <w:numPr>
          <w:ilvl w:val="0"/>
          <w:numId w:val="46"/>
        </w:numPr>
        <w:spacing w:line="259" w:lineRule="auto"/>
        <w:rPr>
          <w:rFonts w:cs="Calibri"/>
        </w:rPr>
      </w:pPr>
      <w:r w:rsidRPr="0B851845">
        <w:rPr>
          <w:rFonts w:cs="Calibri"/>
        </w:rPr>
        <w:t xml:space="preserve">Gemiddeld tellen de STO-regio’s in 2023-2024 </w:t>
      </w:r>
      <w:r w:rsidRPr="0B851845" w:rsidR="43FA3AFE">
        <w:rPr>
          <w:rFonts w:cs="Calibri"/>
        </w:rPr>
        <w:t>154</w:t>
      </w:r>
      <w:r w:rsidRPr="0B851845">
        <w:rPr>
          <w:rFonts w:cs="Calibri"/>
        </w:rPr>
        <w:t xml:space="preserve"> derdejaars techniekleerlingen per regio, met grote verschillen: er zijn 16 regio’s met minder dan 75 derdejaars techniekleerlingen. Vergeleken met 2018/2019 is er een daling in het aantal regio’s met minder dan 75 techniekleerlingen in het derde leerjaar.</w:t>
      </w:r>
    </w:p>
    <w:p w:rsidRPr="00E13F1E" w:rsidR="00E13F1E" w:rsidP="00426692" w:rsidRDefault="00E13F1E" w14:paraId="3CF81200" w14:textId="77777777">
      <w:pPr>
        <w:pStyle w:val="Lijstalinea"/>
        <w:numPr>
          <w:ilvl w:val="0"/>
          <w:numId w:val="46"/>
        </w:numPr>
        <w:spacing w:line="259" w:lineRule="auto"/>
        <w:rPr>
          <w:rFonts w:cs="Calibri"/>
          <w:szCs w:val="18"/>
        </w:rPr>
      </w:pPr>
      <w:r w:rsidRPr="00E13F1E">
        <w:rPr>
          <w:rFonts w:cs="Calibri"/>
          <w:szCs w:val="18"/>
        </w:rPr>
        <w:t xml:space="preserve">De regio’s zijn in te delen in clusters op basis van de verandering van het aantal leerlingen in de technische en niet-technische profielen. In 26 regio’s dalen de aantallen voor beide groepen; in 21 regio’s is het aantal techniekleerlingen stabiel of groeiend, terwijl het aantal niet-techniekleerlingen daalt. In 20 regio’s dalen de aantallen techniekleerlingen en zijn de niet-techniekleerlingen stabiel of groeiend. In tien regio’s ten slotte is het aantal leerlingen in alle profielen stabiel of stijgt het. </w:t>
      </w:r>
    </w:p>
    <w:p w:rsidRPr="00E13F1E" w:rsidR="00E13F1E" w:rsidP="00426692" w:rsidRDefault="00E13F1E" w14:paraId="13D75648" w14:textId="77777777">
      <w:pPr>
        <w:pStyle w:val="Lijstalinea"/>
        <w:numPr>
          <w:ilvl w:val="0"/>
          <w:numId w:val="46"/>
        </w:numPr>
        <w:spacing w:line="259" w:lineRule="auto"/>
        <w:rPr>
          <w:rFonts w:cs="Calibri"/>
          <w:szCs w:val="18"/>
        </w:rPr>
      </w:pPr>
      <w:r w:rsidRPr="00E13F1E">
        <w:rPr>
          <w:rFonts w:cs="Calibri"/>
          <w:szCs w:val="18"/>
        </w:rPr>
        <w:t>Bijna de helft van de STO-regio’s biedt drie techniekprofielen aan in de bb en kb en ongeveer een kwart biedt de keuze uit vier profielen.</w:t>
      </w:r>
    </w:p>
    <w:p w:rsidRPr="00E13F1E" w:rsidR="00E13F1E" w:rsidP="00426692" w:rsidRDefault="00E13F1E" w14:paraId="4715B82F" w14:textId="060EACE1">
      <w:pPr>
        <w:pStyle w:val="Lijstalinea"/>
        <w:numPr>
          <w:ilvl w:val="0"/>
          <w:numId w:val="46"/>
        </w:numPr>
        <w:spacing w:line="259" w:lineRule="auto"/>
        <w:rPr>
          <w:rFonts w:cs="Calibri"/>
        </w:rPr>
      </w:pPr>
      <w:r w:rsidRPr="0B851845">
        <w:rPr>
          <w:rFonts w:cs="Calibri"/>
        </w:rPr>
        <w:t>In de bb is de groepsgrootte in 2023/2024 het laagst met maximaal 10 derdejaarsleerlingen per vestiging. In de kb ligt het gemiddeld aantal derdejaars leerlingen per vestiging tussen de 8 en 13 voor de profielen BWI, MaT en PIE</w:t>
      </w:r>
      <w:r w:rsidRPr="0B851845" w:rsidR="5841C176">
        <w:rPr>
          <w:rFonts w:cs="Calibri"/>
        </w:rPr>
        <w:t>)</w:t>
      </w:r>
      <w:r w:rsidRPr="0B851845">
        <w:rPr>
          <w:rFonts w:cs="Calibri"/>
        </w:rPr>
        <w:t>.</w:t>
      </w:r>
      <w:r w:rsidRPr="0B851845" w:rsidR="76D8D72A">
        <w:rPr>
          <w:rFonts w:cs="Calibri"/>
        </w:rPr>
        <w:t xml:space="preserve"> </w:t>
      </w:r>
      <w:r w:rsidRPr="0B851845">
        <w:rPr>
          <w:rFonts w:cs="Calibri"/>
        </w:rPr>
        <w:t>Voor de andere twee profielen, MVI en M&amp;T, ligt dit gemiddelde hoger (resp</w:t>
      </w:r>
      <w:r w:rsidRPr="0B851845" w:rsidR="29997925">
        <w:rPr>
          <w:rFonts w:cs="Calibri"/>
        </w:rPr>
        <w:t>.</w:t>
      </w:r>
      <w:r w:rsidRPr="0B851845">
        <w:rPr>
          <w:rFonts w:cs="Calibri"/>
        </w:rPr>
        <w:t xml:space="preserve"> 20 en 16).  Bekend is dat in het vmbo, en in de techniekprofielen meer dan in de overige profielen, onderwijs aan leerlingen gecombineerd wordt naar leerwegen en/of jaren. Over het geheel van de beroepsgerichte lessen is dat 62%; in de technische profielen tussen 73 en 86% (Centerdata, 2023).   </w:t>
      </w:r>
    </w:p>
    <w:p w:rsidRPr="00E13F1E" w:rsidR="00E13F1E" w:rsidP="00426692" w:rsidRDefault="00E13F1E" w14:paraId="2747CD79" w14:textId="77777777">
      <w:pPr>
        <w:pStyle w:val="Lijstalinea"/>
        <w:numPr>
          <w:ilvl w:val="0"/>
          <w:numId w:val="46"/>
        </w:numPr>
        <w:spacing w:line="259" w:lineRule="auto"/>
        <w:rPr>
          <w:rFonts w:cs="Calibri"/>
          <w:szCs w:val="18"/>
        </w:rPr>
      </w:pPr>
      <w:r w:rsidRPr="00E13F1E">
        <w:rPr>
          <w:rFonts w:cs="Calibri"/>
          <w:szCs w:val="18"/>
        </w:rPr>
        <w:lastRenderedPageBreak/>
        <w:t xml:space="preserve">Vergeleken met 2017-2018 geldt voor de vijf technische profielen dat het gemiddeld aantal leerlingen in de gl over de hele linie is toegenomen. In de bb is het gemiddeld aantal derdejaars voor alle technische profielen afgenomen, alleen bij BWI is de bezetting gelijk gebleven. In de kb is het gedaald in alle profielen, met uitzondering van M&amp;T waar het gemiddeld aantal is toegenomen. </w:t>
      </w:r>
    </w:p>
    <w:p w:rsidRPr="00E13F1E" w:rsidR="00E13F1E" w:rsidP="00E13F1E" w:rsidRDefault="00E13F1E" w14:paraId="08A2721A" w14:textId="77777777">
      <w:pPr>
        <w:pStyle w:val="Lijstalinea"/>
        <w:spacing w:line="259" w:lineRule="auto"/>
        <w:rPr>
          <w:rFonts w:cs="Calibri"/>
          <w:szCs w:val="18"/>
        </w:rPr>
      </w:pPr>
    </w:p>
    <w:p w:rsidRPr="00E13F1E" w:rsidR="00E13F1E" w:rsidP="00E13F1E" w:rsidRDefault="00E13F1E" w14:paraId="5B000C70" w14:textId="77777777">
      <w:pPr>
        <w:spacing w:line="259" w:lineRule="auto"/>
        <w:rPr>
          <w:rFonts w:cs="Calibri"/>
          <w:i/>
          <w:iCs/>
          <w:szCs w:val="18"/>
        </w:rPr>
      </w:pPr>
      <w:r w:rsidRPr="00E13F1E">
        <w:rPr>
          <w:rFonts w:cs="Calibri"/>
          <w:i/>
          <w:iCs/>
          <w:szCs w:val="18"/>
        </w:rPr>
        <w:t>Dekkend &amp; bereikbaar</w:t>
      </w:r>
    </w:p>
    <w:p w:rsidRPr="00E13F1E" w:rsidR="00E13F1E" w:rsidP="00426692" w:rsidRDefault="00E13F1E" w14:paraId="2BE9F8FC" w14:textId="77777777">
      <w:pPr>
        <w:pStyle w:val="Lijstalinea"/>
        <w:numPr>
          <w:ilvl w:val="0"/>
          <w:numId w:val="46"/>
        </w:numPr>
        <w:spacing w:line="259" w:lineRule="auto"/>
        <w:rPr>
          <w:rFonts w:cs="Calibri"/>
          <w:szCs w:val="18"/>
        </w:rPr>
      </w:pPr>
      <w:r w:rsidRPr="00E13F1E">
        <w:rPr>
          <w:rFonts w:cs="Calibri"/>
          <w:szCs w:val="18"/>
        </w:rPr>
        <w:t xml:space="preserve">In totaal bieden 272 van de 562 schoolvestigingen in de beroepsgerichte leerwegen een techniekprofiel aan in het schooljaar 2023/2024. In het schooljaar 2018/2019 waren dat 269 van in totaal 570 vestigingen. </w:t>
      </w:r>
    </w:p>
    <w:p w:rsidRPr="00E13F1E" w:rsidR="00E13F1E" w:rsidP="00426692" w:rsidRDefault="00E13F1E" w14:paraId="4A019C49" w14:textId="44724382">
      <w:pPr>
        <w:pStyle w:val="Lijstalinea"/>
        <w:numPr>
          <w:ilvl w:val="0"/>
          <w:numId w:val="46"/>
        </w:numPr>
        <w:spacing w:line="259" w:lineRule="auto"/>
        <w:rPr>
          <w:rFonts w:cs="Calibri"/>
        </w:rPr>
      </w:pPr>
      <w:r w:rsidRPr="780653D5">
        <w:rPr>
          <w:rFonts w:cs="Calibri"/>
        </w:rPr>
        <w:t>Het aantal vestigingen dat het BWI</w:t>
      </w:r>
      <w:r w:rsidRPr="780653D5" w:rsidR="7A5AFEBA">
        <w:rPr>
          <w:rFonts w:cs="Calibri"/>
        </w:rPr>
        <w:t>-</w:t>
      </w:r>
      <w:r w:rsidRPr="780653D5">
        <w:rPr>
          <w:rFonts w:cs="Calibri"/>
        </w:rPr>
        <w:t xml:space="preserve">profiel biedt is sinds 2018-2019 gestegen tot 181; bij PIE bleef het aantal vestigingen na een korte toename op 213 in 2023-2024; het aantal vestigingen met M&amp;T is gedaald naar 82, het aantal vestigingen met MaT is met 1 afgenomen en het aantal vestigingen met MVI is toegenomen naar 53. </w:t>
      </w:r>
    </w:p>
    <w:p w:rsidRPr="00E13F1E" w:rsidR="00E13F1E" w:rsidP="00426692" w:rsidRDefault="00E13F1E" w14:paraId="3AD573F6" w14:textId="77777777">
      <w:pPr>
        <w:pStyle w:val="Lijstalinea"/>
        <w:numPr>
          <w:ilvl w:val="0"/>
          <w:numId w:val="46"/>
        </w:numPr>
        <w:spacing w:line="259" w:lineRule="auto"/>
        <w:rPr>
          <w:rFonts w:cs="Calibri"/>
          <w:szCs w:val="18"/>
        </w:rPr>
      </w:pPr>
      <w:r w:rsidRPr="00E13F1E">
        <w:rPr>
          <w:rFonts w:cs="Calibri"/>
          <w:szCs w:val="18"/>
        </w:rPr>
        <w:t xml:space="preserve">De profielen BWI en PIE zijn in meer dan 90 procent van de regio’s te volgen in de bl en kl; M&amp;T in ongeveer 60% (74% in de bl) en MVI in 40% van de STO-regio’s. </w:t>
      </w:r>
    </w:p>
    <w:p w:rsidRPr="00E13F1E" w:rsidR="00E13F1E" w:rsidP="00426692" w:rsidRDefault="00E13F1E" w14:paraId="29CE7D3C" w14:textId="77777777">
      <w:pPr>
        <w:pStyle w:val="Lijstalinea"/>
        <w:numPr>
          <w:ilvl w:val="0"/>
          <w:numId w:val="46"/>
        </w:numPr>
        <w:spacing w:line="259" w:lineRule="auto"/>
        <w:rPr>
          <w:rFonts w:cs="Calibri"/>
          <w:szCs w:val="18"/>
        </w:rPr>
      </w:pPr>
      <w:r w:rsidRPr="00E13F1E">
        <w:rPr>
          <w:rFonts w:cs="Calibri"/>
          <w:szCs w:val="18"/>
        </w:rPr>
        <w:t>De grootste technische profielen binnen de bl en kl, PIE en BWI, hebben de hoogste bereikbaarheid. Ongeveer 90% van de leerlingen kan deze volgen binnen een straal van 10 km van hun woonadres. M&amp;T is voor bijna 70% binnen een straal van 10 km bereikbaar. Doordat techniekprofielen in de gl minder vaak worden aangeboden is het voor gl-leerlingen niet vanzelfsprekend dat zij techniekprofielen in hun STO-regio kunnen volgen. De toegankelijkheid voor de gl is ten opzichte van de vorige rapportage (schooljaar 2021/2022) niet veranderd.</w:t>
      </w:r>
    </w:p>
    <w:p w:rsidRPr="00E13F1E" w:rsidR="00E13F1E" w:rsidP="00E13F1E" w:rsidRDefault="00E13F1E" w14:paraId="71A72A9B" w14:textId="77777777">
      <w:pPr>
        <w:spacing w:line="259" w:lineRule="auto"/>
        <w:ind w:left="360"/>
        <w:rPr>
          <w:rFonts w:cs="Calibri"/>
          <w:szCs w:val="18"/>
        </w:rPr>
      </w:pPr>
    </w:p>
    <w:p w:rsidRPr="00E13F1E" w:rsidR="00E13F1E" w:rsidP="00E13F1E" w:rsidRDefault="00E13F1E" w14:paraId="351A64E9" w14:textId="77777777">
      <w:pPr>
        <w:spacing w:line="259" w:lineRule="auto"/>
        <w:rPr>
          <w:rFonts w:cs="Calibri"/>
          <w:i/>
          <w:iCs/>
          <w:szCs w:val="18"/>
        </w:rPr>
      </w:pPr>
      <w:r w:rsidRPr="00E13F1E">
        <w:rPr>
          <w:rFonts w:cs="Calibri"/>
          <w:i/>
          <w:iCs/>
          <w:szCs w:val="18"/>
        </w:rPr>
        <w:t>Kwaliteit: de keuzevakken en het oordeel van oud-vmboleerlingen</w:t>
      </w:r>
    </w:p>
    <w:p w:rsidRPr="00E13F1E" w:rsidR="00E13F1E" w:rsidP="00426692" w:rsidRDefault="00E13F1E" w14:paraId="509E0800" w14:textId="77777777">
      <w:pPr>
        <w:pStyle w:val="Lijstalinea"/>
        <w:numPr>
          <w:ilvl w:val="0"/>
          <w:numId w:val="46"/>
        </w:numPr>
        <w:spacing w:after="160" w:line="278" w:lineRule="auto"/>
        <w:rPr>
          <w:rFonts w:cs="Calibri"/>
          <w:szCs w:val="18"/>
        </w:rPr>
      </w:pPr>
      <w:r w:rsidRPr="00E13F1E">
        <w:rPr>
          <w:rFonts w:cs="Calibri"/>
          <w:szCs w:val="18"/>
        </w:rPr>
        <w:t>Vanaf 2021 is de verhouding tussen het aanbod van niet-technische en technische keuzevakken gewijzigd: waar voorheen het aantal niet-technische keuzevakken in de meerderheid was, zijn sindsdien de verhoudingen omgekeerd.</w:t>
      </w:r>
    </w:p>
    <w:p w:rsidRPr="00E13F1E" w:rsidR="00E13F1E" w:rsidP="00426692" w:rsidRDefault="00E13F1E" w14:paraId="59A5BB2B" w14:textId="77777777">
      <w:pPr>
        <w:pStyle w:val="Lijstalinea"/>
        <w:numPr>
          <w:ilvl w:val="0"/>
          <w:numId w:val="46"/>
        </w:numPr>
        <w:spacing w:after="160" w:line="278" w:lineRule="auto"/>
        <w:rPr>
          <w:szCs w:val="18"/>
        </w:rPr>
      </w:pPr>
      <w:r w:rsidRPr="00E13F1E">
        <w:rPr>
          <w:rFonts w:cs="Calibri"/>
          <w:szCs w:val="18"/>
        </w:rPr>
        <w:t xml:space="preserve">Van alle afgelegde examens is ruim 28% een technisch keuzevak. </w:t>
      </w:r>
    </w:p>
    <w:p w:rsidRPr="00E13F1E" w:rsidR="00E13F1E" w:rsidP="00426692" w:rsidRDefault="00E13F1E" w14:paraId="460A524A" w14:textId="77777777">
      <w:pPr>
        <w:pStyle w:val="Lijstalinea"/>
        <w:numPr>
          <w:ilvl w:val="0"/>
          <w:numId w:val="46"/>
        </w:numPr>
        <w:spacing w:after="160" w:line="278" w:lineRule="auto"/>
        <w:rPr>
          <w:rFonts w:cs="Calibri"/>
          <w:szCs w:val="18"/>
        </w:rPr>
      </w:pPr>
      <w:r w:rsidRPr="00E13F1E">
        <w:rPr>
          <w:rFonts w:cs="Calibri"/>
          <w:szCs w:val="18"/>
        </w:rPr>
        <w:t xml:space="preserve">Leerlingen van niet-technische profielen komen ook in aanraking met techniek door technische keuzevakken, waarbij MVI en D&amp;P de meeste uitwisseling zagen tussen techniek en niet-techniek. </w:t>
      </w:r>
    </w:p>
    <w:p w:rsidRPr="00E13F1E" w:rsidR="00E13F1E" w:rsidP="00426692" w:rsidRDefault="00E13F1E" w14:paraId="1503A96B" w14:textId="77777777">
      <w:pPr>
        <w:pStyle w:val="Lijstalinea"/>
        <w:numPr>
          <w:ilvl w:val="0"/>
          <w:numId w:val="46"/>
        </w:numPr>
        <w:spacing w:after="160" w:line="278" w:lineRule="auto"/>
        <w:rPr>
          <w:rFonts w:cs="Calibri"/>
        </w:rPr>
      </w:pPr>
      <w:bookmarkStart w:name="_Hlk199321306" w:id="77"/>
      <w:r w:rsidRPr="780653D5">
        <w:rPr>
          <w:rFonts w:cs="Calibri"/>
        </w:rPr>
        <w:t>Het aandeel leerlingen uit een niet techniek profiel dat ten minste één technisch keuzevak heeft gevolgd en daarin examen heeft gedaan in leerjaar 4 is van 23% in 2018-2019 gestegen naar 30% in 2022-2023.</w:t>
      </w:r>
    </w:p>
    <w:bookmarkEnd w:id="77"/>
    <w:p w:rsidRPr="00E13F1E" w:rsidR="00E13F1E" w:rsidP="00426692" w:rsidRDefault="00E13F1E" w14:paraId="48871AC1" w14:textId="77777777">
      <w:pPr>
        <w:pStyle w:val="Lijstalinea"/>
        <w:numPr>
          <w:ilvl w:val="0"/>
          <w:numId w:val="46"/>
        </w:numPr>
        <w:spacing w:after="160" w:line="278" w:lineRule="auto"/>
        <w:rPr>
          <w:rFonts w:cs="Calibri"/>
          <w:szCs w:val="18"/>
        </w:rPr>
      </w:pPr>
      <w:r w:rsidRPr="00E13F1E">
        <w:rPr>
          <w:rFonts w:cs="Calibri"/>
          <w:szCs w:val="18"/>
        </w:rPr>
        <w:t xml:space="preserve">Het aandeel examens afgelegd door niet-techniekleerlingen in keuzevakken aangeboden door technische profielen gestaag stijgt van 28 procent in het schooljaar 2019/2020 naar 31 procent in 2022/2023 en dan met name in de profielen PIE en MVI. </w:t>
      </w:r>
    </w:p>
    <w:p w:rsidRPr="00E13F1E" w:rsidR="00E13F1E" w:rsidP="00426692" w:rsidRDefault="00E13F1E" w14:paraId="021A3063" w14:textId="77777777">
      <w:pPr>
        <w:pStyle w:val="Lijstalinea"/>
        <w:numPr>
          <w:ilvl w:val="0"/>
          <w:numId w:val="46"/>
        </w:numPr>
        <w:spacing w:after="160" w:line="278" w:lineRule="auto"/>
        <w:rPr>
          <w:rFonts w:cs="Calibri"/>
          <w:szCs w:val="18"/>
        </w:rPr>
      </w:pPr>
      <w:r w:rsidRPr="00E13F1E">
        <w:rPr>
          <w:rFonts w:cs="Calibri"/>
          <w:szCs w:val="18"/>
        </w:rPr>
        <w:t xml:space="preserve">Gediplomeerden van technische profielen vinden hun opleiding aantrekkelijker, actueler en uitdagender dan niet-techniekleerlingen (met name in de bb). Ook zijn ze positiever over de voorbereiding op het kiezen voor een vervolgopleiding. Gedurende de STO -periode is dit oordeel verder verbeterd. </w:t>
      </w:r>
    </w:p>
    <w:p w:rsidRPr="00E13F1E" w:rsidR="00E13F1E" w:rsidP="00E13F1E" w:rsidRDefault="00E13F1E" w14:paraId="41BF0A60" w14:textId="77777777">
      <w:pPr>
        <w:spacing w:line="259" w:lineRule="auto"/>
        <w:rPr>
          <w:rFonts w:cs="Calibri"/>
          <w:i/>
          <w:iCs/>
          <w:szCs w:val="18"/>
        </w:rPr>
      </w:pPr>
      <w:r w:rsidRPr="00E13F1E">
        <w:rPr>
          <w:rFonts w:cs="Calibri"/>
          <w:i/>
          <w:iCs/>
          <w:szCs w:val="18"/>
        </w:rPr>
        <w:t>Doorstroom naar mbo-techniek</w:t>
      </w:r>
    </w:p>
    <w:p w:rsidRPr="00E13F1E" w:rsidR="00E13F1E" w:rsidP="00426692" w:rsidRDefault="00E13F1E" w14:paraId="58FDD87F" w14:textId="3900D9BE">
      <w:pPr>
        <w:pStyle w:val="Lijstalinea"/>
        <w:numPr>
          <w:ilvl w:val="0"/>
          <w:numId w:val="46"/>
        </w:numPr>
        <w:shd w:val="clear" w:color="auto" w:fill="FFFFFF" w:themeFill="background1"/>
        <w:spacing w:after="160" w:line="278" w:lineRule="auto"/>
        <w:textAlignment w:val="baseline"/>
        <w:rPr>
          <w:rFonts w:cs="Calibri"/>
        </w:rPr>
      </w:pPr>
      <w:r w:rsidRPr="780653D5">
        <w:rPr>
          <w:rFonts w:cs="Calibri"/>
        </w:rPr>
        <w:t>Het aandeel vmbo-leerlingen in een techniekprofiel dat doorstroomt naar een techniekopleiding in het mbo is landelijk gedaald van 77 naar 74%; het aandeel vmbo-leerlingen met een niet-techniek profiel dat doorstroomt naar een mbo techniekopleiding is nagenoeg stabiel gebleven op 21%. </w:t>
      </w:r>
    </w:p>
    <w:p w:rsidRPr="00E13F1E" w:rsidR="00E13F1E" w:rsidP="00426692" w:rsidRDefault="00E13F1E" w14:paraId="1D6765E4" w14:textId="77777777">
      <w:pPr>
        <w:pStyle w:val="Lijstalinea"/>
        <w:numPr>
          <w:ilvl w:val="0"/>
          <w:numId w:val="46"/>
        </w:numPr>
        <w:spacing w:after="160" w:line="278" w:lineRule="auto"/>
        <w:rPr>
          <w:rFonts w:cs="Calibri"/>
          <w:szCs w:val="18"/>
        </w:rPr>
      </w:pPr>
      <w:r w:rsidRPr="00E13F1E">
        <w:rPr>
          <w:rFonts w:cs="Calibri"/>
          <w:szCs w:val="18"/>
        </w:rPr>
        <w:t>Vanuit een techniekprofiel in de bb is de doorstroom naar een techniekopleiding in het mbo nagenoeg gelijk gebleven rond 74%, vanuit een niet-techniekprofiel in de bb is de doorstroom heel licht gestegen van 20 naar 21%. Vanuit een techniekprofiel in de kb is de doorstroom gedaald van 79% naar 76%; vanuit niet techniekprofielen in de kb is de doorstroom naar mbo techniek stabiel gebleven op 19%.</w:t>
      </w:r>
    </w:p>
    <w:p w:rsidRPr="00E13F1E" w:rsidR="00E13F1E" w:rsidP="00426692" w:rsidRDefault="00E13F1E" w14:paraId="22BCA8EE" w14:textId="31306260">
      <w:pPr>
        <w:pStyle w:val="Lijstalinea"/>
        <w:numPr>
          <w:ilvl w:val="0"/>
          <w:numId w:val="46"/>
        </w:numPr>
        <w:spacing w:after="160" w:line="278" w:lineRule="auto"/>
        <w:rPr>
          <w:rFonts w:cs="Calibri"/>
          <w:szCs w:val="18"/>
        </w:rPr>
      </w:pPr>
      <w:r w:rsidRPr="00E13F1E">
        <w:rPr>
          <w:rFonts w:cs="Calibri"/>
          <w:szCs w:val="18"/>
        </w:rPr>
        <w:t>Het aandeel leerlingen dat met</w:t>
      </w:r>
      <w:r w:rsidR="00752428">
        <w:rPr>
          <w:rFonts w:cs="Calibri"/>
          <w:szCs w:val="18"/>
        </w:rPr>
        <w:t xml:space="preserve"> ten</w:t>
      </w:r>
      <w:r w:rsidRPr="00E13F1E">
        <w:rPr>
          <w:rFonts w:cs="Calibri"/>
          <w:szCs w:val="18"/>
        </w:rPr>
        <w:t xml:space="preserve"> minste een technisch keuzevak doorstroomt naar een technische mbo-opleiding is gestegen van 10% in 2018-2019 naar 12% in 2022-2023.  </w:t>
      </w:r>
    </w:p>
    <w:p w:rsidRPr="00E13F1E" w:rsidR="00E13F1E" w:rsidP="00E13F1E" w:rsidRDefault="00E13F1E" w14:paraId="3AA988C7" w14:textId="77777777">
      <w:pPr>
        <w:pStyle w:val="Lijstalinea"/>
        <w:rPr>
          <w:rFonts w:cs="Calibri"/>
          <w:szCs w:val="18"/>
        </w:rPr>
      </w:pPr>
    </w:p>
    <w:p w:rsidRPr="00E13F1E" w:rsidR="00E13F1E" w:rsidP="006538CB" w:rsidRDefault="00E13F1E" w14:paraId="14F11DBA" w14:textId="6793FA97">
      <w:pPr>
        <w:pStyle w:val="Kop2"/>
      </w:pPr>
      <w:bookmarkStart w:name="_Toc203573603" w:id="78"/>
      <w:r w:rsidRPr="00E13F1E">
        <w:t>Beschikbaarheid van voldoende docenten/instructeurs</w:t>
      </w:r>
      <w:bookmarkEnd w:id="78"/>
    </w:p>
    <w:p w:rsidR="00E13F1E" w:rsidP="00E13F1E" w:rsidRDefault="00E13F1E" w14:paraId="010E1D79" w14:textId="7E6BCDA1">
      <w:pPr>
        <w:rPr>
          <w:rFonts w:cs="Calibri"/>
          <w:szCs w:val="18"/>
        </w:rPr>
      </w:pPr>
      <w:bookmarkStart w:name="_Hlk199321388" w:id="79"/>
      <w:r w:rsidRPr="00E13F1E">
        <w:rPr>
          <w:rFonts w:cs="Calibri"/>
          <w:szCs w:val="18"/>
        </w:rPr>
        <w:t xml:space="preserve">Met het oog op duurzaam kunnen blijven </w:t>
      </w:r>
      <w:r w:rsidR="00752428">
        <w:rPr>
          <w:rFonts w:cs="Calibri"/>
          <w:szCs w:val="18"/>
        </w:rPr>
        <w:t>aan</w:t>
      </w:r>
      <w:r w:rsidRPr="00E13F1E">
        <w:rPr>
          <w:rFonts w:cs="Calibri"/>
          <w:szCs w:val="18"/>
        </w:rPr>
        <w:t xml:space="preserve">bieden van techniekonderwijs en de kwaliteit ervan is een </w:t>
      </w:r>
      <w:r w:rsidR="00752428">
        <w:rPr>
          <w:rFonts w:cs="Calibri"/>
          <w:szCs w:val="18"/>
        </w:rPr>
        <w:t xml:space="preserve">van de </w:t>
      </w:r>
      <w:r w:rsidRPr="00E13F1E">
        <w:rPr>
          <w:rFonts w:cs="Calibri"/>
          <w:szCs w:val="18"/>
        </w:rPr>
        <w:t>doelen van STO om te voorzien in voldoende goed opgeleide docenten.</w:t>
      </w:r>
      <w:r w:rsidR="00DF2902">
        <w:rPr>
          <w:rFonts w:cs="Calibri"/>
          <w:szCs w:val="18"/>
        </w:rPr>
        <w:t xml:space="preserve"> </w:t>
      </w:r>
      <w:r w:rsidR="007B09E5">
        <w:rPr>
          <w:rFonts w:cs="Calibri"/>
          <w:szCs w:val="18"/>
        </w:rPr>
        <w:t xml:space="preserve">Om deze ontwikkelingen in kaart te brengen </w:t>
      </w:r>
      <w:r w:rsidR="00DF2902">
        <w:rPr>
          <w:rFonts w:cs="Calibri"/>
          <w:szCs w:val="18"/>
        </w:rPr>
        <w:t xml:space="preserve">zijn data van </w:t>
      </w:r>
      <w:r w:rsidR="009D0B09">
        <w:rPr>
          <w:rFonts w:cs="Calibri"/>
          <w:szCs w:val="18"/>
        </w:rPr>
        <w:t>DUO, I</w:t>
      </w:r>
      <w:r w:rsidR="00DF2902">
        <w:rPr>
          <w:rFonts w:cs="Calibri"/>
          <w:szCs w:val="18"/>
        </w:rPr>
        <w:t xml:space="preserve">PTO </w:t>
      </w:r>
      <w:r w:rsidR="009D0B09">
        <w:rPr>
          <w:rFonts w:cs="Calibri"/>
          <w:szCs w:val="18"/>
        </w:rPr>
        <w:t xml:space="preserve">en CBS </w:t>
      </w:r>
      <w:r w:rsidR="00DF2902">
        <w:rPr>
          <w:rFonts w:cs="Calibri"/>
          <w:szCs w:val="18"/>
        </w:rPr>
        <w:t>geanalyseerd</w:t>
      </w:r>
      <w:r w:rsidR="009D0B09">
        <w:rPr>
          <w:rFonts w:cs="Calibri"/>
          <w:szCs w:val="18"/>
        </w:rPr>
        <w:t xml:space="preserve"> (zie bijlage 4).</w:t>
      </w:r>
    </w:p>
    <w:p w:rsidRPr="00E13F1E" w:rsidR="00E13F1E" w:rsidP="00E13F1E" w:rsidRDefault="00E13F1E" w14:paraId="65DB198E" w14:textId="77777777">
      <w:pPr>
        <w:rPr>
          <w:rFonts w:cs="Calibri"/>
          <w:szCs w:val="18"/>
        </w:rPr>
      </w:pPr>
    </w:p>
    <w:p w:rsidR="00E13F1E" w:rsidP="00E13F1E" w:rsidRDefault="00E13F1E" w14:paraId="158D6794" w14:textId="77777777">
      <w:pPr>
        <w:rPr>
          <w:rFonts w:cs="Calibri"/>
          <w:szCs w:val="18"/>
        </w:rPr>
      </w:pPr>
      <w:r w:rsidRPr="00E13F1E">
        <w:rPr>
          <w:rFonts w:cs="Calibri"/>
          <w:szCs w:val="18"/>
        </w:rPr>
        <w:t xml:space="preserve">Er zijn in totaal bijna 1.600 personen (ruim 1.000 fte) die lesgeven in een technisch profielvak in het vmbo. In 2022/23 is er een stijging van dit aantal, zowel in personen (+2%) als in fte (+3%). Over de gehele STO-periode is </w:t>
      </w:r>
      <w:r w:rsidRPr="00E13F1E">
        <w:rPr>
          <w:rFonts w:cs="Calibri"/>
          <w:szCs w:val="18"/>
        </w:rPr>
        <w:lastRenderedPageBreak/>
        <w:t>de stijging in het aantal lesgevenden in een technisch profiel 7 procent, in aantallen fte 14 procent. In dezelfde periode doet zich bij de niet-technische profielen een daling voor van ongeveer 11 procent (in zowel personen als fte) van het aantal profieldocenten. </w:t>
      </w:r>
    </w:p>
    <w:p w:rsidRPr="00E13F1E" w:rsidR="00E13F1E" w:rsidP="00E13F1E" w:rsidRDefault="00E13F1E" w14:paraId="6D76B0A2" w14:textId="77777777">
      <w:pPr>
        <w:rPr>
          <w:rFonts w:cs="Calibri"/>
          <w:szCs w:val="18"/>
        </w:rPr>
      </w:pPr>
    </w:p>
    <w:bookmarkEnd w:id="79"/>
    <w:p w:rsidR="00E13F1E" w:rsidP="27A1E800" w:rsidRDefault="00E13F1E" w14:paraId="6CCB4A38" w14:textId="57C9F811">
      <w:pPr>
        <w:shd w:val="clear" w:color="auto" w:fill="FFFFFF" w:themeFill="background1"/>
        <w:textAlignment w:val="baseline"/>
        <w:rPr>
          <w:rFonts w:cs="Calibri"/>
        </w:rPr>
      </w:pPr>
      <w:r w:rsidRPr="27A1E800">
        <w:rPr>
          <w:rFonts w:cs="Calibri"/>
        </w:rPr>
        <w:t xml:space="preserve">Vanaf 2021-2022 stijgt het aantal lesgevenden in de techniek per STO-regio. In toenemende mate komen die lesgevenden via andere routes naar het onderwijs dan via een lerarenopleiding. Het aandeel dat voorafgaand aan de baan in het onderwijs in het bedrijfsleven werkte is </w:t>
      </w:r>
      <w:r w:rsidRPr="27A1E800" w:rsidR="18606A93">
        <w:rPr>
          <w:rFonts w:cs="Calibri"/>
        </w:rPr>
        <w:t xml:space="preserve">gedurende de STO-periode </w:t>
      </w:r>
      <w:r w:rsidRPr="27A1E800">
        <w:rPr>
          <w:rFonts w:cs="Calibri"/>
        </w:rPr>
        <w:t>gestegen van 11% naar een 25%. </w:t>
      </w:r>
    </w:p>
    <w:p w:rsidRPr="00E13F1E" w:rsidR="00E13F1E" w:rsidP="00E13F1E" w:rsidRDefault="00E13F1E" w14:paraId="5AE5D1A5" w14:textId="77777777">
      <w:pPr>
        <w:shd w:val="clear" w:color="auto" w:fill="FFFFFF"/>
        <w:textAlignment w:val="baseline"/>
        <w:rPr>
          <w:rFonts w:cs="Calibri"/>
          <w:szCs w:val="18"/>
        </w:rPr>
      </w:pPr>
    </w:p>
    <w:p w:rsidRPr="00E13F1E" w:rsidR="00E13F1E" w:rsidP="00E13F1E" w:rsidRDefault="00E13F1E" w14:paraId="4DEB2730" w14:textId="77777777">
      <w:pPr>
        <w:shd w:val="clear" w:color="auto" w:fill="FFFFFF"/>
        <w:textAlignment w:val="baseline"/>
        <w:rPr>
          <w:rFonts w:cs="Calibri"/>
          <w:szCs w:val="18"/>
        </w:rPr>
      </w:pPr>
      <w:r w:rsidRPr="00E13F1E">
        <w:rPr>
          <w:rFonts w:cs="Calibri"/>
          <w:szCs w:val="18"/>
        </w:rPr>
        <w:t>Het technische docentencorps is door de jaren heen gemiddeld jonger geworden, maar nog steeds gemiddeld vier jaar ouder dan docenten in niet-technische profielen. Het aandeel lesgevenden in technische profielvakken dat bevoegd lesgeeft is tussen 2017/18 en 2022/23 gestegen (van 51 naar 58 procent). Tussen de technische profielen zijn de verschillen qua bevoegdheid groot. Bij MVI is er een stijging van 17 procentpunt, tegenover een daling van 2 procentpunt bij BWI. Het aandeel lesgevenden met een vast contract is gedaald (van 84 in 2017/18 naar 77 procent in 2022/23). Het aandeel onderwijsondersteunend personeel is gestegen van 15 naar 24 procent. Het aandeel vrouwen is gestegen, van 14 naar 17 procent gedurende de STO-periode.  </w:t>
      </w:r>
    </w:p>
    <w:p w:rsidR="00832357" w:rsidRDefault="00832357" w14:paraId="514B40C4" w14:textId="37242F8B">
      <w:pPr>
        <w:spacing w:after="160" w:line="259" w:lineRule="auto"/>
        <w:rPr>
          <w:rFonts w:cs="Calibri"/>
          <w:szCs w:val="18"/>
        </w:rPr>
      </w:pPr>
      <w:r>
        <w:rPr>
          <w:rFonts w:cs="Calibri"/>
          <w:szCs w:val="18"/>
        </w:rPr>
        <w:br w:type="page"/>
      </w:r>
    </w:p>
    <w:p w:rsidR="00E13F1E" w:rsidP="00832357" w:rsidRDefault="00832357" w14:paraId="0240ACA9" w14:textId="35C932BA">
      <w:pPr>
        <w:pStyle w:val="Kop1"/>
      </w:pPr>
      <w:bookmarkStart w:name="_Toc203573604" w:id="80"/>
      <w:r>
        <w:lastRenderedPageBreak/>
        <w:t>Slotconclusies</w:t>
      </w:r>
      <w:r w:rsidR="72BF5ECF">
        <w:t xml:space="preserve"> en</w:t>
      </w:r>
      <w:r>
        <w:t xml:space="preserve"> impactladder</w:t>
      </w:r>
      <w:bookmarkEnd w:id="80"/>
    </w:p>
    <w:p w:rsidR="005D1BDB" w:rsidP="005D1BDB" w:rsidRDefault="005D1BDB" w14:paraId="294E9A9E" w14:textId="77777777">
      <w:pPr>
        <w:pStyle w:val="paragraph"/>
        <w:spacing w:before="0" w:beforeAutospacing="0" w:after="0" w:afterAutospacing="0"/>
        <w:textAlignment w:val="baseline"/>
      </w:pPr>
      <w:r>
        <w:rPr>
          <w:rStyle w:val="normaltextrun"/>
          <w:rFonts w:ascii="Trebuchet MS" w:hAnsi="Trebuchet MS" w:eastAsiaTheme="majorEastAsia"/>
          <w:i/>
          <w:iCs/>
          <w:sz w:val="18"/>
          <w:szCs w:val="18"/>
        </w:rPr>
        <w:t>Inleiding en reflectie op Sterk Techniekonderwijs</w:t>
      </w:r>
      <w:r>
        <w:rPr>
          <w:rStyle w:val="eop"/>
          <w:rFonts w:ascii="Trebuchet MS" w:hAnsi="Trebuchet MS" w:eastAsiaTheme="majorEastAsia"/>
          <w:sz w:val="18"/>
          <w:szCs w:val="18"/>
        </w:rPr>
        <w:t> </w:t>
      </w:r>
    </w:p>
    <w:p w:rsidR="005D1BDB" w:rsidP="005D1BDB" w:rsidRDefault="005D1BDB" w14:paraId="478E6BD3" w14:textId="77777777">
      <w:pPr>
        <w:pStyle w:val="paragraph"/>
        <w:spacing w:before="0" w:beforeAutospacing="0" w:after="0" w:afterAutospacing="0"/>
        <w:textAlignment w:val="baseline"/>
      </w:pPr>
      <w:r>
        <w:rPr>
          <w:rStyle w:val="normaltextrun"/>
          <w:rFonts w:ascii="Trebuchet MS" w:hAnsi="Trebuchet MS" w:eastAsiaTheme="majorEastAsia"/>
          <w:sz w:val="18"/>
          <w:szCs w:val="18"/>
        </w:rPr>
        <w:t xml:space="preserve">Na een aanloopfase in 2018-2019, ging vanaf 2020 het programma Sterk </w:t>
      </w:r>
      <w:r w:rsidRPr="003662E7">
        <w:rPr>
          <w:rStyle w:val="normaltextrun"/>
          <w:rFonts w:ascii="Trebuchet MS" w:hAnsi="Trebuchet MS" w:eastAsiaTheme="majorEastAsia"/>
          <w:sz w:val="18"/>
          <w:szCs w:val="18"/>
        </w:rPr>
        <w:t xml:space="preserve">Techniekonderwijs (STO) </w:t>
      </w:r>
      <w:r>
        <w:rPr>
          <w:rStyle w:val="normaltextrun"/>
          <w:rFonts w:ascii="Trebuchet MS" w:hAnsi="Trebuchet MS" w:eastAsiaTheme="majorEastAsia"/>
          <w:sz w:val="18"/>
          <w:szCs w:val="18"/>
        </w:rPr>
        <w:t>van start, bedoeld om een sterk, dekkend en vernieuwend technisch onderwijs te realiseren. De aanleiding voor het programma was meerledig: de aantallen leerlingen in de beroepsgerichte leerwegen en het aandeel leerlingen dat voor een technisch profiel kiest dalen, met als gevolg een versnipperd (ondoelmatig) techniekaanbod, terwijl de tekorten op de arbeidsmarkt hoog zijn. Er bestonden zorgen over de kwaliteit en de actualiteit van het technisch onderwijs en over de aansluiting met het vervolgonderwijs en de arbeidsmarkt. Vandaar de drie hoofddoelen van STO: duurzaam, dekkend en kwalitatief hoogstaand onderwijs. </w:t>
      </w:r>
      <w:r>
        <w:rPr>
          <w:rStyle w:val="eop"/>
          <w:rFonts w:ascii="Trebuchet MS" w:hAnsi="Trebuchet MS" w:eastAsiaTheme="majorEastAsia"/>
          <w:sz w:val="18"/>
          <w:szCs w:val="18"/>
        </w:rPr>
        <w:t> </w:t>
      </w:r>
    </w:p>
    <w:p w:rsidR="005D1BDB" w:rsidP="005D1BDB" w:rsidRDefault="005D1BDB" w14:paraId="3DCB61FB" w14:textId="77777777">
      <w:pPr>
        <w:pStyle w:val="paragraph"/>
        <w:spacing w:before="0" w:beforeAutospacing="0" w:after="0" w:afterAutospacing="0"/>
        <w:textAlignment w:val="baseline"/>
      </w:pPr>
      <w:r>
        <w:rPr>
          <w:rStyle w:val="eop"/>
          <w:rFonts w:ascii="Trebuchet MS" w:hAnsi="Trebuchet MS" w:eastAsiaTheme="majorEastAsia"/>
          <w:sz w:val="18"/>
          <w:szCs w:val="18"/>
        </w:rPr>
        <w:t> </w:t>
      </w:r>
    </w:p>
    <w:p w:rsidR="005D1BDB" w:rsidP="780653D5" w:rsidRDefault="005D1BDB" w14:paraId="3E7ABC57" w14:textId="61794B3F">
      <w:pPr>
        <w:pStyle w:val="paragraph"/>
        <w:spacing w:before="0" w:beforeAutospacing="0" w:after="0" w:afterAutospacing="0"/>
        <w:textAlignment w:val="baseline"/>
      </w:pPr>
      <w:r w:rsidRPr="780653D5">
        <w:rPr>
          <w:rStyle w:val="normaltextrun"/>
          <w:rFonts w:ascii="Trebuchet MS" w:hAnsi="Trebuchet MS" w:eastAsiaTheme="majorEastAsia"/>
          <w:sz w:val="18"/>
          <w:szCs w:val="18"/>
        </w:rPr>
        <w:t xml:space="preserve">Om de doelen met STO te bereiken hebben 78 regio’s van 2020 tot en met 2023 jaarlijks 100 miljoen ontvangen om te investeren, passend bij hun regiovisie en activiteitenplannen. Deze periode is vanwege corona met een jaar verlengd tot en met 2024. </w:t>
      </w:r>
      <w:r w:rsidRPr="780653D5" w:rsidR="00BD1AE7">
        <w:rPr>
          <w:rStyle w:val="normaltextrun"/>
          <w:rFonts w:ascii="Trebuchet MS" w:hAnsi="Trebuchet MS" w:eastAsiaTheme="majorEastAsia"/>
          <w:sz w:val="18"/>
          <w:szCs w:val="18"/>
        </w:rPr>
        <w:t xml:space="preserve">In 2018 is besloten dat regio’s jaarlijks structureel </w:t>
      </w:r>
      <w:r w:rsidRPr="780653D5" w:rsidR="00FF30FC">
        <w:rPr>
          <w:rStyle w:val="normaltextrun"/>
          <w:rFonts w:ascii="Trebuchet MS" w:hAnsi="Trebuchet MS" w:eastAsiaTheme="majorEastAsia"/>
          <w:sz w:val="18"/>
          <w:szCs w:val="18"/>
        </w:rPr>
        <w:t>100 miljoen zullen ontvangen voor STO.</w:t>
      </w:r>
    </w:p>
    <w:p w:rsidR="005D1BDB" w:rsidP="005D1BDB" w:rsidRDefault="005D1BDB" w14:paraId="05982D80" w14:textId="77777777">
      <w:pPr>
        <w:pStyle w:val="paragraph"/>
        <w:spacing w:before="0" w:beforeAutospacing="0" w:after="0" w:afterAutospacing="0"/>
        <w:textAlignment w:val="baseline"/>
      </w:pPr>
      <w:r>
        <w:rPr>
          <w:rStyle w:val="eop"/>
          <w:rFonts w:ascii="Trebuchet MS" w:hAnsi="Trebuchet MS" w:eastAsiaTheme="majorEastAsia"/>
          <w:sz w:val="18"/>
          <w:szCs w:val="18"/>
        </w:rPr>
        <w:t> </w:t>
      </w:r>
    </w:p>
    <w:p w:rsidR="005D1BDB" w:rsidP="005D1BDB" w:rsidRDefault="005D1BDB" w14:paraId="3A163D73" w14:textId="4E7BF4AC">
      <w:pPr>
        <w:pStyle w:val="paragraph"/>
        <w:spacing w:before="0" w:beforeAutospacing="0" w:after="0" w:afterAutospacing="0"/>
        <w:textAlignment w:val="baseline"/>
      </w:pPr>
      <w:r>
        <w:rPr>
          <w:rStyle w:val="normaltextrun"/>
          <w:rFonts w:ascii="Trebuchet MS" w:hAnsi="Trebuchet MS" w:eastAsiaTheme="majorEastAsia"/>
          <w:sz w:val="18"/>
          <w:szCs w:val="18"/>
        </w:rPr>
        <w:t xml:space="preserve">In STO is, anders dan in voorgaande techniekinitiatieven, het vmbo </w:t>
      </w:r>
      <w:r>
        <w:rPr>
          <w:rStyle w:val="normaltextrun"/>
          <w:rFonts w:ascii="Trebuchet MS" w:hAnsi="Trebuchet MS" w:eastAsiaTheme="majorEastAsia"/>
          <w:i/>
          <w:iCs/>
          <w:sz w:val="18"/>
          <w:szCs w:val="18"/>
        </w:rPr>
        <w:t>in the lead</w:t>
      </w:r>
      <w:r>
        <w:rPr>
          <w:rStyle w:val="normaltextrun"/>
          <w:rFonts w:ascii="Trebuchet MS" w:hAnsi="Trebuchet MS" w:eastAsiaTheme="majorEastAsia"/>
          <w:sz w:val="18"/>
          <w:szCs w:val="18"/>
        </w:rPr>
        <w:t xml:space="preserve">. Een regio bestaat uit minstens twee vmbo-vestigingen met technische profielen en een mbo-instelling. Kern van STO is samenwerking met partners in de regio. De middelen voor STO zijn structureel, maar worden </w:t>
      </w:r>
      <w:r w:rsidR="00FF30FC">
        <w:rPr>
          <w:rStyle w:val="normaltextrun"/>
          <w:rFonts w:ascii="Trebuchet MS" w:hAnsi="Trebuchet MS" w:eastAsiaTheme="majorEastAsia"/>
          <w:sz w:val="18"/>
          <w:szCs w:val="18"/>
        </w:rPr>
        <w:t xml:space="preserve">in deze periode </w:t>
      </w:r>
      <w:r>
        <w:rPr>
          <w:rStyle w:val="normaltextrun"/>
          <w:rFonts w:ascii="Trebuchet MS" w:hAnsi="Trebuchet MS" w:eastAsiaTheme="majorEastAsia"/>
          <w:sz w:val="18"/>
          <w:szCs w:val="18"/>
        </w:rPr>
        <w:t>wel als subsidie verleend. STO heeft hiermee het karakter van een duurzaam programma in plaats van een project. </w:t>
      </w:r>
      <w:r>
        <w:rPr>
          <w:rStyle w:val="eop"/>
          <w:rFonts w:ascii="Trebuchet MS" w:hAnsi="Trebuchet MS" w:eastAsiaTheme="majorEastAsia"/>
          <w:sz w:val="18"/>
          <w:szCs w:val="18"/>
        </w:rPr>
        <w:t> </w:t>
      </w:r>
    </w:p>
    <w:p w:rsidR="005D1BDB" w:rsidP="005D1BDB" w:rsidRDefault="005D1BDB" w14:paraId="0240363A" w14:textId="6E94B2F5">
      <w:pPr>
        <w:pStyle w:val="paragraph"/>
        <w:spacing w:before="0" w:beforeAutospacing="0" w:after="0" w:afterAutospacing="0"/>
        <w:textAlignment w:val="baseline"/>
      </w:pPr>
      <w:r>
        <w:rPr>
          <w:rStyle w:val="normaltextrun"/>
          <w:rFonts w:ascii="Trebuchet MS" w:hAnsi="Trebuchet MS" w:eastAsiaTheme="majorEastAsia"/>
          <w:sz w:val="18"/>
          <w:szCs w:val="18"/>
        </w:rPr>
        <w:t>Met een monitor- en evaluatieonderzoek is deze eerste fase van STO (2020 tot en met schooljaar 2024-2025) gevolgd. Met de voorliggende rapportage sluiten we dit onderzoek van de</w:t>
      </w:r>
      <w:r w:rsidR="003765B6">
        <w:rPr>
          <w:rStyle w:val="normaltextrun"/>
          <w:rFonts w:ascii="Trebuchet MS" w:hAnsi="Trebuchet MS" w:eastAsiaTheme="majorEastAsia"/>
          <w:sz w:val="18"/>
          <w:szCs w:val="18"/>
        </w:rPr>
        <w:t xml:space="preserve">ze </w:t>
      </w:r>
      <w:r>
        <w:rPr>
          <w:rStyle w:val="normaltextrun"/>
          <w:rFonts w:ascii="Trebuchet MS" w:hAnsi="Trebuchet MS" w:eastAsiaTheme="majorEastAsia"/>
          <w:sz w:val="18"/>
          <w:szCs w:val="18"/>
        </w:rPr>
        <w:t xml:space="preserve">fase af. Inmiddels is de volgende fase van STO, die loopt van 2025-2029, </w:t>
      </w:r>
      <w:r w:rsidRPr="00104DFC">
        <w:rPr>
          <w:rStyle w:val="normaltextrun"/>
          <w:rFonts w:ascii="Trebuchet MS" w:hAnsi="Trebuchet MS" w:eastAsiaTheme="majorEastAsia"/>
          <w:sz w:val="18"/>
          <w:szCs w:val="18"/>
        </w:rPr>
        <w:t>al</w:t>
      </w:r>
      <w:r>
        <w:rPr>
          <w:rStyle w:val="normaltextrun"/>
          <w:rFonts w:ascii="Trebuchet MS" w:hAnsi="Trebuchet MS" w:eastAsiaTheme="majorEastAsia"/>
          <w:color w:val="D13438"/>
          <w:sz w:val="18"/>
          <w:szCs w:val="18"/>
        </w:rPr>
        <w:t xml:space="preserve"> </w:t>
      </w:r>
      <w:r>
        <w:rPr>
          <w:rStyle w:val="normaltextrun"/>
          <w:rFonts w:ascii="Trebuchet MS" w:hAnsi="Trebuchet MS" w:eastAsiaTheme="majorEastAsia"/>
          <w:sz w:val="18"/>
          <w:szCs w:val="18"/>
        </w:rPr>
        <w:t>van start gegaan. De periode van dataverzameling in 2024-2025 liep parallel aan de periode dat de regio’s nieuwe plannen aan het opstellen en uitwerken waren en hun verantwoording over de afgelopen periode hebben ingeleverd; een periode dus waarin de regio’s volop bezig waren met reflectie op hun aanpak en de bereikte resultaten in hun regio. </w:t>
      </w:r>
      <w:r>
        <w:rPr>
          <w:rStyle w:val="eop"/>
          <w:rFonts w:ascii="Trebuchet MS" w:hAnsi="Trebuchet MS" w:eastAsiaTheme="majorEastAsia"/>
          <w:sz w:val="18"/>
          <w:szCs w:val="18"/>
        </w:rPr>
        <w:t> </w:t>
      </w:r>
    </w:p>
    <w:p w:rsidR="005D1BDB" w:rsidP="005D1BDB" w:rsidRDefault="005D1BDB" w14:paraId="746D138D" w14:textId="77777777">
      <w:pPr>
        <w:pStyle w:val="paragraph"/>
        <w:spacing w:before="0" w:beforeAutospacing="0" w:after="0" w:afterAutospacing="0"/>
        <w:textAlignment w:val="baseline"/>
      </w:pPr>
      <w:r>
        <w:rPr>
          <w:rStyle w:val="eop"/>
          <w:rFonts w:ascii="Trebuchet MS" w:hAnsi="Trebuchet MS" w:eastAsiaTheme="majorEastAsia"/>
          <w:sz w:val="18"/>
          <w:szCs w:val="18"/>
        </w:rPr>
        <w:t> </w:t>
      </w:r>
    </w:p>
    <w:p w:rsidR="005D1BDB" w:rsidP="005D1BDB" w:rsidRDefault="005D1BDB" w14:paraId="1794092E" w14:textId="77777777">
      <w:pPr>
        <w:pStyle w:val="paragraph"/>
        <w:spacing w:before="0" w:beforeAutospacing="0" w:after="0" w:afterAutospacing="0"/>
        <w:textAlignment w:val="baseline"/>
        <w:rPr>
          <w:rStyle w:val="normaltextrun"/>
          <w:rFonts w:ascii="Trebuchet MS" w:hAnsi="Trebuchet MS" w:eastAsiaTheme="majorEastAsia"/>
          <w:sz w:val="18"/>
          <w:szCs w:val="18"/>
        </w:rPr>
      </w:pPr>
      <w:r>
        <w:rPr>
          <w:rStyle w:val="normaltextrun"/>
          <w:rFonts w:ascii="Trebuchet MS" w:hAnsi="Trebuchet MS" w:eastAsiaTheme="majorEastAsia"/>
          <w:sz w:val="18"/>
          <w:szCs w:val="18"/>
        </w:rPr>
        <w:t>STO is een veelomvattend en complex programma, met veel activiteiten, met veel betrokken partners op verschillende niveaus, met meerdere opdrachten en doelen die zich niet altijd even hard laten vaststellen (meetbaar versus ‘merkbaar’). STO speelt zich bovendien af in een context die voortdurend in beweging is.</w:t>
      </w:r>
    </w:p>
    <w:p w:rsidR="005D1BDB" w:rsidP="005D1BDB" w:rsidRDefault="005D1BDB" w14:paraId="2530E4FB" w14:textId="77777777">
      <w:pPr>
        <w:pStyle w:val="paragraph"/>
        <w:spacing w:before="0" w:beforeAutospacing="0" w:after="0" w:afterAutospacing="0"/>
        <w:textAlignment w:val="baseline"/>
        <w:rPr>
          <w:rStyle w:val="eop"/>
          <w:rFonts w:ascii="Trebuchet MS" w:hAnsi="Trebuchet MS" w:eastAsiaTheme="majorEastAsia"/>
          <w:sz w:val="18"/>
          <w:szCs w:val="18"/>
        </w:rPr>
      </w:pPr>
      <w:r>
        <w:rPr>
          <w:rStyle w:val="normaltextrun"/>
          <w:rFonts w:ascii="Trebuchet MS" w:hAnsi="Trebuchet MS" w:eastAsiaTheme="majorEastAsia"/>
          <w:sz w:val="18"/>
          <w:szCs w:val="18"/>
        </w:rPr>
        <w:t>In de afgelopen jaren is in de monitorrapporten geprobeerd STO van zoveel mogelijk kanten te belichten, en zowel kwantitatief als kwalitatief in beeld te brengen. Ook in het voorliggende rapport doen we dit en voegen we twee perspectieven toe, namelijk dat van docenten/lesgevenden en dat van leerlingen. Zo kunnen we in beeld brengen wat er in STO zoal ontwikkeld en uitgevoerd is en hoe dat concreet landt bij docenten en bij leerlingen.</w:t>
      </w:r>
      <w:r>
        <w:rPr>
          <w:rStyle w:val="eop"/>
          <w:rFonts w:ascii="Trebuchet MS" w:hAnsi="Trebuchet MS" w:eastAsiaTheme="majorEastAsia"/>
          <w:sz w:val="18"/>
          <w:szCs w:val="18"/>
        </w:rPr>
        <w:t> </w:t>
      </w:r>
    </w:p>
    <w:p w:rsidR="003765B6" w:rsidP="005D1BDB" w:rsidRDefault="003765B6" w14:paraId="3651F450" w14:textId="77777777">
      <w:pPr>
        <w:pStyle w:val="paragraph"/>
        <w:spacing w:before="0" w:beforeAutospacing="0" w:after="0" w:afterAutospacing="0"/>
        <w:textAlignment w:val="baseline"/>
        <w:rPr>
          <w:rStyle w:val="eop"/>
          <w:rFonts w:ascii="Trebuchet MS" w:hAnsi="Trebuchet MS" w:eastAsiaTheme="majorEastAsia"/>
          <w:sz w:val="18"/>
          <w:szCs w:val="18"/>
        </w:rPr>
      </w:pPr>
    </w:p>
    <w:p w:rsidR="009531BB" w:rsidP="00BC1885" w:rsidRDefault="00BC1885" w14:paraId="52BCC0C4" w14:textId="77777777">
      <w:pPr>
        <w:pStyle w:val="paragraph"/>
        <w:textAlignment w:val="baseline"/>
        <w:rPr>
          <w:rFonts w:ascii="Trebuchet MS" w:hAnsi="Trebuchet MS"/>
          <w:b/>
          <w:bCs/>
          <w:i/>
          <w:iCs/>
          <w:sz w:val="18"/>
          <w:szCs w:val="18"/>
        </w:rPr>
      </w:pPr>
      <w:r w:rsidRPr="003E014E">
        <w:rPr>
          <w:rFonts w:ascii="Trebuchet MS" w:hAnsi="Trebuchet MS"/>
          <w:b/>
          <w:bCs/>
          <w:i/>
          <w:iCs/>
          <w:sz w:val="18"/>
          <w:szCs w:val="18"/>
        </w:rPr>
        <w:t>Beleidstheorie van Sterk Techniekonderwijs (STO)</w:t>
      </w:r>
    </w:p>
    <w:p w:rsidR="00BC1885" w:rsidP="00BC1885" w:rsidRDefault="00BC1885" w14:paraId="0EEB8215" w14:textId="149FD50B">
      <w:pPr>
        <w:pStyle w:val="paragraph"/>
        <w:textAlignment w:val="baseline"/>
        <w:rPr>
          <w:rFonts w:ascii="Trebuchet MS" w:hAnsi="Trebuchet MS"/>
          <w:sz w:val="18"/>
          <w:szCs w:val="18"/>
        </w:rPr>
      </w:pPr>
      <w:r w:rsidRPr="0096509E">
        <w:rPr>
          <w:rFonts w:ascii="Trebuchet MS" w:hAnsi="Trebuchet MS"/>
          <w:sz w:val="18"/>
          <w:szCs w:val="18"/>
        </w:rPr>
        <w:t>De beleidstheorie achter STO is gestoeld op de overtuiging dat het versterken van het technisch onderwijs in het vmbo noodzakelijk is om tegemoet te komen aan maatschappelijke en economische uitdagingen, zoals arbeidsmarktkrapte in technische beroepen, teruglopende instroom in technische profielen en de behoefte aan toekomstbestendig onderwijs. Het programma zet in op drie centrale doelen: een dekkend, duurzaam en kwalitatief hoogstaand aanbod van technisch onderwijs in elke regio. Deze doelen zijn met elkaar verbonden en worden alleen haalbaar geacht bij voldoende samenwerking tussen vmbo-scholen, mbo-instellingen, bedrijven en andere partners in de regio.</w:t>
      </w:r>
    </w:p>
    <w:p w:rsidRPr="0096509E" w:rsidR="00BC1885" w:rsidP="00BC1885" w:rsidRDefault="00BC1885" w14:paraId="3A7DB5EB" w14:textId="5677C3FB">
      <w:pPr>
        <w:pStyle w:val="paragraph"/>
        <w:textAlignment w:val="baseline"/>
        <w:rPr>
          <w:rFonts w:ascii="Trebuchet MS" w:hAnsi="Trebuchet MS"/>
          <w:sz w:val="18"/>
          <w:szCs w:val="18"/>
        </w:rPr>
      </w:pPr>
      <w:r w:rsidRPr="0096509E">
        <w:rPr>
          <w:rFonts w:ascii="Trebuchet MS" w:hAnsi="Trebuchet MS"/>
          <w:sz w:val="18"/>
          <w:szCs w:val="18"/>
        </w:rPr>
        <w:t>Regionale samenwerking is daarbij niet slechts een middel, maar een voorwaarde: alleen door afstemming, het delen van voorzieningen en het bundelen van kennis en netwerk, kan het techniekaanbod overeind blijven en worden vernieuwd. Elke STO-regio ontwikkel</w:t>
      </w:r>
      <w:r w:rsidR="00AA384D">
        <w:rPr>
          <w:rFonts w:ascii="Trebuchet MS" w:hAnsi="Trebuchet MS"/>
          <w:sz w:val="18"/>
          <w:szCs w:val="18"/>
        </w:rPr>
        <w:t>de</w:t>
      </w:r>
      <w:r w:rsidRPr="0096509E">
        <w:rPr>
          <w:rFonts w:ascii="Trebuchet MS" w:hAnsi="Trebuchet MS"/>
          <w:sz w:val="18"/>
          <w:szCs w:val="18"/>
        </w:rPr>
        <w:t xml:space="preserve"> hiervoor een eigen regioplan op basis van lokale behoeften, met ruimte voor maatwerk. Structurele middelen maken het mogelijk om niet alleen incidentele impulsen te geven, maar duurzame verbeteringen door te voeren in voorzieningen, onderwijsinhoud en personeelsinzet.</w:t>
      </w:r>
    </w:p>
    <w:p w:rsidRPr="0096509E" w:rsidR="00BC1885" w:rsidP="00BC1885" w:rsidRDefault="00BC1885" w14:paraId="03B8C447" w14:textId="77777777">
      <w:pPr>
        <w:pStyle w:val="paragraph"/>
        <w:textAlignment w:val="baseline"/>
        <w:rPr>
          <w:rFonts w:ascii="Trebuchet MS" w:hAnsi="Trebuchet MS"/>
          <w:sz w:val="18"/>
          <w:szCs w:val="18"/>
        </w:rPr>
      </w:pPr>
      <w:r w:rsidRPr="0096509E">
        <w:rPr>
          <w:rFonts w:ascii="Trebuchet MS" w:hAnsi="Trebuchet MS"/>
          <w:sz w:val="18"/>
          <w:szCs w:val="18"/>
        </w:rPr>
        <w:t>De veronderstelling is dat investeringen in faciliteiten, keuzevakken, scholing en netwerken leiden tot een aantrekkelijker, actueler en effectiever techniekonderwijs. Dat moet vervolgens bijdragen aan hogere motivatie bij leerlingen, betere voorbereiding op vervolgonderwijs en beroep, sterkere verbindingen tussen school en arbeidsmarkt, en uiteindelijk een beter imago van techniek in de samenleving.</w:t>
      </w:r>
    </w:p>
    <w:p w:rsidRPr="0096509E" w:rsidR="00BC1885" w:rsidP="00BC1885" w:rsidRDefault="00BC1885" w14:paraId="624E8B58" w14:textId="77777777">
      <w:pPr>
        <w:pStyle w:val="paragraph"/>
        <w:textAlignment w:val="baseline"/>
        <w:rPr>
          <w:rFonts w:ascii="Trebuchet MS" w:hAnsi="Trebuchet MS"/>
          <w:sz w:val="18"/>
          <w:szCs w:val="18"/>
        </w:rPr>
      </w:pPr>
      <w:r w:rsidRPr="0096509E">
        <w:rPr>
          <w:rFonts w:ascii="Trebuchet MS" w:hAnsi="Trebuchet MS"/>
          <w:sz w:val="18"/>
          <w:szCs w:val="18"/>
        </w:rPr>
        <w:lastRenderedPageBreak/>
        <w:t>De beleidstheorie veronderstelt dus een keten van verandering: van structurele middelen en regionale samenwerking (input), via vernieuwende activiteiten en versterkte netwerken (output), naar concrete verbeteringen in onderwijspraktijk en leerlingontwikkeling (outcome), met op termijn bredere maatschappelijke effecten (impact).</w:t>
      </w:r>
    </w:p>
    <w:p w:rsidRPr="0096509E" w:rsidR="00BC1885" w:rsidP="00BC1885" w:rsidRDefault="00BC1885" w14:paraId="7A44879B" w14:textId="3229196E">
      <w:pPr>
        <w:pStyle w:val="paragraph"/>
        <w:textAlignment w:val="baseline"/>
        <w:rPr>
          <w:rFonts w:ascii="Trebuchet MS" w:hAnsi="Trebuchet MS"/>
          <w:sz w:val="18"/>
          <w:szCs w:val="18"/>
        </w:rPr>
      </w:pPr>
      <w:r w:rsidRPr="0096509E">
        <w:rPr>
          <w:rFonts w:ascii="Trebuchet MS" w:hAnsi="Trebuchet MS"/>
          <w:sz w:val="18"/>
          <w:szCs w:val="18"/>
        </w:rPr>
        <w:t xml:space="preserve">Hoofdvraag van </w:t>
      </w:r>
      <w:r w:rsidR="005170F6">
        <w:rPr>
          <w:rFonts w:ascii="Trebuchet MS" w:hAnsi="Trebuchet MS"/>
          <w:sz w:val="18"/>
          <w:szCs w:val="18"/>
        </w:rPr>
        <w:t>dit eindrapport van het monitor -en evaluatieonderzoek STO 2020-2024 luidt</w:t>
      </w:r>
      <w:r w:rsidRPr="0096509E">
        <w:rPr>
          <w:rFonts w:ascii="Trebuchet MS" w:hAnsi="Trebuchet MS"/>
          <w:sz w:val="18"/>
          <w:szCs w:val="18"/>
        </w:rPr>
        <w:t>:</w:t>
      </w:r>
      <w:r>
        <w:rPr>
          <w:rFonts w:ascii="Trebuchet MS" w:hAnsi="Trebuchet MS"/>
          <w:sz w:val="18"/>
          <w:szCs w:val="18"/>
        </w:rPr>
        <w:t xml:space="preserve"> I</w:t>
      </w:r>
      <w:r w:rsidRPr="0096509E">
        <w:rPr>
          <w:rFonts w:ascii="Trebuchet MS" w:hAnsi="Trebuchet MS"/>
          <w:sz w:val="18"/>
          <w:szCs w:val="18"/>
        </w:rPr>
        <w:t>n hoeverre heeft de eerste fase van het programma Sterk Techniekonderwijs (2020–2024) bijgedragen aan het realiseren van duurzaam, dekkend en kwalitatief hoogstaand technisch onderwijs in de regio’s, en wat is de merkbare en meetbare impact hiervan op de betrokken actoren (leerlingen, docenten, scholen, bedrijven en regio’s)?</w:t>
      </w:r>
    </w:p>
    <w:p w:rsidR="005D1BDB" w:rsidP="005D1BDB" w:rsidRDefault="005D1BDB" w14:paraId="5FCD3EA8" w14:textId="77777777">
      <w:pPr>
        <w:pStyle w:val="paragraph"/>
        <w:spacing w:before="0" w:beforeAutospacing="0" w:after="0" w:afterAutospacing="0"/>
        <w:textAlignment w:val="baseline"/>
      </w:pPr>
      <w:r>
        <w:rPr>
          <w:rStyle w:val="eop"/>
          <w:rFonts w:ascii="Trebuchet MS" w:hAnsi="Trebuchet MS" w:eastAsiaTheme="majorEastAsia"/>
          <w:sz w:val="18"/>
          <w:szCs w:val="18"/>
        </w:rPr>
        <w:t> </w:t>
      </w:r>
    </w:p>
    <w:p w:rsidR="005D1BDB" w:rsidP="005D1BDB" w:rsidRDefault="005D1BDB" w14:paraId="5FE9AC30" w14:textId="1ACDF9DF">
      <w:pPr>
        <w:pStyle w:val="Kop2"/>
      </w:pPr>
      <w:bookmarkStart w:name="_Toc199838365" w:id="81"/>
      <w:bookmarkStart w:name="_Toc203573605" w:id="82"/>
      <w:r>
        <w:rPr>
          <w:rStyle w:val="normaltextrun"/>
          <w:b w:val="0"/>
          <w:bCs w:val="0"/>
          <w:szCs w:val="18"/>
        </w:rPr>
        <w:t xml:space="preserve">Samenvattende conclusies </w:t>
      </w:r>
      <w:r w:rsidR="007E0881">
        <w:rPr>
          <w:rStyle w:val="normaltextrun"/>
          <w:b w:val="0"/>
          <w:bCs w:val="0"/>
          <w:szCs w:val="18"/>
        </w:rPr>
        <w:t xml:space="preserve">eerste </w:t>
      </w:r>
      <w:r>
        <w:rPr>
          <w:rStyle w:val="normaltextrun"/>
          <w:b w:val="0"/>
          <w:bCs w:val="0"/>
          <w:szCs w:val="18"/>
        </w:rPr>
        <w:t>fase Sterk Techniekonderwijs</w:t>
      </w:r>
      <w:bookmarkEnd w:id="81"/>
      <w:bookmarkEnd w:id="82"/>
      <w:r>
        <w:rPr>
          <w:rStyle w:val="eop"/>
          <w:szCs w:val="18"/>
        </w:rPr>
        <w:t> </w:t>
      </w:r>
    </w:p>
    <w:p w:rsidR="005D1BDB" w:rsidP="005D1BDB" w:rsidRDefault="005D1BDB" w14:paraId="227FA2A1" w14:textId="77777777">
      <w:pPr>
        <w:pStyle w:val="paragraph"/>
        <w:spacing w:before="0" w:beforeAutospacing="0" w:after="0" w:afterAutospacing="0"/>
        <w:textAlignment w:val="baseline"/>
      </w:pPr>
      <w:r>
        <w:rPr>
          <w:rStyle w:val="normaltextrun"/>
          <w:rFonts w:ascii="Trebuchet MS" w:hAnsi="Trebuchet MS" w:eastAsiaTheme="majorEastAsia"/>
          <w:sz w:val="18"/>
          <w:szCs w:val="18"/>
        </w:rPr>
        <w:t>Het is niet eenvoudig om tot een integrale eindconclusie van STO te komen, alleen al omdat er op zoveel verschillende niveaus opbrengsten zijn, va</w:t>
      </w:r>
      <w:r w:rsidRPr="003662E7">
        <w:rPr>
          <w:rStyle w:val="normaltextrun"/>
          <w:rFonts w:ascii="Trebuchet MS" w:hAnsi="Trebuchet MS" w:eastAsiaTheme="majorEastAsia"/>
          <w:sz w:val="18"/>
          <w:szCs w:val="18"/>
        </w:rPr>
        <w:t>n in de klas tot op (boven-)</w:t>
      </w:r>
      <w:r>
        <w:rPr>
          <w:rStyle w:val="normaltextrun"/>
          <w:rFonts w:ascii="Trebuchet MS" w:hAnsi="Trebuchet MS" w:eastAsiaTheme="majorEastAsia"/>
          <w:sz w:val="18"/>
          <w:szCs w:val="18"/>
        </w:rPr>
        <w:t xml:space="preserve">regionaal en maatschappelijk niveau. De afzonderlijke hoofdstukken in dit rapport laten zien dat de verschillende actoren veelal positieve opbrengsten benoemen en dat het enthousiasme rond STO bij de betrokkenen meestal onverminderd groot is. Vergeleken met stimuleringsprojecten die in de afgelopen decennia zijn uitgevoerd (en die veelal vooral gericht waren op techniekpromotie en instroombevordering in de techniek), is een eerste hoofdconclusie dat de aandacht voor techniek met STO concreter is dan tevoren, met tastbare investeringen in extra personeel, materieel, keuzevakken en in regionale voorzieningen zoals tech-labs op veel plekken. Tegelijkertijd is duidelijk dat STO nog niet klaar is en dat het oogsten en borgen van (potentiële) opbrengsten nog veelal in ontwikkeling is en </w:t>
      </w:r>
      <w:r w:rsidRPr="003662E7">
        <w:rPr>
          <w:rStyle w:val="normaltextrun"/>
          <w:rFonts w:ascii="Trebuchet MS" w:hAnsi="Trebuchet MS" w:eastAsiaTheme="majorEastAsia"/>
          <w:sz w:val="18"/>
          <w:szCs w:val="18"/>
        </w:rPr>
        <w:t>meer tijd</w:t>
      </w:r>
      <w:r>
        <w:rPr>
          <w:rStyle w:val="normaltextrun"/>
          <w:rFonts w:ascii="Trebuchet MS" w:hAnsi="Trebuchet MS" w:eastAsiaTheme="majorEastAsia"/>
          <w:sz w:val="18"/>
          <w:szCs w:val="18"/>
        </w:rPr>
        <w:t>, meer afstemming en samenwerking vergt. Hoofdconclusie is dat de basis nu in de meeste regio’s (beter) op orde is, met onder meer voldoende en gemoderniseerde technisch materieel, en een aanbod van technisch onderwijs dat in stand is gebleven en waarvan de kwaliteit is verhoogd. In het navolgende lopen we kort de hoofdstukken langs en zetten we de belangrijkste kwalitatieve en kwantitatieve conclusies op een rij. </w:t>
      </w:r>
      <w:r>
        <w:rPr>
          <w:rStyle w:val="eop"/>
          <w:rFonts w:ascii="Trebuchet MS" w:hAnsi="Trebuchet MS" w:eastAsiaTheme="majorEastAsia"/>
          <w:sz w:val="18"/>
          <w:szCs w:val="18"/>
        </w:rPr>
        <w:t> </w:t>
      </w:r>
    </w:p>
    <w:p w:rsidR="005D1BDB" w:rsidP="007E0881" w:rsidRDefault="005D1BDB" w14:paraId="158EB144" w14:textId="77777777">
      <w:pPr>
        <w:pStyle w:val="paragraph"/>
        <w:spacing w:before="0" w:beforeAutospacing="0" w:after="160" w:afterAutospacing="0"/>
        <w:textAlignment w:val="baseline"/>
        <w:rPr>
          <w:rStyle w:val="eop"/>
          <w:rFonts w:ascii="Trebuchet MS" w:hAnsi="Trebuchet MS" w:eastAsiaTheme="majorEastAsia"/>
          <w:sz w:val="18"/>
          <w:szCs w:val="18"/>
        </w:rPr>
      </w:pPr>
      <w:r>
        <w:rPr>
          <w:rStyle w:val="pagebreaktextspan"/>
        </w:rPr>
        <w:t> </w:t>
      </w:r>
      <w:r>
        <w:rPr>
          <w:rStyle w:val="eop"/>
          <w:rFonts w:ascii="Trebuchet MS" w:hAnsi="Trebuchet MS" w:eastAsiaTheme="majorEastAsia"/>
          <w:sz w:val="18"/>
          <w:szCs w:val="18"/>
        </w:rPr>
        <w:t> </w:t>
      </w:r>
    </w:p>
    <w:p w:rsidRPr="003662E7" w:rsidR="005D1BDB" w:rsidP="005D1BDB" w:rsidRDefault="005D1BDB" w14:paraId="1E3328B7" w14:textId="77777777">
      <w:pPr>
        <w:pStyle w:val="Kop3"/>
        <w:numPr>
          <w:ilvl w:val="0"/>
          <w:numId w:val="0"/>
        </w:numPr>
        <w:rPr>
          <w:rStyle w:val="normaltextrun"/>
        </w:rPr>
      </w:pPr>
      <w:bookmarkStart w:name="_Toc199838366" w:id="83"/>
      <w:bookmarkStart w:name="_Toc203573606" w:id="84"/>
      <w:r>
        <w:rPr>
          <w:rStyle w:val="normaltextrun"/>
          <w:b w:val="0"/>
          <w:szCs w:val="18"/>
        </w:rPr>
        <w:t>7.1.1 C</w:t>
      </w:r>
      <w:r w:rsidRPr="003662E7">
        <w:rPr>
          <w:rStyle w:val="normaltextrun"/>
          <w:b w:val="0"/>
          <w:szCs w:val="18"/>
        </w:rPr>
        <w:t>asussen en lesobservaties</w:t>
      </w:r>
      <w:bookmarkEnd w:id="83"/>
      <w:bookmarkEnd w:id="84"/>
    </w:p>
    <w:p w:rsidR="005D1BDB" w:rsidP="005D1BDB" w:rsidRDefault="005D1BDB" w14:paraId="2BADB200" w14:textId="77777777">
      <w:pPr>
        <w:pStyle w:val="paragraph"/>
        <w:spacing w:before="0" w:beforeAutospacing="0" w:after="0" w:afterAutospacing="0"/>
        <w:textAlignment w:val="baseline"/>
      </w:pPr>
      <w:r w:rsidRPr="003662E7">
        <w:rPr>
          <w:rStyle w:val="normaltextrun"/>
          <w:rFonts w:ascii="Trebuchet MS" w:hAnsi="Trebuchet MS" w:eastAsiaTheme="majorEastAsia"/>
          <w:sz w:val="18"/>
          <w:szCs w:val="18"/>
        </w:rPr>
        <w:t>De casussen laten zien dat Sterk Techniekonderwijs veel in beweging heeft gezet. De basis, in termen van een eigentijdse leeromgeving, voldoende en voldoende geschoold personeel, is (beter) op orde. Met het vmbo in the lead zijn de activiteitenplannen uitgevoerd en is er veel aanbod ontwikkeld, waarbij een slag gemaakt is van onderwijs aanbieden naar onderwijs organiseren. Er heeft professionalisering plaatsgevonden in het uitvoeren van grote projecten. </w:t>
      </w:r>
      <w:r w:rsidRPr="003662E7">
        <w:rPr>
          <w:rStyle w:val="eop"/>
          <w:rFonts w:ascii="Trebuchet MS" w:hAnsi="Trebuchet MS" w:eastAsiaTheme="majorEastAsia"/>
          <w:sz w:val="18"/>
          <w:szCs w:val="18"/>
        </w:rPr>
        <w:t> </w:t>
      </w:r>
    </w:p>
    <w:p w:rsidR="005D1BDB" w:rsidP="005D1BDB" w:rsidRDefault="005D1BDB" w14:paraId="41926259" w14:textId="77777777">
      <w:pPr>
        <w:pStyle w:val="paragraph"/>
        <w:spacing w:before="0" w:beforeAutospacing="0" w:after="0" w:afterAutospacing="0"/>
        <w:textAlignment w:val="baseline"/>
      </w:pPr>
      <w:r>
        <w:rPr>
          <w:rStyle w:val="eop"/>
          <w:rFonts w:ascii="Trebuchet MS" w:hAnsi="Trebuchet MS" w:eastAsiaTheme="majorEastAsia"/>
          <w:sz w:val="18"/>
          <w:szCs w:val="18"/>
        </w:rPr>
        <w:t> </w:t>
      </w:r>
    </w:p>
    <w:p w:rsidR="005D1BDB" w:rsidP="005D1BDB" w:rsidRDefault="005D1BDB" w14:paraId="27D3BA96" w14:textId="6E5AFDCC">
      <w:pPr>
        <w:pStyle w:val="paragraph"/>
        <w:spacing w:before="0" w:beforeAutospacing="0" w:after="0" w:afterAutospacing="0"/>
        <w:textAlignment w:val="baseline"/>
      </w:pPr>
      <w:r>
        <w:rPr>
          <w:rStyle w:val="normaltextrun"/>
          <w:rFonts w:ascii="Trebuchet MS" w:hAnsi="Trebuchet MS" w:eastAsiaTheme="majorEastAsia"/>
          <w:sz w:val="18"/>
          <w:szCs w:val="18"/>
        </w:rPr>
        <w:t>Door STO is het regio-denken gegroeid, ook in regio’s die de middelen direct naar scholen doorzetten: STO heeft bijgedragen aan een sterker gevoel van gezamenlijke regionale verantwoordelijkheid voor sterk techniekonderwijs; soms als effect van het samen uitvoeren van een activiteitenplan, soms omdat bewust in de gezamenlijkheid is geïnvesteerd. Naast regio-denken heeft STO het vmbo bewuster gemaakt van de schakelfunctie die het heeft in de keten van po naar mbo en verder. Daarmee is de aandacht verschoven van een intern - en diploma-gerichte, naar (ook) een externe, op de loopbaan en de leerlingenreis gerichte aanpak. Door aandacht voor de loopbaan en overgangen in de keten zijn in STO nieuwe verbindersrollen (‘oliemannetjes’) ontstaan. Een grote winst van STO is dat er meer samenwerking tussen vmbo-scholen onderling is gekomen</w:t>
      </w:r>
      <w:r>
        <w:rPr>
          <w:rStyle w:val="normaltextrun"/>
          <w:rFonts w:ascii="Trebuchet MS" w:hAnsi="Trebuchet MS" w:eastAsiaTheme="majorEastAsia"/>
          <w:color w:val="D13438"/>
          <w:sz w:val="18"/>
          <w:szCs w:val="18"/>
        </w:rPr>
        <w:t>.</w:t>
      </w:r>
      <w:r>
        <w:rPr>
          <w:rStyle w:val="normaltextrun"/>
          <w:rFonts w:ascii="Trebuchet MS" w:hAnsi="Trebuchet MS" w:eastAsiaTheme="majorEastAsia"/>
          <w:sz w:val="18"/>
          <w:szCs w:val="18"/>
        </w:rPr>
        <w:t> </w:t>
      </w:r>
      <w:r>
        <w:rPr>
          <w:rStyle w:val="eop"/>
          <w:rFonts w:ascii="Trebuchet MS" w:hAnsi="Trebuchet MS" w:eastAsiaTheme="majorEastAsia"/>
          <w:sz w:val="18"/>
          <w:szCs w:val="18"/>
        </w:rPr>
        <w:t> </w:t>
      </w:r>
    </w:p>
    <w:p w:rsidR="005D1BDB" w:rsidP="005D1BDB" w:rsidRDefault="005D1BDB" w14:paraId="00A9E68F" w14:textId="77777777">
      <w:pPr>
        <w:pStyle w:val="paragraph"/>
        <w:spacing w:before="0" w:beforeAutospacing="0" w:after="0" w:afterAutospacing="0"/>
        <w:textAlignment w:val="baseline"/>
      </w:pPr>
      <w:r>
        <w:rPr>
          <w:rStyle w:val="eop"/>
          <w:rFonts w:ascii="Trebuchet MS" w:hAnsi="Trebuchet MS" w:eastAsiaTheme="majorEastAsia"/>
          <w:sz w:val="18"/>
          <w:szCs w:val="18"/>
        </w:rPr>
        <w:t> </w:t>
      </w:r>
    </w:p>
    <w:p w:rsidR="005D1BDB" w:rsidP="005D1BDB" w:rsidRDefault="005D1BDB" w14:paraId="10FEBC2A" w14:textId="77777777">
      <w:pPr>
        <w:pStyle w:val="paragraph"/>
        <w:spacing w:before="0" w:beforeAutospacing="0" w:after="0" w:afterAutospacing="0"/>
        <w:textAlignment w:val="baseline"/>
      </w:pPr>
      <w:r>
        <w:rPr>
          <w:rStyle w:val="normaltextrun"/>
          <w:rFonts w:ascii="Trebuchet MS" w:hAnsi="Trebuchet MS" w:eastAsiaTheme="majorEastAsia"/>
          <w:i/>
          <w:iCs/>
          <w:sz w:val="18"/>
          <w:szCs w:val="18"/>
        </w:rPr>
        <w:t>Leerlingreis</w:t>
      </w:r>
      <w:r>
        <w:rPr>
          <w:rStyle w:val="eop"/>
          <w:rFonts w:ascii="Trebuchet MS" w:hAnsi="Trebuchet MS" w:eastAsiaTheme="majorEastAsia"/>
          <w:sz w:val="18"/>
          <w:szCs w:val="18"/>
        </w:rPr>
        <w:t> </w:t>
      </w:r>
    </w:p>
    <w:p w:rsidR="005D1BDB" w:rsidP="005D1BDB" w:rsidRDefault="005D1BDB" w14:paraId="1785644A" w14:textId="77777777">
      <w:pPr>
        <w:pStyle w:val="paragraph"/>
        <w:spacing w:before="0" w:beforeAutospacing="0" w:after="0" w:afterAutospacing="0"/>
        <w:textAlignment w:val="baseline"/>
      </w:pPr>
      <w:r>
        <w:rPr>
          <w:rStyle w:val="normaltextrun"/>
          <w:rFonts w:ascii="Trebuchet MS" w:hAnsi="Trebuchet MS" w:eastAsiaTheme="majorEastAsia"/>
          <w:sz w:val="18"/>
          <w:szCs w:val="18"/>
        </w:rPr>
        <w:t>In regio’s is het besef gegroeid dat STO start in het po: daar moet het zaadje geplant worden opdat leerlingen zo vroeg mogelijk breed kennismaken met techniek en hun belangstelling wordt aangewakkerd, zodat zij een beter beeld krijgen van de mogelijkheden van techniek en dat meenemen in hun keuzeoverwegingen. Techniek/W&amp;T in het po is vaak afhankelijk van de persoonlijke inzet van de leerkracht en sneeuwt vaak onder in de overladenheid van het programma. Het vmbo neemt daarom in alle onderzochte regio’s het voortouw om techniekaanbod voor het po te faciliteren, hetzij in het po zelf, hetzij met technieklokalen/technieklabs in het vmbo of met een centraal technieklab. Daarmee worden, mede door betrokkenheid van besturen</w:t>
      </w:r>
      <w:r>
        <w:rPr>
          <w:rStyle w:val="normaltextrun"/>
          <w:rFonts w:ascii="Trebuchet MS" w:hAnsi="Trebuchet MS" w:eastAsiaTheme="majorEastAsia"/>
          <w:color w:val="D13438"/>
          <w:sz w:val="18"/>
          <w:szCs w:val="18"/>
        </w:rPr>
        <w:t xml:space="preserve"> </w:t>
      </w:r>
      <w:r w:rsidRPr="003662E7">
        <w:rPr>
          <w:rStyle w:val="normaltextrun"/>
          <w:rFonts w:ascii="Trebuchet MS" w:hAnsi="Trebuchet MS" w:eastAsiaTheme="majorEastAsia"/>
          <w:sz w:val="18"/>
          <w:szCs w:val="18"/>
        </w:rPr>
        <w:t>in het po</w:t>
      </w:r>
      <w:r>
        <w:rPr>
          <w:rStyle w:val="normaltextrun"/>
          <w:rFonts w:ascii="Trebuchet MS" w:hAnsi="Trebuchet MS" w:eastAsiaTheme="majorEastAsia"/>
          <w:sz w:val="18"/>
          <w:szCs w:val="18"/>
        </w:rPr>
        <w:t>, steeds meer leerlingen in het po bereikt. Op het gebied van professionalisering van po-leerkrachten zodat techniek en technologie een meer structurele plek in het (jaar)programma kunnen krijgen, is ondanks alle inspanningen nog winst te boeken. In de onderbouw van het vmbo is techniekonderwijs, mede door de inrichting van techlabs, gemoderniseerd en aantrekkelijker gemaakt. De oriëntatie op techniek in de bovenbouw is verbeterd. </w:t>
      </w:r>
      <w:r>
        <w:rPr>
          <w:rStyle w:val="eop"/>
          <w:rFonts w:ascii="Trebuchet MS" w:hAnsi="Trebuchet MS" w:eastAsiaTheme="majorEastAsia"/>
          <w:sz w:val="18"/>
          <w:szCs w:val="18"/>
        </w:rPr>
        <w:t> </w:t>
      </w:r>
    </w:p>
    <w:p w:rsidR="005D1BDB" w:rsidP="005D1BDB" w:rsidRDefault="005D1BDB" w14:paraId="73651F5E" w14:textId="77777777">
      <w:pPr>
        <w:pStyle w:val="paragraph"/>
        <w:spacing w:before="0" w:beforeAutospacing="0" w:after="0" w:afterAutospacing="0"/>
        <w:textAlignment w:val="baseline"/>
      </w:pPr>
      <w:r>
        <w:rPr>
          <w:rStyle w:val="eop"/>
          <w:rFonts w:ascii="Trebuchet MS" w:hAnsi="Trebuchet MS" w:eastAsiaTheme="majorEastAsia"/>
          <w:sz w:val="18"/>
          <w:szCs w:val="18"/>
        </w:rPr>
        <w:t> </w:t>
      </w:r>
    </w:p>
    <w:p w:rsidR="005D1BDB" w:rsidP="005D1BDB" w:rsidRDefault="005D1BDB" w14:paraId="09714F5A" w14:textId="77777777">
      <w:pPr>
        <w:pStyle w:val="paragraph"/>
        <w:spacing w:before="0" w:beforeAutospacing="0" w:after="0" w:afterAutospacing="0"/>
        <w:textAlignment w:val="baseline"/>
      </w:pPr>
      <w:r>
        <w:rPr>
          <w:rStyle w:val="normaltextrun"/>
          <w:rFonts w:ascii="Trebuchet MS" w:hAnsi="Trebuchet MS" w:eastAsiaTheme="majorEastAsia"/>
          <w:sz w:val="18"/>
          <w:szCs w:val="18"/>
        </w:rPr>
        <w:t>De lesobservaties in hoofdstuk 3 laten zien dat het buitenschoolse STO-aanbod leerlingen op een toegankelijke, praktijkgerichte manier laat kennismaken met technische en technologische toepassingen en op die manier de interesse in techniek aanwakkert. Leerlingen zijn enthousiast, mede door de mogelijkheid om concrete producten te maken en de koppeling met realistische beroepssituaties.</w:t>
      </w:r>
      <w:r>
        <w:rPr>
          <w:rStyle w:val="eop"/>
          <w:rFonts w:ascii="Trebuchet MS" w:hAnsi="Trebuchet MS" w:eastAsiaTheme="majorEastAsia"/>
          <w:color w:val="881798"/>
          <w:sz w:val="18"/>
          <w:szCs w:val="18"/>
        </w:rPr>
        <w:t> </w:t>
      </w:r>
    </w:p>
    <w:p w:rsidR="005D1BDB" w:rsidP="005D1BDB" w:rsidRDefault="005D1BDB" w14:paraId="5AFDE4AB" w14:textId="77777777">
      <w:pPr>
        <w:pStyle w:val="paragraph"/>
        <w:spacing w:before="0" w:beforeAutospacing="0" w:after="0" w:afterAutospacing="0"/>
        <w:textAlignment w:val="baseline"/>
      </w:pPr>
      <w:r>
        <w:rPr>
          <w:rStyle w:val="eop"/>
          <w:rFonts w:ascii="Trebuchet MS" w:hAnsi="Trebuchet MS" w:eastAsiaTheme="majorEastAsia"/>
          <w:sz w:val="18"/>
          <w:szCs w:val="18"/>
        </w:rPr>
        <w:lastRenderedPageBreak/>
        <w:t> </w:t>
      </w:r>
    </w:p>
    <w:p w:rsidR="005D1BDB" w:rsidP="005D1BDB" w:rsidRDefault="005D1BDB" w14:paraId="593A5E12" w14:textId="77777777">
      <w:pPr>
        <w:pStyle w:val="paragraph"/>
        <w:spacing w:before="0" w:beforeAutospacing="0" w:after="0" w:afterAutospacing="0"/>
        <w:textAlignment w:val="baseline"/>
      </w:pPr>
      <w:r>
        <w:rPr>
          <w:rStyle w:val="normaltextrun"/>
          <w:rFonts w:ascii="Trebuchet MS" w:hAnsi="Trebuchet MS" w:eastAsiaTheme="majorEastAsia"/>
          <w:sz w:val="18"/>
          <w:szCs w:val="18"/>
        </w:rPr>
        <w:t>In de bovenbouw vmbo lag vanuit STO het accent op versterking van de profielen met investeringen in lokalen, faciliteiten, lesgevenden (instructeurs), contacten met bedrijven en regionale events. Bedrijven hebben het vmbo ontdekt en zijn op vele manieren betrokken bij het onderwijs. Vernieuwing in de vmbo-bovenbouw zit vooral in de keuzevakken, en (mede dankzij de keuzevakken) in de uitbreiding van het praktijkgericht en buitenschools leren, en van buitenschoolse leeromgevingen (‘de regio als klaslokaal’). Daardoor gaan onderwijs en LOB sterker hand in hand. De samenwerking met het mbo loopt in de ene regio (van oudsher) goed, in andere regio’s is het nog een zoektocht, die ook in de komende fase aandacht krijgt.  </w:t>
      </w:r>
      <w:r>
        <w:rPr>
          <w:rStyle w:val="eop"/>
          <w:rFonts w:ascii="Trebuchet MS" w:hAnsi="Trebuchet MS" w:eastAsiaTheme="majorEastAsia"/>
          <w:sz w:val="18"/>
          <w:szCs w:val="18"/>
        </w:rPr>
        <w:t> </w:t>
      </w:r>
    </w:p>
    <w:p w:rsidR="005D1BDB" w:rsidP="005D1BDB" w:rsidRDefault="005D1BDB" w14:paraId="2F37AC3C" w14:textId="77777777">
      <w:pPr>
        <w:pStyle w:val="paragraph"/>
        <w:spacing w:before="0" w:beforeAutospacing="0" w:after="0" w:afterAutospacing="0"/>
        <w:textAlignment w:val="baseline"/>
      </w:pPr>
      <w:r>
        <w:rPr>
          <w:rStyle w:val="eop"/>
          <w:rFonts w:ascii="Trebuchet MS" w:hAnsi="Trebuchet MS" w:eastAsiaTheme="majorEastAsia"/>
          <w:sz w:val="18"/>
          <w:szCs w:val="18"/>
        </w:rPr>
        <w:t> </w:t>
      </w:r>
    </w:p>
    <w:p w:rsidR="005D1BDB" w:rsidP="005D1BDB" w:rsidRDefault="005D1BDB" w14:paraId="05D74F85" w14:textId="77777777">
      <w:pPr>
        <w:pStyle w:val="Kop3"/>
        <w:rPr>
          <w:bCs/>
        </w:rPr>
      </w:pPr>
      <w:bookmarkStart w:name="_Toc199838367" w:id="85"/>
      <w:bookmarkStart w:name="_Toc203573607" w:id="86"/>
      <w:r>
        <w:rPr>
          <w:rStyle w:val="normaltextrun"/>
          <w:b w:val="0"/>
          <w:szCs w:val="18"/>
        </w:rPr>
        <w:t>Overkoepelend beeld via de STO-programmaleiders</w:t>
      </w:r>
      <w:bookmarkEnd w:id="85"/>
      <w:bookmarkEnd w:id="86"/>
      <w:r>
        <w:rPr>
          <w:rStyle w:val="eop"/>
          <w:bCs/>
          <w:szCs w:val="18"/>
        </w:rPr>
        <w:t> </w:t>
      </w:r>
    </w:p>
    <w:p w:rsidR="005D1BDB" w:rsidP="005D1BDB" w:rsidRDefault="005D1BDB" w14:paraId="30124D00" w14:textId="54ED0FE6">
      <w:pPr>
        <w:pStyle w:val="paragraph"/>
        <w:spacing w:before="0" w:beforeAutospacing="0" w:after="0" w:afterAutospacing="0"/>
        <w:textAlignment w:val="baseline"/>
      </w:pPr>
      <w:r>
        <w:rPr>
          <w:rStyle w:val="normaltextrun"/>
          <w:rFonts w:ascii="Trebuchet MS" w:hAnsi="Trebuchet MS" w:eastAsiaTheme="majorEastAsia"/>
          <w:sz w:val="18"/>
          <w:szCs w:val="18"/>
        </w:rPr>
        <w:t>Naar opgave van de programmaleiders van STO-regio’s zijn in meer dan driekwart van de regio’s alle activiteiten - en in ruim een kwart méér dan dat - conform het plan uitgevoerd. Ongeveer één op de vijf regio’s heeft minder gedaan dan gepland</w:t>
      </w:r>
      <w:r w:rsidR="00284ACE">
        <w:rPr>
          <w:rStyle w:val="normaltextrun"/>
          <w:rFonts w:ascii="Trebuchet MS" w:hAnsi="Trebuchet MS" w:eastAsiaTheme="majorEastAsia"/>
          <w:sz w:val="18"/>
          <w:szCs w:val="18"/>
        </w:rPr>
        <w:t>, waarbij duidelijk is dat daar de coronamaatregelen in die periode een rol hebben gespeeld</w:t>
      </w:r>
      <w:r>
        <w:rPr>
          <w:rStyle w:val="normaltextrun"/>
          <w:rFonts w:ascii="Trebuchet MS" w:hAnsi="Trebuchet MS" w:eastAsiaTheme="majorEastAsia"/>
          <w:sz w:val="18"/>
          <w:szCs w:val="18"/>
        </w:rPr>
        <w:t xml:space="preserve">. Zo’n 90% van de programmaleiders is tevreden met de bereikte stand eind 2024. De hoofddoelen van STO (duurzaam, dekkend, kwalitatief hoogstaand) worden door de programmaleiders gewaardeerd met een cijfer tussen 7,2 en 7,5. De samenwerking tussen vmbo-scholen onderling, </w:t>
      </w:r>
      <w:r w:rsidRPr="003662E7">
        <w:rPr>
          <w:rStyle w:val="normaltextrun"/>
          <w:rFonts w:ascii="Trebuchet MS" w:hAnsi="Trebuchet MS" w:eastAsiaTheme="majorEastAsia"/>
          <w:sz w:val="18"/>
          <w:szCs w:val="18"/>
        </w:rPr>
        <w:t xml:space="preserve">met het bedrijfsleven </w:t>
      </w:r>
      <w:r>
        <w:rPr>
          <w:rStyle w:val="normaltextrun"/>
          <w:rFonts w:ascii="Trebuchet MS" w:hAnsi="Trebuchet MS" w:eastAsiaTheme="majorEastAsia"/>
          <w:sz w:val="18"/>
          <w:szCs w:val="18"/>
        </w:rPr>
        <w:t xml:space="preserve">en het samen een </w:t>
      </w:r>
      <w:r w:rsidRPr="003662E7">
        <w:rPr>
          <w:rStyle w:val="normaltextrun"/>
          <w:rFonts w:ascii="Trebuchet MS" w:hAnsi="Trebuchet MS" w:eastAsiaTheme="majorEastAsia"/>
          <w:sz w:val="18"/>
          <w:szCs w:val="18"/>
        </w:rPr>
        <w:t>activiteitenplan uitvoeren hebben</w:t>
      </w:r>
      <w:r>
        <w:rPr>
          <w:rStyle w:val="normaltextrun"/>
          <w:rFonts w:ascii="Trebuchet MS" w:hAnsi="Trebuchet MS" w:eastAsiaTheme="majorEastAsia"/>
          <w:sz w:val="18"/>
          <w:szCs w:val="18"/>
        </w:rPr>
        <w:t xml:space="preserve">, naast de belangrijke bijdrage van de STO-middelen </w:t>
      </w:r>
      <w:r w:rsidRPr="00823785">
        <w:rPr>
          <w:rStyle w:val="normaltextrun"/>
          <w:rFonts w:ascii="Trebuchet MS" w:hAnsi="Trebuchet MS" w:eastAsiaTheme="majorEastAsia"/>
          <w:sz w:val="18"/>
          <w:szCs w:val="18"/>
        </w:rPr>
        <w:t>zelf</w:t>
      </w:r>
      <w:r w:rsidRPr="00670AE6">
        <w:rPr>
          <w:rStyle w:val="normaltextrun"/>
          <w:rFonts w:ascii="Trebuchet MS" w:hAnsi="Trebuchet MS" w:eastAsiaTheme="majorEastAsia"/>
          <w:sz w:val="18"/>
          <w:szCs w:val="18"/>
        </w:rPr>
        <w:t>,</w:t>
      </w:r>
      <w:r w:rsidRPr="00823785">
        <w:rPr>
          <w:rStyle w:val="normaltextrun"/>
          <w:rFonts w:ascii="Trebuchet MS" w:hAnsi="Trebuchet MS" w:eastAsiaTheme="majorEastAsia"/>
          <w:sz w:val="18"/>
          <w:szCs w:val="18"/>
        </w:rPr>
        <w:t xml:space="preserve"> </w:t>
      </w:r>
      <w:r>
        <w:rPr>
          <w:rStyle w:val="normaltextrun"/>
          <w:rFonts w:ascii="Trebuchet MS" w:hAnsi="Trebuchet MS" w:eastAsiaTheme="majorEastAsia"/>
          <w:sz w:val="18"/>
          <w:szCs w:val="18"/>
        </w:rPr>
        <w:t>volgens programmaleiders het meest bijgedragen aan het succes in de regio. Het meest trots zijn de STO-programmaleiders op de samenwerking met (opleidings)bedrijven, tussen het technisch vmbo onderling en de samenwerking met het po. </w:t>
      </w:r>
      <w:r>
        <w:rPr>
          <w:rStyle w:val="eop"/>
          <w:rFonts w:ascii="Trebuchet MS" w:hAnsi="Trebuchet MS" w:eastAsiaTheme="majorEastAsia"/>
          <w:sz w:val="18"/>
          <w:szCs w:val="18"/>
        </w:rPr>
        <w:t> </w:t>
      </w:r>
    </w:p>
    <w:p w:rsidR="005D1BDB" w:rsidP="005D1BDB" w:rsidRDefault="005D1BDB" w14:paraId="4920CEDE" w14:textId="77777777">
      <w:pPr>
        <w:pStyle w:val="paragraph"/>
        <w:spacing w:before="0" w:beforeAutospacing="0" w:after="0" w:afterAutospacing="0"/>
        <w:ind w:firstLine="720"/>
        <w:textAlignment w:val="baseline"/>
      </w:pPr>
      <w:r>
        <w:rPr>
          <w:rStyle w:val="eop"/>
          <w:rFonts w:ascii="Trebuchet MS" w:hAnsi="Trebuchet MS" w:eastAsiaTheme="majorEastAsia"/>
          <w:sz w:val="18"/>
          <w:szCs w:val="18"/>
        </w:rPr>
        <w:t> </w:t>
      </w:r>
    </w:p>
    <w:p w:rsidR="005D1BDB" w:rsidP="005D1BDB" w:rsidRDefault="005D1BDB" w14:paraId="0AACFAA3" w14:textId="77777777">
      <w:pPr>
        <w:pStyle w:val="paragraph"/>
        <w:spacing w:before="0" w:beforeAutospacing="0" w:after="0" w:afterAutospacing="0"/>
        <w:textAlignment w:val="baseline"/>
      </w:pPr>
      <w:r>
        <w:rPr>
          <w:rStyle w:val="normaltextrun"/>
          <w:rFonts w:ascii="Trebuchet MS" w:hAnsi="Trebuchet MS" w:eastAsiaTheme="majorEastAsia"/>
          <w:sz w:val="18"/>
          <w:szCs w:val="18"/>
        </w:rPr>
        <w:t xml:space="preserve">STO-regio’s zetten vooral sterk in op up-to-date apparatuur en faciliteiten, instroombevordering van leerlingen in de technische profielen, innovatief en up-to-date technisch onderwijs, en het techniekaanbod bereikbaar maken of houden voor leerlingen in de regio, en ze zijn ook vaak </w:t>
      </w:r>
      <w:r w:rsidRPr="003662E7">
        <w:rPr>
          <w:rStyle w:val="normaltextrun"/>
          <w:rFonts w:ascii="Trebuchet MS" w:hAnsi="Trebuchet MS" w:eastAsiaTheme="majorEastAsia"/>
          <w:sz w:val="18"/>
          <w:szCs w:val="18"/>
        </w:rPr>
        <w:t xml:space="preserve">tevreden over de opbrengsten op die gebieden. Wat minder vaak tevreden (in een deel van de regio’s) zijn de programmaleiders </w:t>
      </w:r>
      <w:r>
        <w:rPr>
          <w:rStyle w:val="normaltextrun"/>
          <w:rFonts w:ascii="Trebuchet MS" w:hAnsi="Trebuchet MS" w:eastAsiaTheme="majorEastAsia"/>
          <w:sz w:val="18"/>
          <w:szCs w:val="18"/>
        </w:rPr>
        <w:t>over de gerealiseerde opbrengsten bij de werving van leerlingen en instroombevordering, de kwaliteit en scholing van docenten, een bredere inzet van techniek in de vmbo-onderbouw en in andere (niet-technische) profielen en bij het buitenschools leren. Op het gebied van samenwerking in de regio is er veel tot stand gekomen binnen STO; en vooral over de samenwerking met het basisonderwijs en die met bedrijven zijn programmaleiders vaak heel tevreden. Er zijn op de verschillende gebieden duidelijke opbrengsten gerealiseerd, zoals bij de (her)inrichting van het regionale techniekaanbod en de kwaliteit van het techniekonderwijs. Programmaleiders zijn per saldo tevreden over de impact van STO, in het bijzonder dat partijen elkaar weten te vinden in de regio, dat techniek een modernere uitstraling heeft gekregen, en dat er een samenhang in de regionale techniekinitiatieven ontstaat vanuit een breder beeld van techniek dat meer omvat dan alleen de traditionele harde techniek. </w:t>
      </w:r>
      <w:r>
        <w:rPr>
          <w:rStyle w:val="eop"/>
          <w:rFonts w:ascii="Trebuchet MS" w:hAnsi="Trebuchet MS" w:eastAsiaTheme="majorEastAsia"/>
          <w:sz w:val="18"/>
          <w:szCs w:val="18"/>
        </w:rPr>
        <w:t> </w:t>
      </w:r>
    </w:p>
    <w:p w:rsidR="005D1BDB" w:rsidP="005D1BDB" w:rsidRDefault="005D1BDB" w14:paraId="2917E67B" w14:textId="77777777">
      <w:pPr>
        <w:pStyle w:val="paragraph"/>
        <w:spacing w:before="0" w:beforeAutospacing="0" w:after="0" w:afterAutospacing="0"/>
        <w:ind w:firstLine="720"/>
        <w:textAlignment w:val="baseline"/>
      </w:pPr>
      <w:r>
        <w:rPr>
          <w:rStyle w:val="eop"/>
          <w:rFonts w:ascii="Trebuchet MS" w:hAnsi="Trebuchet MS" w:eastAsiaTheme="majorEastAsia"/>
          <w:sz w:val="18"/>
          <w:szCs w:val="18"/>
        </w:rPr>
        <w:t> </w:t>
      </w:r>
    </w:p>
    <w:p w:rsidR="005D1BDB" w:rsidP="005D1BDB" w:rsidRDefault="005D1BDB" w14:paraId="14F1B70E" w14:textId="77777777">
      <w:pPr>
        <w:pStyle w:val="paragraph"/>
        <w:spacing w:before="0" w:beforeAutospacing="0" w:after="0" w:afterAutospacing="0"/>
        <w:textAlignment w:val="baseline"/>
      </w:pPr>
      <w:r>
        <w:rPr>
          <w:rStyle w:val="normaltextrun"/>
          <w:rFonts w:ascii="Trebuchet MS" w:hAnsi="Trebuchet MS" w:eastAsiaTheme="majorEastAsia"/>
          <w:sz w:val="18"/>
          <w:szCs w:val="18"/>
        </w:rPr>
        <w:t xml:space="preserve">Ook voor de komende periode blijven </w:t>
      </w:r>
      <w:r w:rsidRPr="003662E7">
        <w:rPr>
          <w:rStyle w:val="normaltextrun"/>
          <w:rFonts w:ascii="Trebuchet MS" w:hAnsi="Trebuchet MS" w:eastAsiaTheme="majorEastAsia"/>
          <w:sz w:val="18"/>
          <w:szCs w:val="18"/>
        </w:rPr>
        <w:t xml:space="preserve">er volgens programmaleiders echter </w:t>
      </w:r>
      <w:r>
        <w:rPr>
          <w:rStyle w:val="normaltextrun"/>
          <w:rFonts w:ascii="Trebuchet MS" w:hAnsi="Trebuchet MS" w:eastAsiaTheme="majorEastAsia"/>
          <w:sz w:val="18"/>
          <w:szCs w:val="18"/>
        </w:rPr>
        <w:t>uitdagingen over de hele linie, vooral als het gaat om voldoende techniekdocenten, de aansluiting met het mbo en het aantal techniekleerlingen. Minder positief zijn programmaleiders ook nog over de doorwerking van sommige afspraken in scholen zoals de gelijkschakeling van roosters (dat samenwerking faciliteert) en over het feitelijk benutten van faciliteiten. </w:t>
      </w:r>
      <w:r>
        <w:rPr>
          <w:rStyle w:val="eop"/>
          <w:rFonts w:ascii="Trebuchet MS" w:hAnsi="Trebuchet MS" w:eastAsiaTheme="majorEastAsia"/>
          <w:sz w:val="18"/>
          <w:szCs w:val="18"/>
        </w:rPr>
        <w:t> </w:t>
      </w:r>
    </w:p>
    <w:p w:rsidR="005D1BDB" w:rsidP="005D1BDB" w:rsidRDefault="005D1BDB" w14:paraId="18085AAC" w14:textId="77777777">
      <w:pPr>
        <w:pStyle w:val="paragraph"/>
        <w:spacing w:before="0" w:beforeAutospacing="0" w:after="0" w:afterAutospacing="0"/>
        <w:textAlignment w:val="baseline"/>
      </w:pPr>
      <w:r>
        <w:rPr>
          <w:rStyle w:val="normaltextrun"/>
          <w:rFonts w:ascii="Trebuchet MS" w:hAnsi="Trebuchet MS" w:eastAsiaTheme="majorEastAsia"/>
          <w:sz w:val="18"/>
          <w:szCs w:val="18"/>
        </w:rPr>
        <w:t xml:space="preserve">Programmaleiders willen daarom ook vaak door met STO als programma met subsidies. Ruim de helft van de programmaleiders verwacht dat het wegvallen van de subsidie en bekostiging van STO via de lumpsum invloed zal hebben op de betrokkenheid en samenwerking met partners en dat een groot deel van de gerealiseerde activiteiten zal verdwijnen. Een kwart (27%) is </w:t>
      </w:r>
      <w:r w:rsidRPr="003662E7">
        <w:rPr>
          <w:rStyle w:val="normaltextrun"/>
          <w:rFonts w:ascii="Trebuchet MS" w:hAnsi="Trebuchet MS" w:eastAsiaTheme="majorEastAsia"/>
          <w:sz w:val="18"/>
          <w:szCs w:val="18"/>
        </w:rPr>
        <w:t xml:space="preserve">het ‘eens’ met </w:t>
      </w:r>
      <w:r>
        <w:rPr>
          <w:rStyle w:val="normaltextrun"/>
          <w:rFonts w:ascii="Trebuchet MS" w:hAnsi="Trebuchet MS" w:eastAsiaTheme="majorEastAsia"/>
          <w:sz w:val="18"/>
          <w:szCs w:val="18"/>
        </w:rPr>
        <w:t>de stelling dat via de lumpsum ook in de toekomst het aanbod kan blijven bestaan (47% meent van niet, 19% enigszins). Twee</w:t>
      </w:r>
      <w:r>
        <w:rPr>
          <w:rStyle w:val="normaltextrun"/>
          <w:rFonts w:ascii="Trebuchet MS" w:hAnsi="Trebuchet MS" w:eastAsiaTheme="majorEastAsia"/>
          <w:color w:val="881798"/>
          <w:sz w:val="18"/>
          <w:szCs w:val="18"/>
        </w:rPr>
        <w:t xml:space="preserve"> </w:t>
      </w:r>
      <w:r>
        <w:rPr>
          <w:rStyle w:val="normaltextrun"/>
          <w:rFonts w:ascii="Trebuchet MS" w:hAnsi="Trebuchet MS" w:eastAsiaTheme="majorEastAsia"/>
          <w:sz w:val="18"/>
          <w:szCs w:val="18"/>
        </w:rPr>
        <w:t xml:space="preserve">derde deel verwacht dat toevoeging van STO-middelen aan de lumpsum de aandacht voor techniek zal </w:t>
      </w:r>
      <w:r w:rsidRPr="003662E7">
        <w:rPr>
          <w:rStyle w:val="normaltextrun"/>
          <w:rFonts w:ascii="Trebuchet MS" w:hAnsi="Trebuchet MS" w:eastAsiaTheme="majorEastAsia"/>
          <w:sz w:val="18"/>
          <w:szCs w:val="18"/>
        </w:rPr>
        <w:t>afzwakken; 12% meent van niet. </w:t>
      </w:r>
      <w:r w:rsidRPr="003662E7">
        <w:rPr>
          <w:rStyle w:val="eop"/>
          <w:rFonts w:ascii="Trebuchet MS" w:hAnsi="Trebuchet MS" w:eastAsiaTheme="majorEastAsia"/>
          <w:sz w:val="18"/>
          <w:szCs w:val="18"/>
        </w:rPr>
        <w:t> </w:t>
      </w:r>
    </w:p>
    <w:p w:rsidR="005D1BDB" w:rsidP="005D1BDB" w:rsidRDefault="005D1BDB" w14:paraId="138B3002" w14:textId="77777777">
      <w:pPr>
        <w:pStyle w:val="paragraph"/>
        <w:spacing w:before="0" w:beforeAutospacing="0" w:after="0" w:afterAutospacing="0"/>
        <w:textAlignment w:val="baseline"/>
      </w:pPr>
      <w:r>
        <w:rPr>
          <w:rStyle w:val="eop"/>
          <w:rFonts w:ascii="Trebuchet MS" w:hAnsi="Trebuchet MS" w:eastAsiaTheme="majorEastAsia"/>
          <w:sz w:val="18"/>
          <w:szCs w:val="18"/>
        </w:rPr>
        <w:t> </w:t>
      </w:r>
    </w:p>
    <w:p w:rsidR="005D1BDB" w:rsidP="005D1BDB" w:rsidRDefault="005D1BDB" w14:paraId="5DBD870E" w14:textId="77777777">
      <w:pPr>
        <w:pStyle w:val="Kop3"/>
        <w:rPr>
          <w:bCs/>
        </w:rPr>
      </w:pPr>
      <w:bookmarkStart w:name="_Toc199838368" w:id="87"/>
      <w:bookmarkStart w:name="_Toc203573608" w:id="88"/>
      <w:r>
        <w:rPr>
          <w:rStyle w:val="normaltextrun"/>
          <w:b w:val="0"/>
          <w:szCs w:val="18"/>
        </w:rPr>
        <w:t>Sterk Techniekonderwijs vanuit het perspectief van lesgevenden in de bovenbouw vmbo</w:t>
      </w:r>
      <w:bookmarkEnd w:id="87"/>
      <w:bookmarkEnd w:id="88"/>
      <w:r>
        <w:rPr>
          <w:rStyle w:val="eop"/>
          <w:bCs/>
          <w:szCs w:val="18"/>
        </w:rPr>
        <w:t> </w:t>
      </w:r>
    </w:p>
    <w:p w:rsidR="005D1BDB" w:rsidP="005D1BDB" w:rsidRDefault="005D1BDB" w14:paraId="4AF3051E" w14:textId="77777777">
      <w:pPr>
        <w:pStyle w:val="paragraph"/>
        <w:spacing w:before="0" w:beforeAutospacing="0" w:after="0" w:afterAutospacing="0"/>
        <w:textAlignment w:val="baseline"/>
      </w:pPr>
      <w:r>
        <w:rPr>
          <w:rStyle w:val="normaltextrun"/>
          <w:rFonts w:ascii="Trebuchet MS" w:hAnsi="Trebuchet MS" w:eastAsiaTheme="majorEastAsia"/>
          <w:sz w:val="18"/>
          <w:szCs w:val="18"/>
        </w:rPr>
        <w:t xml:space="preserve">Bijna alle docenten met een technisch vak zijn (soms enigszins, vaak goed) bekend met STO. Ook de bekendheid van STO bij andere docenten is goed te noemen; slechts een kwart van de docenten die geen technisch vak geven is onbekend met STO. De meeste </w:t>
      </w:r>
      <w:r w:rsidRPr="003662E7">
        <w:rPr>
          <w:rStyle w:val="normaltextrun"/>
          <w:rFonts w:ascii="Trebuchet MS" w:hAnsi="Trebuchet MS" w:eastAsiaTheme="majorEastAsia"/>
          <w:sz w:val="18"/>
          <w:szCs w:val="18"/>
        </w:rPr>
        <w:t xml:space="preserve">(bijna </w:t>
      </w:r>
      <w:r>
        <w:rPr>
          <w:rStyle w:val="normaltextrun"/>
          <w:rFonts w:ascii="Trebuchet MS" w:hAnsi="Trebuchet MS" w:eastAsiaTheme="majorEastAsia"/>
          <w:sz w:val="18"/>
          <w:szCs w:val="18"/>
        </w:rPr>
        <w:t>9 van de 10) techniekdocenten zijn actief betrokken bij STO, als gebruiker/deelnemer, ontwikkelaar of uitvoerder of organisator. Ook van de niet-techniek</w:t>
      </w:r>
      <w:r>
        <w:rPr>
          <w:rStyle w:val="normaltextrun"/>
          <w:rFonts w:ascii="Trebuchet MS" w:hAnsi="Trebuchet MS" w:eastAsiaTheme="majorEastAsia"/>
          <w:color w:val="D13438"/>
          <w:sz w:val="18"/>
          <w:szCs w:val="18"/>
        </w:rPr>
        <w:t xml:space="preserve"> </w:t>
      </w:r>
      <w:r>
        <w:rPr>
          <w:rStyle w:val="normaltextrun"/>
          <w:rFonts w:ascii="Trebuchet MS" w:hAnsi="Trebuchet MS" w:eastAsiaTheme="majorEastAsia"/>
          <w:sz w:val="18"/>
          <w:szCs w:val="18"/>
        </w:rPr>
        <w:t>docenten is meer dan de helft actief betrokken bij STO. Techniekdocenten, maar óók niet-techniekdocenten, zijn bij een reeks aan STO-activiteiten binnen en buiten de school betrokken. Vergeleken met niet-techniekdocenten zijn techniekdocenten vaker betrokken bij programmatische ontwikkeling van het onderwijs en (her)inrichting van technieklokalen; bij bedrijfsbezoeken, projecten en evenementen; bijscholing op techniekgebied. Bijna twee</w:t>
      </w:r>
      <w:r>
        <w:rPr>
          <w:rStyle w:val="normaltextrun"/>
          <w:rFonts w:ascii="Trebuchet MS" w:hAnsi="Trebuchet MS" w:eastAsiaTheme="majorEastAsia"/>
          <w:color w:val="881798"/>
          <w:sz w:val="18"/>
          <w:szCs w:val="18"/>
        </w:rPr>
        <w:t xml:space="preserve"> </w:t>
      </w:r>
      <w:r>
        <w:rPr>
          <w:rStyle w:val="normaltextrun"/>
          <w:rFonts w:ascii="Trebuchet MS" w:hAnsi="Trebuchet MS" w:eastAsiaTheme="majorEastAsia"/>
          <w:sz w:val="18"/>
          <w:szCs w:val="18"/>
        </w:rPr>
        <w:t>derde deel van de techniekdocenten zit ook</w:t>
      </w:r>
      <w:r>
        <w:rPr>
          <w:rStyle w:val="normaltextrun"/>
          <w:rFonts w:ascii="Trebuchet MS" w:hAnsi="Trebuchet MS" w:eastAsiaTheme="majorEastAsia"/>
          <w:color w:val="D13438"/>
          <w:sz w:val="18"/>
          <w:szCs w:val="18"/>
        </w:rPr>
        <w:t xml:space="preserve"> </w:t>
      </w:r>
      <w:r>
        <w:rPr>
          <w:rStyle w:val="normaltextrun"/>
          <w:rFonts w:ascii="Trebuchet MS" w:hAnsi="Trebuchet MS" w:eastAsiaTheme="majorEastAsia"/>
          <w:sz w:val="18"/>
          <w:szCs w:val="18"/>
        </w:rPr>
        <w:t>in een STO-werkgroep en werkt meer samen met techniek-collega’s van de eigen en andere scholen en met bedrijven. </w:t>
      </w:r>
      <w:r>
        <w:rPr>
          <w:rStyle w:val="eop"/>
          <w:rFonts w:ascii="Trebuchet MS" w:hAnsi="Trebuchet MS" w:eastAsiaTheme="majorEastAsia"/>
          <w:sz w:val="18"/>
          <w:szCs w:val="18"/>
        </w:rPr>
        <w:t> </w:t>
      </w:r>
    </w:p>
    <w:p w:rsidR="005D1BDB" w:rsidP="005D1BDB" w:rsidRDefault="005D1BDB" w14:paraId="6818325A" w14:textId="77777777">
      <w:pPr>
        <w:pStyle w:val="paragraph"/>
        <w:spacing w:before="0" w:beforeAutospacing="0" w:after="0" w:afterAutospacing="0"/>
        <w:textAlignment w:val="baseline"/>
      </w:pPr>
      <w:r>
        <w:rPr>
          <w:rStyle w:val="eop"/>
          <w:rFonts w:ascii="Trebuchet MS" w:hAnsi="Trebuchet MS" w:eastAsiaTheme="majorEastAsia"/>
          <w:sz w:val="18"/>
          <w:szCs w:val="18"/>
        </w:rPr>
        <w:t> </w:t>
      </w:r>
    </w:p>
    <w:p w:rsidR="005D1BDB" w:rsidP="005D1BDB" w:rsidRDefault="005D1BDB" w14:paraId="03509A77" w14:textId="5ACFB463">
      <w:pPr>
        <w:pStyle w:val="paragraph"/>
        <w:spacing w:before="0" w:beforeAutospacing="0" w:after="0" w:afterAutospacing="0"/>
        <w:textAlignment w:val="baseline"/>
      </w:pPr>
      <w:r>
        <w:rPr>
          <w:rStyle w:val="normaltextrun"/>
          <w:rFonts w:ascii="Trebuchet MS" w:hAnsi="Trebuchet MS" w:eastAsiaTheme="majorEastAsia"/>
          <w:sz w:val="18"/>
          <w:szCs w:val="18"/>
        </w:rPr>
        <w:t xml:space="preserve">Per saldo heeft STO voor techniekdocenten veel veranderd op diverse terreinen, en logischerwijze ook beduidend meer dan voor niet-techniekdocenten, </w:t>
      </w:r>
      <w:r w:rsidRPr="003662E7">
        <w:rPr>
          <w:rStyle w:val="normaltextrun"/>
          <w:rFonts w:ascii="Trebuchet MS" w:hAnsi="Trebuchet MS" w:eastAsiaTheme="majorEastAsia"/>
          <w:sz w:val="18"/>
          <w:szCs w:val="18"/>
        </w:rPr>
        <w:t xml:space="preserve">hoewel de laatsten ook profiteren van (in het bijzonder) nieuwe lokalen en nieuwe inrichting door STO en van crossovers met techniek. </w:t>
      </w:r>
      <w:r>
        <w:rPr>
          <w:rStyle w:val="normaltextrun"/>
          <w:rFonts w:ascii="Trebuchet MS" w:hAnsi="Trebuchet MS" w:eastAsiaTheme="majorEastAsia"/>
          <w:sz w:val="18"/>
          <w:szCs w:val="18"/>
        </w:rPr>
        <w:t xml:space="preserve">Veranderingen die docenten ervaren zijn een betere </w:t>
      </w:r>
      <w:r>
        <w:rPr>
          <w:rStyle w:val="normaltextrun"/>
          <w:rFonts w:ascii="Trebuchet MS" w:hAnsi="Trebuchet MS" w:eastAsiaTheme="majorEastAsia"/>
          <w:sz w:val="18"/>
          <w:szCs w:val="18"/>
        </w:rPr>
        <w:lastRenderedPageBreak/>
        <w:t>beschikbaarheid van nieuwe apparatuur, een uitgebreider aanbod technische keuzevakken, en meer en beter contact met docenten van andere scholen, met mbo en met opleidings-en technische bedrijven. De helft van de docenten geeft aan dat leerlingen vaker buitenschools in de praktijk leren. Daarnaast is voor veel techniekdocenten hun werkomgeving veranderd door een nieuwe samenstelling van het team en de komst van nieuwe collega’s uit het bedrijfsleven. Een derde werkt ook meer samen met de onderbouwcollega’s. Als voor henzelf belangrijkste veranderingen noemen docenten (middelen voor) een rijkere en meer moderne/actuele leeromgeving en een verrijkt onderwijsprogramma. </w:t>
      </w:r>
      <w:r>
        <w:rPr>
          <w:rStyle w:val="eop"/>
          <w:rFonts w:ascii="Trebuchet MS" w:hAnsi="Trebuchet MS" w:eastAsiaTheme="majorEastAsia"/>
          <w:sz w:val="18"/>
          <w:szCs w:val="18"/>
        </w:rPr>
        <w:t> </w:t>
      </w:r>
    </w:p>
    <w:p w:rsidR="005D1BDB" w:rsidP="005D1BDB" w:rsidRDefault="005D1BDB" w14:paraId="46426CB2" w14:textId="77777777">
      <w:pPr>
        <w:pStyle w:val="paragraph"/>
        <w:spacing w:before="0" w:beforeAutospacing="0" w:after="0" w:afterAutospacing="0"/>
        <w:textAlignment w:val="baseline"/>
      </w:pPr>
      <w:r>
        <w:rPr>
          <w:rStyle w:val="eop"/>
          <w:rFonts w:ascii="Trebuchet MS" w:hAnsi="Trebuchet MS" w:eastAsiaTheme="majorEastAsia"/>
          <w:sz w:val="18"/>
          <w:szCs w:val="18"/>
        </w:rPr>
        <w:t> </w:t>
      </w:r>
    </w:p>
    <w:p w:rsidR="005D1BDB" w:rsidP="005D1BDB" w:rsidRDefault="005D1BDB" w14:paraId="7D50BB9C" w14:textId="77777777">
      <w:pPr>
        <w:pStyle w:val="paragraph"/>
        <w:spacing w:before="0" w:beforeAutospacing="0" w:after="0" w:afterAutospacing="0"/>
        <w:textAlignment w:val="baseline"/>
      </w:pPr>
      <w:r>
        <w:rPr>
          <w:rStyle w:val="normaltextrun"/>
          <w:rFonts w:ascii="Trebuchet MS" w:hAnsi="Trebuchet MS" w:eastAsiaTheme="majorEastAsia"/>
          <w:i/>
          <w:iCs/>
          <w:sz w:val="18"/>
          <w:szCs w:val="18"/>
        </w:rPr>
        <w:t>Impact van STO op docentrol, leerlingen en onderwijs/lob</w:t>
      </w:r>
      <w:r>
        <w:rPr>
          <w:rStyle w:val="eop"/>
          <w:rFonts w:ascii="Trebuchet MS" w:hAnsi="Trebuchet MS" w:eastAsiaTheme="majorEastAsia"/>
          <w:sz w:val="18"/>
          <w:szCs w:val="18"/>
        </w:rPr>
        <w:t> </w:t>
      </w:r>
    </w:p>
    <w:p w:rsidR="005D1BDB" w:rsidP="005D1BDB" w:rsidRDefault="005D1BDB" w14:paraId="1D3A4370" w14:textId="77777777">
      <w:pPr>
        <w:pStyle w:val="paragraph"/>
        <w:spacing w:before="0" w:beforeAutospacing="0" w:after="0" w:afterAutospacing="0"/>
        <w:textAlignment w:val="baseline"/>
      </w:pPr>
      <w:r>
        <w:rPr>
          <w:rStyle w:val="normaltextrun"/>
          <w:rFonts w:ascii="Trebuchet MS" w:hAnsi="Trebuchet MS" w:eastAsiaTheme="majorEastAsia"/>
          <w:sz w:val="18"/>
          <w:szCs w:val="18"/>
        </w:rPr>
        <w:t xml:space="preserve">Bij de meeste </w:t>
      </w:r>
      <w:r w:rsidRPr="003662E7">
        <w:rPr>
          <w:rStyle w:val="normaltextrun"/>
          <w:rFonts w:ascii="Trebuchet MS" w:hAnsi="Trebuchet MS" w:eastAsiaTheme="majorEastAsia"/>
          <w:sz w:val="18"/>
          <w:szCs w:val="18"/>
        </w:rPr>
        <w:t xml:space="preserve">lesgevenden heeft STO een grote impact </w:t>
      </w:r>
      <w:r>
        <w:rPr>
          <w:rStyle w:val="normaltextrun"/>
          <w:rFonts w:ascii="Trebuchet MS" w:hAnsi="Trebuchet MS" w:eastAsiaTheme="majorEastAsia"/>
          <w:sz w:val="18"/>
          <w:szCs w:val="18"/>
        </w:rPr>
        <w:t>op hun rol als docent: zes op de 10 docenten zijn door STO meer trots op hun vak; bij meer dan de helft is de docentrol uitgebreid en meer coachend van aard geworden en hebben docenten meer zicht en kennis van actuele ontwikkelingen in hun vakgebied. Daarnaast zegt ruim vier op de 10 docenten meer gemotiveerd en beter toegerust te zijn voor het geven van eigentijds techniekonderwijs. Volgens docenten dragen vooral de beschikbaarheid en toegang tot moderne apparatuur, gereedschap, materialen en lokalen en contacten met (opleidings)bedrijven en met andere vo-scholen bij aan hun toegenomen motivatie. Vier op de 10 docenten zeggen meer met LOB bezig te zijn dan voorheen, dat ze anders les zijn gaan geven maar ook dat ze meer werkdruk ervaren. </w:t>
      </w:r>
      <w:r>
        <w:rPr>
          <w:rStyle w:val="eop"/>
          <w:rFonts w:ascii="Trebuchet MS" w:hAnsi="Trebuchet MS" w:eastAsiaTheme="majorEastAsia"/>
          <w:sz w:val="18"/>
          <w:szCs w:val="18"/>
        </w:rPr>
        <w:t> </w:t>
      </w:r>
    </w:p>
    <w:p w:rsidR="005D1BDB" w:rsidP="005D1BDB" w:rsidRDefault="005D1BDB" w14:paraId="5F39EB97" w14:textId="77777777">
      <w:pPr>
        <w:pStyle w:val="paragraph"/>
        <w:spacing w:before="0" w:beforeAutospacing="0" w:after="0" w:afterAutospacing="0"/>
        <w:textAlignment w:val="baseline"/>
      </w:pPr>
      <w:r>
        <w:rPr>
          <w:rStyle w:val="eop"/>
          <w:rFonts w:ascii="Trebuchet MS" w:hAnsi="Trebuchet MS" w:eastAsiaTheme="majorEastAsia"/>
          <w:sz w:val="18"/>
          <w:szCs w:val="18"/>
        </w:rPr>
        <w:t> </w:t>
      </w:r>
    </w:p>
    <w:p w:rsidR="005D1BDB" w:rsidP="005D1BDB" w:rsidRDefault="005D1BDB" w14:paraId="4C0FD9C5" w14:textId="77777777">
      <w:pPr>
        <w:pStyle w:val="paragraph"/>
        <w:spacing w:before="0" w:beforeAutospacing="0" w:after="0" w:afterAutospacing="0"/>
        <w:textAlignment w:val="baseline"/>
      </w:pPr>
      <w:r>
        <w:rPr>
          <w:rStyle w:val="normaltextrun"/>
          <w:rFonts w:ascii="Trebuchet MS" w:hAnsi="Trebuchet MS" w:eastAsiaTheme="majorEastAsia"/>
          <w:sz w:val="18"/>
          <w:szCs w:val="18"/>
        </w:rPr>
        <w:t xml:space="preserve">De impact van STO op vmbo-leerlingen is </w:t>
      </w:r>
      <w:r w:rsidRPr="003662E7">
        <w:rPr>
          <w:rStyle w:val="normaltextrun"/>
          <w:rFonts w:ascii="Trebuchet MS" w:hAnsi="Trebuchet MS" w:eastAsiaTheme="majorEastAsia"/>
          <w:sz w:val="18"/>
          <w:szCs w:val="18"/>
        </w:rPr>
        <w:t xml:space="preserve">op verschillende gebieden groot </w:t>
      </w:r>
      <w:r>
        <w:rPr>
          <w:rStyle w:val="normaltextrun"/>
          <w:rFonts w:ascii="Trebuchet MS" w:hAnsi="Trebuchet MS" w:eastAsiaTheme="majorEastAsia"/>
          <w:sz w:val="18"/>
          <w:szCs w:val="18"/>
        </w:rPr>
        <w:t>volgens docenten: Leerlingen genieten door STO beter en rijker techniekonderwijs; hebben meer zicht op actuele ontwikkelingen binnen de wereld van techniek, zijn beter voorbereid op en maken een bewustere keuze voor een vervolgopleiding. Bijna de helft van de techniekdocenten geeft aan dat hun leerlingen meer gemotiveerd zijn geraakt voor technisch onderwijs door STO. Volgens docenten hangt die grotere motivatie bij leerlingen samen met praktijkgerichter, levensechter en uitdagender onderwijs, met contacten met praktijk/bedrijven en met de moderne uitstraling van ruimtes, apparaten, gereedschappen en moderne technieken. </w:t>
      </w:r>
      <w:r>
        <w:rPr>
          <w:rStyle w:val="eop"/>
          <w:rFonts w:ascii="Trebuchet MS" w:hAnsi="Trebuchet MS" w:eastAsiaTheme="majorEastAsia"/>
          <w:sz w:val="18"/>
          <w:szCs w:val="18"/>
        </w:rPr>
        <w:t> </w:t>
      </w:r>
    </w:p>
    <w:p w:rsidR="005D1BDB" w:rsidP="005D1BDB" w:rsidRDefault="005D1BDB" w14:paraId="17223336" w14:textId="77777777">
      <w:pPr>
        <w:pStyle w:val="paragraph"/>
        <w:spacing w:before="0" w:beforeAutospacing="0" w:after="0" w:afterAutospacing="0"/>
        <w:textAlignment w:val="baseline"/>
      </w:pPr>
      <w:r>
        <w:rPr>
          <w:rStyle w:val="eop"/>
          <w:rFonts w:ascii="Trebuchet MS" w:hAnsi="Trebuchet MS" w:eastAsiaTheme="majorEastAsia"/>
          <w:sz w:val="18"/>
          <w:szCs w:val="18"/>
        </w:rPr>
        <w:t> </w:t>
      </w:r>
    </w:p>
    <w:p w:rsidR="005D1BDB" w:rsidP="005D1BDB" w:rsidRDefault="005D1BDB" w14:paraId="16134D86" w14:textId="77777777">
      <w:pPr>
        <w:pStyle w:val="paragraph"/>
        <w:spacing w:before="0" w:beforeAutospacing="0" w:after="0" w:afterAutospacing="0"/>
        <w:textAlignment w:val="baseline"/>
        <w:rPr>
          <w:rStyle w:val="eop"/>
          <w:rFonts w:ascii="Trebuchet MS" w:hAnsi="Trebuchet MS" w:eastAsiaTheme="majorEastAsia"/>
          <w:sz w:val="18"/>
          <w:szCs w:val="18"/>
        </w:rPr>
      </w:pPr>
      <w:r>
        <w:rPr>
          <w:rStyle w:val="normaltextrun"/>
          <w:rFonts w:ascii="Trebuchet MS" w:hAnsi="Trebuchet MS" w:eastAsiaTheme="majorEastAsia"/>
          <w:sz w:val="18"/>
          <w:szCs w:val="18"/>
        </w:rPr>
        <w:t>Daarnaast signaleren docenten een grote impact van STO op het onderwijs: meer dan de helft zegt dat door STO leerlingen meer echte ervaringen opdoen in de beroepspraktijk, beter zicht hebben op beroepen/opleidingen en een bewustere vervolgkeuze kunnen maken; iets minder dan de</w:t>
      </w:r>
      <w:r w:rsidRPr="003662E7">
        <w:rPr>
          <w:rStyle w:val="normaltextrun"/>
          <w:rFonts w:ascii="Trebuchet MS" w:hAnsi="Trebuchet MS" w:eastAsiaTheme="majorEastAsia"/>
          <w:sz w:val="18"/>
          <w:szCs w:val="18"/>
        </w:rPr>
        <w:t xml:space="preserve"> helft vindt dat er meer verbindingen zijn met de praktijk en/of vervolgopleidingen. Bijna vier op de </w:t>
      </w:r>
      <w:r>
        <w:rPr>
          <w:rStyle w:val="normaltextrun"/>
          <w:rFonts w:ascii="Trebuchet MS" w:hAnsi="Trebuchet MS" w:eastAsiaTheme="majorEastAsia"/>
          <w:sz w:val="18"/>
          <w:szCs w:val="18"/>
        </w:rPr>
        <w:t>1</w:t>
      </w:r>
      <w:r w:rsidRPr="003662E7">
        <w:rPr>
          <w:rStyle w:val="normaltextrun"/>
          <w:rFonts w:ascii="Trebuchet MS" w:hAnsi="Trebuchet MS" w:eastAsiaTheme="majorEastAsia"/>
          <w:sz w:val="18"/>
          <w:szCs w:val="18"/>
        </w:rPr>
        <w:t xml:space="preserve">0 ziet dat er door </w:t>
      </w:r>
      <w:r>
        <w:rPr>
          <w:rStyle w:val="normaltextrun"/>
          <w:rFonts w:ascii="Trebuchet MS" w:hAnsi="Trebuchet MS" w:eastAsiaTheme="majorEastAsia"/>
          <w:sz w:val="18"/>
          <w:szCs w:val="18"/>
        </w:rPr>
        <w:t>STO een meer samenhangend traject met meer betrokkenen in school is gekomen. Reflectie op praktijkervaringen, actieve ouderbetrokkenheid en aandacht voor verwachtingspatronen blijven daarbij nog wat achter. Volgens docenten dragen samenwerking met het bedrijfsleven, investeringen om techniekonderwijs actueel en meer vernieuwend te maken en activiteiten voor po en de onderbouw/</w:t>
      </w:r>
      <w:r>
        <w:rPr>
          <w:rStyle w:val="normaltextrun"/>
          <w:rFonts w:ascii="Trebuchet MS" w:hAnsi="Trebuchet MS" w:eastAsiaTheme="majorEastAsia"/>
          <w:color w:val="881798"/>
          <w:sz w:val="18"/>
          <w:szCs w:val="18"/>
        </w:rPr>
        <w:t xml:space="preserve"> </w:t>
      </w:r>
      <w:r>
        <w:rPr>
          <w:rStyle w:val="normaltextrun"/>
          <w:rFonts w:ascii="Trebuchet MS" w:hAnsi="Trebuchet MS" w:eastAsiaTheme="majorEastAsia"/>
          <w:sz w:val="18"/>
          <w:szCs w:val="18"/>
        </w:rPr>
        <w:t>techniekpromotie het meest bij aan het realiseren van de doelen van STO. </w:t>
      </w:r>
      <w:r>
        <w:rPr>
          <w:rStyle w:val="eop"/>
          <w:rFonts w:ascii="Trebuchet MS" w:hAnsi="Trebuchet MS" w:eastAsiaTheme="majorEastAsia"/>
          <w:sz w:val="18"/>
          <w:szCs w:val="18"/>
        </w:rPr>
        <w:t> </w:t>
      </w:r>
    </w:p>
    <w:p w:rsidR="009531BB" w:rsidP="005D1BDB" w:rsidRDefault="009531BB" w14:paraId="4E1009B1" w14:textId="77777777">
      <w:pPr>
        <w:pStyle w:val="paragraph"/>
        <w:spacing w:before="0" w:beforeAutospacing="0" w:after="0" w:afterAutospacing="0"/>
        <w:textAlignment w:val="baseline"/>
        <w:rPr>
          <w:rStyle w:val="eop"/>
          <w:rFonts w:ascii="Trebuchet MS" w:hAnsi="Trebuchet MS" w:eastAsiaTheme="majorEastAsia"/>
          <w:sz w:val="18"/>
          <w:szCs w:val="18"/>
        </w:rPr>
      </w:pPr>
    </w:p>
    <w:p w:rsidR="009531BB" w:rsidP="009531BB" w:rsidRDefault="009531BB" w14:paraId="2BD5E57B" w14:textId="5988E88A">
      <w:pPr>
        <w:pStyle w:val="Kop3"/>
        <w:rPr>
          <w:rStyle w:val="eop"/>
          <w:szCs w:val="18"/>
        </w:rPr>
      </w:pPr>
      <w:bookmarkStart w:name="_Toc203573609" w:id="89"/>
      <w:r>
        <w:rPr>
          <w:rStyle w:val="eop"/>
          <w:szCs w:val="18"/>
        </w:rPr>
        <w:t xml:space="preserve">Sterk Techniekonderwijs vanuit het perspectief van </w:t>
      </w:r>
      <w:r w:rsidR="00E94550">
        <w:rPr>
          <w:rStyle w:val="eop"/>
          <w:szCs w:val="18"/>
        </w:rPr>
        <w:t>vmbo-</w:t>
      </w:r>
      <w:r>
        <w:rPr>
          <w:rStyle w:val="eop"/>
          <w:szCs w:val="18"/>
        </w:rPr>
        <w:t>leerlingen</w:t>
      </w:r>
      <w:bookmarkEnd w:id="89"/>
      <w:r>
        <w:rPr>
          <w:rStyle w:val="eop"/>
          <w:szCs w:val="18"/>
        </w:rPr>
        <w:t xml:space="preserve"> </w:t>
      </w:r>
    </w:p>
    <w:p w:rsidR="0084376F" w:rsidP="0084376F" w:rsidRDefault="0084376F" w14:paraId="500C1B49" w14:textId="60B69580">
      <w:pPr>
        <w:pStyle w:val="paragraph"/>
        <w:spacing w:before="0" w:beforeAutospacing="0" w:after="0" w:afterAutospacing="0"/>
        <w:textAlignment w:val="baseline"/>
        <w:rPr>
          <w:rStyle w:val="normaltextrun"/>
          <w:rFonts w:ascii="Trebuchet MS" w:hAnsi="Trebuchet MS" w:eastAsiaTheme="majorEastAsia"/>
          <w:sz w:val="18"/>
          <w:szCs w:val="18"/>
        </w:rPr>
      </w:pPr>
      <w:r w:rsidRPr="0084376F">
        <w:rPr>
          <w:rStyle w:val="normaltextrun"/>
          <w:rFonts w:ascii="Trebuchet MS" w:hAnsi="Trebuchet MS" w:eastAsiaTheme="majorEastAsia"/>
          <w:sz w:val="18"/>
          <w:szCs w:val="18"/>
        </w:rPr>
        <w:t xml:space="preserve">Veel </w:t>
      </w:r>
      <w:r w:rsidR="00E94550">
        <w:rPr>
          <w:rStyle w:val="normaltextrun"/>
          <w:rFonts w:ascii="Trebuchet MS" w:hAnsi="Trebuchet MS" w:eastAsiaTheme="majorEastAsia"/>
          <w:sz w:val="18"/>
          <w:szCs w:val="18"/>
        </w:rPr>
        <w:t>vmbo-</w:t>
      </w:r>
      <w:r w:rsidRPr="0084376F">
        <w:rPr>
          <w:rStyle w:val="normaltextrun"/>
          <w:rFonts w:ascii="Trebuchet MS" w:hAnsi="Trebuchet MS" w:eastAsiaTheme="majorEastAsia"/>
          <w:sz w:val="18"/>
          <w:szCs w:val="18"/>
        </w:rPr>
        <w:t xml:space="preserve">leerlingen </w:t>
      </w:r>
      <w:r w:rsidR="00E94550">
        <w:rPr>
          <w:rStyle w:val="normaltextrun"/>
          <w:rFonts w:ascii="Trebuchet MS" w:hAnsi="Trebuchet MS" w:eastAsiaTheme="majorEastAsia"/>
          <w:sz w:val="18"/>
          <w:szCs w:val="18"/>
        </w:rPr>
        <w:t>zijn</w:t>
      </w:r>
      <w:r w:rsidRPr="0084376F">
        <w:rPr>
          <w:rStyle w:val="normaltextrun"/>
          <w:rFonts w:ascii="Trebuchet MS" w:hAnsi="Trebuchet MS" w:eastAsiaTheme="majorEastAsia"/>
          <w:sz w:val="18"/>
          <w:szCs w:val="18"/>
        </w:rPr>
        <w:t xml:space="preserve"> al op de basisschool met techniek in aanraking</w:t>
      </w:r>
      <w:r w:rsidR="00E94550">
        <w:rPr>
          <w:rStyle w:val="normaltextrun"/>
          <w:rFonts w:ascii="Trebuchet MS" w:hAnsi="Trebuchet MS" w:eastAsiaTheme="majorEastAsia"/>
          <w:sz w:val="18"/>
          <w:szCs w:val="18"/>
        </w:rPr>
        <w:t xml:space="preserve"> gekomen</w:t>
      </w:r>
      <w:r w:rsidRPr="0084376F">
        <w:rPr>
          <w:rStyle w:val="normaltextrun"/>
          <w:rFonts w:ascii="Trebuchet MS" w:hAnsi="Trebuchet MS" w:eastAsiaTheme="majorEastAsia"/>
          <w:sz w:val="18"/>
          <w:szCs w:val="18"/>
        </w:rPr>
        <w:t xml:space="preserve"> – bijvoorbeeld via een gastles, bedrijfsbezoek of kennismaking met een vmbo-school. Deze activiteiten worden overwegend positief beoordeeld, maar veranderen in de beleving van leerlingen lang niet altijd hun mening over techniek. Echter, leerlingen die dergelijke ervaringen hebben opgedaan, overwegen wel iets vaker een technisch profiel dan andere leerlingen. Mogelijk spelen er processen in de interesseontwikkeling waar leerlingen zich niet bewust van zijn. Ook in het voortgezet onderwijs nemen de meeste leerlingen deel aan </w:t>
      </w:r>
      <w:r w:rsidR="00E94550">
        <w:rPr>
          <w:rStyle w:val="normaltextrun"/>
          <w:rFonts w:ascii="Trebuchet MS" w:hAnsi="Trebuchet MS" w:eastAsiaTheme="majorEastAsia"/>
          <w:sz w:val="18"/>
          <w:szCs w:val="18"/>
        </w:rPr>
        <w:t xml:space="preserve">(oriënterende) </w:t>
      </w:r>
      <w:r w:rsidRPr="0084376F">
        <w:rPr>
          <w:rStyle w:val="normaltextrun"/>
          <w:rFonts w:ascii="Trebuchet MS" w:hAnsi="Trebuchet MS" w:eastAsiaTheme="majorEastAsia"/>
          <w:sz w:val="18"/>
          <w:szCs w:val="18"/>
        </w:rPr>
        <w:t>techniekactiviteiten. Als hun beeld hierdoor verandert, dan meestal in positieve zin.</w:t>
      </w:r>
    </w:p>
    <w:p w:rsidRPr="0084376F" w:rsidR="0084376F" w:rsidP="0084376F" w:rsidRDefault="0084376F" w14:paraId="06929956" w14:textId="77777777">
      <w:pPr>
        <w:pStyle w:val="paragraph"/>
        <w:spacing w:before="0" w:beforeAutospacing="0" w:after="0" w:afterAutospacing="0"/>
        <w:textAlignment w:val="baseline"/>
        <w:rPr>
          <w:rStyle w:val="normaltextrun"/>
          <w:rFonts w:ascii="Trebuchet MS" w:hAnsi="Trebuchet MS" w:eastAsiaTheme="majorEastAsia"/>
          <w:sz w:val="18"/>
          <w:szCs w:val="18"/>
        </w:rPr>
      </w:pPr>
    </w:p>
    <w:p w:rsidR="0084376F" w:rsidP="0084376F" w:rsidRDefault="0084376F" w14:paraId="7B7F9C47" w14:textId="013D6D9B">
      <w:pPr>
        <w:pStyle w:val="paragraph"/>
        <w:spacing w:before="0" w:beforeAutospacing="0" w:after="0" w:afterAutospacing="0"/>
        <w:textAlignment w:val="baseline"/>
        <w:rPr>
          <w:rStyle w:val="normaltextrun"/>
          <w:rFonts w:ascii="Trebuchet MS" w:hAnsi="Trebuchet MS" w:eastAsiaTheme="majorEastAsia"/>
          <w:sz w:val="18"/>
          <w:szCs w:val="18"/>
        </w:rPr>
      </w:pPr>
      <w:r w:rsidRPr="0084376F">
        <w:rPr>
          <w:rStyle w:val="normaltextrun"/>
          <w:rFonts w:ascii="Trebuchet MS" w:hAnsi="Trebuchet MS" w:eastAsiaTheme="majorEastAsia"/>
          <w:sz w:val="18"/>
          <w:szCs w:val="18"/>
        </w:rPr>
        <w:t>In de onderbouw zien we uiteenlopende niveaus van interesse: een deel</w:t>
      </w:r>
      <w:r>
        <w:rPr>
          <w:rStyle w:val="normaltextrun"/>
          <w:rFonts w:ascii="Trebuchet MS" w:hAnsi="Trebuchet MS" w:eastAsiaTheme="majorEastAsia"/>
          <w:sz w:val="18"/>
          <w:szCs w:val="18"/>
        </w:rPr>
        <w:t xml:space="preserve"> van de leerlingen</w:t>
      </w:r>
      <w:r w:rsidRPr="0084376F">
        <w:rPr>
          <w:rStyle w:val="normaltextrun"/>
          <w:rFonts w:ascii="Trebuchet MS" w:hAnsi="Trebuchet MS" w:eastAsiaTheme="majorEastAsia"/>
          <w:sz w:val="18"/>
          <w:szCs w:val="18"/>
        </w:rPr>
        <w:t xml:space="preserve"> is al sterk geïnteresseerd in techniek, anderen (nog) niet. Toch laat ook de groep die geen techniekprofiel overweegt soms persoonlijke fascinatie voor techniek zien. De profielkeuze wordt volgens leerlingen uiteindelijk meestal bepaald door persoonlijke interesse, gevolgd door aansluiting op vervolgopleiding of beroep.</w:t>
      </w:r>
    </w:p>
    <w:p w:rsidRPr="0084376F" w:rsidR="0084376F" w:rsidP="0084376F" w:rsidRDefault="0084376F" w14:paraId="49B30FEE" w14:textId="77777777">
      <w:pPr>
        <w:pStyle w:val="paragraph"/>
        <w:spacing w:before="0" w:beforeAutospacing="0" w:after="0" w:afterAutospacing="0"/>
        <w:textAlignment w:val="baseline"/>
        <w:rPr>
          <w:rStyle w:val="normaltextrun"/>
          <w:rFonts w:ascii="Trebuchet MS" w:hAnsi="Trebuchet MS" w:eastAsiaTheme="majorEastAsia"/>
          <w:sz w:val="18"/>
          <w:szCs w:val="18"/>
        </w:rPr>
      </w:pPr>
    </w:p>
    <w:p w:rsidRPr="009531BB" w:rsidR="009531BB" w:rsidP="001270BB" w:rsidRDefault="0084376F" w14:paraId="3A6EB2D9" w14:textId="00262221">
      <w:pPr>
        <w:spacing w:after="160" w:line="259" w:lineRule="auto"/>
        <w:rPr>
          <w:lang w:eastAsia="en-US"/>
        </w:rPr>
      </w:pPr>
      <w:r w:rsidRPr="0084376F">
        <w:rPr>
          <w:rStyle w:val="normaltextrun"/>
          <w:rFonts w:eastAsiaTheme="majorEastAsia"/>
          <w:szCs w:val="18"/>
        </w:rPr>
        <w:t xml:space="preserve">Leerlingen in de bovenbouw </w:t>
      </w:r>
      <w:r w:rsidR="00E94550">
        <w:rPr>
          <w:rStyle w:val="normaltextrun"/>
          <w:rFonts w:eastAsiaTheme="majorEastAsia"/>
          <w:szCs w:val="18"/>
        </w:rPr>
        <w:t xml:space="preserve">van het vmbo </w:t>
      </w:r>
      <w:r w:rsidRPr="0084376F">
        <w:rPr>
          <w:rStyle w:val="normaltextrun"/>
          <w:rFonts w:eastAsiaTheme="majorEastAsia"/>
          <w:szCs w:val="18"/>
        </w:rPr>
        <w:t xml:space="preserve">die voor techniek kozen, zijn overwegend positief over hun lessen, docenten en de praktische invulling. Ze voelen zich vaak competent en gesteund, maar ervaren relatief weinig vrijheid binnen het techniekonderwijs. Opvallend is dat een gevoel van autonomie, verbondenheid en bekwaamheid vaak samengaat met grotere interesse in techniek. </w:t>
      </w:r>
      <w:r>
        <w:rPr>
          <w:rStyle w:val="normaltextrun"/>
          <w:rFonts w:eastAsiaTheme="majorEastAsia"/>
          <w:szCs w:val="18"/>
        </w:rPr>
        <w:t xml:space="preserve">We zien dat een deel van de leerlingen die geen technisch profiel of keuzevak volgt, toch sterk </w:t>
      </w:r>
      <w:r w:rsidR="001270BB">
        <w:rPr>
          <w:rStyle w:val="normaltextrun"/>
          <w:rFonts w:eastAsiaTheme="majorEastAsia"/>
          <w:szCs w:val="18"/>
        </w:rPr>
        <w:t>geïnteresseerd</w:t>
      </w:r>
      <w:r>
        <w:rPr>
          <w:rStyle w:val="normaltextrun"/>
          <w:rFonts w:eastAsiaTheme="majorEastAsia"/>
          <w:szCs w:val="18"/>
        </w:rPr>
        <w:t xml:space="preserve"> is in techniek. </w:t>
      </w:r>
      <w:r w:rsidR="001270BB">
        <w:rPr>
          <w:rStyle w:val="normaltextrun"/>
          <w:rFonts w:eastAsiaTheme="majorEastAsia"/>
          <w:szCs w:val="18"/>
        </w:rPr>
        <w:t>M</w:t>
      </w:r>
      <w:r w:rsidR="001270BB">
        <w:rPr>
          <w:rFonts w:cs="Arial"/>
          <w:kern w:val="2"/>
        </w:rPr>
        <w:t xml:space="preserve">ogelijk is er dus nog (verborgen) potentieel aanwezig dat door het onderwijs aangesproken kan worden. </w:t>
      </w:r>
      <w:r w:rsidRPr="0084376F">
        <w:rPr>
          <w:rStyle w:val="normaltextrun"/>
          <w:rFonts w:eastAsiaTheme="majorEastAsia"/>
          <w:szCs w:val="18"/>
        </w:rPr>
        <w:t xml:space="preserve">Ook bij deze oudere leerlingen blijft de interesse in techniek sterk bepalend voor hun toekomstverwachtingen – met het mbo als </w:t>
      </w:r>
      <w:r>
        <w:rPr>
          <w:rStyle w:val="normaltextrun"/>
          <w:rFonts w:eastAsiaTheme="majorEastAsia"/>
          <w:szCs w:val="18"/>
        </w:rPr>
        <w:t>meest gekozen vervolg</w:t>
      </w:r>
      <w:r w:rsidRPr="0084376F">
        <w:rPr>
          <w:rStyle w:val="normaltextrun"/>
          <w:rFonts w:eastAsiaTheme="majorEastAsia"/>
          <w:szCs w:val="18"/>
        </w:rPr>
        <w:t>stap voor wie zich tot techniek aangetrokken voelt.</w:t>
      </w:r>
    </w:p>
    <w:p w:rsidR="005D1BDB" w:rsidP="005D1BDB" w:rsidRDefault="005D1BDB" w14:paraId="7D91DC47" w14:textId="77777777">
      <w:pPr>
        <w:pStyle w:val="paragraph"/>
        <w:spacing w:before="0" w:beforeAutospacing="0" w:after="0" w:afterAutospacing="0"/>
        <w:textAlignment w:val="baseline"/>
      </w:pPr>
      <w:r>
        <w:rPr>
          <w:rStyle w:val="eop"/>
          <w:rFonts w:ascii="Trebuchet MS" w:hAnsi="Trebuchet MS" w:eastAsiaTheme="majorEastAsia"/>
          <w:sz w:val="18"/>
          <w:szCs w:val="18"/>
        </w:rPr>
        <w:t> </w:t>
      </w:r>
    </w:p>
    <w:p w:rsidR="005D1BDB" w:rsidP="005D1BDB" w:rsidRDefault="005D1BDB" w14:paraId="5FBC7E63" w14:textId="77777777">
      <w:pPr>
        <w:pStyle w:val="Kop3"/>
        <w:rPr>
          <w:bCs/>
        </w:rPr>
      </w:pPr>
      <w:bookmarkStart w:name="_Toc199838369" w:id="90"/>
      <w:bookmarkStart w:name="_Toc203573610" w:id="91"/>
      <w:r>
        <w:rPr>
          <w:rStyle w:val="normaltextrun"/>
          <w:b w:val="0"/>
          <w:szCs w:val="18"/>
        </w:rPr>
        <w:lastRenderedPageBreak/>
        <w:t>Sterk Techniekonderwijs in cijfers</w:t>
      </w:r>
      <w:bookmarkEnd w:id="90"/>
      <w:bookmarkEnd w:id="91"/>
      <w:r>
        <w:rPr>
          <w:rStyle w:val="eop"/>
          <w:bCs/>
          <w:szCs w:val="18"/>
        </w:rPr>
        <w:t> </w:t>
      </w:r>
    </w:p>
    <w:p w:rsidR="005D1BDB" w:rsidP="005D1BDB" w:rsidRDefault="005D1BDB" w14:paraId="5D4979B3" w14:textId="77777777">
      <w:pPr>
        <w:pStyle w:val="paragraph"/>
        <w:spacing w:before="0" w:beforeAutospacing="0" w:after="0" w:afterAutospacing="0"/>
        <w:textAlignment w:val="baseline"/>
      </w:pPr>
      <w:r>
        <w:rPr>
          <w:rStyle w:val="normaltextrun"/>
          <w:rFonts w:ascii="Trebuchet MS" w:hAnsi="Trebuchet MS" w:eastAsiaTheme="majorEastAsia"/>
          <w:sz w:val="18"/>
          <w:szCs w:val="18"/>
        </w:rPr>
        <w:t xml:space="preserve">Net als in de vorige monitoren is het aanbod, de dekking en bereikbaarheid van het technische onderwijsaanbod in de beroepsgerichte leerwegen van het vmbo en de doorstroom naar het vervolgonderwijs van leerlingen die voor één van de vijf technische profielen kozen in beeld gebracht. Dit is gedaan op basis van de DUO-bestanden, lopend tot en met </w:t>
      </w:r>
      <w:r w:rsidRPr="003662E7">
        <w:rPr>
          <w:rStyle w:val="normaltextrun"/>
          <w:rFonts w:ascii="Trebuchet MS" w:hAnsi="Trebuchet MS" w:eastAsiaTheme="majorEastAsia"/>
          <w:sz w:val="18"/>
          <w:szCs w:val="18"/>
        </w:rPr>
        <w:t xml:space="preserve">schooljaar 2023/2024. </w:t>
      </w:r>
      <w:r>
        <w:rPr>
          <w:rStyle w:val="normaltextrun"/>
          <w:rFonts w:ascii="Trebuchet MS" w:hAnsi="Trebuchet MS" w:eastAsiaTheme="majorEastAsia"/>
          <w:sz w:val="18"/>
          <w:szCs w:val="18"/>
        </w:rPr>
        <w:t>Waar recentere DUO-cijfers voorhanden zijn, nemen we deze mee in deze samenvatting. </w:t>
      </w:r>
      <w:r>
        <w:rPr>
          <w:rStyle w:val="eop"/>
          <w:rFonts w:ascii="Trebuchet MS" w:hAnsi="Trebuchet MS" w:eastAsiaTheme="majorEastAsia"/>
          <w:sz w:val="18"/>
          <w:szCs w:val="18"/>
        </w:rPr>
        <w:t> </w:t>
      </w:r>
    </w:p>
    <w:p w:rsidR="005D1BDB" w:rsidP="005D1BDB" w:rsidRDefault="005D1BDB" w14:paraId="66CEAAC8" w14:textId="77777777">
      <w:pPr>
        <w:pStyle w:val="paragraph"/>
        <w:spacing w:before="0" w:beforeAutospacing="0" w:after="0" w:afterAutospacing="0"/>
        <w:textAlignment w:val="baseline"/>
      </w:pPr>
      <w:r>
        <w:rPr>
          <w:rStyle w:val="eop"/>
          <w:rFonts w:ascii="Trebuchet MS" w:hAnsi="Trebuchet MS" w:eastAsiaTheme="majorEastAsia"/>
          <w:sz w:val="18"/>
          <w:szCs w:val="18"/>
        </w:rPr>
        <w:t> </w:t>
      </w:r>
    </w:p>
    <w:p w:rsidR="005D1BDB" w:rsidP="005D1BDB" w:rsidRDefault="005D1BDB" w14:paraId="217AA3EF" w14:textId="77777777">
      <w:pPr>
        <w:pStyle w:val="paragraph"/>
        <w:spacing w:before="0" w:beforeAutospacing="0" w:after="0" w:afterAutospacing="0"/>
        <w:textAlignment w:val="baseline"/>
      </w:pPr>
      <w:r>
        <w:rPr>
          <w:rStyle w:val="normaltextrun"/>
          <w:rFonts w:ascii="Trebuchet MS" w:hAnsi="Trebuchet MS" w:eastAsiaTheme="majorEastAsia"/>
          <w:sz w:val="18"/>
          <w:szCs w:val="18"/>
        </w:rPr>
        <w:t xml:space="preserve">Het algehele beeld is dat de cijfers een vrij gunstig beeld laten </w:t>
      </w:r>
      <w:r w:rsidRPr="003662E7">
        <w:rPr>
          <w:rStyle w:val="normaltextrun"/>
          <w:rFonts w:ascii="Trebuchet MS" w:hAnsi="Trebuchet MS" w:eastAsiaTheme="majorEastAsia"/>
          <w:sz w:val="18"/>
          <w:szCs w:val="18"/>
        </w:rPr>
        <w:t xml:space="preserve">zien van de ontwikkeling </w:t>
      </w:r>
      <w:r>
        <w:rPr>
          <w:rStyle w:val="normaltextrun"/>
          <w:rFonts w:ascii="Trebuchet MS" w:hAnsi="Trebuchet MS" w:eastAsiaTheme="majorEastAsia"/>
          <w:sz w:val="18"/>
          <w:szCs w:val="18"/>
        </w:rPr>
        <w:t>tijdens de eerste fase van STO: leerlingenaantallen in technische profielen zijn niet gedaald (in tegenstelling tot aantallen in andere profielen), het aantal lesgevenden is gestegen (waar die in andere profielen wel daalden) en het aantal vestigingen dat technische profielen aanbiedt is nagenoeg gelijk gebleven. De lesgevenden in technische profielen van het vmbo komen steeds vaker van buiten het onderwijs. De grootste technische profielen zijn voor 90% van de leerlingen bereikbaar en de bereikbaarheid van alle profielen is ongeveer gelijk gebleven. Het gemiddeld aantal leerlingen in de technische profielen in de basis en kaderberoepsgerichte leerweg is gedaald naar maximaal 10 leerlingen in de bb en tussen de 8 en 13 leerlingen in de kb. Combineren van leerjaren en leerwegen is een beproefde strategie in het beroepsgericht onderwijs. In de gl is het gemiddelde aantal leerlingen per profiel gestegen. Het aanbod van technische keuzevakken is gestegen en meer leerlingen van niet-technische profielen volgen deze vakken (ongeveer een derde van deze leerlingen). De doorstroom van technische profielen in het vmbo naar een technische mbo-opleiding is echter iets gedaald, met name vanuit vmbo-kader. Echter, de instroom in een technische mbo-opleiding van leerlingen vanuit niet-technische profielen die een technisch keuzevak hebben gevolgd is iets gestegen. Het ligt voor de hand dat STO een positieve bijdrage heeft gehad in het uitblijven van dalingen van leerlingen, docenten en aanbod, en een gunstige bijdrage heeft geleverd bij de positieve ontwikkelingen (met name rondom de technische keuzevakken), zoals we ook in de volgende paragraaf over de impactladder beschrijven.</w:t>
      </w:r>
      <w:r>
        <w:rPr>
          <w:rStyle w:val="eop"/>
          <w:rFonts w:ascii="Trebuchet MS" w:hAnsi="Trebuchet MS" w:eastAsiaTheme="majorEastAsia"/>
          <w:sz w:val="18"/>
          <w:szCs w:val="18"/>
        </w:rPr>
        <w:t> </w:t>
      </w:r>
    </w:p>
    <w:p w:rsidR="005D1BDB" w:rsidP="005D1BDB" w:rsidRDefault="005D1BDB" w14:paraId="78EFC32A" w14:textId="77777777">
      <w:pPr>
        <w:pStyle w:val="paragraph"/>
        <w:spacing w:before="0" w:beforeAutospacing="0" w:after="160" w:afterAutospacing="0"/>
        <w:textAlignment w:val="baseline"/>
      </w:pPr>
      <w:r>
        <w:rPr>
          <w:rStyle w:val="eop"/>
          <w:rFonts w:ascii="Trebuchet MS" w:hAnsi="Trebuchet MS" w:eastAsiaTheme="majorEastAsia"/>
          <w:sz w:val="18"/>
          <w:szCs w:val="18"/>
        </w:rPr>
        <w:t> </w:t>
      </w:r>
    </w:p>
    <w:p w:rsidRPr="00976317" w:rsidR="005D1BDB" w:rsidP="005D1BDB" w:rsidRDefault="005D1BDB" w14:paraId="211F1D11" w14:textId="77777777">
      <w:pPr>
        <w:pStyle w:val="Kop2"/>
      </w:pPr>
      <w:bookmarkStart w:name="_Toc199838370" w:id="92"/>
      <w:bookmarkStart w:name="_Toc203573611" w:id="93"/>
      <w:r w:rsidRPr="00976317">
        <w:rPr>
          <w:rStyle w:val="normaltextrun"/>
          <w:b w:val="0"/>
          <w:bCs w:val="0"/>
          <w:szCs w:val="18"/>
        </w:rPr>
        <w:t>Impactladder</w:t>
      </w:r>
      <w:bookmarkEnd w:id="92"/>
      <w:bookmarkEnd w:id="93"/>
      <w:r w:rsidRPr="00976317">
        <w:rPr>
          <w:rStyle w:val="eop"/>
          <w:szCs w:val="18"/>
        </w:rPr>
        <w:t> </w:t>
      </w:r>
    </w:p>
    <w:p w:rsidR="005D1BDB" w:rsidP="005D1BDB" w:rsidRDefault="005D1BDB" w14:paraId="41AAE3ED" w14:textId="77777777">
      <w:pPr>
        <w:pStyle w:val="paragraph"/>
        <w:spacing w:before="0" w:beforeAutospacing="0" w:after="0" w:afterAutospacing="0"/>
        <w:textAlignment w:val="baseline"/>
        <w:rPr>
          <w:rStyle w:val="eop"/>
          <w:rFonts w:ascii="Trebuchet MS" w:hAnsi="Trebuchet MS" w:eastAsiaTheme="majorEastAsia"/>
          <w:sz w:val="18"/>
          <w:szCs w:val="18"/>
        </w:rPr>
      </w:pPr>
      <w:r w:rsidRPr="00C94180">
        <w:rPr>
          <w:rStyle w:val="normaltextrun"/>
          <w:rFonts w:ascii="Trebuchet MS" w:hAnsi="Trebuchet MS" w:eastAsiaTheme="majorEastAsia"/>
          <w:i/>
          <w:iCs/>
          <w:sz w:val="18"/>
          <w:szCs w:val="18"/>
        </w:rPr>
        <w:t>Van effectenmeting naar impactladder</w:t>
      </w:r>
      <w:r w:rsidRPr="00C94180">
        <w:rPr>
          <w:rStyle w:val="eop"/>
          <w:rFonts w:ascii="Trebuchet MS" w:hAnsi="Trebuchet MS" w:eastAsiaTheme="majorEastAsia"/>
          <w:sz w:val="18"/>
          <w:szCs w:val="18"/>
        </w:rPr>
        <w:t> </w:t>
      </w:r>
    </w:p>
    <w:p w:rsidRPr="00C94180" w:rsidR="005D1BDB" w:rsidP="005D1BDB" w:rsidRDefault="005D1BDB" w14:paraId="53F6D144"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In het oorspronkelijke voorstel voor deze STO-monitor was een kwantitatieve effectmeting opgenomen om de effecten van STO in kaart te brengen. Om meerdere redenen is daar al in een eerder stadium van afgestapt: een effectmeting gaat ervan uit dat een sterke bewijsvoering ten aanzien van effecten mogelijk is. Er is echter in STO geen sprake van een experimentele of quasi-experimentele situatie waarmee ‘hard bewijs’ kan worden verkregen. Bovendien hebben veel factoren gelijktijdig invloed op (de werking van) STO, zoals leerlingendaling, kansrijk adviseren en de maatschappelijke waardering van het vmbo, waardoor het ‘zuivere’ effect van STO niet hard vast te stellen is. Daar komt bij dat bij STO veel effecten die van waarde zijn, niet direct meetbaar zijn maar wel merkbaar zijn in de ervaring van betrokkenen. </w:t>
      </w:r>
      <w:r w:rsidRPr="00C94180">
        <w:rPr>
          <w:rStyle w:val="eop"/>
          <w:rFonts w:ascii="Trebuchet MS" w:hAnsi="Trebuchet MS" w:eastAsiaTheme="majorEastAsia"/>
          <w:sz w:val="18"/>
          <w:szCs w:val="18"/>
        </w:rPr>
        <w:t> </w:t>
      </w:r>
    </w:p>
    <w:p w:rsidRPr="00C94180" w:rsidR="005D1BDB" w:rsidP="005D1BDB" w:rsidRDefault="005D1BDB" w14:paraId="3EC6F332" w14:textId="77777777">
      <w:pPr>
        <w:pStyle w:val="paragraph"/>
        <w:textAlignment w:val="baseline"/>
        <w:rPr>
          <w:rFonts w:ascii="Trebuchet MS" w:hAnsi="Trebuchet MS"/>
          <w:sz w:val="18"/>
          <w:szCs w:val="18"/>
        </w:rPr>
      </w:pPr>
      <w:r w:rsidRPr="00C94180">
        <w:rPr>
          <w:rStyle w:val="normaltextrun"/>
          <w:rFonts w:ascii="Trebuchet MS" w:hAnsi="Trebuchet MS" w:eastAsiaTheme="majorEastAsia"/>
          <w:sz w:val="18"/>
          <w:szCs w:val="18"/>
        </w:rPr>
        <w:t>Om die reden worden de resultaten van STO op deze plek beschreven aan de hand van een meer kwalitatieve impactladder, die meer recht doet aan wat STO teweeg heeft gebracht. Met deze impactladder wordt de interventielijn gevolgd, die voorafgaat aan verandering/effect/impact. De impactladder beoogt de reikwijdte van de inzet in STO te beschrijven: de outcome die op verschillende niveaus en voor verschillende doelgroepen gerealiseerd wordt door de inzet binnen STO. De volgende bronnen zijn voor het vullen van de impactladder gebruikt:</w:t>
      </w:r>
      <w:r w:rsidRPr="00C94180">
        <w:rPr>
          <w:rStyle w:val="eop"/>
          <w:rFonts w:ascii="Trebuchet MS" w:hAnsi="Trebuchet MS" w:eastAsiaTheme="majorEastAsia"/>
          <w:sz w:val="18"/>
          <w:szCs w:val="18"/>
        </w:rPr>
        <w:t> </w:t>
      </w:r>
    </w:p>
    <w:p w:rsidRPr="00C94180" w:rsidR="005D1BDB" w:rsidP="005D1BDB" w:rsidRDefault="005D1BDB" w14:paraId="716CA8AB"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color w:val="000000"/>
          <w:sz w:val="18"/>
          <w:szCs w:val="18"/>
        </w:rPr>
        <w:t>Kwantitatief:</w:t>
      </w:r>
      <w:r w:rsidRPr="00C94180">
        <w:rPr>
          <w:rStyle w:val="eop"/>
          <w:rFonts w:ascii="Trebuchet MS" w:hAnsi="Trebuchet MS" w:eastAsiaTheme="majorEastAsia"/>
          <w:color w:val="000000"/>
          <w:sz w:val="18"/>
          <w:szCs w:val="18"/>
        </w:rPr>
        <w:t> </w:t>
      </w:r>
    </w:p>
    <w:p w:rsidRPr="00C94180" w:rsidR="005D1BDB" w:rsidP="00426692" w:rsidRDefault="005D1BDB" w14:paraId="708F8A59" w14:textId="77777777">
      <w:pPr>
        <w:pStyle w:val="paragraph"/>
        <w:numPr>
          <w:ilvl w:val="0"/>
          <w:numId w:val="54"/>
        </w:numPr>
        <w:spacing w:before="0" w:beforeAutospacing="0" w:after="0" w:afterAutospacing="0"/>
        <w:ind w:left="1622" w:firstLine="0"/>
        <w:textAlignment w:val="baseline"/>
        <w:rPr>
          <w:rFonts w:ascii="Trebuchet MS" w:hAnsi="Trebuchet MS"/>
          <w:sz w:val="18"/>
          <w:szCs w:val="18"/>
        </w:rPr>
      </w:pPr>
      <w:r w:rsidRPr="00C94180">
        <w:rPr>
          <w:rStyle w:val="normaltextrun"/>
          <w:rFonts w:ascii="Trebuchet MS" w:hAnsi="Trebuchet MS" w:eastAsiaTheme="majorEastAsia"/>
          <w:color w:val="000000"/>
          <w:sz w:val="18"/>
          <w:szCs w:val="18"/>
        </w:rPr>
        <w:t>Gegevens DUO over aanbod, aantallen, doorstroom etc.</w:t>
      </w:r>
      <w:r w:rsidRPr="00C94180">
        <w:rPr>
          <w:rStyle w:val="eop"/>
          <w:rFonts w:ascii="Trebuchet MS" w:hAnsi="Trebuchet MS" w:eastAsiaTheme="majorEastAsia"/>
          <w:color w:val="000000"/>
          <w:sz w:val="18"/>
          <w:szCs w:val="18"/>
        </w:rPr>
        <w:t> </w:t>
      </w:r>
    </w:p>
    <w:p w:rsidRPr="00C94180" w:rsidR="005D1BDB" w:rsidP="00426692" w:rsidRDefault="005D1BDB" w14:paraId="4DBB7DA1" w14:textId="77777777">
      <w:pPr>
        <w:pStyle w:val="paragraph"/>
        <w:numPr>
          <w:ilvl w:val="0"/>
          <w:numId w:val="55"/>
        </w:numPr>
        <w:spacing w:before="0" w:beforeAutospacing="0" w:after="0" w:afterAutospacing="0"/>
        <w:ind w:left="1620" w:firstLine="0"/>
        <w:textAlignment w:val="baseline"/>
        <w:rPr>
          <w:rFonts w:ascii="Trebuchet MS" w:hAnsi="Trebuchet MS"/>
          <w:sz w:val="18"/>
          <w:szCs w:val="18"/>
        </w:rPr>
      </w:pPr>
      <w:r w:rsidRPr="00C94180">
        <w:rPr>
          <w:rStyle w:val="normaltextrun"/>
          <w:rFonts w:ascii="Trebuchet MS" w:hAnsi="Trebuchet MS" w:eastAsiaTheme="majorEastAsia"/>
          <w:color w:val="000000"/>
          <w:sz w:val="18"/>
          <w:szCs w:val="18"/>
        </w:rPr>
        <w:t>Gegevens VO-monitor over ervaringen oud-leerlingen</w:t>
      </w:r>
      <w:r w:rsidRPr="00C94180">
        <w:rPr>
          <w:rStyle w:val="eop"/>
          <w:rFonts w:ascii="Trebuchet MS" w:hAnsi="Trebuchet MS" w:eastAsiaTheme="majorEastAsia"/>
          <w:color w:val="000000"/>
          <w:sz w:val="18"/>
          <w:szCs w:val="18"/>
        </w:rPr>
        <w:t> </w:t>
      </w:r>
    </w:p>
    <w:p w:rsidRPr="00C94180" w:rsidR="005D1BDB" w:rsidP="00426692" w:rsidRDefault="005D1BDB" w14:paraId="2CCF68B9" w14:textId="77777777">
      <w:pPr>
        <w:pStyle w:val="paragraph"/>
        <w:numPr>
          <w:ilvl w:val="0"/>
          <w:numId w:val="56"/>
        </w:numPr>
        <w:spacing w:before="0" w:beforeAutospacing="0" w:after="0" w:afterAutospacing="0"/>
        <w:ind w:left="1620" w:firstLine="0"/>
        <w:textAlignment w:val="baseline"/>
        <w:rPr>
          <w:rFonts w:ascii="Trebuchet MS" w:hAnsi="Trebuchet MS"/>
          <w:sz w:val="18"/>
          <w:szCs w:val="18"/>
        </w:rPr>
      </w:pPr>
      <w:r w:rsidRPr="00C94180">
        <w:rPr>
          <w:rStyle w:val="normaltextrun"/>
          <w:rFonts w:ascii="Trebuchet MS" w:hAnsi="Trebuchet MS" w:eastAsiaTheme="majorEastAsia"/>
          <w:color w:val="000000"/>
          <w:sz w:val="18"/>
          <w:szCs w:val="18"/>
        </w:rPr>
        <w:t>Gegevens IPTO en DUO over beschikbaarheid docenten</w:t>
      </w:r>
      <w:r w:rsidRPr="00C94180">
        <w:rPr>
          <w:rStyle w:val="eop"/>
          <w:rFonts w:ascii="Trebuchet MS" w:hAnsi="Trebuchet MS" w:eastAsiaTheme="majorEastAsia"/>
          <w:color w:val="000000"/>
          <w:sz w:val="18"/>
          <w:szCs w:val="18"/>
        </w:rPr>
        <w:t> </w:t>
      </w:r>
    </w:p>
    <w:p w:rsidRPr="00C94180" w:rsidR="005D1BDB" w:rsidP="005D1BDB" w:rsidRDefault="005D1BDB" w14:paraId="2BF155E1"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color w:val="000000"/>
          <w:sz w:val="18"/>
          <w:szCs w:val="18"/>
        </w:rPr>
        <w:t>Kwalitatief:</w:t>
      </w:r>
      <w:r w:rsidRPr="00C94180">
        <w:rPr>
          <w:rStyle w:val="eop"/>
          <w:rFonts w:ascii="Trebuchet MS" w:hAnsi="Trebuchet MS" w:eastAsiaTheme="majorEastAsia"/>
          <w:color w:val="000000"/>
          <w:sz w:val="18"/>
          <w:szCs w:val="18"/>
        </w:rPr>
        <w:t> </w:t>
      </w:r>
    </w:p>
    <w:p w:rsidRPr="00C94180" w:rsidR="005D1BDB" w:rsidP="00426692" w:rsidRDefault="005D1BDB" w14:paraId="647855F4" w14:textId="77777777">
      <w:pPr>
        <w:pStyle w:val="paragraph"/>
        <w:numPr>
          <w:ilvl w:val="0"/>
          <w:numId w:val="57"/>
        </w:numPr>
        <w:spacing w:before="0" w:beforeAutospacing="0" w:after="0" w:afterAutospacing="0"/>
        <w:ind w:left="1622" w:firstLine="0"/>
        <w:textAlignment w:val="baseline"/>
        <w:rPr>
          <w:rFonts w:ascii="Trebuchet MS" w:hAnsi="Trebuchet MS"/>
          <w:sz w:val="18"/>
          <w:szCs w:val="18"/>
        </w:rPr>
      </w:pPr>
      <w:r w:rsidRPr="00C94180">
        <w:rPr>
          <w:rStyle w:val="normaltextrun"/>
          <w:rFonts w:ascii="Trebuchet MS" w:hAnsi="Trebuchet MS" w:eastAsiaTheme="majorEastAsia"/>
          <w:color w:val="000000"/>
          <w:sz w:val="18"/>
          <w:szCs w:val="18"/>
        </w:rPr>
        <w:t>Vragenlijst programmaleiders STO</w:t>
      </w:r>
      <w:r w:rsidRPr="00C94180">
        <w:rPr>
          <w:rStyle w:val="eop"/>
          <w:rFonts w:ascii="Trebuchet MS" w:hAnsi="Trebuchet MS" w:eastAsiaTheme="majorEastAsia"/>
          <w:color w:val="000000"/>
          <w:sz w:val="18"/>
          <w:szCs w:val="18"/>
        </w:rPr>
        <w:t> </w:t>
      </w:r>
    </w:p>
    <w:p w:rsidRPr="00C94180" w:rsidR="005D1BDB" w:rsidP="00426692" w:rsidRDefault="005D1BDB" w14:paraId="77865AD6" w14:textId="77777777">
      <w:pPr>
        <w:pStyle w:val="paragraph"/>
        <w:numPr>
          <w:ilvl w:val="0"/>
          <w:numId w:val="58"/>
        </w:numPr>
        <w:spacing w:before="0" w:beforeAutospacing="0" w:after="0" w:afterAutospacing="0"/>
        <w:ind w:left="1622" w:firstLine="0"/>
        <w:textAlignment w:val="baseline"/>
        <w:rPr>
          <w:rFonts w:ascii="Trebuchet MS" w:hAnsi="Trebuchet MS"/>
          <w:sz w:val="18"/>
          <w:szCs w:val="18"/>
        </w:rPr>
      </w:pPr>
      <w:r w:rsidRPr="00C94180">
        <w:rPr>
          <w:rStyle w:val="normaltextrun"/>
          <w:rFonts w:ascii="Trebuchet MS" w:hAnsi="Trebuchet MS" w:eastAsiaTheme="majorEastAsia"/>
          <w:color w:val="000000"/>
          <w:sz w:val="18"/>
          <w:szCs w:val="18"/>
        </w:rPr>
        <w:t>Vragenlijst lesgevenden vmbo</w:t>
      </w:r>
      <w:r w:rsidRPr="00C94180">
        <w:rPr>
          <w:rStyle w:val="eop"/>
          <w:rFonts w:ascii="Trebuchet MS" w:hAnsi="Trebuchet MS" w:eastAsiaTheme="majorEastAsia"/>
          <w:color w:val="000000"/>
          <w:sz w:val="18"/>
          <w:szCs w:val="18"/>
        </w:rPr>
        <w:t> </w:t>
      </w:r>
    </w:p>
    <w:p w:rsidRPr="00C94180" w:rsidR="005D1BDB" w:rsidP="00426692" w:rsidRDefault="005D1BDB" w14:paraId="7857C4D7" w14:textId="77777777">
      <w:pPr>
        <w:pStyle w:val="paragraph"/>
        <w:numPr>
          <w:ilvl w:val="0"/>
          <w:numId w:val="59"/>
        </w:numPr>
        <w:spacing w:before="0" w:beforeAutospacing="0" w:after="0" w:afterAutospacing="0"/>
        <w:ind w:left="1622" w:firstLine="0"/>
        <w:textAlignment w:val="baseline"/>
        <w:rPr>
          <w:rFonts w:ascii="Trebuchet MS" w:hAnsi="Trebuchet MS"/>
          <w:sz w:val="18"/>
          <w:szCs w:val="18"/>
        </w:rPr>
      </w:pPr>
      <w:r w:rsidRPr="00C94180">
        <w:rPr>
          <w:rStyle w:val="normaltextrun"/>
          <w:rFonts w:ascii="Trebuchet MS" w:hAnsi="Trebuchet MS" w:eastAsiaTheme="majorEastAsia"/>
          <w:color w:val="000000"/>
          <w:sz w:val="18"/>
          <w:szCs w:val="18"/>
        </w:rPr>
        <w:t>Vragenlijst vmbo-leerlingen</w:t>
      </w:r>
      <w:r w:rsidRPr="00C94180">
        <w:rPr>
          <w:rStyle w:val="eop"/>
          <w:rFonts w:ascii="Trebuchet MS" w:hAnsi="Trebuchet MS" w:eastAsiaTheme="majorEastAsia"/>
          <w:color w:val="000000"/>
          <w:sz w:val="18"/>
          <w:szCs w:val="18"/>
        </w:rPr>
        <w:t> </w:t>
      </w:r>
    </w:p>
    <w:p w:rsidRPr="00C94180" w:rsidR="005D1BDB" w:rsidP="00426692" w:rsidRDefault="005D1BDB" w14:paraId="5A276B1C" w14:textId="77777777">
      <w:pPr>
        <w:pStyle w:val="paragraph"/>
        <w:numPr>
          <w:ilvl w:val="0"/>
          <w:numId w:val="60"/>
        </w:numPr>
        <w:spacing w:before="0" w:beforeAutospacing="0" w:after="0" w:afterAutospacing="0"/>
        <w:ind w:left="1620" w:firstLine="0"/>
        <w:textAlignment w:val="baseline"/>
        <w:rPr>
          <w:rFonts w:ascii="Trebuchet MS" w:hAnsi="Trebuchet MS"/>
          <w:sz w:val="18"/>
          <w:szCs w:val="18"/>
        </w:rPr>
      </w:pPr>
      <w:r w:rsidRPr="00C94180">
        <w:rPr>
          <w:rStyle w:val="normaltextrun"/>
          <w:rFonts w:ascii="Trebuchet MS" w:hAnsi="Trebuchet MS" w:eastAsiaTheme="majorEastAsia"/>
          <w:color w:val="000000"/>
          <w:sz w:val="18"/>
          <w:szCs w:val="18"/>
        </w:rPr>
        <w:t>Casestudies </w:t>
      </w:r>
      <w:r w:rsidRPr="00C94180">
        <w:rPr>
          <w:rStyle w:val="eop"/>
          <w:rFonts w:ascii="Trebuchet MS" w:hAnsi="Trebuchet MS" w:eastAsiaTheme="majorEastAsia"/>
          <w:color w:val="000000"/>
          <w:sz w:val="18"/>
          <w:szCs w:val="18"/>
        </w:rPr>
        <w:t> </w:t>
      </w:r>
    </w:p>
    <w:p w:rsidRPr="00C94180" w:rsidR="005D1BDB" w:rsidP="00426692" w:rsidRDefault="005D1BDB" w14:paraId="3544E684" w14:textId="77777777">
      <w:pPr>
        <w:pStyle w:val="paragraph"/>
        <w:numPr>
          <w:ilvl w:val="0"/>
          <w:numId w:val="61"/>
        </w:numPr>
        <w:spacing w:before="0" w:beforeAutospacing="0" w:after="0" w:afterAutospacing="0"/>
        <w:ind w:left="1620" w:firstLine="0"/>
        <w:textAlignment w:val="baseline"/>
        <w:rPr>
          <w:rFonts w:ascii="Trebuchet MS" w:hAnsi="Trebuchet MS"/>
          <w:sz w:val="18"/>
          <w:szCs w:val="18"/>
        </w:rPr>
      </w:pPr>
      <w:r w:rsidRPr="00C94180">
        <w:rPr>
          <w:rStyle w:val="normaltextrun"/>
          <w:rFonts w:ascii="Trebuchet MS" w:hAnsi="Trebuchet MS" w:eastAsiaTheme="majorEastAsia"/>
          <w:color w:val="000000"/>
          <w:sz w:val="18"/>
          <w:szCs w:val="18"/>
        </w:rPr>
        <w:t>Observaties techlabs en buitenschoolse activiteiten </w:t>
      </w:r>
      <w:r w:rsidRPr="00C94180">
        <w:rPr>
          <w:rStyle w:val="eop"/>
          <w:rFonts w:ascii="Trebuchet MS" w:hAnsi="Trebuchet MS" w:eastAsiaTheme="majorEastAsia"/>
          <w:color w:val="000000"/>
          <w:sz w:val="18"/>
          <w:szCs w:val="18"/>
        </w:rPr>
        <w:t> </w:t>
      </w:r>
    </w:p>
    <w:p w:rsidRPr="00C94180" w:rsidR="005D1BDB" w:rsidP="005D1BDB" w:rsidRDefault="005D1BDB" w14:paraId="2F4C2B86" w14:textId="77777777">
      <w:pPr>
        <w:pStyle w:val="paragraph"/>
        <w:spacing w:before="0" w:beforeAutospacing="0" w:after="0" w:afterAutospacing="0"/>
        <w:textAlignment w:val="baseline"/>
        <w:rPr>
          <w:rFonts w:ascii="Trebuchet MS" w:hAnsi="Trebuchet MS"/>
          <w:sz w:val="18"/>
          <w:szCs w:val="18"/>
        </w:rPr>
      </w:pPr>
      <w:r w:rsidRPr="00C94180">
        <w:rPr>
          <w:rStyle w:val="eop"/>
          <w:rFonts w:ascii="Trebuchet MS" w:hAnsi="Trebuchet MS" w:eastAsiaTheme="majorEastAsia"/>
          <w:sz w:val="18"/>
          <w:szCs w:val="18"/>
        </w:rPr>
        <w:t> </w:t>
      </w:r>
    </w:p>
    <w:p w:rsidRPr="00C94180" w:rsidR="005D1BDB" w:rsidP="005D1BDB" w:rsidRDefault="005D1BDB" w14:paraId="182E77CB"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Met de impactladder (ontleend aan CAOP) relateren we beschikbare middelen en ondernomen activiteiten aan resultaten bij leerlingen, lesgevenden, op scholen en in STO-regio’s en op landelijk niveau. Het hoogste niveau van een impactladder is de impact op maatschappelijk niveau. Dat niveau wordt zelden bereikt, maar zou bijvoorbeeld gezocht kunnen worden in een beter imago van technisch vmbo in de maatschappij. </w:t>
      </w:r>
      <w:r w:rsidRPr="00C94180">
        <w:rPr>
          <w:rStyle w:val="eop"/>
          <w:rFonts w:ascii="Trebuchet MS" w:hAnsi="Trebuchet MS" w:eastAsiaTheme="majorEastAsia"/>
          <w:sz w:val="18"/>
          <w:szCs w:val="18"/>
        </w:rPr>
        <w:t> </w:t>
      </w:r>
    </w:p>
    <w:p w:rsidRPr="00C94180" w:rsidR="005D1BDB" w:rsidP="005D1BDB" w:rsidRDefault="005D1BDB" w14:paraId="49B65E7E" w14:textId="77777777">
      <w:pPr>
        <w:pStyle w:val="paragraph"/>
        <w:spacing w:before="0" w:beforeAutospacing="0" w:after="0" w:afterAutospacing="0"/>
        <w:textAlignment w:val="baseline"/>
        <w:rPr>
          <w:rFonts w:ascii="Trebuchet MS" w:hAnsi="Trebuchet MS"/>
          <w:sz w:val="18"/>
          <w:szCs w:val="18"/>
        </w:rPr>
      </w:pPr>
      <w:r w:rsidRPr="00C94180">
        <w:rPr>
          <w:rStyle w:val="eop"/>
          <w:rFonts w:ascii="Trebuchet MS" w:hAnsi="Trebuchet MS" w:eastAsiaTheme="majorEastAsia"/>
          <w:sz w:val="18"/>
          <w:szCs w:val="18"/>
        </w:rPr>
        <w:lastRenderedPageBreak/>
        <w:t> </w:t>
      </w:r>
    </w:p>
    <w:p w:rsidRPr="00C94180" w:rsidR="005D1BDB" w:rsidP="005D1BDB" w:rsidRDefault="005D1BDB" w14:paraId="7453E701"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Die impactladder bestaat uit verschillende treden:</w:t>
      </w:r>
      <w:r w:rsidRPr="00C94180">
        <w:rPr>
          <w:rStyle w:val="eop"/>
          <w:rFonts w:ascii="Trebuchet MS" w:hAnsi="Trebuchet MS" w:eastAsiaTheme="majorEastAsia"/>
          <w:sz w:val="18"/>
          <w:szCs w:val="18"/>
        </w:rPr>
        <w:t> </w:t>
      </w:r>
    </w:p>
    <w:p w:rsidRPr="00C94180" w:rsidR="005D1BDB" w:rsidP="005D1BDB" w:rsidRDefault="005D1BDB" w14:paraId="51D20C65"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0. Input</w:t>
      </w:r>
      <w:r w:rsidRPr="00C94180">
        <w:rPr>
          <w:rStyle w:val="eop"/>
          <w:rFonts w:ascii="Trebuchet MS" w:hAnsi="Trebuchet MS" w:eastAsiaTheme="majorEastAsia"/>
          <w:sz w:val="18"/>
          <w:szCs w:val="18"/>
        </w:rPr>
        <w:t> </w:t>
      </w:r>
    </w:p>
    <w:p w:rsidRPr="00C94180" w:rsidR="005D1BDB" w:rsidP="005D1BDB" w:rsidRDefault="005D1BDB" w14:paraId="0232626D"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1. Output: Activiteiten (volgens plan uitgevoerd)</w:t>
      </w:r>
      <w:r w:rsidRPr="00C94180">
        <w:rPr>
          <w:rStyle w:val="eop"/>
          <w:rFonts w:ascii="Trebuchet MS" w:hAnsi="Trebuchet MS" w:eastAsiaTheme="majorEastAsia"/>
          <w:sz w:val="18"/>
          <w:szCs w:val="18"/>
        </w:rPr>
        <w:t> </w:t>
      </w:r>
    </w:p>
    <w:p w:rsidRPr="00C94180" w:rsidR="005D1BDB" w:rsidP="005D1BDB" w:rsidRDefault="005D1BDB" w14:paraId="61F69A01"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2. Output: Bereik van doelgroepen</w:t>
      </w:r>
      <w:r w:rsidRPr="00C94180">
        <w:rPr>
          <w:rStyle w:val="eop"/>
          <w:rFonts w:ascii="Trebuchet MS" w:hAnsi="Trebuchet MS" w:eastAsiaTheme="majorEastAsia"/>
          <w:sz w:val="18"/>
          <w:szCs w:val="18"/>
        </w:rPr>
        <w:t> </w:t>
      </w:r>
    </w:p>
    <w:p w:rsidRPr="00C94180" w:rsidR="005D1BDB" w:rsidP="005D1BDB" w:rsidRDefault="005D1BDB" w14:paraId="4C7F1139"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3. Output: Acceptatie door doelgroepen</w:t>
      </w:r>
      <w:r w:rsidRPr="00C94180">
        <w:rPr>
          <w:rStyle w:val="eop"/>
          <w:rFonts w:ascii="Trebuchet MS" w:hAnsi="Trebuchet MS" w:eastAsiaTheme="majorEastAsia"/>
          <w:sz w:val="18"/>
          <w:szCs w:val="18"/>
        </w:rPr>
        <w:t> </w:t>
      </w:r>
    </w:p>
    <w:p w:rsidRPr="00C94180" w:rsidR="005D1BDB" w:rsidP="005D1BDB" w:rsidRDefault="005D1BDB" w14:paraId="41C4A806"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4. Outcome: Verandering bij doelgroepen (leren, verandering van houding)</w:t>
      </w:r>
      <w:r w:rsidRPr="00C94180">
        <w:rPr>
          <w:rStyle w:val="eop"/>
          <w:rFonts w:ascii="Trebuchet MS" w:hAnsi="Trebuchet MS" w:eastAsiaTheme="majorEastAsia"/>
          <w:sz w:val="18"/>
          <w:szCs w:val="18"/>
        </w:rPr>
        <w:t> </w:t>
      </w:r>
    </w:p>
    <w:p w:rsidRPr="00C94180" w:rsidR="005D1BDB" w:rsidP="005D1BDB" w:rsidRDefault="005D1BDB" w14:paraId="306ED2BC"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5. Outcome: Aanpassing van gedrag bij doelgroepen</w:t>
      </w:r>
      <w:r w:rsidRPr="00C94180">
        <w:rPr>
          <w:rStyle w:val="eop"/>
          <w:rFonts w:ascii="Trebuchet MS" w:hAnsi="Trebuchet MS" w:eastAsiaTheme="majorEastAsia"/>
          <w:sz w:val="18"/>
          <w:szCs w:val="18"/>
        </w:rPr>
        <w:t> </w:t>
      </w:r>
    </w:p>
    <w:p w:rsidRPr="00C94180" w:rsidR="005D1BDB" w:rsidP="005D1BDB" w:rsidRDefault="005D1BDB" w14:paraId="269746FF"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6. Outcome: De situatie/omgeving van doelgroepen verandert</w:t>
      </w:r>
      <w:r w:rsidRPr="00C94180">
        <w:rPr>
          <w:rStyle w:val="eop"/>
          <w:rFonts w:ascii="Trebuchet MS" w:hAnsi="Trebuchet MS" w:eastAsiaTheme="majorEastAsia"/>
          <w:sz w:val="18"/>
          <w:szCs w:val="18"/>
        </w:rPr>
        <w:t> </w:t>
      </w:r>
    </w:p>
    <w:p w:rsidRPr="00C94180" w:rsidR="005D1BDB" w:rsidP="005D1BDB" w:rsidRDefault="005D1BDB" w14:paraId="148B702B"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7. Impact: Maatschappij/systeem verandert</w:t>
      </w:r>
      <w:r w:rsidRPr="00C94180">
        <w:rPr>
          <w:rStyle w:val="eop"/>
          <w:rFonts w:ascii="Trebuchet MS" w:hAnsi="Trebuchet MS" w:eastAsiaTheme="majorEastAsia"/>
          <w:sz w:val="18"/>
          <w:szCs w:val="18"/>
        </w:rPr>
        <w:t> </w:t>
      </w:r>
    </w:p>
    <w:p w:rsidRPr="00C94180" w:rsidR="005D1BDB" w:rsidP="005D1BDB" w:rsidRDefault="005D1BDB" w14:paraId="445AD8B2" w14:textId="77777777">
      <w:pPr>
        <w:pStyle w:val="paragraph"/>
        <w:spacing w:before="0" w:beforeAutospacing="0" w:after="0" w:afterAutospacing="0"/>
        <w:textAlignment w:val="baseline"/>
        <w:rPr>
          <w:rFonts w:ascii="Trebuchet MS" w:hAnsi="Trebuchet MS"/>
          <w:sz w:val="18"/>
          <w:szCs w:val="18"/>
        </w:rPr>
      </w:pPr>
      <w:r w:rsidRPr="00C94180">
        <w:rPr>
          <w:rStyle w:val="eop"/>
          <w:rFonts w:ascii="Trebuchet MS" w:hAnsi="Trebuchet MS" w:eastAsiaTheme="majorEastAsia"/>
          <w:sz w:val="18"/>
          <w:szCs w:val="18"/>
        </w:rPr>
        <w:t> </w:t>
      </w:r>
    </w:p>
    <w:p w:rsidRPr="00C94180" w:rsidR="005D1BDB" w:rsidP="005D1BDB" w:rsidRDefault="005D1BDB" w14:paraId="6C37EB8B"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De eerste trede (input) gaat over de middelen en ‘voorwaarden’ van de regeling (regiovorming, regioplannen, regionale samenwerking). De output gaat over wat er met de input is gedaan, de activiteiten die zijn uitgevoerd en de veranderingen die daardoor zijn gerealiseerd, het bereik daarvan en de acceptatie door betrokkenen. Outcome heeft betrekking op de resultaten en effecten bij leerlingen, docenten, scholen en regio’s. Dat heeft bijvoorbeeld betrekking op veranderingen in motivatie en gedrag. Ten slotte is er de impact op de maatschappij/het systeem. Dat niveau wordt zoals gezegd zelden bereikt, maar ook de niveaus van outcome worden vaak als ‘impact’ aangeduid. Input en output zijn door de uitvoerende partijen zelf te beïnvloeden en te sturen. Outcome en impact worden deels door de input en output beïnvloed, maar deels ook door externe factoren.</w:t>
      </w:r>
      <w:r w:rsidRPr="00C94180">
        <w:rPr>
          <w:rStyle w:val="eop"/>
          <w:rFonts w:ascii="Trebuchet MS" w:hAnsi="Trebuchet MS" w:eastAsiaTheme="majorEastAsia"/>
          <w:sz w:val="18"/>
          <w:szCs w:val="18"/>
        </w:rPr>
        <w:t> </w:t>
      </w:r>
    </w:p>
    <w:p w:rsidRPr="00C94180" w:rsidR="005D1BDB" w:rsidP="005D1BDB" w:rsidRDefault="005D1BDB" w14:paraId="38542D41" w14:textId="77777777">
      <w:pPr>
        <w:pStyle w:val="paragraph"/>
        <w:spacing w:before="0" w:beforeAutospacing="0" w:after="0" w:afterAutospacing="0"/>
        <w:textAlignment w:val="baseline"/>
        <w:rPr>
          <w:rFonts w:ascii="Trebuchet MS" w:hAnsi="Trebuchet MS"/>
          <w:sz w:val="18"/>
          <w:szCs w:val="18"/>
        </w:rPr>
      </w:pPr>
      <w:r w:rsidRPr="00C94180">
        <w:rPr>
          <w:rStyle w:val="eop"/>
          <w:rFonts w:ascii="Trebuchet MS" w:hAnsi="Trebuchet MS" w:eastAsiaTheme="majorEastAsia"/>
          <w:sz w:val="18"/>
          <w:szCs w:val="18"/>
        </w:rPr>
        <w:t> </w:t>
      </w:r>
    </w:p>
    <w:p w:rsidRPr="00C94180" w:rsidR="005D1BDB" w:rsidP="005D1BDB" w:rsidRDefault="005D1BDB" w14:paraId="1058F6E6"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Door de relatie tussen input, output, outcome en impact te beschrijven, kunnen we aannemelijk maken in hoeverre STO positief bijdraagt aan het oplossen van de knelpunten die aanleiding gaven voor STO.  We beschrijven dat hieronder nader per trede van de impactladder, waarbij vooraf wordt opgemerkt dat het onderscheid tussen output en outcome soms arbitrair is.</w:t>
      </w:r>
      <w:r w:rsidRPr="00C94180">
        <w:rPr>
          <w:rStyle w:val="eop"/>
          <w:rFonts w:ascii="Trebuchet MS" w:hAnsi="Trebuchet MS" w:eastAsiaTheme="majorEastAsia"/>
          <w:sz w:val="18"/>
          <w:szCs w:val="18"/>
        </w:rPr>
        <w:t> </w:t>
      </w:r>
    </w:p>
    <w:p w:rsidRPr="00C94180" w:rsidR="005D1BDB" w:rsidP="005D1BDB" w:rsidRDefault="005D1BDB" w14:paraId="400498B1" w14:textId="77777777">
      <w:pPr>
        <w:pStyle w:val="paragraph"/>
        <w:spacing w:before="0" w:beforeAutospacing="0" w:after="0" w:afterAutospacing="0"/>
        <w:textAlignment w:val="baseline"/>
        <w:rPr>
          <w:rFonts w:ascii="Trebuchet MS" w:hAnsi="Trebuchet MS"/>
          <w:sz w:val="18"/>
          <w:szCs w:val="18"/>
        </w:rPr>
      </w:pPr>
      <w:r w:rsidRPr="00C94180">
        <w:rPr>
          <w:rStyle w:val="eop"/>
          <w:rFonts w:ascii="Trebuchet MS" w:hAnsi="Trebuchet MS" w:eastAsiaTheme="majorEastAsia"/>
          <w:color w:val="000000"/>
          <w:sz w:val="18"/>
          <w:szCs w:val="18"/>
        </w:rPr>
        <w:t> </w:t>
      </w:r>
    </w:p>
    <w:p w:rsidRPr="00C94180" w:rsidR="005D1BDB" w:rsidP="005D1BDB" w:rsidRDefault="005D1BDB" w14:paraId="0B628E8D"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color w:val="000000"/>
          <w:sz w:val="18"/>
          <w:szCs w:val="18"/>
          <w:u w:val="single"/>
        </w:rPr>
        <w:t>Ad 0. Input</w:t>
      </w:r>
      <w:r w:rsidRPr="00C94180">
        <w:rPr>
          <w:rStyle w:val="eop"/>
          <w:rFonts w:ascii="Trebuchet MS" w:hAnsi="Trebuchet MS" w:eastAsiaTheme="majorEastAsia"/>
          <w:color w:val="498205"/>
          <w:sz w:val="18"/>
          <w:szCs w:val="18"/>
        </w:rPr>
        <w:t> </w:t>
      </w:r>
    </w:p>
    <w:p w:rsidRPr="00C94180" w:rsidR="005D1BDB" w:rsidP="005D1BDB" w:rsidRDefault="005D1BDB" w14:paraId="5F037F4D" w14:textId="77777777">
      <w:pPr>
        <w:pStyle w:val="paragraph"/>
        <w:spacing w:before="0" w:beforeAutospacing="0" w:after="0" w:afterAutospacing="0"/>
        <w:textAlignment w:val="baseline"/>
        <w:rPr>
          <w:rFonts w:ascii="Trebuchet MS" w:hAnsi="Trebuchet MS"/>
          <w:sz w:val="18"/>
          <w:szCs w:val="18"/>
        </w:rPr>
      </w:pPr>
      <w:r w:rsidRPr="00C94180">
        <w:rPr>
          <w:rStyle w:val="eop"/>
          <w:rFonts w:ascii="Trebuchet MS" w:hAnsi="Trebuchet MS" w:eastAsiaTheme="majorEastAsia"/>
          <w:color w:val="498205"/>
          <w:sz w:val="18"/>
          <w:szCs w:val="18"/>
        </w:rPr>
        <w:t> </w:t>
      </w:r>
    </w:p>
    <w:p w:rsidRPr="00C94180" w:rsidR="005D1BDB" w:rsidP="005D1BDB" w:rsidRDefault="005D1BDB" w14:paraId="2437A323" w14:textId="77777777">
      <w:pPr>
        <w:pStyle w:val="paragraph"/>
        <w:spacing w:before="0" w:beforeAutospacing="0" w:after="0" w:afterAutospacing="0"/>
        <w:textAlignment w:val="baseline"/>
        <w:rPr>
          <w:rStyle w:val="normaltextrun"/>
          <w:rFonts w:ascii="Trebuchet MS" w:hAnsi="Trebuchet MS" w:eastAsiaTheme="majorEastAsia"/>
          <w:i/>
          <w:iCs/>
          <w:sz w:val="18"/>
          <w:szCs w:val="18"/>
        </w:rPr>
      </w:pPr>
      <w:r w:rsidRPr="00C94180">
        <w:rPr>
          <w:rStyle w:val="normaltextrun"/>
          <w:rFonts w:ascii="Trebuchet MS" w:hAnsi="Trebuchet MS" w:eastAsiaTheme="majorEastAsia"/>
          <w:i/>
          <w:iCs/>
          <w:sz w:val="18"/>
          <w:szCs w:val="18"/>
        </w:rPr>
        <w:t>regeling</w:t>
      </w:r>
    </w:p>
    <w:p w:rsidRPr="00C94180" w:rsidR="005D1BDB" w:rsidP="005D1BDB" w:rsidRDefault="005D1BDB" w14:paraId="057A3A5A"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Sterk Techniekonderwijs is een kwaliteitsimpuls met als doel om – in regionale samenwerking van vmbo-scholen met po, mbo, bedrijfsleven - tot een duurzaam, dekkend en kwalitatief hoogstaand technisch aanbod in de regio te komen. De regio’s ontvangen daarvoor een subsidie van 100 miljoen per jaar, gebaseerd op het aantal leerlingen in een technisch profiel in de bovenbouw. Anders dan in eerdere techniekinitiatieven lag het initiatief bij het vmbo. </w:t>
      </w:r>
      <w:r w:rsidRPr="00C94180">
        <w:rPr>
          <w:rStyle w:val="eop"/>
          <w:rFonts w:ascii="Trebuchet MS" w:hAnsi="Trebuchet MS" w:eastAsiaTheme="majorEastAsia"/>
          <w:sz w:val="18"/>
          <w:szCs w:val="18"/>
        </w:rPr>
        <w:t> </w:t>
      </w:r>
    </w:p>
    <w:p w:rsidRPr="00C94180" w:rsidR="005D1BDB" w:rsidP="005D1BDB" w:rsidRDefault="005D1BDB" w14:paraId="3D1D50DC" w14:textId="77777777">
      <w:pPr>
        <w:pStyle w:val="paragraph"/>
        <w:spacing w:before="0" w:beforeAutospacing="0" w:after="0" w:afterAutospacing="0"/>
        <w:textAlignment w:val="baseline"/>
        <w:rPr>
          <w:rStyle w:val="eop"/>
          <w:rFonts w:ascii="Trebuchet MS" w:hAnsi="Trebuchet MS" w:eastAsiaTheme="majorEastAsia"/>
          <w:sz w:val="18"/>
          <w:szCs w:val="18"/>
        </w:rPr>
      </w:pPr>
    </w:p>
    <w:p w:rsidRPr="00C94180" w:rsidR="005D1BDB" w:rsidP="005D1BDB" w:rsidRDefault="005D1BDB" w14:paraId="28B3CA4F"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De opdracht van STO is drieledig: het gaat om dekkend, duurzaam en kwalitatief onderwijs. Voor alle drie de doelen geldt dat er voldoende leerlingen nodig zijn, om het onderwijs nu en in de toekomst doelmatig te kunnen blijven aanbieden, waardoor techniekaanbod behouden en bereikbaar kan blijven kan blijven en kwalitatief onderwijs geboden kan worden. De doelen ‘duurzaam’ en ‘dekkend’ (in de betekenis van bereikbaar voor leerlingen) hangen samen; voor het behoud van techniekonderwijs is het op peil houden of vergroten van de instroom voorwaardelijk. Samenwerking is in ieder geval nodig om regionale afspraken rond een duurzaam en dekkend aanbod te realiseren. In die zin is samenwerking in de regio op te vatten als een ‘tussendoel’. </w:t>
      </w:r>
      <w:r w:rsidRPr="00C94180">
        <w:rPr>
          <w:rStyle w:val="eop"/>
          <w:rFonts w:ascii="Trebuchet MS" w:hAnsi="Trebuchet MS" w:eastAsiaTheme="majorEastAsia"/>
          <w:sz w:val="18"/>
          <w:szCs w:val="18"/>
        </w:rPr>
        <w:t> </w:t>
      </w:r>
    </w:p>
    <w:p w:rsidRPr="00C94180" w:rsidR="005D1BDB" w:rsidP="005D1BDB" w:rsidRDefault="005D1BDB" w14:paraId="14650FFE" w14:textId="77777777">
      <w:pPr>
        <w:pStyle w:val="paragraph"/>
        <w:spacing w:before="0" w:beforeAutospacing="0" w:after="0" w:afterAutospacing="0"/>
        <w:textAlignment w:val="baseline"/>
        <w:rPr>
          <w:rStyle w:val="eop"/>
          <w:rFonts w:ascii="Trebuchet MS" w:hAnsi="Trebuchet MS" w:eastAsiaTheme="majorEastAsia"/>
          <w:sz w:val="18"/>
          <w:szCs w:val="18"/>
        </w:rPr>
      </w:pPr>
    </w:p>
    <w:p w:rsidRPr="00C94180" w:rsidR="005D1BDB" w:rsidP="005D1BDB" w:rsidRDefault="005D1BDB" w14:paraId="04234E35" w14:textId="77777777">
      <w:pPr>
        <w:pStyle w:val="paragraph"/>
        <w:spacing w:before="0" w:beforeAutospacing="0" w:after="0" w:afterAutospacing="0"/>
        <w:textAlignment w:val="baseline"/>
        <w:rPr>
          <w:rStyle w:val="normaltextrun"/>
          <w:rFonts w:ascii="Trebuchet MS" w:hAnsi="Trebuchet MS" w:eastAsiaTheme="majorEastAsia"/>
          <w:i/>
          <w:iCs/>
          <w:sz w:val="18"/>
          <w:szCs w:val="18"/>
        </w:rPr>
      </w:pPr>
      <w:r w:rsidRPr="00C94180">
        <w:rPr>
          <w:rStyle w:val="normaltextrun"/>
          <w:rFonts w:ascii="Trebuchet MS" w:hAnsi="Trebuchet MS" w:eastAsiaTheme="majorEastAsia"/>
          <w:i/>
          <w:iCs/>
          <w:sz w:val="18"/>
          <w:szCs w:val="18"/>
        </w:rPr>
        <w:t>focus bij de start</w:t>
      </w:r>
    </w:p>
    <w:p w:rsidRPr="00C94180" w:rsidR="005D1BDB" w:rsidP="005D1BDB" w:rsidRDefault="005D1BDB" w14:paraId="597BECF1"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In de nulmeting (Mulder e.a., 2019) gaven scholen aan STO in eerste instantie op te vatten als werken aan kwalitatief hoogstaand onderwijs op de eigen school, terwijl ‘dekkend’ en ‘duurzaam’ onderwijs al verder afstaande regionale vraagstukken waren. De focus lag aanvankelijk sterk op de harde techniekprofielen in de bovenbouw vmbo. Waar de urgentie door krimp al hoog was, waren er vaak voorafgaand al stappen gezet voor een doelmatiger aanbod dat in de regio is afgestemd (bijvoorbeeld door fusie); daarnaast hebben vmbo-scholen ook andere manieren om onderwijs doelmatig te maken, zoals door het combineren van leerwegen, vakken en/of leerjaren. </w:t>
      </w:r>
      <w:r w:rsidRPr="00C94180">
        <w:rPr>
          <w:rStyle w:val="eop"/>
          <w:rFonts w:ascii="Trebuchet MS" w:hAnsi="Trebuchet MS" w:eastAsiaTheme="majorEastAsia"/>
          <w:sz w:val="18"/>
          <w:szCs w:val="18"/>
        </w:rPr>
        <w:t> </w:t>
      </w:r>
    </w:p>
    <w:p w:rsidRPr="00C94180" w:rsidR="005D1BDB" w:rsidP="005D1BDB" w:rsidRDefault="005D1BDB" w14:paraId="023DC168" w14:textId="77777777">
      <w:pPr>
        <w:pStyle w:val="paragraph"/>
        <w:spacing w:before="0" w:beforeAutospacing="0" w:after="0" w:afterAutospacing="0"/>
        <w:textAlignment w:val="baseline"/>
        <w:rPr>
          <w:rFonts w:ascii="Trebuchet MS" w:hAnsi="Trebuchet MS"/>
          <w:sz w:val="18"/>
          <w:szCs w:val="18"/>
        </w:rPr>
      </w:pPr>
      <w:r w:rsidRPr="00C94180">
        <w:rPr>
          <w:rStyle w:val="eop"/>
          <w:rFonts w:ascii="Trebuchet MS" w:hAnsi="Trebuchet MS" w:eastAsiaTheme="majorEastAsia"/>
          <w:sz w:val="18"/>
          <w:szCs w:val="18"/>
        </w:rPr>
        <w:t> </w:t>
      </w:r>
    </w:p>
    <w:p w:rsidRPr="00C94180" w:rsidR="005D1BDB" w:rsidP="005D1BDB" w:rsidRDefault="005D1BDB" w14:paraId="16315CD2" w14:textId="77777777">
      <w:pPr>
        <w:pStyle w:val="paragraph"/>
        <w:spacing w:before="0" w:beforeAutospacing="0" w:after="0" w:afterAutospacing="0"/>
        <w:textAlignment w:val="baseline"/>
        <w:rPr>
          <w:rStyle w:val="normaltextrun"/>
          <w:rFonts w:ascii="Trebuchet MS" w:hAnsi="Trebuchet MS" w:eastAsiaTheme="majorEastAsia"/>
          <w:i/>
          <w:iCs/>
          <w:sz w:val="18"/>
          <w:szCs w:val="18"/>
        </w:rPr>
      </w:pPr>
      <w:r w:rsidRPr="00C94180">
        <w:rPr>
          <w:rStyle w:val="normaltextrun"/>
          <w:rFonts w:ascii="Trebuchet MS" w:hAnsi="Trebuchet MS" w:eastAsiaTheme="majorEastAsia"/>
          <w:i/>
          <w:iCs/>
          <w:sz w:val="18"/>
          <w:szCs w:val="18"/>
        </w:rPr>
        <w:t>verwachting</w:t>
      </w:r>
    </w:p>
    <w:p w:rsidRPr="00C94180" w:rsidR="005D1BDB" w:rsidP="005D1BDB" w:rsidRDefault="005D1BDB" w14:paraId="7EC293F1"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Er leefde bij de start van STO een sterk vertrouwen dat met de STO-middelen het onderwijs zó aantrekkelijk gemaakt kon worden, dat de aantallen leerlingen in de technische profielen voldoende substantieel werden. De urgentie lag in de eerste planfase vooral bij de docententekorten en bij de beschikbare faciliteiten voor techniek (de basis). De samenwerking van het vmbo onderling stond op een laag pitje. Samenwerking met regionale actoren was doorgaans nieuw en het was voor betrokkenen lastig aan te geven wat nodig is om de regionale samenwerking goed op te zetten en door te ontwikkelen. </w:t>
      </w:r>
      <w:r w:rsidRPr="00C94180">
        <w:rPr>
          <w:rStyle w:val="eop"/>
          <w:rFonts w:ascii="Trebuchet MS" w:hAnsi="Trebuchet MS" w:eastAsiaTheme="majorEastAsia"/>
          <w:sz w:val="18"/>
          <w:szCs w:val="18"/>
        </w:rPr>
        <w:t> </w:t>
      </w:r>
    </w:p>
    <w:p w:rsidRPr="00C94180" w:rsidR="005D1BDB" w:rsidP="005D1BDB" w:rsidRDefault="005D1BDB" w14:paraId="09B2897A" w14:textId="77777777">
      <w:pPr>
        <w:pStyle w:val="paragraph"/>
        <w:spacing w:before="0" w:beforeAutospacing="0" w:after="0" w:afterAutospacing="0"/>
        <w:textAlignment w:val="baseline"/>
        <w:rPr>
          <w:rFonts w:ascii="Trebuchet MS" w:hAnsi="Trebuchet MS"/>
          <w:sz w:val="18"/>
          <w:szCs w:val="18"/>
        </w:rPr>
      </w:pPr>
      <w:r w:rsidRPr="00C94180">
        <w:rPr>
          <w:rStyle w:val="eop"/>
          <w:rFonts w:ascii="Trebuchet MS" w:hAnsi="Trebuchet MS" w:eastAsiaTheme="majorEastAsia"/>
          <w:sz w:val="18"/>
          <w:szCs w:val="18"/>
        </w:rPr>
        <w:t> </w:t>
      </w:r>
    </w:p>
    <w:p w:rsidR="007F4CC2" w:rsidP="005D1BDB" w:rsidRDefault="007F4CC2" w14:paraId="42B8D288" w14:textId="77777777">
      <w:pPr>
        <w:pStyle w:val="paragraph"/>
        <w:spacing w:before="0" w:beforeAutospacing="0" w:after="0" w:afterAutospacing="0"/>
        <w:textAlignment w:val="baseline"/>
        <w:rPr>
          <w:rStyle w:val="normaltextrun"/>
          <w:rFonts w:ascii="Trebuchet MS" w:hAnsi="Trebuchet MS" w:eastAsiaTheme="majorEastAsia"/>
          <w:i/>
          <w:iCs/>
          <w:sz w:val="18"/>
          <w:szCs w:val="18"/>
        </w:rPr>
      </w:pPr>
    </w:p>
    <w:p w:rsidR="007F4CC2" w:rsidP="005D1BDB" w:rsidRDefault="007F4CC2" w14:paraId="6A5944D0" w14:textId="77777777">
      <w:pPr>
        <w:pStyle w:val="paragraph"/>
        <w:spacing w:before="0" w:beforeAutospacing="0" w:after="0" w:afterAutospacing="0"/>
        <w:textAlignment w:val="baseline"/>
        <w:rPr>
          <w:rStyle w:val="normaltextrun"/>
          <w:rFonts w:ascii="Trebuchet MS" w:hAnsi="Trebuchet MS" w:eastAsiaTheme="majorEastAsia"/>
          <w:i/>
          <w:iCs/>
          <w:sz w:val="18"/>
          <w:szCs w:val="18"/>
        </w:rPr>
      </w:pPr>
    </w:p>
    <w:p w:rsidRPr="00C94180" w:rsidR="005D1BDB" w:rsidP="005D1BDB" w:rsidRDefault="005D1BDB" w14:paraId="2150C9CA" w14:textId="47718DC9">
      <w:pPr>
        <w:pStyle w:val="paragraph"/>
        <w:spacing w:before="0" w:beforeAutospacing="0" w:after="0" w:afterAutospacing="0"/>
        <w:textAlignment w:val="baseline"/>
        <w:rPr>
          <w:rStyle w:val="normaltextrun"/>
          <w:rFonts w:ascii="Trebuchet MS" w:hAnsi="Trebuchet MS" w:eastAsiaTheme="majorEastAsia"/>
          <w:i/>
          <w:iCs/>
          <w:sz w:val="18"/>
          <w:szCs w:val="18"/>
        </w:rPr>
      </w:pPr>
      <w:r w:rsidRPr="00C94180">
        <w:rPr>
          <w:rStyle w:val="normaltextrun"/>
          <w:rFonts w:ascii="Trebuchet MS" w:hAnsi="Trebuchet MS" w:eastAsiaTheme="majorEastAsia"/>
          <w:i/>
          <w:iCs/>
          <w:sz w:val="18"/>
          <w:szCs w:val="18"/>
        </w:rPr>
        <w:lastRenderedPageBreak/>
        <w:t>activiteitenplannen</w:t>
      </w:r>
    </w:p>
    <w:p w:rsidRPr="00C94180" w:rsidR="005D1BDB" w:rsidP="005D1BDB" w:rsidRDefault="005D1BDB" w14:paraId="335A1443"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Na de vorming van de STO-regio’s</w:t>
      </w:r>
      <w:r w:rsidRPr="00C94180">
        <w:rPr>
          <w:rStyle w:val="normaltextrun"/>
          <w:rFonts w:ascii="Trebuchet MS" w:hAnsi="Trebuchet MS" w:eastAsiaTheme="majorEastAsia"/>
          <w:color w:val="498205"/>
          <w:sz w:val="18"/>
          <w:szCs w:val="18"/>
        </w:rPr>
        <w:t>,</w:t>
      </w:r>
      <w:r w:rsidRPr="00C94180">
        <w:rPr>
          <w:rStyle w:val="normaltextrun"/>
          <w:rFonts w:ascii="Trebuchet MS" w:hAnsi="Trebuchet MS" w:eastAsiaTheme="majorEastAsia"/>
          <w:sz w:val="18"/>
          <w:szCs w:val="18"/>
        </w:rPr>
        <w:t xml:space="preserve"> zijn alle regio’s aan de slag gegaan met een regiovisie en een activiteitenplan. Soms omschreef men de planfase als “met stoom en kokend water” en bleken bijvoorbeeld achteraf partijen niet betrokken te zijn, die wel betrokken hadden moeten worden. Regio’s verschilden sterk van elkaar op kenmer</w:t>
      </w:r>
      <w:r w:rsidRPr="00C94180">
        <w:rPr>
          <w:rStyle w:val="normaltextrun"/>
          <w:rFonts w:ascii="Trebuchet MS" w:hAnsi="Trebuchet MS" w:eastAsiaTheme="majorEastAsia"/>
          <w:color w:val="498205"/>
          <w:sz w:val="18"/>
          <w:szCs w:val="18"/>
        </w:rPr>
        <w:t>k</w:t>
      </w:r>
      <w:r w:rsidRPr="00C94180">
        <w:rPr>
          <w:rStyle w:val="normaltextrun"/>
          <w:rFonts w:ascii="Trebuchet MS" w:hAnsi="Trebuchet MS" w:eastAsiaTheme="majorEastAsia"/>
          <w:sz w:val="18"/>
          <w:szCs w:val="18"/>
        </w:rPr>
        <w:t>en als soort en aantal partners waarmee samenwerking werd gezocht, demografische kenmerken (leerlingenkrimp), docententekort en de regionale arbeidsmarkt. Ondanks deze verschillen vertoonden de activiteitenplannen in hoofdlijnen veel overeenkomsten, met veel activiteiten gericht op het bevorderen van instroom in techniekopleidingen en het verbeteren van kwaliteit en actualiteit van het techniekonderwijs, door middel van investeringen in materialen en apparatuur, meer praktijk in het onderwijs, inhoudelijke vernieuwing en doorlopende leerroutes po-vmbo-mbo en professionalisering van docenten. De hybride docent werd als dé oplossing gezien voor het docententekort (Muskens e.a., 2021; Voncken, e.a., 2020). </w:t>
      </w:r>
      <w:r w:rsidRPr="00C94180">
        <w:rPr>
          <w:rStyle w:val="eop"/>
          <w:rFonts w:ascii="Trebuchet MS" w:hAnsi="Trebuchet MS" w:eastAsiaTheme="majorEastAsia"/>
          <w:sz w:val="18"/>
          <w:szCs w:val="18"/>
        </w:rPr>
        <w:t> </w:t>
      </w:r>
    </w:p>
    <w:p w:rsidRPr="00C94180" w:rsidR="005D1BDB" w:rsidP="005D1BDB" w:rsidRDefault="005D1BDB" w14:paraId="21C82BED" w14:textId="77777777">
      <w:pPr>
        <w:pStyle w:val="paragraph"/>
        <w:spacing w:before="0" w:beforeAutospacing="0" w:after="0" w:afterAutospacing="0"/>
        <w:textAlignment w:val="baseline"/>
        <w:rPr>
          <w:rFonts w:ascii="Trebuchet MS" w:hAnsi="Trebuchet MS"/>
          <w:sz w:val="18"/>
          <w:szCs w:val="18"/>
        </w:rPr>
      </w:pPr>
      <w:r w:rsidRPr="00C94180">
        <w:rPr>
          <w:rStyle w:val="eop"/>
          <w:rFonts w:ascii="Trebuchet MS" w:hAnsi="Trebuchet MS" w:eastAsiaTheme="majorEastAsia"/>
          <w:sz w:val="18"/>
          <w:szCs w:val="18"/>
        </w:rPr>
        <w:t> </w:t>
      </w:r>
    </w:p>
    <w:p w:rsidRPr="00C94180" w:rsidR="005D1BDB" w:rsidP="005D1BDB" w:rsidRDefault="005D1BDB" w14:paraId="1749F7EB" w14:textId="77777777">
      <w:pPr>
        <w:pStyle w:val="paragraph"/>
        <w:spacing w:before="0" w:beforeAutospacing="0" w:after="0" w:afterAutospacing="0"/>
        <w:textAlignment w:val="baseline"/>
        <w:rPr>
          <w:rStyle w:val="eop"/>
          <w:rFonts w:ascii="Trebuchet MS" w:hAnsi="Trebuchet MS" w:eastAsiaTheme="majorEastAsia"/>
          <w:sz w:val="18"/>
          <w:szCs w:val="18"/>
        </w:rPr>
      </w:pPr>
      <w:r w:rsidRPr="00C94180">
        <w:rPr>
          <w:rStyle w:val="normaltextrun"/>
          <w:rFonts w:ascii="Trebuchet MS" w:hAnsi="Trebuchet MS" w:eastAsiaTheme="majorEastAsia"/>
          <w:sz w:val="18"/>
          <w:szCs w:val="18"/>
        </w:rPr>
        <w:t>De activiteitenplannen van de regio’s waren vaak heel breed. Twee (denk)lijnen waren daarin duidelijk te onderscheiden: de inzet op instroombevordering met een brede inzet in de keten (met onder andere veel activiteiten gericht op promotie van techniek, het beeld van techniek, activiteiten gericht op het po en op doorlopende lijnen met het mbo); en de inzet binnen het vmbo, gericht op kwaliteitsverbetering en aantrekkelijk(er) maken van het onderwijs (professionalisering, aantrekken docenten, keuzevakken, faciliteiten, etc). In een aantal regio’s waren er projecten gericht op het aantrekken van (hybride) docenten.   </w:t>
      </w:r>
    </w:p>
    <w:p w:rsidRPr="00C94180" w:rsidR="005D1BDB" w:rsidP="005D1BDB" w:rsidRDefault="005D1BDB" w14:paraId="0BB8BD87"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Bij aanvang was vaak nog onduidelijk of en hoe dat concreet realiseerbaar was. </w:t>
      </w:r>
      <w:r w:rsidRPr="00C94180">
        <w:rPr>
          <w:rStyle w:val="eop"/>
          <w:rFonts w:ascii="Trebuchet MS" w:hAnsi="Trebuchet MS" w:eastAsiaTheme="majorEastAsia"/>
          <w:sz w:val="18"/>
          <w:szCs w:val="18"/>
        </w:rPr>
        <w:t> </w:t>
      </w:r>
    </w:p>
    <w:p w:rsidRPr="00C94180" w:rsidR="005D1BDB" w:rsidP="005D1BDB" w:rsidRDefault="005D1BDB" w14:paraId="494B9EA3" w14:textId="77777777">
      <w:pPr>
        <w:pStyle w:val="paragraph"/>
        <w:spacing w:before="0" w:beforeAutospacing="0" w:after="0" w:afterAutospacing="0"/>
        <w:textAlignment w:val="baseline"/>
        <w:rPr>
          <w:rStyle w:val="normaltextrun"/>
          <w:rFonts w:ascii="Trebuchet MS" w:hAnsi="Trebuchet MS" w:eastAsiaTheme="majorEastAsia"/>
          <w:i/>
          <w:iCs/>
          <w:sz w:val="18"/>
          <w:szCs w:val="18"/>
        </w:rPr>
      </w:pPr>
    </w:p>
    <w:p w:rsidRPr="00C94180" w:rsidR="005D1BDB" w:rsidP="005D1BDB" w:rsidRDefault="005D1BDB" w14:paraId="7511AEB3" w14:textId="77777777">
      <w:pPr>
        <w:pStyle w:val="paragraph"/>
        <w:spacing w:before="0" w:beforeAutospacing="0" w:after="0" w:afterAutospacing="0"/>
        <w:textAlignment w:val="baseline"/>
        <w:rPr>
          <w:rStyle w:val="normaltextrun"/>
          <w:rFonts w:ascii="Trebuchet MS" w:hAnsi="Trebuchet MS" w:eastAsiaTheme="majorEastAsia"/>
          <w:i/>
          <w:iCs/>
          <w:sz w:val="18"/>
          <w:szCs w:val="18"/>
        </w:rPr>
      </w:pPr>
      <w:r w:rsidRPr="00C94180">
        <w:rPr>
          <w:rStyle w:val="normaltextrun"/>
          <w:rFonts w:ascii="Trebuchet MS" w:hAnsi="Trebuchet MS" w:eastAsiaTheme="majorEastAsia"/>
          <w:i/>
          <w:iCs/>
          <w:sz w:val="18"/>
          <w:szCs w:val="18"/>
        </w:rPr>
        <w:t>middelenverdeling</w:t>
      </w:r>
    </w:p>
    <w:p w:rsidR="005D1BDB" w:rsidP="005D1BDB" w:rsidRDefault="005D1BDB" w14:paraId="426800EA" w14:textId="77777777">
      <w:pPr>
        <w:pStyle w:val="paragraph"/>
        <w:spacing w:before="0" w:beforeAutospacing="0" w:after="0" w:afterAutospacing="0"/>
        <w:textAlignment w:val="baseline"/>
        <w:rPr>
          <w:rStyle w:val="eop"/>
          <w:rFonts w:ascii="Trebuchet MS" w:hAnsi="Trebuchet MS" w:eastAsiaTheme="majorEastAsia"/>
          <w:color w:val="498205"/>
          <w:sz w:val="18"/>
          <w:szCs w:val="18"/>
        </w:rPr>
      </w:pPr>
      <w:r w:rsidRPr="00C94180">
        <w:rPr>
          <w:rStyle w:val="normaltextrun"/>
          <w:rFonts w:ascii="Trebuchet MS" w:hAnsi="Trebuchet MS" w:eastAsiaTheme="majorEastAsia"/>
          <w:sz w:val="18"/>
          <w:szCs w:val="18"/>
        </w:rPr>
        <w:t>Het regionale STO-budget vormt - naast de cofinanciering van bedrijven (verplicht) en eventueel van scholen zelf - in alle regio’s de belangrijkste basis voor de input oftewel de geplande activiteiten. Er zijn twee hoofdmanieren waarop de regio’s de STO-middelen inzetten en verdelen: via een verdeelsleutel over de scholen (bijna 60%), of in regionaal beheer waarbij een deel van het geld bijvoorbeeld gaat naar onderbouwde aanvragen van scholen en partners in STO, volgens afgesproken inzet op activiteiten/of deels naar regionale voorzieningen. Vaak is er een mengvorm, waarin bijvoorbeeld het merendeel van het budget direct naar scholen gaat en een deels wordt gereserveerd voor specifieke projecten en aanvragen. In elke regio is er een programma- of projectstructuur ingericht met een stuurgroep, regiegroep, projectgroep, werk- en ontwikkelgroepen. </w:t>
      </w:r>
      <w:r w:rsidRPr="00C94180">
        <w:rPr>
          <w:rStyle w:val="eop"/>
          <w:rFonts w:ascii="Trebuchet MS" w:hAnsi="Trebuchet MS" w:eastAsiaTheme="majorEastAsia"/>
          <w:color w:val="498205"/>
          <w:sz w:val="18"/>
          <w:szCs w:val="18"/>
        </w:rPr>
        <w:t> </w:t>
      </w:r>
    </w:p>
    <w:p w:rsidRPr="00C94180" w:rsidR="005D1BDB" w:rsidP="005D1BDB" w:rsidRDefault="005D1BDB" w14:paraId="2AF7DC76" w14:textId="77777777">
      <w:pPr>
        <w:pStyle w:val="paragraph"/>
        <w:spacing w:before="0" w:beforeAutospacing="0" w:after="0" w:afterAutospacing="0"/>
        <w:textAlignment w:val="baseline"/>
        <w:rPr>
          <w:rFonts w:ascii="Trebuchet MS" w:hAnsi="Trebuchet MS"/>
          <w:sz w:val="18"/>
          <w:szCs w:val="18"/>
        </w:rPr>
      </w:pPr>
    </w:p>
    <w:p w:rsidRPr="00C94180" w:rsidR="005D1BDB" w:rsidP="005D1BDB" w:rsidRDefault="005D1BDB" w14:paraId="01D17157" w14:textId="77777777">
      <w:pPr>
        <w:pStyle w:val="paragraph"/>
        <w:spacing w:before="0" w:beforeAutospacing="0" w:after="0" w:afterAutospacing="0"/>
        <w:textAlignment w:val="baseline"/>
        <w:rPr>
          <w:rFonts w:ascii="Trebuchet MS" w:hAnsi="Trebuchet MS"/>
          <w:sz w:val="18"/>
          <w:szCs w:val="18"/>
        </w:rPr>
      </w:pPr>
      <w:r w:rsidRPr="00C94180">
        <w:rPr>
          <w:rStyle w:val="eop"/>
          <w:rFonts w:ascii="Trebuchet MS" w:hAnsi="Trebuchet MS" w:eastAsiaTheme="majorEastAsia"/>
          <w:color w:val="498205"/>
          <w:sz w:val="18"/>
          <w:szCs w:val="18"/>
        </w:rPr>
        <w:t> </w:t>
      </w:r>
      <w:r w:rsidRPr="00C94180">
        <w:rPr>
          <w:rStyle w:val="normaltextrun"/>
          <w:rFonts w:ascii="Trebuchet MS" w:hAnsi="Trebuchet MS" w:eastAsiaTheme="majorEastAsia"/>
          <w:color w:val="000000"/>
          <w:sz w:val="18"/>
          <w:szCs w:val="18"/>
          <w:u w:val="single"/>
        </w:rPr>
        <w:t xml:space="preserve">Ad 1. Output: inzet van activiteiten/veranderingen </w:t>
      </w:r>
    </w:p>
    <w:p w:rsidRPr="00C94180" w:rsidR="005D1BDB" w:rsidP="005D1BDB" w:rsidRDefault="005D1BDB" w14:paraId="5AF5BB3E" w14:textId="77777777">
      <w:pPr>
        <w:pStyle w:val="paragraph"/>
        <w:spacing w:before="0" w:beforeAutospacing="0" w:after="0" w:afterAutospacing="0"/>
        <w:textAlignment w:val="baseline"/>
        <w:rPr>
          <w:rFonts w:ascii="Trebuchet MS" w:hAnsi="Trebuchet MS"/>
          <w:sz w:val="18"/>
          <w:szCs w:val="18"/>
        </w:rPr>
      </w:pPr>
      <w:r w:rsidRPr="00C94180">
        <w:rPr>
          <w:rStyle w:val="eop"/>
          <w:rFonts w:ascii="Trebuchet MS" w:hAnsi="Trebuchet MS" w:eastAsiaTheme="majorEastAsia"/>
          <w:sz w:val="18"/>
          <w:szCs w:val="18"/>
        </w:rPr>
        <w:t> </w:t>
      </w:r>
    </w:p>
    <w:p w:rsidRPr="00C94180" w:rsidR="005D1BDB" w:rsidP="005D1BDB" w:rsidRDefault="005D1BDB" w14:paraId="201D32E9" w14:textId="77777777">
      <w:pPr>
        <w:pStyle w:val="paragraph"/>
        <w:spacing w:before="0" w:beforeAutospacing="0" w:after="0" w:afterAutospacing="0"/>
        <w:textAlignment w:val="baseline"/>
        <w:rPr>
          <w:rStyle w:val="eop"/>
          <w:rFonts w:ascii="Trebuchet MS" w:hAnsi="Trebuchet MS" w:eastAsiaTheme="majorEastAsia"/>
          <w:i/>
          <w:iCs/>
          <w:sz w:val="18"/>
          <w:szCs w:val="18"/>
        </w:rPr>
      </w:pPr>
      <w:r w:rsidRPr="00C94180">
        <w:rPr>
          <w:rStyle w:val="eop"/>
          <w:rFonts w:ascii="Trebuchet MS" w:hAnsi="Trebuchet MS" w:eastAsiaTheme="majorEastAsia"/>
          <w:i/>
          <w:iCs/>
          <w:sz w:val="18"/>
          <w:szCs w:val="18"/>
        </w:rPr>
        <w:t>realisatie activiteiten</w:t>
      </w:r>
    </w:p>
    <w:p w:rsidRPr="00C94180" w:rsidR="005D1BDB" w:rsidP="005D1BDB" w:rsidRDefault="005D1BDB" w14:paraId="1B36E904" w14:textId="77777777">
      <w:pPr>
        <w:pStyle w:val="paragraph"/>
        <w:spacing w:before="0" w:beforeAutospacing="0" w:after="0" w:afterAutospacing="0"/>
        <w:textAlignment w:val="baseline"/>
        <w:rPr>
          <w:rStyle w:val="normaltextrun"/>
          <w:rFonts w:ascii="Trebuchet MS" w:hAnsi="Trebuchet MS" w:eastAsiaTheme="majorEastAsia"/>
          <w:sz w:val="18"/>
          <w:szCs w:val="18"/>
        </w:rPr>
      </w:pPr>
      <w:r w:rsidRPr="00C94180">
        <w:rPr>
          <w:rStyle w:val="normaltextrun"/>
          <w:rFonts w:ascii="Trebuchet MS" w:hAnsi="Trebuchet MS" w:eastAsiaTheme="majorEastAsia"/>
          <w:sz w:val="18"/>
          <w:szCs w:val="18"/>
        </w:rPr>
        <w:t xml:space="preserve">In driekwart van de regio’s zijn de activiteiten volgens plan uitgevoerd; in een kwart van de regio’s is zelfs meer gedaan dan gepland, en bij een op de vijf regio’s minder dan voorgenomen. </w:t>
      </w:r>
    </w:p>
    <w:p w:rsidRPr="00C94180" w:rsidR="005D1BDB" w:rsidP="005D1BDB" w:rsidRDefault="005D1BDB" w14:paraId="24960629" w14:textId="77777777">
      <w:pPr>
        <w:pStyle w:val="paragraph"/>
        <w:spacing w:before="0" w:beforeAutospacing="0" w:after="0" w:afterAutospacing="0"/>
        <w:textAlignment w:val="baseline"/>
        <w:rPr>
          <w:rStyle w:val="normaltextrun"/>
          <w:rFonts w:ascii="Trebuchet MS" w:hAnsi="Trebuchet MS" w:eastAsiaTheme="majorEastAsia"/>
          <w:sz w:val="18"/>
          <w:szCs w:val="18"/>
        </w:rPr>
      </w:pPr>
    </w:p>
    <w:p w:rsidRPr="00C94180" w:rsidR="005D1BDB" w:rsidP="005D1BDB" w:rsidRDefault="005D1BDB" w14:paraId="2A772637" w14:textId="77777777">
      <w:pPr>
        <w:pStyle w:val="paragraph"/>
        <w:spacing w:before="0" w:beforeAutospacing="0" w:after="0" w:afterAutospacing="0"/>
        <w:textAlignment w:val="baseline"/>
        <w:rPr>
          <w:rStyle w:val="normaltextrun"/>
          <w:rFonts w:ascii="Trebuchet MS" w:hAnsi="Trebuchet MS" w:eastAsiaTheme="majorEastAsia"/>
          <w:i/>
          <w:iCs/>
          <w:sz w:val="18"/>
          <w:szCs w:val="18"/>
        </w:rPr>
      </w:pPr>
      <w:r w:rsidRPr="00C94180">
        <w:rPr>
          <w:rStyle w:val="normaltextrun"/>
          <w:rFonts w:ascii="Trebuchet MS" w:hAnsi="Trebuchet MS" w:eastAsiaTheme="majorEastAsia"/>
          <w:i/>
          <w:iCs/>
          <w:sz w:val="18"/>
          <w:szCs w:val="18"/>
        </w:rPr>
        <w:t>verschillen in focus en accenten op gebied van samenwerking/afstemming</w:t>
      </w:r>
    </w:p>
    <w:p w:rsidRPr="00C94180" w:rsidR="005D1BDB" w:rsidP="005D1BDB" w:rsidRDefault="005D1BDB" w14:paraId="3801E539"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Driekwart van de regio's heeft ingezet op afstemming met het primair onderwijs, tussen de veertig en vijftig procent op afstemming met ander vmbo over het profielaanbod dan wel keuzevakken, en/of faciliteiten; dertig tot veertig procent op afstemming met mbo rond doorstroom; en zestig procent meldt afstemming met bedrijven rond keuzevakken, activiteiten en afstemming technisch aanbod. Vier van de 10 regio’s hebben ingezet op werving en kwaliteit van docenten/instructeurs in de regio’s; een groter deel op scholing en professionalisering van techniekdocenten. </w:t>
      </w:r>
      <w:r w:rsidRPr="00C94180">
        <w:rPr>
          <w:rStyle w:val="eop"/>
          <w:rFonts w:ascii="Trebuchet MS" w:hAnsi="Trebuchet MS" w:eastAsiaTheme="majorEastAsia"/>
          <w:sz w:val="18"/>
          <w:szCs w:val="18"/>
        </w:rPr>
        <w:t> </w:t>
      </w:r>
    </w:p>
    <w:p w:rsidRPr="00C94180" w:rsidR="005D1BDB" w:rsidP="005D1BDB" w:rsidRDefault="005D1BDB" w14:paraId="3BC37BFF" w14:textId="77777777">
      <w:pPr>
        <w:pStyle w:val="paragraph"/>
        <w:spacing w:before="0" w:beforeAutospacing="0" w:after="0" w:afterAutospacing="0"/>
        <w:textAlignment w:val="baseline"/>
        <w:rPr>
          <w:rStyle w:val="normaltextrun"/>
          <w:rFonts w:ascii="Trebuchet MS" w:hAnsi="Trebuchet MS" w:eastAsiaTheme="majorEastAsia"/>
          <w:i/>
          <w:iCs/>
          <w:sz w:val="18"/>
          <w:szCs w:val="18"/>
        </w:rPr>
      </w:pPr>
    </w:p>
    <w:p w:rsidRPr="00C94180" w:rsidR="005D1BDB" w:rsidP="005D1BDB" w:rsidRDefault="005D1BDB" w14:paraId="5578B9A1" w14:textId="77777777">
      <w:pPr>
        <w:pStyle w:val="paragraph"/>
        <w:spacing w:before="0" w:beforeAutospacing="0" w:after="0" w:afterAutospacing="0"/>
        <w:textAlignment w:val="baseline"/>
        <w:rPr>
          <w:rStyle w:val="normaltextrun"/>
          <w:rFonts w:ascii="Trebuchet MS" w:hAnsi="Trebuchet MS" w:eastAsiaTheme="majorEastAsia"/>
          <w:i/>
          <w:iCs/>
          <w:sz w:val="18"/>
          <w:szCs w:val="18"/>
        </w:rPr>
      </w:pPr>
      <w:r w:rsidRPr="00C94180">
        <w:rPr>
          <w:rStyle w:val="normaltextrun"/>
          <w:rFonts w:ascii="Trebuchet MS" w:hAnsi="Trebuchet MS" w:eastAsiaTheme="majorEastAsia"/>
          <w:i/>
          <w:iCs/>
          <w:sz w:val="18"/>
          <w:szCs w:val="18"/>
        </w:rPr>
        <w:t>veranderingen in de regio</w:t>
      </w:r>
    </w:p>
    <w:p w:rsidRPr="00C94180" w:rsidR="005D1BDB" w:rsidP="005D1BDB" w:rsidRDefault="005D1BDB" w14:paraId="13764715" w14:textId="77777777">
      <w:pPr>
        <w:pStyle w:val="paragraph"/>
        <w:spacing w:before="0" w:beforeAutospacing="0" w:after="0" w:afterAutospacing="0"/>
        <w:textAlignment w:val="baseline"/>
        <w:rPr>
          <w:rStyle w:val="normaltextrun"/>
          <w:rFonts w:ascii="Trebuchet MS" w:hAnsi="Trebuchet MS" w:eastAsiaTheme="majorEastAsia"/>
          <w:sz w:val="18"/>
          <w:szCs w:val="18"/>
        </w:rPr>
      </w:pPr>
      <w:r w:rsidRPr="00C94180">
        <w:rPr>
          <w:rStyle w:val="normaltextrun"/>
          <w:rFonts w:ascii="Trebuchet MS" w:hAnsi="Trebuchet MS" w:eastAsiaTheme="majorEastAsia"/>
          <w:sz w:val="18"/>
          <w:szCs w:val="18"/>
        </w:rPr>
        <w:t>Met de STO-middelen is veel ontwikkeld en tot stand gebracht: STO-regio’s hebben vooral concrete verbeteringen tot stand gebracht wat betreft up-to-date apparatuur en faciliteiten, het aantrekken van (voldoende) technisch onderwijspersoneel (instructeurs), scholingsaanbod, techlabs voor het po en onderbouw vmbo en technische keuzevakken. Het techniekaanbod is veelal behouden (profielaanbod) of uitgebreid (keuzevakken) voor leerlingen in de regio. Het bedrijfsleven is betrokken bij veel activiteiten. Het buitenschools leren heeft een boost gekregen. Techniekpromotie voor leerlingen gebaseerd op een breder (zeven werelden) en moderner beeld van techniek en technologie krijgt binnen- en buitenschools gestalte. Er is binnen STO samenwerking tussen vmbo-scholen onderling en andere actoren in de regio opgebouwd.</w:t>
      </w:r>
    </w:p>
    <w:p w:rsidRPr="00C94180" w:rsidR="005D1BDB" w:rsidP="005D1BDB" w:rsidRDefault="005D1BDB" w14:paraId="3B91B231" w14:textId="77777777">
      <w:pPr>
        <w:pStyle w:val="paragraph"/>
        <w:spacing w:before="0" w:beforeAutospacing="0" w:after="0" w:afterAutospacing="0"/>
        <w:textAlignment w:val="baseline"/>
        <w:rPr>
          <w:rStyle w:val="eop"/>
          <w:rFonts w:ascii="Trebuchet MS" w:hAnsi="Trebuchet MS" w:eastAsiaTheme="majorEastAsia"/>
          <w:sz w:val="18"/>
          <w:szCs w:val="18"/>
        </w:rPr>
      </w:pPr>
    </w:p>
    <w:p w:rsidRPr="00C94180" w:rsidR="005D1BDB" w:rsidP="005D1BDB" w:rsidRDefault="005D1BDB" w14:paraId="5F6DD92A" w14:textId="77777777">
      <w:pPr>
        <w:pStyle w:val="paragraph"/>
        <w:spacing w:before="0" w:beforeAutospacing="0" w:after="0" w:afterAutospacing="0"/>
        <w:textAlignment w:val="baseline"/>
        <w:rPr>
          <w:rStyle w:val="eop"/>
          <w:rFonts w:ascii="Trebuchet MS" w:hAnsi="Trebuchet MS" w:eastAsiaTheme="majorEastAsia"/>
          <w:i/>
          <w:iCs/>
          <w:sz w:val="18"/>
          <w:szCs w:val="18"/>
        </w:rPr>
      </w:pPr>
      <w:r w:rsidRPr="00C94180">
        <w:rPr>
          <w:rStyle w:val="eop"/>
          <w:rFonts w:ascii="Trebuchet MS" w:hAnsi="Trebuchet MS" w:eastAsiaTheme="majorEastAsia"/>
          <w:i/>
          <w:iCs/>
          <w:sz w:val="18"/>
          <w:szCs w:val="18"/>
        </w:rPr>
        <w:t>veranderingen voor docenten en leerlingen</w:t>
      </w:r>
    </w:p>
    <w:p w:rsidRPr="00C94180" w:rsidR="005D1BDB" w:rsidP="005D1BDB" w:rsidRDefault="005D1BDB" w14:paraId="14311885"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 xml:space="preserve">Voor techniekdocenten in het vmbo heeft STO veel veranderd op diverse terreinen: zij ervaren een betere beschikbaarheid van nieuwe apparatuur en faciliteiten, een uitgebreider aanbod technische keuzevakken, en meer en beter contact met docenten van andere scholen, met het mbo en met opleidings- en technische bedrijven. Verder is voor veel techniekdocenten hun werk(omgeving) veranderd: de docentrol is uitgebreid en meer coachend van aard geworden. Docenten werken samen met nieuwe collega’s uit het bedrijfsleven en hebben meer zicht en kennis van actuele ontwikkelingen in hun vakgebied. Als belangrijkste veranderingen door STO voor henzelf wijzen docenten (middelen voor) een rijkere en meer moderne/actuele leeromgeving en een verrijkt </w:t>
      </w:r>
      <w:r w:rsidRPr="00C94180">
        <w:rPr>
          <w:rStyle w:val="normaltextrun"/>
          <w:rFonts w:ascii="Trebuchet MS" w:hAnsi="Trebuchet MS" w:eastAsiaTheme="majorEastAsia"/>
          <w:sz w:val="18"/>
          <w:szCs w:val="18"/>
        </w:rPr>
        <w:lastRenderedPageBreak/>
        <w:t>onderwijsprogramma aan.</w:t>
      </w:r>
      <w:r w:rsidRPr="00C94180">
        <w:rPr>
          <w:rStyle w:val="eop"/>
          <w:rFonts w:ascii="Trebuchet MS" w:hAnsi="Trebuchet MS" w:eastAsiaTheme="majorEastAsia"/>
          <w:sz w:val="18"/>
          <w:szCs w:val="18"/>
        </w:rPr>
        <w:t> </w:t>
      </w:r>
      <w:r w:rsidRPr="00C94180">
        <w:rPr>
          <w:rStyle w:val="normaltextrun"/>
          <w:rFonts w:ascii="Trebuchet MS" w:hAnsi="Trebuchet MS" w:eastAsiaTheme="majorEastAsia"/>
          <w:sz w:val="18"/>
          <w:szCs w:val="18"/>
        </w:rPr>
        <w:t>Ook voor leerlingen zijn er veranderingen; zo leren leerlingen volgens lesgevenden door STO onder meer vaker buitenschools in de echte praktijk. De leeromgevingen voor leerlingen zijn uitgebreid waardoor ze in LOB-termen meer ervaringen kunnen opdoen. Reflectie op praktijkervaringen, actieve ouderbetrokkenheid en aandacht voor verwachtingspatronen blijven daarbij nog wat achter.</w:t>
      </w:r>
    </w:p>
    <w:p w:rsidRPr="00C94180" w:rsidR="005D1BDB" w:rsidP="005D1BDB" w:rsidRDefault="005D1BDB" w14:paraId="3A866E40" w14:textId="77777777">
      <w:pPr>
        <w:pStyle w:val="paragraph"/>
        <w:spacing w:before="0" w:beforeAutospacing="0" w:after="0" w:afterAutospacing="0"/>
        <w:textAlignment w:val="baseline"/>
        <w:rPr>
          <w:rFonts w:ascii="Trebuchet MS" w:hAnsi="Trebuchet MS"/>
          <w:sz w:val="18"/>
          <w:szCs w:val="18"/>
        </w:rPr>
      </w:pPr>
      <w:r w:rsidRPr="00C94180">
        <w:rPr>
          <w:rStyle w:val="eop"/>
          <w:rFonts w:ascii="Trebuchet MS" w:hAnsi="Trebuchet MS" w:eastAsiaTheme="majorEastAsia"/>
          <w:sz w:val="18"/>
          <w:szCs w:val="18"/>
        </w:rPr>
        <w:t> </w:t>
      </w:r>
    </w:p>
    <w:tbl>
      <w:tblPr>
        <w:tblStyle w:val="Tabelraster"/>
        <w:tblW w:w="0" w:type="auto"/>
        <w:tblLook w:val="04A0" w:firstRow="1" w:lastRow="0" w:firstColumn="1" w:lastColumn="0" w:noHBand="0" w:noVBand="1"/>
      </w:tblPr>
      <w:tblGrid>
        <w:gridCol w:w="9062"/>
      </w:tblGrid>
      <w:tr w:rsidRPr="00C94180" w:rsidR="005D1BDB" w:rsidTr="005568E9" w14:paraId="377EA73D" w14:textId="77777777">
        <w:tc>
          <w:tcPr>
            <w:tcW w:w="9062" w:type="dxa"/>
          </w:tcPr>
          <w:p w:rsidRPr="00C94180" w:rsidR="005D1BDB" w:rsidP="005568E9" w:rsidRDefault="005D1BDB" w14:paraId="52404F1C"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i/>
                <w:iCs/>
                <w:sz w:val="18"/>
                <w:szCs w:val="18"/>
              </w:rPr>
              <w:t>De veranderingen per stap in de leerlingenreis samengevat:</w:t>
            </w:r>
            <w:r w:rsidRPr="00C94180">
              <w:rPr>
                <w:rStyle w:val="eop"/>
                <w:rFonts w:ascii="Trebuchet MS" w:hAnsi="Trebuchet MS" w:eastAsiaTheme="majorEastAsia"/>
                <w:sz w:val="18"/>
                <w:szCs w:val="18"/>
              </w:rPr>
              <w:t> </w:t>
            </w:r>
          </w:p>
          <w:p w:rsidRPr="00C94180" w:rsidR="005D1BDB" w:rsidP="00426692" w:rsidRDefault="005D1BDB" w14:paraId="0827D86A" w14:textId="77777777">
            <w:pPr>
              <w:pStyle w:val="paragraph"/>
              <w:numPr>
                <w:ilvl w:val="0"/>
                <w:numId w:val="62"/>
              </w:numPr>
              <w:spacing w:before="0" w:beforeAutospacing="0" w:after="0" w:afterAutospacing="0"/>
              <w:ind w:left="1080" w:firstLine="0"/>
              <w:textAlignment w:val="baseline"/>
              <w:rPr>
                <w:rStyle w:val="eop"/>
                <w:rFonts w:ascii="Trebuchet MS" w:hAnsi="Trebuchet MS"/>
                <w:sz w:val="18"/>
                <w:szCs w:val="18"/>
              </w:rPr>
            </w:pPr>
            <w:r w:rsidRPr="00C94180">
              <w:rPr>
                <w:rStyle w:val="normaltextrun"/>
                <w:rFonts w:ascii="Trebuchet MS" w:hAnsi="Trebuchet MS" w:eastAsiaTheme="majorEastAsia"/>
                <w:sz w:val="18"/>
                <w:szCs w:val="18"/>
              </w:rPr>
              <w:t>Met het besef dat STO start in het po,-om de belangstelling voor techniek en technologie op jonge leeftijd te wekken-, heeft het vmbo in veel regio’s het voortouw genomen om techniekaanbod voor het po te faciliteren: op basisscholen, op het vmbo in techieklokalen en techlabs op school of als regionale voorziening en bij een scala aan (regionale) evenementen. Er zijn (les)materialen en scholingen voor leerkrachten ontwikkeld. In ongeveer de helft van de regio’s maken po-scholen gebruik van faciliteiten van het vmbo. </w:t>
            </w:r>
            <w:r w:rsidRPr="00C94180">
              <w:rPr>
                <w:rStyle w:val="eop"/>
                <w:rFonts w:ascii="Trebuchet MS" w:hAnsi="Trebuchet MS" w:eastAsiaTheme="majorEastAsia"/>
                <w:sz w:val="18"/>
                <w:szCs w:val="18"/>
              </w:rPr>
              <w:t> </w:t>
            </w:r>
          </w:p>
          <w:p w:rsidRPr="00C94180" w:rsidR="005D1BDB" w:rsidP="00426692" w:rsidRDefault="005D1BDB" w14:paraId="7BA61BEB" w14:textId="77777777">
            <w:pPr>
              <w:pStyle w:val="paragraph"/>
              <w:numPr>
                <w:ilvl w:val="0"/>
                <w:numId w:val="63"/>
              </w:numPr>
              <w:spacing w:before="0" w:beforeAutospacing="0" w:after="0" w:afterAutospacing="0"/>
              <w:ind w:left="1080" w:firstLine="0"/>
              <w:textAlignment w:val="baseline"/>
              <w:rPr>
                <w:rStyle w:val="eop"/>
                <w:rFonts w:ascii="Trebuchet MS" w:hAnsi="Trebuchet MS"/>
                <w:sz w:val="18"/>
                <w:szCs w:val="18"/>
              </w:rPr>
            </w:pPr>
            <w:r w:rsidRPr="00C94180">
              <w:rPr>
                <w:rStyle w:val="normaltextrun"/>
                <w:rFonts w:ascii="Trebuchet MS" w:hAnsi="Trebuchet MS" w:eastAsiaTheme="majorEastAsia"/>
                <w:sz w:val="18"/>
                <w:szCs w:val="18"/>
              </w:rPr>
              <w:t>In de onderbouw van het vmbo is techniekonderwijs, - mede door de inrichting van techlabs/techniek- en technologielokalen-, gemoderniseerd en aantrekkelijker gemaakt. De oriëntatie op techniek in de bovenbouw is verbeterd. </w:t>
            </w:r>
            <w:r w:rsidRPr="00C94180">
              <w:rPr>
                <w:rStyle w:val="eop"/>
                <w:rFonts w:ascii="Trebuchet MS" w:hAnsi="Trebuchet MS" w:eastAsiaTheme="majorEastAsia"/>
                <w:sz w:val="18"/>
                <w:szCs w:val="18"/>
              </w:rPr>
              <w:t> </w:t>
            </w:r>
          </w:p>
          <w:p w:rsidRPr="00C94180" w:rsidR="005D1BDB" w:rsidP="00426692" w:rsidRDefault="005D1BDB" w14:paraId="2E89F62A" w14:textId="77777777">
            <w:pPr>
              <w:pStyle w:val="paragraph"/>
              <w:numPr>
                <w:ilvl w:val="0"/>
                <w:numId w:val="64"/>
              </w:numPr>
              <w:spacing w:before="0" w:beforeAutospacing="0" w:after="0" w:afterAutospacing="0"/>
              <w:ind w:left="1077" w:firstLine="0"/>
              <w:textAlignment w:val="baseline"/>
              <w:rPr>
                <w:rStyle w:val="eop"/>
                <w:rFonts w:ascii="Trebuchet MS" w:hAnsi="Trebuchet MS"/>
                <w:sz w:val="18"/>
                <w:szCs w:val="18"/>
              </w:rPr>
            </w:pPr>
            <w:r w:rsidRPr="00C94180">
              <w:rPr>
                <w:rStyle w:val="normaltextrun"/>
                <w:rFonts w:ascii="Trebuchet MS" w:hAnsi="Trebuchet MS" w:eastAsiaTheme="majorEastAsia"/>
                <w:sz w:val="18"/>
                <w:szCs w:val="18"/>
              </w:rPr>
              <w:t>In de bovenbouw vmbo lag vanuit STO het accent op versterking van de profielen met investeringen in lokalen, faciliteiten, lesgevenden (instructeurs), contacten met bedrijven en regionale events. De vernieuwing in de vmbo-bovenbouw zit vooral in de keuzevakken, en (mede dankzij de keuzevakken) in de uitbreiding van het praktijkgericht en buitenschools leren, en van buitenschoolse leeromgevingen (‘de regio als klaslokaal’) en in de actualiteit van het aanbod. Daarmee gaan onderwijs en LOB sterker hand in hand. Afspraken over de aanschaf en het gezamenlijk benutten van gereedschappen, apparatuur en faciliteiten zijn in ruim een derde van de regio’s tot stand gekomen. Bedrijven hebben het vmbo ‘ontdekt’: in de meerderheid van de regio’s vindt afstemming over het onderwijsaanbod plaats met bedrijven en zijn bedrijven betrokken bij allerhande activiteiten en de keuzevakken. Daardoor worden er in sommige regio’s aanpassingen in het programma gedaan.</w:t>
            </w:r>
            <w:r w:rsidRPr="00C94180">
              <w:rPr>
                <w:rStyle w:val="eop"/>
                <w:rFonts w:ascii="Trebuchet MS" w:hAnsi="Trebuchet MS" w:eastAsiaTheme="majorEastAsia"/>
                <w:sz w:val="18"/>
                <w:szCs w:val="18"/>
              </w:rPr>
              <w:t> </w:t>
            </w:r>
          </w:p>
          <w:p w:rsidRPr="00C94180" w:rsidR="005D1BDB" w:rsidP="00426692" w:rsidRDefault="005D1BDB" w14:paraId="7DB58365" w14:textId="77777777">
            <w:pPr>
              <w:pStyle w:val="paragraph"/>
              <w:numPr>
                <w:ilvl w:val="0"/>
                <w:numId w:val="64"/>
              </w:numPr>
              <w:spacing w:before="0" w:beforeAutospacing="0" w:after="0" w:afterAutospacing="0"/>
              <w:ind w:left="1077" w:firstLine="0"/>
              <w:textAlignment w:val="baseline"/>
              <w:rPr>
                <w:rStyle w:val="normaltextrun"/>
                <w:rFonts w:ascii="Trebuchet MS" w:hAnsi="Trebuchet MS" w:eastAsiaTheme="majorEastAsia"/>
                <w:i/>
                <w:iCs/>
                <w:sz w:val="18"/>
                <w:szCs w:val="18"/>
              </w:rPr>
            </w:pPr>
            <w:r w:rsidRPr="00C94180">
              <w:rPr>
                <w:rStyle w:val="normaltextrun"/>
                <w:rFonts w:ascii="Trebuchet MS" w:hAnsi="Trebuchet MS" w:eastAsiaTheme="majorEastAsia"/>
                <w:sz w:val="18"/>
                <w:szCs w:val="18"/>
              </w:rPr>
              <w:t>De samenwerking met het mbo loopt in de ene regio (van oudsher) goed, in andere regio’s is het nog een zoektocht: in ongeveer een derde van de regio’s is men naar opgave van de programmaleiders actief bezig geweest met afspraken met het mbo rond keuzevakken en andere activiteiten; afspraken over aanschaf en benutting van apparatuur zijn in veel mindere mate tot stand gekomen. Overigens geven docenten wel aan dat hun contacten met het mbo verbeterd zijn. De rol van opleidingsbedrijven is gegroeid.</w:t>
            </w:r>
            <w:r w:rsidRPr="00C94180">
              <w:rPr>
                <w:rStyle w:val="eop"/>
                <w:rFonts w:ascii="Trebuchet MS" w:hAnsi="Trebuchet MS" w:eastAsiaTheme="majorEastAsia"/>
                <w:sz w:val="18"/>
                <w:szCs w:val="18"/>
              </w:rPr>
              <w:t> </w:t>
            </w:r>
          </w:p>
        </w:tc>
      </w:tr>
    </w:tbl>
    <w:p w:rsidRPr="00C94180" w:rsidR="005D1BDB" w:rsidP="005D1BDB" w:rsidRDefault="005D1BDB" w14:paraId="10E29838" w14:textId="77777777">
      <w:pPr>
        <w:pStyle w:val="paragraph"/>
        <w:spacing w:before="0" w:beforeAutospacing="0" w:after="0" w:afterAutospacing="0"/>
        <w:textAlignment w:val="baseline"/>
        <w:rPr>
          <w:rStyle w:val="normaltextrun"/>
          <w:rFonts w:ascii="Trebuchet MS" w:hAnsi="Trebuchet MS" w:eastAsiaTheme="majorEastAsia"/>
          <w:sz w:val="18"/>
          <w:szCs w:val="18"/>
        </w:rPr>
      </w:pPr>
    </w:p>
    <w:p w:rsidRPr="00C94180" w:rsidR="005D1BDB" w:rsidP="005D1BDB" w:rsidRDefault="005D1BDB" w14:paraId="5FF653A4" w14:textId="77777777">
      <w:pPr>
        <w:pStyle w:val="paragraph"/>
        <w:spacing w:before="0" w:beforeAutospacing="0" w:after="0" w:afterAutospacing="0"/>
        <w:textAlignment w:val="baseline"/>
        <w:rPr>
          <w:rStyle w:val="normaltextrun"/>
          <w:rFonts w:ascii="Trebuchet MS" w:hAnsi="Trebuchet MS" w:eastAsiaTheme="majorEastAsia"/>
          <w:i/>
          <w:iCs/>
          <w:sz w:val="18"/>
          <w:szCs w:val="18"/>
        </w:rPr>
      </w:pPr>
    </w:p>
    <w:p w:rsidRPr="00C94180" w:rsidR="005D1BDB" w:rsidP="005D1BDB" w:rsidRDefault="005D1BDB" w14:paraId="07F3965E" w14:textId="77777777">
      <w:pPr>
        <w:pStyle w:val="paragraph"/>
        <w:spacing w:before="0" w:beforeAutospacing="0" w:after="0" w:afterAutospacing="0"/>
        <w:textAlignment w:val="baseline"/>
        <w:rPr>
          <w:rStyle w:val="normaltextrun"/>
          <w:rFonts w:ascii="Trebuchet MS" w:hAnsi="Trebuchet MS" w:eastAsiaTheme="majorEastAsia"/>
          <w:i/>
          <w:iCs/>
          <w:sz w:val="18"/>
          <w:szCs w:val="18"/>
        </w:rPr>
      </w:pPr>
      <w:r w:rsidRPr="00C94180">
        <w:rPr>
          <w:rStyle w:val="normaltextrun"/>
          <w:rFonts w:ascii="Trebuchet MS" w:hAnsi="Trebuchet MS" w:eastAsiaTheme="majorEastAsia"/>
          <w:i/>
          <w:iCs/>
          <w:sz w:val="18"/>
          <w:szCs w:val="18"/>
        </w:rPr>
        <w:t>van uitvoeren naar implementeren</w:t>
      </w:r>
    </w:p>
    <w:p w:rsidRPr="00C94180" w:rsidR="005D1BDB" w:rsidP="005D1BDB" w:rsidRDefault="005D1BDB" w14:paraId="26DC5B2F"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Overall zien we in STO een zekere convergentie optreden in keten/loopbaandenken en de ketenaanpak. Om de activiteiten in de keten beter te laten landen zijn er in STO nieuwe rollen tot stand gekomen: verbinders tussen po en vmbo en tussen vmbo en mbo (‘de oliemannetjes’). Waar aanvankelijk het uitvoeren centraler stond in de organisatie is gaandeweg meer aandacht gekomen voor (structuren behorend bij) implementatie. </w:t>
      </w:r>
      <w:r w:rsidRPr="00C94180">
        <w:rPr>
          <w:rStyle w:val="eop"/>
          <w:rFonts w:ascii="Trebuchet MS" w:hAnsi="Trebuchet MS" w:eastAsiaTheme="majorEastAsia"/>
          <w:sz w:val="18"/>
          <w:szCs w:val="18"/>
        </w:rPr>
        <w:t> </w:t>
      </w:r>
    </w:p>
    <w:p w:rsidRPr="00C94180" w:rsidR="005D1BDB" w:rsidP="005D1BDB" w:rsidRDefault="005D1BDB" w14:paraId="6EA2D50A" w14:textId="77777777">
      <w:pPr>
        <w:pStyle w:val="paragraph"/>
        <w:spacing w:before="0" w:beforeAutospacing="0" w:after="0" w:afterAutospacing="0"/>
        <w:textAlignment w:val="baseline"/>
        <w:rPr>
          <w:rFonts w:ascii="Trebuchet MS" w:hAnsi="Trebuchet MS"/>
          <w:sz w:val="18"/>
          <w:szCs w:val="18"/>
        </w:rPr>
      </w:pPr>
      <w:r w:rsidRPr="00C94180">
        <w:rPr>
          <w:rStyle w:val="eop"/>
          <w:rFonts w:ascii="Trebuchet MS" w:hAnsi="Trebuchet MS" w:eastAsiaTheme="majorEastAsia"/>
          <w:sz w:val="18"/>
          <w:szCs w:val="18"/>
        </w:rPr>
        <w:t> </w:t>
      </w:r>
    </w:p>
    <w:p w:rsidRPr="00C94180" w:rsidR="005D1BDB" w:rsidP="005D1BDB" w:rsidRDefault="005D1BDB" w14:paraId="77D3DEF5" w14:textId="77777777">
      <w:pPr>
        <w:pStyle w:val="paragraph"/>
        <w:spacing w:before="0" w:beforeAutospacing="0" w:after="0" w:afterAutospacing="0"/>
        <w:textAlignment w:val="baseline"/>
        <w:rPr>
          <w:rStyle w:val="normaltextrun"/>
          <w:rFonts w:ascii="Trebuchet MS" w:hAnsi="Trebuchet MS" w:eastAsiaTheme="majorEastAsia"/>
          <w:i/>
          <w:iCs/>
          <w:sz w:val="18"/>
          <w:szCs w:val="18"/>
        </w:rPr>
      </w:pPr>
      <w:r w:rsidRPr="00C94180">
        <w:rPr>
          <w:rStyle w:val="normaltextrun"/>
          <w:rFonts w:ascii="Trebuchet MS" w:hAnsi="Trebuchet MS" w:eastAsiaTheme="majorEastAsia"/>
          <w:i/>
          <w:iCs/>
          <w:sz w:val="18"/>
          <w:szCs w:val="18"/>
        </w:rPr>
        <w:t>resultaat</w:t>
      </w:r>
    </w:p>
    <w:p w:rsidRPr="00C94180" w:rsidR="005D1BDB" w:rsidP="005D1BDB" w:rsidRDefault="005D1BDB" w14:paraId="161D66CD"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Aan het eind van de eerste fase zien we dat ketenaanpakken zijn verhelderd en geconcretiseerd, met duidelijke accenten op oriëntatie op en kennismaking met techniek en technologie in het po en de onderbouw vmbo en investeringen in de bovenbouw vmbo. In de meeste regio’s is aan het eind van de eerste fase de basis  (beter) op orde, met onder andere meer docenten en gemoderniseerd technisch materieel, en een aanbod van technisch onderwijs dat is stand is gebleven en waarvan de kwaliteit verhoogd is, vooral door meer actueel en praktijkgericht onderwijs in de keuzevakken. Daarbij is er in STO een slag gemaakt van ‘onderwijs aanbieden’ naar ‘onderwijs organiseren’. </w:t>
      </w:r>
      <w:r w:rsidRPr="00C94180">
        <w:rPr>
          <w:rStyle w:val="eop"/>
          <w:rFonts w:ascii="Trebuchet MS" w:hAnsi="Trebuchet MS" w:eastAsiaTheme="majorEastAsia"/>
          <w:sz w:val="18"/>
          <w:szCs w:val="18"/>
        </w:rPr>
        <w:t> </w:t>
      </w:r>
    </w:p>
    <w:p w:rsidRPr="00C94180" w:rsidR="005D1BDB" w:rsidP="005D1BDB" w:rsidRDefault="005D1BDB" w14:paraId="00FD7B73" w14:textId="77777777">
      <w:pPr>
        <w:pStyle w:val="paragraph"/>
        <w:spacing w:before="0" w:beforeAutospacing="0" w:after="0" w:afterAutospacing="0"/>
        <w:textAlignment w:val="baseline"/>
        <w:rPr>
          <w:rStyle w:val="normaltextrun"/>
          <w:rFonts w:ascii="Trebuchet MS" w:hAnsi="Trebuchet MS" w:eastAsiaTheme="majorEastAsia"/>
          <w:sz w:val="18"/>
          <w:szCs w:val="18"/>
        </w:rPr>
      </w:pPr>
    </w:p>
    <w:p w:rsidRPr="00C94180" w:rsidR="005D1BDB" w:rsidP="005D1BDB" w:rsidRDefault="005D1BDB" w14:paraId="1775AE5E"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color w:val="000000"/>
          <w:sz w:val="18"/>
          <w:szCs w:val="18"/>
          <w:u w:val="single"/>
        </w:rPr>
        <w:t>Ad 2/3. Output: bereik en acceptatie van STO </w:t>
      </w:r>
      <w:r w:rsidRPr="00C94180">
        <w:rPr>
          <w:rStyle w:val="eop"/>
          <w:rFonts w:ascii="Trebuchet MS" w:hAnsi="Trebuchet MS" w:eastAsiaTheme="majorEastAsia"/>
          <w:color w:val="000000"/>
          <w:sz w:val="18"/>
          <w:szCs w:val="18"/>
        </w:rPr>
        <w:t> </w:t>
      </w:r>
    </w:p>
    <w:p w:rsidRPr="00C94180" w:rsidR="005D1BDB" w:rsidP="005D1BDB" w:rsidRDefault="005D1BDB" w14:paraId="18AEF97C" w14:textId="77777777">
      <w:pPr>
        <w:pStyle w:val="paragraph"/>
        <w:spacing w:before="0" w:beforeAutospacing="0" w:after="0" w:afterAutospacing="0"/>
        <w:textAlignment w:val="baseline"/>
        <w:rPr>
          <w:rFonts w:ascii="Trebuchet MS" w:hAnsi="Trebuchet MS"/>
          <w:sz w:val="18"/>
          <w:szCs w:val="18"/>
        </w:rPr>
      </w:pPr>
      <w:r w:rsidRPr="00C94180">
        <w:rPr>
          <w:rStyle w:val="eop"/>
          <w:rFonts w:ascii="Trebuchet MS" w:hAnsi="Trebuchet MS" w:eastAsiaTheme="majorEastAsia"/>
          <w:color w:val="498205"/>
          <w:sz w:val="18"/>
          <w:szCs w:val="18"/>
        </w:rPr>
        <w:t> </w:t>
      </w:r>
    </w:p>
    <w:p w:rsidRPr="00C94180" w:rsidR="005D1BDB" w:rsidP="005D1BDB" w:rsidRDefault="005D1BDB" w14:paraId="0BA5C4E8" w14:textId="77777777">
      <w:pPr>
        <w:pStyle w:val="paragraph"/>
        <w:spacing w:before="0" w:beforeAutospacing="0" w:after="0" w:afterAutospacing="0"/>
        <w:textAlignment w:val="baseline"/>
        <w:rPr>
          <w:rStyle w:val="normaltextrun"/>
          <w:rFonts w:ascii="Trebuchet MS" w:hAnsi="Trebuchet MS" w:eastAsiaTheme="majorEastAsia"/>
          <w:sz w:val="18"/>
          <w:szCs w:val="18"/>
        </w:rPr>
      </w:pPr>
      <w:r w:rsidRPr="00C94180">
        <w:rPr>
          <w:rStyle w:val="normaltextrun"/>
          <w:rFonts w:ascii="Trebuchet MS" w:hAnsi="Trebuchet MS" w:eastAsiaTheme="majorEastAsia"/>
          <w:sz w:val="18"/>
          <w:szCs w:val="18"/>
        </w:rPr>
        <w:t xml:space="preserve">Met STO is het bereik van relevante partners in de regio toegenomen en weten de regionale actoren elkaar ook te vinden. </w:t>
      </w:r>
    </w:p>
    <w:p w:rsidRPr="00C94180" w:rsidR="005D1BDB" w:rsidP="00426692" w:rsidRDefault="005D1BDB" w14:paraId="717FB29C" w14:textId="77777777">
      <w:pPr>
        <w:pStyle w:val="paragraph"/>
        <w:numPr>
          <w:ilvl w:val="0"/>
          <w:numId w:val="65"/>
        </w:numPr>
        <w:spacing w:before="0" w:beforeAutospacing="0" w:after="0" w:afterAutospacing="0"/>
        <w:textAlignment w:val="baseline"/>
        <w:rPr>
          <w:rStyle w:val="normaltextrun"/>
          <w:rFonts w:ascii="Trebuchet MS" w:hAnsi="Trebuchet MS"/>
          <w:sz w:val="18"/>
          <w:szCs w:val="18"/>
        </w:rPr>
      </w:pPr>
      <w:r w:rsidRPr="00C94180">
        <w:rPr>
          <w:rStyle w:val="normaltextrun"/>
          <w:rFonts w:ascii="Trebuchet MS" w:hAnsi="Trebuchet MS" w:eastAsiaTheme="majorEastAsia"/>
          <w:sz w:val="18"/>
          <w:szCs w:val="18"/>
        </w:rPr>
        <w:t>In het vmbo maken nagenoeg alle scholen met een technisch profiel deel uit van een STO-regio. De betrokkenheid van scholen zonder technisch profiel is wisselend.</w:t>
      </w:r>
    </w:p>
    <w:p w:rsidRPr="00C94180" w:rsidR="005D1BDB" w:rsidP="00426692" w:rsidRDefault="005D1BDB" w14:paraId="4AF40751" w14:textId="77777777">
      <w:pPr>
        <w:pStyle w:val="paragraph"/>
        <w:numPr>
          <w:ilvl w:val="0"/>
          <w:numId w:val="65"/>
        </w:numPr>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Het bereik van STO in het vmbo gaat verder dan alleen lesgevenden in de technische profielen in de bovenbouw van het vmbo; ook docenten van andere beroepsgerichte vakken zijn merendeels bekend met en betrokken bij STO. Niet-techniekdocenten profiteren door STO ook bijvoorbeeld van nieuwe voorzieningen en faciliteiten</w:t>
      </w:r>
      <w:r>
        <w:rPr>
          <w:rStyle w:val="normaltextrun"/>
          <w:rFonts w:ascii="Trebuchet MS" w:hAnsi="Trebuchet MS" w:eastAsiaTheme="majorEastAsia"/>
          <w:sz w:val="18"/>
          <w:szCs w:val="18"/>
        </w:rPr>
        <w:t xml:space="preserve"> en cross-overs</w:t>
      </w:r>
      <w:r w:rsidRPr="00C94180">
        <w:rPr>
          <w:rStyle w:val="normaltextrun"/>
          <w:rFonts w:ascii="Trebuchet MS" w:hAnsi="Trebuchet MS" w:eastAsiaTheme="majorEastAsia"/>
          <w:sz w:val="18"/>
          <w:szCs w:val="18"/>
        </w:rPr>
        <w:t>. </w:t>
      </w:r>
      <w:r w:rsidRPr="00C94180">
        <w:rPr>
          <w:rStyle w:val="eop"/>
          <w:rFonts w:ascii="Trebuchet MS" w:hAnsi="Trebuchet MS" w:eastAsiaTheme="majorEastAsia"/>
          <w:sz w:val="18"/>
          <w:szCs w:val="18"/>
        </w:rPr>
        <w:t> </w:t>
      </w:r>
    </w:p>
    <w:p w:rsidRPr="00C94180" w:rsidR="005D1BDB" w:rsidP="00426692" w:rsidRDefault="005D1BDB" w14:paraId="0EC97B3B" w14:textId="77777777">
      <w:pPr>
        <w:pStyle w:val="paragraph"/>
        <w:numPr>
          <w:ilvl w:val="0"/>
          <w:numId w:val="65"/>
        </w:numPr>
        <w:spacing w:before="0" w:beforeAutospacing="0" w:after="0" w:afterAutospacing="0"/>
        <w:textAlignment w:val="baseline"/>
        <w:rPr>
          <w:rStyle w:val="eop"/>
          <w:rFonts w:ascii="Trebuchet MS" w:hAnsi="Trebuchet MS"/>
          <w:sz w:val="18"/>
          <w:szCs w:val="18"/>
        </w:rPr>
      </w:pPr>
      <w:r w:rsidRPr="00C94180">
        <w:rPr>
          <w:rStyle w:val="normaltextrun"/>
          <w:rFonts w:ascii="Trebuchet MS" w:hAnsi="Trebuchet MS" w:eastAsiaTheme="majorEastAsia"/>
          <w:sz w:val="18"/>
          <w:szCs w:val="18"/>
        </w:rPr>
        <w:t xml:space="preserve">In het primair onderwijs worden afgelopen jaren een groeiend aantal basisschoolleerlingen en – leerkrachten bereikt, waarin voorzieningen als techlabs een grote rol hebben. In het basisonderwijs </w:t>
      </w:r>
      <w:r w:rsidRPr="00C94180">
        <w:rPr>
          <w:rStyle w:val="normaltextrun"/>
          <w:rFonts w:ascii="Trebuchet MS" w:hAnsi="Trebuchet MS" w:eastAsiaTheme="majorEastAsia"/>
          <w:sz w:val="18"/>
          <w:szCs w:val="18"/>
        </w:rPr>
        <w:lastRenderedPageBreak/>
        <w:t>worden ook leerlingen die doorstromen naar havo/vwo bereikt met de techniek- en technologie-activiteiten en worden de praktische talenten van leerlingen tijdens die lessen beter ontdekt.  </w:t>
      </w:r>
      <w:r w:rsidRPr="00C94180">
        <w:rPr>
          <w:rStyle w:val="eop"/>
          <w:rFonts w:ascii="Trebuchet MS" w:hAnsi="Trebuchet MS" w:eastAsiaTheme="majorEastAsia"/>
          <w:sz w:val="18"/>
          <w:szCs w:val="18"/>
        </w:rPr>
        <w:t> </w:t>
      </w:r>
    </w:p>
    <w:p w:rsidRPr="00C94180" w:rsidR="005D1BDB" w:rsidP="00426692" w:rsidRDefault="005D1BDB" w14:paraId="628940E0" w14:textId="77777777">
      <w:pPr>
        <w:pStyle w:val="paragraph"/>
        <w:numPr>
          <w:ilvl w:val="0"/>
          <w:numId w:val="65"/>
        </w:numPr>
        <w:spacing w:before="0" w:beforeAutospacing="0" w:after="0" w:afterAutospacing="0"/>
        <w:textAlignment w:val="baseline"/>
        <w:rPr>
          <w:rStyle w:val="eop"/>
          <w:rFonts w:ascii="Trebuchet MS" w:hAnsi="Trebuchet MS"/>
          <w:sz w:val="18"/>
          <w:szCs w:val="18"/>
        </w:rPr>
      </w:pPr>
      <w:r w:rsidRPr="00C94180">
        <w:rPr>
          <w:rStyle w:val="normaltextrun"/>
          <w:rFonts w:ascii="Trebuchet MS" w:hAnsi="Trebuchet MS" w:eastAsiaTheme="majorEastAsia"/>
          <w:sz w:val="18"/>
          <w:szCs w:val="18"/>
        </w:rPr>
        <w:t>Het bereik van regionale bedrijven is eveneens gegroeid. STO heeft bijdragen aan een breder en actiever netwerk waarop scholen een beroep kunnen doen, bijvoorbeeld voor opdrachten, stages, de uitvoering van keuzevakken en projecten.  </w:t>
      </w:r>
      <w:r w:rsidRPr="00C94180">
        <w:rPr>
          <w:rStyle w:val="eop"/>
          <w:rFonts w:ascii="Trebuchet MS" w:hAnsi="Trebuchet MS" w:eastAsiaTheme="majorEastAsia"/>
          <w:sz w:val="18"/>
          <w:szCs w:val="18"/>
        </w:rPr>
        <w:t> </w:t>
      </w:r>
    </w:p>
    <w:p w:rsidRPr="00C94180" w:rsidR="005D1BDB" w:rsidP="00426692" w:rsidRDefault="005D1BDB" w14:paraId="468AC54A" w14:textId="77777777">
      <w:pPr>
        <w:pStyle w:val="paragraph"/>
        <w:numPr>
          <w:ilvl w:val="0"/>
          <w:numId w:val="65"/>
        </w:numPr>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De actieve betrokkenheid van het mbo blijft in veel regio’s daarbij achter. Wel hebben (branche)opleidingsbedrijven als Bouwmensen en Installatiewerk een grotere rol gekregen. </w:t>
      </w:r>
      <w:r w:rsidRPr="00C94180">
        <w:rPr>
          <w:rStyle w:val="eop"/>
          <w:rFonts w:ascii="Trebuchet MS" w:hAnsi="Trebuchet MS" w:eastAsiaTheme="majorEastAsia"/>
          <w:sz w:val="18"/>
          <w:szCs w:val="18"/>
        </w:rPr>
        <w:t> </w:t>
      </w:r>
    </w:p>
    <w:p w:rsidRPr="00C94180" w:rsidR="005D1BDB" w:rsidP="00426692" w:rsidRDefault="005D1BDB" w14:paraId="54BF81A5" w14:textId="77777777">
      <w:pPr>
        <w:pStyle w:val="paragraph"/>
        <w:numPr>
          <w:ilvl w:val="0"/>
          <w:numId w:val="65"/>
        </w:numPr>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Het regio-gevoel in STO is gegroeid. Scholen/besturen zoeken elkaar ook buiten STO-verband op. In sommige regio's is STO een ‘sterk merk’ geworden. Daarnaast is het vmbo zich in en door STO bewuster geraakt van de schakelrol die het heeft in de keten tussen po en mbo én zijn de vmbo-scholen meer bewust van regionale arbeidsmarkt en het belang van behoud van leerlingen voor de regionale arbeidsmarkt. </w:t>
      </w:r>
      <w:r w:rsidRPr="00C94180">
        <w:rPr>
          <w:rStyle w:val="eop"/>
          <w:rFonts w:ascii="Trebuchet MS" w:hAnsi="Trebuchet MS" w:eastAsiaTheme="majorEastAsia"/>
          <w:sz w:val="18"/>
          <w:szCs w:val="18"/>
        </w:rPr>
        <w:t> </w:t>
      </w:r>
    </w:p>
    <w:p w:rsidRPr="00C94180" w:rsidR="005D1BDB" w:rsidP="005D1BDB" w:rsidRDefault="005D1BDB" w14:paraId="51DD8802" w14:textId="77777777">
      <w:pPr>
        <w:pStyle w:val="paragraph"/>
        <w:spacing w:before="0" w:beforeAutospacing="0" w:after="0" w:afterAutospacing="0"/>
        <w:textAlignment w:val="baseline"/>
        <w:rPr>
          <w:rStyle w:val="normaltextrun"/>
          <w:rFonts w:ascii="Trebuchet MS" w:hAnsi="Trebuchet MS" w:eastAsiaTheme="majorEastAsia"/>
          <w:sz w:val="18"/>
          <w:szCs w:val="18"/>
        </w:rPr>
      </w:pPr>
    </w:p>
    <w:p w:rsidRPr="00C94180" w:rsidR="005D1BDB" w:rsidP="005D1BDB" w:rsidRDefault="005D1BDB" w14:paraId="3AB7923D" w14:textId="77777777">
      <w:pPr>
        <w:pStyle w:val="paragraph"/>
        <w:spacing w:before="0" w:beforeAutospacing="0" w:after="0" w:afterAutospacing="0"/>
        <w:textAlignment w:val="baseline"/>
        <w:rPr>
          <w:rStyle w:val="normaltextrun"/>
          <w:rFonts w:ascii="Trebuchet MS" w:hAnsi="Trebuchet MS" w:eastAsiaTheme="majorEastAsia"/>
          <w:i/>
          <w:iCs/>
          <w:sz w:val="18"/>
          <w:szCs w:val="18"/>
        </w:rPr>
      </w:pPr>
      <w:r w:rsidRPr="00C94180">
        <w:rPr>
          <w:rStyle w:val="normaltextrun"/>
          <w:rFonts w:ascii="Trebuchet MS" w:hAnsi="Trebuchet MS" w:eastAsiaTheme="majorEastAsia"/>
          <w:i/>
          <w:iCs/>
          <w:sz w:val="18"/>
          <w:szCs w:val="18"/>
        </w:rPr>
        <w:t>werken aan samenwerken</w:t>
      </w:r>
    </w:p>
    <w:p w:rsidRPr="00C94180" w:rsidR="005D1BDB" w:rsidP="005D1BDB" w:rsidRDefault="005D1BDB" w14:paraId="2F71FC03"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Samenwerking in de regio en het regio-denken dat daarvoor nodig is (urgentie, over de muren van de eigen organisatie kijken, gedeelde belangen, begrip voor elkaars positie, vertrouwen ontwikkelen) waren nieuwe elementen in STO, die met de regeling gestimuleerd worden. Sommige regio’s hebben samenwerking expliciet opgenomen als onderdeel van hun plan of in hun werkwijze. Elke regio heeft daarin zijn weg gezocht, soms geholpen door al bestaande samenwerkingsrelaties. Een indicatie van het belang van de relaties is, dat er soms pas weer vooruitgang kon worden geboekt vanaf het moment dat een bestuurder, een directeur, soms een programmaleider, was gewisseld. </w:t>
      </w:r>
      <w:r w:rsidRPr="00C94180">
        <w:rPr>
          <w:rStyle w:val="eop"/>
          <w:rFonts w:ascii="Trebuchet MS" w:hAnsi="Trebuchet MS" w:eastAsiaTheme="majorEastAsia"/>
          <w:sz w:val="18"/>
          <w:szCs w:val="18"/>
        </w:rPr>
        <w:t>  </w:t>
      </w:r>
    </w:p>
    <w:p w:rsidRPr="00C94180" w:rsidR="005D1BDB" w:rsidP="005D1BDB" w:rsidRDefault="005D1BDB" w14:paraId="42DDCE5D" w14:textId="77777777">
      <w:pPr>
        <w:pStyle w:val="paragraph"/>
        <w:spacing w:before="0" w:beforeAutospacing="0" w:after="0" w:afterAutospacing="0"/>
        <w:textAlignment w:val="baseline"/>
        <w:rPr>
          <w:rStyle w:val="normaltextrun"/>
          <w:rFonts w:ascii="Trebuchet MS" w:hAnsi="Trebuchet MS" w:eastAsiaTheme="majorEastAsia"/>
          <w:sz w:val="18"/>
          <w:szCs w:val="18"/>
        </w:rPr>
      </w:pPr>
    </w:p>
    <w:p w:rsidRPr="00C94180" w:rsidR="005D1BDB" w:rsidP="005D1BDB" w:rsidRDefault="005D1BDB" w14:paraId="5242A65E"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 xml:space="preserve">Samenwerking is in STO beschouwd als ‘middel’ om de doelen te bereiken. De resultaten laten zien dat het tot stand brengen van een regionale samenwerking ook een (tussen)doel op zich is, dat niet zomaar door het hebben van een gezamenlijk probleem bereikt wordt, maar tijd, aandacht en inspanning vraagt. Een opdracht zoals in de STO-regeling helpt daarbij. </w:t>
      </w:r>
      <w:r w:rsidRPr="00C94180">
        <w:rPr>
          <w:rStyle w:val="eop"/>
          <w:rFonts w:ascii="Trebuchet MS" w:hAnsi="Trebuchet MS" w:eastAsiaTheme="majorEastAsia"/>
          <w:sz w:val="18"/>
          <w:szCs w:val="18"/>
        </w:rPr>
        <w:t> </w:t>
      </w:r>
    </w:p>
    <w:p w:rsidRPr="00C94180" w:rsidR="005D1BDB" w:rsidP="005D1BDB" w:rsidRDefault="005D1BDB" w14:paraId="61F54328" w14:textId="77777777">
      <w:pPr>
        <w:pStyle w:val="paragraph"/>
        <w:spacing w:before="0" w:beforeAutospacing="0" w:after="0" w:afterAutospacing="0"/>
        <w:textAlignment w:val="baseline"/>
        <w:rPr>
          <w:rFonts w:ascii="Trebuchet MS" w:hAnsi="Trebuchet MS"/>
          <w:sz w:val="18"/>
          <w:szCs w:val="18"/>
        </w:rPr>
      </w:pPr>
      <w:r w:rsidRPr="00C94180">
        <w:rPr>
          <w:rStyle w:val="eop"/>
          <w:rFonts w:ascii="Trebuchet MS" w:hAnsi="Trebuchet MS" w:eastAsiaTheme="majorEastAsia"/>
          <w:color w:val="000000"/>
          <w:sz w:val="18"/>
          <w:szCs w:val="18"/>
        </w:rPr>
        <w:t> </w:t>
      </w:r>
    </w:p>
    <w:p w:rsidRPr="00B507B9" w:rsidR="005D1BDB" w:rsidP="005D1BDB" w:rsidRDefault="005D1BDB" w14:paraId="191E3BA9" w14:textId="77777777">
      <w:pPr>
        <w:pStyle w:val="paragraph"/>
        <w:spacing w:before="0" w:beforeAutospacing="0" w:after="0" w:afterAutospacing="0"/>
        <w:textAlignment w:val="baseline"/>
        <w:rPr>
          <w:rFonts w:ascii="Trebuchet MS" w:hAnsi="Trebuchet MS"/>
          <w:sz w:val="18"/>
          <w:szCs w:val="18"/>
          <w:u w:val="single"/>
        </w:rPr>
      </w:pPr>
      <w:r w:rsidRPr="00B507B9">
        <w:rPr>
          <w:rStyle w:val="normaltextrun"/>
          <w:rFonts w:ascii="Trebuchet MS" w:hAnsi="Trebuchet MS" w:eastAsiaTheme="majorEastAsia"/>
          <w:color w:val="000000"/>
          <w:sz w:val="18"/>
          <w:szCs w:val="18"/>
          <w:u w:val="single"/>
        </w:rPr>
        <w:t>Ad 4-6. Outcome: het resultaat van de output</w:t>
      </w:r>
      <w:r w:rsidRPr="00B507B9">
        <w:rPr>
          <w:rStyle w:val="eop"/>
          <w:rFonts w:ascii="Trebuchet MS" w:hAnsi="Trebuchet MS" w:eastAsiaTheme="majorEastAsia"/>
          <w:color w:val="000000"/>
          <w:sz w:val="18"/>
          <w:szCs w:val="18"/>
          <w:u w:val="single"/>
        </w:rPr>
        <w:t> </w:t>
      </w:r>
    </w:p>
    <w:p w:rsidRPr="00C94180" w:rsidR="005D1BDB" w:rsidP="005D1BDB" w:rsidRDefault="005D1BDB" w14:paraId="37E38BFA" w14:textId="77777777">
      <w:pPr>
        <w:pStyle w:val="paragraph"/>
        <w:spacing w:before="0" w:beforeAutospacing="0" w:after="0" w:afterAutospacing="0"/>
        <w:textAlignment w:val="baseline"/>
        <w:rPr>
          <w:rFonts w:ascii="Trebuchet MS" w:hAnsi="Trebuchet MS"/>
          <w:sz w:val="18"/>
          <w:szCs w:val="18"/>
        </w:rPr>
      </w:pPr>
      <w:r w:rsidRPr="00C94180">
        <w:rPr>
          <w:rStyle w:val="eop"/>
          <w:rFonts w:ascii="Trebuchet MS" w:hAnsi="Trebuchet MS" w:eastAsiaTheme="majorEastAsia"/>
          <w:sz w:val="18"/>
          <w:szCs w:val="18"/>
        </w:rPr>
        <w:t> </w:t>
      </w:r>
    </w:p>
    <w:p w:rsidRPr="00C94180" w:rsidR="005D1BDB" w:rsidP="005D1BDB" w:rsidRDefault="005D1BDB" w14:paraId="2F7DB789" w14:textId="77777777">
      <w:pPr>
        <w:pStyle w:val="paragraph"/>
        <w:spacing w:before="0" w:beforeAutospacing="0" w:after="0" w:afterAutospacing="0"/>
        <w:textAlignment w:val="baseline"/>
        <w:rPr>
          <w:rStyle w:val="normaltextrun"/>
          <w:rFonts w:ascii="Trebuchet MS" w:hAnsi="Trebuchet MS" w:eastAsiaTheme="majorEastAsia"/>
          <w:sz w:val="18"/>
          <w:szCs w:val="18"/>
        </w:rPr>
      </w:pPr>
      <w:r w:rsidRPr="00C94180">
        <w:rPr>
          <w:rStyle w:val="normaltextrun"/>
          <w:rFonts w:ascii="Trebuchet MS" w:hAnsi="Trebuchet MS" w:eastAsiaTheme="majorEastAsia"/>
          <w:sz w:val="18"/>
          <w:szCs w:val="18"/>
        </w:rPr>
        <w:t xml:space="preserve">De verandertheorie in de achtergrondschets volgend is hebben het vergrote bereik en de interventies en inspanningen die binnen de STO-regio’s zijn gedaan om leerlingen te interesseren voor techniek en om het technisch onderwijs aantrekkelijker te maken, bijgedragen aan het kwantitatief resultaat: </w:t>
      </w:r>
    </w:p>
    <w:p w:rsidRPr="00C94180" w:rsidR="005D1BDB" w:rsidP="00426692" w:rsidRDefault="005D1BDB" w14:paraId="04F6C1B7" w14:textId="77777777">
      <w:pPr>
        <w:pStyle w:val="paragraph"/>
        <w:numPr>
          <w:ilvl w:val="0"/>
          <w:numId w:val="66"/>
        </w:numPr>
        <w:spacing w:before="0" w:beforeAutospacing="0" w:after="0" w:afterAutospacing="0"/>
        <w:textAlignment w:val="baseline"/>
        <w:rPr>
          <w:rStyle w:val="eop"/>
          <w:rFonts w:ascii="Trebuchet MS" w:hAnsi="Trebuchet MS"/>
          <w:sz w:val="18"/>
          <w:szCs w:val="18"/>
        </w:rPr>
      </w:pPr>
      <w:r w:rsidRPr="00C94180">
        <w:rPr>
          <w:rStyle w:val="normaltextrun"/>
          <w:rFonts w:ascii="Trebuchet MS" w:hAnsi="Trebuchet MS" w:eastAsiaTheme="majorEastAsia"/>
          <w:sz w:val="18"/>
          <w:szCs w:val="18"/>
        </w:rPr>
        <w:t>Tussen 2020 en 2024 zijn de aantallen leerlingen in een techniekprofiel gestegen; met ook een toename van meiden en leerlingen met een migratieachtergrond.</w:t>
      </w:r>
      <w:r w:rsidRPr="00C94180">
        <w:rPr>
          <w:rStyle w:val="eop"/>
          <w:rFonts w:ascii="Trebuchet MS" w:hAnsi="Trebuchet MS" w:eastAsiaTheme="majorEastAsia"/>
          <w:sz w:val="18"/>
          <w:szCs w:val="18"/>
        </w:rPr>
        <w:t> </w:t>
      </w:r>
    </w:p>
    <w:p w:rsidRPr="00C94180" w:rsidR="005D1BDB" w:rsidP="00426692" w:rsidRDefault="005D1BDB" w14:paraId="09722CC6" w14:textId="77777777">
      <w:pPr>
        <w:pStyle w:val="paragraph"/>
        <w:numPr>
          <w:ilvl w:val="0"/>
          <w:numId w:val="66"/>
        </w:numPr>
        <w:spacing w:before="0" w:beforeAutospacing="0" w:after="0" w:afterAutospacing="0"/>
        <w:textAlignment w:val="baseline"/>
        <w:rPr>
          <w:rStyle w:val="eop"/>
          <w:rFonts w:ascii="Trebuchet MS" w:hAnsi="Trebuchet MS"/>
          <w:sz w:val="18"/>
          <w:szCs w:val="18"/>
        </w:rPr>
      </w:pPr>
      <w:r w:rsidRPr="00C94180">
        <w:rPr>
          <w:rStyle w:val="normaltextrun"/>
          <w:rFonts w:ascii="Trebuchet MS" w:hAnsi="Trebuchet MS" w:eastAsiaTheme="majorEastAsia"/>
          <w:sz w:val="18"/>
          <w:szCs w:val="18"/>
        </w:rPr>
        <w:t>De groepsgrootte in de technische profielen is voor de basis- en kaderberoepsgerichte leerweg overall gedaald en in de gl gestegen.</w:t>
      </w:r>
      <w:r w:rsidRPr="00C94180">
        <w:rPr>
          <w:rStyle w:val="eop"/>
          <w:rFonts w:ascii="Trebuchet MS" w:hAnsi="Trebuchet MS" w:eastAsiaTheme="majorEastAsia"/>
          <w:sz w:val="18"/>
          <w:szCs w:val="18"/>
        </w:rPr>
        <w:t> </w:t>
      </w:r>
    </w:p>
    <w:p w:rsidRPr="00C94180" w:rsidR="005D1BDB" w:rsidP="00426692" w:rsidRDefault="005D1BDB" w14:paraId="7C2C709B" w14:textId="77777777">
      <w:pPr>
        <w:pStyle w:val="paragraph"/>
        <w:numPr>
          <w:ilvl w:val="0"/>
          <w:numId w:val="66"/>
        </w:numPr>
        <w:spacing w:before="0" w:beforeAutospacing="0" w:after="0" w:afterAutospacing="0"/>
        <w:textAlignment w:val="baseline"/>
        <w:rPr>
          <w:rStyle w:val="eop"/>
          <w:rFonts w:ascii="Trebuchet MS" w:hAnsi="Trebuchet MS"/>
          <w:sz w:val="18"/>
          <w:szCs w:val="18"/>
        </w:rPr>
      </w:pPr>
      <w:r w:rsidRPr="00C94180">
        <w:rPr>
          <w:rStyle w:val="normaltextrun"/>
          <w:rFonts w:ascii="Trebuchet MS" w:hAnsi="Trebuchet MS" w:eastAsiaTheme="majorEastAsia"/>
          <w:sz w:val="18"/>
          <w:szCs w:val="18"/>
        </w:rPr>
        <w:t>Het aandeel leerlingen uit een niet-techniekprofiel dat ten minste één technisch keuzevak heeft gevolgd is toegenomen naar dertig procent en de doorstroom van deze leerlingen naar een technische mbo-opleiding stijgt. De doorstroom vanuit de technische profielen naar technisch mbo is echter wat afgenomen, vooral in de kaderberoepsgerichte leerweg.</w:t>
      </w:r>
      <w:r w:rsidRPr="00C94180">
        <w:rPr>
          <w:rStyle w:val="eop"/>
          <w:rFonts w:ascii="Trebuchet MS" w:hAnsi="Trebuchet MS" w:eastAsiaTheme="majorEastAsia"/>
          <w:sz w:val="18"/>
          <w:szCs w:val="18"/>
        </w:rPr>
        <w:t> </w:t>
      </w:r>
    </w:p>
    <w:p w:rsidRPr="00C94180" w:rsidR="005D1BDB" w:rsidP="00426692" w:rsidRDefault="005D1BDB" w14:paraId="4FE8F1DA" w14:textId="77777777">
      <w:pPr>
        <w:pStyle w:val="paragraph"/>
        <w:numPr>
          <w:ilvl w:val="0"/>
          <w:numId w:val="66"/>
        </w:numPr>
        <w:spacing w:before="0" w:beforeAutospacing="0" w:after="0" w:afterAutospacing="0"/>
        <w:textAlignment w:val="baseline"/>
        <w:rPr>
          <w:rStyle w:val="eop"/>
          <w:rFonts w:ascii="Trebuchet MS" w:hAnsi="Trebuchet MS"/>
          <w:sz w:val="18"/>
          <w:szCs w:val="18"/>
        </w:rPr>
      </w:pPr>
      <w:r w:rsidRPr="00C94180">
        <w:rPr>
          <w:rStyle w:val="normaltextrun"/>
          <w:rFonts w:ascii="Trebuchet MS" w:hAnsi="Trebuchet MS" w:eastAsiaTheme="majorEastAsia"/>
          <w:sz w:val="18"/>
          <w:szCs w:val="18"/>
        </w:rPr>
        <w:t>In de STO-periode is het aantal vestigingen dat technische profielen aanbiedt nagenoeg gelijk gebleven, evenals de bereikbaarheid van het aanbod voor leerlingen (reisafstand).</w:t>
      </w:r>
      <w:r w:rsidRPr="00C94180">
        <w:rPr>
          <w:rStyle w:val="eop"/>
          <w:rFonts w:ascii="Trebuchet MS" w:hAnsi="Trebuchet MS" w:eastAsiaTheme="majorEastAsia"/>
          <w:sz w:val="18"/>
          <w:szCs w:val="18"/>
        </w:rPr>
        <w:t> </w:t>
      </w:r>
    </w:p>
    <w:p w:rsidRPr="00C94180" w:rsidR="005D1BDB" w:rsidP="00426692" w:rsidRDefault="005D1BDB" w14:paraId="369328AA" w14:textId="77777777">
      <w:pPr>
        <w:pStyle w:val="paragraph"/>
        <w:numPr>
          <w:ilvl w:val="0"/>
          <w:numId w:val="66"/>
        </w:numPr>
        <w:spacing w:before="0" w:beforeAutospacing="0" w:after="0" w:afterAutospacing="0"/>
        <w:textAlignment w:val="baseline"/>
        <w:rPr>
          <w:rStyle w:val="eop"/>
          <w:rFonts w:ascii="Trebuchet MS" w:hAnsi="Trebuchet MS"/>
          <w:sz w:val="18"/>
          <w:szCs w:val="18"/>
        </w:rPr>
      </w:pPr>
      <w:r w:rsidRPr="00C94180">
        <w:rPr>
          <w:rStyle w:val="normaltextrun"/>
          <w:rFonts w:ascii="Trebuchet MS" w:hAnsi="Trebuchet MS" w:eastAsiaTheme="majorEastAsia"/>
          <w:sz w:val="18"/>
          <w:szCs w:val="18"/>
        </w:rPr>
        <w:t>In de STO-periode zijn er meer lesgevenden in een technisch profiel gekomen, in aantal en in fte.</w:t>
      </w:r>
      <w:r w:rsidRPr="00C94180">
        <w:rPr>
          <w:rStyle w:val="normaltextrun"/>
          <w:rFonts w:ascii="Arial" w:hAnsi="Arial" w:cs="Arial" w:eastAsiaTheme="majorEastAsia"/>
          <w:sz w:val="18"/>
          <w:szCs w:val="18"/>
        </w:rPr>
        <w:t> </w:t>
      </w:r>
      <w:r w:rsidRPr="00C94180">
        <w:rPr>
          <w:rStyle w:val="normaltextrun"/>
          <w:rFonts w:ascii="Trebuchet MS" w:hAnsi="Trebuchet MS" w:eastAsiaTheme="majorEastAsia"/>
          <w:sz w:val="18"/>
          <w:szCs w:val="18"/>
        </w:rPr>
        <w:t>Het aandeel bevoegde docenten is daarbij toegenomen, maar wel met grote verschillen tussen profielen. Het docentencorps is ook wat verjongd, met meer vrouwen en meer lesgevenden afkomstig uit het bedrijfsleven. Het docententekort blijft in veel regio</w:t>
      </w:r>
      <w:r w:rsidRPr="00C94180">
        <w:rPr>
          <w:rStyle w:val="normaltextrun"/>
          <w:rFonts w:ascii="Trebuchet MS" w:hAnsi="Trebuchet MS" w:cs="Trebuchet MS" w:eastAsiaTheme="majorEastAsia"/>
          <w:sz w:val="18"/>
          <w:szCs w:val="18"/>
        </w:rPr>
        <w:t>’</w:t>
      </w:r>
      <w:r w:rsidRPr="00C94180">
        <w:rPr>
          <w:rStyle w:val="normaltextrun"/>
          <w:rFonts w:ascii="Trebuchet MS" w:hAnsi="Trebuchet MS" w:eastAsiaTheme="majorEastAsia"/>
          <w:sz w:val="18"/>
          <w:szCs w:val="18"/>
        </w:rPr>
        <w:t>s echter nijpend of gaat dat nog worden. Het lijkt erop dat een aanpak van het docententekort vanuit een regionaal perspectief weerbarstig is. </w:t>
      </w:r>
      <w:r w:rsidRPr="00C94180">
        <w:rPr>
          <w:rStyle w:val="eop"/>
          <w:rFonts w:ascii="Trebuchet MS" w:hAnsi="Trebuchet MS" w:eastAsiaTheme="majorEastAsia"/>
          <w:sz w:val="18"/>
          <w:szCs w:val="18"/>
        </w:rPr>
        <w:t> </w:t>
      </w:r>
    </w:p>
    <w:p w:rsidRPr="00C94180" w:rsidR="005D1BDB" w:rsidP="005D1BDB" w:rsidRDefault="005D1BDB" w14:paraId="468BCDE3" w14:textId="77777777">
      <w:pPr>
        <w:pStyle w:val="paragraph"/>
        <w:spacing w:before="0" w:beforeAutospacing="0" w:after="0" w:afterAutospacing="0"/>
        <w:textAlignment w:val="baseline"/>
        <w:rPr>
          <w:rFonts w:ascii="Trebuchet MS" w:hAnsi="Trebuchet MS"/>
          <w:sz w:val="18"/>
          <w:szCs w:val="18"/>
        </w:rPr>
      </w:pPr>
    </w:p>
    <w:p w:rsidRPr="00C94180" w:rsidR="005D1BDB" w:rsidP="005D1BDB" w:rsidRDefault="005D1BDB" w14:paraId="7C6645EB" w14:textId="77777777">
      <w:pPr>
        <w:pStyle w:val="paragraph"/>
        <w:spacing w:before="0" w:beforeAutospacing="0" w:after="0" w:afterAutospacing="0"/>
        <w:textAlignment w:val="baseline"/>
        <w:rPr>
          <w:rStyle w:val="eop"/>
          <w:rFonts w:ascii="Trebuchet MS" w:hAnsi="Trebuchet MS" w:eastAsiaTheme="majorEastAsia"/>
          <w:i/>
          <w:iCs/>
          <w:sz w:val="18"/>
          <w:szCs w:val="18"/>
        </w:rPr>
      </w:pPr>
      <w:r w:rsidRPr="00C94180">
        <w:rPr>
          <w:rStyle w:val="eop"/>
          <w:rFonts w:ascii="Trebuchet MS" w:hAnsi="Trebuchet MS" w:eastAsiaTheme="majorEastAsia"/>
          <w:i/>
          <w:iCs/>
          <w:sz w:val="18"/>
          <w:szCs w:val="18"/>
        </w:rPr>
        <w:t> tevredenheid &amp; impact</w:t>
      </w:r>
    </w:p>
    <w:p w:rsidRPr="00C94180" w:rsidR="005D1BDB" w:rsidP="00426692" w:rsidRDefault="005D1BDB" w14:paraId="7A953B02" w14:textId="77777777">
      <w:pPr>
        <w:pStyle w:val="paragraph"/>
        <w:numPr>
          <w:ilvl w:val="0"/>
          <w:numId w:val="67"/>
        </w:numPr>
        <w:spacing w:before="0" w:beforeAutospacing="0" w:after="0" w:afterAutospacing="0"/>
        <w:textAlignment w:val="baseline"/>
        <w:rPr>
          <w:rStyle w:val="eop"/>
          <w:rFonts w:ascii="Trebuchet MS" w:hAnsi="Trebuchet MS"/>
          <w:sz w:val="18"/>
          <w:szCs w:val="18"/>
        </w:rPr>
      </w:pPr>
      <w:r w:rsidRPr="00C94180">
        <w:rPr>
          <w:rStyle w:val="normaltextrun"/>
          <w:rFonts w:ascii="Trebuchet MS" w:hAnsi="Trebuchet MS" w:eastAsiaTheme="majorEastAsia"/>
          <w:sz w:val="18"/>
          <w:szCs w:val="18"/>
        </w:rPr>
        <w:t>Nagenoeg alle programmaleiders zijn tevreden met de bereikte stand eind 2024. In regio’s met een regionaal budgetbeheer is er wat meer tevredenheid over de gerealiseerde activiteiten en de bereikte doelen dan in regio’s die de middelen verdelen over scholen. Beide vormen van middelenverdeling hebben hun voordelen: een verdeelsleutel biedt duidelijkheid en autonomie voor scholen, maar leunt sterker op eigen initiatief, terwijl regionaal beheer de samenwerking en gezamenlijke sturing versterkt.</w:t>
      </w:r>
      <w:r w:rsidRPr="00C94180">
        <w:rPr>
          <w:rStyle w:val="normaltextrun"/>
          <w:rFonts w:ascii="Arial" w:hAnsi="Arial" w:cs="Arial" w:eastAsiaTheme="majorEastAsia"/>
          <w:sz w:val="18"/>
          <w:szCs w:val="18"/>
        </w:rPr>
        <w:t> </w:t>
      </w:r>
      <w:r w:rsidRPr="00C94180">
        <w:rPr>
          <w:rStyle w:val="eop"/>
          <w:rFonts w:ascii="Trebuchet MS" w:hAnsi="Trebuchet MS" w:eastAsiaTheme="majorEastAsia"/>
          <w:sz w:val="18"/>
          <w:szCs w:val="18"/>
        </w:rPr>
        <w:t> </w:t>
      </w:r>
    </w:p>
    <w:p w:rsidRPr="00C94180" w:rsidR="005D1BDB" w:rsidP="00426692" w:rsidRDefault="005D1BDB" w14:paraId="4A05B8A2" w14:textId="77777777">
      <w:pPr>
        <w:pStyle w:val="paragraph"/>
        <w:numPr>
          <w:ilvl w:val="0"/>
          <w:numId w:val="67"/>
        </w:numPr>
        <w:spacing w:before="0" w:beforeAutospacing="0" w:after="0" w:afterAutospacing="0"/>
        <w:textAlignment w:val="baseline"/>
        <w:rPr>
          <w:rStyle w:val="eop"/>
          <w:rFonts w:ascii="Trebuchet MS" w:hAnsi="Trebuchet MS"/>
          <w:sz w:val="18"/>
          <w:szCs w:val="18"/>
        </w:rPr>
      </w:pPr>
      <w:r w:rsidRPr="00C94180">
        <w:rPr>
          <w:rFonts w:ascii="Trebuchet MS" w:hAnsi="Trebuchet MS"/>
          <w:sz w:val="18"/>
          <w:szCs w:val="18"/>
        </w:rPr>
        <w:t>D</w:t>
      </w:r>
      <w:r w:rsidRPr="00C94180">
        <w:rPr>
          <w:rStyle w:val="normaltextrun"/>
          <w:rFonts w:ascii="Trebuchet MS" w:hAnsi="Trebuchet MS" w:eastAsiaTheme="majorEastAsia"/>
          <w:sz w:val="18"/>
          <w:szCs w:val="18"/>
        </w:rPr>
        <w:t>ocenten ervaren de impact van STO: een meerderheid is door STO meer trots op hun vak en vier op de 10 docenten voelen zich beter toegerust voor het geven van eigentijds techniekonderwijs en zijn meer gemotiveerd, vooral door de beschikbaarheid en toegang tot moderne apparatuur, materialen en lokalen en door de contacten met (opleidings)bedrijven en andere scholen.</w:t>
      </w:r>
      <w:r w:rsidRPr="00C94180">
        <w:rPr>
          <w:rStyle w:val="eop"/>
          <w:rFonts w:ascii="Trebuchet MS" w:hAnsi="Trebuchet MS" w:eastAsiaTheme="majorEastAsia"/>
          <w:sz w:val="18"/>
          <w:szCs w:val="18"/>
        </w:rPr>
        <w:t> </w:t>
      </w:r>
    </w:p>
    <w:p w:rsidRPr="00C94180" w:rsidR="005D1BDB" w:rsidP="00426692" w:rsidRDefault="005D1BDB" w14:paraId="5888F0E6" w14:textId="77777777">
      <w:pPr>
        <w:pStyle w:val="paragraph"/>
        <w:numPr>
          <w:ilvl w:val="0"/>
          <w:numId w:val="67"/>
        </w:numPr>
        <w:spacing w:before="0" w:beforeAutospacing="0" w:after="0" w:afterAutospacing="0"/>
        <w:textAlignment w:val="baseline"/>
        <w:rPr>
          <w:rStyle w:val="normaltextrun"/>
          <w:rFonts w:ascii="Trebuchet MS" w:hAnsi="Trebuchet MS"/>
          <w:sz w:val="18"/>
          <w:szCs w:val="18"/>
        </w:rPr>
      </w:pPr>
      <w:r w:rsidRPr="00C94180">
        <w:rPr>
          <w:rStyle w:val="normaltextrun"/>
          <w:rFonts w:ascii="Trebuchet MS" w:hAnsi="Trebuchet MS" w:eastAsiaTheme="majorEastAsia"/>
          <w:sz w:val="18"/>
          <w:szCs w:val="18"/>
        </w:rPr>
        <w:t xml:space="preserve">Ook op vmbo-leerlingen is de impact groot volgens docenten: Leerlingen hebben beter en rijker techniekonderwijs, ze doen meer echte ervaringen op in de beroepspraktijk, ze hebben meer zicht op actuele ontwikkelingen binnen de wereld van techniek, en ze zijn beter voorbereid op het </w:t>
      </w:r>
      <w:r w:rsidRPr="00C94180">
        <w:rPr>
          <w:rStyle w:val="normaltextrun"/>
          <w:rFonts w:ascii="Trebuchet MS" w:hAnsi="Trebuchet MS" w:eastAsiaTheme="majorEastAsia"/>
          <w:sz w:val="18"/>
          <w:szCs w:val="18"/>
        </w:rPr>
        <w:lastRenderedPageBreak/>
        <w:t xml:space="preserve">vervolgonderwijs en maken daarvoor een bewustere keuze. Bijna de helft van de techniekdocenten geeft aan dat hun leerlingen meer gemotiveerd zijn geraakt voor technisch onderwijs door STO. </w:t>
      </w:r>
    </w:p>
    <w:p w:rsidRPr="00C94180" w:rsidR="005D1BDB" w:rsidP="00426692" w:rsidRDefault="005D1BDB" w14:paraId="188E7D6D" w14:textId="77777777">
      <w:pPr>
        <w:pStyle w:val="paragraph"/>
        <w:numPr>
          <w:ilvl w:val="0"/>
          <w:numId w:val="67"/>
        </w:numPr>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De casussen en de lesobservaties van buitenschoolse activiteiten laten zien dat vooral leerlingen van het basisonderwijs enthousiast raken door de activiteiten rond techniek en technologie. Het enthousiasme van lesgevenden, de mogelijkheid om tastbare producten te maken en de koppeling met realistische beroepssituaties lijken hierbij ondersteunend te werken. </w:t>
      </w:r>
      <w:r w:rsidRPr="00C94180">
        <w:rPr>
          <w:rStyle w:val="eop"/>
          <w:rFonts w:ascii="Trebuchet MS" w:hAnsi="Trebuchet MS" w:eastAsiaTheme="majorEastAsia"/>
          <w:sz w:val="18"/>
          <w:szCs w:val="18"/>
        </w:rPr>
        <w:t> </w:t>
      </w:r>
    </w:p>
    <w:p w:rsidRPr="00C94180" w:rsidR="005D1BDB" w:rsidP="005D1BDB" w:rsidRDefault="005D1BDB" w14:paraId="2D6E7838" w14:textId="77777777">
      <w:pPr>
        <w:pStyle w:val="paragraph"/>
        <w:spacing w:before="0" w:beforeAutospacing="0" w:after="0" w:afterAutospacing="0"/>
        <w:ind w:left="720"/>
        <w:textAlignment w:val="baseline"/>
        <w:rPr>
          <w:rFonts w:ascii="Trebuchet MS" w:hAnsi="Trebuchet MS"/>
          <w:sz w:val="18"/>
          <w:szCs w:val="18"/>
        </w:rPr>
      </w:pPr>
    </w:p>
    <w:p w:rsidR="005D1BDB" w:rsidP="005D1BDB" w:rsidRDefault="005D1BDB" w14:paraId="0206C9F9" w14:textId="77777777">
      <w:pPr>
        <w:pStyle w:val="paragraph"/>
        <w:spacing w:before="0" w:beforeAutospacing="0" w:after="0" w:afterAutospacing="0"/>
        <w:jc w:val="both"/>
        <w:textAlignment w:val="baseline"/>
        <w:rPr>
          <w:rStyle w:val="normaltextrun"/>
          <w:rFonts w:ascii="Trebuchet MS" w:hAnsi="Trebuchet MS" w:eastAsiaTheme="majorEastAsia"/>
          <w:sz w:val="18"/>
          <w:szCs w:val="18"/>
        </w:rPr>
      </w:pPr>
      <w:r w:rsidRPr="00C94180">
        <w:rPr>
          <w:rStyle w:val="normaltextrun"/>
          <w:rFonts w:ascii="Trebuchet MS" w:hAnsi="Trebuchet MS" w:eastAsiaTheme="majorEastAsia"/>
          <w:sz w:val="18"/>
          <w:szCs w:val="18"/>
        </w:rPr>
        <w:t>Op de impactladder is samenwerken (gedrag) een 'hoge’ vorm van resultaat/impact. De samenwerking tussen vmbo-scholen onderling, met bedrijfsleven en het samen activiteitenplannen uitvoeren hebben,</w:t>
      </w:r>
      <w:r>
        <w:rPr>
          <w:rStyle w:val="normaltextrun"/>
          <w:rFonts w:ascii="Trebuchet MS" w:hAnsi="Trebuchet MS" w:eastAsiaTheme="majorEastAsia"/>
          <w:sz w:val="18"/>
          <w:szCs w:val="18"/>
        </w:rPr>
        <w:t xml:space="preserve"> </w:t>
      </w:r>
      <w:r w:rsidRPr="00C94180">
        <w:rPr>
          <w:rStyle w:val="normaltextrun"/>
          <w:rFonts w:ascii="Trebuchet MS" w:hAnsi="Trebuchet MS" w:eastAsiaTheme="majorEastAsia"/>
          <w:sz w:val="18"/>
          <w:szCs w:val="18"/>
        </w:rPr>
        <w:t xml:space="preserve">naast de belangrijke bijdrage van de STO-middelen zelf, volgens programmaleiders het meest bijgedragen aan het succes in de regio. </w:t>
      </w:r>
    </w:p>
    <w:p w:rsidRPr="00C94180" w:rsidR="005D1BDB" w:rsidP="005D1BDB" w:rsidRDefault="005D1BDB" w14:paraId="597F0FD3" w14:textId="77777777">
      <w:pPr>
        <w:pStyle w:val="paragraph"/>
        <w:spacing w:before="0" w:beforeAutospacing="0" w:after="0" w:afterAutospacing="0"/>
        <w:jc w:val="both"/>
        <w:textAlignment w:val="baseline"/>
        <w:rPr>
          <w:rFonts w:ascii="Trebuchet MS" w:hAnsi="Trebuchet MS"/>
          <w:sz w:val="18"/>
          <w:szCs w:val="18"/>
        </w:rPr>
      </w:pPr>
      <w:r w:rsidRPr="00C94180">
        <w:rPr>
          <w:rStyle w:val="eop"/>
          <w:rFonts w:ascii="Trebuchet MS" w:hAnsi="Trebuchet MS" w:eastAsiaTheme="majorEastAsia"/>
          <w:sz w:val="18"/>
          <w:szCs w:val="18"/>
        </w:rPr>
        <w:t xml:space="preserve">Als het gaat om de hoogste treden van de impactladder, dan zien we dat </w:t>
      </w:r>
      <w:r>
        <w:rPr>
          <w:rStyle w:val="eop"/>
          <w:rFonts w:ascii="Trebuchet MS" w:hAnsi="Trebuchet MS" w:eastAsiaTheme="majorEastAsia"/>
          <w:sz w:val="18"/>
          <w:szCs w:val="18"/>
        </w:rPr>
        <w:t>d</w:t>
      </w:r>
      <w:r w:rsidRPr="00C94180">
        <w:rPr>
          <w:rStyle w:val="eop"/>
          <w:rFonts w:ascii="Trebuchet MS" w:hAnsi="Trebuchet MS" w:eastAsiaTheme="majorEastAsia"/>
          <w:sz w:val="18"/>
          <w:szCs w:val="18"/>
        </w:rPr>
        <w:t>e impact van STO verder reikt dan de doelen</w:t>
      </w:r>
      <w:r>
        <w:rPr>
          <w:rStyle w:val="eop"/>
          <w:rFonts w:ascii="Trebuchet MS" w:hAnsi="Trebuchet MS" w:eastAsiaTheme="majorEastAsia"/>
          <w:sz w:val="18"/>
          <w:szCs w:val="18"/>
        </w:rPr>
        <w:t>:</w:t>
      </w:r>
      <w:r w:rsidRPr="00C94180">
        <w:rPr>
          <w:rStyle w:val="eop"/>
          <w:rFonts w:ascii="Trebuchet MS" w:hAnsi="Trebuchet MS" w:eastAsiaTheme="majorEastAsia"/>
          <w:sz w:val="18"/>
          <w:szCs w:val="18"/>
        </w:rPr>
        <w:t xml:space="preserve"> door de middelen en de ruimte die dat met zich meebracht</w:t>
      </w:r>
      <w:r>
        <w:rPr>
          <w:rStyle w:val="eop"/>
          <w:rFonts w:ascii="Trebuchet MS" w:hAnsi="Trebuchet MS" w:eastAsiaTheme="majorEastAsia"/>
          <w:sz w:val="18"/>
          <w:szCs w:val="18"/>
        </w:rPr>
        <w:t xml:space="preserve"> heeft STO</w:t>
      </w:r>
      <w:r w:rsidRPr="00C94180">
        <w:rPr>
          <w:rStyle w:val="eop"/>
          <w:rFonts w:ascii="Trebuchet MS" w:hAnsi="Trebuchet MS" w:eastAsiaTheme="majorEastAsia"/>
          <w:sz w:val="18"/>
          <w:szCs w:val="18"/>
        </w:rPr>
        <w:t xml:space="preserve"> het denken over hoe techniekonderwijs in de keten er uit </w:t>
      </w:r>
      <w:r>
        <w:rPr>
          <w:rStyle w:val="eop"/>
          <w:rFonts w:ascii="Trebuchet MS" w:hAnsi="Trebuchet MS" w:eastAsiaTheme="majorEastAsia"/>
          <w:sz w:val="18"/>
          <w:szCs w:val="18"/>
        </w:rPr>
        <w:t>kan</w:t>
      </w:r>
      <w:r w:rsidRPr="00C94180">
        <w:rPr>
          <w:rStyle w:val="eop"/>
          <w:rFonts w:ascii="Trebuchet MS" w:hAnsi="Trebuchet MS" w:eastAsiaTheme="majorEastAsia"/>
          <w:sz w:val="18"/>
          <w:szCs w:val="18"/>
        </w:rPr>
        <w:t xml:space="preserve"> zien</w:t>
      </w:r>
      <w:r>
        <w:rPr>
          <w:rStyle w:val="eop"/>
          <w:rFonts w:ascii="Trebuchet MS" w:hAnsi="Trebuchet MS" w:eastAsiaTheme="majorEastAsia"/>
          <w:sz w:val="18"/>
          <w:szCs w:val="18"/>
        </w:rPr>
        <w:t>,</w:t>
      </w:r>
      <w:r w:rsidRPr="00C94180">
        <w:rPr>
          <w:rStyle w:val="eop"/>
          <w:rFonts w:ascii="Trebuchet MS" w:hAnsi="Trebuchet MS" w:eastAsiaTheme="majorEastAsia"/>
          <w:sz w:val="18"/>
          <w:szCs w:val="18"/>
        </w:rPr>
        <w:t xml:space="preserve"> in gang gezet.  </w:t>
      </w:r>
    </w:p>
    <w:p w:rsidRPr="00C94180" w:rsidR="005D1BDB" w:rsidP="005D1BDB" w:rsidRDefault="005D1BDB" w14:paraId="7A8EFE99" w14:textId="77777777">
      <w:pPr>
        <w:pStyle w:val="paragraph"/>
        <w:spacing w:before="0" w:beforeAutospacing="0" w:after="0" w:afterAutospacing="0"/>
        <w:textAlignment w:val="baseline"/>
        <w:rPr>
          <w:rFonts w:ascii="Trebuchet MS" w:hAnsi="Trebuchet MS"/>
          <w:sz w:val="18"/>
          <w:szCs w:val="18"/>
        </w:rPr>
      </w:pPr>
      <w:r w:rsidRPr="00C94180">
        <w:rPr>
          <w:rStyle w:val="eop"/>
          <w:rFonts w:ascii="Trebuchet MS" w:hAnsi="Trebuchet MS" w:eastAsiaTheme="majorEastAsia"/>
          <w:sz w:val="18"/>
          <w:szCs w:val="18"/>
        </w:rPr>
        <w:t> </w:t>
      </w:r>
    </w:p>
    <w:p w:rsidRPr="00976317" w:rsidR="005D1BDB" w:rsidP="005D1BDB" w:rsidRDefault="005D1BDB" w14:paraId="5ACA2878" w14:textId="77777777">
      <w:pPr>
        <w:pStyle w:val="Kop2"/>
      </w:pPr>
      <w:bookmarkStart w:name="_Toc199838371" w:id="94"/>
      <w:bookmarkStart w:name="_Toc203573612" w:id="95"/>
      <w:r>
        <w:t>Vooruitblik nieuwe fase STO</w:t>
      </w:r>
      <w:bookmarkEnd w:id="94"/>
      <w:bookmarkEnd w:id="95"/>
    </w:p>
    <w:p w:rsidRPr="00C94180" w:rsidR="005D1BDB" w:rsidP="005D1BDB" w:rsidRDefault="005D1BDB" w14:paraId="187F6B39" w14:textId="77777777">
      <w:pPr>
        <w:pStyle w:val="paragraph"/>
        <w:spacing w:before="0" w:beforeAutospacing="0" w:after="16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 xml:space="preserve">De transitiefase van Sterk Techniekonderwijs laat zien dat er in deze fase veel gerealiseerd is, in termen van concrete resultaten, aanbod en aanpakken, en ook in de samenwerking in de regio. Dat uit zich bijvoorbeeld ook in termen als ‘regio-denken’ en ‘keten-denken’ of ‘de leerlingenreis’. Actoren die voorheen niet of nauwelijks met elkaar van doen hadden, identificeren zich als ‘STO-regio’ en dragen de bekendheid van STO verder uit. De impact van STO is groot bij veel betrokkenen. Tegelijkertijd kan geconstateerd worden dat op de doelen van STO blijvende investering nodig is en dat het cruciaal is de betrokkenheid van de regionale partners te houden en versterken. Tussen en ook </w:t>
      </w:r>
      <w:r w:rsidRPr="00C94180">
        <w:rPr>
          <w:rStyle w:val="normaltextrun"/>
          <w:rFonts w:ascii="Trebuchet MS" w:hAnsi="Trebuchet MS" w:eastAsiaTheme="majorEastAsia"/>
          <w:i/>
          <w:iCs/>
          <w:sz w:val="18"/>
          <w:szCs w:val="18"/>
        </w:rPr>
        <w:t>binnen</w:t>
      </w:r>
      <w:r w:rsidRPr="00C94180">
        <w:rPr>
          <w:rStyle w:val="normaltextrun"/>
          <w:rFonts w:ascii="Trebuchet MS" w:hAnsi="Trebuchet MS" w:eastAsiaTheme="majorEastAsia"/>
          <w:sz w:val="18"/>
          <w:szCs w:val="18"/>
        </w:rPr>
        <w:t xml:space="preserve"> regio's (tussen scholen) zijn er daarbij nog aanmerkelijke verschillen, bijvoorbeeld in het bereik en de benutting van het STO-aanbod onder scholen en leerlingen in de regio. Daar liggen ook ambities bij regio’s voor de nieuwe fase.  </w:t>
      </w:r>
    </w:p>
    <w:p w:rsidRPr="00C94180" w:rsidR="005D1BDB" w:rsidP="005D1BDB" w:rsidRDefault="005D1BDB" w14:paraId="6B412533" w14:textId="77777777">
      <w:pPr>
        <w:pStyle w:val="paragraph"/>
        <w:spacing w:before="0" w:beforeAutospacing="0" w:after="16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 xml:space="preserve">Voor veel regio's lijkt te gelden dat er behoefte is aan kennis over en delen van </w:t>
      </w:r>
      <w:r>
        <w:rPr>
          <w:rStyle w:val="normaltextrun"/>
          <w:rFonts w:ascii="Trebuchet MS" w:hAnsi="Trebuchet MS" w:eastAsiaTheme="majorEastAsia"/>
          <w:sz w:val="18"/>
          <w:szCs w:val="18"/>
        </w:rPr>
        <w:t>(</w:t>
      </w:r>
      <w:r w:rsidRPr="00C94180">
        <w:rPr>
          <w:rStyle w:val="normaltextrun"/>
          <w:rFonts w:ascii="Trebuchet MS" w:hAnsi="Trebuchet MS" w:eastAsiaTheme="majorEastAsia"/>
          <w:sz w:val="18"/>
          <w:szCs w:val="18"/>
        </w:rPr>
        <w:t>effectieve</w:t>
      </w:r>
      <w:r>
        <w:rPr>
          <w:rStyle w:val="normaltextrun"/>
          <w:rFonts w:ascii="Trebuchet MS" w:hAnsi="Trebuchet MS" w:eastAsiaTheme="majorEastAsia"/>
          <w:sz w:val="18"/>
          <w:szCs w:val="18"/>
        </w:rPr>
        <w:t>)</w:t>
      </w:r>
      <w:r w:rsidRPr="00C94180">
        <w:rPr>
          <w:rStyle w:val="normaltextrun"/>
          <w:rFonts w:ascii="Trebuchet MS" w:hAnsi="Trebuchet MS" w:eastAsiaTheme="majorEastAsia"/>
          <w:sz w:val="18"/>
          <w:szCs w:val="18"/>
        </w:rPr>
        <w:t xml:space="preserve"> aanpakken. In regio's lijkt er </w:t>
      </w:r>
      <w:r w:rsidRPr="00C94180">
        <w:rPr>
          <w:rStyle w:val="normaltextrun"/>
          <w:rFonts w:ascii="Trebuchet MS" w:hAnsi="Trebuchet MS" w:eastAsiaTheme="majorEastAsia"/>
          <w:i/>
          <w:iCs/>
          <w:sz w:val="18"/>
          <w:szCs w:val="18"/>
        </w:rPr>
        <w:t xml:space="preserve">in het algemeen </w:t>
      </w:r>
      <w:r w:rsidRPr="00C94180">
        <w:rPr>
          <w:rStyle w:val="normaltextrun"/>
          <w:rFonts w:ascii="Trebuchet MS" w:hAnsi="Trebuchet MS" w:eastAsiaTheme="majorEastAsia"/>
          <w:sz w:val="18"/>
          <w:szCs w:val="18"/>
        </w:rPr>
        <w:t xml:space="preserve">wel consensus te ontstaan dat het met name belangrijk is om te investeren in een contextrijke kennismaking met techniek/technologie in een doorlopende keten, in praktijkgerichte en buitenschoolse ervaringen en in aantrekkelijke technische keuzevakken die een belangrijke rol hebben bij het interesseren van leerlingen in niet-technische profielen voor een vervolg in het technisch mbo. De opvolging van die ervaringen, in reflectie- en loopbaangesprekken met leerlingen waarin deze ervaringen worden gebruikt om de leerlingen te helpen om te leren over zichzelf, kan nog meer aandacht krijgen.  </w:t>
      </w:r>
      <w:r w:rsidRPr="00C94180">
        <w:rPr>
          <w:rStyle w:val="eop"/>
          <w:rFonts w:ascii="Trebuchet MS" w:hAnsi="Trebuchet MS" w:eastAsiaTheme="majorEastAsia"/>
          <w:sz w:val="18"/>
          <w:szCs w:val="18"/>
        </w:rPr>
        <w:t> </w:t>
      </w:r>
    </w:p>
    <w:p w:rsidRPr="00C94180" w:rsidR="005D1BDB" w:rsidP="005D1BDB" w:rsidRDefault="005D1BDB" w14:paraId="3D3CF7E9"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De nieuwe fase STO bouwt voort op de transitiefase en is gericht op doorontwikkelen en borgen. Ook in deze fase staat het vormgeven aan toekomstbestendig, dekkend en kwalitatief hoogstaand techniekonderwijs binnen het beroepsgericht vmbo centraal, met een verbreding naar het techniekonderwijs binnen het hele vmbo, om te zorgen dat alle leerlingen in het vmbo met techniek in aanraking komen. De verbreding die de nieuwe regeling beoogt, is in een deel van de regio’s al ingezet. </w:t>
      </w:r>
      <w:r w:rsidRPr="00C94180">
        <w:rPr>
          <w:rStyle w:val="eop"/>
          <w:rFonts w:ascii="Trebuchet MS" w:hAnsi="Trebuchet MS" w:eastAsiaTheme="majorEastAsia"/>
          <w:sz w:val="18"/>
          <w:szCs w:val="18"/>
        </w:rPr>
        <w:t> </w:t>
      </w:r>
    </w:p>
    <w:p w:rsidRPr="00C94180" w:rsidR="005D1BDB" w:rsidP="005D1BDB" w:rsidRDefault="005D1BDB" w14:paraId="66FF6C26" w14:textId="77777777">
      <w:pPr>
        <w:pStyle w:val="paragraph"/>
        <w:spacing w:before="0" w:beforeAutospacing="0" w:after="0" w:afterAutospacing="0"/>
        <w:textAlignment w:val="baseline"/>
        <w:rPr>
          <w:rFonts w:ascii="Trebuchet MS" w:hAnsi="Trebuchet MS"/>
          <w:sz w:val="18"/>
          <w:szCs w:val="18"/>
        </w:rPr>
      </w:pPr>
      <w:r w:rsidRPr="00C94180">
        <w:rPr>
          <w:rStyle w:val="eop"/>
          <w:rFonts w:ascii="Trebuchet MS" w:hAnsi="Trebuchet MS" w:eastAsiaTheme="majorEastAsia"/>
          <w:sz w:val="18"/>
          <w:szCs w:val="18"/>
        </w:rPr>
        <w:t> </w:t>
      </w:r>
    </w:p>
    <w:p w:rsidRPr="00C94180" w:rsidR="005D1BDB" w:rsidP="005D1BDB" w:rsidRDefault="005D1BDB" w14:paraId="6FE4EB15"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De uitdagingen die de programmaleiders noemen zijn en blijven substantieel en liggen op nagenoeg alle doelgebieden van STO: van de beeldvorming ten aanzien van techniek, de aantallen techniekleerlingen in de profielen, de kwaliteit van techniekonderwijs, voldoende techniekdocenten, de aansluiting met mbo en op de regionale arbeidsmarktvraag en de samenwerking tussen de regionale actoren. Het docententekort en de aansluiting met het mbo springen er de laatste jaren steeds uit. Het behoud en het voorzien in aan (kwalitatief goed) personeel zien programmaleiders als een cruciale factor voor de continuïteit en het welslagen van STO, zeker waar STO leunt op de inzet van (direct) betrokkenen. </w:t>
      </w:r>
      <w:r w:rsidRPr="00C94180">
        <w:rPr>
          <w:rStyle w:val="eop"/>
          <w:rFonts w:ascii="Trebuchet MS" w:hAnsi="Trebuchet MS" w:eastAsiaTheme="majorEastAsia"/>
          <w:sz w:val="18"/>
          <w:szCs w:val="18"/>
        </w:rPr>
        <w:t> </w:t>
      </w:r>
    </w:p>
    <w:p w:rsidRPr="00C94180" w:rsidR="005D1BDB" w:rsidP="005D1BDB" w:rsidRDefault="005D1BDB" w14:paraId="3C1B7971" w14:textId="77777777">
      <w:pPr>
        <w:pStyle w:val="paragraph"/>
        <w:spacing w:before="0" w:beforeAutospacing="0" w:after="0" w:afterAutospacing="0"/>
        <w:textAlignment w:val="baseline"/>
        <w:rPr>
          <w:rFonts w:ascii="Trebuchet MS" w:hAnsi="Trebuchet MS"/>
          <w:sz w:val="18"/>
          <w:szCs w:val="18"/>
        </w:rPr>
      </w:pPr>
      <w:r w:rsidRPr="00C94180">
        <w:rPr>
          <w:rStyle w:val="eop"/>
          <w:rFonts w:ascii="Trebuchet MS" w:hAnsi="Trebuchet MS" w:eastAsiaTheme="majorEastAsia"/>
          <w:sz w:val="18"/>
          <w:szCs w:val="18"/>
        </w:rPr>
        <w:t> </w:t>
      </w:r>
    </w:p>
    <w:p w:rsidRPr="00C94180" w:rsidR="005D1BDB" w:rsidP="005D1BDB" w:rsidRDefault="005D1BDB" w14:paraId="050EC4CA"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Een risico dat in sommige regio’s gesignaleerd wordt is dat de urgentie bij bedrijven oploopt vanwege de tekorten op de arbeidsmarkt, en dat vanuit een ondernemersperspectief de ontwikkelingen en verandersnelheid in STO niet hard genoeg gaan, met als risico dat zij het zelf gaan organiseren. Het blijft dus de komende jaren belangrijk om te investeren in de samenwerking met het regionale bedrijfsleven.</w:t>
      </w:r>
      <w:r w:rsidRPr="00C94180">
        <w:rPr>
          <w:rStyle w:val="eop"/>
          <w:rFonts w:ascii="Trebuchet MS" w:hAnsi="Trebuchet MS" w:eastAsiaTheme="majorEastAsia"/>
          <w:sz w:val="18"/>
          <w:szCs w:val="18"/>
        </w:rPr>
        <w:t> </w:t>
      </w:r>
    </w:p>
    <w:p w:rsidRPr="00C94180" w:rsidR="005D1BDB" w:rsidP="005D1BDB" w:rsidRDefault="005D1BDB" w14:paraId="22A0199B" w14:textId="77777777">
      <w:pPr>
        <w:pStyle w:val="paragraph"/>
        <w:spacing w:before="0" w:beforeAutospacing="0" w:after="0" w:afterAutospacing="0"/>
        <w:textAlignment w:val="baseline"/>
        <w:rPr>
          <w:rFonts w:ascii="Trebuchet MS" w:hAnsi="Trebuchet MS"/>
          <w:sz w:val="18"/>
          <w:szCs w:val="18"/>
        </w:rPr>
      </w:pPr>
      <w:r w:rsidRPr="00C94180">
        <w:rPr>
          <w:rStyle w:val="eop"/>
          <w:rFonts w:ascii="Trebuchet MS" w:hAnsi="Trebuchet MS" w:eastAsiaTheme="majorEastAsia"/>
          <w:sz w:val="18"/>
          <w:szCs w:val="18"/>
        </w:rPr>
        <w:t> </w:t>
      </w:r>
    </w:p>
    <w:p w:rsidRPr="00C94180" w:rsidR="005D1BDB" w:rsidP="005D1BDB" w:rsidRDefault="005D1BDB" w14:paraId="730306D4"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De verwachting is dat leerlingenaantallen de komende jaren blijven dalen: in zes van de 10 regio’s is dat in de afgelopen jaren al het geval. Dat betekent dat de vijver kleiner wordt. In de huidige situatie zien we dat sommige regio’s te maken hebben met krimp en andere niet. In een situatie van nog verdere daling van leerlingenaantallen is het niet ondenkbaar dat, in de slag om de leerling, de concurrentie tussen vmbo-scholen (en wellicht profielen) toeneemt. </w:t>
      </w:r>
      <w:r w:rsidRPr="00C94180">
        <w:rPr>
          <w:rStyle w:val="eop"/>
          <w:rFonts w:ascii="Trebuchet MS" w:hAnsi="Trebuchet MS" w:eastAsiaTheme="majorEastAsia"/>
          <w:sz w:val="18"/>
          <w:szCs w:val="18"/>
        </w:rPr>
        <w:t> </w:t>
      </w:r>
    </w:p>
    <w:p w:rsidRPr="00C94180" w:rsidR="005D1BDB" w:rsidP="005D1BDB" w:rsidRDefault="005D1BDB" w14:paraId="5629E3B5" w14:textId="77777777">
      <w:pPr>
        <w:pStyle w:val="paragraph"/>
        <w:spacing w:before="0" w:beforeAutospacing="0" w:after="0" w:afterAutospacing="0"/>
        <w:textAlignment w:val="baseline"/>
        <w:rPr>
          <w:rFonts w:ascii="Trebuchet MS" w:hAnsi="Trebuchet MS"/>
          <w:sz w:val="18"/>
          <w:szCs w:val="18"/>
        </w:rPr>
      </w:pPr>
      <w:r w:rsidRPr="00C94180">
        <w:rPr>
          <w:rStyle w:val="eop"/>
          <w:rFonts w:ascii="Trebuchet MS" w:hAnsi="Trebuchet MS" w:eastAsiaTheme="majorEastAsia"/>
          <w:sz w:val="18"/>
          <w:szCs w:val="18"/>
        </w:rPr>
        <w:t> </w:t>
      </w:r>
    </w:p>
    <w:p w:rsidRPr="00C94180" w:rsidR="005D1BDB" w:rsidP="005D1BDB" w:rsidRDefault="005D1BDB" w14:paraId="201177CA"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Leerlingenaantallen werken door in alle doelen van STO: zowel in de duurzaamheid als de dekkendheid als in de kwaliteit van het onderwijs. Met initiatieven als het experiment PIE/BWI, waarbij profieldelen gecombineerd worden, worden alternatieve mogelijkheden bedacht om het aanbod ook bij kleine aantallen in de lucht te houden.</w:t>
      </w:r>
      <w:r w:rsidRPr="00C94180">
        <w:rPr>
          <w:rStyle w:val="eop"/>
          <w:rFonts w:ascii="Trebuchet MS" w:hAnsi="Trebuchet MS" w:eastAsiaTheme="majorEastAsia"/>
          <w:sz w:val="18"/>
          <w:szCs w:val="18"/>
        </w:rPr>
        <w:t> </w:t>
      </w:r>
    </w:p>
    <w:p w:rsidRPr="00C94180" w:rsidR="005D1BDB" w:rsidP="005D1BDB" w:rsidRDefault="005D1BDB" w14:paraId="592D3C79" w14:textId="77777777">
      <w:pPr>
        <w:pStyle w:val="paragraph"/>
        <w:spacing w:before="0" w:beforeAutospacing="0" w:after="0" w:afterAutospacing="0"/>
        <w:textAlignment w:val="baseline"/>
        <w:rPr>
          <w:rFonts w:ascii="Trebuchet MS" w:hAnsi="Trebuchet MS"/>
          <w:sz w:val="18"/>
          <w:szCs w:val="18"/>
        </w:rPr>
      </w:pPr>
      <w:r w:rsidRPr="00C94180">
        <w:rPr>
          <w:rStyle w:val="eop"/>
          <w:rFonts w:ascii="Trebuchet MS" w:hAnsi="Trebuchet MS" w:eastAsiaTheme="majorEastAsia"/>
          <w:sz w:val="18"/>
          <w:szCs w:val="18"/>
        </w:rPr>
        <w:lastRenderedPageBreak/>
        <w:t> </w:t>
      </w:r>
    </w:p>
    <w:p w:rsidRPr="00C94180" w:rsidR="005D1BDB" w:rsidP="780653D5" w:rsidRDefault="005D1BDB" w14:paraId="3775E1B9" w14:textId="3B42689E">
      <w:pPr>
        <w:pStyle w:val="paragraph"/>
        <w:spacing w:before="0" w:beforeAutospacing="0" w:after="0" w:afterAutospacing="0"/>
        <w:textAlignment w:val="baseline"/>
        <w:rPr>
          <w:rFonts w:ascii="Trebuchet MS" w:hAnsi="Trebuchet MS"/>
          <w:sz w:val="18"/>
          <w:szCs w:val="18"/>
        </w:rPr>
      </w:pPr>
      <w:r w:rsidRPr="780653D5">
        <w:rPr>
          <w:rStyle w:val="normaltextrun"/>
          <w:rFonts w:ascii="Trebuchet MS" w:hAnsi="Trebuchet MS" w:eastAsiaTheme="majorEastAsia"/>
          <w:sz w:val="18"/>
          <w:szCs w:val="18"/>
        </w:rPr>
        <w:t xml:space="preserve">In het kader van de verbreding liggen er een aantal kansen. Tegelijkertijd is de arbeidsmarktsituatie nu zo, dat er in vrijwel alle sectoren tekorten bestaan. Met de pgp’s en het nieuwe programma Techkwadraat kan de interesse van ‘nieuwe’ doelgroepen gewekt worden. Bij </w:t>
      </w:r>
      <w:r w:rsidRPr="780653D5" w:rsidR="00341092">
        <w:rPr>
          <w:rStyle w:val="normaltextrun"/>
          <w:rFonts w:ascii="Trebuchet MS" w:hAnsi="Trebuchet MS" w:eastAsiaTheme="majorEastAsia"/>
          <w:sz w:val="18"/>
          <w:szCs w:val="18"/>
        </w:rPr>
        <w:t xml:space="preserve">zowel pgp’s als Techkwadraat </w:t>
      </w:r>
      <w:r w:rsidRPr="780653D5">
        <w:rPr>
          <w:rStyle w:val="normaltextrun"/>
          <w:rFonts w:ascii="Trebuchet MS" w:hAnsi="Trebuchet MS" w:eastAsiaTheme="majorEastAsia"/>
          <w:sz w:val="18"/>
          <w:szCs w:val="18"/>
        </w:rPr>
        <w:t xml:space="preserve"> zit er een overlap met STO, zeker op het gebied van het primair onderwijs</w:t>
      </w:r>
      <w:r w:rsidRPr="780653D5" w:rsidR="78BE134B">
        <w:rPr>
          <w:rStyle w:val="normaltextrun"/>
          <w:rFonts w:ascii="Trebuchet MS" w:hAnsi="Trebuchet MS" w:eastAsiaTheme="majorEastAsia"/>
          <w:sz w:val="18"/>
          <w:szCs w:val="18"/>
        </w:rPr>
        <w:t xml:space="preserve">, de tl </w:t>
      </w:r>
      <w:r w:rsidRPr="780653D5">
        <w:rPr>
          <w:rStyle w:val="normaltextrun"/>
          <w:rFonts w:ascii="Trebuchet MS" w:hAnsi="Trebuchet MS" w:eastAsiaTheme="majorEastAsia"/>
          <w:sz w:val="18"/>
          <w:szCs w:val="18"/>
        </w:rPr>
        <w:t>en het betrekken van bedrijven, waarbij goede afstemming nodig is om de programma’s elkaar te laten versterken. </w:t>
      </w:r>
      <w:r w:rsidRPr="780653D5">
        <w:rPr>
          <w:rStyle w:val="eop"/>
          <w:rFonts w:ascii="Trebuchet MS" w:hAnsi="Trebuchet MS" w:eastAsiaTheme="majorEastAsia"/>
          <w:sz w:val="18"/>
          <w:szCs w:val="18"/>
        </w:rPr>
        <w:t> </w:t>
      </w:r>
    </w:p>
    <w:p w:rsidRPr="00C94180" w:rsidR="005D1BDB" w:rsidP="005D1BDB" w:rsidRDefault="005D1BDB" w14:paraId="40614209" w14:textId="77777777">
      <w:pPr>
        <w:pStyle w:val="paragraph"/>
        <w:spacing w:before="0" w:beforeAutospacing="0" w:after="0" w:afterAutospacing="0"/>
        <w:textAlignment w:val="baseline"/>
        <w:rPr>
          <w:rFonts w:ascii="Trebuchet MS" w:hAnsi="Trebuchet MS"/>
          <w:sz w:val="18"/>
          <w:szCs w:val="18"/>
        </w:rPr>
      </w:pPr>
      <w:r w:rsidRPr="00C94180">
        <w:rPr>
          <w:rStyle w:val="eop"/>
          <w:rFonts w:ascii="Trebuchet MS" w:hAnsi="Trebuchet MS" w:eastAsiaTheme="majorEastAsia"/>
          <w:sz w:val="18"/>
          <w:szCs w:val="18"/>
        </w:rPr>
        <w:t> </w:t>
      </w:r>
    </w:p>
    <w:p w:rsidRPr="00C94180" w:rsidR="005D1BDB" w:rsidP="005D1BDB" w:rsidRDefault="005D1BDB" w14:paraId="6E2F2636"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Hoe aantrekkelijk scholen/regio’s het techniekonderwijs ook maken en hoe hard ze zich ook inspannen om basisschoolleerlingen te laten kennismaken met techniek en technologie, er blijven invloeden op de keuze van leerlingen waar ze geen invloed op hebben. In die zin zou het goed zijn, ook om frustratie bij leerlingendaling te voorkomen, dat regio’s zich als (</w:t>
      </w:r>
      <w:r w:rsidRPr="00C94180">
        <w:rPr>
          <w:rStyle w:val="normaltextrun"/>
          <w:rFonts w:ascii="Trebuchet MS" w:hAnsi="Trebuchet MS" w:cs="Calibri" w:eastAsiaTheme="majorEastAsia"/>
          <w:sz w:val="18"/>
          <w:szCs w:val="18"/>
        </w:rPr>
        <w:t>reëel</w:t>
      </w:r>
      <w:r w:rsidRPr="00C94180">
        <w:rPr>
          <w:rStyle w:val="normaltextrun"/>
          <w:rFonts w:ascii="Trebuchet MS" w:hAnsi="Trebuchet MS" w:eastAsiaTheme="majorEastAsia"/>
          <w:sz w:val="18"/>
          <w:szCs w:val="18"/>
        </w:rPr>
        <w:t xml:space="preserve">) doel stellen om het maximale te doen om de keuze van leerlingen te bevorderen. Wat daarvoor in ieder geval - </w:t>
      </w:r>
      <w:r w:rsidRPr="00976317">
        <w:rPr>
          <w:rStyle w:val="normaltextrun"/>
          <w:rFonts w:ascii="Trebuchet MS" w:hAnsi="Trebuchet MS" w:eastAsiaTheme="majorEastAsia"/>
          <w:i/>
          <w:iCs/>
          <w:sz w:val="18"/>
          <w:szCs w:val="18"/>
        </w:rPr>
        <w:t xml:space="preserve">evidence based </w:t>
      </w:r>
      <w:r w:rsidRPr="00C94180">
        <w:rPr>
          <w:rStyle w:val="normaltextrun"/>
          <w:rFonts w:ascii="Trebuchet MS" w:hAnsi="Trebuchet MS" w:eastAsiaTheme="majorEastAsia"/>
          <w:sz w:val="18"/>
          <w:szCs w:val="18"/>
        </w:rPr>
        <w:t>- werkt, is op jonge leeftijd beginnen met kennismaken met techniek en technologie (Van Langen, e.a., 2019) en, behalve leerlingen tijdens hun loopbaan veel ervaringen bieden, de betekenis van die ervaringen voor leerlingen ook in loopbaangesprekken goed te bespreken met leerlingen (Korpershoek e.a., 2022). Verder is het opvallend dat het stijgende aandeel in leerjaar drie in het vmbo zich niet vertaalt in een stijgende doorstroom naar mbo-techniekopleidingen. Daar ligt een uitdaging in de aansluiting met het mbo. Wellicht liggen daar ook uitdagingen om behalve in de keuzevakken het onderwijs in de profielen te actualiseren en aantrekkelijker te maken. </w:t>
      </w:r>
      <w:r w:rsidRPr="00C94180">
        <w:rPr>
          <w:rStyle w:val="eop"/>
          <w:rFonts w:ascii="Trebuchet MS" w:hAnsi="Trebuchet MS" w:eastAsiaTheme="majorEastAsia"/>
          <w:sz w:val="18"/>
          <w:szCs w:val="18"/>
        </w:rPr>
        <w:t> </w:t>
      </w:r>
    </w:p>
    <w:p w:rsidRPr="00C94180" w:rsidR="005D1BDB" w:rsidP="005D1BDB" w:rsidRDefault="005D1BDB" w14:paraId="21D9E8BE" w14:textId="77777777">
      <w:pPr>
        <w:pStyle w:val="paragraph"/>
        <w:spacing w:before="0" w:beforeAutospacing="0" w:after="0" w:afterAutospacing="0"/>
        <w:textAlignment w:val="baseline"/>
        <w:rPr>
          <w:rFonts w:ascii="Trebuchet MS" w:hAnsi="Trebuchet MS"/>
          <w:sz w:val="18"/>
          <w:szCs w:val="18"/>
        </w:rPr>
      </w:pPr>
      <w:r w:rsidRPr="00C94180">
        <w:rPr>
          <w:rStyle w:val="eop"/>
          <w:rFonts w:ascii="Trebuchet MS" w:hAnsi="Trebuchet MS" w:eastAsiaTheme="majorEastAsia"/>
          <w:sz w:val="18"/>
          <w:szCs w:val="18"/>
        </w:rPr>
        <w:t> </w:t>
      </w:r>
    </w:p>
    <w:p w:rsidRPr="00C94180" w:rsidR="005D1BDB" w:rsidP="005D1BDB" w:rsidRDefault="005D1BDB" w14:paraId="3FC29611" w14:textId="77777777">
      <w:pPr>
        <w:pStyle w:val="paragraph"/>
        <w:spacing w:before="0" w:beforeAutospacing="0" w:after="0" w:afterAutospacing="0"/>
        <w:textAlignment w:val="baseline"/>
        <w:rPr>
          <w:rFonts w:ascii="Trebuchet MS" w:hAnsi="Trebuchet MS"/>
          <w:sz w:val="18"/>
          <w:szCs w:val="18"/>
        </w:rPr>
      </w:pPr>
      <w:r w:rsidRPr="00C94180">
        <w:rPr>
          <w:rStyle w:val="normaltextrun"/>
          <w:rFonts w:ascii="Trebuchet MS" w:hAnsi="Trebuchet MS" w:eastAsiaTheme="majorEastAsia"/>
          <w:sz w:val="18"/>
          <w:szCs w:val="18"/>
        </w:rPr>
        <w:t>Naar de verdergelegen toekomst toe verwacht ruim de helft van de programmaleiders dat het wegvallen van de STO-subsidie en bekostiging van STO via de lumpsum invloed zal hebben op de betrokkenheid en samenwerking met partners en dat een groot deel van de gerealiseerde activiteiten zal verdwijnen. Bijna de helft denkt met bekostiging in lumpsum te kunnen blijven bieden wat men nu biedt; 37% denkt van niet. Tweederde deel verwacht dat toevoeging van STO-middelen aan de lumpsum de aandacht voor techniek zal afzwakken; 12% meent van niet.</w:t>
      </w:r>
      <w:r w:rsidRPr="00C94180">
        <w:rPr>
          <w:rStyle w:val="eop"/>
          <w:rFonts w:ascii="Trebuchet MS" w:hAnsi="Trebuchet MS" w:eastAsiaTheme="majorEastAsia"/>
          <w:sz w:val="18"/>
          <w:szCs w:val="18"/>
        </w:rPr>
        <w:t> </w:t>
      </w:r>
    </w:p>
    <w:p w:rsidR="005D1BDB" w:rsidP="005D1BDB" w:rsidRDefault="005D1BDB" w14:paraId="2703EA3C" w14:textId="77777777"/>
    <w:p w:rsidR="005D1BDB" w:rsidP="005D1BDB" w:rsidRDefault="005D1BDB" w14:paraId="5C3DD464" w14:textId="77777777"/>
    <w:p w:rsidRPr="00933512" w:rsidR="005D1BDB" w:rsidP="005D1BDB" w:rsidRDefault="005D1BDB" w14:paraId="4B09DCF0" w14:textId="77777777">
      <w:pPr>
        <w:pStyle w:val="Plattetekst"/>
        <w:rPr>
          <w:lang w:eastAsia="en-US"/>
        </w:rPr>
      </w:pPr>
    </w:p>
    <w:p w:rsidRPr="005D1BDB" w:rsidR="005D1BDB" w:rsidP="005D1BDB" w:rsidRDefault="005D1BDB" w14:paraId="3EC8681B" w14:textId="77777777">
      <w:pPr>
        <w:pStyle w:val="Plattetekst"/>
        <w:rPr>
          <w:lang w:eastAsia="en-US"/>
        </w:rPr>
      </w:pPr>
    </w:p>
    <w:p w:rsidRPr="002E1073" w:rsidR="002E1073" w:rsidP="002E1073" w:rsidRDefault="002E1073" w14:paraId="6FDD59E2" w14:textId="77777777">
      <w:pPr>
        <w:pStyle w:val="Plattetekst"/>
        <w:rPr>
          <w:lang w:eastAsia="en-US"/>
        </w:rPr>
      </w:pPr>
    </w:p>
    <w:p w:rsidR="0095088E" w:rsidP="00A743B3" w:rsidRDefault="00832357" w14:paraId="0280A2B6" w14:textId="0725E60F">
      <w:pPr>
        <w:pStyle w:val="Kop1"/>
      </w:pPr>
      <w:bookmarkStart w:name="_Toc203573613" w:id="96"/>
      <w:r>
        <w:lastRenderedPageBreak/>
        <w:t>Bijlage 1 Programmaleidersvragenlijst</w:t>
      </w:r>
      <w:bookmarkEnd w:id="96"/>
    </w:p>
    <w:p w:rsidRPr="007129C6" w:rsidR="00B52D66" w:rsidP="00B52D66" w:rsidRDefault="00B52D66" w14:paraId="600CCE8C" w14:textId="2D5E94AB">
      <w:pPr>
        <w:pStyle w:val="SEOStandaard"/>
        <w:numPr>
          <w:ilvl w:val="0"/>
          <w:numId w:val="0"/>
        </w:numPr>
        <w:rPr>
          <w:rFonts w:ascii="Trebuchet MS" w:hAnsi="Trebuchet MS"/>
          <w:sz w:val="18"/>
          <w:szCs w:val="18"/>
        </w:rPr>
      </w:pPr>
      <w:r w:rsidRPr="007129C6">
        <w:rPr>
          <w:rFonts w:ascii="Trebuchet MS" w:hAnsi="Trebuchet MS"/>
          <w:sz w:val="18"/>
          <w:szCs w:val="18"/>
        </w:rPr>
        <w:t xml:space="preserve">Tabel </w:t>
      </w:r>
      <w:r w:rsidR="001430F0">
        <w:rPr>
          <w:rFonts w:ascii="Trebuchet MS" w:hAnsi="Trebuchet MS"/>
          <w:sz w:val="18"/>
          <w:szCs w:val="18"/>
        </w:rPr>
        <w:t>B1</w:t>
      </w:r>
      <w:r w:rsidRPr="007129C6">
        <w:rPr>
          <w:rFonts w:ascii="Trebuchet MS" w:hAnsi="Trebuchet MS"/>
          <w:sz w:val="18"/>
          <w:szCs w:val="18"/>
        </w:rPr>
        <w:t>.</w:t>
      </w:r>
      <w:r w:rsidR="001430F0">
        <w:rPr>
          <w:rFonts w:ascii="Trebuchet MS" w:hAnsi="Trebuchet MS"/>
          <w:sz w:val="18"/>
          <w:szCs w:val="18"/>
        </w:rPr>
        <w:t>1</w:t>
      </w:r>
      <w:r w:rsidRPr="007129C6">
        <w:rPr>
          <w:rFonts w:ascii="Trebuchet MS" w:hAnsi="Trebuchet MS"/>
          <w:sz w:val="18"/>
          <w:szCs w:val="18"/>
        </w:rPr>
        <w:t xml:space="preserve"> Tevredenheid waar de regio staat voor alle programmaleiders, uitgesplitst naar verdeling middelen </w:t>
      </w:r>
    </w:p>
    <w:tbl>
      <w:tblPr>
        <w:tblStyle w:val="SEOTabel2"/>
        <w:tblW w:w="5044" w:type="pct"/>
        <w:tblLayout w:type="fixed"/>
        <w:tblCellMar>
          <w:left w:w="28" w:type="dxa"/>
          <w:right w:w="28" w:type="dxa"/>
        </w:tblCellMar>
        <w:tblLook w:val="04A0" w:firstRow="1" w:lastRow="0" w:firstColumn="1" w:lastColumn="0" w:noHBand="0" w:noVBand="1"/>
      </w:tblPr>
      <w:tblGrid>
        <w:gridCol w:w="4593"/>
        <w:gridCol w:w="1129"/>
        <w:gridCol w:w="1860"/>
        <w:gridCol w:w="1860"/>
      </w:tblGrid>
      <w:tr w:rsidRPr="007129C6" w:rsidR="008B6365" w:rsidTr="008B6365" w14:paraId="3332E103"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2" w:type="pct"/>
            <w:noWrap/>
            <w:hideMark/>
          </w:tcPr>
          <w:p w:rsidRPr="007129C6" w:rsidR="00B52D66" w:rsidP="00B52D66" w:rsidRDefault="00B52D66" w14:paraId="665CB137" w14:textId="77777777">
            <w:pPr>
              <w:pStyle w:val="SEOStandaard"/>
              <w:spacing w:line="240" w:lineRule="auto"/>
              <w:jc w:val="left"/>
              <w:rPr>
                <w:rFonts w:ascii="Trebuchet MS" w:hAnsi="Trebuchet MS"/>
                <w:b w:val="0"/>
                <w:bCs/>
                <w:color w:val="FFFFFF" w:themeColor="background1"/>
                <w:sz w:val="18"/>
                <w:szCs w:val="18"/>
              </w:rPr>
            </w:pPr>
            <w:r w:rsidRPr="007129C6">
              <w:rPr>
                <w:rFonts w:ascii="Trebuchet MS" w:hAnsi="Trebuchet MS"/>
                <w:bCs/>
                <w:color w:val="FFFFFF" w:themeColor="background1"/>
                <w:sz w:val="18"/>
                <w:szCs w:val="18"/>
              </w:rPr>
              <w:t>Hoe tevreden bent u met waar uw regio eind 2024 stond ten opzichte van het oorspronkelijke plan?</w:t>
            </w:r>
          </w:p>
        </w:tc>
        <w:tc>
          <w:tcPr>
            <w:tcW w:w="598" w:type="pct"/>
            <w:noWrap/>
            <w:hideMark/>
          </w:tcPr>
          <w:p w:rsidRPr="007129C6" w:rsidR="00B52D66" w:rsidP="00B52D66" w:rsidRDefault="00B52D66" w14:paraId="0D077B74" w14:textId="4DE41527">
            <w:pPr>
              <w:pStyle w:val="SEOStandaard"/>
              <w:spacing w:line="240" w:lineRule="auto"/>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Programma</w:t>
            </w:r>
            <w:r w:rsidR="00921D46">
              <w:rPr>
                <w:rFonts w:ascii="Trebuchet MS" w:hAnsi="Trebuchet MS"/>
                <w:color w:val="FFFFFF" w:themeColor="background1"/>
                <w:sz w:val="18"/>
                <w:szCs w:val="18"/>
              </w:rPr>
              <w:t>-</w:t>
            </w:r>
            <w:r w:rsidRPr="007129C6">
              <w:rPr>
                <w:rFonts w:ascii="Trebuchet MS" w:hAnsi="Trebuchet MS"/>
                <w:color w:val="FFFFFF" w:themeColor="background1"/>
                <w:sz w:val="18"/>
                <w:szCs w:val="18"/>
              </w:rPr>
              <w:t>leiders (n=48)</w:t>
            </w:r>
          </w:p>
        </w:tc>
        <w:tc>
          <w:tcPr>
            <w:tcW w:w="985" w:type="pct"/>
            <w:noWrap/>
            <w:hideMark/>
          </w:tcPr>
          <w:p w:rsidRPr="007129C6" w:rsidR="00B52D66" w:rsidP="00B52D66" w:rsidRDefault="00B52D66" w14:paraId="7317B6E7" w14:textId="77777777">
            <w:pPr>
              <w:pStyle w:val="SEOStandaard"/>
              <w:spacing w:line="240" w:lineRule="auto"/>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Programmaleiders met verdeelsleutel middelen (n=28)</w:t>
            </w:r>
          </w:p>
        </w:tc>
        <w:tc>
          <w:tcPr>
            <w:tcW w:w="985" w:type="pct"/>
            <w:noWrap/>
            <w:hideMark/>
          </w:tcPr>
          <w:p w:rsidRPr="007129C6" w:rsidR="00B52D66" w:rsidP="00B52D66" w:rsidRDefault="00B52D66" w14:paraId="6FD0AABC" w14:textId="77777777">
            <w:pPr>
              <w:pStyle w:val="SEOStandaard"/>
              <w:spacing w:line="240" w:lineRule="auto"/>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Programmaleiders met regionaal beheer middelen(n=20)</w:t>
            </w:r>
          </w:p>
        </w:tc>
      </w:tr>
      <w:tr w:rsidRPr="007129C6" w:rsidR="001841C3" w:rsidTr="008B6365" w14:paraId="64628DB6" w14:textId="77777777">
        <w:trPr>
          <w:trHeight w:val="288"/>
        </w:trPr>
        <w:tc>
          <w:tcPr>
            <w:cnfStyle w:val="001000000000" w:firstRow="0" w:lastRow="0" w:firstColumn="1" w:lastColumn="0" w:oddVBand="0" w:evenVBand="0" w:oddHBand="0" w:evenHBand="0" w:firstRowFirstColumn="0" w:firstRowLastColumn="0" w:lastRowFirstColumn="0" w:lastRowLastColumn="0"/>
            <w:tcW w:w="2432" w:type="pct"/>
            <w:noWrap/>
            <w:vAlign w:val="center"/>
            <w:hideMark/>
          </w:tcPr>
          <w:p w:rsidRPr="007129C6" w:rsidR="00B52D66" w:rsidP="00A64D28" w:rsidRDefault="00B52D66" w14:paraId="41EF0D87"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Zeer ontevreden</w:t>
            </w:r>
          </w:p>
        </w:tc>
        <w:tc>
          <w:tcPr>
            <w:tcW w:w="598" w:type="pct"/>
            <w:noWrap/>
            <w:vAlign w:val="center"/>
            <w:hideMark/>
          </w:tcPr>
          <w:p w:rsidRPr="007129C6" w:rsidR="00B52D66" w:rsidP="00A64D28" w:rsidRDefault="00B52D66" w14:paraId="0AE6BAEE"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4%</w:t>
            </w:r>
          </w:p>
        </w:tc>
        <w:tc>
          <w:tcPr>
            <w:tcW w:w="985" w:type="pct"/>
            <w:noWrap/>
            <w:vAlign w:val="center"/>
            <w:hideMark/>
          </w:tcPr>
          <w:p w:rsidRPr="007129C6" w:rsidR="00B52D66" w:rsidP="00A64D28" w:rsidRDefault="00B52D66" w14:paraId="509DE97E"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w:t>
            </w:r>
          </w:p>
        </w:tc>
        <w:tc>
          <w:tcPr>
            <w:tcW w:w="985" w:type="pct"/>
            <w:noWrap/>
            <w:vAlign w:val="center"/>
            <w:hideMark/>
          </w:tcPr>
          <w:p w:rsidRPr="007129C6" w:rsidR="00B52D66" w:rsidP="00A64D28" w:rsidRDefault="00B52D66" w14:paraId="551366FB"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r>
      <w:tr w:rsidRPr="007129C6" w:rsidR="001841C3" w:rsidTr="008B6365" w14:paraId="64ABD4B4" w14:textId="77777777">
        <w:trPr>
          <w:trHeight w:val="288"/>
        </w:trPr>
        <w:tc>
          <w:tcPr>
            <w:cnfStyle w:val="001000000000" w:firstRow="0" w:lastRow="0" w:firstColumn="1" w:lastColumn="0" w:oddVBand="0" w:evenVBand="0" w:oddHBand="0" w:evenHBand="0" w:firstRowFirstColumn="0" w:firstRowLastColumn="0" w:lastRowFirstColumn="0" w:lastRowLastColumn="0"/>
            <w:tcW w:w="2432" w:type="pct"/>
            <w:noWrap/>
            <w:vAlign w:val="center"/>
            <w:hideMark/>
          </w:tcPr>
          <w:p w:rsidRPr="007129C6" w:rsidR="00B52D66" w:rsidP="00A64D28" w:rsidRDefault="00B52D66" w14:paraId="33E379DA"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Ontevreden</w:t>
            </w:r>
          </w:p>
        </w:tc>
        <w:tc>
          <w:tcPr>
            <w:tcW w:w="598" w:type="pct"/>
            <w:noWrap/>
            <w:vAlign w:val="center"/>
            <w:hideMark/>
          </w:tcPr>
          <w:p w:rsidRPr="007129C6" w:rsidR="00B52D66" w:rsidP="00A64D28" w:rsidRDefault="00B52D66" w14:paraId="38C667E7"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985" w:type="pct"/>
            <w:noWrap/>
            <w:vAlign w:val="center"/>
            <w:hideMark/>
          </w:tcPr>
          <w:p w:rsidRPr="007129C6" w:rsidR="00B52D66" w:rsidP="00A64D28" w:rsidRDefault="00B52D66" w14:paraId="2E8CDC3D"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985" w:type="pct"/>
            <w:noWrap/>
            <w:vAlign w:val="center"/>
            <w:hideMark/>
          </w:tcPr>
          <w:p w:rsidRPr="007129C6" w:rsidR="00B52D66" w:rsidP="00A64D28" w:rsidRDefault="00B52D66" w14:paraId="6CE9E966"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r>
      <w:tr w:rsidRPr="007129C6" w:rsidR="001841C3" w:rsidTr="008B6365" w14:paraId="23696F9F" w14:textId="77777777">
        <w:trPr>
          <w:trHeight w:val="288"/>
        </w:trPr>
        <w:tc>
          <w:tcPr>
            <w:cnfStyle w:val="001000000000" w:firstRow="0" w:lastRow="0" w:firstColumn="1" w:lastColumn="0" w:oddVBand="0" w:evenVBand="0" w:oddHBand="0" w:evenHBand="0" w:firstRowFirstColumn="0" w:firstRowLastColumn="0" w:lastRowFirstColumn="0" w:lastRowLastColumn="0"/>
            <w:tcW w:w="2432" w:type="pct"/>
            <w:noWrap/>
            <w:vAlign w:val="center"/>
            <w:hideMark/>
          </w:tcPr>
          <w:p w:rsidRPr="007129C6" w:rsidR="00B52D66" w:rsidP="00A64D28" w:rsidRDefault="00B52D66" w14:paraId="2F0BF7E6"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Noch ontevreden/noch tevreden</w:t>
            </w:r>
          </w:p>
        </w:tc>
        <w:tc>
          <w:tcPr>
            <w:tcW w:w="598" w:type="pct"/>
            <w:noWrap/>
            <w:vAlign w:val="center"/>
            <w:hideMark/>
          </w:tcPr>
          <w:p w:rsidRPr="007129C6" w:rsidR="00B52D66" w:rsidP="00A64D28" w:rsidRDefault="00B52D66" w14:paraId="79320BB7"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w:t>
            </w:r>
          </w:p>
        </w:tc>
        <w:tc>
          <w:tcPr>
            <w:tcW w:w="985" w:type="pct"/>
            <w:noWrap/>
            <w:vAlign w:val="center"/>
            <w:hideMark/>
          </w:tcPr>
          <w:p w:rsidRPr="007129C6" w:rsidR="00B52D66" w:rsidP="00A64D28" w:rsidRDefault="00B52D66" w14:paraId="0FF8718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w:t>
            </w:r>
          </w:p>
        </w:tc>
        <w:tc>
          <w:tcPr>
            <w:tcW w:w="985" w:type="pct"/>
            <w:noWrap/>
            <w:vAlign w:val="center"/>
            <w:hideMark/>
          </w:tcPr>
          <w:p w:rsidRPr="007129C6" w:rsidR="00B52D66" w:rsidP="00A64D28" w:rsidRDefault="00B52D66" w14:paraId="4928203C"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5%</w:t>
            </w:r>
          </w:p>
        </w:tc>
      </w:tr>
      <w:tr w:rsidRPr="007129C6" w:rsidR="001841C3" w:rsidTr="008B6365" w14:paraId="0AE773EC" w14:textId="77777777">
        <w:trPr>
          <w:trHeight w:val="288"/>
        </w:trPr>
        <w:tc>
          <w:tcPr>
            <w:cnfStyle w:val="001000000000" w:firstRow="0" w:lastRow="0" w:firstColumn="1" w:lastColumn="0" w:oddVBand="0" w:evenVBand="0" w:oddHBand="0" w:evenHBand="0" w:firstRowFirstColumn="0" w:firstRowLastColumn="0" w:lastRowFirstColumn="0" w:lastRowLastColumn="0"/>
            <w:tcW w:w="2432" w:type="pct"/>
            <w:noWrap/>
            <w:vAlign w:val="center"/>
            <w:hideMark/>
          </w:tcPr>
          <w:p w:rsidRPr="007129C6" w:rsidR="00B52D66" w:rsidP="00A64D28" w:rsidRDefault="00B52D66" w14:paraId="1EEBE7BA"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Tevreden</w:t>
            </w:r>
          </w:p>
        </w:tc>
        <w:tc>
          <w:tcPr>
            <w:tcW w:w="598" w:type="pct"/>
            <w:noWrap/>
            <w:vAlign w:val="center"/>
            <w:hideMark/>
          </w:tcPr>
          <w:p w:rsidRPr="007129C6" w:rsidR="00B52D66" w:rsidP="00A64D28" w:rsidRDefault="00B52D66" w14:paraId="5B25908D"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67%</w:t>
            </w:r>
          </w:p>
        </w:tc>
        <w:tc>
          <w:tcPr>
            <w:tcW w:w="985" w:type="pct"/>
            <w:noWrap/>
            <w:vAlign w:val="center"/>
            <w:hideMark/>
          </w:tcPr>
          <w:p w:rsidRPr="007129C6" w:rsidR="00B52D66" w:rsidP="00A64D28" w:rsidRDefault="00B52D66" w14:paraId="4B276416"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57%</w:t>
            </w:r>
          </w:p>
        </w:tc>
        <w:tc>
          <w:tcPr>
            <w:tcW w:w="985" w:type="pct"/>
            <w:noWrap/>
            <w:vAlign w:val="center"/>
            <w:hideMark/>
          </w:tcPr>
          <w:p w:rsidRPr="007129C6" w:rsidR="00B52D66" w:rsidP="00A64D28" w:rsidRDefault="00B52D66" w14:paraId="41378B4A"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80%</w:t>
            </w:r>
          </w:p>
        </w:tc>
      </w:tr>
      <w:tr w:rsidRPr="007129C6" w:rsidR="001841C3" w:rsidTr="008B6365" w14:paraId="190D4BEE" w14:textId="77777777">
        <w:trPr>
          <w:trHeight w:val="288"/>
        </w:trPr>
        <w:tc>
          <w:tcPr>
            <w:cnfStyle w:val="001000000000" w:firstRow="0" w:lastRow="0" w:firstColumn="1" w:lastColumn="0" w:oddVBand="0" w:evenVBand="0" w:oddHBand="0" w:evenHBand="0" w:firstRowFirstColumn="0" w:firstRowLastColumn="0" w:lastRowFirstColumn="0" w:lastRowLastColumn="0"/>
            <w:tcW w:w="2432" w:type="pct"/>
            <w:noWrap/>
            <w:vAlign w:val="center"/>
            <w:hideMark/>
          </w:tcPr>
          <w:p w:rsidRPr="007129C6" w:rsidR="00B52D66" w:rsidP="00A64D28" w:rsidRDefault="00B52D66" w14:paraId="6C56D6A2"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Zeer tevreden</w:t>
            </w:r>
          </w:p>
        </w:tc>
        <w:tc>
          <w:tcPr>
            <w:tcW w:w="598" w:type="pct"/>
            <w:noWrap/>
            <w:vAlign w:val="center"/>
            <w:hideMark/>
          </w:tcPr>
          <w:p w:rsidRPr="007129C6" w:rsidR="00B52D66" w:rsidP="00A64D28" w:rsidRDefault="00B52D66" w14:paraId="5A750401"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23%</w:t>
            </w:r>
          </w:p>
        </w:tc>
        <w:tc>
          <w:tcPr>
            <w:tcW w:w="985" w:type="pct"/>
            <w:noWrap/>
            <w:vAlign w:val="center"/>
            <w:hideMark/>
          </w:tcPr>
          <w:p w:rsidRPr="007129C6" w:rsidR="00B52D66" w:rsidP="00A64D28" w:rsidRDefault="00B52D66" w14:paraId="56277DA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29%</w:t>
            </w:r>
          </w:p>
        </w:tc>
        <w:tc>
          <w:tcPr>
            <w:tcW w:w="985" w:type="pct"/>
            <w:noWrap/>
            <w:vAlign w:val="center"/>
            <w:hideMark/>
          </w:tcPr>
          <w:p w:rsidRPr="007129C6" w:rsidR="00B52D66" w:rsidP="00A64D28" w:rsidRDefault="00B52D66" w14:paraId="440BF04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15%</w:t>
            </w:r>
          </w:p>
        </w:tc>
      </w:tr>
    </w:tbl>
    <w:p w:rsidRPr="007129C6" w:rsidR="00B52D66" w:rsidP="00B52D66" w:rsidRDefault="00B52D66" w14:paraId="2E269A2A" w14:textId="77777777">
      <w:pPr>
        <w:pStyle w:val="SEOBron"/>
        <w:rPr>
          <w:rFonts w:ascii="Trebuchet MS" w:hAnsi="Trebuchet MS"/>
          <w:szCs w:val="18"/>
        </w:rPr>
      </w:pPr>
      <w:r w:rsidRPr="007129C6">
        <w:rPr>
          <w:rFonts w:ascii="Trebuchet MS" w:hAnsi="Trebuchet MS"/>
          <w:szCs w:val="18"/>
        </w:rPr>
        <w:t xml:space="preserve">Enquête programmaleiders STO (april 2025). </w:t>
      </w:r>
    </w:p>
    <w:p w:rsidRPr="007129C6" w:rsidR="00B52D66" w:rsidP="00B52D66" w:rsidRDefault="00B52D66" w14:paraId="19F519A6" w14:textId="207A39EB">
      <w:pPr>
        <w:pStyle w:val="SEOStandaard"/>
        <w:numPr>
          <w:ilvl w:val="0"/>
          <w:numId w:val="0"/>
        </w:numPr>
        <w:rPr>
          <w:rFonts w:ascii="Trebuchet MS" w:hAnsi="Trebuchet MS"/>
          <w:sz w:val="18"/>
          <w:szCs w:val="18"/>
        </w:rPr>
      </w:pPr>
      <w:r w:rsidRPr="007129C6">
        <w:rPr>
          <w:rFonts w:ascii="Trebuchet MS" w:hAnsi="Trebuchet MS"/>
          <w:sz w:val="18"/>
          <w:szCs w:val="18"/>
        </w:rPr>
        <w:t xml:space="preserve">Tabel </w:t>
      </w:r>
      <w:r w:rsidR="00C14C66">
        <w:rPr>
          <w:rFonts w:ascii="Trebuchet MS" w:hAnsi="Trebuchet MS"/>
          <w:sz w:val="18"/>
          <w:szCs w:val="18"/>
        </w:rPr>
        <w:t>B1</w:t>
      </w:r>
      <w:r w:rsidRPr="007129C6">
        <w:rPr>
          <w:rFonts w:ascii="Trebuchet MS" w:hAnsi="Trebuchet MS"/>
          <w:sz w:val="18"/>
          <w:szCs w:val="18"/>
        </w:rPr>
        <w:t>.</w:t>
      </w:r>
      <w:r w:rsidR="00C14C66">
        <w:rPr>
          <w:rFonts w:ascii="Trebuchet MS" w:hAnsi="Trebuchet MS"/>
          <w:sz w:val="18"/>
          <w:szCs w:val="18"/>
        </w:rPr>
        <w:t>2</w:t>
      </w:r>
      <w:r w:rsidRPr="007129C6">
        <w:rPr>
          <w:rFonts w:ascii="Trebuchet MS" w:hAnsi="Trebuchet MS"/>
          <w:sz w:val="18"/>
          <w:szCs w:val="18"/>
        </w:rPr>
        <w:t xml:space="preserve"> De mate waarin activiteiten conform plan zijn uitgevoerd voor alle programmaleiders, uitgesplitst naar mate verdeling middelen </w:t>
      </w:r>
    </w:p>
    <w:tbl>
      <w:tblPr>
        <w:tblStyle w:val="SEOTabel2"/>
        <w:tblW w:w="9468" w:type="dxa"/>
        <w:tblCellMar>
          <w:left w:w="28" w:type="dxa"/>
          <w:right w:w="28" w:type="dxa"/>
        </w:tblCellMar>
        <w:tblLook w:val="04A0" w:firstRow="1" w:lastRow="0" w:firstColumn="1" w:lastColumn="0" w:noHBand="0" w:noVBand="1"/>
      </w:tblPr>
      <w:tblGrid>
        <w:gridCol w:w="4592"/>
        <w:gridCol w:w="1134"/>
        <w:gridCol w:w="1871"/>
        <w:gridCol w:w="1871"/>
      </w:tblGrid>
      <w:tr w:rsidRPr="007129C6" w:rsidR="001841C3" w:rsidTr="008B6365" w14:paraId="7A120001"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2" w:type="dxa"/>
            <w:noWrap/>
            <w:hideMark/>
          </w:tcPr>
          <w:p w:rsidRPr="007129C6" w:rsidR="00B52D66" w:rsidP="00B52D66" w:rsidRDefault="00B52D66" w14:paraId="6AE5A75B" w14:textId="77777777">
            <w:pPr>
              <w:pStyle w:val="SEOStandaard"/>
              <w:spacing w:line="240" w:lineRule="auto"/>
              <w:jc w:val="left"/>
              <w:rPr>
                <w:rFonts w:ascii="Trebuchet MS" w:hAnsi="Trebuchet MS"/>
                <w:b w:val="0"/>
                <w:bCs/>
                <w:sz w:val="18"/>
                <w:szCs w:val="18"/>
              </w:rPr>
            </w:pPr>
            <w:r w:rsidRPr="007129C6">
              <w:rPr>
                <w:rFonts w:ascii="Trebuchet MS" w:hAnsi="Trebuchet MS"/>
                <w:bCs/>
                <w:color w:val="FFFFFF" w:themeColor="background1"/>
                <w:sz w:val="18"/>
                <w:szCs w:val="18"/>
              </w:rPr>
              <w:t>Zijn alle activiteiten conform het plan 2020-2023 en het verlengingsjaar 2024 in uw regio uitgevoerd?</w:t>
            </w:r>
          </w:p>
        </w:tc>
        <w:tc>
          <w:tcPr>
            <w:tcW w:w="1134" w:type="dxa"/>
            <w:noWrap/>
            <w:hideMark/>
          </w:tcPr>
          <w:p w:rsidRPr="007129C6" w:rsidR="00B52D66" w:rsidP="00B52D66" w:rsidRDefault="00B52D66" w14:paraId="075234CA" w14:textId="1C2E3CE8">
            <w:pPr>
              <w:pStyle w:val="SEOStandaard"/>
              <w:spacing w:line="240" w:lineRule="auto"/>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Programma</w:t>
            </w:r>
            <w:r w:rsidR="00921D46">
              <w:rPr>
                <w:rFonts w:ascii="Trebuchet MS" w:hAnsi="Trebuchet MS"/>
                <w:color w:val="FFFFFF" w:themeColor="background1"/>
                <w:sz w:val="18"/>
                <w:szCs w:val="18"/>
              </w:rPr>
              <w:t>-</w:t>
            </w:r>
            <w:r w:rsidRPr="007129C6">
              <w:rPr>
                <w:rFonts w:ascii="Trebuchet MS" w:hAnsi="Trebuchet MS"/>
                <w:color w:val="FFFFFF" w:themeColor="background1"/>
                <w:sz w:val="18"/>
                <w:szCs w:val="18"/>
              </w:rPr>
              <w:t>leiders (n=48)</w:t>
            </w:r>
          </w:p>
        </w:tc>
        <w:tc>
          <w:tcPr>
            <w:tcW w:w="1871" w:type="dxa"/>
            <w:noWrap/>
            <w:hideMark/>
          </w:tcPr>
          <w:p w:rsidRPr="007129C6" w:rsidR="00B52D66" w:rsidP="00B52D66" w:rsidRDefault="00B52D66" w14:paraId="77BFDE0E" w14:textId="77777777">
            <w:pPr>
              <w:pStyle w:val="SEOStandaard"/>
              <w:spacing w:line="240" w:lineRule="auto"/>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Programmaleiders met verdeelsleutel middelen (n=28)</w:t>
            </w:r>
          </w:p>
        </w:tc>
        <w:tc>
          <w:tcPr>
            <w:tcW w:w="1871" w:type="dxa"/>
            <w:noWrap/>
            <w:hideMark/>
          </w:tcPr>
          <w:p w:rsidRPr="007129C6" w:rsidR="00B52D66" w:rsidP="00B52D66" w:rsidRDefault="00B52D66" w14:paraId="16B6B387" w14:textId="77777777">
            <w:pPr>
              <w:pStyle w:val="SEOStandaard"/>
              <w:spacing w:line="240" w:lineRule="auto"/>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Programmaleiders met regionaal beheer middelen (n=20)</w:t>
            </w:r>
          </w:p>
        </w:tc>
      </w:tr>
      <w:tr w:rsidRPr="007129C6" w:rsidR="001841C3" w:rsidTr="008B6365" w14:paraId="54352471" w14:textId="77777777">
        <w:trPr>
          <w:trHeight w:val="288"/>
        </w:trPr>
        <w:tc>
          <w:tcPr>
            <w:cnfStyle w:val="001000000000" w:firstRow="0" w:lastRow="0" w:firstColumn="1" w:lastColumn="0" w:oddVBand="0" w:evenVBand="0" w:oddHBand="0" w:evenHBand="0" w:firstRowFirstColumn="0" w:firstRowLastColumn="0" w:lastRowFirstColumn="0" w:lastRowLastColumn="0"/>
            <w:tcW w:w="4592" w:type="dxa"/>
            <w:noWrap/>
            <w:vAlign w:val="center"/>
            <w:hideMark/>
          </w:tcPr>
          <w:p w:rsidRPr="007129C6" w:rsidR="00B52D66" w:rsidP="00A64D28" w:rsidRDefault="00B52D66" w14:paraId="1F972EE3"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Minder dan gepland</w:t>
            </w:r>
          </w:p>
        </w:tc>
        <w:tc>
          <w:tcPr>
            <w:tcW w:w="1134" w:type="dxa"/>
            <w:noWrap/>
            <w:vAlign w:val="center"/>
            <w:hideMark/>
          </w:tcPr>
          <w:p w:rsidRPr="007129C6" w:rsidR="00B52D66" w:rsidP="00A64D28" w:rsidRDefault="00B52D66" w14:paraId="05EE6C2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19%</w:t>
            </w:r>
          </w:p>
        </w:tc>
        <w:tc>
          <w:tcPr>
            <w:tcW w:w="1871" w:type="dxa"/>
            <w:noWrap/>
            <w:vAlign w:val="center"/>
            <w:hideMark/>
          </w:tcPr>
          <w:p w:rsidRPr="007129C6" w:rsidR="00B52D66" w:rsidP="00A64D28" w:rsidRDefault="00B52D66" w14:paraId="26B78B5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21%</w:t>
            </w:r>
          </w:p>
        </w:tc>
        <w:tc>
          <w:tcPr>
            <w:tcW w:w="1871" w:type="dxa"/>
            <w:noWrap/>
            <w:vAlign w:val="center"/>
            <w:hideMark/>
          </w:tcPr>
          <w:p w:rsidRPr="007129C6" w:rsidR="00B52D66" w:rsidP="00A64D28" w:rsidRDefault="00B52D66" w14:paraId="6A68DEB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15%</w:t>
            </w:r>
          </w:p>
        </w:tc>
      </w:tr>
      <w:tr w:rsidRPr="007129C6" w:rsidR="001841C3" w:rsidTr="008B6365" w14:paraId="74D4B5D7" w14:textId="77777777">
        <w:trPr>
          <w:trHeight w:val="288"/>
        </w:trPr>
        <w:tc>
          <w:tcPr>
            <w:cnfStyle w:val="001000000000" w:firstRow="0" w:lastRow="0" w:firstColumn="1" w:lastColumn="0" w:oddVBand="0" w:evenVBand="0" w:oddHBand="0" w:evenHBand="0" w:firstRowFirstColumn="0" w:firstRowLastColumn="0" w:lastRowFirstColumn="0" w:lastRowLastColumn="0"/>
            <w:tcW w:w="4592" w:type="dxa"/>
            <w:noWrap/>
            <w:vAlign w:val="center"/>
            <w:hideMark/>
          </w:tcPr>
          <w:p w:rsidRPr="007129C6" w:rsidR="00B52D66" w:rsidP="00A64D28" w:rsidRDefault="00B52D66" w14:paraId="15C3D699"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Conform het plan</w:t>
            </w:r>
          </w:p>
        </w:tc>
        <w:tc>
          <w:tcPr>
            <w:tcW w:w="1134" w:type="dxa"/>
            <w:noWrap/>
            <w:vAlign w:val="center"/>
            <w:hideMark/>
          </w:tcPr>
          <w:p w:rsidRPr="007129C6" w:rsidR="00B52D66" w:rsidP="00A64D28" w:rsidRDefault="00B52D66" w14:paraId="150C735E"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54%</w:t>
            </w:r>
          </w:p>
        </w:tc>
        <w:tc>
          <w:tcPr>
            <w:tcW w:w="1871" w:type="dxa"/>
            <w:noWrap/>
            <w:vAlign w:val="center"/>
            <w:hideMark/>
          </w:tcPr>
          <w:p w:rsidRPr="007129C6" w:rsidR="00B52D66" w:rsidP="00A64D28" w:rsidRDefault="00B52D66" w14:paraId="19B2911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61%</w:t>
            </w:r>
          </w:p>
        </w:tc>
        <w:tc>
          <w:tcPr>
            <w:tcW w:w="1871" w:type="dxa"/>
            <w:noWrap/>
            <w:vAlign w:val="center"/>
            <w:hideMark/>
          </w:tcPr>
          <w:p w:rsidRPr="007129C6" w:rsidR="00B52D66" w:rsidP="00A64D28" w:rsidRDefault="00B52D66" w14:paraId="72745B0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45%</w:t>
            </w:r>
          </w:p>
        </w:tc>
      </w:tr>
      <w:tr w:rsidRPr="007129C6" w:rsidR="001841C3" w:rsidTr="008B6365" w14:paraId="4C885F62" w14:textId="77777777">
        <w:trPr>
          <w:trHeight w:val="288"/>
        </w:trPr>
        <w:tc>
          <w:tcPr>
            <w:cnfStyle w:val="001000000000" w:firstRow="0" w:lastRow="0" w:firstColumn="1" w:lastColumn="0" w:oddVBand="0" w:evenVBand="0" w:oddHBand="0" w:evenHBand="0" w:firstRowFirstColumn="0" w:firstRowLastColumn="0" w:lastRowFirstColumn="0" w:lastRowLastColumn="0"/>
            <w:tcW w:w="4592" w:type="dxa"/>
            <w:noWrap/>
            <w:vAlign w:val="center"/>
            <w:hideMark/>
          </w:tcPr>
          <w:p w:rsidRPr="007129C6" w:rsidR="00B52D66" w:rsidP="00A64D28" w:rsidRDefault="00B52D66" w14:paraId="1F50F005"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Meer dan gepland</w:t>
            </w:r>
          </w:p>
        </w:tc>
        <w:tc>
          <w:tcPr>
            <w:tcW w:w="1134" w:type="dxa"/>
            <w:noWrap/>
            <w:vAlign w:val="center"/>
            <w:hideMark/>
          </w:tcPr>
          <w:p w:rsidRPr="007129C6" w:rsidR="00B52D66" w:rsidP="00A64D28" w:rsidRDefault="00B52D66" w14:paraId="7F14AD7B"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27%</w:t>
            </w:r>
          </w:p>
        </w:tc>
        <w:tc>
          <w:tcPr>
            <w:tcW w:w="1871" w:type="dxa"/>
            <w:noWrap/>
            <w:vAlign w:val="center"/>
            <w:hideMark/>
          </w:tcPr>
          <w:p w:rsidRPr="007129C6" w:rsidR="00B52D66" w:rsidP="00A64D28" w:rsidRDefault="00B52D66" w14:paraId="5750345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18%</w:t>
            </w:r>
          </w:p>
        </w:tc>
        <w:tc>
          <w:tcPr>
            <w:tcW w:w="1871" w:type="dxa"/>
            <w:noWrap/>
            <w:vAlign w:val="center"/>
            <w:hideMark/>
          </w:tcPr>
          <w:p w:rsidRPr="007129C6" w:rsidR="00B52D66" w:rsidP="00A64D28" w:rsidRDefault="00B52D66" w14:paraId="3AF4630B"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40%</w:t>
            </w:r>
          </w:p>
        </w:tc>
      </w:tr>
    </w:tbl>
    <w:p w:rsidRPr="007129C6" w:rsidR="00B52D66" w:rsidP="00B52D66" w:rsidRDefault="00B52D66" w14:paraId="26C009E5" w14:textId="77777777">
      <w:pPr>
        <w:pStyle w:val="SEOBron"/>
        <w:rPr>
          <w:rFonts w:ascii="Trebuchet MS" w:hAnsi="Trebuchet MS"/>
          <w:szCs w:val="18"/>
        </w:rPr>
      </w:pPr>
      <w:r w:rsidRPr="007129C6">
        <w:rPr>
          <w:rFonts w:ascii="Trebuchet MS" w:hAnsi="Trebuchet MS"/>
          <w:szCs w:val="18"/>
        </w:rPr>
        <w:t xml:space="preserve">Enquête programmaleiders STO (april 2025). </w:t>
      </w:r>
    </w:p>
    <w:p w:rsidRPr="007129C6" w:rsidR="00B52D66" w:rsidP="00B52D66" w:rsidRDefault="00B52D66" w14:paraId="3EA61AEA" w14:textId="0C0C9F07">
      <w:pPr>
        <w:pStyle w:val="SEOStandaard"/>
        <w:numPr>
          <w:ilvl w:val="0"/>
          <w:numId w:val="0"/>
        </w:numPr>
        <w:rPr>
          <w:rFonts w:ascii="Trebuchet MS" w:hAnsi="Trebuchet MS"/>
          <w:sz w:val="18"/>
          <w:szCs w:val="18"/>
        </w:rPr>
      </w:pPr>
      <w:r w:rsidRPr="007129C6">
        <w:rPr>
          <w:rFonts w:ascii="Trebuchet MS" w:hAnsi="Trebuchet MS"/>
          <w:sz w:val="18"/>
          <w:szCs w:val="18"/>
        </w:rPr>
        <w:t xml:space="preserve">Tabel </w:t>
      </w:r>
      <w:r w:rsidR="00C14C66">
        <w:rPr>
          <w:rFonts w:ascii="Trebuchet MS" w:hAnsi="Trebuchet MS"/>
          <w:sz w:val="18"/>
          <w:szCs w:val="18"/>
        </w:rPr>
        <w:t>B1</w:t>
      </w:r>
      <w:r w:rsidRPr="007129C6">
        <w:rPr>
          <w:rFonts w:ascii="Trebuchet MS" w:hAnsi="Trebuchet MS"/>
          <w:sz w:val="18"/>
          <w:szCs w:val="18"/>
        </w:rPr>
        <w:t>.</w:t>
      </w:r>
      <w:r w:rsidR="00C14C66">
        <w:rPr>
          <w:rFonts w:ascii="Trebuchet MS" w:hAnsi="Trebuchet MS"/>
          <w:sz w:val="18"/>
          <w:szCs w:val="18"/>
        </w:rPr>
        <w:t>3</w:t>
      </w:r>
      <w:r w:rsidRPr="007129C6">
        <w:rPr>
          <w:rFonts w:ascii="Trebuchet MS" w:hAnsi="Trebuchet MS"/>
          <w:sz w:val="18"/>
          <w:szCs w:val="18"/>
        </w:rPr>
        <w:t xml:space="preserve">  Mate van borging van STO volgens alle programmaleiders, uitgesplitst naar verdeling middelen</w:t>
      </w:r>
    </w:p>
    <w:tbl>
      <w:tblPr>
        <w:tblStyle w:val="SEOTabel2"/>
        <w:tblW w:w="9468" w:type="dxa"/>
        <w:tblCellMar>
          <w:top w:w="28" w:type="dxa"/>
          <w:left w:w="28" w:type="dxa"/>
          <w:bottom w:w="28" w:type="dxa"/>
          <w:right w:w="28" w:type="dxa"/>
        </w:tblCellMar>
        <w:tblLook w:val="04A0" w:firstRow="1" w:lastRow="0" w:firstColumn="1" w:lastColumn="0" w:noHBand="0" w:noVBand="1"/>
      </w:tblPr>
      <w:tblGrid>
        <w:gridCol w:w="4592"/>
        <w:gridCol w:w="1134"/>
        <w:gridCol w:w="1871"/>
        <w:gridCol w:w="1871"/>
      </w:tblGrid>
      <w:tr w:rsidRPr="007129C6" w:rsidR="00921D46" w:rsidTr="008B6365" w14:paraId="1D446A5E"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2" w:type="dxa"/>
            <w:noWrap/>
            <w:hideMark/>
          </w:tcPr>
          <w:p w:rsidRPr="007129C6" w:rsidR="00B52D66" w:rsidP="00B52D66" w:rsidRDefault="00B52D66" w14:paraId="05635369" w14:textId="77777777">
            <w:pPr>
              <w:pStyle w:val="SEOStandaard"/>
              <w:spacing w:line="240" w:lineRule="auto"/>
              <w:jc w:val="left"/>
              <w:rPr>
                <w:rFonts w:ascii="Trebuchet MS" w:hAnsi="Trebuchet MS"/>
                <w:b w:val="0"/>
                <w:bCs/>
                <w:color w:val="FFFFFF" w:themeColor="background1"/>
                <w:sz w:val="18"/>
                <w:szCs w:val="18"/>
              </w:rPr>
            </w:pPr>
            <w:r w:rsidRPr="007129C6">
              <w:rPr>
                <w:rFonts w:ascii="Trebuchet MS" w:hAnsi="Trebuchet MS"/>
                <w:bCs/>
                <w:color w:val="FFFFFF" w:themeColor="background1"/>
                <w:sz w:val="18"/>
                <w:szCs w:val="18"/>
              </w:rPr>
              <w:t>In hoeverre zijn de volgende stellingen voor uw regio van toepassing?</w:t>
            </w:r>
          </w:p>
        </w:tc>
        <w:tc>
          <w:tcPr>
            <w:tcW w:w="1134" w:type="dxa"/>
            <w:noWrap/>
            <w:hideMark/>
          </w:tcPr>
          <w:p w:rsidRPr="007129C6" w:rsidR="00B52D66" w:rsidP="00B52D66" w:rsidRDefault="00B52D66" w14:paraId="4E8392CC" w14:textId="371F8D65">
            <w:pPr>
              <w:pStyle w:val="SEOStandaard"/>
              <w:spacing w:line="240" w:lineRule="auto"/>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Programma</w:t>
            </w:r>
            <w:r w:rsidR="00921D46">
              <w:rPr>
                <w:rFonts w:ascii="Trebuchet MS" w:hAnsi="Trebuchet MS"/>
                <w:color w:val="FFFFFF" w:themeColor="background1"/>
                <w:sz w:val="18"/>
                <w:szCs w:val="18"/>
              </w:rPr>
              <w:t>-</w:t>
            </w:r>
            <w:r w:rsidRPr="007129C6">
              <w:rPr>
                <w:rFonts w:ascii="Trebuchet MS" w:hAnsi="Trebuchet MS"/>
                <w:color w:val="FFFFFF" w:themeColor="background1"/>
                <w:sz w:val="18"/>
                <w:szCs w:val="18"/>
              </w:rPr>
              <w:t>leiders (n=48)</w:t>
            </w:r>
          </w:p>
        </w:tc>
        <w:tc>
          <w:tcPr>
            <w:tcW w:w="1871" w:type="dxa"/>
            <w:noWrap/>
            <w:hideMark/>
          </w:tcPr>
          <w:p w:rsidRPr="007129C6" w:rsidR="00B52D66" w:rsidP="00B52D66" w:rsidRDefault="00B52D66" w14:paraId="28A38A08" w14:textId="77777777">
            <w:pPr>
              <w:pStyle w:val="SEOStandaard"/>
              <w:spacing w:line="240" w:lineRule="auto"/>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Programmaleiders met verdeelsleutel middelen (n=28)</w:t>
            </w:r>
          </w:p>
        </w:tc>
        <w:tc>
          <w:tcPr>
            <w:tcW w:w="1871" w:type="dxa"/>
            <w:noWrap/>
            <w:hideMark/>
          </w:tcPr>
          <w:p w:rsidRPr="007129C6" w:rsidR="00B52D66" w:rsidP="00B52D66" w:rsidRDefault="00B52D66" w14:paraId="24F31A4B" w14:textId="77777777">
            <w:pPr>
              <w:pStyle w:val="SEOStandaard"/>
              <w:spacing w:line="240" w:lineRule="auto"/>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Programmaleiders met regionaal beheer middelen (n=20)</w:t>
            </w:r>
          </w:p>
        </w:tc>
      </w:tr>
      <w:tr w:rsidRPr="007129C6" w:rsidR="00366DCB" w:rsidTr="008B6365" w14:paraId="19A7F5BD" w14:textId="77777777">
        <w:trPr>
          <w:trHeight w:val="288"/>
        </w:trPr>
        <w:tc>
          <w:tcPr>
            <w:cnfStyle w:val="001000000000" w:firstRow="0" w:lastRow="0" w:firstColumn="1" w:lastColumn="0" w:oddVBand="0" w:evenVBand="0" w:oddHBand="0" w:evenHBand="0" w:firstRowFirstColumn="0" w:firstRowLastColumn="0" w:lastRowFirstColumn="0" w:lastRowLastColumn="0"/>
            <w:tcW w:w="4592" w:type="dxa"/>
            <w:noWrap/>
            <w:vAlign w:val="center"/>
            <w:hideMark/>
          </w:tcPr>
          <w:p w:rsidRPr="007129C6" w:rsidR="00B52D66" w:rsidP="00A64D28" w:rsidRDefault="00B52D66" w14:paraId="64B157B0"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STO is geïntegreerd binnen de (lijn)organisatie</w:t>
            </w:r>
          </w:p>
        </w:tc>
        <w:tc>
          <w:tcPr>
            <w:tcW w:w="1134" w:type="dxa"/>
            <w:noWrap/>
            <w:vAlign w:val="center"/>
            <w:hideMark/>
          </w:tcPr>
          <w:p w:rsidRPr="007129C6" w:rsidR="00B52D66" w:rsidP="00A64D28" w:rsidRDefault="00B52D66" w14:paraId="027DD5FB"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92%</w:t>
            </w:r>
          </w:p>
        </w:tc>
        <w:tc>
          <w:tcPr>
            <w:tcW w:w="1871" w:type="dxa"/>
            <w:noWrap/>
            <w:vAlign w:val="center"/>
            <w:hideMark/>
          </w:tcPr>
          <w:p w:rsidRPr="007129C6" w:rsidR="00B52D66" w:rsidP="00A64D28" w:rsidRDefault="00B52D66" w14:paraId="3086A5E6"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86%</w:t>
            </w:r>
          </w:p>
        </w:tc>
        <w:tc>
          <w:tcPr>
            <w:tcW w:w="1871" w:type="dxa"/>
            <w:noWrap/>
            <w:vAlign w:val="center"/>
            <w:hideMark/>
          </w:tcPr>
          <w:p w:rsidRPr="007129C6" w:rsidR="00B52D66" w:rsidP="00A64D28" w:rsidRDefault="00B52D66" w14:paraId="3897266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100%</w:t>
            </w:r>
          </w:p>
        </w:tc>
      </w:tr>
      <w:tr w:rsidRPr="007129C6" w:rsidR="00366DCB" w:rsidTr="008B6365" w14:paraId="155516B2" w14:textId="77777777">
        <w:trPr>
          <w:trHeight w:val="288"/>
        </w:trPr>
        <w:tc>
          <w:tcPr>
            <w:cnfStyle w:val="001000000000" w:firstRow="0" w:lastRow="0" w:firstColumn="1" w:lastColumn="0" w:oddVBand="0" w:evenVBand="0" w:oddHBand="0" w:evenHBand="0" w:firstRowFirstColumn="0" w:firstRowLastColumn="0" w:lastRowFirstColumn="0" w:lastRowLastColumn="0"/>
            <w:tcW w:w="4592" w:type="dxa"/>
            <w:noWrap/>
            <w:vAlign w:val="center"/>
            <w:hideMark/>
          </w:tcPr>
          <w:p w:rsidRPr="007129C6" w:rsidR="00B52D66" w:rsidP="00A64D28" w:rsidRDefault="00B52D66" w14:paraId="5B8B045D"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Er is een sterk, uniek én gezamenlijk aanbod vanuit de regio dat voorziet in de regionale behoefte</w:t>
            </w:r>
          </w:p>
        </w:tc>
        <w:tc>
          <w:tcPr>
            <w:tcW w:w="1134" w:type="dxa"/>
            <w:noWrap/>
            <w:vAlign w:val="center"/>
            <w:hideMark/>
          </w:tcPr>
          <w:p w:rsidRPr="007129C6" w:rsidR="00B52D66" w:rsidP="00A64D28" w:rsidRDefault="00B52D66" w14:paraId="7F33402B"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83%</w:t>
            </w:r>
          </w:p>
        </w:tc>
        <w:tc>
          <w:tcPr>
            <w:tcW w:w="1871" w:type="dxa"/>
            <w:noWrap/>
            <w:vAlign w:val="center"/>
            <w:hideMark/>
          </w:tcPr>
          <w:p w:rsidRPr="007129C6" w:rsidR="00B52D66" w:rsidP="00A64D28" w:rsidRDefault="00B52D66" w14:paraId="6C31B066"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79%</w:t>
            </w:r>
          </w:p>
        </w:tc>
        <w:tc>
          <w:tcPr>
            <w:tcW w:w="1871" w:type="dxa"/>
            <w:noWrap/>
            <w:vAlign w:val="center"/>
            <w:hideMark/>
          </w:tcPr>
          <w:p w:rsidRPr="007129C6" w:rsidR="00B52D66" w:rsidP="00A64D28" w:rsidRDefault="00B52D66" w14:paraId="49491FC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90%</w:t>
            </w:r>
          </w:p>
        </w:tc>
      </w:tr>
      <w:tr w:rsidRPr="007129C6" w:rsidR="00366DCB" w:rsidTr="008B6365" w14:paraId="68E6B7F8" w14:textId="77777777">
        <w:trPr>
          <w:trHeight w:val="288"/>
        </w:trPr>
        <w:tc>
          <w:tcPr>
            <w:cnfStyle w:val="001000000000" w:firstRow="0" w:lastRow="0" w:firstColumn="1" w:lastColumn="0" w:oddVBand="0" w:evenVBand="0" w:oddHBand="0" w:evenHBand="0" w:firstRowFirstColumn="0" w:firstRowLastColumn="0" w:lastRowFirstColumn="0" w:lastRowLastColumn="0"/>
            <w:tcW w:w="4592" w:type="dxa"/>
            <w:noWrap/>
            <w:vAlign w:val="center"/>
            <w:hideMark/>
          </w:tcPr>
          <w:p w:rsidRPr="007129C6" w:rsidR="00B52D66" w:rsidP="00A64D28" w:rsidRDefault="00B52D66" w14:paraId="7C5478BC"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Er is sprake van structurele betrokkenheid op alle niveaus vanuit de scholen</w:t>
            </w:r>
          </w:p>
        </w:tc>
        <w:tc>
          <w:tcPr>
            <w:tcW w:w="1134" w:type="dxa"/>
            <w:noWrap/>
            <w:vAlign w:val="center"/>
            <w:hideMark/>
          </w:tcPr>
          <w:p w:rsidRPr="007129C6" w:rsidR="00B52D66" w:rsidP="00A64D28" w:rsidRDefault="00B52D66" w14:paraId="4FA8CED7"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73%</w:t>
            </w:r>
          </w:p>
        </w:tc>
        <w:tc>
          <w:tcPr>
            <w:tcW w:w="1871" w:type="dxa"/>
            <w:noWrap/>
            <w:vAlign w:val="center"/>
            <w:hideMark/>
          </w:tcPr>
          <w:p w:rsidRPr="007129C6" w:rsidR="00B52D66" w:rsidP="00A64D28" w:rsidRDefault="00B52D66" w14:paraId="1A13E267"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71%</w:t>
            </w:r>
          </w:p>
        </w:tc>
        <w:tc>
          <w:tcPr>
            <w:tcW w:w="1871" w:type="dxa"/>
            <w:noWrap/>
            <w:vAlign w:val="center"/>
            <w:hideMark/>
          </w:tcPr>
          <w:p w:rsidRPr="007129C6" w:rsidR="00B52D66" w:rsidP="00A64D28" w:rsidRDefault="00B52D66" w14:paraId="07E14A29"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75%</w:t>
            </w:r>
          </w:p>
        </w:tc>
      </w:tr>
      <w:tr w:rsidRPr="007129C6" w:rsidR="00366DCB" w:rsidTr="008B6365" w14:paraId="18E44FD7" w14:textId="77777777">
        <w:trPr>
          <w:trHeight w:val="288"/>
        </w:trPr>
        <w:tc>
          <w:tcPr>
            <w:cnfStyle w:val="001000000000" w:firstRow="0" w:lastRow="0" w:firstColumn="1" w:lastColumn="0" w:oddVBand="0" w:evenVBand="0" w:oddHBand="0" w:evenHBand="0" w:firstRowFirstColumn="0" w:firstRowLastColumn="0" w:lastRowFirstColumn="0" w:lastRowLastColumn="0"/>
            <w:tcW w:w="4592" w:type="dxa"/>
            <w:noWrap/>
            <w:vAlign w:val="center"/>
            <w:hideMark/>
          </w:tcPr>
          <w:p w:rsidRPr="007129C6" w:rsidR="00B52D66" w:rsidP="00A64D28" w:rsidRDefault="00B52D66" w14:paraId="762CA452"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Er is sprake van gedeelde samenwerking met de partners in de regio, die overtuigd zijn van de urgentie en het belang</w:t>
            </w:r>
          </w:p>
        </w:tc>
        <w:tc>
          <w:tcPr>
            <w:tcW w:w="1134" w:type="dxa"/>
            <w:noWrap/>
            <w:vAlign w:val="center"/>
            <w:hideMark/>
          </w:tcPr>
          <w:p w:rsidRPr="007129C6" w:rsidR="00B52D66" w:rsidP="00A64D28" w:rsidRDefault="00B52D66" w14:paraId="29A8C7F7"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90%</w:t>
            </w:r>
          </w:p>
        </w:tc>
        <w:tc>
          <w:tcPr>
            <w:tcW w:w="1871" w:type="dxa"/>
            <w:noWrap/>
            <w:vAlign w:val="center"/>
            <w:hideMark/>
          </w:tcPr>
          <w:p w:rsidRPr="007129C6" w:rsidR="00B52D66" w:rsidP="00A64D28" w:rsidRDefault="00B52D66" w14:paraId="4B0C110B"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86%</w:t>
            </w:r>
          </w:p>
        </w:tc>
        <w:tc>
          <w:tcPr>
            <w:tcW w:w="1871" w:type="dxa"/>
            <w:noWrap/>
            <w:vAlign w:val="center"/>
            <w:hideMark/>
          </w:tcPr>
          <w:p w:rsidRPr="007129C6" w:rsidR="00B52D66" w:rsidP="00A64D28" w:rsidRDefault="00B52D66" w14:paraId="28F6A352"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95%</w:t>
            </w:r>
          </w:p>
        </w:tc>
      </w:tr>
      <w:tr w:rsidRPr="007129C6" w:rsidR="00366DCB" w:rsidTr="008B6365" w14:paraId="5C3A7587" w14:textId="77777777">
        <w:trPr>
          <w:trHeight w:val="288"/>
        </w:trPr>
        <w:tc>
          <w:tcPr>
            <w:cnfStyle w:val="001000000000" w:firstRow="0" w:lastRow="0" w:firstColumn="1" w:lastColumn="0" w:oddVBand="0" w:evenVBand="0" w:oddHBand="0" w:evenHBand="0" w:firstRowFirstColumn="0" w:firstRowLastColumn="0" w:lastRowFirstColumn="0" w:lastRowLastColumn="0"/>
            <w:tcW w:w="4592" w:type="dxa"/>
            <w:noWrap/>
            <w:vAlign w:val="center"/>
            <w:hideMark/>
          </w:tcPr>
          <w:p w:rsidRPr="007129C6" w:rsidR="00B52D66" w:rsidP="00A64D28" w:rsidRDefault="00B52D66" w14:paraId="09D7B6C9"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Er zijn structuren en systemen die de borging ondersteunen</w:t>
            </w:r>
          </w:p>
        </w:tc>
        <w:tc>
          <w:tcPr>
            <w:tcW w:w="1134" w:type="dxa"/>
            <w:noWrap/>
            <w:vAlign w:val="center"/>
            <w:hideMark/>
          </w:tcPr>
          <w:p w:rsidRPr="007129C6" w:rsidR="00B52D66" w:rsidP="00A64D28" w:rsidRDefault="00B52D66" w14:paraId="338C020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90%</w:t>
            </w:r>
          </w:p>
        </w:tc>
        <w:tc>
          <w:tcPr>
            <w:tcW w:w="1871" w:type="dxa"/>
            <w:noWrap/>
            <w:vAlign w:val="center"/>
            <w:hideMark/>
          </w:tcPr>
          <w:p w:rsidRPr="007129C6" w:rsidR="00B52D66" w:rsidP="00A64D28" w:rsidRDefault="00B52D66" w14:paraId="1D36AB8C"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82%</w:t>
            </w:r>
          </w:p>
        </w:tc>
        <w:tc>
          <w:tcPr>
            <w:tcW w:w="1871" w:type="dxa"/>
            <w:noWrap/>
            <w:vAlign w:val="center"/>
            <w:hideMark/>
          </w:tcPr>
          <w:p w:rsidRPr="007129C6" w:rsidR="00B52D66" w:rsidP="00A64D28" w:rsidRDefault="00B52D66" w14:paraId="555FEE01"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100%</w:t>
            </w:r>
          </w:p>
        </w:tc>
      </w:tr>
      <w:tr w:rsidRPr="007129C6" w:rsidR="00366DCB" w:rsidTr="008B6365" w14:paraId="2E0938FD" w14:textId="77777777">
        <w:trPr>
          <w:trHeight w:val="288"/>
        </w:trPr>
        <w:tc>
          <w:tcPr>
            <w:cnfStyle w:val="001000000000" w:firstRow="0" w:lastRow="0" w:firstColumn="1" w:lastColumn="0" w:oddVBand="0" w:evenVBand="0" w:oddHBand="0" w:evenHBand="0" w:firstRowFirstColumn="0" w:firstRowLastColumn="0" w:lastRowFirstColumn="0" w:lastRowLastColumn="0"/>
            <w:tcW w:w="4592" w:type="dxa"/>
            <w:noWrap/>
            <w:vAlign w:val="center"/>
            <w:hideMark/>
          </w:tcPr>
          <w:p w:rsidRPr="007129C6" w:rsidR="00B52D66" w:rsidP="00A64D28" w:rsidRDefault="00B52D66" w14:paraId="49BB9BBA"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We hebben inzicht in de resultaten en effecten van het regionale aanbod door goede monitoring en evaluatie</w:t>
            </w:r>
          </w:p>
        </w:tc>
        <w:tc>
          <w:tcPr>
            <w:tcW w:w="1134" w:type="dxa"/>
            <w:noWrap/>
            <w:vAlign w:val="center"/>
            <w:hideMark/>
          </w:tcPr>
          <w:p w:rsidRPr="007129C6" w:rsidR="00B52D66" w:rsidP="00A64D28" w:rsidRDefault="00B52D66" w14:paraId="3D5206B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77%</w:t>
            </w:r>
          </w:p>
        </w:tc>
        <w:tc>
          <w:tcPr>
            <w:tcW w:w="1871" w:type="dxa"/>
            <w:noWrap/>
            <w:vAlign w:val="center"/>
            <w:hideMark/>
          </w:tcPr>
          <w:p w:rsidRPr="007129C6" w:rsidR="00B52D66" w:rsidP="00A64D28" w:rsidRDefault="00B52D66" w14:paraId="0ED758CB"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75%</w:t>
            </w:r>
          </w:p>
        </w:tc>
        <w:tc>
          <w:tcPr>
            <w:tcW w:w="1871" w:type="dxa"/>
            <w:noWrap/>
            <w:vAlign w:val="center"/>
            <w:hideMark/>
          </w:tcPr>
          <w:p w:rsidRPr="007129C6" w:rsidR="00B52D66" w:rsidP="00A64D28" w:rsidRDefault="00B52D66" w14:paraId="767628D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80%</w:t>
            </w:r>
          </w:p>
        </w:tc>
      </w:tr>
      <w:tr w:rsidRPr="007129C6" w:rsidR="00366DCB" w:rsidTr="008B6365" w14:paraId="2F83D87B" w14:textId="77777777">
        <w:trPr>
          <w:trHeight w:val="288"/>
        </w:trPr>
        <w:tc>
          <w:tcPr>
            <w:cnfStyle w:val="001000000000" w:firstRow="0" w:lastRow="0" w:firstColumn="1" w:lastColumn="0" w:oddVBand="0" w:evenVBand="0" w:oddHBand="0" w:evenHBand="0" w:firstRowFirstColumn="0" w:firstRowLastColumn="0" w:lastRowFirstColumn="0" w:lastRowLastColumn="0"/>
            <w:tcW w:w="4592" w:type="dxa"/>
            <w:noWrap/>
            <w:vAlign w:val="center"/>
            <w:hideMark/>
          </w:tcPr>
          <w:p w:rsidRPr="007129C6" w:rsidR="00B52D66" w:rsidP="00A64D28" w:rsidRDefault="00B52D66" w14:paraId="32DC1202"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We communiceren structureel richting betrokkenen over de activiteiten en resultaten van STO</w:t>
            </w:r>
          </w:p>
        </w:tc>
        <w:tc>
          <w:tcPr>
            <w:tcW w:w="1134" w:type="dxa"/>
            <w:noWrap/>
            <w:vAlign w:val="center"/>
            <w:hideMark/>
          </w:tcPr>
          <w:p w:rsidRPr="007129C6" w:rsidR="00B52D66" w:rsidP="00A64D28" w:rsidRDefault="00B52D66" w14:paraId="3FABB73C"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79%</w:t>
            </w:r>
          </w:p>
        </w:tc>
        <w:tc>
          <w:tcPr>
            <w:tcW w:w="1871" w:type="dxa"/>
            <w:noWrap/>
            <w:vAlign w:val="center"/>
            <w:hideMark/>
          </w:tcPr>
          <w:p w:rsidRPr="007129C6" w:rsidR="00B52D66" w:rsidP="00A64D28" w:rsidRDefault="00B52D66" w14:paraId="39A150D7"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79%</w:t>
            </w:r>
          </w:p>
        </w:tc>
        <w:tc>
          <w:tcPr>
            <w:tcW w:w="1871" w:type="dxa"/>
            <w:noWrap/>
            <w:vAlign w:val="center"/>
            <w:hideMark/>
          </w:tcPr>
          <w:p w:rsidRPr="007129C6" w:rsidR="00B52D66" w:rsidP="00A64D28" w:rsidRDefault="00B52D66" w14:paraId="7CA70BFD"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80%</w:t>
            </w:r>
          </w:p>
        </w:tc>
      </w:tr>
    </w:tbl>
    <w:p w:rsidRPr="007129C6" w:rsidR="00B52D66" w:rsidP="00B52D66" w:rsidRDefault="00B52D66" w14:paraId="7014ABFD" w14:textId="77777777">
      <w:pPr>
        <w:pStyle w:val="SEOBron"/>
        <w:rPr>
          <w:rFonts w:ascii="Trebuchet MS" w:hAnsi="Trebuchet MS"/>
          <w:szCs w:val="18"/>
        </w:rPr>
      </w:pPr>
      <w:r w:rsidRPr="007129C6">
        <w:rPr>
          <w:rFonts w:ascii="Trebuchet MS" w:hAnsi="Trebuchet MS"/>
          <w:szCs w:val="18"/>
        </w:rPr>
        <w:t xml:space="preserve">Enquête programmaleiders STO (april 2025). % in enige/sterke mate. </w:t>
      </w:r>
    </w:p>
    <w:p w:rsidRPr="007129C6" w:rsidR="00B52D66" w:rsidP="00B52D66" w:rsidRDefault="00B52D66" w14:paraId="4194FCB2" w14:textId="60A1B674">
      <w:pPr>
        <w:pStyle w:val="SEOStandaard"/>
        <w:numPr>
          <w:ilvl w:val="0"/>
          <w:numId w:val="0"/>
        </w:numPr>
        <w:rPr>
          <w:rFonts w:ascii="Trebuchet MS" w:hAnsi="Trebuchet MS"/>
          <w:sz w:val="18"/>
          <w:szCs w:val="18"/>
        </w:rPr>
      </w:pPr>
      <w:r w:rsidRPr="007129C6">
        <w:rPr>
          <w:rFonts w:ascii="Trebuchet MS" w:hAnsi="Trebuchet MS"/>
          <w:sz w:val="18"/>
          <w:szCs w:val="18"/>
        </w:rPr>
        <w:lastRenderedPageBreak/>
        <w:t xml:space="preserve">Tabel </w:t>
      </w:r>
      <w:r w:rsidR="00BE45A3">
        <w:rPr>
          <w:rFonts w:ascii="Trebuchet MS" w:hAnsi="Trebuchet MS"/>
          <w:sz w:val="18"/>
          <w:szCs w:val="18"/>
        </w:rPr>
        <w:t>B1</w:t>
      </w:r>
      <w:r w:rsidRPr="007129C6">
        <w:rPr>
          <w:rFonts w:ascii="Trebuchet MS" w:hAnsi="Trebuchet MS"/>
          <w:sz w:val="18"/>
          <w:szCs w:val="18"/>
        </w:rPr>
        <w:t>.</w:t>
      </w:r>
      <w:r w:rsidR="00BE45A3">
        <w:rPr>
          <w:rFonts w:ascii="Trebuchet MS" w:hAnsi="Trebuchet MS"/>
          <w:sz w:val="18"/>
          <w:szCs w:val="18"/>
        </w:rPr>
        <w:t>4</w:t>
      </w:r>
      <w:r w:rsidRPr="007129C6">
        <w:rPr>
          <w:rFonts w:ascii="Trebuchet MS" w:hAnsi="Trebuchet MS"/>
          <w:sz w:val="18"/>
          <w:szCs w:val="18"/>
        </w:rPr>
        <w:t xml:space="preserve"> Ervaren opbrengsten op verschillende aandachtspunten in de STO-periode (2020-2024) volgens alle programmaleiders, uitgesplitst naar verdeling middelen</w:t>
      </w:r>
    </w:p>
    <w:tbl>
      <w:tblPr>
        <w:tblStyle w:val="SEOTabel2"/>
        <w:tblW w:w="9695" w:type="dxa"/>
        <w:tblCellMar>
          <w:top w:w="28" w:type="dxa"/>
          <w:left w:w="28" w:type="dxa"/>
          <w:bottom w:w="28" w:type="dxa"/>
          <w:right w:w="28" w:type="dxa"/>
        </w:tblCellMar>
        <w:tblLook w:val="04A0" w:firstRow="1" w:lastRow="0" w:firstColumn="1" w:lastColumn="0" w:noHBand="0" w:noVBand="1"/>
      </w:tblPr>
      <w:tblGrid>
        <w:gridCol w:w="4819"/>
        <w:gridCol w:w="1134"/>
        <w:gridCol w:w="1871"/>
        <w:gridCol w:w="1871"/>
      </w:tblGrid>
      <w:tr w:rsidRPr="007129C6" w:rsidR="001D0957" w:rsidTr="00CA1BEA" w14:paraId="2C80301E"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19" w:type="dxa"/>
            <w:noWrap/>
            <w:hideMark/>
          </w:tcPr>
          <w:p w:rsidRPr="007129C6" w:rsidR="00B52D66" w:rsidP="00B52D66" w:rsidRDefault="00B52D66" w14:paraId="0BAF0B04" w14:textId="77777777">
            <w:pPr>
              <w:pStyle w:val="SEOStandaard"/>
              <w:spacing w:line="240" w:lineRule="auto"/>
              <w:jc w:val="left"/>
              <w:rPr>
                <w:rFonts w:ascii="Trebuchet MS" w:hAnsi="Trebuchet MS"/>
                <w:b w:val="0"/>
                <w:bCs/>
                <w:color w:val="FFFFFF" w:themeColor="background1"/>
                <w:sz w:val="18"/>
                <w:szCs w:val="18"/>
              </w:rPr>
            </w:pPr>
            <w:r w:rsidRPr="007129C6">
              <w:rPr>
                <w:rFonts w:ascii="Trebuchet MS" w:hAnsi="Trebuchet MS"/>
                <w:bCs/>
                <w:color w:val="FFFFFF" w:themeColor="background1"/>
                <w:sz w:val="18"/>
                <w:szCs w:val="18"/>
              </w:rPr>
              <w:t>In welke mate zijn in uw regio in de afgesloten STO-periode (2020-2024) op onderstaande terreinen opbrengsten gerealiseerd?</w:t>
            </w:r>
          </w:p>
        </w:tc>
        <w:tc>
          <w:tcPr>
            <w:tcW w:w="1134" w:type="dxa"/>
            <w:noWrap/>
            <w:hideMark/>
          </w:tcPr>
          <w:p w:rsidRPr="007129C6" w:rsidR="00B52D66" w:rsidP="00B52D66" w:rsidRDefault="00B52D66" w14:paraId="55463D77" w14:textId="62D4826E">
            <w:pPr>
              <w:pStyle w:val="SEOStandaard"/>
              <w:spacing w:line="240" w:lineRule="auto"/>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Programma</w:t>
            </w:r>
            <w:r w:rsidR="00366DCB">
              <w:rPr>
                <w:rFonts w:ascii="Trebuchet MS" w:hAnsi="Trebuchet MS"/>
                <w:color w:val="FFFFFF" w:themeColor="background1"/>
                <w:sz w:val="18"/>
                <w:szCs w:val="18"/>
              </w:rPr>
              <w:t>-</w:t>
            </w:r>
            <w:r w:rsidRPr="007129C6">
              <w:rPr>
                <w:rFonts w:ascii="Trebuchet MS" w:hAnsi="Trebuchet MS"/>
                <w:color w:val="FFFFFF" w:themeColor="background1"/>
                <w:sz w:val="18"/>
                <w:szCs w:val="18"/>
              </w:rPr>
              <w:t>leiders (n=48)</w:t>
            </w:r>
          </w:p>
        </w:tc>
        <w:tc>
          <w:tcPr>
            <w:tcW w:w="1871" w:type="dxa"/>
            <w:noWrap/>
            <w:hideMark/>
          </w:tcPr>
          <w:p w:rsidRPr="007129C6" w:rsidR="00B52D66" w:rsidP="00B52D66" w:rsidRDefault="00B52D66" w14:paraId="02B0F419" w14:textId="77777777">
            <w:pPr>
              <w:pStyle w:val="SEOStandaard"/>
              <w:spacing w:line="240" w:lineRule="auto"/>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Programmaleiders met verdeelsleutel middelen (n=28)</w:t>
            </w:r>
          </w:p>
        </w:tc>
        <w:tc>
          <w:tcPr>
            <w:tcW w:w="1871" w:type="dxa"/>
            <w:noWrap/>
            <w:hideMark/>
          </w:tcPr>
          <w:p w:rsidRPr="007129C6" w:rsidR="00B52D66" w:rsidP="00B52D66" w:rsidRDefault="00B52D66" w14:paraId="59910BD7" w14:textId="77777777">
            <w:pPr>
              <w:pStyle w:val="SEOStandaard"/>
              <w:spacing w:line="240" w:lineRule="auto"/>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Programmaleiders met regionaal beheer middelen (n=20)</w:t>
            </w:r>
          </w:p>
        </w:tc>
      </w:tr>
      <w:tr w:rsidRPr="007129C6" w:rsidR="001D0957" w:rsidTr="00CA1BEA" w14:paraId="2BE85C68" w14:textId="77777777">
        <w:trPr>
          <w:trHeight w:val="227"/>
        </w:trPr>
        <w:tc>
          <w:tcPr>
            <w:cnfStyle w:val="001000000000" w:firstRow="0" w:lastRow="0" w:firstColumn="1" w:lastColumn="0" w:oddVBand="0" w:evenVBand="0" w:oddHBand="0" w:evenHBand="0" w:firstRowFirstColumn="0" w:firstRowLastColumn="0" w:lastRowFirstColumn="0" w:lastRowLastColumn="0"/>
            <w:tcW w:w="4819" w:type="dxa"/>
            <w:noWrap/>
            <w:vAlign w:val="center"/>
            <w:hideMark/>
          </w:tcPr>
          <w:p w:rsidRPr="007129C6" w:rsidR="00B52D66" w:rsidP="00A64D28" w:rsidRDefault="00B52D66" w14:paraId="4CC2C6CA"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(her)inrichting van het regionale techniekaanbod</w:t>
            </w:r>
          </w:p>
        </w:tc>
        <w:tc>
          <w:tcPr>
            <w:tcW w:w="1134" w:type="dxa"/>
            <w:noWrap/>
            <w:vAlign w:val="center"/>
            <w:hideMark/>
          </w:tcPr>
          <w:p w:rsidRPr="007129C6" w:rsidR="00B52D66" w:rsidP="00A64D28" w:rsidRDefault="00B52D66" w14:paraId="67510FB1"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85%</w:t>
            </w:r>
          </w:p>
        </w:tc>
        <w:tc>
          <w:tcPr>
            <w:tcW w:w="1871" w:type="dxa"/>
            <w:noWrap/>
            <w:vAlign w:val="center"/>
            <w:hideMark/>
          </w:tcPr>
          <w:p w:rsidRPr="007129C6" w:rsidR="00B52D66" w:rsidP="00A64D28" w:rsidRDefault="00B52D66" w14:paraId="2BD3F11D"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79%</w:t>
            </w:r>
          </w:p>
        </w:tc>
        <w:tc>
          <w:tcPr>
            <w:tcW w:w="1871" w:type="dxa"/>
            <w:noWrap/>
            <w:vAlign w:val="center"/>
            <w:hideMark/>
          </w:tcPr>
          <w:p w:rsidRPr="007129C6" w:rsidR="00B52D66" w:rsidP="00A64D28" w:rsidRDefault="00B52D66" w14:paraId="7CD5AA0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95%</w:t>
            </w:r>
          </w:p>
        </w:tc>
      </w:tr>
      <w:tr w:rsidRPr="007129C6" w:rsidR="001D0957" w:rsidTr="00CA1BEA" w14:paraId="7597A3F7" w14:textId="77777777">
        <w:trPr>
          <w:trHeight w:val="227"/>
        </w:trPr>
        <w:tc>
          <w:tcPr>
            <w:cnfStyle w:val="001000000000" w:firstRow="0" w:lastRow="0" w:firstColumn="1" w:lastColumn="0" w:oddVBand="0" w:evenVBand="0" w:oddHBand="0" w:evenHBand="0" w:firstRowFirstColumn="0" w:firstRowLastColumn="0" w:lastRowFirstColumn="0" w:lastRowLastColumn="0"/>
            <w:tcW w:w="4819" w:type="dxa"/>
            <w:noWrap/>
            <w:vAlign w:val="center"/>
            <w:hideMark/>
          </w:tcPr>
          <w:p w:rsidRPr="007129C6" w:rsidR="00B52D66" w:rsidP="00A64D28" w:rsidRDefault="00B52D66" w14:paraId="0C2DCC7D"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De aantallen techniekleerlingen in de profielen</w:t>
            </w:r>
          </w:p>
        </w:tc>
        <w:tc>
          <w:tcPr>
            <w:tcW w:w="1134" w:type="dxa"/>
            <w:noWrap/>
            <w:vAlign w:val="center"/>
            <w:hideMark/>
          </w:tcPr>
          <w:p w:rsidRPr="007129C6" w:rsidR="00B52D66" w:rsidP="00A64D28" w:rsidRDefault="00B52D66" w14:paraId="540A8E8E"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56%</w:t>
            </w:r>
          </w:p>
        </w:tc>
        <w:tc>
          <w:tcPr>
            <w:tcW w:w="1871" w:type="dxa"/>
            <w:noWrap/>
            <w:vAlign w:val="center"/>
            <w:hideMark/>
          </w:tcPr>
          <w:p w:rsidRPr="007129C6" w:rsidR="00B52D66" w:rsidP="00A64D28" w:rsidRDefault="00B52D66" w14:paraId="340BD1CD"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61%</w:t>
            </w:r>
          </w:p>
        </w:tc>
        <w:tc>
          <w:tcPr>
            <w:tcW w:w="1871" w:type="dxa"/>
            <w:noWrap/>
            <w:vAlign w:val="center"/>
            <w:hideMark/>
          </w:tcPr>
          <w:p w:rsidRPr="007129C6" w:rsidR="00B52D66" w:rsidP="00A64D28" w:rsidRDefault="00B52D66" w14:paraId="447C74BF"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50%</w:t>
            </w:r>
          </w:p>
        </w:tc>
      </w:tr>
      <w:tr w:rsidRPr="007129C6" w:rsidR="001D0957" w:rsidTr="00CA1BEA" w14:paraId="1D8EA148" w14:textId="77777777">
        <w:trPr>
          <w:trHeight w:val="227"/>
        </w:trPr>
        <w:tc>
          <w:tcPr>
            <w:cnfStyle w:val="001000000000" w:firstRow="0" w:lastRow="0" w:firstColumn="1" w:lastColumn="0" w:oddVBand="0" w:evenVBand="0" w:oddHBand="0" w:evenHBand="0" w:firstRowFirstColumn="0" w:firstRowLastColumn="0" w:lastRowFirstColumn="0" w:lastRowLastColumn="0"/>
            <w:tcW w:w="4819" w:type="dxa"/>
            <w:noWrap/>
            <w:vAlign w:val="center"/>
            <w:hideMark/>
          </w:tcPr>
          <w:p w:rsidRPr="007129C6" w:rsidR="00B52D66" w:rsidP="00A64D28" w:rsidRDefault="00B52D66" w14:paraId="557A401A"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De kwaliteit van het techniekonderwijs/de technieklessen</w:t>
            </w:r>
          </w:p>
        </w:tc>
        <w:tc>
          <w:tcPr>
            <w:tcW w:w="1134" w:type="dxa"/>
            <w:noWrap/>
            <w:vAlign w:val="center"/>
            <w:hideMark/>
          </w:tcPr>
          <w:p w:rsidRPr="007129C6" w:rsidR="00B52D66" w:rsidP="00A64D28" w:rsidRDefault="00B52D66" w14:paraId="4DFA0B92"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79%</w:t>
            </w:r>
          </w:p>
        </w:tc>
        <w:tc>
          <w:tcPr>
            <w:tcW w:w="1871" w:type="dxa"/>
            <w:noWrap/>
            <w:vAlign w:val="center"/>
            <w:hideMark/>
          </w:tcPr>
          <w:p w:rsidRPr="007129C6" w:rsidR="00B52D66" w:rsidP="00A64D28" w:rsidRDefault="00B52D66" w14:paraId="0C9ACFFC"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86%</w:t>
            </w:r>
          </w:p>
        </w:tc>
        <w:tc>
          <w:tcPr>
            <w:tcW w:w="1871" w:type="dxa"/>
            <w:noWrap/>
            <w:vAlign w:val="center"/>
            <w:hideMark/>
          </w:tcPr>
          <w:p w:rsidRPr="007129C6" w:rsidR="00B52D66" w:rsidP="00A64D28" w:rsidRDefault="00B52D66" w14:paraId="2A29B843"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70%</w:t>
            </w:r>
          </w:p>
        </w:tc>
      </w:tr>
      <w:tr w:rsidRPr="007129C6" w:rsidR="001D0957" w:rsidTr="00CA1BEA" w14:paraId="1A8E202E" w14:textId="77777777">
        <w:trPr>
          <w:trHeight w:val="227"/>
        </w:trPr>
        <w:tc>
          <w:tcPr>
            <w:cnfStyle w:val="001000000000" w:firstRow="0" w:lastRow="0" w:firstColumn="1" w:lastColumn="0" w:oddVBand="0" w:evenVBand="0" w:oddHBand="0" w:evenHBand="0" w:firstRowFirstColumn="0" w:firstRowLastColumn="0" w:lastRowFirstColumn="0" w:lastRowLastColumn="0"/>
            <w:tcW w:w="4819" w:type="dxa"/>
            <w:noWrap/>
            <w:vAlign w:val="center"/>
            <w:hideMark/>
          </w:tcPr>
          <w:p w:rsidRPr="007129C6" w:rsidR="00B52D66" w:rsidP="00A64D28" w:rsidRDefault="00B52D66" w14:paraId="03CE10D1"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Voldoende techniekdocenten</w:t>
            </w:r>
          </w:p>
        </w:tc>
        <w:tc>
          <w:tcPr>
            <w:tcW w:w="1134" w:type="dxa"/>
            <w:noWrap/>
            <w:vAlign w:val="center"/>
            <w:hideMark/>
          </w:tcPr>
          <w:p w:rsidRPr="007129C6" w:rsidR="00B52D66" w:rsidP="00A64D28" w:rsidRDefault="00B52D66" w14:paraId="1367C43F"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52%</w:t>
            </w:r>
          </w:p>
        </w:tc>
        <w:tc>
          <w:tcPr>
            <w:tcW w:w="1871" w:type="dxa"/>
            <w:noWrap/>
            <w:vAlign w:val="center"/>
            <w:hideMark/>
          </w:tcPr>
          <w:p w:rsidRPr="007129C6" w:rsidR="00B52D66" w:rsidP="00A64D28" w:rsidRDefault="00B52D66" w14:paraId="0EE05FB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54%</w:t>
            </w:r>
          </w:p>
        </w:tc>
        <w:tc>
          <w:tcPr>
            <w:tcW w:w="1871" w:type="dxa"/>
            <w:noWrap/>
            <w:vAlign w:val="center"/>
            <w:hideMark/>
          </w:tcPr>
          <w:p w:rsidRPr="007129C6" w:rsidR="00B52D66" w:rsidP="00A64D28" w:rsidRDefault="00B52D66" w14:paraId="50C46CC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50%</w:t>
            </w:r>
          </w:p>
        </w:tc>
      </w:tr>
      <w:tr w:rsidRPr="007129C6" w:rsidR="001D0957" w:rsidTr="00CA1BEA" w14:paraId="1D1C5280" w14:textId="77777777">
        <w:trPr>
          <w:trHeight w:val="227"/>
        </w:trPr>
        <w:tc>
          <w:tcPr>
            <w:cnfStyle w:val="001000000000" w:firstRow="0" w:lastRow="0" w:firstColumn="1" w:lastColumn="0" w:oddVBand="0" w:evenVBand="0" w:oddHBand="0" w:evenHBand="0" w:firstRowFirstColumn="0" w:firstRowLastColumn="0" w:lastRowFirstColumn="0" w:lastRowLastColumn="0"/>
            <w:tcW w:w="4819" w:type="dxa"/>
            <w:noWrap/>
            <w:vAlign w:val="center"/>
            <w:hideMark/>
          </w:tcPr>
          <w:p w:rsidRPr="007129C6" w:rsidR="00B52D66" w:rsidP="00A64D28" w:rsidRDefault="00B52D66" w14:paraId="59755149"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De aansluiting met mbo</w:t>
            </w:r>
          </w:p>
        </w:tc>
        <w:tc>
          <w:tcPr>
            <w:tcW w:w="1134" w:type="dxa"/>
            <w:noWrap/>
            <w:vAlign w:val="center"/>
            <w:hideMark/>
          </w:tcPr>
          <w:p w:rsidRPr="007129C6" w:rsidR="00B52D66" w:rsidP="00A64D28" w:rsidRDefault="00B52D66" w14:paraId="04BC4FCA"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56%</w:t>
            </w:r>
          </w:p>
        </w:tc>
        <w:tc>
          <w:tcPr>
            <w:tcW w:w="1871" w:type="dxa"/>
            <w:noWrap/>
            <w:vAlign w:val="center"/>
            <w:hideMark/>
          </w:tcPr>
          <w:p w:rsidRPr="007129C6" w:rsidR="00B52D66" w:rsidP="00A64D28" w:rsidRDefault="00B52D66" w14:paraId="474DABEF"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43%</w:t>
            </w:r>
          </w:p>
        </w:tc>
        <w:tc>
          <w:tcPr>
            <w:tcW w:w="1871" w:type="dxa"/>
            <w:noWrap/>
            <w:vAlign w:val="center"/>
            <w:hideMark/>
          </w:tcPr>
          <w:p w:rsidRPr="007129C6" w:rsidR="00B52D66" w:rsidP="00A64D28" w:rsidRDefault="00B52D66" w14:paraId="09C9C87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75%</w:t>
            </w:r>
          </w:p>
        </w:tc>
      </w:tr>
      <w:tr w:rsidRPr="007129C6" w:rsidR="001D0957" w:rsidTr="00CA1BEA" w14:paraId="2067D761" w14:textId="77777777">
        <w:trPr>
          <w:trHeight w:val="227"/>
        </w:trPr>
        <w:tc>
          <w:tcPr>
            <w:cnfStyle w:val="001000000000" w:firstRow="0" w:lastRow="0" w:firstColumn="1" w:lastColumn="0" w:oddVBand="0" w:evenVBand="0" w:oddHBand="0" w:evenHBand="0" w:firstRowFirstColumn="0" w:firstRowLastColumn="0" w:lastRowFirstColumn="0" w:lastRowLastColumn="0"/>
            <w:tcW w:w="4819" w:type="dxa"/>
            <w:noWrap/>
            <w:vAlign w:val="center"/>
            <w:hideMark/>
          </w:tcPr>
          <w:p w:rsidRPr="007129C6" w:rsidR="00B52D66" w:rsidP="00A64D28" w:rsidRDefault="00B52D66" w14:paraId="6295C719"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De aansluiting op de regionale vraag van het bedrijfsleven</w:t>
            </w:r>
          </w:p>
        </w:tc>
        <w:tc>
          <w:tcPr>
            <w:tcW w:w="1134" w:type="dxa"/>
            <w:noWrap/>
            <w:vAlign w:val="center"/>
            <w:hideMark/>
          </w:tcPr>
          <w:p w:rsidRPr="007129C6" w:rsidR="00B52D66" w:rsidP="00A64D28" w:rsidRDefault="00B52D66" w14:paraId="2703F8AE"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73%</w:t>
            </w:r>
          </w:p>
        </w:tc>
        <w:tc>
          <w:tcPr>
            <w:tcW w:w="1871" w:type="dxa"/>
            <w:noWrap/>
            <w:vAlign w:val="center"/>
            <w:hideMark/>
          </w:tcPr>
          <w:p w:rsidRPr="007129C6" w:rsidR="00B52D66" w:rsidP="00A64D28" w:rsidRDefault="00B52D66" w14:paraId="5E67E29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68%</w:t>
            </w:r>
          </w:p>
        </w:tc>
        <w:tc>
          <w:tcPr>
            <w:tcW w:w="1871" w:type="dxa"/>
            <w:noWrap/>
            <w:vAlign w:val="center"/>
            <w:hideMark/>
          </w:tcPr>
          <w:p w:rsidRPr="007129C6" w:rsidR="00B52D66" w:rsidP="00A64D28" w:rsidRDefault="00B52D66" w14:paraId="526C50E2"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80%</w:t>
            </w:r>
          </w:p>
        </w:tc>
      </w:tr>
      <w:tr w:rsidRPr="007129C6" w:rsidR="001D0957" w:rsidTr="00CA1BEA" w14:paraId="6D5CE1D8" w14:textId="77777777">
        <w:trPr>
          <w:trHeight w:val="227"/>
        </w:trPr>
        <w:tc>
          <w:tcPr>
            <w:cnfStyle w:val="001000000000" w:firstRow="0" w:lastRow="0" w:firstColumn="1" w:lastColumn="0" w:oddVBand="0" w:evenVBand="0" w:oddHBand="0" w:evenHBand="0" w:firstRowFirstColumn="0" w:firstRowLastColumn="0" w:lastRowFirstColumn="0" w:lastRowLastColumn="0"/>
            <w:tcW w:w="4819" w:type="dxa"/>
            <w:noWrap/>
            <w:vAlign w:val="center"/>
            <w:hideMark/>
          </w:tcPr>
          <w:p w:rsidRPr="007129C6" w:rsidR="00B52D66" w:rsidP="00A64D28" w:rsidRDefault="00B52D66" w14:paraId="4ABE5F95"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De samenwerking tussen de verschillende partijen van STO</w:t>
            </w:r>
          </w:p>
        </w:tc>
        <w:tc>
          <w:tcPr>
            <w:tcW w:w="1134" w:type="dxa"/>
            <w:noWrap/>
            <w:vAlign w:val="center"/>
            <w:hideMark/>
          </w:tcPr>
          <w:p w:rsidRPr="007129C6" w:rsidR="00B52D66" w:rsidP="00A64D28" w:rsidRDefault="00B52D66" w14:paraId="0465AB9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98%</w:t>
            </w:r>
          </w:p>
        </w:tc>
        <w:tc>
          <w:tcPr>
            <w:tcW w:w="1871" w:type="dxa"/>
            <w:noWrap/>
            <w:vAlign w:val="center"/>
            <w:hideMark/>
          </w:tcPr>
          <w:p w:rsidRPr="007129C6" w:rsidR="00B52D66" w:rsidP="00A64D28" w:rsidRDefault="00B52D66" w14:paraId="4B73F51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96%</w:t>
            </w:r>
          </w:p>
        </w:tc>
        <w:tc>
          <w:tcPr>
            <w:tcW w:w="1871" w:type="dxa"/>
            <w:noWrap/>
            <w:vAlign w:val="center"/>
            <w:hideMark/>
          </w:tcPr>
          <w:p w:rsidRPr="007129C6" w:rsidR="00B52D66" w:rsidP="00A64D28" w:rsidRDefault="00B52D66" w14:paraId="3A8DCF77"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100%</w:t>
            </w:r>
          </w:p>
        </w:tc>
      </w:tr>
      <w:tr w:rsidRPr="007129C6" w:rsidR="001D0957" w:rsidTr="00CA1BEA" w14:paraId="36B40AA8" w14:textId="77777777">
        <w:trPr>
          <w:trHeight w:val="227"/>
        </w:trPr>
        <w:tc>
          <w:tcPr>
            <w:cnfStyle w:val="001000000000" w:firstRow="0" w:lastRow="0" w:firstColumn="1" w:lastColumn="0" w:oddVBand="0" w:evenVBand="0" w:oddHBand="0" w:evenHBand="0" w:firstRowFirstColumn="0" w:firstRowLastColumn="0" w:lastRowFirstColumn="0" w:lastRowLastColumn="0"/>
            <w:tcW w:w="4819" w:type="dxa"/>
            <w:noWrap/>
            <w:vAlign w:val="center"/>
            <w:hideMark/>
          </w:tcPr>
          <w:p w:rsidRPr="007129C6" w:rsidR="00B52D66" w:rsidP="00A64D28" w:rsidRDefault="00B52D66" w14:paraId="1F50FE9A"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De beeldvorming ten aanzien van techniek</w:t>
            </w:r>
          </w:p>
        </w:tc>
        <w:tc>
          <w:tcPr>
            <w:tcW w:w="1134" w:type="dxa"/>
            <w:noWrap/>
            <w:vAlign w:val="center"/>
            <w:hideMark/>
          </w:tcPr>
          <w:p w:rsidRPr="007129C6" w:rsidR="00B52D66" w:rsidP="00A64D28" w:rsidRDefault="00B52D66" w14:paraId="0144196A"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85%</w:t>
            </w:r>
          </w:p>
        </w:tc>
        <w:tc>
          <w:tcPr>
            <w:tcW w:w="1871" w:type="dxa"/>
            <w:noWrap/>
            <w:vAlign w:val="center"/>
            <w:hideMark/>
          </w:tcPr>
          <w:p w:rsidRPr="007129C6" w:rsidR="00B52D66" w:rsidP="00A64D28" w:rsidRDefault="00B52D66" w14:paraId="2C8FA537"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89%</w:t>
            </w:r>
          </w:p>
        </w:tc>
        <w:tc>
          <w:tcPr>
            <w:tcW w:w="1871" w:type="dxa"/>
            <w:noWrap/>
            <w:vAlign w:val="center"/>
            <w:hideMark/>
          </w:tcPr>
          <w:p w:rsidRPr="007129C6" w:rsidR="00B52D66" w:rsidP="00A64D28" w:rsidRDefault="00B52D66" w14:paraId="1DC2012E"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80%</w:t>
            </w:r>
          </w:p>
        </w:tc>
      </w:tr>
      <w:tr w:rsidRPr="007129C6" w:rsidR="001D0957" w:rsidTr="00CA1BEA" w14:paraId="48C01B1C" w14:textId="77777777">
        <w:trPr>
          <w:trHeight w:val="227"/>
        </w:trPr>
        <w:tc>
          <w:tcPr>
            <w:cnfStyle w:val="001000000000" w:firstRow="0" w:lastRow="0" w:firstColumn="1" w:lastColumn="0" w:oddVBand="0" w:evenVBand="0" w:oddHBand="0" w:evenHBand="0" w:firstRowFirstColumn="0" w:firstRowLastColumn="0" w:lastRowFirstColumn="0" w:lastRowLastColumn="0"/>
            <w:tcW w:w="4819" w:type="dxa"/>
            <w:noWrap/>
            <w:vAlign w:val="center"/>
            <w:hideMark/>
          </w:tcPr>
          <w:p w:rsidRPr="007129C6" w:rsidR="00B52D66" w:rsidP="00A64D28" w:rsidRDefault="00B52D66" w14:paraId="34098F0F"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Andere opbrengst, namelijk…</w:t>
            </w:r>
          </w:p>
        </w:tc>
        <w:tc>
          <w:tcPr>
            <w:tcW w:w="1134" w:type="dxa"/>
            <w:noWrap/>
            <w:vAlign w:val="center"/>
            <w:hideMark/>
          </w:tcPr>
          <w:p w:rsidRPr="007129C6" w:rsidR="00B52D66" w:rsidP="00A64D28" w:rsidRDefault="00B52D66" w14:paraId="6DC2014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85%</w:t>
            </w:r>
          </w:p>
        </w:tc>
        <w:tc>
          <w:tcPr>
            <w:tcW w:w="1871" w:type="dxa"/>
            <w:noWrap/>
            <w:vAlign w:val="center"/>
            <w:hideMark/>
          </w:tcPr>
          <w:p w:rsidRPr="007129C6" w:rsidR="00B52D66" w:rsidP="00A64D28" w:rsidRDefault="00B52D66" w14:paraId="46B7B791"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75%</w:t>
            </w:r>
          </w:p>
        </w:tc>
        <w:tc>
          <w:tcPr>
            <w:tcW w:w="1871" w:type="dxa"/>
            <w:noWrap/>
            <w:vAlign w:val="center"/>
            <w:hideMark/>
          </w:tcPr>
          <w:p w:rsidRPr="007129C6" w:rsidR="00B52D66" w:rsidP="00A64D28" w:rsidRDefault="00B52D66" w14:paraId="110A072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100%</w:t>
            </w:r>
          </w:p>
        </w:tc>
      </w:tr>
    </w:tbl>
    <w:p w:rsidRPr="007129C6" w:rsidR="00B52D66" w:rsidP="00B52D66" w:rsidRDefault="00B52D66" w14:paraId="0CDCDBC3" w14:textId="77777777">
      <w:pPr>
        <w:pStyle w:val="SEOBron"/>
        <w:rPr>
          <w:rFonts w:ascii="Trebuchet MS" w:hAnsi="Trebuchet MS"/>
          <w:szCs w:val="18"/>
        </w:rPr>
      </w:pPr>
      <w:r w:rsidRPr="007129C6">
        <w:rPr>
          <w:rFonts w:ascii="Trebuchet MS" w:hAnsi="Trebuchet MS"/>
          <w:szCs w:val="18"/>
        </w:rPr>
        <w:t>Enquête programmaleiders STO (april 2025). % behoorlijk/veel.</w:t>
      </w:r>
    </w:p>
    <w:p w:rsidRPr="007129C6" w:rsidR="00B52D66" w:rsidP="00B52D66" w:rsidRDefault="00B52D66" w14:paraId="68E9BAD6" w14:textId="36E1709C">
      <w:pPr>
        <w:pStyle w:val="SEOStandaardBron"/>
        <w:rPr>
          <w:rFonts w:ascii="Trebuchet MS" w:hAnsi="Trebuchet MS"/>
          <w:sz w:val="18"/>
          <w:szCs w:val="18"/>
        </w:rPr>
      </w:pPr>
      <w:r w:rsidRPr="007129C6">
        <w:rPr>
          <w:rFonts w:ascii="Trebuchet MS" w:hAnsi="Trebuchet MS"/>
          <w:sz w:val="18"/>
          <w:szCs w:val="18"/>
        </w:rPr>
        <w:t xml:space="preserve">Tabel </w:t>
      </w:r>
      <w:r w:rsidR="00BE45A3">
        <w:rPr>
          <w:rFonts w:ascii="Trebuchet MS" w:hAnsi="Trebuchet MS"/>
          <w:sz w:val="18"/>
          <w:szCs w:val="18"/>
        </w:rPr>
        <w:t>B1</w:t>
      </w:r>
      <w:r w:rsidRPr="007129C6">
        <w:rPr>
          <w:rFonts w:ascii="Trebuchet MS" w:hAnsi="Trebuchet MS"/>
          <w:sz w:val="18"/>
          <w:szCs w:val="18"/>
        </w:rPr>
        <w:t>.</w:t>
      </w:r>
      <w:r w:rsidR="00BE45A3">
        <w:rPr>
          <w:rFonts w:ascii="Trebuchet MS" w:hAnsi="Trebuchet MS"/>
          <w:sz w:val="18"/>
          <w:szCs w:val="18"/>
        </w:rPr>
        <w:t>5</w:t>
      </w:r>
      <w:r w:rsidRPr="007129C6">
        <w:rPr>
          <w:rFonts w:ascii="Trebuchet MS" w:hAnsi="Trebuchet MS"/>
          <w:sz w:val="18"/>
          <w:szCs w:val="18"/>
        </w:rPr>
        <w:t xml:space="preserve"> Rapportcijfers voor impact van STO op verschillende aspecten (respons in 2021, 2024 en 2025, n=29)</w:t>
      </w:r>
    </w:p>
    <w:tbl>
      <w:tblPr>
        <w:tblStyle w:val="SEOTabel2"/>
        <w:tblW w:w="9919" w:type="dxa"/>
        <w:tblLayout w:type="fixed"/>
        <w:tblCellMar>
          <w:top w:w="0" w:type="dxa"/>
          <w:left w:w="0" w:type="dxa"/>
          <w:bottom w:w="0" w:type="dxa"/>
          <w:right w:w="0" w:type="dxa"/>
        </w:tblCellMar>
        <w:tblLook w:val="04A0" w:firstRow="1" w:lastRow="0" w:firstColumn="1" w:lastColumn="0" w:noHBand="0" w:noVBand="1"/>
      </w:tblPr>
      <w:tblGrid>
        <w:gridCol w:w="4819"/>
        <w:gridCol w:w="510"/>
        <w:gridCol w:w="510"/>
        <w:gridCol w:w="510"/>
        <w:gridCol w:w="510"/>
        <w:gridCol w:w="510"/>
        <w:gridCol w:w="510"/>
        <w:gridCol w:w="510"/>
        <w:gridCol w:w="510"/>
        <w:gridCol w:w="510"/>
        <w:gridCol w:w="510"/>
      </w:tblGrid>
      <w:tr w:rsidRPr="007129C6" w:rsidR="00881210" w:rsidTr="008B6365" w14:paraId="11CA1197" w14:textId="77777777">
        <w:trPr>
          <w:cnfStyle w:val="100000000000" w:firstRow="1" w:lastRow="0" w:firstColumn="0" w:lastColumn="0" w:oddVBand="0" w:evenVBand="0" w:oddHBand="0" w:evenHBand="0" w:firstRowFirstColumn="0" w:firstRowLastColumn="0" w:lastRowFirstColumn="0" w:lastRowLastColumn="0"/>
          <w:cantSplit/>
          <w:trHeight w:val="1531"/>
        </w:trPr>
        <w:tc>
          <w:tcPr>
            <w:cnfStyle w:val="001000000000" w:firstRow="0" w:lastRow="0" w:firstColumn="1" w:lastColumn="0" w:oddVBand="0" w:evenVBand="0" w:oddHBand="0" w:evenHBand="0" w:firstRowFirstColumn="0" w:firstRowLastColumn="0" w:lastRowFirstColumn="0" w:lastRowLastColumn="0"/>
            <w:tcW w:w="4819" w:type="dxa"/>
            <w:noWrap/>
            <w:vAlign w:val="center"/>
            <w:hideMark/>
          </w:tcPr>
          <w:p w:rsidRPr="007129C6" w:rsidR="00B52D66" w:rsidP="00881210" w:rsidRDefault="00B52D66" w14:paraId="69B187D8" w14:textId="77777777">
            <w:pPr>
              <w:pStyle w:val="SEOStandaard"/>
              <w:spacing w:line="240" w:lineRule="auto"/>
              <w:jc w:val="left"/>
              <w:rPr>
                <w:rFonts w:ascii="Trebuchet MS" w:hAnsi="Trebuchet MS"/>
                <w:b w:val="0"/>
                <w:bCs/>
                <w:color w:val="FFFFFF" w:themeColor="background1"/>
                <w:sz w:val="18"/>
                <w:szCs w:val="18"/>
              </w:rPr>
            </w:pPr>
            <w:r w:rsidRPr="007129C6">
              <w:rPr>
                <w:rFonts w:ascii="Trebuchet MS" w:hAnsi="Trebuchet MS"/>
                <w:bCs/>
                <w:color w:val="FFFFFF" w:themeColor="background1"/>
                <w:sz w:val="18"/>
                <w:szCs w:val="18"/>
              </w:rPr>
              <w:t>In hoeverre heeft STO in uw regio impact gehad op de volgende doelstellingen?</w:t>
            </w:r>
          </w:p>
        </w:tc>
        <w:tc>
          <w:tcPr>
            <w:tcW w:w="510" w:type="dxa"/>
            <w:noWrap/>
            <w:textDirection w:val="btLr"/>
            <w:vAlign w:val="center"/>
            <w:hideMark/>
          </w:tcPr>
          <w:p w:rsidRPr="007129C6" w:rsidR="00B52D66" w:rsidP="001D0957" w:rsidRDefault="00B52D66" w14:paraId="5AB55D15" w14:textId="77777777">
            <w:pPr>
              <w:pStyle w:val="SEOStandaard"/>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2025</w:t>
            </w:r>
          </w:p>
        </w:tc>
        <w:tc>
          <w:tcPr>
            <w:tcW w:w="510" w:type="dxa"/>
            <w:noWrap/>
            <w:textDirection w:val="btLr"/>
            <w:vAlign w:val="center"/>
            <w:hideMark/>
          </w:tcPr>
          <w:p w:rsidRPr="007129C6" w:rsidR="00B52D66" w:rsidP="001D0957" w:rsidRDefault="00B52D66" w14:paraId="7AC0D2E1" w14:textId="77777777">
            <w:pPr>
              <w:pStyle w:val="SEOStandaard"/>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2025</w:t>
            </w:r>
          </w:p>
        </w:tc>
        <w:tc>
          <w:tcPr>
            <w:tcW w:w="510" w:type="dxa"/>
            <w:noWrap/>
            <w:textDirection w:val="btLr"/>
            <w:vAlign w:val="center"/>
            <w:hideMark/>
          </w:tcPr>
          <w:p w:rsidRPr="007129C6" w:rsidR="00B52D66" w:rsidP="001D0957" w:rsidRDefault="00B52D66" w14:paraId="5267034A" w14:textId="77777777">
            <w:pPr>
              <w:pStyle w:val="SEOStandaard"/>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2024</w:t>
            </w:r>
          </w:p>
        </w:tc>
        <w:tc>
          <w:tcPr>
            <w:tcW w:w="510" w:type="dxa"/>
            <w:noWrap/>
            <w:textDirection w:val="btLr"/>
            <w:vAlign w:val="center"/>
            <w:hideMark/>
          </w:tcPr>
          <w:p w:rsidRPr="007129C6" w:rsidR="00B52D66" w:rsidP="001D0957" w:rsidRDefault="00B52D66" w14:paraId="54F609F8" w14:textId="77777777">
            <w:pPr>
              <w:pStyle w:val="SEOStandaard"/>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2024</w:t>
            </w:r>
          </w:p>
        </w:tc>
        <w:tc>
          <w:tcPr>
            <w:tcW w:w="510" w:type="dxa"/>
            <w:noWrap/>
            <w:textDirection w:val="btLr"/>
            <w:vAlign w:val="center"/>
            <w:hideMark/>
          </w:tcPr>
          <w:p w:rsidRPr="007129C6" w:rsidR="00B52D66" w:rsidP="001D0957" w:rsidRDefault="00B52D66" w14:paraId="7DE951FF" w14:textId="77777777">
            <w:pPr>
              <w:pStyle w:val="SEOStandaard"/>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2021</w:t>
            </w:r>
          </w:p>
        </w:tc>
        <w:tc>
          <w:tcPr>
            <w:tcW w:w="510" w:type="dxa"/>
            <w:noWrap/>
            <w:textDirection w:val="btLr"/>
            <w:vAlign w:val="center"/>
            <w:hideMark/>
          </w:tcPr>
          <w:p w:rsidRPr="007129C6" w:rsidR="00B52D66" w:rsidP="001D0957" w:rsidRDefault="00B52D66" w14:paraId="7AFB9AD8" w14:textId="77777777">
            <w:pPr>
              <w:pStyle w:val="SEOStandaard"/>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2021</w:t>
            </w:r>
          </w:p>
        </w:tc>
        <w:tc>
          <w:tcPr>
            <w:tcW w:w="510" w:type="dxa"/>
            <w:noWrap/>
            <w:textDirection w:val="btLr"/>
            <w:vAlign w:val="center"/>
            <w:hideMark/>
          </w:tcPr>
          <w:p w:rsidRPr="007129C6" w:rsidR="00B52D66" w:rsidP="001D0957" w:rsidRDefault="00B52D66" w14:paraId="21705060" w14:textId="77777777">
            <w:pPr>
              <w:pStyle w:val="SEOStandaard"/>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cijfer 2025 min cijfer 2024</w:t>
            </w:r>
          </w:p>
        </w:tc>
        <w:tc>
          <w:tcPr>
            <w:tcW w:w="510" w:type="dxa"/>
            <w:noWrap/>
            <w:textDirection w:val="btLr"/>
            <w:vAlign w:val="center"/>
            <w:hideMark/>
          </w:tcPr>
          <w:p w:rsidRPr="007129C6" w:rsidR="00B52D66" w:rsidP="001D0957" w:rsidRDefault="00B52D66" w14:paraId="6CC828BF" w14:textId="77777777">
            <w:pPr>
              <w:pStyle w:val="SEOStandaard"/>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cijfer 2025 min cijfer 2024</w:t>
            </w:r>
          </w:p>
        </w:tc>
        <w:tc>
          <w:tcPr>
            <w:tcW w:w="510" w:type="dxa"/>
            <w:noWrap/>
            <w:textDirection w:val="btLr"/>
            <w:vAlign w:val="center"/>
            <w:hideMark/>
          </w:tcPr>
          <w:p w:rsidRPr="007129C6" w:rsidR="00B52D66" w:rsidP="001D0957" w:rsidRDefault="00B52D66" w14:paraId="55D0183A" w14:textId="77777777">
            <w:pPr>
              <w:pStyle w:val="SEOStandaard"/>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cijfer 2025 min cijfer 2021</w:t>
            </w:r>
          </w:p>
        </w:tc>
        <w:tc>
          <w:tcPr>
            <w:tcW w:w="510" w:type="dxa"/>
            <w:noWrap/>
            <w:textDirection w:val="btLr"/>
            <w:vAlign w:val="center"/>
            <w:hideMark/>
          </w:tcPr>
          <w:p w:rsidRPr="007129C6" w:rsidR="00B52D66" w:rsidP="001D0957" w:rsidRDefault="00B52D66" w14:paraId="2B3E5831" w14:textId="77777777">
            <w:pPr>
              <w:pStyle w:val="SEOStandaard"/>
              <w:spacing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cijfer 2025 min cijfer 2021</w:t>
            </w:r>
          </w:p>
        </w:tc>
      </w:tr>
      <w:tr w:rsidRPr="007129C6" w:rsidR="004141C0" w:rsidTr="008B6365" w14:paraId="372DD38F" w14:textId="77777777">
        <w:trPr>
          <w:cantSplit/>
          <w:trHeight w:val="1304"/>
        </w:trPr>
        <w:tc>
          <w:tcPr>
            <w:cnfStyle w:val="001000000000" w:firstRow="0" w:lastRow="0" w:firstColumn="1" w:lastColumn="0" w:oddVBand="0" w:evenVBand="0" w:oddHBand="0" w:evenHBand="0" w:firstRowFirstColumn="0" w:firstRowLastColumn="0" w:lastRowFirstColumn="0" w:lastRowLastColumn="0"/>
            <w:tcW w:w="4819" w:type="dxa"/>
            <w:noWrap/>
            <w:vAlign w:val="center"/>
            <w:hideMark/>
          </w:tcPr>
          <w:p w:rsidRPr="007129C6" w:rsidR="00B52D66" w:rsidP="00881210" w:rsidRDefault="00B52D66" w14:paraId="101193C4"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Door STO..</w:t>
            </w:r>
          </w:p>
        </w:tc>
        <w:tc>
          <w:tcPr>
            <w:tcW w:w="510" w:type="dxa"/>
            <w:noWrap/>
            <w:textDirection w:val="btLr"/>
            <w:vAlign w:val="center"/>
            <w:hideMark/>
          </w:tcPr>
          <w:p w:rsidRPr="007129C6" w:rsidR="00B52D66" w:rsidP="006672EF" w:rsidRDefault="00B52D66" w14:paraId="0D5E8BBD" w14:textId="77777777">
            <w:pPr>
              <w:pStyle w:val="SEOStandaard"/>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Gemiddelde</w:t>
            </w:r>
          </w:p>
        </w:tc>
        <w:tc>
          <w:tcPr>
            <w:tcW w:w="510" w:type="dxa"/>
            <w:noWrap/>
            <w:textDirection w:val="btLr"/>
            <w:vAlign w:val="center"/>
            <w:hideMark/>
          </w:tcPr>
          <w:p w:rsidRPr="007129C6" w:rsidR="00B52D66" w:rsidP="006672EF" w:rsidRDefault="00B52D66" w14:paraId="7F239AB6" w14:textId="77777777">
            <w:pPr>
              <w:pStyle w:val="SEOStandaard"/>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 voldoende</w:t>
            </w:r>
          </w:p>
        </w:tc>
        <w:tc>
          <w:tcPr>
            <w:tcW w:w="510" w:type="dxa"/>
            <w:noWrap/>
            <w:textDirection w:val="btLr"/>
            <w:vAlign w:val="center"/>
            <w:hideMark/>
          </w:tcPr>
          <w:p w:rsidRPr="007129C6" w:rsidR="00B52D66" w:rsidP="006672EF" w:rsidRDefault="00B52D66" w14:paraId="13F33C25" w14:textId="77777777">
            <w:pPr>
              <w:pStyle w:val="SEOStandaard"/>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Gemiddelde</w:t>
            </w:r>
          </w:p>
        </w:tc>
        <w:tc>
          <w:tcPr>
            <w:tcW w:w="510" w:type="dxa"/>
            <w:noWrap/>
            <w:textDirection w:val="btLr"/>
            <w:vAlign w:val="center"/>
            <w:hideMark/>
          </w:tcPr>
          <w:p w:rsidRPr="007129C6" w:rsidR="00B52D66" w:rsidP="006672EF" w:rsidRDefault="00B52D66" w14:paraId="75570D03" w14:textId="77777777">
            <w:pPr>
              <w:pStyle w:val="SEOStandaard"/>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 voldoende</w:t>
            </w:r>
          </w:p>
        </w:tc>
        <w:tc>
          <w:tcPr>
            <w:tcW w:w="510" w:type="dxa"/>
            <w:noWrap/>
            <w:textDirection w:val="btLr"/>
            <w:vAlign w:val="center"/>
            <w:hideMark/>
          </w:tcPr>
          <w:p w:rsidRPr="007129C6" w:rsidR="00B52D66" w:rsidP="006672EF" w:rsidRDefault="00B52D66" w14:paraId="279B276C" w14:textId="77777777">
            <w:pPr>
              <w:pStyle w:val="SEOStandaard"/>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Gemiddelde</w:t>
            </w:r>
          </w:p>
        </w:tc>
        <w:tc>
          <w:tcPr>
            <w:tcW w:w="510" w:type="dxa"/>
            <w:noWrap/>
            <w:textDirection w:val="btLr"/>
            <w:vAlign w:val="center"/>
            <w:hideMark/>
          </w:tcPr>
          <w:p w:rsidRPr="007129C6" w:rsidR="00B52D66" w:rsidP="006672EF" w:rsidRDefault="00B52D66" w14:paraId="0644337A" w14:textId="77777777">
            <w:pPr>
              <w:pStyle w:val="SEOStandaard"/>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 voldoende</w:t>
            </w:r>
          </w:p>
        </w:tc>
        <w:tc>
          <w:tcPr>
            <w:tcW w:w="510" w:type="dxa"/>
            <w:noWrap/>
            <w:textDirection w:val="btLr"/>
            <w:vAlign w:val="center"/>
            <w:hideMark/>
          </w:tcPr>
          <w:p w:rsidRPr="007129C6" w:rsidR="00B52D66" w:rsidP="006672EF" w:rsidRDefault="00B52D66" w14:paraId="01778F9D" w14:textId="77777777">
            <w:pPr>
              <w:pStyle w:val="SEOStandaard"/>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 2 of meer punten hoger</w:t>
            </w:r>
          </w:p>
        </w:tc>
        <w:tc>
          <w:tcPr>
            <w:tcW w:w="510" w:type="dxa"/>
            <w:noWrap/>
            <w:textDirection w:val="btLr"/>
            <w:vAlign w:val="center"/>
            <w:hideMark/>
          </w:tcPr>
          <w:p w:rsidRPr="007129C6" w:rsidR="00B52D66" w:rsidP="006672EF" w:rsidRDefault="00B52D66" w14:paraId="62CD27AA" w14:textId="77777777">
            <w:pPr>
              <w:pStyle w:val="SEOStandaard"/>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 2 of meer punten lager</w:t>
            </w:r>
          </w:p>
        </w:tc>
        <w:tc>
          <w:tcPr>
            <w:tcW w:w="510" w:type="dxa"/>
            <w:noWrap/>
            <w:textDirection w:val="btLr"/>
            <w:vAlign w:val="center"/>
            <w:hideMark/>
          </w:tcPr>
          <w:p w:rsidRPr="007129C6" w:rsidR="00B52D66" w:rsidP="006672EF" w:rsidRDefault="00B52D66" w14:paraId="73779659" w14:textId="77777777">
            <w:pPr>
              <w:pStyle w:val="SEOStandaard"/>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 2 of meer punten hoger</w:t>
            </w:r>
          </w:p>
        </w:tc>
        <w:tc>
          <w:tcPr>
            <w:tcW w:w="510" w:type="dxa"/>
            <w:noWrap/>
            <w:textDirection w:val="btLr"/>
            <w:vAlign w:val="center"/>
            <w:hideMark/>
          </w:tcPr>
          <w:p w:rsidRPr="007129C6" w:rsidR="00B52D66" w:rsidP="006672EF" w:rsidRDefault="00B52D66" w14:paraId="4DCFC7B9" w14:textId="77777777">
            <w:pPr>
              <w:pStyle w:val="SEOStandaard"/>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 2 of meer punten lager</w:t>
            </w:r>
          </w:p>
        </w:tc>
      </w:tr>
      <w:tr w:rsidRPr="007129C6" w:rsidR="004141C0" w:rsidTr="008B6365" w14:paraId="6D96D6EA" w14:textId="77777777">
        <w:trPr>
          <w:trHeight w:val="20"/>
        </w:trPr>
        <w:tc>
          <w:tcPr>
            <w:cnfStyle w:val="001000000000" w:firstRow="0" w:lastRow="0" w:firstColumn="1" w:lastColumn="0" w:oddVBand="0" w:evenVBand="0" w:oddHBand="0" w:evenHBand="0" w:firstRowFirstColumn="0" w:firstRowLastColumn="0" w:lastRowFirstColumn="0" w:lastRowLastColumn="0"/>
            <w:tcW w:w="4819" w:type="dxa"/>
            <w:noWrap/>
            <w:hideMark/>
          </w:tcPr>
          <w:p w:rsidRPr="007129C6" w:rsidR="00B52D66" w:rsidP="00B52D66" w:rsidRDefault="00B52D66" w14:paraId="7419D622"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 xml:space="preserve"> verschuiving van denken in indiv. schoolbelangen naar regiobelang</w:t>
            </w:r>
          </w:p>
        </w:tc>
        <w:tc>
          <w:tcPr>
            <w:tcW w:w="510" w:type="dxa"/>
            <w:noWrap/>
            <w:vAlign w:val="center"/>
            <w:hideMark/>
          </w:tcPr>
          <w:p w:rsidRPr="007129C6" w:rsidR="00B52D66" w:rsidP="00A92EDF" w:rsidRDefault="00B52D66" w14:paraId="1E38D79B"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6,7</w:t>
            </w:r>
          </w:p>
        </w:tc>
        <w:tc>
          <w:tcPr>
            <w:tcW w:w="510" w:type="dxa"/>
            <w:noWrap/>
            <w:vAlign w:val="center"/>
            <w:hideMark/>
          </w:tcPr>
          <w:p w:rsidRPr="007129C6" w:rsidR="00B52D66" w:rsidP="00A92EDF" w:rsidRDefault="00B52D66" w14:paraId="05B41587"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66%</w:t>
            </w:r>
          </w:p>
        </w:tc>
        <w:tc>
          <w:tcPr>
            <w:tcW w:w="510" w:type="dxa"/>
            <w:noWrap/>
            <w:vAlign w:val="center"/>
            <w:hideMark/>
          </w:tcPr>
          <w:p w:rsidRPr="007129C6" w:rsidR="00B52D66" w:rsidP="00A92EDF" w:rsidRDefault="00B52D66" w14:paraId="68AA82B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7,5</w:t>
            </w:r>
          </w:p>
        </w:tc>
        <w:tc>
          <w:tcPr>
            <w:tcW w:w="510" w:type="dxa"/>
            <w:noWrap/>
            <w:vAlign w:val="center"/>
            <w:hideMark/>
          </w:tcPr>
          <w:p w:rsidRPr="007129C6" w:rsidR="00B52D66" w:rsidP="00A92EDF" w:rsidRDefault="00B52D66" w14:paraId="7065291A"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90%*</w:t>
            </w:r>
          </w:p>
        </w:tc>
        <w:tc>
          <w:tcPr>
            <w:tcW w:w="510" w:type="dxa"/>
            <w:noWrap/>
            <w:vAlign w:val="center"/>
            <w:hideMark/>
          </w:tcPr>
          <w:p w:rsidRPr="007129C6" w:rsidR="00B52D66" w:rsidP="00A92EDF" w:rsidRDefault="00B52D66" w14:paraId="73E6B1FE"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7,5</w:t>
            </w:r>
          </w:p>
        </w:tc>
        <w:tc>
          <w:tcPr>
            <w:tcW w:w="510" w:type="dxa"/>
            <w:noWrap/>
            <w:vAlign w:val="center"/>
            <w:hideMark/>
          </w:tcPr>
          <w:p w:rsidRPr="007129C6" w:rsidR="00B52D66" w:rsidP="00A92EDF" w:rsidRDefault="00B52D66" w14:paraId="74475EAC"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90%*</w:t>
            </w:r>
          </w:p>
        </w:tc>
        <w:tc>
          <w:tcPr>
            <w:tcW w:w="510" w:type="dxa"/>
            <w:noWrap/>
            <w:vAlign w:val="center"/>
            <w:hideMark/>
          </w:tcPr>
          <w:p w:rsidRPr="007129C6" w:rsidR="00B52D66" w:rsidP="00A92EDF" w:rsidRDefault="00B52D66" w14:paraId="7107E0FF"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14%</w:t>
            </w:r>
          </w:p>
        </w:tc>
        <w:tc>
          <w:tcPr>
            <w:tcW w:w="510" w:type="dxa"/>
            <w:noWrap/>
            <w:vAlign w:val="center"/>
            <w:hideMark/>
          </w:tcPr>
          <w:p w:rsidRPr="007129C6" w:rsidR="00B52D66" w:rsidP="00A92EDF" w:rsidRDefault="00B52D66" w14:paraId="564F81DC"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34%</w:t>
            </w:r>
          </w:p>
        </w:tc>
        <w:tc>
          <w:tcPr>
            <w:tcW w:w="510" w:type="dxa"/>
            <w:noWrap/>
            <w:vAlign w:val="center"/>
            <w:hideMark/>
          </w:tcPr>
          <w:p w:rsidRPr="007129C6" w:rsidR="00B52D66" w:rsidP="00A92EDF" w:rsidRDefault="00B52D66" w14:paraId="4335AC1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w:t>
            </w:r>
          </w:p>
        </w:tc>
        <w:tc>
          <w:tcPr>
            <w:tcW w:w="510" w:type="dxa"/>
            <w:noWrap/>
            <w:vAlign w:val="center"/>
            <w:hideMark/>
          </w:tcPr>
          <w:p w:rsidRPr="007129C6" w:rsidR="00B52D66" w:rsidP="00A92EDF" w:rsidRDefault="00B52D66" w14:paraId="7D16C52A"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31%</w:t>
            </w:r>
          </w:p>
        </w:tc>
      </w:tr>
      <w:tr w:rsidRPr="007129C6" w:rsidR="004141C0" w:rsidTr="008B6365" w14:paraId="364D2932" w14:textId="77777777">
        <w:trPr>
          <w:trHeight w:val="20"/>
        </w:trPr>
        <w:tc>
          <w:tcPr>
            <w:cnfStyle w:val="001000000000" w:firstRow="0" w:lastRow="0" w:firstColumn="1" w:lastColumn="0" w:oddVBand="0" w:evenVBand="0" w:oddHBand="0" w:evenHBand="0" w:firstRowFirstColumn="0" w:firstRowLastColumn="0" w:lastRowFirstColumn="0" w:lastRowLastColumn="0"/>
            <w:tcW w:w="4819" w:type="dxa"/>
            <w:noWrap/>
            <w:hideMark/>
          </w:tcPr>
          <w:p w:rsidRPr="007129C6" w:rsidR="00B52D66" w:rsidP="00B52D66" w:rsidRDefault="00B52D66" w14:paraId="4EBFB62F"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 xml:space="preserve"> afspraken gemaakt over verdeling en gezamenlijke benutting faciliteiten</w:t>
            </w:r>
          </w:p>
        </w:tc>
        <w:tc>
          <w:tcPr>
            <w:tcW w:w="510" w:type="dxa"/>
            <w:noWrap/>
            <w:vAlign w:val="center"/>
            <w:hideMark/>
          </w:tcPr>
          <w:p w:rsidRPr="007129C6" w:rsidR="00B52D66" w:rsidP="00A92EDF" w:rsidRDefault="00B52D66" w14:paraId="2BBD078F"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5,8</w:t>
            </w:r>
          </w:p>
        </w:tc>
        <w:tc>
          <w:tcPr>
            <w:tcW w:w="510" w:type="dxa"/>
            <w:noWrap/>
            <w:vAlign w:val="center"/>
            <w:hideMark/>
          </w:tcPr>
          <w:p w:rsidRPr="007129C6" w:rsidR="00B52D66" w:rsidP="00A92EDF" w:rsidRDefault="00B52D66" w14:paraId="0DD7D4AA"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59%</w:t>
            </w:r>
          </w:p>
        </w:tc>
        <w:tc>
          <w:tcPr>
            <w:tcW w:w="510" w:type="dxa"/>
            <w:noWrap/>
            <w:vAlign w:val="center"/>
            <w:hideMark/>
          </w:tcPr>
          <w:p w:rsidRPr="007129C6" w:rsidR="00B52D66" w:rsidP="00A92EDF" w:rsidRDefault="00B52D66" w14:paraId="2C063DD3"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7,0*</w:t>
            </w:r>
          </w:p>
        </w:tc>
        <w:tc>
          <w:tcPr>
            <w:tcW w:w="510" w:type="dxa"/>
            <w:noWrap/>
            <w:vAlign w:val="center"/>
            <w:hideMark/>
          </w:tcPr>
          <w:p w:rsidRPr="007129C6" w:rsidR="00B52D66" w:rsidP="00A92EDF" w:rsidRDefault="00B52D66" w14:paraId="067E86BF"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83%*</w:t>
            </w:r>
          </w:p>
        </w:tc>
        <w:tc>
          <w:tcPr>
            <w:tcW w:w="510" w:type="dxa"/>
            <w:noWrap/>
            <w:vAlign w:val="center"/>
            <w:hideMark/>
          </w:tcPr>
          <w:p w:rsidRPr="007129C6" w:rsidR="00B52D66" w:rsidP="00A92EDF" w:rsidRDefault="00B52D66" w14:paraId="3F03FE9D"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7,3*</w:t>
            </w:r>
          </w:p>
        </w:tc>
        <w:tc>
          <w:tcPr>
            <w:tcW w:w="510" w:type="dxa"/>
            <w:noWrap/>
            <w:vAlign w:val="center"/>
            <w:hideMark/>
          </w:tcPr>
          <w:p w:rsidRPr="007129C6" w:rsidR="00B52D66" w:rsidP="00A92EDF" w:rsidRDefault="00B52D66" w14:paraId="174BB3D7"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97%*</w:t>
            </w:r>
          </w:p>
        </w:tc>
        <w:tc>
          <w:tcPr>
            <w:tcW w:w="510" w:type="dxa"/>
            <w:noWrap/>
            <w:vAlign w:val="center"/>
            <w:hideMark/>
          </w:tcPr>
          <w:p w:rsidRPr="007129C6" w:rsidR="00B52D66" w:rsidP="00A92EDF" w:rsidRDefault="00B52D66" w14:paraId="4E3EFAAC"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10%</w:t>
            </w:r>
          </w:p>
        </w:tc>
        <w:tc>
          <w:tcPr>
            <w:tcW w:w="510" w:type="dxa"/>
            <w:noWrap/>
            <w:vAlign w:val="center"/>
            <w:hideMark/>
          </w:tcPr>
          <w:p w:rsidRPr="007129C6" w:rsidR="00B52D66" w:rsidP="00A92EDF" w:rsidRDefault="00B52D66" w14:paraId="612381D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45%</w:t>
            </w:r>
          </w:p>
        </w:tc>
        <w:tc>
          <w:tcPr>
            <w:tcW w:w="510" w:type="dxa"/>
            <w:noWrap/>
            <w:vAlign w:val="center"/>
            <w:hideMark/>
          </w:tcPr>
          <w:p w:rsidRPr="007129C6" w:rsidR="00B52D66" w:rsidP="00A92EDF" w:rsidRDefault="00B52D66" w14:paraId="2A38B10E"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10%</w:t>
            </w:r>
          </w:p>
        </w:tc>
        <w:tc>
          <w:tcPr>
            <w:tcW w:w="510" w:type="dxa"/>
            <w:noWrap/>
            <w:vAlign w:val="center"/>
            <w:hideMark/>
          </w:tcPr>
          <w:p w:rsidRPr="007129C6" w:rsidR="00B52D66" w:rsidP="00A92EDF" w:rsidRDefault="00B52D66" w14:paraId="5BED366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34%</w:t>
            </w:r>
          </w:p>
        </w:tc>
      </w:tr>
      <w:tr w:rsidRPr="007129C6" w:rsidR="004141C0" w:rsidTr="008B6365" w14:paraId="33F8A170" w14:textId="77777777">
        <w:trPr>
          <w:trHeight w:val="20"/>
        </w:trPr>
        <w:tc>
          <w:tcPr>
            <w:cnfStyle w:val="001000000000" w:firstRow="0" w:lastRow="0" w:firstColumn="1" w:lastColumn="0" w:oddVBand="0" w:evenVBand="0" w:oddHBand="0" w:evenHBand="0" w:firstRowFirstColumn="0" w:firstRowLastColumn="0" w:lastRowFirstColumn="0" w:lastRowLastColumn="0"/>
            <w:tcW w:w="4819" w:type="dxa"/>
            <w:noWrap/>
            <w:hideMark/>
          </w:tcPr>
          <w:p w:rsidRPr="007129C6" w:rsidR="00B52D66" w:rsidP="00B52D66" w:rsidRDefault="00B52D66" w14:paraId="49322ED7"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 xml:space="preserve"> voelen techniekdocenten in het vmbo zich erkend en gewaardeerd</w:t>
            </w:r>
          </w:p>
        </w:tc>
        <w:tc>
          <w:tcPr>
            <w:tcW w:w="510" w:type="dxa"/>
            <w:noWrap/>
            <w:vAlign w:val="center"/>
            <w:hideMark/>
          </w:tcPr>
          <w:p w:rsidRPr="007129C6" w:rsidR="00B52D66" w:rsidP="00A92EDF" w:rsidRDefault="00B52D66" w14:paraId="253BD97B"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6,8</w:t>
            </w:r>
          </w:p>
        </w:tc>
        <w:tc>
          <w:tcPr>
            <w:tcW w:w="510" w:type="dxa"/>
            <w:noWrap/>
            <w:vAlign w:val="center"/>
            <w:hideMark/>
          </w:tcPr>
          <w:p w:rsidRPr="007129C6" w:rsidR="00B52D66" w:rsidP="00A92EDF" w:rsidRDefault="00B52D66" w14:paraId="0413025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76%</w:t>
            </w:r>
          </w:p>
        </w:tc>
        <w:tc>
          <w:tcPr>
            <w:tcW w:w="510" w:type="dxa"/>
            <w:noWrap/>
            <w:vAlign w:val="center"/>
            <w:hideMark/>
          </w:tcPr>
          <w:p w:rsidRPr="007129C6" w:rsidR="00B52D66" w:rsidP="00A92EDF" w:rsidRDefault="00B52D66" w14:paraId="684CFE4B"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7,4</w:t>
            </w:r>
          </w:p>
        </w:tc>
        <w:tc>
          <w:tcPr>
            <w:tcW w:w="510" w:type="dxa"/>
            <w:noWrap/>
            <w:vAlign w:val="center"/>
            <w:hideMark/>
          </w:tcPr>
          <w:p w:rsidRPr="007129C6" w:rsidR="00B52D66" w:rsidP="00A92EDF" w:rsidRDefault="00B52D66" w14:paraId="6CC482C6"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97%*</w:t>
            </w:r>
          </w:p>
        </w:tc>
        <w:tc>
          <w:tcPr>
            <w:tcW w:w="510" w:type="dxa"/>
            <w:noWrap/>
            <w:vAlign w:val="center"/>
            <w:hideMark/>
          </w:tcPr>
          <w:p w:rsidRPr="007129C6" w:rsidR="00B52D66" w:rsidP="00A92EDF" w:rsidRDefault="00B52D66" w14:paraId="49D9C59D"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7,4</w:t>
            </w:r>
          </w:p>
        </w:tc>
        <w:tc>
          <w:tcPr>
            <w:tcW w:w="510" w:type="dxa"/>
            <w:noWrap/>
            <w:vAlign w:val="center"/>
            <w:hideMark/>
          </w:tcPr>
          <w:p w:rsidRPr="007129C6" w:rsidR="00B52D66" w:rsidP="00A92EDF" w:rsidRDefault="00B52D66" w14:paraId="427EF03A"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90%</w:t>
            </w:r>
          </w:p>
        </w:tc>
        <w:tc>
          <w:tcPr>
            <w:tcW w:w="510" w:type="dxa"/>
            <w:noWrap/>
            <w:vAlign w:val="center"/>
            <w:hideMark/>
          </w:tcPr>
          <w:p w:rsidRPr="007129C6" w:rsidR="00B52D66" w:rsidP="00A92EDF" w:rsidRDefault="00B52D66" w14:paraId="1AD2B2E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w:t>
            </w:r>
          </w:p>
        </w:tc>
        <w:tc>
          <w:tcPr>
            <w:tcW w:w="510" w:type="dxa"/>
            <w:noWrap/>
            <w:vAlign w:val="center"/>
            <w:hideMark/>
          </w:tcPr>
          <w:p w:rsidRPr="007129C6" w:rsidR="00B52D66" w:rsidP="00A92EDF" w:rsidRDefault="00B52D66" w14:paraId="2025BC2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24%</w:t>
            </w:r>
          </w:p>
        </w:tc>
        <w:tc>
          <w:tcPr>
            <w:tcW w:w="510" w:type="dxa"/>
            <w:noWrap/>
            <w:vAlign w:val="center"/>
            <w:hideMark/>
          </w:tcPr>
          <w:p w:rsidRPr="007129C6" w:rsidR="00B52D66" w:rsidP="00A92EDF" w:rsidRDefault="00B52D66" w14:paraId="62B01083"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w:t>
            </w:r>
          </w:p>
        </w:tc>
        <w:tc>
          <w:tcPr>
            <w:tcW w:w="510" w:type="dxa"/>
            <w:noWrap/>
            <w:vAlign w:val="center"/>
            <w:hideMark/>
          </w:tcPr>
          <w:p w:rsidRPr="007129C6" w:rsidR="00B52D66" w:rsidP="00A92EDF" w:rsidRDefault="00B52D66" w14:paraId="1776647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28%</w:t>
            </w:r>
          </w:p>
        </w:tc>
      </w:tr>
      <w:tr w:rsidRPr="007129C6" w:rsidR="004141C0" w:rsidTr="008B6365" w14:paraId="1CF98F74" w14:textId="77777777">
        <w:trPr>
          <w:trHeight w:val="20"/>
        </w:trPr>
        <w:tc>
          <w:tcPr>
            <w:cnfStyle w:val="001000000000" w:firstRow="0" w:lastRow="0" w:firstColumn="1" w:lastColumn="0" w:oddVBand="0" w:evenVBand="0" w:oddHBand="0" w:evenHBand="0" w:firstRowFirstColumn="0" w:firstRowLastColumn="0" w:lastRowFirstColumn="0" w:lastRowLastColumn="0"/>
            <w:tcW w:w="4819" w:type="dxa"/>
            <w:noWrap/>
            <w:hideMark/>
          </w:tcPr>
          <w:p w:rsidRPr="007129C6" w:rsidR="00B52D66" w:rsidP="00B52D66" w:rsidRDefault="00B52D66" w14:paraId="645623B8"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 xml:space="preserve"> is er meer waardering voor het vmbo in het algemeen</w:t>
            </w:r>
          </w:p>
        </w:tc>
        <w:tc>
          <w:tcPr>
            <w:tcW w:w="510" w:type="dxa"/>
            <w:noWrap/>
            <w:vAlign w:val="center"/>
            <w:hideMark/>
          </w:tcPr>
          <w:p w:rsidRPr="007129C6" w:rsidR="00B52D66" w:rsidP="00A92EDF" w:rsidRDefault="00B52D66" w14:paraId="57A54879"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6,3</w:t>
            </w:r>
          </w:p>
        </w:tc>
        <w:tc>
          <w:tcPr>
            <w:tcW w:w="510" w:type="dxa"/>
            <w:noWrap/>
            <w:vAlign w:val="center"/>
            <w:hideMark/>
          </w:tcPr>
          <w:p w:rsidRPr="007129C6" w:rsidR="00B52D66" w:rsidP="00A92EDF" w:rsidRDefault="00B52D66" w14:paraId="7ADA22BE"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62%</w:t>
            </w:r>
          </w:p>
        </w:tc>
        <w:tc>
          <w:tcPr>
            <w:tcW w:w="510" w:type="dxa"/>
            <w:noWrap/>
            <w:vAlign w:val="center"/>
            <w:hideMark/>
          </w:tcPr>
          <w:p w:rsidRPr="007129C6" w:rsidR="00B52D66" w:rsidP="00A92EDF" w:rsidRDefault="00B52D66" w14:paraId="1D73DC9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7,6*</w:t>
            </w:r>
          </w:p>
        </w:tc>
        <w:tc>
          <w:tcPr>
            <w:tcW w:w="510" w:type="dxa"/>
            <w:noWrap/>
            <w:vAlign w:val="center"/>
            <w:hideMark/>
          </w:tcPr>
          <w:p w:rsidRPr="007129C6" w:rsidR="00B52D66" w:rsidP="00A92EDF" w:rsidRDefault="00B52D66" w14:paraId="00E2799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93%*</w:t>
            </w:r>
          </w:p>
        </w:tc>
        <w:tc>
          <w:tcPr>
            <w:tcW w:w="510" w:type="dxa"/>
            <w:noWrap/>
            <w:vAlign w:val="center"/>
            <w:hideMark/>
          </w:tcPr>
          <w:p w:rsidRPr="007129C6" w:rsidR="00B52D66" w:rsidP="00A92EDF" w:rsidRDefault="00B52D66" w14:paraId="0B5EEBC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7,1</w:t>
            </w:r>
          </w:p>
        </w:tc>
        <w:tc>
          <w:tcPr>
            <w:tcW w:w="510" w:type="dxa"/>
            <w:noWrap/>
            <w:vAlign w:val="center"/>
            <w:hideMark/>
          </w:tcPr>
          <w:p w:rsidRPr="007129C6" w:rsidR="00B52D66" w:rsidP="00A92EDF" w:rsidRDefault="00B52D66" w14:paraId="5386D51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90%*</w:t>
            </w:r>
          </w:p>
        </w:tc>
        <w:tc>
          <w:tcPr>
            <w:tcW w:w="510" w:type="dxa"/>
            <w:noWrap/>
            <w:vAlign w:val="center"/>
            <w:hideMark/>
          </w:tcPr>
          <w:p w:rsidRPr="007129C6" w:rsidR="00B52D66" w:rsidP="00A92EDF" w:rsidRDefault="00B52D66" w14:paraId="76A94BAC"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3%</w:t>
            </w:r>
          </w:p>
        </w:tc>
        <w:tc>
          <w:tcPr>
            <w:tcW w:w="510" w:type="dxa"/>
            <w:noWrap/>
            <w:vAlign w:val="center"/>
            <w:hideMark/>
          </w:tcPr>
          <w:p w:rsidRPr="007129C6" w:rsidR="00B52D66" w:rsidP="00A92EDF" w:rsidRDefault="00B52D66" w14:paraId="57C9011D"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45%</w:t>
            </w:r>
          </w:p>
        </w:tc>
        <w:tc>
          <w:tcPr>
            <w:tcW w:w="510" w:type="dxa"/>
            <w:noWrap/>
            <w:vAlign w:val="center"/>
            <w:hideMark/>
          </w:tcPr>
          <w:p w:rsidRPr="007129C6" w:rsidR="00B52D66" w:rsidP="00A92EDF" w:rsidRDefault="00B52D66" w14:paraId="553CAAA6"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14%</w:t>
            </w:r>
          </w:p>
        </w:tc>
        <w:tc>
          <w:tcPr>
            <w:tcW w:w="510" w:type="dxa"/>
            <w:noWrap/>
            <w:vAlign w:val="center"/>
            <w:hideMark/>
          </w:tcPr>
          <w:p w:rsidRPr="007129C6" w:rsidR="00B52D66" w:rsidP="00A92EDF" w:rsidRDefault="00B52D66" w14:paraId="136B787A"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41%</w:t>
            </w:r>
          </w:p>
        </w:tc>
      </w:tr>
      <w:tr w:rsidRPr="007129C6" w:rsidR="004141C0" w:rsidTr="008B6365" w14:paraId="413D3D1E" w14:textId="77777777">
        <w:trPr>
          <w:trHeight w:val="20"/>
        </w:trPr>
        <w:tc>
          <w:tcPr>
            <w:cnfStyle w:val="001000000000" w:firstRow="0" w:lastRow="0" w:firstColumn="1" w:lastColumn="0" w:oddVBand="0" w:evenVBand="0" w:oddHBand="0" w:evenHBand="0" w:firstRowFirstColumn="0" w:firstRowLastColumn="0" w:lastRowFirstColumn="0" w:lastRowLastColumn="0"/>
            <w:tcW w:w="4819" w:type="dxa"/>
            <w:noWrap/>
            <w:hideMark/>
          </w:tcPr>
          <w:p w:rsidRPr="007129C6" w:rsidR="00B52D66" w:rsidP="00B52D66" w:rsidRDefault="00B52D66" w14:paraId="2D011249"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 xml:space="preserve"> weten de partijen in de regio elkaar beter te vinden</w:t>
            </w:r>
          </w:p>
        </w:tc>
        <w:tc>
          <w:tcPr>
            <w:tcW w:w="510" w:type="dxa"/>
            <w:noWrap/>
            <w:vAlign w:val="center"/>
            <w:hideMark/>
          </w:tcPr>
          <w:p w:rsidRPr="007129C6" w:rsidR="00B52D66" w:rsidP="00A92EDF" w:rsidRDefault="00B52D66" w14:paraId="1D27366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8,2</w:t>
            </w:r>
          </w:p>
        </w:tc>
        <w:tc>
          <w:tcPr>
            <w:tcW w:w="510" w:type="dxa"/>
            <w:noWrap/>
            <w:vAlign w:val="center"/>
            <w:hideMark/>
          </w:tcPr>
          <w:p w:rsidRPr="007129C6" w:rsidR="00B52D66" w:rsidP="00A92EDF" w:rsidRDefault="00B52D66" w14:paraId="045E52D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97%</w:t>
            </w:r>
          </w:p>
        </w:tc>
        <w:tc>
          <w:tcPr>
            <w:tcW w:w="510" w:type="dxa"/>
            <w:noWrap/>
            <w:vAlign w:val="center"/>
            <w:hideMark/>
          </w:tcPr>
          <w:p w:rsidRPr="007129C6" w:rsidR="00B52D66" w:rsidP="00A92EDF" w:rsidRDefault="00B52D66" w14:paraId="319C40D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8,2</w:t>
            </w:r>
          </w:p>
        </w:tc>
        <w:tc>
          <w:tcPr>
            <w:tcW w:w="510" w:type="dxa"/>
            <w:noWrap/>
            <w:vAlign w:val="center"/>
            <w:hideMark/>
          </w:tcPr>
          <w:p w:rsidRPr="007129C6" w:rsidR="00B52D66" w:rsidP="00A92EDF" w:rsidRDefault="00B52D66" w14:paraId="5270704A"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100%</w:t>
            </w:r>
          </w:p>
        </w:tc>
        <w:tc>
          <w:tcPr>
            <w:tcW w:w="510" w:type="dxa"/>
            <w:noWrap/>
            <w:vAlign w:val="center"/>
            <w:hideMark/>
          </w:tcPr>
          <w:p w:rsidRPr="007129C6" w:rsidR="00B52D66" w:rsidP="00A92EDF" w:rsidRDefault="00B52D66" w14:paraId="3E90AE36"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8,2</w:t>
            </w:r>
          </w:p>
        </w:tc>
        <w:tc>
          <w:tcPr>
            <w:tcW w:w="510" w:type="dxa"/>
            <w:noWrap/>
            <w:vAlign w:val="center"/>
            <w:hideMark/>
          </w:tcPr>
          <w:p w:rsidRPr="007129C6" w:rsidR="00B52D66" w:rsidP="00A92EDF" w:rsidRDefault="00B52D66" w14:paraId="4F781399"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100%</w:t>
            </w:r>
          </w:p>
        </w:tc>
        <w:tc>
          <w:tcPr>
            <w:tcW w:w="510" w:type="dxa"/>
            <w:noWrap/>
            <w:vAlign w:val="center"/>
            <w:hideMark/>
          </w:tcPr>
          <w:p w:rsidRPr="007129C6" w:rsidR="00B52D66" w:rsidP="00A92EDF" w:rsidRDefault="00B52D66" w14:paraId="4C94C772"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w:t>
            </w:r>
          </w:p>
        </w:tc>
        <w:tc>
          <w:tcPr>
            <w:tcW w:w="510" w:type="dxa"/>
            <w:noWrap/>
            <w:vAlign w:val="center"/>
            <w:hideMark/>
          </w:tcPr>
          <w:p w:rsidRPr="007129C6" w:rsidR="00B52D66" w:rsidP="00A92EDF" w:rsidRDefault="00B52D66" w14:paraId="02B44BB7"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10%</w:t>
            </w:r>
          </w:p>
        </w:tc>
        <w:tc>
          <w:tcPr>
            <w:tcW w:w="510" w:type="dxa"/>
            <w:noWrap/>
            <w:vAlign w:val="center"/>
            <w:hideMark/>
          </w:tcPr>
          <w:p w:rsidRPr="007129C6" w:rsidR="00B52D66" w:rsidP="00A92EDF" w:rsidRDefault="00B52D66" w14:paraId="59C96327"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10%</w:t>
            </w:r>
          </w:p>
        </w:tc>
        <w:tc>
          <w:tcPr>
            <w:tcW w:w="510" w:type="dxa"/>
            <w:noWrap/>
            <w:vAlign w:val="center"/>
            <w:hideMark/>
          </w:tcPr>
          <w:p w:rsidRPr="007129C6" w:rsidR="00B52D66" w:rsidP="00A92EDF" w:rsidRDefault="00B52D66" w14:paraId="1DEDA77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10%</w:t>
            </w:r>
          </w:p>
        </w:tc>
      </w:tr>
      <w:tr w:rsidRPr="007129C6" w:rsidR="004141C0" w:rsidTr="008B6365" w14:paraId="50E5F5BC" w14:textId="77777777">
        <w:trPr>
          <w:trHeight w:val="20"/>
        </w:trPr>
        <w:tc>
          <w:tcPr>
            <w:cnfStyle w:val="001000000000" w:firstRow="0" w:lastRow="0" w:firstColumn="1" w:lastColumn="0" w:oddVBand="0" w:evenVBand="0" w:oddHBand="0" w:evenHBand="0" w:firstRowFirstColumn="0" w:firstRowLastColumn="0" w:lastRowFirstColumn="0" w:lastRowLastColumn="0"/>
            <w:tcW w:w="4819" w:type="dxa"/>
            <w:noWrap/>
            <w:hideMark/>
          </w:tcPr>
          <w:p w:rsidRPr="007129C6" w:rsidR="00B52D66" w:rsidP="00B52D66" w:rsidRDefault="00B52D66" w14:paraId="655E8209"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 xml:space="preserve"> meer samenhang in bestaande initiatieven en projecten ohgv techniek</w:t>
            </w:r>
          </w:p>
        </w:tc>
        <w:tc>
          <w:tcPr>
            <w:tcW w:w="510" w:type="dxa"/>
            <w:noWrap/>
            <w:vAlign w:val="center"/>
            <w:hideMark/>
          </w:tcPr>
          <w:p w:rsidRPr="007129C6" w:rsidR="00B52D66" w:rsidP="00A92EDF" w:rsidRDefault="00B52D66" w14:paraId="75AF80D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7,6</w:t>
            </w:r>
          </w:p>
        </w:tc>
        <w:tc>
          <w:tcPr>
            <w:tcW w:w="510" w:type="dxa"/>
            <w:noWrap/>
            <w:vAlign w:val="center"/>
            <w:hideMark/>
          </w:tcPr>
          <w:p w:rsidRPr="007129C6" w:rsidR="00B52D66" w:rsidP="00A92EDF" w:rsidRDefault="00B52D66" w14:paraId="68ED9AD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93%</w:t>
            </w:r>
          </w:p>
        </w:tc>
        <w:tc>
          <w:tcPr>
            <w:tcW w:w="510" w:type="dxa"/>
            <w:noWrap/>
            <w:vAlign w:val="center"/>
            <w:hideMark/>
          </w:tcPr>
          <w:p w:rsidRPr="007129C6" w:rsidR="00B52D66" w:rsidP="00A92EDF" w:rsidRDefault="00B52D66" w14:paraId="7E59AD2D"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8,0</w:t>
            </w:r>
          </w:p>
        </w:tc>
        <w:tc>
          <w:tcPr>
            <w:tcW w:w="510" w:type="dxa"/>
            <w:noWrap/>
            <w:vAlign w:val="center"/>
            <w:hideMark/>
          </w:tcPr>
          <w:p w:rsidRPr="007129C6" w:rsidR="00B52D66" w:rsidP="00A92EDF" w:rsidRDefault="00B52D66" w14:paraId="5155825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100%</w:t>
            </w:r>
          </w:p>
        </w:tc>
        <w:tc>
          <w:tcPr>
            <w:tcW w:w="510" w:type="dxa"/>
            <w:noWrap/>
            <w:vAlign w:val="center"/>
            <w:hideMark/>
          </w:tcPr>
          <w:p w:rsidRPr="007129C6" w:rsidR="00B52D66" w:rsidP="00A92EDF" w:rsidRDefault="00B52D66" w14:paraId="5876527E"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8,2</w:t>
            </w:r>
          </w:p>
        </w:tc>
        <w:tc>
          <w:tcPr>
            <w:tcW w:w="510" w:type="dxa"/>
            <w:noWrap/>
            <w:vAlign w:val="center"/>
            <w:hideMark/>
          </w:tcPr>
          <w:p w:rsidRPr="007129C6" w:rsidR="00B52D66" w:rsidP="00A92EDF" w:rsidRDefault="00B52D66" w14:paraId="4E479486"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100%</w:t>
            </w:r>
          </w:p>
        </w:tc>
        <w:tc>
          <w:tcPr>
            <w:tcW w:w="510" w:type="dxa"/>
            <w:noWrap/>
            <w:vAlign w:val="center"/>
            <w:hideMark/>
          </w:tcPr>
          <w:p w:rsidRPr="007129C6" w:rsidR="00B52D66" w:rsidP="00A92EDF" w:rsidRDefault="00B52D66" w14:paraId="2B19AFF9"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510" w:type="dxa"/>
            <w:noWrap/>
            <w:vAlign w:val="center"/>
            <w:hideMark/>
          </w:tcPr>
          <w:p w:rsidRPr="007129C6" w:rsidR="00B52D66" w:rsidP="00A92EDF" w:rsidRDefault="00B52D66" w14:paraId="1380AE63"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10%</w:t>
            </w:r>
          </w:p>
        </w:tc>
        <w:tc>
          <w:tcPr>
            <w:tcW w:w="510" w:type="dxa"/>
            <w:noWrap/>
            <w:vAlign w:val="center"/>
            <w:hideMark/>
          </w:tcPr>
          <w:p w:rsidRPr="007129C6" w:rsidR="00B52D66" w:rsidP="00A92EDF" w:rsidRDefault="00B52D66" w14:paraId="4AAED80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3%</w:t>
            </w:r>
          </w:p>
        </w:tc>
        <w:tc>
          <w:tcPr>
            <w:tcW w:w="510" w:type="dxa"/>
            <w:noWrap/>
            <w:vAlign w:val="center"/>
            <w:hideMark/>
          </w:tcPr>
          <w:p w:rsidRPr="007129C6" w:rsidR="00B52D66" w:rsidP="00A92EDF" w:rsidRDefault="00B52D66" w14:paraId="30A1F94E"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17%</w:t>
            </w:r>
          </w:p>
        </w:tc>
      </w:tr>
      <w:tr w:rsidRPr="007129C6" w:rsidR="004141C0" w:rsidTr="008B6365" w14:paraId="623B3119" w14:textId="77777777">
        <w:trPr>
          <w:trHeight w:val="20"/>
        </w:trPr>
        <w:tc>
          <w:tcPr>
            <w:cnfStyle w:val="001000000000" w:firstRow="0" w:lastRow="0" w:firstColumn="1" w:lastColumn="0" w:oddVBand="0" w:evenVBand="0" w:oddHBand="0" w:evenHBand="0" w:firstRowFirstColumn="0" w:firstRowLastColumn="0" w:lastRowFirstColumn="0" w:lastRowLastColumn="0"/>
            <w:tcW w:w="4819" w:type="dxa"/>
            <w:noWrap/>
            <w:hideMark/>
          </w:tcPr>
          <w:p w:rsidRPr="007129C6" w:rsidR="00B52D66" w:rsidP="00B52D66" w:rsidRDefault="00B52D66" w14:paraId="21110351"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 xml:space="preserve"> lukt het om ons techniekonderwijs een moderne uitstraling te geven</w:t>
            </w:r>
          </w:p>
        </w:tc>
        <w:tc>
          <w:tcPr>
            <w:tcW w:w="510" w:type="dxa"/>
            <w:noWrap/>
            <w:vAlign w:val="center"/>
            <w:hideMark/>
          </w:tcPr>
          <w:p w:rsidRPr="007129C6" w:rsidR="00B52D66" w:rsidP="00A92EDF" w:rsidRDefault="00B52D66" w14:paraId="24B901FC"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8,1</w:t>
            </w:r>
          </w:p>
        </w:tc>
        <w:tc>
          <w:tcPr>
            <w:tcW w:w="510" w:type="dxa"/>
            <w:noWrap/>
            <w:vAlign w:val="center"/>
            <w:hideMark/>
          </w:tcPr>
          <w:p w:rsidRPr="007129C6" w:rsidR="00B52D66" w:rsidP="00A92EDF" w:rsidRDefault="00B52D66" w14:paraId="688DE5EE"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100%</w:t>
            </w:r>
          </w:p>
        </w:tc>
        <w:tc>
          <w:tcPr>
            <w:tcW w:w="510" w:type="dxa"/>
            <w:noWrap/>
            <w:vAlign w:val="center"/>
            <w:hideMark/>
          </w:tcPr>
          <w:p w:rsidRPr="007129C6" w:rsidR="00B52D66" w:rsidP="00A92EDF" w:rsidRDefault="00B52D66" w14:paraId="26BABCF2"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8,2</w:t>
            </w:r>
          </w:p>
        </w:tc>
        <w:tc>
          <w:tcPr>
            <w:tcW w:w="510" w:type="dxa"/>
            <w:noWrap/>
            <w:vAlign w:val="center"/>
            <w:hideMark/>
          </w:tcPr>
          <w:p w:rsidRPr="007129C6" w:rsidR="00B52D66" w:rsidP="00A92EDF" w:rsidRDefault="00B52D66" w14:paraId="64EF4F7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100%</w:t>
            </w:r>
          </w:p>
        </w:tc>
        <w:tc>
          <w:tcPr>
            <w:tcW w:w="510" w:type="dxa"/>
            <w:noWrap/>
            <w:vAlign w:val="center"/>
            <w:hideMark/>
          </w:tcPr>
          <w:p w:rsidRPr="007129C6" w:rsidR="00B52D66" w:rsidP="00A92EDF" w:rsidRDefault="00B52D66" w14:paraId="4BC7F02E"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8,2</w:t>
            </w:r>
          </w:p>
        </w:tc>
        <w:tc>
          <w:tcPr>
            <w:tcW w:w="510" w:type="dxa"/>
            <w:noWrap/>
            <w:vAlign w:val="center"/>
            <w:hideMark/>
          </w:tcPr>
          <w:p w:rsidRPr="007129C6" w:rsidR="00B52D66" w:rsidP="00A92EDF" w:rsidRDefault="00B52D66" w14:paraId="5055E2C9"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97%</w:t>
            </w:r>
          </w:p>
        </w:tc>
        <w:tc>
          <w:tcPr>
            <w:tcW w:w="510" w:type="dxa"/>
            <w:noWrap/>
            <w:vAlign w:val="center"/>
            <w:hideMark/>
          </w:tcPr>
          <w:p w:rsidRPr="007129C6" w:rsidR="00B52D66" w:rsidP="00A92EDF" w:rsidRDefault="00B52D66" w14:paraId="09EA1D3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w:t>
            </w:r>
          </w:p>
        </w:tc>
        <w:tc>
          <w:tcPr>
            <w:tcW w:w="510" w:type="dxa"/>
            <w:noWrap/>
            <w:vAlign w:val="center"/>
            <w:hideMark/>
          </w:tcPr>
          <w:p w:rsidRPr="007129C6" w:rsidR="00B52D66" w:rsidP="00A92EDF" w:rsidRDefault="00B52D66" w14:paraId="756F01BE"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3%</w:t>
            </w:r>
          </w:p>
        </w:tc>
        <w:tc>
          <w:tcPr>
            <w:tcW w:w="510" w:type="dxa"/>
            <w:noWrap/>
            <w:vAlign w:val="center"/>
            <w:hideMark/>
          </w:tcPr>
          <w:p w:rsidRPr="007129C6" w:rsidR="00B52D66" w:rsidP="00A92EDF" w:rsidRDefault="00B52D66" w14:paraId="3EA2DC8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w:t>
            </w:r>
          </w:p>
        </w:tc>
        <w:tc>
          <w:tcPr>
            <w:tcW w:w="510" w:type="dxa"/>
            <w:noWrap/>
            <w:vAlign w:val="center"/>
            <w:hideMark/>
          </w:tcPr>
          <w:p w:rsidRPr="007129C6" w:rsidR="00B52D66" w:rsidP="00A92EDF" w:rsidRDefault="00B52D66" w14:paraId="08F2B5F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17%</w:t>
            </w:r>
          </w:p>
        </w:tc>
      </w:tr>
      <w:tr w:rsidRPr="007129C6" w:rsidR="004141C0" w:rsidTr="008B6365" w14:paraId="690CD327" w14:textId="77777777">
        <w:trPr>
          <w:trHeight w:val="20"/>
        </w:trPr>
        <w:tc>
          <w:tcPr>
            <w:cnfStyle w:val="001000000000" w:firstRow="0" w:lastRow="0" w:firstColumn="1" w:lastColumn="0" w:oddVBand="0" w:evenVBand="0" w:oddHBand="0" w:evenHBand="0" w:firstRowFirstColumn="0" w:firstRowLastColumn="0" w:lastRowFirstColumn="0" w:lastRowLastColumn="0"/>
            <w:tcW w:w="4819" w:type="dxa"/>
            <w:noWrap/>
            <w:hideMark/>
          </w:tcPr>
          <w:p w:rsidRPr="007129C6" w:rsidR="00B52D66" w:rsidP="00B52D66" w:rsidRDefault="00B52D66" w14:paraId="13D775A9"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 xml:space="preserve"> is er in onze regio meer buitenschools leren</w:t>
            </w:r>
          </w:p>
        </w:tc>
        <w:tc>
          <w:tcPr>
            <w:tcW w:w="510" w:type="dxa"/>
            <w:noWrap/>
            <w:vAlign w:val="center"/>
            <w:hideMark/>
          </w:tcPr>
          <w:p w:rsidRPr="007129C6" w:rsidR="00B52D66" w:rsidP="00A92EDF" w:rsidRDefault="00B52D66" w14:paraId="4BC9853F"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7,4</w:t>
            </w:r>
          </w:p>
        </w:tc>
        <w:tc>
          <w:tcPr>
            <w:tcW w:w="510" w:type="dxa"/>
            <w:noWrap/>
            <w:vAlign w:val="center"/>
            <w:hideMark/>
          </w:tcPr>
          <w:p w:rsidRPr="007129C6" w:rsidR="00B52D66" w:rsidP="00A92EDF" w:rsidRDefault="00B52D66" w14:paraId="0D09AC37"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93%</w:t>
            </w:r>
          </w:p>
        </w:tc>
        <w:tc>
          <w:tcPr>
            <w:tcW w:w="510" w:type="dxa"/>
            <w:noWrap/>
            <w:vAlign w:val="center"/>
            <w:hideMark/>
          </w:tcPr>
          <w:p w:rsidRPr="007129C6" w:rsidR="00B52D66" w:rsidP="00A92EDF" w:rsidRDefault="00B52D66" w14:paraId="472063CA"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8,0</w:t>
            </w:r>
          </w:p>
        </w:tc>
        <w:tc>
          <w:tcPr>
            <w:tcW w:w="510" w:type="dxa"/>
            <w:noWrap/>
            <w:vAlign w:val="center"/>
            <w:hideMark/>
          </w:tcPr>
          <w:p w:rsidRPr="007129C6" w:rsidR="00B52D66" w:rsidP="00A92EDF" w:rsidRDefault="00B52D66" w14:paraId="40A123DC"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100%</w:t>
            </w:r>
          </w:p>
        </w:tc>
        <w:tc>
          <w:tcPr>
            <w:tcW w:w="510" w:type="dxa"/>
            <w:noWrap/>
            <w:vAlign w:val="center"/>
            <w:hideMark/>
          </w:tcPr>
          <w:p w:rsidRPr="007129C6" w:rsidR="00B52D66" w:rsidP="00A92EDF" w:rsidRDefault="00B52D66" w14:paraId="00E982D9"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7,8</w:t>
            </w:r>
          </w:p>
        </w:tc>
        <w:tc>
          <w:tcPr>
            <w:tcW w:w="510" w:type="dxa"/>
            <w:noWrap/>
            <w:vAlign w:val="center"/>
            <w:hideMark/>
          </w:tcPr>
          <w:p w:rsidRPr="007129C6" w:rsidR="00B52D66" w:rsidP="00A92EDF" w:rsidRDefault="00B52D66" w14:paraId="194D5CBB"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97%</w:t>
            </w:r>
          </w:p>
        </w:tc>
        <w:tc>
          <w:tcPr>
            <w:tcW w:w="510" w:type="dxa"/>
            <w:noWrap/>
            <w:vAlign w:val="center"/>
            <w:hideMark/>
          </w:tcPr>
          <w:p w:rsidRPr="007129C6" w:rsidR="00B52D66" w:rsidP="00A92EDF" w:rsidRDefault="00B52D66" w14:paraId="47EB379E"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3%</w:t>
            </w:r>
          </w:p>
        </w:tc>
        <w:tc>
          <w:tcPr>
            <w:tcW w:w="510" w:type="dxa"/>
            <w:noWrap/>
            <w:vAlign w:val="center"/>
            <w:hideMark/>
          </w:tcPr>
          <w:p w:rsidRPr="007129C6" w:rsidR="00B52D66" w:rsidP="00A92EDF" w:rsidRDefault="00B52D66" w14:paraId="25C18AE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21%</w:t>
            </w:r>
          </w:p>
        </w:tc>
        <w:tc>
          <w:tcPr>
            <w:tcW w:w="510" w:type="dxa"/>
            <w:noWrap/>
            <w:vAlign w:val="center"/>
            <w:hideMark/>
          </w:tcPr>
          <w:p w:rsidRPr="007129C6" w:rsidR="00B52D66" w:rsidP="00A92EDF" w:rsidRDefault="00B52D66" w14:paraId="0CFA30F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17%</w:t>
            </w:r>
          </w:p>
        </w:tc>
        <w:tc>
          <w:tcPr>
            <w:tcW w:w="510" w:type="dxa"/>
            <w:noWrap/>
            <w:vAlign w:val="center"/>
            <w:hideMark/>
          </w:tcPr>
          <w:p w:rsidRPr="007129C6" w:rsidR="00B52D66" w:rsidP="00A92EDF" w:rsidRDefault="00B52D66" w14:paraId="75340E13"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28%</w:t>
            </w:r>
          </w:p>
        </w:tc>
      </w:tr>
      <w:tr w:rsidRPr="007129C6" w:rsidR="004141C0" w:rsidTr="008B6365" w14:paraId="2FAAC3C9" w14:textId="77777777">
        <w:trPr>
          <w:trHeight w:val="20"/>
        </w:trPr>
        <w:tc>
          <w:tcPr>
            <w:cnfStyle w:val="001000000000" w:firstRow="0" w:lastRow="0" w:firstColumn="1" w:lastColumn="0" w:oddVBand="0" w:evenVBand="0" w:oddHBand="0" w:evenHBand="0" w:firstRowFirstColumn="0" w:firstRowLastColumn="0" w:lastRowFirstColumn="0" w:lastRowLastColumn="0"/>
            <w:tcW w:w="4819" w:type="dxa"/>
            <w:noWrap/>
            <w:hideMark/>
          </w:tcPr>
          <w:p w:rsidRPr="007129C6" w:rsidR="00B52D66" w:rsidP="00B52D66" w:rsidRDefault="00B52D66" w14:paraId="2C0D80DF"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 xml:space="preserve"> in regio afspraken tussen scholen die doorwerken in organisatie scholen</w:t>
            </w:r>
          </w:p>
        </w:tc>
        <w:tc>
          <w:tcPr>
            <w:tcW w:w="510" w:type="dxa"/>
            <w:noWrap/>
            <w:vAlign w:val="center"/>
            <w:hideMark/>
          </w:tcPr>
          <w:p w:rsidRPr="007129C6" w:rsidR="00B52D66" w:rsidP="00A92EDF" w:rsidRDefault="00B52D66" w14:paraId="1D15AE99"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4,9</w:t>
            </w:r>
          </w:p>
        </w:tc>
        <w:tc>
          <w:tcPr>
            <w:tcW w:w="510" w:type="dxa"/>
            <w:noWrap/>
            <w:vAlign w:val="center"/>
            <w:hideMark/>
          </w:tcPr>
          <w:p w:rsidRPr="007129C6" w:rsidR="00B52D66" w:rsidP="00A92EDF" w:rsidRDefault="00B52D66" w14:paraId="63D7F746"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48%</w:t>
            </w:r>
          </w:p>
        </w:tc>
        <w:tc>
          <w:tcPr>
            <w:tcW w:w="510" w:type="dxa"/>
            <w:noWrap/>
            <w:vAlign w:val="center"/>
            <w:hideMark/>
          </w:tcPr>
          <w:p w:rsidRPr="007129C6" w:rsidR="00B52D66" w:rsidP="00A92EDF" w:rsidRDefault="00B52D66" w14:paraId="6F363482"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6,6*</w:t>
            </w:r>
          </w:p>
        </w:tc>
        <w:tc>
          <w:tcPr>
            <w:tcW w:w="510" w:type="dxa"/>
            <w:noWrap/>
            <w:vAlign w:val="center"/>
            <w:hideMark/>
          </w:tcPr>
          <w:p w:rsidRPr="007129C6" w:rsidR="00B52D66" w:rsidP="00A92EDF" w:rsidRDefault="00B52D66" w14:paraId="0D8957A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79%*</w:t>
            </w:r>
          </w:p>
        </w:tc>
        <w:tc>
          <w:tcPr>
            <w:tcW w:w="510" w:type="dxa"/>
            <w:noWrap/>
            <w:vAlign w:val="center"/>
            <w:hideMark/>
          </w:tcPr>
          <w:p w:rsidRPr="007129C6" w:rsidR="00B52D66" w:rsidP="00A92EDF" w:rsidRDefault="00B52D66" w14:paraId="68F3DE2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6,5*</w:t>
            </w:r>
          </w:p>
        </w:tc>
        <w:tc>
          <w:tcPr>
            <w:tcW w:w="510" w:type="dxa"/>
            <w:noWrap/>
            <w:vAlign w:val="center"/>
            <w:hideMark/>
          </w:tcPr>
          <w:p w:rsidRPr="007129C6" w:rsidR="00B52D66" w:rsidP="00A92EDF" w:rsidRDefault="00B52D66" w14:paraId="6E9E8B7B"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69%</w:t>
            </w:r>
          </w:p>
        </w:tc>
        <w:tc>
          <w:tcPr>
            <w:tcW w:w="510" w:type="dxa"/>
            <w:noWrap/>
            <w:vAlign w:val="center"/>
            <w:hideMark/>
          </w:tcPr>
          <w:p w:rsidRPr="007129C6" w:rsidR="00B52D66" w:rsidP="00A92EDF" w:rsidRDefault="00B52D66" w14:paraId="5359DD8D"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3%</w:t>
            </w:r>
          </w:p>
        </w:tc>
        <w:tc>
          <w:tcPr>
            <w:tcW w:w="510" w:type="dxa"/>
            <w:noWrap/>
            <w:vAlign w:val="center"/>
            <w:hideMark/>
          </w:tcPr>
          <w:p w:rsidRPr="007129C6" w:rsidR="00B52D66" w:rsidP="00A92EDF" w:rsidRDefault="00B52D66" w14:paraId="39954B6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38%</w:t>
            </w:r>
          </w:p>
        </w:tc>
        <w:tc>
          <w:tcPr>
            <w:tcW w:w="510" w:type="dxa"/>
            <w:noWrap/>
            <w:vAlign w:val="center"/>
            <w:hideMark/>
          </w:tcPr>
          <w:p w:rsidRPr="007129C6" w:rsidR="00B52D66" w:rsidP="00A92EDF" w:rsidRDefault="00B52D66" w14:paraId="2F7A9ED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14%</w:t>
            </w:r>
          </w:p>
        </w:tc>
        <w:tc>
          <w:tcPr>
            <w:tcW w:w="510" w:type="dxa"/>
            <w:noWrap/>
            <w:vAlign w:val="center"/>
            <w:hideMark/>
          </w:tcPr>
          <w:p w:rsidRPr="007129C6" w:rsidR="00B52D66" w:rsidP="00A92EDF" w:rsidRDefault="00B52D66" w14:paraId="0E2B56BA"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52%</w:t>
            </w:r>
          </w:p>
        </w:tc>
      </w:tr>
      <w:tr w:rsidRPr="007129C6" w:rsidR="004141C0" w:rsidTr="008B6365" w14:paraId="20729D4B" w14:textId="77777777">
        <w:trPr>
          <w:trHeight w:val="20"/>
        </w:trPr>
        <w:tc>
          <w:tcPr>
            <w:cnfStyle w:val="001000000000" w:firstRow="0" w:lastRow="0" w:firstColumn="1" w:lastColumn="0" w:oddVBand="0" w:evenVBand="0" w:oddHBand="0" w:evenHBand="0" w:firstRowFirstColumn="0" w:firstRowLastColumn="0" w:lastRowFirstColumn="0" w:lastRowLastColumn="0"/>
            <w:tcW w:w="4819" w:type="dxa"/>
            <w:noWrap/>
            <w:hideMark/>
          </w:tcPr>
          <w:p w:rsidRPr="007129C6" w:rsidR="00B52D66" w:rsidP="00B52D66" w:rsidRDefault="00B52D66" w14:paraId="4525C1EC"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 xml:space="preserve"> kennisdeling tussen de betrokken actoren in de regio</w:t>
            </w:r>
          </w:p>
        </w:tc>
        <w:tc>
          <w:tcPr>
            <w:tcW w:w="510" w:type="dxa"/>
            <w:noWrap/>
            <w:vAlign w:val="center"/>
            <w:hideMark/>
          </w:tcPr>
          <w:p w:rsidRPr="007129C6" w:rsidR="00B52D66" w:rsidP="00A92EDF" w:rsidRDefault="00B52D66" w14:paraId="548D54A6"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7,0</w:t>
            </w:r>
          </w:p>
        </w:tc>
        <w:tc>
          <w:tcPr>
            <w:tcW w:w="510" w:type="dxa"/>
            <w:noWrap/>
            <w:vAlign w:val="center"/>
            <w:hideMark/>
          </w:tcPr>
          <w:p w:rsidRPr="007129C6" w:rsidR="00B52D66" w:rsidP="00A92EDF" w:rsidRDefault="00B52D66" w14:paraId="4CF53CF2"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86%</w:t>
            </w:r>
          </w:p>
        </w:tc>
        <w:tc>
          <w:tcPr>
            <w:tcW w:w="510" w:type="dxa"/>
            <w:noWrap/>
            <w:vAlign w:val="center"/>
            <w:hideMark/>
          </w:tcPr>
          <w:p w:rsidRPr="007129C6" w:rsidR="00B52D66" w:rsidP="00A92EDF" w:rsidRDefault="00B52D66" w14:paraId="772FE52E"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7,7</w:t>
            </w:r>
          </w:p>
        </w:tc>
        <w:tc>
          <w:tcPr>
            <w:tcW w:w="510" w:type="dxa"/>
            <w:noWrap/>
            <w:vAlign w:val="center"/>
            <w:hideMark/>
          </w:tcPr>
          <w:p w:rsidRPr="007129C6" w:rsidR="00B52D66" w:rsidP="00A92EDF" w:rsidRDefault="00B52D66" w14:paraId="03780AAE"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100%*</w:t>
            </w:r>
          </w:p>
        </w:tc>
        <w:tc>
          <w:tcPr>
            <w:tcW w:w="510" w:type="dxa"/>
            <w:noWrap/>
            <w:vAlign w:val="center"/>
            <w:hideMark/>
          </w:tcPr>
          <w:p w:rsidRPr="007129C6" w:rsidR="00B52D66" w:rsidP="00A92EDF" w:rsidRDefault="00B52D66" w14:paraId="2F3E572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7,8</w:t>
            </w:r>
          </w:p>
        </w:tc>
        <w:tc>
          <w:tcPr>
            <w:tcW w:w="510" w:type="dxa"/>
            <w:noWrap/>
            <w:vAlign w:val="center"/>
            <w:hideMark/>
          </w:tcPr>
          <w:p w:rsidRPr="007129C6" w:rsidR="00B52D66" w:rsidP="00A92EDF" w:rsidRDefault="00B52D66" w14:paraId="05A257E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97%</w:t>
            </w:r>
          </w:p>
        </w:tc>
        <w:tc>
          <w:tcPr>
            <w:tcW w:w="510" w:type="dxa"/>
            <w:noWrap/>
            <w:vAlign w:val="center"/>
            <w:hideMark/>
          </w:tcPr>
          <w:p w:rsidRPr="007129C6" w:rsidR="00B52D66" w:rsidP="00A92EDF" w:rsidRDefault="00B52D66" w14:paraId="4011E4A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0%</w:t>
            </w:r>
          </w:p>
        </w:tc>
        <w:tc>
          <w:tcPr>
            <w:tcW w:w="510" w:type="dxa"/>
            <w:noWrap/>
            <w:vAlign w:val="center"/>
            <w:hideMark/>
          </w:tcPr>
          <w:p w:rsidRPr="007129C6" w:rsidR="00B52D66" w:rsidP="00A92EDF" w:rsidRDefault="00B52D66" w14:paraId="097D779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17%</w:t>
            </w:r>
          </w:p>
        </w:tc>
        <w:tc>
          <w:tcPr>
            <w:tcW w:w="510" w:type="dxa"/>
            <w:noWrap/>
            <w:vAlign w:val="center"/>
            <w:hideMark/>
          </w:tcPr>
          <w:p w:rsidRPr="007129C6" w:rsidR="00B52D66" w:rsidP="00A92EDF" w:rsidRDefault="00B52D66" w14:paraId="2D61BA0B"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10%</w:t>
            </w:r>
          </w:p>
        </w:tc>
        <w:tc>
          <w:tcPr>
            <w:tcW w:w="510" w:type="dxa"/>
            <w:noWrap/>
            <w:vAlign w:val="center"/>
            <w:hideMark/>
          </w:tcPr>
          <w:p w:rsidRPr="007129C6" w:rsidR="00B52D66" w:rsidP="00A92EDF" w:rsidRDefault="00B52D66" w14:paraId="192AF7D6"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45%</w:t>
            </w:r>
          </w:p>
        </w:tc>
      </w:tr>
      <w:tr w:rsidRPr="007129C6" w:rsidR="004141C0" w:rsidTr="008B6365" w14:paraId="753097DD" w14:textId="77777777">
        <w:trPr>
          <w:trHeight w:val="20"/>
        </w:trPr>
        <w:tc>
          <w:tcPr>
            <w:cnfStyle w:val="001000000000" w:firstRow="0" w:lastRow="0" w:firstColumn="1" w:lastColumn="0" w:oddVBand="0" w:evenVBand="0" w:oddHBand="0" w:evenHBand="0" w:firstRowFirstColumn="0" w:firstRowLastColumn="0" w:lastRowFirstColumn="0" w:lastRowLastColumn="0"/>
            <w:tcW w:w="4819" w:type="dxa"/>
            <w:noWrap/>
            <w:hideMark/>
          </w:tcPr>
          <w:p w:rsidRPr="007129C6" w:rsidR="00B52D66" w:rsidP="00B52D66" w:rsidRDefault="00B52D66" w14:paraId="680903D6"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 xml:space="preserve"> is er breder beeld van techniek en mogelijkheden van techniek</w:t>
            </w:r>
          </w:p>
        </w:tc>
        <w:tc>
          <w:tcPr>
            <w:tcW w:w="510" w:type="dxa"/>
            <w:noWrap/>
            <w:vAlign w:val="center"/>
            <w:hideMark/>
          </w:tcPr>
          <w:p w:rsidRPr="007129C6" w:rsidR="00B52D66" w:rsidP="00A92EDF" w:rsidRDefault="00B52D66" w14:paraId="3CE50E6C"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7,4</w:t>
            </w:r>
          </w:p>
        </w:tc>
        <w:tc>
          <w:tcPr>
            <w:tcW w:w="510" w:type="dxa"/>
            <w:noWrap/>
            <w:vAlign w:val="center"/>
            <w:hideMark/>
          </w:tcPr>
          <w:p w:rsidRPr="007129C6" w:rsidR="00B52D66" w:rsidP="00A92EDF" w:rsidRDefault="00B52D66" w14:paraId="3A670B5E"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93%</w:t>
            </w:r>
          </w:p>
        </w:tc>
        <w:tc>
          <w:tcPr>
            <w:tcW w:w="510" w:type="dxa"/>
            <w:noWrap/>
            <w:vAlign w:val="center"/>
            <w:hideMark/>
          </w:tcPr>
          <w:p w:rsidRPr="007129C6" w:rsidR="00B52D66" w:rsidP="00A92EDF" w:rsidRDefault="00B52D66" w14:paraId="1E2BEF97"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7,5</w:t>
            </w:r>
          </w:p>
        </w:tc>
        <w:tc>
          <w:tcPr>
            <w:tcW w:w="510" w:type="dxa"/>
            <w:noWrap/>
            <w:vAlign w:val="center"/>
            <w:hideMark/>
          </w:tcPr>
          <w:p w:rsidRPr="007129C6" w:rsidR="00B52D66" w:rsidP="00A92EDF" w:rsidRDefault="00B52D66" w14:paraId="1693308D"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97%</w:t>
            </w:r>
          </w:p>
        </w:tc>
        <w:tc>
          <w:tcPr>
            <w:tcW w:w="510" w:type="dxa"/>
            <w:noWrap/>
            <w:vAlign w:val="center"/>
            <w:hideMark/>
          </w:tcPr>
          <w:p w:rsidRPr="007129C6" w:rsidR="00B52D66" w:rsidP="00A92EDF" w:rsidRDefault="00B52D66" w14:paraId="27BA49A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8,0</w:t>
            </w:r>
          </w:p>
        </w:tc>
        <w:tc>
          <w:tcPr>
            <w:tcW w:w="510" w:type="dxa"/>
            <w:noWrap/>
            <w:vAlign w:val="center"/>
            <w:hideMark/>
          </w:tcPr>
          <w:p w:rsidRPr="007129C6" w:rsidR="00B52D66" w:rsidP="00A92EDF" w:rsidRDefault="00B52D66" w14:paraId="30A8102A"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97%</w:t>
            </w:r>
          </w:p>
        </w:tc>
        <w:tc>
          <w:tcPr>
            <w:tcW w:w="510" w:type="dxa"/>
            <w:noWrap/>
            <w:vAlign w:val="center"/>
            <w:hideMark/>
          </w:tcPr>
          <w:p w:rsidRPr="007129C6" w:rsidR="00B52D66" w:rsidP="00A92EDF" w:rsidRDefault="00B52D66" w14:paraId="3A80F13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10%</w:t>
            </w:r>
          </w:p>
        </w:tc>
        <w:tc>
          <w:tcPr>
            <w:tcW w:w="510" w:type="dxa"/>
            <w:noWrap/>
            <w:vAlign w:val="center"/>
            <w:hideMark/>
          </w:tcPr>
          <w:p w:rsidRPr="007129C6" w:rsidR="00B52D66" w:rsidP="00A92EDF" w:rsidRDefault="00B52D66" w14:paraId="7FB2187A"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14%</w:t>
            </w:r>
          </w:p>
        </w:tc>
        <w:tc>
          <w:tcPr>
            <w:tcW w:w="510" w:type="dxa"/>
            <w:noWrap/>
            <w:vAlign w:val="center"/>
            <w:hideMark/>
          </w:tcPr>
          <w:p w:rsidRPr="007129C6" w:rsidR="00B52D66" w:rsidP="00A92EDF" w:rsidRDefault="00B52D66" w14:paraId="6E61F03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3%</w:t>
            </w:r>
          </w:p>
        </w:tc>
        <w:tc>
          <w:tcPr>
            <w:tcW w:w="510" w:type="dxa"/>
            <w:noWrap/>
            <w:vAlign w:val="center"/>
            <w:hideMark/>
          </w:tcPr>
          <w:p w:rsidRPr="007129C6" w:rsidR="00B52D66" w:rsidP="00A92EDF" w:rsidRDefault="00B52D66" w14:paraId="3E48429F"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24%</w:t>
            </w:r>
          </w:p>
        </w:tc>
      </w:tr>
      <w:tr w:rsidRPr="007129C6" w:rsidR="004141C0" w:rsidTr="008B6365" w14:paraId="2B4A2719" w14:textId="77777777">
        <w:trPr>
          <w:trHeight w:val="20"/>
        </w:trPr>
        <w:tc>
          <w:tcPr>
            <w:cnfStyle w:val="001000000000" w:firstRow="0" w:lastRow="0" w:firstColumn="1" w:lastColumn="0" w:oddVBand="0" w:evenVBand="0" w:oddHBand="0" w:evenHBand="0" w:firstRowFirstColumn="0" w:firstRowLastColumn="0" w:lastRowFirstColumn="0" w:lastRowLastColumn="0"/>
            <w:tcW w:w="4819" w:type="dxa"/>
            <w:noWrap/>
            <w:hideMark/>
          </w:tcPr>
          <w:p w:rsidRPr="007129C6" w:rsidR="00B52D66" w:rsidP="00B52D66" w:rsidRDefault="00B52D66" w14:paraId="643EEBC6"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 xml:space="preserve"> staan (leer)loopbanen van leerlingen door de keten heen centraler</w:t>
            </w:r>
          </w:p>
        </w:tc>
        <w:tc>
          <w:tcPr>
            <w:tcW w:w="510" w:type="dxa"/>
            <w:noWrap/>
            <w:vAlign w:val="center"/>
            <w:hideMark/>
          </w:tcPr>
          <w:p w:rsidRPr="007129C6" w:rsidR="00B52D66" w:rsidP="00A92EDF" w:rsidRDefault="00B52D66" w14:paraId="5CE7F9BF"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6,4</w:t>
            </w:r>
          </w:p>
        </w:tc>
        <w:tc>
          <w:tcPr>
            <w:tcW w:w="510" w:type="dxa"/>
            <w:noWrap/>
            <w:vAlign w:val="center"/>
            <w:hideMark/>
          </w:tcPr>
          <w:p w:rsidRPr="007129C6" w:rsidR="00B52D66" w:rsidP="00A92EDF" w:rsidRDefault="00B52D66" w14:paraId="4A650707"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69%</w:t>
            </w:r>
          </w:p>
        </w:tc>
        <w:tc>
          <w:tcPr>
            <w:tcW w:w="510" w:type="dxa"/>
            <w:noWrap/>
            <w:vAlign w:val="center"/>
            <w:hideMark/>
          </w:tcPr>
          <w:p w:rsidRPr="007129C6" w:rsidR="00B52D66" w:rsidP="00A92EDF" w:rsidRDefault="00B52D66" w14:paraId="20CB6DF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7,1</w:t>
            </w:r>
          </w:p>
        </w:tc>
        <w:tc>
          <w:tcPr>
            <w:tcW w:w="510" w:type="dxa"/>
            <w:noWrap/>
            <w:vAlign w:val="center"/>
            <w:hideMark/>
          </w:tcPr>
          <w:p w:rsidRPr="007129C6" w:rsidR="00B52D66" w:rsidP="00A92EDF" w:rsidRDefault="00B52D66" w14:paraId="37455439"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86%</w:t>
            </w:r>
          </w:p>
        </w:tc>
        <w:tc>
          <w:tcPr>
            <w:tcW w:w="510" w:type="dxa"/>
            <w:noWrap/>
            <w:vAlign w:val="center"/>
            <w:hideMark/>
          </w:tcPr>
          <w:p w:rsidRPr="007129C6" w:rsidR="00B52D66" w:rsidP="00A92EDF" w:rsidRDefault="00B52D66" w14:paraId="79BCE5D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7,6*</w:t>
            </w:r>
          </w:p>
        </w:tc>
        <w:tc>
          <w:tcPr>
            <w:tcW w:w="510" w:type="dxa"/>
            <w:noWrap/>
            <w:vAlign w:val="center"/>
            <w:hideMark/>
          </w:tcPr>
          <w:p w:rsidRPr="007129C6" w:rsidR="00B52D66" w:rsidP="00A92EDF" w:rsidRDefault="00B52D66" w14:paraId="5ECA992F"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97%*</w:t>
            </w:r>
          </w:p>
        </w:tc>
        <w:tc>
          <w:tcPr>
            <w:tcW w:w="510" w:type="dxa"/>
            <w:noWrap/>
            <w:vAlign w:val="center"/>
            <w:hideMark/>
          </w:tcPr>
          <w:p w:rsidRPr="007129C6" w:rsidR="00B52D66" w:rsidP="00A92EDF" w:rsidRDefault="00B52D66" w14:paraId="1D639AE2"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14%</w:t>
            </w:r>
          </w:p>
        </w:tc>
        <w:tc>
          <w:tcPr>
            <w:tcW w:w="510" w:type="dxa"/>
            <w:noWrap/>
            <w:vAlign w:val="center"/>
            <w:hideMark/>
          </w:tcPr>
          <w:p w:rsidRPr="007129C6" w:rsidR="00B52D66" w:rsidP="00A92EDF" w:rsidRDefault="00B52D66" w14:paraId="11399EC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31%</w:t>
            </w:r>
          </w:p>
        </w:tc>
        <w:tc>
          <w:tcPr>
            <w:tcW w:w="510" w:type="dxa"/>
            <w:noWrap/>
            <w:vAlign w:val="center"/>
            <w:hideMark/>
          </w:tcPr>
          <w:p w:rsidRPr="007129C6" w:rsidR="00B52D66" w:rsidP="00A92EDF" w:rsidRDefault="00B52D66" w14:paraId="6A8D077D"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w:t>
            </w:r>
          </w:p>
        </w:tc>
        <w:tc>
          <w:tcPr>
            <w:tcW w:w="510" w:type="dxa"/>
            <w:noWrap/>
            <w:vAlign w:val="center"/>
            <w:hideMark/>
          </w:tcPr>
          <w:p w:rsidRPr="007129C6" w:rsidR="00B52D66" w:rsidP="00A92EDF" w:rsidRDefault="00B52D66" w14:paraId="3F654663"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38%</w:t>
            </w:r>
          </w:p>
        </w:tc>
      </w:tr>
    </w:tbl>
    <w:p w:rsidRPr="007129C6" w:rsidR="00B52D66" w:rsidP="00B52D66" w:rsidRDefault="00B52D66" w14:paraId="56CAA978" w14:textId="77777777">
      <w:pPr>
        <w:pStyle w:val="SEOBron"/>
        <w:rPr>
          <w:rFonts w:ascii="Trebuchet MS" w:hAnsi="Trebuchet MS"/>
          <w:szCs w:val="18"/>
        </w:rPr>
      </w:pPr>
      <w:r w:rsidRPr="007129C6">
        <w:rPr>
          <w:rFonts w:ascii="Trebuchet MS" w:hAnsi="Trebuchet MS"/>
          <w:szCs w:val="18"/>
        </w:rPr>
        <w:t xml:space="preserve">Enquête </w:t>
      </w:r>
      <w:r w:rsidRPr="001841C3">
        <w:rPr>
          <w:rFonts w:ascii="Trebuchet MS" w:hAnsi="Trebuchet MS"/>
          <w:b/>
          <w:bCs/>
          <w:szCs w:val="18"/>
        </w:rPr>
        <w:t>programmaleiders</w:t>
      </w:r>
      <w:r w:rsidRPr="007129C6">
        <w:rPr>
          <w:rFonts w:ascii="Trebuchet MS" w:hAnsi="Trebuchet MS"/>
          <w:szCs w:val="18"/>
        </w:rPr>
        <w:t xml:space="preserve"> STO (april 2025). * geeft significant verschil van gemiddelde of % voldoende aan t.o.v. 2025.</w:t>
      </w:r>
    </w:p>
    <w:p w:rsidRPr="007129C6" w:rsidR="00B52D66" w:rsidP="00B52D66" w:rsidRDefault="00B52D66" w14:paraId="37D4540F" w14:textId="77777777">
      <w:pPr>
        <w:rPr>
          <w:color w:val="264249"/>
          <w:szCs w:val="18"/>
        </w:rPr>
      </w:pPr>
      <w:r w:rsidRPr="007129C6">
        <w:rPr>
          <w:szCs w:val="18"/>
        </w:rPr>
        <w:br w:type="page"/>
      </w:r>
    </w:p>
    <w:p w:rsidRPr="007129C6" w:rsidR="00B52D66" w:rsidP="00B52D66" w:rsidRDefault="00B52D66" w14:paraId="67A999C4" w14:textId="01A9DCCE">
      <w:pPr>
        <w:pStyle w:val="SEOStandaard"/>
        <w:rPr>
          <w:rFonts w:ascii="Trebuchet MS" w:hAnsi="Trebuchet MS"/>
          <w:sz w:val="18"/>
          <w:szCs w:val="18"/>
        </w:rPr>
      </w:pPr>
      <w:r w:rsidRPr="007129C6">
        <w:rPr>
          <w:rFonts w:ascii="Trebuchet MS" w:hAnsi="Trebuchet MS"/>
          <w:sz w:val="18"/>
          <w:szCs w:val="18"/>
        </w:rPr>
        <w:lastRenderedPageBreak/>
        <w:t xml:space="preserve">Tabel </w:t>
      </w:r>
      <w:r w:rsidR="00BE45A3">
        <w:rPr>
          <w:rFonts w:ascii="Trebuchet MS" w:hAnsi="Trebuchet MS"/>
          <w:sz w:val="18"/>
          <w:szCs w:val="18"/>
        </w:rPr>
        <w:t>B1</w:t>
      </w:r>
      <w:r w:rsidRPr="007129C6">
        <w:rPr>
          <w:rFonts w:ascii="Trebuchet MS" w:hAnsi="Trebuchet MS"/>
          <w:sz w:val="18"/>
          <w:szCs w:val="18"/>
        </w:rPr>
        <w:t>.</w:t>
      </w:r>
      <w:r w:rsidR="00BE45A3">
        <w:rPr>
          <w:rFonts w:ascii="Trebuchet MS" w:hAnsi="Trebuchet MS"/>
          <w:sz w:val="18"/>
          <w:szCs w:val="18"/>
        </w:rPr>
        <w:t>6</w:t>
      </w:r>
      <w:r w:rsidRPr="007129C6">
        <w:rPr>
          <w:rFonts w:ascii="Trebuchet MS" w:hAnsi="Trebuchet MS"/>
          <w:sz w:val="18"/>
          <w:szCs w:val="18"/>
        </w:rPr>
        <w:t xml:space="preserve"> Rapportcijfer voor de eigen regio voor de drie hoofddoelen van STO volgens alle programmaleiders, uitgesplitst naar verdeling middelen</w:t>
      </w:r>
    </w:p>
    <w:tbl>
      <w:tblPr>
        <w:tblStyle w:val="SEOTabel2"/>
        <w:tblW w:w="9952" w:type="dxa"/>
        <w:tblCellMar>
          <w:top w:w="0" w:type="dxa"/>
          <w:left w:w="28" w:type="dxa"/>
          <w:bottom w:w="0" w:type="dxa"/>
          <w:right w:w="28" w:type="dxa"/>
        </w:tblCellMar>
        <w:tblLook w:val="04A0" w:firstRow="1" w:lastRow="0" w:firstColumn="1" w:lastColumn="0" w:noHBand="0" w:noVBand="1"/>
      </w:tblPr>
      <w:tblGrid>
        <w:gridCol w:w="4819"/>
        <w:gridCol w:w="871"/>
        <w:gridCol w:w="778"/>
        <w:gridCol w:w="921"/>
        <w:gridCol w:w="821"/>
        <w:gridCol w:w="921"/>
        <w:gridCol w:w="821"/>
      </w:tblGrid>
      <w:tr w:rsidRPr="007129C6" w:rsidR="00992B2C" w:rsidTr="00CB6E04" w14:paraId="28F78414"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19" w:type="dxa"/>
            <w:noWrap/>
            <w:vAlign w:val="center"/>
            <w:hideMark/>
          </w:tcPr>
          <w:p w:rsidRPr="007129C6" w:rsidR="00B52D66" w:rsidP="00351D42" w:rsidRDefault="00B52D66" w14:paraId="707CD7A1" w14:textId="77777777">
            <w:pPr>
              <w:pStyle w:val="SEOStandaard"/>
              <w:spacing w:line="240" w:lineRule="auto"/>
              <w:jc w:val="left"/>
              <w:rPr>
                <w:rFonts w:ascii="Trebuchet MS" w:hAnsi="Trebuchet MS"/>
                <w:color w:val="FFFFFF" w:themeColor="background1"/>
                <w:sz w:val="18"/>
                <w:szCs w:val="18"/>
              </w:rPr>
            </w:pPr>
            <w:r w:rsidRPr="007129C6">
              <w:rPr>
                <w:rFonts w:ascii="Trebuchet MS" w:hAnsi="Trebuchet MS"/>
                <w:color w:val="FFFFFF" w:themeColor="background1"/>
                <w:sz w:val="18"/>
                <w:szCs w:val="18"/>
              </w:rPr>
              <w:t>Welk rapportcijfer geeft u uw regio – eind 2024 – voor deze drie hoofddoelen?</w:t>
            </w:r>
          </w:p>
        </w:tc>
        <w:tc>
          <w:tcPr>
            <w:tcW w:w="1649" w:type="dxa"/>
            <w:gridSpan w:val="2"/>
            <w:noWrap/>
            <w:hideMark/>
          </w:tcPr>
          <w:p w:rsidRPr="007129C6" w:rsidR="00B52D66" w:rsidP="00B52D66" w:rsidRDefault="00B52D66" w14:paraId="00693D1E" w14:textId="5ED1028C">
            <w:pPr>
              <w:pStyle w:val="SEOStandaard"/>
              <w:spacing w:line="240" w:lineRule="auto"/>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Programma</w:t>
            </w:r>
            <w:r w:rsidR="00A92EDF">
              <w:rPr>
                <w:rFonts w:ascii="Trebuchet MS" w:hAnsi="Trebuchet MS"/>
                <w:color w:val="FFFFFF" w:themeColor="background1"/>
                <w:sz w:val="18"/>
                <w:szCs w:val="18"/>
              </w:rPr>
              <w:t>-</w:t>
            </w:r>
            <w:r w:rsidRPr="007129C6">
              <w:rPr>
                <w:rFonts w:ascii="Trebuchet MS" w:hAnsi="Trebuchet MS"/>
                <w:color w:val="FFFFFF" w:themeColor="background1"/>
                <w:sz w:val="18"/>
                <w:szCs w:val="18"/>
              </w:rPr>
              <w:t>leiders (n=48)</w:t>
            </w:r>
          </w:p>
        </w:tc>
        <w:tc>
          <w:tcPr>
            <w:tcW w:w="1742" w:type="dxa"/>
            <w:gridSpan w:val="2"/>
            <w:noWrap/>
            <w:hideMark/>
          </w:tcPr>
          <w:p w:rsidRPr="007129C6" w:rsidR="00B52D66" w:rsidP="00B52D66" w:rsidRDefault="00B52D66" w14:paraId="605A64AA" w14:textId="77777777">
            <w:pPr>
              <w:pStyle w:val="SEOStandaard"/>
              <w:spacing w:line="240" w:lineRule="auto"/>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Programmaleiders met verdeelsleutel middelen (n=28)</w:t>
            </w:r>
          </w:p>
        </w:tc>
        <w:tc>
          <w:tcPr>
            <w:tcW w:w="1742" w:type="dxa"/>
            <w:gridSpan w:val="2"/>
            <w:noWrap/>
            <w:hideMark/>
          </w:tcPr>
          <w:p w:rsidRPr="007129C6" w:rsidR="00B52D66" w:rsidP="00B52D66" w:rsidRDefault="00B52D66" w14:paraId="06D4B384" w14:textId="77777777">
            <w:pPr>
              <w:pStyle w:val="SEOStandaard"/>
              <w:spacing w:line="240" w:lineRule="auto"/>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Programmaleiders met regionaal beheer middelen (n=20)</w:t>
            </w:r>
          </w:p>
        </w:tc>
      </w:tr>
      <w:tr w:rsidRPr="007129C6" w:rsidR="00992B2C" w:rsidTr="00AB20E4" w14:paraId="4D46AB5C" w14:textId="77777777">
        <w:trPr>
          <w:cantSplit/>
          <w:trHeight w:val="1247"/>
        </w:trPr>
        <w:tc>
          <w:tcPr>
            <w:cnfStyle w:val="001000000000" w:firstRow="0" w:lastRow="0" w:firstColumn="1" w:lastColumn="0" w:oddVBand="0" w:evenVBand="0" w:oddHBand="0" w:evenHBand="0" w:firstRowFirstColumn="0" w:firstRowLastColumn="0" w:lastRowFirstColumn="0" w:lastRowLastColumn="0"/>
            <w:tcW w:w="4819" w:type="dxa"/>
            <w:noWrap/>
            <w:textDirection w:val="btLr"/>
            <w:vAlign w:val="center"/>
            <w:hideMark/>
          </w:tcPr>
          <w:p w:rsidRPr="007129C6" w:rsidR="00B52D66" w:rsidP="00AB3CB7" w:rsidRDefault="00B52D66" w14:paraId="3A92C4CA" w14:textId="77777777">
            <w:pPr>
              <w:pStyle w:val="SEOStandaard"/>
              <w:spacing w:line="240" w:lineRule="auto"/>
              <w:ind w:left="113" w:right="113"/>
              <w:jc w:val="left"/>
              <w:rPr>
                <w:rFonts w:ascii="Trebuchet MS" w:hAnsi="Trebuchet MS"/>
                <w:sz w:val="18"/>
                <w:szCs w:val="18"/>
              </w:rPr>
            </w:pPr>
          </w:p>
        </w:tc>
        <w:tc>
          <w:tcPr>
            <w:tcW w:w="871" w:type="dxa"/>
            <w:noWrap/>
            <w:textDirection w:val="btLr"/>
            <w:vAlign w:val="center"/>
            <w:hideMark/>
          </w:tcPr>
          <w:p w:rsidRPr="007129C6" w:rsidR="00B52D66" w:rsidP="00AB3CB7" w:rsidRDefault="00B52D66" w14:paraId="2B9444D6" w14:textId="77777777">
            <w:pPr>
              <w:pStyle w:val="SEOStandaard"/>
              <w:spacing w:line="240" w:lineRule="auto"/>
              <w:ind w:left="113" w:right="113"/>
              <w:jc w:val="left"/>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Gemiddelde</w:t>
            </w:r>
          </w:p>
        </w:tc>
        <w:tc>
          <w:tcPr>
            <w:tcW w:w="778" w:type="dxa"/>
            <w:noWrap/>
            <w:textDirection w:val="btLr"/>
            <w:vAlign w:val="center"/>
            <w:hideMark/>
          </w:tcPr>
          <w:p w:rsidRPr="007129C6" w:rsidR="00B52D66" w:rsidP="00AB3CB7" w:rsidRDefault="00B52D66" w14:paraId="72219C35" w14:textId="77777777">
            <w:pPr>
              <w:pStyle w:val="SEOStandaard"/>
              <w:spacing w:line="240" w:lineRule="auto"/>
              <w:ind w:left="113" w:right="113"/>
              <w:jc w:val="left"/>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 voldoende</w:t>
            </w:r>
          </w:p>
        </w:tc>
        <w:tc>
          <w:tcPr>
            <w:tcW w:w="921" w:type="dxa"/>
            <w:noWrap/>
            <w:textDirection w:val="btLr"/>
            <w:vAlign w:val="center"/>
            <w:hideMark/>
          </w:tcPr>
          <w:p w:rsidRPr="007129C6" w:rsidR="00B52D66" w:rsidP="00AB3CB7" w:rsidRDefault="00B52D66" w14:paraId="0E728EA0" w14:textId="77777777">
            <w:pPr>
              <w:pStyle w:val="SEOStandaard"/>
              <w:spacing w:line="240" w:lineRule="auto"/>
              <w:ind w:left="113" w:right="113"/>
              <w:jc w:val="left"/>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Gemiddelde</w:t>
            </w:r>
          </w:p>
        </w:tc>
        <w:tc>
          <w:tcPr>
            <w:tcW w:w="821" w:type="dxa"/>
            <w:noWrap/>
            <w:textDirection w:val="btLr"/>
            <w:vAlign w:val="center"/>
            <w:hideMark/>
          </w:tcPr>
          <w:p w:rsidRPr="007129C6" w:rsidR="00B52D66" w:rsidP="00AB3CB7" w:rsidRDefault="00B52D66" w14:paraId="5BD63CDB" w14:textId="77777777">
            <w:pPr>
              <w:pStyle w:val="SEOStandaard"/>
              <w:spacing w:line="240" w:lineRule="auto"/>
              <w:ind w:left="113" w:right="113"/>
              <w:jc w:val="left"/>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 voldoende</w:t>
            </w:r>
          </w:p>
        </w:tc>
        <w:tc>
          <w:tcPr>
            <w:tcW w:w="921" w:type="dxa"/>
            <w:noWrap/>
            <w:textDirection w:val="btLr"/>
            <w:vAlign w:val="center"/>
            <w:hideMark/>
          </w:tcPr>
          <w:p w:rsidRPr="007129C6" w:rsidR="00B52D66" w:rsidP="00AB3CB7" w:rsidRDefault="00B52D66" w14:paraId="44E98842" w14:textId="77777777">
            <w:pPr>
              <w:pStyle w:val="SEOStandaard"/>
              <w:spacing w:line="240" w:lineRule="auto"/>
              <w:ind w:left="113" w:right="113"/>
              <w:jc w:val="left"/>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Gemiddelde</w:t>
            </w:r>
          </w:p>
        </w:tc>
        <w:tc>
          <w:tcPr>
            <w:tcW w:w="821" w:type="dxa"/>
            <w:noWrap/>
            <w:textDirection w:val="btLr"/>
            <w:vAlign w:val="center"/>
            <w:hideMark/>
          </w:tcPr>
          <w:p w:rsidRPr="007129C6" w:rsidR="00B52D66" w:rsidP="00AB3CB7" w:rsidRDefault="00B52D66" w14:paraId="4E1D18A1" w14:textId="77777777">
            <w:pPr>
              <w:pStyle w:val="SEOStandaard"/>
              <w:spacing w:line="240" w:lineRule="auto"/>
              <w:ind w:left="113" w:right="113"/>
              <w:jc w:val="left"/>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 voldoende</w:t>
            </w:r>
          </w:p>
        </w:tc>
      </w:tr>
      <w:tr w:rsidRPr="007129C6" w:rsidR="00992B2C" w:rsidTr="00CB6E04" w14:paraId="7F6C500D" w14:textId="77777777">
        <w:trPr>
          <w:trHeight w:val="288"/>
        </w:trPr>
        <w:tc>
          <w:tcPr>
            <w:cnfStyle w:val="001000000000" w:firstRow="0" w:lastRow="0" w:firstColumn="1" w:lastColumn="0" w:oddVBand="0" w:evenVBand="0" w:oddHBand="0" w:evenHBand="0" w:firstRowFirstColumn="0" w:firstRowLastColumn="0" w:lastRowFirstColumn="0" w:lastRowLastColumn="0"/>
            <w:tcW w:w="4819" w:type="dxa"/>
            <w:noWrap/>
            <w:hideMark/>
          </w:tcPr>
          <w:p w:rsidRPr="007129C6" w:rsidR="00B52D66" w:rsidP="00B52D66" w:rsidRDefault="00B52D66" w14:paraId="2B28BE37"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De regio heeft een duurzaam techniekaanbod</w:t>
            </w:r>
          </w:p>
        </w:tc>
        <w:tc>
          <w:tcPr>
            <w:tcW w:w="871" w:type="dxa"/>
            <w:noWrap/>
            <w:vAlign w:val="center"/>
            <w:hideMark/>
          </w:tcPr>
          <w:p w:rsidRPr="007129C6" w:rsidR="00B52D66" w:rsidP="00AB3CB7" w:rsidRDefault="00B52D66" w14:paraId="55161CFF"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7,2</w:t>
            </w:r>
          </w:p>
        </w:tc>
        <w:tc>
          <w:tcPr>
            <w:tcW w:w="778" w:type="dxa"/>
            <w:noWrap/>
            <w:vAlign w:val="center"/>
            <w:hideMark/>
          </w:tcPr>
          <w:p w:rsidRPr="007129C6" w:rsidR="00B52D66" w:rsidP="00AB3CB7" w:rsidRDefault="00B52D66" w14:paraId="4C633462"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98%</w:t>
            </w:r>
          </w:p>
        </w:tc>
        <w:tc>
          <w:tcPr>
            <w:tcW w:w="921" w:type="dxa"/>
            <w:noWrap/>
            <w:vAlign w:val="center"/>
            <w:hideMark/>
          </w:tcPr>
          <w:p w:rsidRPr="007129C6" w:rsidR="00B52D66" w:rsidP="00AB3CB7" w:rsidRDefault="00B52D66" w14:paraId="14DD73F6"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7,3</w:t>
            </w:r>
          </w:p>
        </w:tc>
        <w:tc>
          <w:tcPr>
            <w:tcW w:w="821" w:type="dxa"/>
            <w:noWrap/>
            <w:vAlign w:val="center"/>
            <w:hideMark/>
          </w:tcPr>
          <w:p w:rsidRPr="007129C6" w:rsidR="00B52D66" w:rsidP="00AB3CB7" w:rsidRDefault="00B52D66" w14:paraId="0EB66E79"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96%</w:t>
            </w:r>
          </w:p>
        </w:tc>
        <w:tc>
          <w:tcPr>
            <w:tcW w:w="921" w:type="dxa"/>
            <w:noWrap/>
            <w:vAlign w:val="center"/>
            <w:hideMark/>
          </w:tcPr>
          <w:p w:rsidRPr="007129C6" w:rsidR="00B52D66" w:rsidP="00AB3CB7" w:rsidRDefault="00B52D66" w14:paraId="07B8E417"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7,1</w:t>
            </w:r>
          </w:p>
        </w:tc>
        <w:tc>
          <w:tcPr>
            <w:tcW w:w="821" w:type="dxa"/>
            <w:noWrap/>
            <w:vAlign w:val="center"/>
            <w:hideMark/>
          </w:tcPr>
          <w:p w:rsidRPr="007129C6" w:rsidR="00B52D66" w:rsidP="00AB3CB7" w:rsidRDefault="00B52D66" w14:paraId="5B12E872"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100%</w:t>
            </w:r>
          </w:p>
        </w:tc>
      </w:tr>
      <w:tr w:rsidRPr="007129C6" w:rsidR="00992B2C" w:rsidTr="00CB6E04" w14:paraId="37E97E72" w14:textId="77777777">
        <w:trPr>
          <w:trHeight w:val="288"/>
        </w:trPr>
        <w:tc>
          <w:tcPr>
            <w:cnfStyle w:val="001000000000" w:firstRow="0" w:lastRow="0" w:firstColumn="1" w:lastColumn="0" w:oddVBand="0" w:evenVBand="0" w:oddHBand="0" w:evenHBand="0" w:firstRowFirstColumn="0" w:firstRowLastColumn="0" w:lastRowFirstColumn="0" w:lastRowLastColumn="0"/>
            <w:tcW w:w="4819" w:type="dxa"/>
            <w:noWrap/>
            <w:hideMark/>
          </w:tcPr>
          <w:p w:rsidRPr="007129C6" w:rsidR="00B52D66" w:rsidP="00B52D66" w:rsidRDefault="00B52D66" w14:paraId="7947FF7A"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De regio heeft een dekkend techniekaanbod</w:t>
            </w:r>
          </w:p>
        </w:tc>
        <w:tc>
          <w:tcPr>
            <w:tcW w:w="871" w:type="dxa"/>
            <w:noWrap/>
            <w:vAlign w:val="center"/>
            <w:hideMark/>
          </w:tcPr>
          <w:p w:rsidRPr="007129C6" w:rsidR="00B52D66" w:rsidP="00AB3CB7" w:rsidRDefault="00B52D66" w14:paraId="5A20D5CB"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7,5</w:t>
            </w:r>
          </w:p>
        </w:tc>
        <w:tc>
          <w:tcPr>
            <w:tcW w:w="778" w:type="dxa"/>
            <w:noWrap/>
            <w:vAlign w:val="center"/>
            <w:hideMark/>
          </w:tcPr>
          <w:p w:rsidRPr="007129C6" w:rsidR="00B52D66" w:rsidP="00AB3CB7" w:rsidRDefault="00B52D66" w14:paraId="38B6AAEF"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98%</w:t>
            </w:r>
          </w:p>
        </w:tc>
        <w:tc>
          <w:tcPr>
            <w:tcW w:w="921" w:type="dxa"/>
            <w:noWrap/>
            <w:vAlign w:val="center"/>
            <w:hideMark/>
          </w:tcPr>
          <w:p w:rsidRPr="007129C6" w:rsidR="00B52D66" w:rsidP="00AB3CB7" w:rsidRDefault="00B52D66" w14:paraId="52C852AA"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7,6</w:t>
            </w:r>
          </w:p>
        </w:tc>
        <w:tc>
          <w:tcPr>
            <w:tcW w:w="821" w:type="dxa"/>
            <w:noWrap/>
            <w:vAlign w:val="center"/>
            <w:hideMark/>
          </w:tcPr>
          <w:p w:rsidRPr="007129C6" w:rsidR="00B52D66" w:rsidP="00AB3CB7" w:rsidRDefault="00B52D66" w14:paraId="6A18144E"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100%</w:t>
            </w:r>
          </w:p>
        </w:tc>
        <w:tc>
          <w:tcPr>
            <w:tcW w:w="921" w:type="dxa"/>
            <w:noWrap/>
            <w:vAlign w:val="center"/>
            <w:hideMark/>
          </w:tcPr>
          <w:p w:rsidRPr="007129C6" w:rsidR="00B52D66" w:rsidP="00AB3CB7" w:rsidRDefault="00B52D66" w14:paraId="38CFD84B"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7,3</w:t>
            </w:r>
          </w:p>
        </w:tc>
        <w:tc>
          <w:tcPr>
            <w:tcW w:w="821" w:type="dxa"/>
            <w:noWrap/>
            <w:vAlign w:val="center"/>
            <w:hideMark/>
          </w:tcPr>
          <w:p w:rsidRPr="007129C6" w:rsidR="00B52D66" w:rsidP="00AB3CB7" w:rsidRDefault="00B52D66" w14:paraId="18A9749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95%</w:t>
            </w:r>
          </w:p>
        </w:tc>
      </w:tr>
      <w:tr w:rsidRPr="007129C6" w:rsidR="00992B2C" w:rsidTr="00CB6E04" w14:paraId="1AA5EC2A" w14:textId="77777777">
        <w:trPr>
          <w:trHeight w:val="288"/>
        </w:trPr>
        <w:tc>
          <w:tcPr>
            <w:cnfStyle w:val="001000000000" w:firstRow="0" w:lastRow="0" w:firstColumn="1" w:lastColumn="0" w:oddVBand="0" w:evenVBand="0" w:oddHBand="0" w:evenHBand="0" w:firstRowFirstColumn="0" w:firstRowLastColumn="0" w:lastRowFirstColumn="0" w:lastRowLastColumn="0"/>
            <w:tcW w:w="4819" w:type="dxa"/>
            <w:noWrap/>
            <w:hideMark/>
          </w:tcPr>
          <w:p w:rsidRPr="007129C6" w:rsidR="00B52D66" w:rsidP="00B52D66" w:rsidRDefault="00B52D66" w14:paraId="13A4B5DB"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De regio biedt kwalitatief hoogstaand technisch onderwijs</w:t>
            </w:r>
          </w:p>
        </w:tc>
        <w:tc>
          <w:tcPr>
            <w:tcW w:w="871" w:type="dxa"/>
            <w:noWrap/>
            <w:vAlign w:val="center"/>
            <w:hideMark/>
          </w:tcPr>
          <w:p w:rsidRPr="007129C6" w:rsidR="00B52D66" w:rsidP="00AB3CB7" w:rsidRDefault="00B52D66" w14:paraId="30E14F4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7,4</w:t>
            </w:r>
          </w:p>
        </w:tc>
        <w:tc>
          <w:tcPr>
            <w:tcW w:w="778" w:type="dxa"/>
            <w:noWrap/>
            <w:vAlign w:val="center"/>
            <w:hideMark/>
          </w:tcPr>
          <w:p w:rsidRPr="007129C6" w:rsidR="00B52D66" w:rsidP="00AB3CB7" w:rsidRDefault="00B52D66" w14:paraId="4EAA2909"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96%</w:t>
            </w:r>
          </w:p>
        </w:tc>
        <w:tc>
          <w:tcPr>
            <w:tcW w:w="921" w:type="dxa"/>
            <w:noWrap/>
            <w:vAlign w:val="center"/>
            <w:hideMark/>
          </w:tcPr>
          <w:p w:rsidRPr="007129C6" w:rsidR="00B52D66" w:rsidP="00AB3CB7" w:rsidRDefault="00B52D66" w14:paraId="70F50F7D"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7,5</w:t>
            </w:r>
          </w:p>
        </w:tc>
        <w:tc>
          <w:tcPr>
            <w:tcW w:w="821" w:type="dxa"/>
            <w:noWrap/>
            <w:vAlign w:val="center"/>
            <w:hideMark/>
          </w:tcPr>
          <w:p w:rsidRPr="007129C6" w:rsidR="00B52D66" w:rsidP="00AB3CB7" w:rsidRDefault="00B52D66" w14:paraId="04602AB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96%</w:t>
            </w:r>
          </w:p>
        </w:tc>
        <w:tc>
          <w:tcPr>
            <w:tcW w:w="921" w:type="dxa"/>
            <w:noWrap/>
            <w:vAlign w:val="center"/>
            <w:hideMark/>
          </w:tcPr>
          <w:p w:rsidRPr="007129C6" w:rsidR="00B52D66" w:rsidP="00AB3CB7" w:rsidRDefault="00B52D66" w14:paraId="78539581"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7,2</w:t>
            </w:r>
          </w:p>
        </w:tc>
        <w:tc>
          <w:tcPr>
            <w:tcW w:w="821" w:type="dxa"/>
            <w:noWrap/>
            <w:vAlign w:val="center"/>
            <w:hideMark/>
          </w:tcPr>
          <w:p w:rsidRPr="007129C6" w:rsidR="00B52D66" w:rsidP="00AB3CB7" w:rsidRDefault="00B52D66" w14:paraId="399B6CB3"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95%</w:t>
            </w:r>
          </w:p>
        </w:tc>
      </w:tr>
    </w:tbl>
    <w:p w:rsidRPr="007129C6" w:rsidR="00B52D66" w:rsidP="00B52D66" w:rsidRDefault="00B52D66" w14:paraId="6A61D8A1" w14:textId="77777777">
      <w:pPr>
        <w:pStyle w:val="SEOBron"/>
        <w:rPr>
          <w:rFonts w:ascii="Trebuchet MS" w:hAnsi="Trebuchet MS"/>
          <w:szCs w:val="18"/>
        </w:rPr>
      </w:pPr>
      <w:r w:rsidRPr="007129C6">
        <w:rPr>
          <w:rFonts w:ascii="Trebuchet MS" w:hAnsi="Trebuchet MS"/>
          <w:szCs w:val="18"/>
        </w:rPr>
        <w:t xml:space="preserve">Enquête programmaleiders STO (april 2025). </w:t>
      </w:r>
    </w:p>
    <w:p w:rsidRPr="007129C6" w:rsidR="00B52D66" w:rsidP="00B52D66" w:rsidRDefault="00B52D66" w14:paraId="617000DB" w14:textId="6C886CED">
      <w:pPr>
        <w:pStyle w:val="SEOStandaard"/>
        <w:rPr>
          <w:rFonts w:ascii="Trebuchet MS" w:hAnsi="Trebuchet MS"/>
          <w:sz w:val="18"/>
          <w:szCs w:val="18"/>
        </w:rPr>
      </w:pPr>
      <w:r w:rsidRPr="007129C6">
        <w:rPr>
          <w:rFonts w:ascii="Trebuchet MS" w:hAnsi="Trebuchet MS"/>
          <w:sz w:val="18"/>
          <w:szCs w:val="18"/>
        </w:rPr>
        <w:t xml:space="preserve">Tabel </w:t>
      </w:r>
      <w:r w:rsidR="00BE45A3">
        <w:rPr>
          <w:rFonts w:ascii="Trebuchet MS" w:hAnsi="Trebuchet MS"/>
          <w:sz w:val="18"/>
          <w:szCs w:val="18"/>
        </w:rPr>
        <w:t>B1</w:t>
      </w:r>
      <w:r w:rsidRPr="007129C6">
        <w:rPr>
          <w:rFonts w:ascii="Trebuchet MS" w:hAnsi="Trebuchet MS"/>
          <w:sz w:val="18"/>
          <w:szCs w:val="18"/>
        </w:rPr>
        <w:t>.</w:t>
      </w:r>
      <w:r w:rsidR="00BE45A3">
        <w:rPr>
          <w:rFonts w:ascii="Trebuchet MS" w:hAnsi="Trebuchet MS"/>
          <w:sz w:val="18"/>
          <w:szCs w:val="18"/>
        </w:rPr>
        <w:t>7</w:t>
      </w:r>
      <w:r w:rsidRPr="007129C6">
        <w:rPr>
          <w:rFonts w:ascii="Trebuchet MS" w:hAnsi="Trebuchet MS"/>
          <w:sz w:val="18"/>
          <w:szCs w:val="18"/>
        </w:rPr>
        <w:t xml:space="preserve"> De tevredenheid over de eigen regio wat betreft de vooruitgang op de drie hoofddoelen van STO in de periode 2020-2024 volgens alle programmaleiders, uitgesplitst naar verdeling middelen</w:t>
      </w:r>
    </w:p>
    <w:tbl>
      <w:tblPr>
        <w:tblStyle w:val="SEOTabel2"/>
        <w:tblW w:w="9568" w:type="dxa"/>
        <w:tblCellMar>
          <w:top w:w="28" w:type="dxa"/>
          <w:left w:w="28" w:type="dxa"/>
          <w:bottom w:w="28" w:type="dxa"/>
          <w:right w:w="28" w:type="dxa"/>
        </w:tblCellMar>
        <w:tblLook w:val="04A0" w:firstRow="1" w:lastRow="0" w:firstColumn="1" w:lastColumn="0" w:noHBand="0" w:noVBand="1"/>
      </w:tblPr>
      <w:tblGrid>
        <w:gridCol w:w="4820"/>
        <w:gridCol w:w="1075"/>
        <w:gridCol w:w="1984"/>
        <w:gridCol w:w="1984"/>
      </w:tblGrid>
      <w:tr w:rsidRPr="007129C6" w:rsidR="00992B2C" w:rsidTr="00CB6E04" w14:paraId="3405E705"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20" w:type="dxa"/>
            <w:noWrap/>
            <w:vAlign w:val="center"/>
            <w:hideMark/>
          </w:tcPr>
          <w:p w:rsidRPr="007129C6" w:rsidR="00B52D66" w:rsidP="00351D42" w:rsidRDefault="00B52D66" w14:paraId="20DDC22E" w14:textId="77777777">
            <w:pPr>
              <w:pStyle w:val="SEOStandaard"/>
              <w:spacing w:line="240" w:lineRule="auto"/>
              <w:jc w:val="left"/>
              <w:rPr>
                <w:rFonts w:ascii="Trebuchet MS" w:hAnsi="Trebuchet MS"/>
                <w:b w:val="0"/>
                <w:bCs/>
                <w:color w:val="FFFFFF" w:themeColor="background1"/>
                <w:sz w:val="18"/>
                <w:szCs w:val="18"/>
              </w:rPr>
            </w:pPr>
            <w:r w:rsidRPr="007129C6">
              <w:rPr>
                <w:rFonts w:ascii="Trebuchet MS" w:hAnsi="Trebuchet MS"/>
                <w:bCs/>
                <w:color w:val="FFFFFF" w:themeColor="background1"/>
                <w:sz w:val="18"/>
                <w:szCs w:val="18"/>
              </w:rPr>
              <w:t>Hoe tevreden bent u met de vooruitgang die in uw regio de afgelopen STO-periode (2020-2024) is geboekt op deze drie hoofddoelen?</w:t>
            </w:r>
          </w:p>
        </w:tc>
        <w:tc>
          <w:tcPr>
            <w:tcW w:w="780" w:type="dxa"/>
            <w:noWrap/>
            <w:hideMark/>
          </w:tcPr>
          <w:p w:rsidRPr="007129C6" w:rsidR="00B52D66" w:rsidP="00B52D66" w:rsidRDefault="00B52D66" w14:paraId="766F1269" w14:textId="1AF81623">
            <w:pPr>
              <w:pStyle w:val="SEOStandaard"/>
              <w:spacing w:line="240" w:lineRule="auto"/>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Programma</w:t>
            </w:r>
            <w:r w:rsidR="00A92EDF">
              <w:rPr>
                <w:rFonts w:ascii="Trebuchet MS" w:hAnsi="Trebuchet MS"/>
                <w:color w:val="FFFFFF" w:themeColor="background1"/>
                <w:sz w:val="18"/>
                <w:szCs w:val="18"/>
              </w:rPr>
              <w:t>-</w:t>
            </w:r>
            <w:r w:rsidRPr="007129C6">
              <w:rPr>
                <w:rFonts w:ascii="Trebuchet MS" w:hAnsi="Trebuchet MS"/>
                <w:color w:val="FFFFFF" w:themeColor="background1"/>
                <w:sz w:val="18"/>
                <w:szCs w:val="18"/>
              </w:rPr>
              <w:t>leiders (n=48)</w:t>
            </w:r>
          </w:p>
        </w:tc>
        <w:tc>
          <w:tcPr>
            <w:tcW w:w="1984" w:type="dxa"/>
            <w:noWrap/>
            <w:hideMark/>
          </w:tcPr>
          <w:p w:rsidRPr="007129C6" w:rsidR="00B52D66" w:rsidP="00B52D66" w:rsidRDefault="00B52D66" w14:paraId="1E222CB9" w14:textId="77777777">
            <w:pPr>
              <w:pStyle w:val="SEOStandaard"/>
              <w:spacing w:line="240" w:lineRule="auto"/>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Programmaleiders met verdeelsleutel middelen (n=28)</w:t>
            </w:r>
          </w:p>
        </w:tc>
        <w:tc>
          <w:tcPr>
            <w:tcW w:w="1984" w:type="dxa"/>
            <w:noWrap/>
            <w:hideMark/>
          </w:tcPr>
          <w:p w:rsidRPr="007129C6" w:rsidR="00B52D66" w:rsidP="00B52D66" w:rsidRDefault="00B52D66" w14:paraId="201A824F" w14:textId="77777777">
            <w:pPr>
              <w:pStyle w:val="SEOStandaard"/>
              <w:spacing w:line="240" w:lineRule="auto"/>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Programmaleiders met regionaal beheer middelen (n=20)</w:t>
            </w:r>
          </w:p>
        </w:tc>
      </w:tr>
      <w:tr w:rsidRPr="007129C6" w:rsidR="00992B2C" w:rsidTr="00CB6E04" w14:paraId="081C0609" w14:textId="77777777">
        <w:trPr>
          <w:trHeight w:val="288"/>
        </w:trPr>
        <w:tc>
          <w:tcPr>
            <w:cnfStyle w:val="001000000000" w:firstRow="0" w:lastRow="0" w:firstColumn="1" w:lastColumn="0" w:oddVBand="0" w:evenVBand="0" w:oddHBand="0" w:evenHBand="0" w:firstRowFirstColumn="0" w:firstRowLastColumn="0" w:lastRowFirstColumn="0" w:lastRowLastColumn="0"/>
            <w:tcW w:w="4820" w:type="dxa"/>
            <w:noWrap/>
            <w:hideMark/>
          </w:tcPr>
          <w:p w:rsidRPr="007129C6" w:rsidR="00B52D66" w:rsidP="00B52D66" w:rsidRDefault="00B52D66" w14:paraId="617C67E2"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De regio heeft een duurzaam techniekaanbod</w:t>
            </w:r>
          </w:p>
        </w:tc>
        <w:tc>
          <w:tcPr>
            <w:tcW w:w="780" w:type="dxa"/>
            <w:noWrap/>
            <w:vAlign w:val="center"/>
            <w:hideMark/>
          </w:tcPr>
          <w:p w:rsidRPr="007129C6" w:rsidR="00B52D66" w:rsidP="00A64D28" w:rsidRDefault="00B52D66" w14:paraId="7CAA245C"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81%</w:t>
            </w:r>
          </w:p>
        </w:tc>
        <w:tc>
          <w:tcPr>
            <w:tcW w:w="1984" w:type="dxa"/>
            <w:noWrap/>
            <w:vAlign w:val="center"/>
            <w:hideMark/>
          </w:tcPr>
          <w:p w:rsidRPr="007129C6" w:rsidR="00B52D66" w:rsidP="00A64D28" w:rsidRDefault="00B52D66" w14:paraId="2641E6C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75%</w:t>
            </w:r>
          </w:p>
        </w:tc>
        <w:tc>
          <w:tcPr>
            <w:tcW w:w="1984" w:type="dxa"/>
            <w:noWrap/>
            <w:vAlign w:val="center"/>
            <w:hideMark/>
          </w:tcPr>
          <w:p w:rsidRPr="007129C6" w:rsidR="00B52D66" w:rsidP="00A64D28" w:rsidRDefault="00B52D66" w14:paraId="493EC51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90%</w:t>
            </w:r>
          </w:p>
        </w:tc>
      </w:tr>
      <w:tr w:rsidRPr="007129C6" w:rsidR="00992B2C" w:rsidTr="00CB6E04" w14:paraId="0148E44F" w14:textId="77777777">
        <w:trPr>
          <w:trHeight w:val="288"/>
        </w:trPr>
        <w:tc>
          <w:tcPr>
            <w:cnfStyle w:val="001000000000" w:firstRow="0" w:lastRow="0" w:firstColumn="1" w:lastColumn="0" w:oddVBand="0" w:evenVBand="0" w:oddHBand="0" w:evenHBand="0" w:firstRowFirstColumn="0" w:firstRowLastColumn="0" w:lastRowFirstColumn="0" w:lastRowLastColumn="0"/>
            <w:tcW w:w="4820" w:type="dxa"/>
            <w:noWrap/>
            <w:hideMark/>
          </w:tcPr>
          <w:p w:rsidRPr="007129C6" w:rsidR="00B52D66" w:rsidP="00B52D66" w:rsidRDefault="00B52D66" w14:paraId="3620325B"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De regio heeft een dekkend techniekaanbod</w:t>
            </w:r>
          </w:p>
        </w:tc>
        <w:tc>
          <w:tcPr>
            <w:tcW w:w="780" w:type="dxa"/>
            <w:noWrap/>
            <w:vAlign w:val="center"/>
            <w:hideMark/>
          </w:tcPr>
          <w:p w:rsidRPr="007129C6" w:rsidR="00B52D66" w:rsidP="00A64D28" w:rsidRDefault="00B52D66" w14:paraId="0C38918C"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79%</w:t>
            </w:r>
          </w:p>
        </w:tc>
        <w:tc>
          <w:tcPr>
            <w:tcW w:w="1984" w:type="dxa"/>
            <w:noWrap/>
            <w:vAlign w:val="center"/>
            <w:hideMark/>
          </w:tcPr>
          <w:p w:rsidRPr="007129C6" w:rsidR="00B52D66" w:rsidP="00A64D28" w:rsidRDefault="00B52D66" w14:paraId="71345C1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86%</w:t>
            </w:r>
          </w:p>
        </w:tc>
        <w:tc>
          <w:tcPr>
            <w:tcW w:w="1984" w:type="dxa"/>
            <w:noWrap/>
            <w:vAlign w:val="center"/>
            <w:hideMark/>
          </w:tcPr>
          <w:p w:rsidRPr="007129C6" w:rsidR="00B52D66" w:rsidP="00A64D28" w:rsidRDefault="00B52D66" w14:paraId="00BD82A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70%</w:t>
            </w:r>
          </w:p>
        </w:tc>
      </w:tr>
      <w:tr w:rsidRPr="007129C6" w:rsidR="00992B2C" w:rsidTr="00CB6E04" w14:paraId="5DFC4654" w14:textId="77777777">
        <w:trPr>
          <w:trHeight w:val="288"/>
        </w:trPr>
        <w:tc>
          <w:tcPr>
            <w:cnfStyle w:val="001000000000" w:firstRow="0" w:lastRow="0" w:firstColumn="1" w:lastColumn="0" w:oddVBand="0" w:evenVBand="0" w:oddHBand="0" w:evenHBand="0" w:firstRowFirstColumn="0" w:firstRowLastColumn="0" w:lastRowFirstColumn="0" w:lastRowLastColumn="0"/>
            <w:tcW w:w="4820" w:type="dxa"/>
            <w:noWrap/>
            <w:hideMark/>
          </w:tcPr>
          <w:p w:rsidRPr="007129C6" w:rsidR="00B52D66" w:rsidP="00B52D66" w:rsidRDefault="00B52D66" w14:paraId="646B564F"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De regio biedt kwalitatief hoogstaand technisch onderwijs</w:t>
            </w:r>
          </w:p>
        </w:tc>
        <w:tc>
          <w:tcPr>
            <w:tcW w:w="780" w:type="dxa"/>
            <w:noWrap/>
            <w:vAlign w:val="center"/>
            <w:hideMark/>
          </w:tcPr>
          <w:p w:rsidRPr="007129C6" w:rsidR="00B52D66" w:rsidP="00A64D28" w:rsidRDefault="00B52D66" w14:paraId="04DAEF1A"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77%</w:t>
            </w:r>
          </w:p>
        </w:tc>
        <w:tc>
          <w:tcPr>
            <w:tcW w:w="1984" w:type="dxa"/>
            <w:noWrap/>
            <w:vAlign w:val="center"/>
            <w:hideMark/>
          </w:tcPr>
          <w:p w:rsidRPr="007129C6" w:rsidR="00B52D66" w:rsidP="00A64D28" w:rsidRDefault="00B52D66" w14:paraId="5E136DDE"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79%</w:t>
            </w:r>
          </w:p>
        </w:tc>
        <w:tc>
          <w:tcPr>
            <w:tcW w:w="1984" w:type="dxa"/>
            <w:noWrap/>
            <w:vAlign w:val="center"/>
            <w:hideMark/>
          </w:tcPr>
          <w:p w:rsidRPr="007129C6" w:rsidR="00B52D66" w:rsidP="00A64D28" w:rsidRDefault="00B52D66" w14:paraId="2A6ACB0C"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75%</w:t>
            </w:r>
          </w:p>
        </w:tc>
      </w:tr>
    </w:tbl>
    <w:p w:rsidRPr="007129C6" w:rsidR="00B52D66" w:rsidP="00B52D66" w:rsidRDefault="00B52D66" w14:paraId="3222DC7C" w14:textId="77777777">
      <w:pPr>
        <w:pStyle w:val="SEOBron"/>
        <w:rPr>
          <w:rFonts w:ascii="Trebuchet MS" w:hAnsi="Trebuchet MS"/>
          <w:szCs w:val="18"/>
        </w:rPr>
      </w:pPr>
      <w:r w:rsidRPr="007129C6">
        <w:rPr>
          <w:rFonts w:ascii="Trebuchet MS" w:hAnsi="Trebuchet MS"/>
          <w:szCs w:val="18"/>
        </w:rPr>
        <w:t>Enquête programmaleiders STO (april 2025). % (zeer) tevreden.</w:t>
      </w:r>
    </w:p>
    <w:p w:rsidRPr="007129C6" w:rsidR="00B52D66" w:rsidP="00B52D66" w:rsidRDefault="00B52D66" w14:paraId="451FD64F" w14:textId="48C7B2BD">
      <w:pPr>
        <w:rPr>
          <w:szCs w:val="18"/>
        </w:rPr>
      </w:pPr>
      <w:r w:rsidRPr="007129C6">
        <w:rPr>
          <w:szCs w:val="18"/>
        </w:rPr>
        <w:t xml:space="preserve">Tabel </w:t>
      </w:r>
      <w:r w:rsidR="00BE45A3">
        <w:rPr>
          <w:szCs w:val="18"/>
        </w:rPr>
        <w:t>B1</w:t>
      </w:r>
      <w:r w:rsidRPr="007129C6">
        <w:rPr>
          <w:szCs w:val="18"/>
        </w:rPr>
        <w:t>.</w:t>
      </w:r>
      <w:r w:rsidR="00BE45A3">
        <w:rPr>
          <w:szCs w:val="18"/>
        </w:rPr>
        <w:t>8</w:t>
      </w:r>
      <w:r w:rsidRPr="007129C6">
        <w:rPr>
          <w:szCs w:val="18"/>
        </w:rPr>
        <w:t xml:space="preserve"> Mate van impact van STO op maatschappelijke problemen die aanleiding gaven tot de STO-regeling voor alle programmaleiders, uitgesplitst naar verdeling middelen</w:t>
      </w:r>
    </w:p>
    <w:tbl>
      <w:tblPr>
        <w:tblStyle w:val="SEOTabel2"/>
        <w:tblW w:w="9695" w:type="dxa"/>
        <w:tblCellMar>
          <w:top w:w="28" w:type="dxa"/>
          <w:left w:w="28" w:type="dxa"/>
          <w:bottom w:w="28" w:type="dxa"/>
          <w:right w:w="28" w:type="dxa"/>
        </w:tblCellMar>
        <w:tblLook w:val="04A0" w:firstRow="1" w:lastRow="0" w:firstColumn="1" w:lastColumn="0" w:noHBand="0" w:noVBand="1"/>
      </w:tblPr>
      <w:tblGrid>
        <w:gridCol w:w="4819"/>
        <w:gridCol w:w="1134"/>
        <w:gridCol w:w="1871"/>
        <w:gridCol w:w="1871"/>
      </w:tblGrid>
      <w:tr w:rsidRPr="007129C6" w:rsidR="00C21D73" w:rsidTr="00CB6E04" w14:paraId="416C5C9A"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19" w:type="dxa"/>
            <w:noWrap/>
            <w:vAlign w:val="center"/>
            <w:hideMark/>
          </w:tcPr>
          <w:p w:rsidRPr="007129C6" w:rsidR="00B52D66" w:rsidP="00351D42" w:rsidRDefault="00B52D66" w14:paraId="716D6BC3" w14:textId="77777777">
            <w:pPr>
              <w:rPr>
                <w:b w:val="0"/>
                <w:bCs/>
                <w:szCs w:val="18"/>
              </w:rPr>
            </w:pPr>
            <w:r w:rsidRPr="007129C6">
              <w:rPr>
                <w:bCs/>
                <w:szCs w:val="18"/>
              </w:rPr>
              <w:t>In hoeverre heeft de inzet van de STO-middelen en de daarmee gerealiseerde activiteiten en opbrengsten in uw regio bijgedragen aan het verhelpen van de volgende problemen?</w:t>
            </w:r>
          </w:p>
        </w:tc>
        <w:tc>
          <w:tcPr>
            <w:tcW w:w="1134" w:type="dxa"/>
            <w:noWrap/>
            <w:hideMark/>
          </w:tcPr>
          <w:p w:rsidRPr="007129C6" w:rsidR="00B52D66" w:rsidP="00FC2172" w:rsidRDefault="00B52D66" w14:paraId="0DCC1A98" w14:textId="546EB090">
            <w:pPr>
              <w:cnfStyle w:val="100000000000" w:firstRow="1" w:lastRow="0" w:firstColumn="0" w:lastColumn="0" w:oddVBand="0" w:evenVBand="0" w:oddHBand="0" w:evenHBand="0" w:firstRowFirstColumn="0" w:firstRowLastColumn="0" w:lastRowFirstColumn="0" w:lastRowLastColumn="0"/>
              <w:rPr>
                <w:szCs w:val="18"/>
              </w:rPr>
            </w:pPr>
            <w:r w:rsidRPr="007129C6">
              <w:rPr>
                <w:szCs w:val="18"/>
              </w:rPr>
              <w:t>Programma</w:t>
            </w:r>
            <w:r w:rsidR="00A92EDF">
              <w:rPr>
                <w:szCs w:val="18"/>
              </w:rPr>
              <w:t>-</w:t>
            </w:r>
            <w:r w:rsidRPr="007129C6">
              <w:rPr>
                <w:szCs w:val="18"/>
              </w:rPr>
              <w:t>leiders (n=48)</w:t>
            </w:r>
          </w:p>
        </w:tc>
        <w:tc>
          <w:tcPr>
            <w:tcW w:w="1871" w:type="dxa"/>
            <w:noWrap/>
            <w:hideMark/>
          </w:tcPr>
          <w:p w:rsidRPr="007129C6" w:rsidR="00B52D66" w:rsidP="00FC2172" w:rsidRDefault="00B52D66" w14:paraId="6A24EB58" w14:textId="77777777">
            <w:pPr>
              <w:cnfStyle w:val="100000000000" w:firstRow="1" w:lastRow="0" w:firstColumn="0" w:lastColumn="0" w:oddVBand="0" w:evenVBand="0" w:oddHBand="0" w:evenHBand="0" w:firstRowFirstColumn="0" w:firstRowLastColumn="0" w:lastRowFirstColumn="0" w:lastRowLastColumn="0"/>
              <w:rPr>
                <w:szCs w:val="18"/>
              </w:rPr>
            </w:pPr>
            <w:r w:rsidRPr="007129C6">
              <w:rPr>
                <w:szCs w:val="18"/>
              </w:rPr>
              <w:t>Programmaleiders met verdeelsleutel middelen (n=28)</w:t>
            </w:r>
          </w:p>
        </w:tc>
        <w:tc>
          <w:tcPr>
            <w:tcW w:w="1871" w:type="dxa"/>
            <w:noWrap/>
            <w:hideMark/>
          </w:tcPr>
          <w:p w:rsidRPr="007129C6" w:rsidR="00B52D66" w:rsidP="00FC2172" w:rsidRDefault="00B52D66" w14:paraId="25657CAA" w14:textId="77777777">
            <w:pPr>
              <w:cnfStyle w:val="100000000000" w:firstRow="1" w:lastRow="0" w:firstColumn="0" w:lastColumn="0" w:oddVBand="0" w:evenVBand="0" w:oddHBand="0" w:evenHBand="0" w:firstRowFirstColumn="0" w:firstRowLastColumn="0" w:lastRowFirstColumn="0" w:lastRowLastColumn="0"/>
              <w:rPr>
                <w:szCs w:val="18"/>
              </w:rPr>
            </w:pPr>
            <w:r w:rsidRPr="007129C6">
              <w:rPr>
                <w:szCs w:val="18"/>
              </w:rPr>
              <w:t>Programmaleiders met regionaal beheer middelen (n=20)</w:t>
            </w:r>
          </w:p>
        </w:tc>
      </w:tr>
      <w:tr w:rsidRPr="007129C6" w:rsidR="00C21D73" w:rsidTr="00CB6E04" w14:paraId="762EC747" w14:textId="77777777">
        <w:trPr>
          <w:trHeight w:val="288"/>
        </w:trPr>
        <w:tc>
          <w:tcPr>
            <w:cnfStyle w:val="001000000000" w:firstRow="0" w:lastRow="0" w:firstColumn="1" w:lastColumn="0" w:oddVBand="0" w:evenVBand="0" w:oddHBand="0" w:evenHBand="0" w:firstRowFirstColumn="0" w:firstRowLastColumn="0" w:lastRowFirstColumn="0" w:lastRowLastColumn="0"/>
            <w:tcW w:w="4819" w:type="dxa"/>
            <w:noWrap/>
            <w:hideMark/>
          </w:tcPr>
          <w:p w:rsidRPr="007129C6" w:rsidR="00B52D66" w:rsidP="00FC2172" w:rsidRDefault="00B52D66" w14:paraId="7529476D" w14:textId="77777777">
            <w:pPr>
              <w:rPr>
                <w:szCs w:val="18"/>
              </w:rPr>
            </w:pPr>
            <w:r w:rsidRPr="007129C6">
              <w:rPr>
                <w:szCs w:val="18"/>
              </w:rPr>
              <w:t>Dalende leerlingaantallen beroepsgerichte leerwegen</w:t>
            </w:r>
          </w:p>
        </w:tc>
        <w:tc>
          <w:tcPr>
            <w:tcW w:w="1134" w:type="dxa"/>
            <w:noWrap/>
            <w:vAlign w:val="center"/>
            <w:hideMark/>
          </w:tcPr>
          <w:p w:rsidRPr="007129C6" w:rsidR="00B52D66" w:rsidP="00A64D28" w:rsidRDefault="00B52D66" w14:paraId="4BA60560"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67%</w:t>
            </w:r>
          </w:p>
        </w:tc>
        <w:tc>
          <w:tcPr>
            <w:tcW w:w="1871" w:type="dxa"/>
            <w:noWrap/>
            <w:vAlign w:val="center"/>
            <w:hideMark/>
          </w:tcPr>
          <w:p w:rsidRPr="007129C6" w:rsidR="00B52D66" w:rsidP="00A64D28" w:rsidRDefault="00B52D66" w14:paraId="3B29198E"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71%</w:t>
            </w:r>
          </w:p>
        </w:tc>
        <w:tc>
          <w:tcPr>
            <w:tcW w:w="1871" w:type="dxa"/>
            <w:noWrap/>
            <w:vAlign w:val="center"/>
            <w:hideMark/>
          </w:tcPr>
          <w:p w:rsidRPr="007129C6" w:rsidR="00B52D66" w:rsidP="00A64D28" w:rsidRDefault="00B52D66" w14:paraId="32C622B8"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60%</w:t>
            </w:r>
          </w:p>
        </w:tc>
      </w:tr>
      <w:tr w:rsidRPr="007129C6" w:rsidR="00C21D73" w:rsidTr="00CB6E04" w14:paraId="52958A90" w14:textId="77777777">
        <w:trPr>
          <w:trHeight w:val="288"/>
        </w:trPr>
        <w:tc>
          <w:tcPr>
            <w:cnfStyle w:val="001000000000" w:firstRow="0" w:lastRow="0" w:firstColumn="1" w:lastColumn="0" w:oddVBand="0" w:evenVBand="0" w:oddHBand="0" w:evenHBand="0" w:firstRowFirstColumn="0" w:firstRowLastColumn="0" w:lastRowFirstColumn="0" w:lastRowLastColumn="0"/>
            <w:tcW w:w="4819" w:type="dxa"/>
            <w:noWrap/>
            <w:hideMark/>
          </w:tcPr>
          <w:p w:rsidRPr="007129C6" w:rsidR="00B52D66" w:rsidP="00FC2172" w:rsidRDefault="00B52D66" w14:paraId="7B9FF835" w14:textId="77777777">
            <w:pPr>
              <w:rPr>
                <w:szCs w:val="18"/>
              </w:rPr>
            </w:pPr>
            <w:r w:rsidRPr="007129C6">
              <w:rPr>
                <w:szCs w:val="18"/>
              </w:rPr>
              <w:t>Afname aandeel leerlingen dat voor techniekprofiel kiest</w:t>
            </w:r>
          </w:p>
        </w:tc>
        <w:tc>
          <w:tcPr>
            <w:tcW w:w="1134" w:type="dxa"/>
            <w:noWrap/>
            <w:vAlign w:val="center"/>
            <w:hideMark/>
          </w:tcPr>
          <w:p w:rsidRPr="007129C6" w:rsidR="00B52D66" w:rsidP="00A64D28" w:rsidRDefault="00B52D66" w14:paraId="43020E8D"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77%</w:t>
            </w:r>
          </w:p>
        </w:tc>
        <w:tc>
          <w:tcPr>
            <w:tcW w:w="1871" w:type="dxa"/>
            <w:noWrap/>
            <w:vAlign w:val="center"/>
            <w:hideMark/>
          </w:tcPr>
          <w:p w:rsidRPr="007129C6" w:rsidR="00B52D66" w:rsidP="00A64D28" w:rsidRDefault="00B52D66" w14:paraId="40F51675"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82%</w:t>
            </w:r>
          </w:p>
        </w:tc>
        <w:tc>
          <w:tcPr>
            <w:tcW w:w="1871" w:type="dxa"/>
            <w:noWrap/>
            <w:vAlign w:val="center"/>
            <w:hideMark/>
          </w:tcPr>
          <w:p w:rsidRPr="007129C6" w:rsidR="00B52D66" w:rsidP="00A64D28" w:rsidRDefault="00B52D66" w14:paraId="156B5B2D"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70%</w:t>
            </w:r>
          </w:p>
        </w:tc>
      </w:tr>
      <w:tr w:rsidRPr="007129C6" w:rsidR="00C21D73" w:rsidTr="00CB6E04" w14:paraId="02B72643" w14:textId="77777777">
        <w:trPr>
          <w:trHeight w:val="288"/>
        </w:trPr>
        <w:tc>
          <w:tcPr>
            <w:cnfStyle w:val="001000000000" w:firstRow="0" w:lastRow="0" w:firstColumn="1" w:lastColumn="0" w:oddVBand="0" w:evenVBand="0" w:oddHBand="0" w:evenHBand="0" w:firstRowFirstColumn="0" w:firstRowLastColumn="0" w:lastRowFirstColumn="0" w:lastRowLastColumn="0"/>
            <w:tcW w:w="4819" w:type="dxa"/>
            <w:noWrap/>
            <w:hideMark/>
          </w:tcPr>
          <w:p w:rsidRPr="007129C6" w:rsidR="00B52D66" w:rsidP="00FC2172" w:rsidRDefault="00B52D66" w14:paraId="4DF19F83" w14:textId="77777777">
            <w:pPr>
              <w:rPr>
                <w:szCs w:val="18"/>
              </w:rPr>
            </w:pPr>
            <w:r w:rsidRPr="007129C6">
              <w:rPr>
                <w:szCs w:val="18"/>
              </w:rPr>
              <w:t>Versnipperd (ondoelmatig) techniekaanbod</w:t>
            </w:r>
          </w:p>
        </w:tc>
        <w:tc>
          <w:tcPr>
            <w:tcW w:w="1134" w:type="dxa"/>
            <w:noWrap/>
            <w:vAlign w:val="center"/>
            <w:hideMark/>
          </w:tcPr>
          <w:p w:rsidRPr="007129C6" w:rsidR="00B52D66" w:rsidP="00A64D28" w:rsidRDefault="00B52D66" w14:paraId="49813F54"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71%</w:t>
            </w:r>
          </w:p>
        </w:tc>
        <w:tc>
          <w:tcPr>
            <w:tcW w:w="1871" w:type="dxa"/>
            <w:noWrap/>
            <w:vAlign w:val="center"/>
            <w:hideMark/>
          </w:tcPr>
          <w:p w:rsidRPr="007129C6" w:rsidR="00B52D66" w:rsidP="00A64D28" w:rsidRDefault="00B52D66" w14:paraId="7E675214"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61%</w:t>
            </w:r>
          </w:p>
        </w:tc>
        <w:tc>
          <w:tcPr>
            <w:tcW w:w="1871" w:type="dxa"/>
            <w:noWrap/>
            <w:vAlign w:val="center"/>
            <w:hideMark/>
          </w:tcPr>
          <w:p w:rsidRPr="007129C6" w:rsidR="00B52D66" w:rsidP="00A64D28" w:rsidRDefault="00B52D66" w14:paraId="5CC4BDED"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85%</w:t>
            </w:r>
          </w:p>
        </w:tc>
      </w:tr>
      <w:tr w:rsidRPr="007129C6" w:rsidR="00C21D73" w:rsidTr="00CB6E04" w14:paraId="666FDC84" w14:textId="77777777">
        <w:trPr>
          <w:trHeight w:val="288"/>
        </w:trPr>
        <w:tc>
          <w:tcPr>
            <w:cnfStyle w:val="001000000000" w:firstRow="0" w:lastRow="0" w:firstColumn="1" w:lastColumn="0" w:oddVBand="0" w:evenVBand="0" w:oddHBand="0" w:evenHBand="0" w:firstRowFirstColumn="0" w:firstRowLastColumn="0" w:lastRowFirstColumn="0" w:lastRowLastColumn="0"/>
            <w:tcW w:w="4819" w:type="dxa"/>
            <w:noWrap/>
            <w:hideMark/>
          </w:tcPr>
          <w:p w:rsidRPr="007129C6" w:rsidR="00B52D66" w:rsidP="00FC2172" w:rsidRDefault="00B52D66" w14:paraId="474380CD" w14:textId="77777777">
            <w:pPr>
              <w:rPr>
                <w:szCs w:val="18"/>
              </w:rPr>
            </w:pPr>
            <w:r w:rsidRPr="007129C6">
              <w:rPr>
                <w:szCs w:val="18"/>
              </w:rPr>
              <w:t>(Dreigend) lerarentekort voor techniek</w:t>
            </w:r>
          </w:p>
        </w:tc>
        <w:tc>
          <w:tcPr>
            <w:tcW w:w="1134" w:type="dxa"/>
            <w:noWrap/>
            <w:vAlign w:val="center"/>
            <w:hideMark/>
          </w:tcPr>
          <w:p w:rsidRPr="007129C6" w:rsidR="00B52D66" w:rsidP="00A64D28" w:rsidRDefault="00B52D66" w14:paraId="03B1159D"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56%</w:t>
            </w:r>
          </w:p>
        </w:tc>
        <w:tc>
          <w:tcPr>
            <w:tcW w:w="1871" w:type="dxa"/>
            <w:noWrap/>
            <w:vAlign w:val="center"/>
            <w:hideMark/>
          </w:tcPr>
          <w:p w:rsidRPr="007129C6" w:rsidR="00B52D66" w:rsidP="00A64D28" w:rsidRDefault="00B52D66" w14:paraId="3B96EA0C"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50%</w:t>
            </w:r>
          </w:p>
        </w:tc>
        <w:tc>
          <w:tcPr>
            <w:tcW w:w="1871" w:type="dxa"/>
            <w:noWrap/>
            <w:vAlign w:val="center"/>
            <w:hideMark/>
          </w:tcPr>
          <w:p w:rsidRPr="007129C6" w:rsidR="00B52D66" w:rsidP="00A64D28" w:rsidRDefault="00B52D66" w14:paraId="279DA92D"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65%</w:t>
            </w:r>
          </w:p>
        </w:tc>
      </w:tr>
      <w:tr w:rsidRPr="007129C6" w:rsidR="00C21D73" w:rsidTr="00CB6E04" w14:paraId="57B7F0FF" w14:textId="77777777">
        <w:trPr>
          <w:trHeight w:val="288"/>
        </w:trPr>
        <w:tc>
          <w:tcPr>
            <w:cnfStyle w:val="001000000000" w:firstRow="0" w:lastRow="0" w:firstColumn="1" w:lastColumn="0" w:oddVBand="0" w:evenVBand="0" w:oddHBand="0" w:evenHBand="0" w:firstRowFirstColumn="0" w:firstRowLastColumn="0" w:lastRowFirstColumn="0" w:lastRowLastColumn="0"/>
            <w:tcW w:w="4819" w:type="dxa"/>
            <w:noWrap/>
            <w:hideMark/>
          </w:tcPr>
          <w:p w:rsidRPr="007129C6" w:rsidR="00B52D66" w:rsidP="00FC2172" w:rsidRDefault="00B52D66" w14:paraId="6C6BA47E" w14:textId="77777777">
            <w:pPr>
              <w:rPr>
                <w:szCs w:val="18"/>
              </w:rPr>
            </w:pPr>
            <w:r w:rsidRPr="007129C6">
              <w:rPr>
                <w:szCs w:val="18"/>
              </w:rPr>
              <w:t>Aansluiting technisch onderwijs op vervolgonderwijs en behoefte arbeidsmarkt kan beter</w:t>
            </w:r>
          </w:p>
        </w:tc>
        <w:tc>
          <w:tcPr>
            <w:tcW w:w="1134" w:type="dxa"/>
            <w:noWrap/>
            <w:vAlign w:val="center"/>
            <w:hideMark/>
          </w:tcPr>
          <w:p w:rsidRPr="007129C6" w:rsidR="00B52D66" w:rsidP="00A64D28" w:rsidRDefault="00B52D66" w14:paraId="78926F3B"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77%</w:t>
            </w:r>
          </w:p>
        </w:tc>
        <w:tc>
          <w:tcPr>
            <w:tcW w:w="1871" w:type="dxa"/>
            <w:noWrap/>
            <w:vAlign w:val="center"/>
            <w:hideMark/>
          </w:tcPr>
          <w:p w:rsidRPr="007129C6" w:rsidR="00B52D66" w:rsidP="00A64D28" w:rsidRDefault="00B52D66" w14:paraId="24C21535"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75%</w:t>
            </w:r>
          </w:p>
        </w:tc>
        <w:tc>
          <w:tcPr>
            <w:tcW w:w="1871" w:type="dxa"/>
            <w:noWrap/>
            <w:vAlign w:val="center"/>
            <w:hideMark/>
          </w:tcPr>
          <w:p w:rsidRPr="007129C6" w:rsidR="00B52D66" w:rsidP="00A64D28" w:rsidRDefault="00B52D66" w14:paraId="44B465F3"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80%</w:t>
            </w:r>
          </w:p>
        </w:tc>
      </w:tr>
      <w:tr w:rsidRPr="007129C6" w:rsidR="00C21D73" w:rsidTr="00CB6E04" w14:paraId="551789EC" w14:textId="77777777">
        <w:trPr>
          <w:trHeight w:val="288"/>
        </w:trPr>
        <w:tc>
          <w:tcPr>
            <w:cnfStyle w:val="001000000000" w:firstRow="0" w:lastRow="0" w:firstColumn="1" w:lastColumn="0" w:oddVBand="0" w:evenVBand="0" w:oddHBand="0" w:evenHBand="0" w:firstRowFirstColumn="0" w:firstRowLastColumn="0" w:lastRowFirstColumn="0" w:lastRowLastColumn="0"/>
            <w:tcW w:w="4819" w:type="dxa"/>
            <w:noWrap/>
            <w:hideMark/>
          </w:tcPr>
          <w:p w:rsidRPr="007129C6" w:rsidR="00B52D66" w:rsidP="00FC2172" w:rsidRDefault="00B52D66" w14:paraId="46A538AF" w14:textId="77777777">
            <w:pPr>
              <w:rPr>
                <w:szCs w:val="18"/>
              </w:rPr>
            </w:pPr>
            <w:r w:rsidRPr="007129C6">
              <w:rPr>
                <w:szCs w:val="18"/>
              </w:rPr>
              <w:t>Tekort op arbeidsmarkt aan technisch geschoold personeel</w:t>
            </w:r>
          </w:p>
        </w:tc>
        <w:tc>
          <w:tcPr>
            <w:tcW w:w="1134" w:type="dxa"/>
            <w:noWrap/>
            <w:vAlign w:val="center"/>
            <w:hideMark/>
          </w:tcPr>
          <w:p w:rsidRPr="007129C6" w:rsidR="00B52D66" w:rsidP="00A64D28" w:rsidRDefault="00B52D66" w14:paraId="4B7C6771"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54%</w:t>
            </w:r>
          </w:p>
        </w:tc>
        <w:tc>
          <w:tcPr>
            <w:tcW w:w="1871" w:type="dxa"/>
            <w:noWrap/>
            <w:vAlign w:val="center"/>
            <w:hideMark/>
          </w:tcPr>
          <w:p w:rsidRPr="007129C6" w:rsidR="00B52D66" w:rsidP="00A64D28" w:rsidRDefault="00B52D66" w14:paraId="7E993A08"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57%</w:t>
            </w:r>
          </w:p>
        </w:tc>
        <w:tc>
          <w:tcPr>
            <w:tcW w:w="1871" w:type="dxa"/>
            <w:noWrap/>
            <w:vAlign w:val="center"/>
            <w:hideMark/>
          </w:tcPr>
          <w:p w:rsidRPr="007129C6" w:rsidR="00B52D66" w:rsidP="00A64D28" w:rsidRDefault="00B52D66" w14:paraId="575438E5"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50%</w:t>
            </w:r>
          </w:p>
        </w:tc>
      </w:tr>
      <w:tr w:rsidRPr="007129C6" w:rsidR="00C21D73" w:rsidTr="00CB6E04" w14:paraId="07FC4B3E" w14:textId="77777777">
        <w:trPr>
          <w:trHeight w:val="288"/>
        </w:trPr>
        <w:tc>
          <w:tcPr>
            <w:cnfStyle w:val="001000000000" w:firstRow="0" w:lastRow="0" w:firstColumn="1" w:lastColumn="0" w:oddVBand="0" w:evenVBand="0" w:oddHBand="0" w:evenHBand="0" w:firstRowFirstColumn="0" w:firstRowLastColumn="0" w:lastRowFirstColumn="0" w:lastRowLastColumn="0"/>
            <w:tcW w:w="4819" w:type="dxa"/>
            <w:noWrap/>
            <w:hideMark/>
          </w:tcPr>
          <w:p w:rsidRPr="007129C6" w:rsidR="00B52D66" w:rsidP="00FC2172" w:rsidRDefault="00B52D66" w14:paraId="03130FAF" w14:textId="77777777">
            <w:pPr>
              <w:rPr>
                <w:szCs w:val="18"/>
              </w:rPr>
            </w:pPr>
            <w:r w:rsidRPr="007129C6">
              <w:rPr>
                <w:szCs w:val="18"/>
              </w:rPr>
              <w:t>Technologische ontwikkelingen lastig bij te benen door vmbo-scholen</w:t>
            </w:r>
          </w:p>
        </w:tc>
        <w:tc>
          <w:tcPr>
            <w:tcW w:w="1134" w:type="dxa"/>
            <w:noWrap/>
            <w:vAlign w:val="center"/>
            <w:hideMark/>
          </w:tcPr>
          <w:p w:rsidRPr="007129C6" w:rsidR="00B52D66" w:rsidP="00A64D28" w:rsidRDefault="00B52D66" w14:paraId="0D4D6419"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81%</w:t>
            </w:r>
          </w:p>
        </w:tc>
        <w:tc>
          <w:tcPr>
            <w:tcW w:w="1871" w:type="dxa"/>
            <w:noWrap/>
            <w:vAlign w:val="center"/>
            <w:hideMark/>
          </w:tcPr>
          <w:p w:rsidRPr="007129C6" w:rsidR="00B52D66" w:rsidP="00A64D28" w:rsidRDefault="00B52D66" w14:paraId="6D05DD69"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75%</w:t>
            </w:r>
          </w:p>
        </w:tc>
        <w:tc>
          <w:tcPr>
            <w:tcW w:w="1871" w:type="dxa"/>
            <w:noWrap/>
            <w:vAlign w:val="center"/>
            <w:hideMark/>
          </w:tcPr>
          <w:p w:rsidRPr="007129C6" w:rsidR="00B52D66" w:rsidP="00A64D28" w:rsidRDefault="00B52D66" w14:paraId="150BFD2C"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90%</w:t>
            </w:r>
          </w:p>
        </w:tc>
      </w:tr>
      <w:tr w:rsidRPr="007129C6" w:rsidR="00C21D73" w:rsidTr="00CB6E04" w14:paraId="7E490BB1" w14:textId="77777777">
        <w:trPr>
          <w:trHeight w:val="288"/>
        </w:trPr>
        <w:tc>
          <w:tcPr>
            <w:cnfStyle w:val="001000000000" w:firstRow="0" w:lastRow="0" w:firstColumn="1" w:lastColumn="0" w:oddVBand="0" w:evenVBand="0" w:oddHBand="0" w:evenHBand="0" w:firstRowFirstColumn="0" w:firstRowLastColumn="0" w:lastRowFirstColumn="0" w:lastRowLastColumn="0"/>
            <w:tcW w:w="4819" w:type="dxa"/>
            <w:noWrap/>
            <w:hideMark/>
          </w:tcPr>
          <w:p w:rsidRPr="007129C6" w:rsidR="00B52D66" w:rsidP="00FC2172" w:rsidRDefault="00B52D66" w14:paraId="74DF3D39" w14:textId="77777777">
            <w:pPr>
              <w:rPr>
                <w:szCs w:val="18"/>
              </w:rPr>
            </w:pPr>
            <w:r w:rsidRPr="007129C6">
              <w:rPr>
                <w:szCs w:val="18"/>
              </w:rPr>
              <w:t>Kwaliteit techniekonderwijs voor verbetering vatbaar</w:t>
            </w:r>
          </w:p>
        </w:tc>
        <w:tc>
          <w:tcPr>
            <w:tcW w:w="1134" w:type="dxa"/>
            <w:noWrap/>
            <w:vAlign w:val="center"/>
            <w:hideMark/>
          </w:tcPr>
          <w:p w:rsidRPr="007129C6" w:rsidR="00B52D66" w:rsidP="00A64D28" w:rsidRDefault="00B52D66" w14:paraId="333C9A49"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73%</w:t>
            </w:r>
          </w:p>
        </w:tc>
        <w:tc>
          <w:tcPr>
            <w:tcW w:w="1871" w:type="dxa"/>
            <w:noWrap/>
            <w:vAlign w:val="center"/>
            <w:hideMark/>
          </w:tcPr>
          <w:p w:rsidRPr="007129C6" w:rsidR="00B52D66" w:rsidP="00A64D28" w:rsidRDefault="00B52D66" w14:paraId="36F7AF9F"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79%</w:t>
            </w:r>
          </w:p>
        </w:tc>
        <w:tc>
          <w:tcPr>
            <w:tcW w:w="1871" w:type="dxa"/>
            <w:noWrap/>
            <w:vAlign w:val="center"/>
            <w:hideMark/>
          </w:tcPr>
          <w:p w:rsidRPr="007129C6" w:rsidR="00B52D66" w:rsidP="00A64D28" w:rsidRDefault="00B52D66" w14:paraId="57193D14"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65%</w:t>
            </w:r>
          </w:p>
        </w:tc>
      </w:tr>
    </w:tbl>
    <w:p w:rsidRPr="007129C6" w:rsidR="00B52D66" w:rsidP="00B52D66" w:rsidRDefault="00B52D66" w14:paraId="535286ED" w14:textId="77777777">
      <w:pPr>
        <w:pStyle w:val="SEOBron"/>
        <w:rPr>
          <w:rFonts w:ascii="Trebuchet MS" w:hAnsi="Trebuchet MS"/>
          <w:szCs w:val="18"/>
        </w:rPr>
      </w:pPr>
      <w:r w:rsidRPr="007129C6">
        <w:rPr>
          <w:rFonts w:ascii="Trebuchet MS" w:hAnsi="Trebuchet MS"/>
          <w:szCs w:val="18"/>
        </w:rPr>
        <w:t>Enquête programmaleiders STO (april 2025). % in enige/sterke mate.</w:t>
      </w:r>
    </w:p>
    <w:p w:rsidRPr="007129C6" w:rsidR="00B52D66" w:rsidP="00B52D66" w:rsidRDefault="00B52D66" w14:paraId="200F153B" w14:textId="77777777">
      <w:pPr>
        <w:rPr>
          <w:szCs w:val="18"/>
        </w:rPr>
      </w:pPr>
      <w:r w:rsidRPr="007129C6">
        <w:rPr>
          <w:szCs w:val="18"/>
        </w:rPr>
        <w:br w:type="page"/>
      </w:r>
    </w:p>
    <w:p w:rsidRPr="007129C6" w:rsidR="00B52D66" w:rsidP="00B52D66" w:rsidRDefault="00B52D66" w14:paraId="7DAE37D2" w14:textId="3020DE98">
      <w:pPr>
        <w:rPr>
          <w:szCs w:val="18"/>
        </w:rPr>
      </w:pPr>
      <w:r w:rsidRPr="007129C6">
        <w:rPr>
          <w:szCs w:val="18"/>
        </w:rPr>
        <w:lastRenderedPageBreak/>
        <w:t xml:space="preserve">Tabel </w:t>
      </w:r>
      <w:r w:rsidR="00BE45A3">
        <w:rPr>
          <w:szCs w:val="18"/>
        </w:rPr>
        <w:t>B1</w:t>
      </w:r>
      <w:r w:rsidRPr="007129C6">
        <w:rPr>
          <w:szCs w:val="18"/>
        </w:rPr>
        <w:t>.</w:t>
      </w:r>
      <w:r w:rsidR="00BE45A3">
        <w:rPr>
          <w:szCs w:val="18"/>
        </w:rPr>
        <w:t>9</w:t>
      </w:r>
      <w:r w:rsidRPr="007129C6">
        <w:rPr>
          <w:szCs w:val="18"/>
        </w:rPr>
        <w:t xml:space="preserve"> Factoren die belemmerend of cruciaal zijn geweest voor succes van STO in de regio volgens alle programmaleiders, uitgesplitst naar verdeling middelen</w:t>
      </w:r>
    </w:p>
    <w:tbl>
      <w:tblPr>
        <w:tblStyle w:val="SEOTabel2"/>
        <w:tblW w:w="9498" w:type="dxa"/>
        <w:tblCellMar>
          <w:top w:w="0" w:type="dxa"/>
          <w:left w:w="28" w:type="dxa"/>
          <w:bottom w:w="0" w:type="dxa"/>
          <w:right w:w="28" w:type="dxa"/>
        </w:tblCellMar>
        <w:tblLook w:val="04A0" w:firstRow="1" w:lastRow="0" w:firstColumn="1" w:lastColumn="0" w:noHBand="0" w:noVBand="1"/>
      </w:tblPr>
      <w:tblGrid>
        <w:gridCol w:w="4365"/>
        <w:gridCol w:w="871"/>
        <w:gridCol w:w="778"/>
        <w:gridCol w:w="921"/>
        <w:gridCol w:w="821"/>
        <w:gridCol w:w="921"/>
        <w:gridCol w:w="821"/>
      </w:tblGrid>
      <w:tr w:rsidRPr="007129C6" w:rsidR="002B239C" w:rsidTr="00FE41C7" w14:paraId="1C07960B"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65" w:type="dxa"/>
            <w:noWrap/>
            <w:hideMark/>
          </w:tcPr>
          <w:p w:rsidRPr="007129C6" w:rsidR="00B52D66" w:rsidP="00B52D66" w:rsidRDefault="00FE41C7" w14:paraId="1FA066C2" w14:textId="0B7AAC1B">
            <w:pPr>
              <w:pStyle w:val="SEOStandaard"/>
              <w:spacing w:line="240" w:lineRule="auto"/>
              <w:jc w:val="left"/>
              <w:rPr>
                <w:rFonts w:ascii="Trebuchet MS" w:hAnsi="Trebuchet MS"/>
                <w:color w:val="FFFFFF" w:themeColor="background1"/>
                <w:sz w:val="18"/>
                <w:szCs w:val="18"/>
              </w:rPr>
            </w:pPr>
            <w:r w:rsidRPr="00FE41C7">
              <w:rPr>
                <w:rFonts w:ascii="Trebuchet MS" w:hAnsi="Trebuchet MS"/>
                <w:color w:val="FFFFFF" w:themeColor="background1"/>
                <w:sz w:val="18"/>
                <w:szCs w:val="18"/>
              </w:rPr>
              <w:t>In hoeverre zijn de volgende factoren bepalend geweest voor het succes van STO in uw regio?</w:t>
            </w:r>
          </w:p>
        </w:tc>
        <w:tc>
          <w:tcPr>
            <w:tcW w:w="1649" w:type="dxa"/>
            <w:gridSpan w:val="2"/>
            <w:noWrap/>
            <w:hideMark/>
          </w:tcPr>
          <w:p w:rsidRPr="007129C6" w:rsidR="00B52D66" w:rsidP="00B52D66" w:rsidRDefault="00B52D66" w14:paraId="6792D081" w14:textId="3CF2127F">
            <w:pPr>
              <w:pStyle w:val="SEOStandaard"/>
              <w:spacing w:line="240" w:lineRule="auto"/>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Programmaleiders (n=48)</w:t>
            </w:r>
          </w:p>
        </w:tc>
        <w:tc>
          <w:tcPr>
            <w:tcW w:w="1742" w:type="dxa"/>
            <w:gridSpan w:val="2"/>
            <w:noWrap/>
            <w:hideMark/>
          </w:tcPr>
          <w:p w:rsidRPr="007129C6" w:rsidR="00B52D66" w:rsidP="00B52D66" w:rsidRDefault="00B52D66" w14:paraId="0655CF44" w14:textId="77777777">
            <w:pPr>
              <w:pStyle w:val="SEOStandaard"/>
              <w:spacing w:line="240" w:lineRule="auto"/>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Programmaleiders met verdeelsleutel middelen (n=28)</w:t>
            </w:r>
          </w:p>
        </w:tc>
        <w:tc>
          <w:tcPr>
            <w:tcW w:w="1742" w:type="dxa"/>
            <w:gridSpan w:val="2"/>
            <w:noWrap/>
            <w:hideMark/>
          </w:tcPr>
          <w:p w:rsidRPr="007129C6" w:rsidR="00B52D66" w:rsidP="00B52D66" w:rsidRDefault="00B52D66" w14:paraId="24FD147C" w14:textId="77777777">
            <w:pPr>
              <w:pStyle w:val="SEOStandaard"/>
              <w:spacing w:line="240" w:lineRule="auto"/>
              <w:jc w:val="lef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8"/>
                <w:szCs w:val="18"/>
              </w:rPr>
            </w:pPr>
            <w:r w:rsidRPr="007129C6">
              <w:rPr>
                <w:rFonts w:ascii="Trebuchet MS" w:hAnsi="Trebuchet MS"/>
                <w:color w:val="FFFFFF" w:themeColor="background1"/>
                <w:sz w:val="18"/>
                <w:szCs w:val="18"/>
              </w:rPr>
              <w:t>Programmaleiders met regionaal beheer middelen (n=20)</w:t>
            </w:r>
          </w:p>
        </w:tc>
      </w:tr>
      <w:tr w:rsidRPr="007129C6" w:rsidR="002B239C" w:rsidTr="00FE41C7" w14:paraId="18073506" w14:textId="77777777">
        <w:trPr>
          <w:cantSplit/>
          <w:trHeight w:val="1247"/>
        </w:trPr>
        <w:tc>
          <w:tcPr>
            <w:cnfStyle w:val="001000000000" w:firstRow="0" w:lastRow="0" w:firstColumn="1" w:lastColumn="0" w:oddVBand="0" w:evenVBand="0" w:oddHBand="0" w:evenHBand="0" w:firstRowFirstColumn="0" w:firstRowLastColumn="0" w:lastRowFirstColumn="0" w:lastRowLastColumn="0"/>
            <w:tcW w:w="4365" w:type="dxa"/>
            <w:noWrap/>
            <w:vAlign w:val="center"/>
            <w:hideMark/>
          </w:tcPr>
          <w:p w:rsidRPr="007129C6" w:rsidR="00B52D66" w:rsidP="00FE41C7" w:rsidRDefault="00B52D66" w14:paraId="6A13D1ED" w14:textId="7EAD97D5">
            <w:pPr>
              <w:pStyle w:val="SEOStandaard"/>
              <w:spacing w:line="240" w:lineRule="auto"/>
              <w:jc w:val="left"/>
              <w:rPr>
                <w:rFonts w:ascii="Trebuchet MS" w:hAnsi="Trebuchet MS"/>
                <w:sz w:val="18"/>
                <w:szCs w:val="18"/>
              </w:rPr>
            </w:pPr>
          </w:p>
        </w:tc>
        <w:tc>
          <w:tcPr>
            <w:tcW w:w="871" w:type="dxa"/>
            <w:noWrap/>
            <w:textDirection w:val="btLr"/>
            <w:vAlign w:val="center"/>
            <w:hideMark/>
          </w:tcPr>
          <w:p w:rsidRPr="007129C6" w:rsidR="00B52D66" w:rsidP="00AB3CB7" w:rsidRDefault="00B52D66" w14:paraId="15695834" w14:textId="77777777">
            <w:pPr>
              <w:pStyle w:val="SEOStandaard"/>
              <w:spacing w:line="240" w:lineRule="auto"/>
              <w:ind w:left="113" w:right="113"/>
              <w:jc w:val="left"/>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Gemiddelde</w:t>
            </w:r>
          </w:p>
        </w:tc>
        <w:tc>
          <w:tcPr>
            <w:tcW w:w="778" w:type="dxa"/>
            <w:noWrap/>
            <w:textDirection w:val="btLr"/>
            <w:vAlign w:val="center"/>
            <w:hideMark/>
          </w:tcPr>
          <w:p w:rsidRPr="007129C6" w:rsidR="00B52D66" w:rsidP="00AB3CB7" w:rsidRDefault="00B52D66" w14:paraId="056973F9" w14:textId="77777777">
            <w:pPr>
              <w:pStyle w:val="SEOStandaard"/>
              <w:spacing w:line="240" w:lineRule="auto"/>
              <w:ind w:left="113" w:right="113"/>
              <w:jc w:val="left"/>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 voldoende</w:t>
            </w:r>
          </w:p>
        </w:tc>
        <w:tc>
          <w:tcPr>
            <w:tcW w:w="921" w:type="dxa"/>
            <w:noWrap/>
            <w:textDirection w:val="btLr"/>
            <w:vAlign w:val="center"/>
            <w:hideMark/>
          </w:tcPr>
          <w:p w:rsidRPr="007129C6" w:rsidR="00B52D66" w:rsidP="00AB3CB7" w:rsidRDefault="00B52D66" w14:paraId="3992C9F6" w14:textId="77777777">
            <w:pPr>
              <w:pStyle w:val="SEOStandaard"/>
              <w:spacing w:line="240" w:lineRule="auto"/>
              <w:ind w:left="113" w:right="113"/>
              <w:jc w:val="left"/>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Gemiddelde</w:t>
            </w:r>
          </w:p>
        </w:tc>
        <w:tc>
          <w:tcPr>
            <w:tcW w:w="821" w:type="dxa"/>
            <w:noWrap/>
            <w:textDirection w:val="btLr"/>
            <w:vAlign w:val="center"/>
            <w:hideMark/>
          </w:tcPr>
          <w:p w:rsidRPr="007129C6" w:rsidR="00B52D66" w:rsidP="00AB3CB7" w:rsidRDefault="00B52D66" w14:paraId="4F5AA62D" w14:textId="77777777">
            <w:pPr>
              <w:pStyle w:val="SEOStandaard"/>
              <w:spacing w:line="240" w:lineRule="auto"/>
              <w:ind w:left="113" w:right="113"/>
              <w:jc w:val="left"/>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 voldoende</w:t>
            </w:r>
          </w:p>
        </w:tc>
        <w:tc>
          <w:tcPr>
            <w:tcW w:w="921" w:type="dxa"/>
            <w:noWrap/>
            <w:textDirection w:val="btLr"/>
            <w:vAlign w:val="center"/>
            <w:hideMark/>
          </w:tcPr>
          <w:p w:rsidRPr="007129C6" w:rsidR="00B52D66" w:rsidP="00AB3CB7" w:rsidRDefault="00B52D66" w14:paraId="63A5F4F2" w14:textId="77777777">
            <w:pPr>
              <w:pStyle w:val="SEOStandaard"/>
              <w:spacing w:line="240" w:lineRule="auto"/>
              <w:ind w:left="113" w:right="113"/>
              <w:jc w:val="left"/>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Gemiddelde</w:t>
            </w:r>
          </w:p>
        </w:tc>
        <w:tc>
          <w:tcPr>
            <w:tcW w:w="821" w:type="dxa"/>
            <w:noWrap/>
            <w:textDirection w:val="btLr"/>
            <w:vAlign w:val="center"/>
            <w:hideMark/>
          </w:tcPr>
          <w:p w:rsidRPr="007129C6" w:rsidR="00B52D66" w:rsidP="00AB3CB7" w:rsidRDefault="00B52D66" w14:paraId="70B2D7A1" w14:textId="77777777">
            <w:pPr>
              <w:pStyle w:val="SEOStandaard"/>
              <w:spacing w:line="240" w:lineRule="auto"/>
              <w:ind w:left="113" w:right="113"/>
              <w:jc w:val="left"/>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 voldoende</w:t>
            </w:r>
          </w:p>
        </w:tc>
      </w:tr>
      <w:tr w:rsidRPr="007129C6" w:rsidR="002B239C" w:rsidTr="00FE41C7" w14:paraId="72511C94" w14:textId="77777777">
        <w:trPr>
          <w:trHeight w:val="288"/>
        </w:trPr>
        <w:tc>
          <w:tcPr>
            <w:cnfStyle w:val="001000000000" w:firstRow="0" w:lastRow="0" w:firstColumn="1" w:lastColumn="0" w:oddVBand="0" w:evenVBand="0" w:oddHBand="0" w:evenHBand="0" w:firstRowFirstColumn="0" w:firstRowLastColumn="0" w:lastRowFirstColumn="0" w:lastRowLastColumn="0"/>
            <w:tcW w:w="4365" w:type="dxa"/>
            <w:noWrap/>
            <w:hideMark/>
          </w:tcPr>
          <w:p w:rsidRPr="007129C6" w:rsidR="00B52D66" w:rsidP="00B52D66" w:rsidRDefault="00B52D66" w14:paraId="6789F2A1"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De betrokkenheid van en mate van samenwerking met het basisonderwijs</w:t>
            </w:r>
          </w:p>
        </w:tc>
        <w:tc>
          <w:tcPr>
            <w:tcW w:w="871" w:type="dxa"/>
            <w:noWrap/>
            <w:vAlign w:val="center"/>
            <w:hideMark/>
          </w:tcPr>
          <w:p w:rsidRPr="007129C6" w:rsidR="00B52D66" w:rsidP="00A64D28" w:rsidRDefault="00B52D66" w14:paraId="322E0752"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6,8</w:t>
            </w:r>
          </w:p>
        </w:tc>
        <w:tc>
          <w:tcPr>
            <w:tcW w:w="778" w:type="dxa"/>
            <w:noWrap/>
            <w:vAlign w:val="center"/>
            <w:hideMark/>
          </w:tcPr>
          <w:p w:rsidRPr="007129C6" w:rsidR="00B52D66" w:rsidP="00A64D28" w:rsidRDefault="00B52D66" w14:paraId="2ADB9FCB"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71%</w:t>
            </w:r>
          </w:p>
        </w:tc>
        <w:tc>
          <w:tcPr>
            <w:tcW w:w="921" w:type="dxa"/>
            <w:noWrap/>
            <w:vAlign w:val="center"/>
            <w:hideMark/>
          </w:tcPr>
          <w:p w:rsidRPr="007129C6" w:rsidR="00B52D66" w:rsidP="00A64D28" w:rsidRDefault="00B52D66" w14:paraId="468E01C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6,7</w:t>
            </w:r>
          </w:p>
        </w:tc>
        <w:tc>
          <w:tcPr>
            <w:tcW w:w="821" w:type="dxa"/>
            <w:noWrap/>
            <w:vAlign w:val="center"/>
            <w:hideMark/>
          </w:tcPr>
          <w:p w:rsidRPr="007129C6" w:rsidR="00B52D66" w:rsidP="00A64D28" w:rsidRDefault="00B52D66" w14:paraId="50E69FEF"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68%</w:t>
            </w:r>
          </w:p>
        </w:tc>
        <w:tc>
          <w:tcPr>
            <w:tcW w:w="921" w:type="dxa"/>
            <w:noWrap/>
            <w:vAlign w:val="center"/>
            <w:hideMark/>
          </w:tcPr>
          <w:p w:rsidRPr="007129C6" w:rsidR="00B52D66" w:rsidP="00A64D28" w:rsidRDefault="00B52D66" w14:paraId="3A926499"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7,1</w:t>
            </w:r>
          </w:p>
        </w:tc>
        <w:tc>
          <w:tcPr>
            <w:tcW w:w="821" w:type="dxa"/>
            <w:noWrap/>
            <w:vAlign w:val="center"/>
            <w:hideMark/>
          </w:tcPr>
          <w:p w:rsidRPr="007129C6" w:rsidR="00B52D66" w:rsidP="00A64D28" w:rsidRDefault="00B52D66" w14:paraId="1D2A141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75%</w:t>
            </w:r>
          </w:p>
        </w:tc>
      </w:tr>
      <w:tr w:rsidRPr="007129C6" w:rsidR="002B239C" w:rsidTr="00FE41C7" w14:paraId="778D31D8" w14:textId="77777777">
        <w:trPr>
          <w:trHeight w:val="288"/>
        </w:trPr>
        <w:tc>
          <w:tcPr>
            <w:cnfStyle w:val="001000000000" w:firstRow="0" w:lastRow="0" w:firstColumn="1" w:lastColumn="0" w:oddVBand="0" w:evenVBand="0" w:oddHBand="0" w:evenHBand="0" w:firstRowFirstColumn="0" w:firstRowLastColumn="0" w:lastRowFirstColumn="0" w:lastRowLastColumn="0"/>
            <w:tcW w:w="4365" w:type="dxa"/>
            <w:noWrap/>
            <w:hideMark/>
          </w:tcPr>
          <w:p w:rsidRPr="007129C6" w:rsidR="00B52D66" w:rsidP="00B52D66" w:rsidRDefault="00B52D66" w14:paraId="2CC24763"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De mate van samenwerking tussen vmbo-scholen techniek</w:t>
            </w:r>
          </w:p>
        </w:tc>
        <w:tc>
          <w:tcPr>
            <w:tcW w:w="871" w:type="dxa"/>
            <w:noWrap/>
            <w:vAlign w:val="center"/>
            <w:hideMark/>
          </w:tcPr>
          <w:p w:rsidRPr="007129C6" w:rsidR="00B52D66" w:rsidP="00A64D28" w:rsidRDefault="00B52D66" w14:paraId="343970EA"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8,3</w:t>
            </w:r>
          </w:p>
        </w:tc>
        <w:tc>
          <w:tcPr>
            <w:tcW w:w="778" w:type="dxa"/>
            <w:noWrap/>
            <w:vAlign w:val="center"/>
            <w:hideMark/>
          </w:tcPr>
          <w:p w:rsidRPr="007129C6" w:rsidR="00B52D66" w:rsidP="00A64D28" w:rsidRDefault="00B52D66" w14:paraId="1AAD939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94%</w:t>
            </w:r>
          </w:p>
        </w:tc>
        <w:tc>
          <w:tcPr>
            <w:tcW w:w="921" w:type="dxa"/>
            <w:noWrap/>
            <w:vAlign w:val="center"/>
            <w:hideMark/>
          </w:tcPr>
          <w:p w:rsidRPr="007129C6" w:rsidR="00B52D66" w:rsidP="00A64D28" w:rsidRDefault="00B52D66" w14:paraId="1003750D"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8,3</w:t>
            </w:r>
          </w:p>
        </w:tc>
        <w:tc>
          <w:tcPr>
            <w:tcW w:w="821" w:type="dxa"/>
            <w:noWrap/>
            <w:vAlign w:val="center"/>
            <w:hideMark/>
          </w:tcPr>
          <w:p w:rsidRPr="007129C6" w:rsidR="00B52D66" w:rsidP="00A64D28" w:rsidRDefault="00B52D66" w14:paraId="6FAE36DB"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89%</w:t>
            </w:r>
          </w:p>
        </w:tc>
        <w:tc>
          <w:tcPr>
            <w:tcW w:w="921" w:type="dxa"/>
            <w:noWrap/>
            <w:vAlign w:val="center"/>
            <w:hideMark/>
          </w:tcPr>
          <w:p w:rsidRPr="007129C6" w:rsidR="00B52D66" w:rsidP="00A64D28" w:rsidRDefault="00B52D66" w14:paraId="097B662C"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8,3</w:t>
            </w:r>
          </w:p>
        </w:tc>
        <w:tc>
          <w:tcPr>
            <w:tcW w:w="821" w:type="dxa"/>
            <w:noWrap/>
            <w:vAlign w:val="center"/>
            <w:hideMark/>
          </w:tcPr>
          <w:p w:rsidRPr="007129C6" w:rsidR="00B52D66" w:rsidP="00A64D28" w:rsidRDefault="00B52D66" w14:paraId="5E0B6E2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100%</w:t>
            </w:r>
          </w:p>
        </w:tc>
      </w:tr>
      <w:tr w:rsidRPr="007129C6" w:rsidR="002B239C" w:rsidTr="00FE41C7" w14:paraId="79CC8990" w14:textId="77777777">
        <w:trPr>
          <w:trHeight w:val="288"/>
        </w:trPr>
        <w:tc>
          <w:tcPr>
            <w:cnfStyle w:val="001000000000" w:firstRow="0" w:lastRow="0" w:firstColumn="1" w:lastColumn="0" w:oddVBand="0" w:evenVBand="0" w:oddHBand="0" w:evenHBand="0" w:firstRowFirstColumn="0" w:firstRowLastColumn="0" w:lastRowFirstColumn="0" w:lastRowLastColumn="0"/>
            <w:tcW w:w="4365" w:type="dxa"/>
            <w:noWrap/>
            <w:hideMark/>
          </w:tcPr>
          <w:p w:rsidRPr="007129C6" w:rsidR="00B52D66" w:rsidP="00B52D66" w:rsidRDefault="00B52D66" w14:paraId="7EBE1258"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De betrokkenheid van en mate van samenwerking met niet-technische vmbo-scholen</w:t>
            </w:r>
          </w:p>
        </w:tc>
        <w:tc>
          <w:tcPr>
            <w:tcW w:w="871" w:type="dxa"/>
            <w:noWrap/>
            <w:vAlign w:val="center"/>
            <w:hideMark/>
          </w:tcPr>
          <w:p w:rsidRPr="007129C6" w:rsidR="00B52D66" w:rsidP="00A64D28" w:rsidRDefault="00B52D66" w14:paraId="5CD2A2F1"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7,1</w:t>
            </w:r>
          </w:p>
        </w:tc>
        <w:tc>
          <w:tcPr>
            <w:tcW w:w="778" w:type="dxa"/>
            <w:noWrap/>
            <w:vAlign w:val="center"/>
            <w:hideMark/>
          </w:tcPr>
          <w:p w:rsidRPr="007129C6" w:rsidR="00B52D66" w:rsidP="00A64D28" w:rsidRDefault="00B52D66" w14:paraId="17C1E3D3"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69%</w:t>
            </w:r>
          </w:p>
        </w:tc>
        <w:tc>
          <w:tcPr>
            <w:tcW w:w="921" w:type="dxa"/>
            <w:noWrap/>
            <w:vAlign w:val="center"/>
            <w:hideMark/>
          </w:tcPr>
          <w:p w:rsidRPr="007129C6" w:rsidR="00B52D66" w:rsidP="00A64D28" w:rsidRDefault="00B52D66" w14:paraId="044DDB31"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7,0</w:t>
            </w:r>
          </w:p>
        </w:tc>
        <w:tc>
          <w:tcPr>
            <w:tcW w:w="821" w:type="dxa"/>
            <w:noWrap/>
            <w:vAlign w:val="center"/>
            <w:hideMark/>
          </w:tcPr>
          <w:p w:rsidRPr="007129C6" w:rsidR="00B52D66" w:rsidP="00A64D28" w:rsidRDefault="00B52D66" w14:paraId="39DE897E"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61%</w:t>
            </w:r>
          </w:p>
        </w:tc>
        <w:tc>
          <w:tcPr>
            <w:tcW w:w="921" w:type="dxa"/>
            <w:noWrap/>
            <w:vAlign w:val="center"/>
            <w:hideMark/>
          </w:tcPr>
          <w:p w:rsidRPr="007129C6" w:rsidR="00B52D66" w:rsidP="00A64D28" w:rsidRDefault="00B52D66" w14:paraId="294D846F"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7,3</w:t>
            </w:r>
          </w:p>
        </w:tc>
        <w:tc>
          <w:tcPr>
            <w:tcW w:w="821" w:type="dxa"/>
            <w:noWrap/>
            <w:vAlign w:val="center"/>
            <w:hideMark/>
          </w:tcPr>
          <w:p w:rsidRPr="007129C6" w:rsidR="00B52D66" w:rsidP="00A64D28" w:rsidRDefault="00B52D66" w14:paraId="1DDE721D"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80%</w:t>
            </w:r>
          </w:p>
        </w:tc>
      </w:tr>
      <w:tr w:rsidRPr="007129C6" w:rsidR="002B239C" w:rsidTr="00FE41C7" w14:paraId="4E4B3C70" w14:textId="77777777">
        <w:trPr>
          <w:trHeight w:val="288"/>
        </w:trPr>
        <w:tc>
          <w:tcPr>
            <w:cnfStyle w:val="001000000000" w:firstRow="0" w:lastRow="0" w:firstColumn="1" w:lastColumn="0" w:oddVBand="0" w:evenVBand="0" w:oddHBand="0" w:evenHBand="0" w:firstRowFirstColumn="0" w:firstRowLastColumn="0" w:lastRowFirstColumn="0" w:lastRowLastColumn="0"/>
            <w:tcW w:w="4365" w:type="dxa"/>
            <w:noWrap/>
            <w:hideMark/>
          </w:tcPr>
          <w:p w:rsidRPr="007129C6" w:rsidR="00B52D66" w:rsidP="00B52D66" w:rsidRDefault="00B52D66" w14:paraId="36C66102"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De betrokkenheid van en mate van samenwerking met het mbo</w:t>
            </w:r>
          </w:p>
        </w:tc>
        <w:tc>
          <w:tcPr>
            <w:tcW w:w="871" w:type="dxa"/>
            <w:noWrap/>
            <w:vAlign w:val="center"/>
            <w:hideMark/>
          </w:tcPr>
          <w:p w:rsidRPr="007129C6" w:rsidR="00B52D66" w:rsidP="00A64D28" w:rsidRDefault="00B52D66" w14:paraId="738461C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6,5</w:t>
            </w:r>
          </w:p>
        </w:tc>
        <w:tc>
          <w:tcPr>
            <w:tcW w:w="778" w:type="dxa"/>
            <w:noWrap/>
            <w:vAlign w:val="center"/>
            <w:hideMark/>
          </w:tcPr>
          <w:p w:rsidRPr="007129C6" w:rsidR="00B52D66" w:rsidP="00A64D28" w:rsidRDefault="00B52D66" w14:paraId="38A7867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63%</w:t>
            </w:r>
          </w:p>
        </w:tc>
        <w:tc>
          <w:tcPr>
            <w:tcW w:w="921" w:type="dxa"/>
            <w:noWrap/>
            <w:vAlign w:val="center"/>
            <w:hideMark/>
          </w:tcPr>
          <w:p w:rsidRPr="007129C6" w:rsidR="00B52D66" w:rsidP="00A64D28" w:rsidRDefault="00B52D66" w14:paraId="0DDDD98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6,1</w:t>
            </w:r>
          </w:p>
        </w:tc>
        <w:tc>
          <w:tcPr>
            <w:tcW w:w="821" w:type="dxa"/>
            <w:noWrap/>
            <w:vAlign w:val="center"/>
            <w:hideMark/>
          </w:tcPr>
          <w:p w:rsidRPr="007129C6" w:rsidR="00B52D66" w:rsidP="00A64D28" w:rsidRDefault="00B52D66" w14:paraId="12EDB04F"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50%</w:t>
            </w:r>
          </w:p>
        </w:tc>
        <w:tc>
          <w:tcPr>
            <w:tcW w:w="921" w:type="dxa"/>
            <w:noWrap/>
            <w:vAlign w:val="center"/>
            <w:hideMark/>
          </w:tcPr>
          <w:p w:rsidRPr="007129C6" w:rsidR="00B52D66" w:rsidP="00A64D28" w:rsidRDefault="00B52D66" w14:paraId="43919201"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7,1</w:t>
            </w:r>
          </w:p>
        </w:tc>
        <w:tc>
          <w:tcPr>
            <w:tcW w:w="821" w:type="dxa"/>
            <w:noWrap/>
            <w:vAlign w:val="center"/>
            <w:hideMark/>
          </w:tcPr>
          <w:p w:rsidRPr="007129C6" w:rsidR="00B52D66" w:rsidP="00A64D28" w:rsidRDefault="00B52D66" w14:paraId="429AF8E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80%</w:t>
            </w:r>
          </w:p>
        </w:tc>
      </w:tr>
      <w:tr w:rsidRPr="007129C6" w:rsidR="002B239C" w:rsidTr="00FE41C7" w14:paraId="11C7AE40" w14:textId="77777777">
        <w:trPr>
          <w:trHeight w:val="288"/>
        </w:trPr>
        <w:tc>
          <w:tcPr>
            <w:cnfStyle w:val="001000000000" w:firstRow="0" w:lastRow="0" w:firstColumn="1" w:lastColumn="0" w:oddVBand="0" w:evenVBand="0" w:oddHBand="0" w:evenHBand="0" w:firstRowFirstColumn="0" w:firstRowLastColumn="0" w:lastRowFirstColumn="0" w:lastRowLastColumn="0"/>
            <w:tcW w:w="4365" w:type="dxa"/>
            <w:noWrap/>
            <w:hideMark/>
          </w:tcPr>
          <w:p w:rsidRPr="007129C6" w:rsidR="00B52D66" w:rsidP="00B52D66" w:rsidRDefault="00B52D66" w14:paraId="375A66F6"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De betrokkenheid van en mate van samenwerking met het regionale bedrijfsleven</w:t>
            </w:r>
          </w:p>
        </w:tc>
        <w:tc>
          <w:tcPr>
            <w:tcW w:w="871" w:type="dxa"/>
            <w:noWrap/>
            <w:vAlign w:val="center"/>
            <w:hideMark/>
          </w:tcPr>
          <w:p w:rsidRPr="007129C6" w:rsidR="00B52D66" w:rsidP="00A64D28" w:rsidRDefault="00B52D66" w14:paraId="222CAFC7"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8,2</w:t>
            </w:r>
          </w:p>
        </w:tc>
        <w:tc>
          <w:tcPr>
            <w:tcW w:w="778" w:type="dxa"/>
            <w:noWrap/>
            <w:vAlign w:val="center"/>
            <w:hideMark/>
          </w:tcPr>
          <w:p w:rsidRPr="007129C6" w:rsidR="00B52D66" w:rsidP="00A64D28" w:rsidRDefault="00B52D66" w14:paraId="276038EA"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92%</w:t>
            </w:r>
          </w:p>
        </w:tc>
        <w:tc>
          <w:tcPr>
            <w:tcW w:w="921" w:type="dxa"/>
            <w:noWrap/>
            <w:vAlign w:val="center"/>
            <w:hideMark/>
          </w:tcPr>
          <w:p w:rsidRPr="007129C6" w:rsidR="00B52D66" w:rsidP="00A64D28" w:rsidRDefault="00B52D66" w14:paraId="317437C2"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8,2</w:t>
            </w:r>
          </w:p>
        </w:tc>
        <w:tc>
          <w:tcPr>
            <w:tcW w:w="821" w:type="dxa"/>
            <w:noWrap/>
            <w:vAlign w:val="center"/>
            <w:hideMark/>
          </w:tcPr>
          <w:p w:rsidRPr="007129C6" w:rsidR="00B52D66" w:rsidP="00A64D28" w:rsidRDefault="00B52D66" w14:paraId="528BE3A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96%</w:t>
            </w:r>
          </w:p>
        </w:tc>
        <w:tc>
          <w:tcPr>
            <w:tcW w:w="921" w:type="dxa"/>
            <w:noWrap/>
            <w:vAlign w:val="center"/>
            <w:hideMark/>
          </w:tcPr>
          <w:p w:rsidRPr="007129C6" w:rsidR="00B52D66" w:rsidP="00A64D28" w:rsidRDefault="00B52D66" w14:paraId="5BA9066F"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8,3</w:t>
            </w:r>
          </w:p>
        </w:tc>
        <w:tc>
          <w:tcPr>
            <w:tcW w:w="821" w:type="dxa"/>
            <w:noWrap/>
            <w:vAlign w:val="center"/>
            <w:hideMark/>
          </w:tcPr>
          <w:p w:rsidRPr="007129C6" w:rsidR="00B52D66" w:rsidP="00A64D28" w:rsidRDefault="00B52D66" w14:paraId="7E68B3D3"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85%</w:t>
            </w:r>
          </w:p>
        </w:tc>
      </w:tr>
      <w:tr w:rsidRPr="007129C6" w:rsidR="002B239C" w:rsidTr="00FE41C7" w14:paraId="3C4F3902" w14:textId="77777777">
        <w:trPr>
          <w:trHeight w:val="288"/>
        </w:trPr>
        <w:tc>
          <w:tcPr>
            <w:cnfStyle w:val="001000000000" w:firstRow="0" w:lastRow="0" w:firstColumn="1" w:lastColumn="0" w:oddVBand="0" w:evenVBand="0" w:oddHBand="0" w:evenHBand="0" w:firstRowFirstColumn="0" w:firstRowLastColumn="0" w:lastRowFirstColumn="0" w:lastRowLastColumn="0"/>
            <w:tcW w:w="4365" w:type="dxa"/>
            <w:noWrap/>
            <w:hideMark/>
          </w:tcPr>
          <w:p w:rsidRPr="007129C6" w:rsidR="00B52D66" w:rsidP="00B52D66" w:rsidRDefault="00B52D66" w14:paraId="347485D2"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De beschikbaarheid van voldoende techniekdocenten</w:t>
            </w:r>
          </w:p>
        </w:tc>
        <w:tc>
          <w:tcPr>
            <w:tcW w:w="871" w:type="dxa"/>
            <w:noWrap/>
            <w:vAlign w:val="center"/>
            <w:hideMark/>
          </w:tcPr>
          <w:p w:rsidRPr="007129C6" w:rsidR="00B52D66" w:rsidP="00A64D28" w:rsidRDefault="00B52D66" w14:paraId="753EA872"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6,8</w:t>
            </w:r>
          </w:p>
        </w:tc>
        <w:tc>
          <w:tcPr>
            <w:tcW w:w="778" w:type="dxa"/>
            <w:noWrap/>
            <w:vAlign w:val="center"/>
            <w:hideMark/>
          </w:tcPr>
          <w:p w:rsidRPr="007129C6" w:rsidR="00B52D66" w:rsidP="00A64D28" w:rsidRDefault="00B52D66" w14:paraId="7FD11179"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73%</w:t>
            </w:r>
          </w:p>
        </w:tc>
        <w:tc>
          <w:tcPr>
            <w:tcW w:w="921" w:type="dxa"/>
            <w:noWrap/>
            <w:vAlign w:val="center"/>
            <w:hideMark/>
          </w:tcPr>
          <w:p w:rsidRPr="007129C6" w:rsidR="00B52D66" w:rsidP="00A64D28" w:rsidRDefault="00B52D66" w14:paraId="12985D19"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6,9</w:t>
            </w:r>
          </w:p>
        </w:tc>
        <w:tc>
          <w:tcPr>
            <w:tcW w:w="821" w:type="dxa"/>
            <w:noWrap/>
            <w:vAlign w:val="center"/>
            <w:hideMark/>
          </w:tcPr>
          <w:p w:rsidRPr="007129C6" w:rsidR="00B52D66" w:rsidP="00A64D28" w:rsidRDefault="00B52D66" w14:paraId="7A38519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75%</w:t>
            </w:r>
          </w:p>
        </w:tc>
        <w:tc>
          <w:tcPr>
            <w:tcW w:w="921" w:type="dxa"/>
            <w:noWrap/>
            <w:vAlign w:val="center"/>
            <w:hideMark/>
          </w:tcPr>
          <w:p w:rsidRPr="007129C6" w:rsidR="00B52D66" w:rsidP="00A64D28" w:rsidRDefault="00B52D66" w14:paraId="5D9EC899"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6,7</w:t>
            </w:r>
          </w:p>
        </w:tc>
        <w:tc>
          <w:tcPr>
            <w:tcW w:w="821" w:type="dxa"/>
            <w:noWrap/>
            <w:vAlign w:val="center"/>
            <w:hideMark/>
          </w:tcPr>
          <w:p w:rsidRPr="007129C6" w:rsidR="00B52D66" w:rsidP="00A64D28" w:rsidRDefault="00B52D66" w14:paraId="2F827F02"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70%</w:t>
            </w:r>
          </w:p>
        </w:tc>
      </w:tr>
      <w:tr w:rsidRPr="007129C6" w:rsidR="002B239C" w:rsidTr="00FE41C7" w14:paraId="5C30FF5E" w14:textId="77777777">
        <w:trPr>
          <w:trHeight w:val="288"/>
        </w:trPr>
        <w:tc>
          <w:tcPr>
            <w:cnfStyle w:val="001000000000" w:firstRow="0" w:lastRow="0" w:firstColumn="1" w:lastColumn="0" w:oddVBand="0" w:evenVBand="0" w:oddHBand="0" w:evenHBand="0" w:firstRowFirstColumn="0" w:firstRowLastColumn="0" w:lastRowFirstColumn="0" w:lastRowLastColumn="0"/>
            <w:tcW w:w="4365" w:type="dxa"/>
            <w:noWrap/>
            <w:hideMark/>
          </w:tcPr>
          <w:p w:rsidRPr="007129C6" w:rsidR="00B52D66" w:rsidP="00B52D66" w:rsidRDefault="00B52D66" w14:paraId="464ACDEE"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Commitment bij bestuurders</w:t>
            </w:r>
          </w:p>
        </w:tc>
        <w:tc>
          <w:tcPr>
            <w:tcW w:w="871" w:type="dxa"/>
            <w:noWrap/>
            <w:vAlign w:val="center"/>
            <w:hideMark/>
          </w:tcPr>
          <w:p w:rsidRPr="007129C6" w:rsidR="00B52D66" w:rsidP="00A64D28" w:rsidRDefault="00B52D66" w14:paraId="3ECAF2E3"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7,9</w:t>
            </w:r>
          </w:p>
        </w:tc>
        <w:tc>
          <w:tcPr>
            <w:tcW w:w="778" w:type="dxa"/>
            <w:noWrap/>
            <w:vAlign w:val="center"/>
            <w:hideMark/>
          </w:tcPr>
          <w:p w:rsidRPr="007129C6" w:rsidR="00B52D66" w:rsidP="00A64D28" w:rsidRDefault="00B52D66" w14:paraId="0AD4B6A0"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90%</w:t>
            </w:r>
          </w:p>
        </w:tc>
        <w:tc>
          <w:tcPr>
            <w:tcW w:w="921" w:type="dxa"/>
            <w:noWrap/>
            <w:vAlign w:val="center"/>
            <w:hideMark/>
          </w:tcPr>
          <w:p w:rsidRPr="007129C6" w:rsidR="00B52D66" w:rsidP="00A64D28" w:rsidRDefault="00B52D66" w14:paraId="1D6EC88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8,1</w:t>
            </w:r>
          </w:p>
        </w:tc>
        <w:tc>
          <w:tcPr>
            <w:tcW w:w="821" w:type="dxa"/>
            <w:noWrap/>
            <w:vAlign w:val="center"/>
            <w:hideMark/>
          </w:tcPr>
          <w:p w:rsidRPr="007129C6" w:rsidR="00B52D66" w:rsidP="00A64D28" w:rsidRDefault="00B52D66" w14:paraId="3E0FC9EC"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93%</w:t>
            </w:r>
          </w:p>
        </w:tc>
        <w:tc>
          <w:tcPr>
            <w:tcW w:w="921" w:type="dxa"/>
            <w:noWrap/>
            <w:vAlign w:val="center"/>
            <w:hideMark/>
          </w:tcPr>
          <w:p w:rsidRPr="007129C6" w:rsidR="00B52D66" w:rsidP="00A64D28" w:rsidRDefault="00B52D66" w14:paraId="7EC2254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7,6</w:t>
            </w:r>
          </w:p>
        </w:tc>
        <w:tc>
          <w:tcPr>
            <w:tcW w:w="821" w:type="dxa"/>
            <w:noWrap/>
            <w:vAlign w:val="center"/>
            <w:hideMark/>
          </w:tcPr>
          <w:p w:rsidRPr="007129C6" w:rsidR="00B52D66" w:rsidP="00A64D28" w:rsidRDefault="00B52D66" w14:paraId="791CAD4B"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85%</w:t>
            </w:r>
          </w:p>
        </w:tc>
      </w:tr>
      <w:tr w:rsidRPr="007129C6" w:rsidR="002B239C" w:rsidTr="00FE41C7" w14:paraId="786787D4" w14:textId="77777777">
        <w:trPr>
          <w:trHeight w:val="288"/>
        </w:trPr>
        <w:tc>
          <w:tcPr>
            <w:cnfStyle w:val="001000000000" w:firstRow="0" w:lastRow="0" w:firstColumn="1" w:lastColumn="0" w:oddVBand="0" w:evenVBand="0" w:oddHBand="0" w:evenHBand="0" w:firstRowFirstColumn="0" w:firstRowLastColumn="0" w:lastRowFirstColumn="0" w:lastRowLastColumn="0"/>
            <w:tcW w:w="4365" w:type="dxa"/>
            <w:noWrap/>
            <w:hideMark/>
          </w:tcPr>
          <w:p w:rsidRPr="007129C6" w:rsidR="00B52D66" w:rsidP="00B52D66" w:rsidRDefault="00B52D66" w14:paraId="5EC1B35B"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 xml:space="preserve">Continuïteit van personen in de programmaorganisatie </w:t>
            </w:r>
          </w:p>
        </w:tc>
        <w:tc>
          <w:tcPr>
            <w:tcW w:w="871" w:type="dxa"/>
            <w:noWrap/>
            <w:vAlign w:val="center"/>
            <w:hideMark/>
          </w:tcPr>
          <w:p w:rsidRPr="007129C6" w:rsidR="00B52D66" w:rsidP="00A64D28" w:rsidRDefault="00B52D66" w14:paraId="480A8DB7"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6,6</w:t>
            </w:r>
          </w:p>
        </w:tc>
        <w:tc>
          <w:tcPr>
            <w:tcW w:w="778" w:type="dxa"/>
            <w:noWrap/>
            <w:vAlign w:val="center"/>
            <w:hideMark/>
          </w:tcPr>
          <w:p w:rsidRPr="007129C6" w:rsidR="00B52D66" w:rsidP="00A64D28" w:rsidRDefault="00B52D66" w14:paraId="57EB6F49"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69%</w:t>
            </w:r>
          </w:p>
        </w:tc>
        <w:tc>
          <w:tcPr>
            <w:tcW w:w="921" w:type="dxa"/>
            <w:noWrap/>
            <w:vAlign w:val="center"/>
            <w:hideMark/>
          </w:tcPr>
          <w:p w:rsidRPr="007129C6" w:rsidR="00B52D66" w:rsidP="00A64D28" w:rsidRDefault="00B52D66" w14:paraId="7E191A22"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6,4</w:t>
            </w:r>
          </w:p>
        </w:tc>
        <w:tc>
          <w:tcPr>
            <w:tcW w:w="821" w:type="dxa"/>
            <w:noWrap/>
            <w:vAlign w:val="center"/>
            <w:hideMark/>
          </w:tcPr>
          <w:p w:rsidRPr="007129C6" w:rsidR="00B52D66" w:rsidP="00A64D28" w:rsidRDefault="00B52D66" w14:paraId="240C89A8"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61%</w:t>
            </w:r>
          </w:p>
        </w:tc>
        <w:tc>
          <w:tcPr>
            <w:tcW w:w="921" w:type="dxa"/>
            <w:noWrap/>
            <w:vAlign w:val="center"/>
            <w:hideMark/>
          </w:tcPr>
          <w:p w:rsidRPr="007129C6" w:rsidR="00B52D66" w:rsidP="00A64D28" w:rsidRDefault="00B52D66" w14:paraId="1009BCE3"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6,8</w:t>
            </w:r>
          </w:p>
        </w:tc>
        <w:tc>
          <w:tcPr>
            <w:tcW w:w="821" w:type="dxa"/>
            <w:noWrap/>
            <w:vAlign w:val="center"/>
            <w:hideMark/>
          </w:tcPr>
          <w:p w:rsidRPr="007129C6" w:rsidR="00B52D66" w:rsidP="00A64D28" w:rsidRDefault="00B52D66" w14:paraId="60A0158C"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80%</w:t>
            </w:r>
          </w:p>
        </w:tc>
      </w:tr>
      <w:tr w:rsidRPr="007129C6" w:rsidR="002B239C" w:rsidTr="00FE41C7" w14:paraId="12770D13" w14:textId="77777777">
        <w:trPr>
          <w:trHeight w:val="288"/>
        </w:trPr>
        <w:tc>
          <w:tcPr>
            <w:cnfStyle w:val="001000000000" w:firstRow="0" w:lastRow="0" w:firstColumn="1" w:lastColumn="0" w:oddVBand="0" w:evenVBand="0" w:oddHBand="0" w:evenHBand="0" w:firstRowFirstColumn="0" w:firstRowLastColumn="0" w:lastRowFirstColumn="0" w:lastRowLastColumn="0"/>
            <w:tcW w:w="4365" w:type="dxa"/>
            <w:noWrap/>
            <w:hideMark/>
          </w:tcPr>
          <w:p w:rsidRPr="007129C6" w:rsidR="00B52D66" w:rsidP="00B52D66" w:rsidRDefault="00B52D66" w14:paraId="36D2C667" w14:textId="77777777">
            <w:pPr>
              <w:pStyle w:val="SEOStandaard"/>
              <w:spacing w:line="240" w:lineRule="auto"/>
              <w:jc w:val="left"/>
              <w:rPr>
                <w:rFonts w:ascii="Trebuchet MS" w:hAnsi="Trebuchet MS"/>
                <w:sz w:val="18"/>
                <w:szCs w:val="18"/>
              </w:rPr>
            </w:pPr>
            <w:r w:rsidRPr="007129C6">
              <w:rPr>
                <w:rFonts w:ascii="Trebuchet MS" w:hAnsi="Trebuchet MS"/>
                <w:sz w:val="18"/>
                <w:szCs w:val="18"/>
              </w:rPr>
              <w:t>Continuïteit van de inhoud van het plan en de programmalijnen</w:t>
            </w:r>
          </w:p>
        </w:tc>
        <w:tc>
          <w:tcPr>
            <w:tcW w:w="871" w:type="dxa"/>
            <w:noWrap/>
            <w:vAlign w:val="center"/>
            <w:hideMark/>
          </w:tcPr>
          <w:p w:rsidRPr="007129C6" w:rsidR="00B52D66" w:rsidP="00A64D28" w:rsidRDefault="00B52D66" w14:paraId="4F1236F5"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8,1</w:t>
            </w:r>
          </w:p>
        </w:tc>
        <w:tc>
          <w:tcPr>
            <w:tcW w:w="778" w:type="dxa"/>
            <w:noWrap/>
            <w:vAlign w:val="center"/>
            <w:hideMark/>
          </w:tcPr>
          <w:p w:rsidRPr="007129C6" w:rsidR="00B52D66" w:rsidP="00A64D28" w:rsidRDefault="00B52D66" w14:paraId="08D3312B"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94%</w:t>
            </w:r>
          </w:p>
        </w:tc>
        <w:tc>
          <w:tcPr>
            <w:tcW w:w="921" w:type="dxa"/>
            <w:noWrap/>
            <w:vAlign w:val="center"/>
            <w:hideMark/>
          </w:tcPr>
          <w:p w:rsidRPr="007129C6" w:rsidR="00B52D66" w:rsidP="00A64D28" w:rsidRDefault="00B52D66" w14:paraId="29120222"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8,1</w:t>
            </w:r>
          </w:p>
        </w:tc>
        <w:tc>
          <w:tcPr>
            <w:tcW w:w="821" w:type="dxa"/>
            <w:noWrap/>
            <w:vAlign w:val="center"/>
            <w:hideMark/>
          </w:tcPr>
          <w:p w:rsidRPr="007129C6" w:rsidR="00B52D66" w:rsidP="00A64D28" w:rsidRDefault="00B52D66" w14:paraId="32E89F14"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96%</w:t>
            </w:r>
          </w:p>
        </w:tc>
        <w:tc>
          <w:tcPr>
            <w:tcW w:w="921" w:type="dxa"/>
            <w:noWrap/>
            <w:vAlign w:val="center"/>
            <w:hideMark/>
          </w:tcPr>
          <w:p w:rsidRPr="007129C6" w:rsidR="00B52D66" w:rsidP="00A64D28" w:rsidRDefault="00B52D66" w14:paraId="212B9C1B"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8,0</w:t>
            </w:r>
          </w:p>
        </w:tc>
        <w:tc>
          <w:tcPr>
            <w:tcW w:w="821" w:type="dxa"/>
            <w:noWrap/>
            <w:vAlign w:val="center"/>
            <w:hideMark/>
          </w:tcPr>
          <w:p w:rsidRPr="007129C6" w:rsidR="00B52D66" w:rsidP="00A64D28" w:rsidRDefault="00B52D66" w14:paraId="2110897C" w14:textId="77777777">
            <w:pPr>
              <w:pStyle w:val="SEOStandaard"/>
              <w:spacing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7129C6">
              <w:rPr>
                <w:rFonts w:ascii="Trebuchet MS" w:hAnsi="Trebuchet MS"/>
                <w:sz w:val="18"/>
                <w:szCs w:val="18"/>
              </w:rPr>
              <w:t>90%</w:t>
            </w:r>
          </w:p>
        </w:tc>
      </w:tr>
    </w:tbl>
    <w:p w:rsidRPr="007129C6" w:rsidR="00B52D66" w:rsidP="00B52D66" w:rsidRDefault="00B52D66" w14:paraId="7C3D6020" w14:textId="77777777">
      <w:pPr>
        <w:pStyle w:val="SEOBron"/>
        <w:rPr>
          <w:rFonts w:ascii="Trebuchet MS" w:hAnsi="Trebuchet MS"/>
          <w:szCs w:val="18"/>
        </w:rPr>
      </w:pPr>
      <w:r w:rsidRPr="007129C6">
        <w:rPr>
          <w:rFonts w:ascii="Trebuchet MS" w:hAnsi="Trebuchet MS"/>
          <w:szCs w:val="18"/>
        </w:rPr>
        <w:t xml:space="preserve">Enquête programmaleiders STO (april 2025). </w:t>
      </w:r>
    </w:p>
    <w:p w:rsidRPr="007129C6" w:rsidR="00B52D66" w:rsidP="00B52D66" w:rsidRDefault="00B52D66" w14:paraId="0EB94E14" w14:textId="78083034">
      <w:pPr>
        <w:tabs>
          <w:tab w:val="left" w:pos="1481"/>
        </w:tabs>
        <w:rPr>
          <w:szCs w:val="18"/>
        </w:rPr>
      </w:pPr>
      <w:r w:rsidRPr="007129C6">
        <w:rPr>
          <w:szCs w:val="18"/>
        </w:rPr>
        <w:t xml:space="preserve">Tabel </w:t>
      </w:r>
      <w:r w:rsidR="00BE45A3">
        <w:rPr>
          <w:szCs w:val="18"/>
        </w:rPr>
        <w:t>B1</w:t>
      </w:r>
      <w:r w:rsidRPr="007129C6">
        <w:rPr>
          <w:szCs w:val="18"/>
        </w:rPr>
        <w:t>.</w:t>
      </w:r>
      <w:r w:rsidR="00BE45A3">
        <w:rPr>
          <w:szCs w:val="18"/>
        </w:rPr>
        <w:t>10</w:t>
      </w:r>
      <w:r w:rsidRPr="007129C6">
        <w:rPr>
          <w:szCs w:val="18"/>
        </w:rPr>
        <w:t xml:space="preserve"> Mate waarin STO-middelen bepalend zijn voor continuïteit van gerealiseerd aanbod volgens alle programmaleiders, uitgesplitst naar verdeling middelen</w:t>
      </w:r>
    </w:p>
    <w:tbl>
      <w:tblPr>
        <w:tblStyle w:val="SEOTabel2"/>
        <w:tblW w:w="9580" w:type="dxa"/>
        <w:tblCellMar>
          <w:top w:w="28" w:type="dxa"/>
          <w:left w:w="28" w:type="dxa"/>
          <w:bottom w:w="28" w:type="dxa"/>
          <w:right w:w="28" w:type="dxa"/>
        </w:tblCellMar>
        <w:tblLook w:val="04A0" w:firstRow="1" w:lastRow="0" w:firstColumn="1" w:lastColumn="0" w:noHBand="0" w:noVBand="1"/>
      </w:tblPr>
      <w:tblGrid>
        <w:gridCol w:w="4365"/>
        <w:gridCol w:w="1247"/>
        <w:gridCol w:w="1984"/>
        <w:gridCol w:w="1984"/>
      </w:tblGrid>
      <w:tr w:rsidRPr="007129C6" w:rsidR="00FE41C7" w:rsidTr="00FE41C7" w14:paraId="10689FB6"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65" w:type="dxa"/>
            <w:noWrap/>
            <w:hideMark/>
          </w:tcPr>
          <w:p w:rsidRPr="007129C6" w:rsidR="00B52D66" w:rsidP="00FC2172" w:rsidRDefault="00FE41C7" w14:paraId="75F516C0" w14:textId="616A1A33">
            <w:pPr>
              <w:rPr>
                <w:b w:val="0"/>
                <w:bCs/>
                <w:szCs w:val="18"/>
              </w:rPr>
            </w:pPr>
            <w:r w:rsidRPr="00FE41C7">
              <w:rPr>
                <w:bCs/>
                <w:szCs w:val="18"/>
              </w:rPr>
              <w:t>Hoe bepalend zijn de STO-middelen voor wat in uw regio is gerealiseerd?</w:t>
            </w:r>
            <w:r>
              <w:rPr>
                <w:bCs/>
                <w:szCs w:val="18"/>
              </w:rPr>
              <w:t xml:space="preserve"> (</w:t>
            </w:r>
            <w:r w:rsidRPr="007129C6" w:rsidR="00B52D66">
              <w:rPr>
                <w:bCs/>
                <w:szCs w:val="18"/>
              </w:rPr>
              <w:t>% in enige/sterke mate</w:t>
            </w:r>
            <w:r>
              <w:rPr>
                <w:bCs/>
                <w:szCs w:val="18"/>
              </w:rPr>
              <w:t>)</w:t>
            </w:r>
          </w:p>
        </w:tc>
        <w:tc>
          <w:tcPr>
            <w:tcW w:w="1247" w:type="dxa"/>
            <w:noWrap/>
            <w:hideMark/>
          </w:tcPr>
          <w:p w:rsidRPr="007129C6" w:rsidR="00B52D66" w:rsidP="00FC2172" w:rsidRDefault="00B52D66" w14:paraId="5676BA83" w14:textId="72895A6C">
            <w:pPr>
              <w:cnfStyle w:val="100000000000" w:firstRow="1" w:lastRow="0" w:firstColumn="0" w:lastColumn="0" w:oddVBand="0" w:evenVBand="0" w:oddHBand="0" w:evenHBand="0" w:firstRowFirstColumn="0" w:firstRowLastColumn="0" w:lastRowFirstColumn="0" w:lastRowLastColumn="0"/>
              <w:rPr>
                <w:szCs w:val="18"/>
              </w:rPr>
            </w:pPr>
            <w:r w:rsidRPr="007129C6">
              <w:rPr>
                <w:szCs w:val="18"/>
              </w:rPr>
              <w:t>Programma</w:t>
            </w:r>
            <w:r w:rsidR="00A92EDF">
              <w:rPr>
                <w:szCs w:val="18"/>
              </w:rPr>
              <w:t>-</w:t>
            </w:r>
            <w:r w:rsidRPr="007129C6">
              <w:rPr>
                <w:szCs w:val="18"/>
              </w:rPr>
              <w:t>leiders (n=48)</w:t>
            </w:r>
          </w:p>
        </w:tc>
        <w:tc>
          <w:tcPr>
            <w:tcW w:w="1984" w:type="dxa"/>
            <w:noWrap/>
            <w:hideMark/>
          </w:tcPr>
          <w:p w:rsidRPr="007129C6" w:rsidR="00B52D66" w:rsidP="00FC2172" w:rsidRDefault="00B52D66" w14:paraId="23DE09AF" w14:textId="77777777">
            <w:pPr>
              <w:cnfStyle w:val="100000000000" w:firstRow="1" w:lastRow="0" w:firstColumn="0" w:lastColumn="0" w:oddVBand="0" w:evenVBand="0" w:oddHBand="0" w:evenHBand="0" w:firstRowFirstColumn="0" w:firstRowLastColumn="0" w:lastRowFirstColumn="0" w:lastRowLastColumn="0"/>
              <w:rPr>
                <w:szCs w:val="18"/>
              </w:rPr>
            </w:pPr>
            <w:r w:rsidRPr="007129C6">
              <w:rPr>
                <w:szCs w:val="18"/>
              </w:rPr>
              <w:t>Programmaleiders met verdeelsleutel middelen (n=28)</w:t>
            </w:r>
          </w:p>
        </w:tc>
        <w:tc>
          <w:tcPr>
            <w:tcW w:w="1984" w:type="dxa"/>
            <w:noWrap/>
            <w:hideMark/>
          </w:tcPr>
          <w:p w:rsidRPr="007129C6" w:rsidR="00B52D66" w:rsidP="00FC2172" w:rsidRDefault="00B52D66" w14:paraId="18264D1A" w14:textId="77777777">
            <w:pPr>
              <w:cnfStyle w:val="100000000000" w:firstRow="1" w:lastRow="0" w:firstColumn="0" w:lastColumn="0" w:oddVBand="0" w:evenVBand="0" w:oddHBand="0" w:evenHBand="0" w:firstRowFirstColumn="0" w:firstRowLastColumn="0" w:lastRowFirstColumn="0" w:lastRowLastColumn="0"/>
              <w:rPr>
                <w:szCs w:val="18"/>
              </w:rPr>
            </w:pPr>
            <w:r w:rsidRPr="007129C6">
              <w:rPr>
                <w:szCs w:val="18"/>
              </w:rPr>
              <w:t>Programmaleiders met regionaal beheer middelen (n=20)</w:t>
            </w:r>
          </w:p>
        </w:tc>
      </w:tr>
      <w:tr w:rsidRPr="007129C6" w:rsidR="00B52D66" w:rsidTr="00FE41C7" w14:paraId="625E71F7" w14:textId="77777777">
        <w:trPr>
          <w:trHeight w:val="288"/>
        </w:trPr>
        <w:tc>
          <w:tcPr>
            <w:cnfStyle w:val="001000000000" w:firstRow="0" w:lastRow="0" w:firstColumn="1" w:lastColumn="0" w:oddVBand="0" w:evenVBand="0" w:oddHBand="0" w:evenHBand="0" w:firstRowFirstColumn="0" w:firstRowLastColumn="0" w:lastRowFirstColumn="0" w:lastRowLastColumn="0"/>
            <w:tcW w:w="4365" w:type="dxa"/>
            <w:noWrap/>
            <w:hideMark/>
          </w:tcPr>
          <w:p w:rsidRPr="007129C6" w:rsidR="00B52D66" w:rsidP="00FC2172" w:rsidRDefault="00B52D66" w14:paraId="131F24B7" w14:textId="77777777">
            <w:pPr>
              <w:rPr>
                <w:szCs w:val="18"/>
              </w:rPr>
            </w:pPr>
            <w:r w:rsidRPr="007129C6">
              <w:rPr>
                <w:szCs w:val="18"/>
              </w:rPr>
              <w:t>Zonder subsidie was de betrokkenheid van en samenwerking met de partners niet gerealiseerd</w:t>
            </w:r>
          </w:p>
        </w:tc>
        <w:tc>
          <w:tcPr>
            <w:tcW w:w="1247" w:type="dxa"/>
            <w:noWrap/>
            <w:vAlign w:val="center"/>
            <w:hideMark/>
          </w:tcPr>
          <w:p w:rsidRPr="007129C6" w:rsidR="00B52D66" w:rsidP="00A92EDF" w:rsidRDefault="00B52D66" w14:paraId="2CD043B1"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88%</w:t>
            </w:r>
          </w:p>
        </w:tc>
        <w:tc>
          <w:tcPr>
            <w:tcW w:w="1984" w:type="dxa"/>
            <w:noWrap/>
            <w:vAlign w:val="center"/>
            <w:hideMark/>
          </w:tcPr>
          <w:p w:rsidRPr="007129C6" w:rsidR="00B52D66" w:rsidP="00A92EDF" w:rsidRDefault="00B52D66" w14:paraId="4CC1B484"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93%</w:t>
            </w:r>
          </w:p>
        </w:tc>
        <w:tc>
          <w:tcPr>
            <w:tcW w:w="1984" w:type="dxa"/>
            <w:noWrap/>
            <w:vAlign w:val="center"/>
            <w:hideMark/>
          </w:tcPr>
          <w:p w:rsidRPr="007129C6" w:rsidR="00B52D66" w:rsidP="00A92EDF" w:rsidRDefault="00B52D66" w14:paraId="3E371647"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80%</w:t>
            </w:r>
          </w:p>
        </w:tc>
      </w:tr>
      <w:tr w:rsidRPr="007129C6" w:rsidR="00B52D66" w:rsidTr="00FE41C7" w14:paraId="0033AB0E" w14:textId="77777777">
        <w:trPr>
          <w:trHeight w:val="288"/>
        </w:trPr>
        <w:tc>
          <w:tcPr>
            <w:cnfStyle w:val="001000000000" w:firstRow="0" w:lastRow="0" w:firstColumn="1" w:lastColumn="0" w:oddVBand="0" w:evenVBand="0" w:oddHBand="0" w:evenHBand="0" w:firstRowFirstColumn="0" w:firstRowLastColumn="0" w:lastRowFirstColumn="0" w:lastRowLastColumn="0"/>
            <w:tcW w:w="4365" w:type="dxa"/>
            <w:noWrap/>
            <w:hideMark/>
          </w:tcPr>
          <w:p w:rsidRPr="007129C6" w:rsidR="00B52D66" w:rsidP="00FC2172" w:rsidRDefault="00B52D66" w14:paraId="5C46F834" w14:textId="77777777">
            <w:pPr>
              <w:rPr>
                <w:szCs w:val="18"/>
              </w:rPr>
            </w:pPr>
            <w:r w:rsidRPr="007129C6">
              <w:rPr>
                <w:szCs w:val="18"/>
              </w:rPr>
              <w:t>De subsidie was nodig om het verouderd materiaal te vernieuwen</w:t>
            </w:r>
          </w:p>
        </w:tc>
        <w:tc>
          <w:tcPr>
            <w:tcW w:w="1247" w:type="dxa"/>
            <w:noWrap/>
            <w:vAlign w:val="center"/>
            <w:hideMark/>
          </w:tcPr>
          <w:p w:rsidRPr="007129C6" w:rsidR="00B52D66" w:rsidP="00A92EDF" w:rsidRDefault="00B52D66" w14:paraId="29ACDD2D"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90%</w:t>
            </w:r>
          </w:p>
        </w:tc>
        <w:tc>
          <w:tcPr>
            <w:tcW w:w="1984" w:type="dxa"/>
            <w:noWrap/>
            <w:vAlign w:val="center"/>
            <w:hideMark/>
          </w:tcPr>
          <w:p w:rsidRPr="007129C6" w:rsidR="00B52D66" w:rsidP="00A92EDF" w:rsidRDefault="00B52D66" w14:paraId="67ADCB9B"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96%</w:t>
            </w:r>
          </w:p>
        </w:tc>
        <w:tc>
          <w:tcPr>
            <w:tcW w:w="1984" w:type="dxa"/>
            <w:noWrap/>
            <w:vAlign w:val="center"/>
            <w:hideMark/>
          </w:tcPr>
          <w:p w:rsidRPr="007129C6" w:rsidR="00B52D66" w:rsidP="00A92EDF" w:rsidRDefault="00B52D66" w14:paraId="1168E55C"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80%</w:t>
            </w:r>
          </w:p>
        </w:tc>
      </w:tr>
      <w:tr w:rsidRPr="007129C6" w:rsidR="00B52D66" w:rsidTr="00FE41C7" w14:paraId="0EDE5780" w14:textId="77777777">
        <w:trPr>
          <w:trHeight w:val="288"/>
        </w:trPr>
        <w:tc>
          <w:tcPr>
            <w:cnfStyle w:val="001000000000" w:firstRow="0" w:lastRow="0" w:firstColumn="1" w:lastColumn="0" w:oddVBand="0" w:evenVBand="0" w:oddHBand="0" w:evenHBand="0" w:firstRowFirstColumn="0" w:firstRowLastColumn="0" w:lastRowFirstColumn="0" w:lastRowLastColumn="0"/>
            <w:tcW w:w="4365" w:type="dxa"/>
            <w:noWrap/>
            <w:hideMark/>
          </w:tcPr>
          <w:p w:rsidRPr="007129C6" w:rsidR="00B52D66" w:rsidP="00FC2172" w:rsidRDefault="00B52D66" w14:paraId="5935E724" w14:textId="77777777">
            <w:pPr>
              <w:rPr>
                <w:szCs w:val="18"/>
              </w:rPr>
            </w:pPr>
            <w:r w:rsidRPr="007129C6">
              <w:rPr>
                <w:szCs w:val="18"/>
              </w:rPr>
              <w:t>Bij het wegvallen van de subsidie verdwijnt ook de betrokkenheid van en samenwerking met partners</w:t>
            </w:r>
          </w:p>
        </w:tc>
        <w:tc>
          <w:tcPr>
            <w:tcW w:w="1247" w:type="dxa"/>
            <w:noWrap/>
            <w:vAlign w:val="center"/>
            <w:hideMark/>
          </w:tcPr>
          <w:p w:rsidRPr="007129C6" w:rsidR="00B52D66" w:rsidP="00A92EDF" w:rsidRDefault="00B52D66" w14:paraId="03F12C9F"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56%</w:t>
            </w:r>
          </w:p>
        </w:tc>
        <w:tc>
          <w:tcPr>
            <w:tcW w:w="1984" w:type="dxa"/>
            <w:noWrap/>
            <w:vAlign w:val="center"/>
            <w:hideMark/>
          </w:tcPr>
          <w:p w:rsidRPr="007129C6" w:rsidR="00B52D66" w:rsidP="00A92EDF" w:rsidRDefault="00B52D66" w14:paraId="564977C6"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64%</w:t>
            </w:r>
          </w:p>
        </w:tc>
        <w:tc>
          <w:tcPr>
            <w:tcW w:w="1984" w:type="dxa"/>
            <w:noWrap/>
            <w:vAlign w:val="center"/>
            <w:hideMark/>
          </w:tcPr>
          <w:p w:rsidRPr="007129C6" w:rsidR="00B52D66" w:rsidP="00A92EDF" w:rsidRDefault="00B52D66" w14:paraId="5B84C09E"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45%</w:t>
            </w:r>
          </w:p>
        </w:tc>
      </w:tr>
      <w:tr w:rsidRPr="007129C6" w:rsidR="00B52D66" w:rsidTr="00FE41C7" w14:paraId="280BE379" w14:textId="77777777">
        <w:trPr>
          <w:trHeight w:val="288"/>
        </w:trPr>
        <w:tc>
          <w:tcPr>
            <w:cnfStyle w:val="001000000000" w:firstRow="0" w:lastRow="0" w:firstColumn="1" w:lastColumn="0" w:oddVBand="0" w:evenVBand="0" w:oddHBand="0" w:evenHBand="0" w:firstRowFirstColumn="0" w:firstRowLastColumn="0" w:lastRowFirstColumn="0" w:lastRowLastColumn="0"/>
            <w:tcW w:w="4365" w:type="dxa"/>
            <w:noWrap/>
            <w:hideMark/>
          </w:tcPr>
          <w:p w:rsidRPr="007129C6" w:rsidR="00B52D66" w:rsidP="00FC2172" w:rsidRDefault="00B52D66" w14:paraId="02CF84C6" w14:textId="77777777">
            <w:pPr>
              <w:rPr>
                <w:szCs w:val="18"/>
              </w:rPr>
            </w:pPr>
            <w:r w:rsidRPr="007129C6">
              <w:rPr>
                <w:szCs w:val="18"/>
              </w:rPr>
              <w:t>Bij het wegvallen van de subsidie verdwijnt ook een groot deel van gerealiseerde activiteiten</w:t>
            </w:r>
          </w:p>
        </w:tc>
        <w:tc>
          <w:tcPr>
            <w:tcW w:w="1247" w:type="dxa"/>
            <w:noWrap/>
            <w:vAlign w:val="center"/>
            <w:hideMark/>
          </w:tcPr>
          <w:p w:rsidRPr="007129C6" w:rsidR="00B52D66" w:rsidP="00A92EDF" w:rsidRDefault="00B52D66" w14:paraId="6E25470A"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58%</w:t>
            </w:r>
          </w:p>
        </w:tc>
        <w:tc>
          <w:tcPr>
            <w:tcW w:w="1984" w:type="dxa"/>
            <w:noWrap/>
            <w:vAlign w:val="center"/>
            <w:hideMark/>
          </w:tcPr>
          <w:p w:rsidRPr="007129C6" w:rsidR="00B52D66" w:rsidP="00A92EDF" w:rsidRDefault="00B52D66" w14:paraId="272343CC"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75%</w:t>
            </w:r>
          </w:p>
        </w:tc>
        <w:tc>
          <w:tcPr>
            <w:tcW w:w="1984" w:type="dxa"/>
            <w:noWrap/>
            <w:vAlign w:val="center"/>
            <w:hideMark/>
          </w:tcPr>
          <w:p w:rsidRPr="007129C6" w:rsidR="00B52D66" w:rsidP="00A92EDF" w:rsidRDefault="00B52D66" w14:paraId="0EECA894"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35%</w:t>
            </w:r>
          </w:p>
        </w:tc>
      </w:tr>
      <w:tr w:rsidRPr="007129C6" w:rsidR="00B52D66" w:rsidTr="00FE41C7" w14:paraId="2F0E4B9C" w14:textId="77777777">
        <w:trPr>
          <w:trHeight w:val="288"/>
        </w:trPr>
        <w:tc>
          <w:tcPr>
            <w:cnfStyle w:val="001000000000" w:firstRow="0" w:lastRow="0" w:firstColumn="1" w:lastColumn="0" w:oddVBand="0" w:evenVBand="0" w:oddHBand="0" w:evenHBand="0" w:firstRowFirstColumn="0" w:firstRowLastColumn="0" w:lastRowFirstColumn="0" w:lastRowLastColumn="0"/>
            <w:tcW w:w="4365" w:type="dxa"/>
            <w:noWrap/>
            <w:hideMark/>
          </w:tcPr>
          <w:p w:rsidRPr="007129C6" w:rsidR="00B52D66" w:rsidP="00FC2172" w:rsidRDefault="00B52D66" w14:paraId="6B226B27" w14:textId="77777777">
            <w:pPr>
              <w:rPr>
                <w:szCs w:val="18"/>
              </w:rPr>
            </w:pPr>
            <w:r w:rsidRPr="007129C6">
              <w:rPr>
                <w:szCs w:val="18"/>
              </w:rPr>
              <w:t>Met bekostiging via de lumpsum kunnen we blijven aanbieden wat we nu hebben, ook voor toekomstige cohorten leerlingen</w:t>
            </w:r>
          </w:p>
        </w:tc>
        <w:tc>
          <w:tcPr>
            <w:tcW w:w="1247" w:type="dxa"/>
            <w:noWrap/>
            <w:vAlign w:val="center"/>
            <w:hideMark/>
          </w:tcPr>
          <w:p w:rsidRPr="007129C6" w:rsidR="00B52D66" w:rsidP="00A92EDF" w:rsidRDefault="00B52D66" w14:paraId="22759AF9"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46%</w:t>
            </w:r>
          </w:p>
        </w:tc>
        <w:tc>
          <w:tcPr>
            <w:tcW w:w="1984" w:type="dxa"/>
            <w:noWrap/>
            <w:vAlign w:val="center"/>
            <w:hideMark/>
          </w:tcPr>
          <w:p w:rsidRPr="007129C6" w:rsidR="00B52D66" w:rsidP="00A92EDF" w:rsidRDefault="00B52D66" w14:paraId="14C71A33"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39%</w:t>
            </w:r>
          </w:p>
        </w:tc>
        <w:tc>
          <w:tcPr>
            <w:tcW w:w="1984" w:type="dxa"/>
            <w:noWrap/>
            <w:vAlign w:val="center"/>
            <w:hideMark/>
          </w:tcPr>
          <w:p w:rsidRPr="007129C6" w:rsidR="00B52D66" w:rsidP="00A92EDF" w:rsidRDefault="00B52D66" w14:paraId="3544E4E7"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55%</w:t>
            </w:r>
          </w:p>
        </w:tc>
      </w:tr>
      <w:tr w:rsidRPr="007129C6" w:rsidR="00B52D66" w:rsidTr="00FE41C7" w14:paraId="1C4A09DF" w14:textId="77777777">
        <w:trPr>
          <w:trHeight w:val="288"/>
        </w:trPr>
        <w:tc>
          <w:tcPr>
            <w:cnfStyle w:val="001000000000" w:firstRow="0" w:lastRow="0" w:firstColumn="1" w:lastColumn="0" w:oddVBand="0" w:evenVBand="0" w:oddHBand="0" w:evenHBand="0" w:firstRowFirstColumn="0" w:firstRowLastColumn="0" w:lastRowFirstColumn="0" w:lastRowLastColumn="0"/>
            <w:tcW w:w="4365" w:type="dxa"/>
            <w:noWrap/>
            <w:hideMark/>
          </w:tcPr>
          <w:p w:rsidRPr="007129C6" w:rsidR="00B52D66" w:rsidP="00FC2172" w:rsidRDefault="00B52D66" w14:paraId="52776368" w14:textId="77777777">
            <w:pPr>
              <w:rPr>
                <w:szCs w:val="18"/>
              </w:rPr>
            </w:pPr>
            <w:r w:rsidRPr="007129C6">
              <w:rPr>
                <w:szCs w:val="18"/>
              </w:rPr>
              <w:t>Bij toevoeging van de STO-middelen aan de lumpsum zal de aandacht voor techniek afzwakken</w:t>
            </w:r>
          </w:p>
        </w:tc>
        <w:tc>
          <w:tcPr>
            <w:tcW w:w="1247" w:type="dxa"/>
            <w:noWrap/>
            <w:vAlign w:val="center"/>
            <w:hideMark/>
          </w:tcPr>
          <w:p w:rsidRPr="007129C6" w:rsidR="00B52D66" w:rsidP="00A92EDF" w:rsidRDefault="00B52D66" w14:paraId="492D6E6A"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67%</w:t>
            </w:r>
          </w:p>
        </w:tc>
        <w:tc>
          <w:tcPr>
            <w:tcW w:w="1984" w:type="dxa"/>
            <w:noWrap/>
            <w:vAlign w:val="center"/>
            <w:hideMark/>
          </w:tcPr>
          <w:p w:rsidRPr="007129C6" w:rsidR="00B52D66" w:rsidP="00A92EDF" w:rsidRDefault="00B52D66" w14:paraId="6EF1A5FB"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64%</w:t>
            </w:r>
          </w:p>
        </w:tc>
        <w:tc>
          <w:tcPr>
            <w:tcW w:w="1984" w:type="dxa"/>
            <w:noWrap/>
            <w:vAlign w:val="center"/>
            <w:hideMark/>
          </w:tcPr>
          <w:p w:rsidRPr="007129C6" w:rsidR="00B52D66" w:rsidP="00A92EDF" w:rsidRDefault="00B52D66" w14:paraId="47798758" w14:textId="77777777">
            <w:pPr>
              <w:jc w:val="center"/>
              <w:cnfStyle w:val="000000000000" w:firstRow="0" w:lastRow="0" w:firstColumn="0" w:lastColumn="0" w:oddVBand="0" w:evenVBand="0" w:oddHBand="0" w:evenHBand="0" w:firstRowFirstColumn="0" w:firstRowLastColumn="0" w:lastRowFirstColumn="0" w:lastRowLastColumn="0"/>
              <w:rPr>
                <w:szCs w:val="18"/>
              </w:rPr>
            </w:pPr>
            <w:r w:rsidRPr="007129C6">
              <w:rPr>
                <w:szCs w:val="18"/>
              </w:rPr>
              <w:t>70%</w:t>
            </w:r>
          </w:p>
        </w:tc>
      </w:tr>
    </w:tbl>
    <w:p w:rsidRPr="007129C6" w:rsidR="00B52D66" w:rsidP="00B52D66" w:rsidRDefault="00B52D66" w14:paraId="5F696DC0" w14:textId="77777777">
      <w:pPr>
        <w:pStyle w:val="SEOBron"/>
        <w:rPr>
          <w:rFonts w:ascii="Trebuchet MS" w:hAnsi="Trebuchet MS"/>
          <w:szCs w:val="18"/>
        </w:rPr>
      </w:pPr>
      <w:r w:rsidRPr="007129C6">
        <w:rPr>
          <w:rFonts w:ascii="Trebuchet MS" w:hAnsi="Trebuchet MS"/>
          <w:szCs w:val="18"/>
        </w:rPr>
        <w:t>Enquête programmaleiders STO (april 2025). % in enige/sterke mate.</w:t>
      </w:r>
    </w:p>
    <w:p w:rsidRPr="007129C6" w:rsidR="00B52D66" w:rsidP="00B52D66" w:rsidRDefault="00B52D66" w14:paraId="6AA4525D" w14:textId="77777777">
      <w:pPr>
        <w:tabs>
          <w:tab w:val="left" w:pos="2944"/>
        </w:tabs>
        <w:rPr>
          <w:szCs w:val="18"/>
        </w:rPr>
      </w:pPr>
    </w:p>
    <w:p w:rsidR="00B52D66" w:rsidRDefault="00B52D66" w14:paraId="66EB635C" w14:textId="1C017AF0">
      <w:pPr>
        <w:spacing w:after="160" w:line="259" w:lineRule="auto"/>
        <w:rPr>
          <w:rFonts w:eastAsiaTheme="majorEastAsia"/>
          <w:lang w:eastAsia="en-US"/>
        </w:rPr>
      </w:pPr>
      <w:r>
        <w:rPr>
          <w:rFonts w:eastAsiaTheme="majorEastAsia"/>
          <w:lang w:eastAsia="en-US"/>
        </w:rPr>
        <w:br w:type="page"/>
      </w:r>
    </w:p>
    <w:p w:rsidR="00B52D66" w:rsidP="00A743B3" w:rsidRDefault="00B52D66" w14:paraId="2038D837" w14:textId="69AAC455">
      <w:pPr>
        <w:pStyle w:val="Kop1"/>
      </w:pPr>
      <w:bookmarkStart w:name="_Toc203573614" w:id="97"/>
      <w:r>
        <w:lastRenderedPageBreak/>
        <w:t xml:space="preserve">Bijlage 2 </w:t>
      </w:r>
      <w:r w:rsidRPr="00A743B3">
        <w:t>Lesgevendenvragenlijst</w:t>
      </w:r>
      <w:bookmarkEnd w:id="97"/>
    </w:p>
    <w:p w:rsidRPr="00BE45A3" w:rsidR="00BE45A3" w:rsidP="00283B39" w:rsidRDefault="00BE45A3" w14:paraId="443963F9" w14:textId="5DB81BC4">
      <w:pPr>
        <w:tabs>
          <w:tab w:val="left" w:pos="1481"/>
        </w:tabs>
        <w:rPr>
          <w:szCs w:val="18"/>
        </w:rPr>
      </w:pPr>
      <w:r w:rsidRPr="007129C6">
        <w:rPr>
          <w:szCs w:val="18"/>
        </w:rPr>
        <w:t xml:space="preserve">Tabel </w:t>
      </w:r>
      <w:r>
        <w:rPr>
          <w:szCs w:val="18"/>
        </w:rPr>
        <w:t>B2</w:t>
      </w:r>
      <w:r w:rsidRPr="007129C6">
        <w:rPr>
          <w:szCs w:val="18"/>
        </w:rPr>
        <w:t>.</w:t>
      </w:r>
      <w:r>
        <w:rPr>
          <w:szCs w:val="18"/>
        </w:rPr>
        <w:t>1</w:t>
      </w:r>
      <w:r w:rsidRPr="007129C6">
        <w:rPr>
          <w:szCs w:val="18"/>
        </w:rPr>
        <w:t xml:space="preserve"> </w:t>
      </w:r>
      <w:r>
        <w:rPr>
          <w:szCs w:val="18"/>
        </w:rPr>
        <w:t xml:space="preserve">Percentage lesgevenden </w:t>
      </w:r>
      <w:r w:rsidR="00F524D3">
        <w:rPr>
          <w:szCs w:val="18"/>
        </w:rPr>
        <w:t>naar verschillende kenmerken, uitgesplitst voor wel of niet technisch vak</w:t>
      </w:r>
    </w:p>
    <w:tbl>
      <w:tblPr>
        <w:tblStyle w:val="SEOTabel2"/>
        <w:tblW w:w="0" w:type="auto"/>
        <w:tblCellMar>
          <w:top w:w="0" w:type="dxa"/>
          <w:left w:w="28" w:type="dxa"/>
          <w:bottom w:w="28" w:type="dxa"/>
          <w:right w:w="28" w:type="dxa"/>
        </w:tblCellMar>
        <w:tblLook w:val="04A0" w:firstRow="1" w:lastRow="0" w:firstColumn="1" w:lastColumn="0" w:noHBand="0" w:noVBand="1"/>
      </w:tblPr>
      <w:tblGrid>
        <w:gridCol w:w="4847"/>
        <w:gridCol w:w="1504"/>
        <w:gridCol w:w="1504"/>
        <w:gridCol w:w="1505"/>
      </w:tblGrid>
      <w:tr w:rsidRPr="00B52D66" w:rsidR="00B52D66" w:rsidTr="00F524D3" w14:paraId="1337B70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3FCB66FC" w14:textId="77777777">
            <w:pPr>
              <w:pStyle w:val="SEOStandaard"/>
              <w:numPr>
                <w:ilvl w:val="0"/>
                <w:numId w:val="0"/>
              </w:numPr>
              <w:rPr>
                <w:rFonts w:ascii="Trebuchet MS" w:hAnsi="Trebuchet MS"/>
                <w:color w:val="FFFFFF" w:themeColor="background1"/>
                <w:sz w:val="16"/>
                <w:szCs w:val="16"/>
              </w:rPr>
            </w:pPr>
            <w:r w:rsidRPr="00B52D66">
              <w:rPr>
                <w:rFonts w:ascii="Trebuchet MS" w:hAnsi="Trebuchet MS"/>
                <w:color w:val="FFFFFF" w:themeColor="background1"/>
                <w:sz w:val="16"/>
                <w:szCs w:val="16"/>
              </w:rPr>
              <w:t>Kenmerk</w:t>
            </w:r>
          </w:p>
        </w:tc>
        <w:tc>
          <w:tcPr>
            <w:tcW w:w="1504" w:type="dxa"/>
          </w:tcPr>
          <w:p w:rsidRPr="00B52D66" w:rsidR="00B52D66" w:rsidP="00FC2172" w:rsidRDefault="00B52D66" w14:paraId="793AA371" w14:textId="77777777">
            <w:pPr>
              <w:pStyle w:val="SEOStandaard"/>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6"/>
                <w:szCs w:val="16"/>
              </w:rPr>
            </w:pPr>
            <w:r w:rsidRPr="00B52D66">
              <w:rPr>
                <w:rFonts w:ascii="Trebuchet MS" w:hAnsi="Trebuchet MS"/>
                <w:color w:val="FFFFFF" w:themeColor="background1"/>
                <w:sz w:val="16"/>
                <w:szCs w:val="16"/>
              </w:rPr>
              <w:t>Lesgevenden (n=424)</w:t>
            </w:r>
          </w:p>
        </w:tc>
        <w:tc>
          <w:tcPr>
            <w:tcW w:w="1504" w:type="dxa"/>
          </w:tcPr>
          <w:p w:rsidRPr="00B52D66" w:rsidR="00B52D66" w:rsidP="00FC2172" w:rsidRDefault="00B52D66" w14:paraId="599D1458" w14:textId="77777777">
            <w:pPr>
              <w:pStyle w:val="SEOStandaard"/>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6"/>
                <w:szCs w:val="16"/>
              </w:rPr>
            </w:pPr>
            <w:r w:rsidRPr="00B52D66">
              <w:rPr>
                <w:rFonts w:ascii="Trebuchet MS" w:hAnsi="Trebuchet MS"/>
                <w:color w:val="FFFFFF" w:themeColor="background1"/>
                <w:sz w:val="16"/>
                <w:szCs w:val="16"/>
              </w:rPr>
              <w:t>Lesgevenden technisch vak (n=301)</w:t>
            </w:r>
          </w:p>
        </w:tc>
        <w:tc>
          <w:tcPr>
            <w:tcW w:w="1505" w:type="dxa"/>
          </w:tcPr>
          <w:p w:rsidRPr="00B52D66" w:rsidR="00B52D66" w:rsidP="00FC2172" w:rsidRDefault="00B52D66" w14:paraId="7A225C31" w14:textId="77777777">
            <w:pPr>
              <w:pStyle w:val="SEOStandaard"/>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16"/>
                <w:szCs w:val="16"/>
              </w:rPr>
            </w:pPr>
            <w:r w:rsidRPr="00B52D66">
              <w:rPr>
                <w:rFonts w:ascii="Trebuchet MS" w:hAnsi="Trebuchet MS"/>
                <w:color w:val="FFFFFF" w:themeColor="background1"/>
                <w:sz w:val="16"/>
                <w:szCs w:val="16"/>
              </w:rPr>
              <w:t>Lesgevenden niet-technisch vak (n=123)</w:t>
            </w:r>
          </w:p>
        </w:tc>
      </w:tr>
      <w:tr w:rsidRPr="00B52D66" w:rsidR="00B52D66" w:rsidTr="00F524D3" w14:paraId="35C19DDC"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5B75E28F" w14:textId="77777777">
            <w:pPr>
              <w:pStyle w:val="SEOStandaard"/>
              <w:numPr>
                <w:ilvl w:val="0"/>
                <w:numId w:val="0"/>
              </w:numPr>
              <w:rPr>
                <w:rFonts w:ascii="Trebuchet MS" w:hAnsi="Trebuchet MS"/>
                <w:sz w:val="16"/>
                <w:szCs w:val="16"/>
              </w:rPr>
            </w:pPr>
            <w:r w:rsidRPr="00B52D66">
              <w:rPr>
                <w:rFonts w:ascii="Trebuchet MS" w:hAnsi="Trebuchet MS"/>
                <w:sz w:val="16"/>
                <w:szCs w:val="16"/>
              </w:rPr>
              <w:t>Leerweg(en) waarin docent les geeft</w:t>
            </w:r>
          </w:p>
        </w:tc>
        <w:tc>
          <w:tcPr>
            <w:tcW w:w="1504" w:type="dxa"/>
          </w:tcPr>
          <w:p w:rsidRPr="00B52D66" w:rsidR="00B52D66" w:rsidP="00FC2172" w:rsidRDefault="00B52D66" w14:paraId="54815F51"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p>
        </w:tc>
        <w:tc>
          <w:tcPr>
            <w:tcW w:w="1504" w:type="dxa"/>
          </w:tcPr>
          <w:p w:rsidRPr="00B52D66" w:rsidR="00B52D66" w:rsidP="00FC2172" w:rsidRDefault="00B52D66" w14:paraId="02327854"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p>
        </w:tc>
        <w:tc>
          <w:tcPr>
            <w:tcW w:w="1505" w:type="dxa"/>
          </w:tcPr>
          <w:p w:rsidRPr="00B52D66" w:rsidR="00B52D66" w:rsidP="00FC2172" w:rsidRDefault="00B52D66" w14:paraId="653ED015"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p>
        </w:tc>
      </w:tr>
      <w:tr w:rsidRPr="00B52D66" w:rsidR="00B52D66" w:rsidTr="00F524D3" w14:paraId="020E5B6C"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5FD1BE70"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Basisberoepsgerichte leerweg</w:t>
            </w:r>
          </w:p>
        </w:tc>
        <w:tc>
          <w:tcPr>
            <w:tcW w:w="1504" w:type="dxa"/>
          </w:tcPr>
          <w:p w:rsidRPr="00B52D66" w:rsidR="00B52D66" w:rsidP="00FC2172" w:rsidRDefault="00B52D66" w14:paraId="0C83AD6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87%</w:t>
            </w:r>
          </w:p>
        </w:tc>
        <w:tc>
          <w:tcPr>
            <w:tcW w:w="1504" w:type="dxa"/>
          </w:tcPr>
          <w:p w:rsidRPr="00B52D66" w:rsidR="00B52D66" w:rsidP="00FC2172" w:rsidRDefault="00B52D66" w14:paraId="329FEC4F"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88%</w:t>
            </w:r>
          </w:p>
        </w:tc>
        <w:tc>
          <w:tcPr>
            <w:tcW w:w="1505" w:type="dxa"/>
          </w:tcPr>
          <w:p w:rsidRPr="00B52D66" w:rsidR="00B52D66" w:rsidP="00FC2172" w:rsidRDefault="00B52D66" w14:paraId="3C396CC3"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85%</w:t>
            </w:r>
          </w:p>
        </w:tc>
      </w:tr>
      <w:tr w:rsidRPr="00B52D66" w:rsidR="00B52D66" w:rsidTr="00F524D3" w14:paraId="40FFFE9F"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7BD5E4E5"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Kaderberoepsgerichte leerweg</w:t>
            </w:r>
          </w:p>
        </w:tc>
        <w:tc>
          <w:tcPr>
            <w:tcW w:w="1504" w:type="dxa"/>
          </w:tcPr>
          <w:p w:rsidRPr="00B52D66" w:rsidR="00B52D66" w:rsidP="00FC2172" w:rsidRDefault="00B52D66" w14:paraId="57BB1AE8"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88%</w:t>
            </w:r>
          </w:p>
        </w:tc>
        <w:tc>
          <w:tcPr>
            <w:tcW w:w="1504" w:type="dxa"/>
          </w:tcPr>
          <w:p w:rsidRPr="00B52D66" w:rsidR="00B52D66" w:rsidP="00FC2172" w:rsidRDefault="00B52D66" w14:paraId="40040E7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90%</w:t>
            </w:r>
          </w:p>
        </w:tc>
        <w:tc>
          <w:tcPr>
            <w:tcW w:w="1505" w:type="dxa"/>
          </w:tcPr>
          <w:p w:rsidRPr="00B52D66" w:rsidR="00B52D66" w:rsidP="00FC2172" w:rsidRDefault="00B52D66" w14:paraId="76AC09C7"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84%</w:t>
            </w:r>
          </w:p>
        </w:tc>
      </w:tr>
      <w:tr w:rsidRPr="00B52D66" w:rsidR="00B52D66" w:rsidTr="00F524D3" w14:paraId="7509EBE1"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37D7DFD2"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Gemengde leerweg</w:t>
            </w:r>
          </w:p>
        </w:tc>
        <w:tc>
          <w:tcPr>
            <w:tcW w:w="1504" w:type="dxa"/>
          </w:tcPr>
          <w:p w:rsidRPr="00B52D66" w:rsidR="00B52D66" w:rsidP="00FC2172" w:rsidRDefault="00B52D66" w14:paraId="6FB24EC2"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37%</w:t>
            </w:r>
          </w:p>
        </w:tc>
        <w:tc>
          <w:tcPr>
            <w:tcW w:w="1504" w:type="dxa"/>
          </w:tcPr>
          <w:p w:rsidRPr="00B52D66" w:rsidR="00B52D66" w:rsidP="00FC2172" w:rsidRDefault="00B52D66" w14:paraId="26844FA8"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39%</w:t>
            </w:r>
          </w:p>
        </w:tc>
        <w:tc>
          <w:tcPr>
            <w:tcW w:w="1505" w:type="dxa"/>
          </w:tcPr>
          <w:p w:rsidRPr="00B52D66" w:rsidR="00B52D66" w:rsidP="00FC2172" w:rsidRDefault="00B52D66" w14:paraId="3CF09827"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33%</w:t>
            </w:r>
          </w:p>
        </w:tc>
      </w:tr>
      <w:tr w:rsidRPr="00B52D66" w:rsidR="00B52D66" w:rsidTr="00F524D3" w14:paraId="240DA977"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18AAFD2B"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Theoretische leerweg</w:t>
            </w:r>
          </w:p>
        </w:tc>
        <w:tc>
          <w:tcPr>
            <w:tcW w:w="1504" w:type="dxa"/>
          </w:tcPr>
          <w:p w:rsidRPr="00B52D66" w:rsidR="00B52D66" w:rsidP="00FC2172" w:rsidRDefault="00B52D66" w14:paraId="72BF19C8"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29%</w:t>
            </w:r>
          </w:p>
        </w:tc>
        <w:tc>
          <w:tcPr>
            <w:tcW w:w="1504" w:type="dxa"/>
          </w:tcPr>
          <w:p w:rsidRPr="00B52D66" w:rsidR="00B52D66" w:rsidP="00FC2172" w:rsidRDefault="00B52D66" w14:paraId="284D1295"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26%</w:t>
            </w:r>
          </w:p>
        </w:tc>
        <w:tc>
          <w:tcPr>
            <w:tcW w:w="1505" w:type="dxa"/>
          </w:tcPr>
          <w:p w:rsidRPr="00B52D66" w:rsidR="00B52D66" w:rsidP="00FC2172" w:rsidRDefault="00B52D66" w14:paraId="2FCE9A9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36%</w:t>
            </w:r>
          </w:p>
        </w:tc>
      </w:tr>
      <w:tr w:rsidRPr="00B52D66" w:rsidR="00B52D66" w:rsidTr="00F524D3" w14:paraId="089122CB"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3B2AF174" w14:textId="77777777">
            <w:pPr>
              <w:pStyle w:val="SEOStandaard"/>
              <w:numPr>
                <w:ilvl w:val="0"/>
                <w:numId w:val="0"/>
              </w:numPr>
              <w:rPr>
                <w:rFonts w:ascii="Trebuchet MS" w:hAnsi="Trebuchet MS"/>
                <w:sz w:val="16"/>
                <w:szCs w:val="16"/>
              </w:rPr>
            </w:pPr>
            <w:r w:rsidRPr="00B52D66">
              <w:rPr>
                <w:rFonts w:ascii="Trebuchet MS" w:hAnsi="Trebuchet MS"/>
                <w:sz w:val="16"/>
                <w:szCs w:val="16"/>
              </w:rPr>
              <w:t>Profiel(en) waarin docent les geeft</w:t>
            </w:r>
          </w:p>
        </w:tc>
        <w:tc>
          <w:tcPr>
            <w:tcW w:w="1504" w:type="dxa"/>
          </w:tcPr>
          <w:p w:rsidRPr="00B52D66" w:rsidR="00B52D66" w:rsidP="00FC2172" w:rsidRDefault="00B52D66" w14:paraId="797DC3F5"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p>
        </w:tc>
        <w:tc>
          <w:tcPr>
            <w:tcW w:w="1504" w:type="dxa"/>
          </w:tcPr>
          <w:p w:rsidRPr="00B52D66" w:rsidR="00B52D66" w:rsidP="00FC2172" w:rsidRDefault="00B52D66" w14:paraId="68D37F85"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p>
        </w:tc>
        <w:tc>
          <w:tcPr>
            <w:tcW w:w="1505" w:type="dxa"/>
          </w:tcPr>
          <w:p w:rsidRPr="00B52D66" w:rsidR="00B52D66" w:rsidP="00FC2172" w:rsidRDefault="00B52D66" w14:paraId="14CFF25A"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p>
        </w:tc>
      </w:tr>
      <w:tr w:rsidRPr="00B52D66" w:rsidR="00B52D66" w:rsidTr="00F524D3" w14:paraId="56C18E21"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42F06CC9"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BWI</w:t>
            </w:r>
          </w:p>
        </w:tc>
        <w:tc>
          <w:tcPr>
            <w:tcW w:w="1504" w:type="dxa"/>
          </w:tcPr>
          <w:p w:rsidRPr="00B52D66" w:rsidR="00B52D66" w:rsidP="00FC2172" w:rsidRDefault="00B52D66" w14:paraId="1C8A26D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29%</w:t>
            </w:r>
          </w:p>
        </w:tc>
        <w:tc>
          <w:tcPr>
            <w:tcW w:w="1504" w:type="dxa"/>
          </w:tcPr>
          <w:p w:rsidRPr="00B52D66" w:rsidR="00B52D66" w:rsidP="00FC2172" w:rsidRDefault="00B52D66" w14:paraId="7B0125C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37%</w:t>
            </w:r>
          </w:p>
        </w:tc>
        <w:tc>
          <w:tcPr>
            <w:tcW w:w="1505" w:type="dxa"/>
          </w:tcPr>
          <w:p w:rsidRPr="00B52D66" w:rsidR="00B52D66" w:rsidP="00FC2172" w:rsidRDefault="00B52D66" w14:paraId="7613200D"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9%</w:t>
            </w:r>
          </w:p>
        </w:tc>
      </w:tr>
      <w:tr w:rsidRPr="00B52D66" w:rsidR="00B52D66" w:rsidTr="00F524D3" w14:paraId="4D9D23C5"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5A76681F"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Z&amp;W</w:t>
            </w:r>
          </w:p>
        </w:tc>
        <w:tc>
          <w:tcPr>
            <w:tcW w:w="1504" w:type="dxa"/>
          </w:tcPr>
          <w:p w:rsidRPr="00B52D66" w:rsidR="00B52D66" w:rsidP="00FC2172" w:rsidRDefault="00B52D66" w14:paraId="0B8548D4"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15%</w:t>
            </w:r>
          </w:p>
        </w:tc>
        <w:tc>
          <w:tcPr>
            <w:tcW w:w="1504" w:type="dxa"/>
          </w:tcPr>
          <w:p w:rsidRPr="00B52D66" w:rsidR="00B52D66" w:rsidP="00FC2172" w:rsidRDefault="00B52D66" w14:paraId="13479F25"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6%</w:t>
            </w:r>
          </w:p>
        </w:tc>
        <w:tc>
          <w:tcPr>
            <w:tcW w:w="1505" w:type="dxa"/>
          </w:tcPr>
          <w:p w:rsidRPr="00B52D66" w:rsidR="00B52D66" w:rsidP="00FC2172" w:rsidRDefault="00B52D66" w14:paraId="3DB115C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38%</w:t>
            </w:r>
          </w:p>
        </w:tc>
      </w:tr>
      <w:tr w:rsidRPr="00B52D66" w:rsidR="00B52D66" w:rsidTr="00F524D3" w14:paraId="2F3D1121"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20722A6A"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MVI</w:t>
            </w:r>
          </w:p>
        </w:tc>
        <w:tc>
          <w:tcPr>
            <w:tcW w:w="1504" w:type="dxa"/>
          </w:tcPr>
          <w:p w:rsidRPr="00B52D66" w:rsidR="00B52D66" w:rsidP="00FC2172" w:rsidRDefault="00B52D66" w14:paraId="56D1E2EC"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8%</w:t>
            </w:r>
          </w:p>
        </w:tc>
        <w:tc>
          <w:tcPr>
            <w:tcW w:w="1504" w:type="dxa"/>
          </w:tcPr>
          <w:p w:rsidRPr="00B52D66" w:rsidR="00B52D66" w:rsidP="00FC2172" w:rsidRDefault="00B52D66" w14:paraId="4CFB5D5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11%</w:t>
            </w:r>
          </w:p>
        </w:tc>
        <w:tc>
          <w:tcPr>
            <w:tcW w:w="1505" w:type="dxa"/>
          </w:tcPr>
          <w:p w:rsidRPr="00B52D66" w:rsidR="00B52D66" w:rsidP="00FC2172" w:rsidRDefault="00B52D66" w14:paraId="623891C5"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1%</w:t>
            </w:r>
          </w:p>
        </w:tc>
      </w:tr>
      <w:tr w:rsidRPr="00B52D66" w:rsidR="00B52D66" w:rsidTr="00F524D3" w14:paraId="15DA2844"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54C6DB4E"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HBR</w:t>
            </w:r>
          </w:p>
        </w:tc>
        <w:tc>
          <w:tcPr>
            <w:tcW w:w="1504" w:type="dxa"/>
          </w:tcPr>
          <w:p w:rsidRPr="00B52D66" w:rsidR="00B52D66" w:rsidP="00FC2172" w:rsidRDefault="00B52D66" w14:paraId="6BD821A4"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4%</w:t>
            </w:r>
          </w:p>
        </w:tc>
        <w:tc>
          <w:tcPr>
            <w:tcW w:w="1504" w:type="dxa"/>
          </w:tcPr>
          <w:p w:rsidRPr="00B52D66" w:rsidR="00B52D66" w:rsidP="00FC2172" w:rsidRDefault="00B52D66" w14:paraId="5D8F7667"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2%</w:t>
            </w:r>
          </w:p>
        </w:tc>
        <w:tc>
          <w:tcPr>
            <w:tcW w:w="1505" w:type="dxa"/>
          </w:tcPr>
          <w:p w:rsidRPr="00B52D66" w:rsidR="00B52D66" w:rsidP="00FC2172" w:rsidRDefault="00B52D66" w14:paraId="63BE47ED"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8%</w:t>
            </w:r>
          </w:p>
        </w:tc>
      </w:tr>
      <w:tr w:rsidRPr="00B52D66" w:rsidR="00B52D66" w:rsidTr="00F524D3" w14:paraId="05EBC10A"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6D477205"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PIE</w:t>
            </w:r>
          </w:p>
        </w:tc>
        <w:tc>
          <w:tcPr>
            <w:tcW w:w="1504" w:type="dxa"/>
          </w:tcPr>
          <w:p w:rsidRPr="00B52D66" w:rsidR="00B52D66" w:rsidP="00FC2172" w:rsidRDefault="00B52D66" w14:paraId="68EE284B"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28%</w:t>
            </w:r>
          </w:p>
        </w:tc>
        <w:tc>
          <w:tcPr>
            <w:tcW w:w="1504" w:type="dxa"/>
          </w:tcPr>
          <w:p w:rsidRPr="00B52D66" w:rsidR="00B52D66" w:rsidP="00FC2172" w:rsidRDefault="00B52D66" w14:paraId="138CB677"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34%</w:t>
            </w:r>
          </w:p>
        </w:tc>
        <w:tc>
          <w:tcPr>
            <w:tcW w:w="1505" w:type="dxa"/>
          </w:tcPr>
          <w:p w:rsidRPr="00B52D66" w:rsidR="00B52D66" w:rsidP="00FC2172" w:rsidRDefault="00B52D66" w14:paraId="1840B851"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15%</w:t>
            </w:r>
          </w:p>
        </w:tc>
      </w:tr>
      <w:tr w:rsidRPr="00B52D66" w:rsidR="00B52D66" w:rsidTr="00F524D3" w14:paraId="65ABC437"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4059464B"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Experiment PIE/BWI</w:t>
            </w:r>
          </w:p>
        </w:tc>
        <w:tc>
          <w:tcPr>
            <w:tcW w:w="1504" w:type="dxa"/>
          </w:tcPr>
          <w:p w:rsidRPr="00B52D66" w:rsidR="00B52D66" w:rsidP="00FC2172" w:rsidRDefault="00B52D66" w14:paraId="3BEA84C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4%</w:t>
            </w:r>
          </w:p>
        </w:tc>
        <w:tc>
          <w:tcPr>
            <w:tcW w:w="1504" w:type="dxa"/>
          </w:tcPr>
          <w:p w:rsidRPr="00B52D66" w:rsidR="00B52D66" w:rsidP="00FC2172" w:rsidRDefault="00B52D66" w14:paraId="2EF4EF2F"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5%</w:t>
            </w:r>
          </w:p>
        </w:tc>
        <w:tc>
          <w:tcPr>
            <w:tcW w:w="1505" w:type="dxa"/>
          </w:tcPr>
          <w:p w:rsidRPr="00B52D66" w:rsidR="00B52D66" w:rsidP="00FC2172" w:rsidRDefault="00B52D66" w14:paraId="0588A197"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1%</w:t>
            </w:r>
          </w:p>
        </w:tc>
      </w:tr>
      <w:tr w:rsidRPr="00B52D66" w:rsidR="00B52D66" w:rsidTr="00F524D3" w14:paraId="0A084FF1"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09937230"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M&amp;T</w:t>
            </w:r>
          </w:p>
        </w:tc>
        <w:tc>
          <w:tcPr>
            <w:tcW w:w="1504" w:type="dxa"/>
          </w:tcPr>
          <w:p w:rsidRPr="00B52D66" w:rsidR="00B52D66" w:rsidP="00FC2172" w:rsidRDefault="00B52D66" w14:paraId="789046B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12%</w:t>
            </w:r>
          </w:p>
        </w:tc>
        <w:tc>
          <w:tcPr>
            <w:tcW w:w="1504" w:type="dxa"/>
          </w:tcPr>
          <w:p w:rsidRPr="00B52D66" w:rsidR="00B52D66" w:rsidP="00FC2172" w:rsidRDefault="00B52D66" w14:paraId="51F6E6C7"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14%</w:t>
            </w:r>
          </w:p>
        </w:tc>
        <w:tc>
          <w:tcPr>
            <w:tcW w:w="1505" w:type="dxa"/>
          </w:tcPr>
          <w:p w:rsidRPr="00B52D66" w:rsidR="00B52D66" w:rsidP="00FC2172" w:rsidRDefault="00B52D66" w14:paraId="08002E9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7%</w:t>
            </w:r>
          </w:p>
        </w:tc>
      </w:tr>
      <w:tr w:rsidRPr="00B52D66" w:rsidR="00B52D66" w:rsidTr="00F524D3" w14:paraId="40CF9190"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7BEF9867"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D&amp;P</w:t>
            </w:r>
          </w:p>
        </w:tc>
        <w:tc>
          <w:tcPr>
            <w:tcW w:w="1504" w:type="dxa"/>
          </w:tcPr>
          <w:p w:rsidRPr="00B52D66" w:rsidR="00B52D66" w:rsidP="00FC2172" w:rsidRDefault="00B52D66" w14:paraId="31B6AF0A"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23%</w:t>
            </w:r>
          </w:p>
        </w:tc>
        <w:tc>
          <w:tcPr>
            <w:tcW w:w="1504" w:type="dxa"/>
          </w:tcPr>
          <w:p w:rsidRPr="00B52D66" w:rsidR="00B52D66" w:rsidP="00FC2172" w:rsidRDefault="00B52D66" w14:paraId="4865E3C8"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21%</w:t>
            </w:r>
          </w:p>
        </w:tc>
        <w:tc>
          <w:tcPr>
            <w:tcW w:w="1505" w:type="dxa"/>
          </w:tcPr>
          <w:p w:rsidRPr="00B52D66" w:rsidR="00B52D66" w:rsidP="00FC2172" w:rsidRDefault="00B52D66" w14:paraId="07E03EA2"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28%</w:t>
            </w:r>
          </w:p>
        </w:tc>
      </w:tr>
      <w:tr w:rsidRPr="00B52D66" w:rsidR="00B52D66" w:rsidTr="00F524D3" w14:paraId="46F1F924"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76100A71"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MaT</w:t>
            </w:r>
          </w:p>
        </w:tc>
        <w:tc>
          <w:tcPr>
            <w:tcW w:w="1504" w:type="dxa"/>
          </w:tcPr>
          <w:p w:rsidRPr="00B52D66" w:rsidR="00B52D66" w:rsidP="00FC2172" w:rsidRDefault="00B52D66" w14:paraId="606D75A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0%</w:t>
            </w:r>
          </w:p>
        </w:tc>
        <w:tc>
          <w:tcPr>
            <w:tcW w:w="1504" w:type="dxa"/>
          </w:tcPr>
          <w:p w:rsidRPr="00B52D66" w:rsidR="00B52D66" w:rsidP="00FC2172" w:rsidRDefault="00B52D66" w14:paraId="62486BF3"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0%</w:t>
            </w:r>
          </w:p>
        </w:tc>
        <w:tc>
          <w:tcPr>
            <w:tcW w:w="1505" w:type="dxa"/>
          </w:tcPr>
          <w:p w:rsidRPr="00B52D66" w:rsidR="00B52D66" w:rsidP="00FC2172" w:rsidRDefault="00B52D66" w14:paraId="0F623E05"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1%</w:t>
            </w:r>
          </w:p>
        </w:tc>
      </w:tr>
      <w:tr w:rsidRPr="00B52D66" w:rsidR="00B52D66" w:rsidTr="00F524D3" w14:paraId="29A04DA1"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4BEFC42D"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Groen</w:t>
            </w:r>
          </w:p>
        </w:tc>
        <w:tc>
          <w:tcPr>
            <w:tcW w:w="1504" w:type="dxa"/>
          </w:tcPr>
          <w:p w:rsidRPr="00B52D66" w:rsidR="00B52D66" w:rsidP="00FC2172" w:rsidRDefault="00B52D66" w14:paraId="4845D3FB"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5%</w:t>
            </w:r>
          </w:p>
        </w:tc>
        <w:tc>
          <w:tcPr>
            <w:tcW w:w="1504" w:type="dxa"/>
          </w:tcPr>
          <w:p w:rsidRPr="00B52D66" w:rsidR="00B52D66" w:rsidP="00FC2172" w:rsidRDefault="00B52D66" w14:paraId="39E211A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3%</w:t>
            </w:r>
          </w:p>
        </w:tc>
        <w:tc>
          <w:tcPr>
            <w:tcW w:w="1505" w:type="dxa"/>
          </w:tcPr>
          <w:p w:rsidRPr="00B52D66" w:rsidR="00B52D66" w:rsidP="00FC2172" w:rsidRDefault="00B52D66" w14:paraId="30CC5331"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11%</w:t>
            </w:r>
          </w:p>
        </w:tc>
      </w:tr>
      <w:tr w:rsidRPr="00B52D66" w:rsidR="00B52D66" w:rsidTr="00F524D3" w14:paraId="78A60995"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05CED044"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E&amp;O</w:t>
            </w:r>
          </w:p>
        </w:tc>
        <w:tc>
          <w:tcPr>
            <w:tcW w:w="1504" w:type="dxa"/>
          </w:tcPr>
          <w:p w:rsidRPr="00B52D66" w:rsidR="00B52D66" w:rsidP="00FC2172" w:rsidRDefault="00B52D66" w14:paraId="6A186BB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9%</w:t>
            </w:r>
          </w:p>
        </w:tc>
        <w:tc>
          <w:tcPr>
            <w:tcW w:w="1504" w:type="dxa"/>
          </w:tcPr>
          <w:p w:rsidRPr="00B52D66" w:rsidR="00B52D66" w:rsidP="00FC2172" w:rsidRDefault="00B52D66" w14:paraId="45E908FF"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3%</w:t>
            </w:r>
          </w:p>
        </w:tc>
        <w:tc>
          <w:tcPr>
            <w:tcW w:w="1505" w:type="dxa"/>
          </w:tcPr>
          <w:p w:rsidRPr="00B52D66" w:rsidR="00B52D66" w:rsidP="00FC2172" w:rsidRDefault="00B52D66" w14:paraId="180AFD5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24%</w:t>
            </w:r>
          </w:p>
        </w:tc>
      </w:tr>
      <w:tr w:rsidRPr="00B52D66" w:rsidR="00B52D66" w:rsidTr="00F524D3" w14:paraId="0507D69C"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14CA998F" w14:textId="77777777">
            <w:pPr>
              <w:pStyle w:val="SEOStandaard"/>
              <w:numPr>
                <w:ilvl w:val="0"/>
                <w:numId w:val="0"/>
              </w:numPr>
              <w:rPr>
                <w:rFonts w:ascii="Trebuchet MS" w:hAnsi="Trebuchet MS"/>
                <w:sz w:val="16"/>
                <w:szCs w:val="16"/>
              </w:rPr>
            </w:pPr>
            <w:r w:rsidRPr="00B52D66">
              <w:rPr>
                <w:rFonts w:ascii="Trebuchet MS" w:hAnsi="Trebuchet MS"/>
                <w:sz w:val="16"/>
                <w:szCs w:val="16"/>
              </w:rPr>
              <w:t>Docent geeft wel/niet technisch/technologisch (keuze)vak</w:t>
            </w:r>
          </w:p>
        </w:tc>
        <w:tc>
          <w:tcPr>
            <w:tcW w:w="1504" w:type="dxa"/>
          </w:tcPr>
          <w:p w:rsidRPr="00B52D66" w:rsidR="00B52D66" w:rsidP="00FC2172" w:rsidRDefault="00B52D66" w14:paraId="3B71C350"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p>
        </w:tc>
        <w:tc>
          <w:tcPr>
            <w:tcW w:w="1504" w:type="dxa"/>
          </w:tcPr>
          <w:p w:rsidRPr="00B52D66" w:rsidR="00B52D66" w:rsidP="00FC2172" w:rsidRDefault="00B52D66" w14:paraId="165EAF07"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p>
        </w:tc>
        <w:tc>
          <w:tcPr>
            <w:tcW w:w="1505" w:type="dxa"/>
          </w:tcPr>
          <w:p w:rsidRPr="00B52D66" w:rsidR="00B52D66" w:rsidP="00FC2172" w:rsidRDefault="00B52D66" w14:paraId="496D66A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p>
        </w:tc>
      </w:tr>
      <w:tr w:rsidRPr="00B52D66" w:rsidR="00B52D66" w:rsidTr="00F524D3" w14:paraId="3FC9DC34"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18C0CC28"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Wel technisch vak</w:t>
            </w:r>
          </w:p>
        </w:tc>
        <w:tc>
          <w:tcPr>
            <w:tcW w:w="1504" w:type="dxa"/>
          </w:tcPr>
          <w:p w:rsidRPr="00B52D66" w:rsidR="00B52D66" w:rsidP="00FC2172" w:rsidRDefault="00B52D66" w14:paraId="3764D7D3"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71%</w:t>
            </w:r>
          </w:p>
        </w:tc>
        <w:tc>
          <w:tcPr>
            <w:tcW w:w="1504" w:type="dxa"/>
          </w:tcPr>
          <w:p w:rsidRPr="00B52D66" w:rsidR="00B52D66" w:rsidP="00FC2172" w:rsidRDefault="00B52D66" w14:paraId="32B88375"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100%</w:t>
            </w:r>
          </w:p>
        </w:tc>
        <w:tc>
          <w:tcPr>
            <w:tcW w:w="1505" w:type="dxa"/>
          </w:tcPr>
          <w:p w:rsidRPr="00B52D66" w:rsidR="00B52D66" w:rsidP="00FC2172" w:rsidRDefault="00B52D66" w14:paraId="6B97F61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0%</w:t>
            </w:r>
          </w:p>
        </w:tc>
      </w:tr>
      <w:tr w:rsidRPr="00B52D66" w:rsidR="00B52D66" w:rsidTr="00F524D3" w14:paraId="2D1E7291"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3E1181BF"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Geen technisch vak</w:t>
            </w:r>
          </w:p>
        </w:tc>
        <w:tc>
          <w:tcPr>
            <w:tcW w:w="1504" w:type="dxa"/>
          </w:tcPr>
          <w:p w:rsidRPr="00B52D66" w:rsidR="00B52D66" w:rsidP="00FC2172" w:rsidRDefault="00B52D66" w14:paraId="40AB417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29%</w:t>
            </w:r>
          </w:p>
        </w:tc>
        <w:tc>
          <w:tcPr>
            <w:tcW w:w="1504" w:type="dxa"/>
          </w:tcPr>
          <w:p w:rsidRPr="00B52D66" w:rsidR="00B52D66" w:rsidP="00FC2172" w:rsidRDefault="00B52D66" w14:paraId="04FB8492"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0%</w:t>
            </w:r>
          </w:p>
        </w:tc>
        <w:tc>
          <w:tcPr>
            <w:tcW w:w="1505" w:type="dxa"/>
          </w:tcPr>
          <w:p w:rsidRPr="00B52D66" w:rsidR="00B52D66" w:rsidP="00FC2172" w:rsidRDefault="00B52D66" w14:paraId="40197EB3"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100%</w:t>
            </w:r>
          </w:p>
        </w:tc>
      </w:tr>
      <w:tr w:rsidRPr="00B52D66" w:rsidR="00B52D66" w:rsidTr="00F524D3" w14:paraId="4E3248E7"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041E00D7" w14:textId="77777777">
            <w:pPr>
              <w:pStyle w:val="SEOStandaard"/>
              <w:numPr>
                <w:ilvl w:val="0"/>
                <w:numId w:val="0"/>
              </w:numPr>
              <w:rPr>
                <w:rFonts w:ascii="Trebuchet MS" w:hAnsi="Trebuchet MS"/>
                <w:sz w:val="16"/>
                <w:szCs w:val="16"/>
              </w:rPr>
            </w:pPr>
            <w:r w:rsidRPr="00B52D66">
              <w:rPr>
                <w:rFonts w:ascii="Trebuchet MS" w:hAnsi="Trebuchet MS"/>
                <w:sz w:val="16"/>
                <w:szCs w:val="16"/>
              </w:rPr>
              <w:t>Ervaring in bovenbouw vmbo</w:t>
            </w:r>
          </w:p>
        </w:tc>
        <w:tc>
          <w:tcPr>
            <w:tcW w:w="1504" w:type="dxa"/>
          </w:tcPr>
          <w:p w:rsidRPr="00B52D66" w:rsidR="00B52D66" w:rsidP="00FC2172" w:rsidRDefault="00B52D66" w14:paraId="0E12FB9F"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p>
        </w:tc>
        <w:tc>
          <w:tcPr>
            <w:tcW w:w="1504" w:type="dxa"/>
          </w:tcPr>
          <w:p w:rsidRPr="00B52D66" w:rsidR="00B52D66" w:rsidP="00FC2172" w:rsidRDefault="00B52D66" w14:paraId="094BA921"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p>
        </w:tc>
        <w:tc>
          <w:tcPr>
            <w:tcW w:w="1505" w:type="dxa"/>
          </w:tcPr>
          <w:p w:rsidRPr="00B52D66" w:rsidR="00B52D66" w:rsidP="00FC2172" w:rsidRDefault="00B52D66" w14:paraId="36A40A77"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p>
        </w:tc>
      </w:tr>
      <w:tr w:rsidRPr="00B52D66" w:rsidR="00B52D66" w:rsidTr="00F524D3" w14:paraId="0E2BBE05"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7A239F4E"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0-5 jaar</w:t>
            </w:r>
          </w:p>
        </w:tc>
        <w:tc>
          <w:tcPr>
            <w:tcW w:w="1504" w:type="dxa"/>
          </w:tcPr>
          <w:p w:rsidRPr="00B52D66" w:rsidR="00B52D66" w:rsidP="00FC2172" w:rsidRDefault="00B52D66" w14:paraId="43A367ED"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33%</w:t>
            </w:r>
          </w:p>
        </w:tc>
        <w:tc>
          <w:tcPr>
            <w:tcW w:w="1504" w:type="dxa"/>
          </w:tcPr>
          <w:p w:rsidRPr="00B52D66" w:rsidR="00B52D66" w:rsidP="00FC2172" w:rsidRDefault="00B52D66" w14:paraId="6ED6BAD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35%</w:t>
            </w:r>
          </w:p>
        </w:tc>
        <w:tc>
          <w:tcPr>
            <w:tcW w:w="1505" w:type="dxa"/>
          </w:tcPr>
          <w:p w:rsidRPr="00B52D66" w:rsidR="00B52D66" w:rsidP="00FC2172" w:rsidRDefault="00B52D66" w14:paraId="3ECB092C"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29%</w:t>
            </w:r>
          </w:p>
        </w:tc>
      </w:tr>
      <w:tr w:rsidRPr="00B52D66" w:rsidR="00B52D66" w:rsidTr="00F524D3" w14:paraId="12DA415E"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3F2581E9"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6-15 jaar</w:t>
            </w:r>
          </w:p>
        </w:tc>
        <w:tc>
          <w:tcPr>
            <w:tcW w:w="1504" w:type="dxa"/>
          </w:tcPr>
          <w:p w:rsidRPr="00B52D66" w:rsidR="00B52D66" w:rsidP="00FC2172" w:rsidRDefault="00B52D66" w14:paraId="1CF5950C"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34%</w:t>
            </w:r>
          </w:p>
        </w:tc>
        <w:tc>
          <w:tcPr>
            <w:tcW w:w="1504" w:type="dxa"/>
          </w:tcPr>
          <w:p w:rsidRPr="00B52D66" w:rsidR="00B52D66" w:rsidP="00FC2172" w:rsidRDefault="00B52D66" w14:paraId="1463B931"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33%</w:t>
            </w:r>
          </w:p>
        </w:tc>
        <w:tc>
          <w:tcPr>
            <w:tcW w:w="1505" w:type="dxa"/>
          </w:tcPr>
          <w:p w:rsidRPr="00B52D66" w:rsidR="00B52D66" w:rsidP="00FC2172" w:rsidRDefault="00B52D66" w14:paraId="50C43962"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36%</w:t>
            </w:r>
          </w:p>
        </w:tc>
      </w:tr>
      <w:tr w:rsidRPr="00B52D66" w:rsidR="00B52D66" w:rsidTr="00F524D3" w14:paraId="40A4F11F"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5A0A61AD"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Meer dan 15 jaar</w:t>
            </w:r>
          </w:p>
        </w:tc>
        <w:tc>
          <w:tcPr>
            <w:tcW w:w="1504" w:type="dxa"/>
          </w:tcPr>
          <w:p w:rsidRPr="00B52D66" w:rsidR="00B52D66" w:rsidP="00FC2172" w:rsidRDefault="00B52D66" w14:paraId="5B522255"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33%</w:t>
            </w:r>
          </w:p>
        </w:tc>
        <w:tc>
          <w:tcPr>
            <w:tcW w:w="1504" w:type="dxa"/>
          </w:tcPr>
          <w:p w:rsidRPr="00B52D66" w:rsidR="00B52D66" w:rsidP="00FC2172" w:rsidRDefault="00B52D66" w14:paraId="78FBF3B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32%</w:t>
            </w:r>
          </w:p>
        </w:tc>
        <w:tc>
          <w:tcPr>
            <w:tcW w:w="1505" w:type="dxa"/>
          </w:tcPr>
          <w:p w:rsidRPr="00B52D66" w:rsidR="00B52D66" w:rsidP="00FC2172" w:rsidRDefault="00B52D66" w14:paraId="74C18F57"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35%</w:t>
            </w:r>
          </w:p>
        </w:tc>
      </w:tr>
      <w:tr w:rsidRPr="00B52D66" w:rsidR="00B52D66" w:rsidTr="00F524D3" w14:paraId="2BC4169B"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12C2F720" w14:textId="77777777">
            <w:pPr>
              <w:pStyle w:val="SEOStandaard"/>
              <w:numPr>
                <w:ilvl w:val="0"/>
                <w:numId w:val="0"/>
              </w:numPr>
              <w:rPr>
                <w:rFonts w:ascii="Trebuchet MS" w:hAnsi="Trebuchet MS"/>
                <w:sz w:val="16"/>
                <w:szCs w:val="16"/>
              </w:rPr>
            </w:pPr>
            <w:r w:rsidRPr="00B52D66">
              <w:rPr>
                <w:rFonts w:ascii="Trebuchet MS" w:hAnsi="Trebuchet MS"/>
                <w:sz w:val="16"/>
                <w:szCs w:val="16"/>
              </w:rPr>
              <w:t>Geslacht</w:t>
            </w:r>
          </w:p>
        </w:tc>
        <w:tc>
          <w:tcPr>
            <w:tcW w:w="1504" w:type="dxa"/>
          </w:tcPr>
          <w:p w:rsidRPr="00B52D66" w:rsidR="00B52D66" w:rsidP="00FC2172" w:rsidRDefault="00B52D66" w14:paraId="5C8F3754"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p>
        </w:tc>
        <w:tc>
          <w:tcPr>
            <w:tcW w:w="1504" w:type="dxa"/>
          </w:tcPr>
          <w:p w:rsidRPr="00B52D66" w:rsidR="00B52D66" w:rsidP="00FC2172" w:rsidRDefault="00B52D66" w14:paraId="7D4A6DE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p>
        </w:tc>
        <w:tc>
          <w:tcPr>
            <w:tcW w:w="1505" w:type="dxa"/>
          </w:tcPr>
          <w:p w:rsidRPr="00B52D66" w:rsidR="00B52D66" w:rsidP="00FC2172" w:rsidRDefault="00B52D66" w14:paraId="2B670F5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p>
        </w:tc>
      </w:tr>
      <w:tr w:rsidRPr="00B52D66" w:rsidR="00B52D66" w:rsidTr="00F524D3" w14:paraId="50C10841"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1CA41346"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Man</w:t>
            </w:r>
          </w:p>
        </w:tc>
        <w:tc>
          <w:tcPr>
            <w:tcW w:w="1504" w:type="dxa"/>
          </w:tcPr>
          <w:p w:rsidRPr="00B52D66" w:rsidR="00B52D66" w:rsidP="00FC2172" w:rsidRDefault="00B52D66" w14:paraId="5D842B8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78%</w:t>
            </w:r>
          </w:p>
        </w:tc>
        <w:tc>
          <w:tcPr>
            <w:tcW w:w="1504" w:type="dxa"/>
          </w:tcPr>
          <w:p w:rsidRPr="00B52D66" w:rsidR="00B52D66" w:rsidP="00FC2172" w:rsidRDefault="00B52D66" w14:paraId="32870F12"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87%</w:t>
            </w:r>
          </w:p>
        </w:tc>
        <w:tc>
          <w:tcPr>
            <w:tcW w:w="1505" w:type="dxa"/>
          </w:tcPr>
          <w:p w:rsidRPr="00B52D66" w:rsidR="00B52D66" w:rsidP="00FC2172" w:rsidRDefault="00B52D66" w14:paraId="0259F963"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57%</w:t>
            </w:r>
          </w:p>
        </w:tc>
      </w:tr>
      <w:tr w:rsidRPr="00B52D66" w:rsidR="00B52D66" w:rsidTr="00F524D3" w14:paraId="7D88EA9C"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186695C9"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Vrouw</w:t>
            </w:r>
          </w:p>
        </w:tc>
        <w:tc>
          <w:tcPr>
            <w:tcW w:w="1504" w:type="dxa"/>
          </w:tcPr>
          <w:p w:rsidRPr="00B52D66" w:rsidR="00B52D66" w:rsidP="00FC2172" w:rsidRDefault="00B52D66" w14:paraId="328D0747"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21%</w:t>
            </w:r>
          </w:p>
        </w:tc>
        <w:tc>
          <w:tcPr>
            <w:tcW w:w="1504" w:type="dxa"/>
          </w:tcPr>
          <w:p w:rsidRPr="00B52D66" w:rsidR="00B52D66" w:rsidP="00FC2172" w:rsidRDefault="00B52D66" w14:paraId="675CFEAA"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12%</w:t>
            </w:r>
          </w:p>
        </w:tc>
        <w:tc>
          <w:tcPr>
            <w:tcW w:w="1505" w:type="dxa"/>
          </w:tcPr>
          <w:p w:rsidRPr="00B52D66" w:rsidR="00B52D66" w:rsidP="00FC2172" w:rsidRDefault="00B52D66" w14:paraId="75A2B1B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42%</w:t>
            </w:r>
          </w:p>
        </w:tc>
      </w:tr>
      <w:tr w:rsidRPr="00B52D66" w:rsidR="00B52D66" w:rsidTr="00F524D3" w14:paraId="51635A20"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089D4BCD"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Anders/zeg ik liever niet</w:t>
            </w:r>
          </w:p>
        </w:tc>
        <w:tc>
          <w:tcPr>
            <w:tcW w:w="1504" w:type="dxa"/>
          </w:tcPr>
          <w:p w:rsidRPr="00B52D66" w:rsidR="00B52D66" w:rsidP="00FC2172" w:rsidRDefault="00B52D66" w14:paraId="1571A4F5"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1%</w:t>
            </w:r>
          </w:p>
        </w:tc>
        <w:tc>
          <w:tcPr>
            <w:tcW w:w="1504" w:type="dxa"/>
          </w:tcPr>
          <w:p w:rsidRPr="00B52D66" w:rsidR="00B52D66" w:rsidP="00FC2172" w:rsidRDefault="00B52D66" w14:paraId="43D2084C"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1%</w:t>
            </w:r>
          </w:p>
        </w:tc>
        <w:tc>
          <w:tcPr>
            <w:tcW w:w="1505" w:type="dxa"/>
          </w:tcPr>
          <w:p w:rsidRPr="00B52D66" w:rsidR="00B52D66" w:rsidP="00FC2172" w:rsidRDefault="00B52D66" w14:paraId="6B95156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1%</w:t>
            </w:r>
          </w:p>
        </w:tc>
      </w:tr>
      <w:tr w:rsidRPr="00B52D66" w:rsidR="00B52D66" w:rsidTr="00F524D3" w14:paraId="6DC73312"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6B855690" w14:textId="77777777">
            <w:pPr>
              <w:pStyle w:val="SEOStandaard"/>
              <w:numPr>
                <w:ilvl w:val="0"/>
                <w:numId w:val="0"/>
              </w:numPr>
              <w:rPr>
                <w:rFonts w:ascii="Trebuchet MS" w:hAnsi="Trebuchet MS"/>
                <w:sz w:val="16"/>
                <w:szCs w:val="16"/>
              </w:rPr>
            </w:pPr>
            <w:r w:rsidRPr="00B52D66">
              <w:rPr>
                <w:rFonts w:ascii="Trebuchet MS" w:hAnsi="Trebuchet MS"/>
                <w:sz w:val="16"/>
                <w:szCs w:val="16"/>
              </w:rPr>
              <w:t>Type lesgevende</w:t>
            </w:r>
          </w:p>
        </w:tc>
        <w:tc>
          <w:tcPr>
            <w:tcW w:w="1504" w:type="dxa"/>
          </w:tcPr>
          <w:p w:rsidRPr="00B52D66" w:rsidR="00B52D66" w:rsidP="00FC2172" w:rsidRDefault="00B52D66" w14:paraId="7556C374"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p>
        </w:tc>
        <w:tc>
          <w:tcPr>
            <w:tcW w:w="1504" w:type="dxa"/>
          </w:tcPr>
          <w:p w:rsidRPr="00B52D66" w:rsidR="00B52D66" w:rsidP="00FC2172" w:rsidRDefault="00B52D66" w14:paraId="1C951DC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p>
        </w:tc>
        <w:tc>
          <w:tcPr>
            <w:tcW w:w="1505" w:type="dxa"/>
          </w:tcPr>
          <w:p w:rsidRPr="00B52D66" w:rsidR="00B52D66" w:rsidP="00FC2172" w:rsidRDefault="00B52D66" w14:paraId="1FA3E64F"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p>
        </w:tc>
      </w:tr>
      <w:tr w:rsidRPr="00B52D66" w:rsidR="00B52D66" w:rsidTr="00F524D3" w14:paraId="1AB88648"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0DFF3998"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Bevoegd docent in een beroepsgericht vak</w:t>
            </w:r>
          </w:p>
        </w:tc>
        <w:tc>
          <w:tcPr>
            <w:tcW w:w="1504" w:type="dxa"/>
          </w:tcPr>
          <w:p w:rsidRPr="00B52D66" w:rsidR="00B52D66" w:rsidP="00FC2172" w:rsidRDefault="00B52D66" w14:paraId="13514008"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69%</w:t>
            </w:r>
          </w:p>
        </w:tc>
        <w:tc>
          <w:tcPr>
            <w:tcW w:w="1504" w:type="dxa"/>
          </w:tcPr>
          <w:p w:rsidRPr="00B52D66" w:rsidR="00B52D66" w:rsidP="00FC2172" w:rsidRDefault="00B52D66" w14:paraId="2F123525"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69%</w:t>
            </w:r>
          </w:p>
        </w:tc>
        <w:tc>
          <w:tcPr>
            <w:tcW w:w="1505" w:type="dxa"/>
          </w:tcPr>
          <w:p w:rsidRPr="00B52D66" w:rsidR="00B52D66" w:rsidP="00FC2172" w:rsidRDefault="00B52D66" w14:paraId="688D95CB"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68%</w:t>
            </w:r>
          </w:p>
        </w:tc>
      </w:tr>
      <w:tr w:rsidRPr="00B52D66" w:rsidR="00B52D66" w:rsidTr="00F524D3" w14:paraId="7655A371"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34044376"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 xml:space="preserve">Docent in opleiding voor een bevoegdheid  </w:t>
            </w:r>
          </w:p>
        </w:tc>
        <w:tc>
          <w:tcPr>
            <w:tcW w:w="1504" w:type="dxa"/>
          </w:tcPr>
          <w:p w:rsidRPr="00B52D66" w:rsidR="00B52D66" w:rsidP="00FC2172" w:rsidRDefault="00B52D66" w14:paraId="229CCE6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10%</w:t>
            </w:r>
          </w:p>
        </w:tc>
        <w:tc>
          <w:tcPr>
            <w:tcW w:w="1504" w:type="dxa"/>
          </w:tcPr>
          <w:p w:rsidRPr="00B52D66" w:rsidR="00B52D66" w:rsidP="00FC2172" w:rsidRDefault="00B52D66" w14:paraId="74A6F24C"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11%</w:t>
            </w:r>
          </w:p>
        </w:tc>
        <w:tc>
          <w:tcPr>
            <w:tcW w:w="1505" w:type="dxa"/>
          </w:tcPr>
          <w:p w:rsidRPr="00B52D66" w:rsidR="00B52D66" w:rsidP="00FC2172" w:rsidRDefault="00B52D66" w14:paraId="43AA463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7%</w:t>
            </w:r>
          </w:p>
        </w:tc>
      </w:tr>
      <w:tr w:rsidRPr="00B52D66" w:rsidR="00B52D66" w:rsidTr="00F524D3" w14:paraId="5BF2F840"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4E6C2DF8"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Instructeur in opleiding voor een bevoegdheid</w:t>
            </w:r>
          </w:p>
        </w:tc>
        <w:tc>
          <w:tcPr>
            <w:tcW w:w="1504" w:type="dxa"/>
          </w:tcPr>
          <w:p w:rsidRPr="00B52D66" w:rsidR="00B52D66" w:rsidP="00FC2172" w:rsidRDefault="00B52D66" w14:paraId="272C701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1%</w:t>
            </w:r>
          </w:p>
        </w:tc>
        <w:tc>
          <w:tcPr>
            <w:tcW w:w="1504" w:type="dxa"/>
          </w:tcPr>
          <w:p w:rsidRPr="00B52D66" w:rsidR="00B52D66" w:rsidP="00FC2172" w:rsidRDefault="00B52D66" w14:paraId="6ED5ED63"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1%</w:t>
            </w:r>
          </w:p>
        </w:tc>
        <w:tc>
          <w:tcPr>
            <w:tcW w:w="1505" w:type="dxa"/>
          </w:tcPr>
          <w:p w:rsidRPr="00B52D66" w:rsidR="00B52D66" w:rsidP="00FC2172" w:rsidRDefault="00B52D66" w14:paraId="2000DB8A"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0%</w:t>
            </w:r>
          </w:p>
        </w:tc>
      </w:tr>
      <w:tr w:rsidRPr="00B52D66" w:rsidR="00B52D66" w:rsidTr="00F524D3" w14:paraId="64BDEDE2"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132A9528"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Instructeur</w:t>
            </w:r>
          </w:p>
        </w:tc>
        <w:tc>
          <w:tcPr>
            <w:tcW w:w="1504" w:type="dxa"/>
          </w:tcPr>
          <w:p w:rsidRPr="00B52D66" w:rsidR="00B52D66" w:rsidP="00FC2172" w:rsidRDefault="00B52D66" w14:paraId="63A8D434"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9%</w:t>
            </w:r>
          </w:p>
        </w:tc>
        <w:tc>
          <w:tcPr>
            <w:tcW w:w="1504" w:type="dxa"/>
          </w:tcPr>
          <w:p w:rsidRPr="00B52D66" w:rsidR="00B52D66" w:rsidP="00FC2172" w:rsidRDefault="00B52D66" w14:paraId="5EE1C354"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11%</w:t>
            </w:r>
          </w:p>
        </w:tc>
        <w:tc>
          <w:tcPr>
            <w:tcW w:w="1505" w:type="dxa"/>
          </w:tcPr>
          <w:p w:rsidRPr="00B52D66" w:rsidR="00B52D66" w:rsidP="00FC2172" w:rsidRDefault="00B52D66" w14:paraId="160F51B3"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5%</w:t>
            </w:r>
          </w:p>
        </w:tc>
      </w:tr>
      <w:tr w:rsidRPr="00B52D66" w:rsidR="00B52D66" w:rsidTr="00F524D3" w14:paraId="2CC18573"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655BD73C"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Hybride docent</w:t>
            </w:r>
          </w:p>
        </w:tc>
        <w:tc>
          <w:tcPr>
            <w:tcW w:w="1504" w:type="dxa"/>
          </w:tcPr>
          <w:p w:rsidRPr="00B52D66" w:rsidR="00B52D66" w:rsidP="00FC2172" w:rsidRDefault="00B52D66" w14:paraId="0F5CF45D"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0%</w:t>
            </w:r>
          </w:p>
        </w:tc>
        <w:tc>
          <w:tcPr>
            <w:tcW w:w="1504" w:type="dxa"/>
          </w:tcPr>
          <w:p w:rsidRPr="00B52D66" w:rsidR="00B52D66" w:rsidP="00FC2172" w:rsidRDefault="00B52D66" w14:paraId="7C1745E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0%</w:t>
            </w:r>
          </w:p>
        </w:tc>
        <w:tc>
          <w:tcPr>
            <w:tcW w:w="1505" w:type="dxa"/>
          </w:tcPr>
          <w:p w:rsidRPr="00B52D66" w:rsidR="00B52D66" w:rsidP="00FC2172" w:rsidRDefault="00B52D66" w14:paraId="23E1E957"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1%</w:t>
            </w:r>
          </w:p>
        </w:tc>
      </w:tr>
      <w:tr w:rsidRPr="00B52D66" w:rsidR="00B52D66" w:rsidTr="00F524D3" w14:paraId="4C3C8A49"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17295443"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Onderwijsassistent</w:t>
            </w:r>
          </w:p>
        </w:tc>
        <w:tc>
          <w:tcPr>
            <w:tcW w:w="1504" w:type="dxa"/>
          </w:tcPr>
          <w:p w:rsidRPr="00B52D66" w:rsidR="00B52D66" w:rsidP="00FC2172" w:rsidRDefault="00B52D66" w14:paraId="27924CC2"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3%</w:t>
            </w:r>
          </w:p>
        </w:tc>
        <w:tc>
          <w:tcPr>
            <w:tcW w:w="1504" w:type="dxa"/>
          </w:tcPr>
          <w:p w:rsidRPr="00B52D66" w:rsidR="00B52D66" w:rsidP="00FC2172" w:rsidRDefault="00B52D66" w14:paraId="32976DB8"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3%</w:t>
            </w:r>
          </w:p>
        </w:tc>
        <w:tc>
          <w:tcPr>
            <w:tcW w:w="1505" w:type="dxa"/>
          </w:tcPr>
          <w:p w:rsidRPr="00B52D66" w:rsidR="00B52D66" w:rsidP="00FC2172" w:rsidRDefault="00B52D66" w14:paraId="7658EB01"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2%</w:t>
            </w:r>
          </w:p>
        </w:tc>
      </w:tr>
      <w:tr w:rsidRPr="00B52D66" w:rsidR="00B52D66" w:rsidTr="00F524D3" w14:paraId="5B771DF5"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4991F55A"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Anders</w:t>
            </w:r>
          </w:p>
        </w:tc>
        <w:tc>
          <w:tcPr>
            <w:tcW w:w="1504" w:type="dxa"/>
          </w:tcPr>
          <w:p w:rsidRPr="00B52D66" w:rsidR="00B52D66" w:rsidP="00FC2172" w:rsidRDefault="00B52D66" w14:paraId="7F7E4792"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9%</w:t>
            </w:r>
          </w:p>
        </w:tc>
        <w:tc>
          <w:tcPr>
            <w:tcW w:w="1504" w:type="dxa"/>
          </w:tcPr>
          <w:p w:rsidRPr="00B52D66" w:rsidR="00B52D66" w:rsidP="00FC2172" w:rsidRDefault="00B52D66" w14:paraId="2A8CAFFD"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5%</w:t>
            </w:r>
          </w:p>
        </w:tc>
        <w:tc>
          <w:tcPr>
            <w:tcW w:w="1505" w:type="dxa"/>
          </w:tcPr>
          <w:p w:rsidRPr="00B52D66" w:rsidR="00B52D66" w:rsidP="00FC2172" w:rsidRDefault="00B52D66" w14:paraId="724851CD"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18%</w:t>
            </w:r>
          </w:p>
        </w:tc>
      </w:tr>
      <w:tr w:rsidRPr="00B52D66" w:rsidR="00B52D66" w:rsidTr="00F524D3" w14:paraId="71C5F6CC"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03C51CD8" w14:textId="77777777">
            <w:pPr>
              <w:pStyle w:val="SEOStandaard"/>
              <w:numPr>
                <w:ilvl w:val="0"/>
                <w:numId w:val="0"/>
              </w:numPr>
              <w:rPr>
                <w:rFonts w:ascii="Trebuchet MS" w:hAnsi="Trebuchet MS"/>
                <w:sz w:val="16"/>
                <w:szCs w:val="16"/>
              </w:rPr>
            </w:pPr>
            <w:r w:rsidRPr="00B52D66">
              <w:rPr>
                <w:rFonts w:ascii="Trebuchet MS" w:hAnsi="Trebuchet MS"/>
                <w:sz w:val="16"/>
                <w:szCs w:val="16"/>
              </w:rPr>
              <w:t>In afgelopen 5 jaar (ook) baan buiten onderwijs</w:t>
            </w:r>
          </w:p>
        </w:tc>
        <w:tc>
          <w:tcPr>
            <w:tcW w:w="1504" w:type="dxa"/>
          </w:tcPr>
          <w:p w:rsidRPr="00B52D66" w:rsidR="00B52D66" w:rsidP="00FC2172" w:rsidRDefault="00B52D66" w14:paraId="3BF03FF8"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p>
        </w:tc>
        <w:tc>
          <w:tcPr>
            <w:tcW w:w="1504" w:type="dxa"/>
          </w:tcPr>
          <w:p w:rsidRPr="00B52D66" w:rsidR="00B52D66" w:rsidP="00FC2172" w:rsidRDefault="00B52D66" w14:paraId="0AD2DB19"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p>
        </w:tc>
        <w:tc>
          <w:tcPr>
            <w:tcW w:w="1505" w:type="dxa"/>
          </w:tcPr>
          <w:p w:rsidRPr="00B52D66" w:rsidR="00B52D66" w:rsidP="00FC2172" w:rsidRDefault="00B52D66" w14:paraId="562C04E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p>
        </w:tc>
      </w:tr>
      <w:tr w:rsidRPr="00B52D66" w:rsidR="00B52D66" w:rsidTr="00F524D3" w14:paraId="43F2864F"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5299F63B"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Ja, in een verwante sector</w:t>
            </w:r>
          </w:p>
        </w:tc>
        <w:tc>
          <w:tcPr>
            <w:tcW w:w="1504" w:type="dxa"/>
          </w:tcPr>
          <w:p w:rsidRPr="00B52D66" w:rsidR="00B52D66" w:rsidP="00FC2172" w:rsidRDefault="00B52D66" w14:paraId="778814AA"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17%</w:t>
            </w:r>
          </w:p>
        </w:tc>
        <w:tc>
          <w:tcPr>
            <w:tcW w:w="1504" w:type="dxa"/>
          </w:tcPr>
          <w:p w:rsidRPr="00B52D66" w:rsidR="00B52D66" w:rsidP="00FC2172" w:rsidRDefault="00B52D66" w14:paraId="3A8DB8CA"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18%</w:t>
            </w:r>
          </w:p>
        </w:tc>
        <w:tc>
          <w:tcPr>
            <w:tcW w:w="1505" w:type="dxa"/>
          </w:tcPr>
          <w:p w:rsidRPr="00B52D66" w:rsidR="00B52D66" w:rsidP="00FC2172" w:rsidRDefault="00B52D66" w14:paraId="69F7011C"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16%</w:t>
            </w:r>
          </w:p>
        </w:tc>
      </w:tr>
      <w:tr w:rsidRPr="00B52D66" w:rsidR="00B52D66" w:rsidTr="00F524D3" w14:paraId="01227113"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4A175732"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Ja, in een andere sector</w:t>
            </w:r>
          </w:p>
        </w:tc>
        <w:tc>
          <w:tcPr>
            <w:tcW w:w="1504" w:type="dxa"/>
          </w:tcPr>
          <w:p w:rsidRPr="00B52D66" w:rsidR="00B52D66" w:rsidP="00FC2172" w:rsidRDefault="00B52D66" w14:paraId="7C78F27A"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10%</w:t>
            </w:r>
          </w:p>
        </w:tc>
        <w:tc>
          <w:tcPr>
            <w:tcW w:w="1504" w:type="dxa"/>
          </w:tcPr>
          <w:p w:rsidRPr="00B52D66" w:rsidR="00B52D66" w:rsidP="00FC2172" w:rsidRDefault="00B52D66" w14:paraId="46FB1FF1"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9%</w:t>
            </w:r>
          </w:p>
        </w:tc>
        <w:tc>
          <w:tcPr>
            <w:tcW w:w="1505" w:type="dxa"/>
          </w:tcPr>
          <w:p w:rsidRPr="00B52D66" w:rsidR="00B52D66" w:rsidP="00FC2172" w:rsidRDefault="00B52D66" w14:paraId="2B053080"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11%</w:t>
            </w:r>
          </w:p>
        </w:tc>
      </w:tr>
      <w:tr w:rsidRPr="00B52D66" w:rsidR="00B52D66" w:rsidTr="00F524D3" w14:paraId="4D41D5C6"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21589FD3"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Nee</w:t>
            </w:r>
          </w:p>
        </w:tc>
        <w:tc>
          <w:tcPr>
            <w:tcW w:w="1504" w:type="dxa"/>
          </w:tcPr>
          <w:p w:rsidRPr="00B52D66" w:rsidR="00B52D66" w:rsidP="00FC2172" w:rsidRDefault="00B52D66" w14:paraId="5FF824CA"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71%</w:t>
            </w:r>
          </w:p>
        </w:tc>
        <w:tc>
          <w:tcPr>
            <w:tcW w:w="1504" w:type="dxa"/>
          </w:tcPr>
          <w:p w:rsidRPr="00B52D66" w:rsidR="00B52D66" w:rsidP="00FC2172" w:rsidRDefault="00B52D66" w14:paraId="4DA83522"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71%</w:t>
            </w:r>
          </w:p>
        </w:tc>
        <w:tc>
          <w:tcPr>
            <w:tcW w:w="1505" w:type="dxa"/>
          </w:tcPr>
          <w:p w:rsidRPr="00B52D66" w:rsidR="00B52D66" w:rsidP="00FC2172" w:rsidRDefault="00B52D66" w14:paraId="490B301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70%</w:t>
            </w:r>
          </w:p>
        </w:tc>
      </w:tr>
      <w:tr w:rsidRPr="00B52D66" w:rsidR="00B52D66" w:rsidTr="00F524D3" w14:paraId="43EE5B76" w14:textId="77777777">
        <w:tc>
          <w:tcPr>
            <w:cnfStyle w:val="001000000000" w:firstRow="0" w:lastRow="0" w:firstColumn="1" w:lastColumn="0" w:oddVBand="0" w:evenVBand="0" w:oddHBand="0" w:evenHBand="0" w:firstRowFirstColumn="0" w:firstRowLastColumn="0" w:lastRowFirstColumn="0" w:lastRowLastColumn="0"/>
            <w:tcW w:w="4847" w:type="dxa"/>
          </w:tcPr>
          <w:p w:rsidRPr="00B52D66" w:rsidR="00B52D66" w:rsidP="00FC2172" w:rsidRDefault="00B52D66" w14:paraId="71B2F5D4" w14:textId="77777777">
            <w:pPr>
              <w:pStyle w:val="SEOStandaard"/>
              <w:numPr>
                <w:ilvl w:val="0"/>
                <w:numId w:val="0"/>
              </w:numPr>
              <w:ind w:left="720"/>
              <w:rPr>
                <w:rFonts w:ascii="Trebuchet MS" w:hAnsi="Trebuchet MS"/>
                <w:sz w:val="16"/>
                <w:szCs w:val="16"/>
              </w:rPr>
            </w:pPr>
            <w:r w:rsidRPr="00B52D66">
              <w:rPr>
                <w:rFonts w:ascii="Trebuchet MS" w:hAnsi="Trebuchet MS"/>
                <w:sz w:val="16"/>
                <w:szCs w:val="16"/>
              </w:rPr>
              <w:t>Anders, namelijk</w:t>
            </w:r>
          </w:p>
        </w:tc>
        <w:tc>
          <w:tcPr>
            <w:tcW w:w="1504" w:type="dxa"/>
          </w:tcPr>
          <w:p w:rsidRPr="00B52D66" w:rsidR="00B52D66" w:rsidP="00FC2172" w:rsidRDefault="00B52D66" w14:paraId="798DAB3E"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2%</w:t>
            </w:r>
          </w:p>
        </w:tc>
        <w:tc>
          <w:tcPr>
            <w:tcW w:w="1504" w:type="dxa"/>
          </w:tcPr>
          <w:p w:rsidRPr="00B52D66" w:rsidR="00B52D66" w:rsidP="00FC2172" w:rsidRDefault="00B52D66" w14:paraId="4AEF52A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2%</w:t>
            </w:r>
          </w:p>
        </w:tc>
        <w:tc>
          <w:tcPr>
            <w:tcW w:w="1505" w:type="dxa"/>
          </w:tcPr>
          <w:p w:rsidRPr="00B52D66" w:rsidR="00B52D66" w:rsidP="00FC2172" w:rsidRDefault="00B52D66" w14:paraId="5A427E26" w14:textId="77777777">
            <w:pPr>
              <w:pStyle w:val="SEOStandaar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sidRPr="00B52D66">
              <w:rPr>
                <w:rFonts w:ascii="Trebuchet MS" w:hAnsi="Trebuchet MS"/>
                <w:sz w:val="16"/>
                <w:szCs w:val="16"/>
              </w:rPr>
              <w:t>3%</w:t>
            </w:r>
          </w:p>
        </w:tc>
      </w:tr>
    </w:tbl>
    <w:p w:rsidR="00B52D66" w:rsidP="00283B39" w:rsidRDefault="00F524D3" w14:paraId="2F5CA81A" w14:textId="7D4EA8FE">
      <w:pPr>
        <w:pStyle w:val="SEOBron"/>
        <w:spacing w:after="160" w:line="259" w:lineRule="auto"/>
        <w:rPr>
          <w:szCs w:val="18"/>
        </w:rPr>
      </w:pPr>
      <w:r w:rsidRPr="00F524D3">
        <w:rPr>
          <w:rFonts w:ascii="Trebuchet MS" w:hAnsi="Trebuchet MS"/>
          <w:szCs w:val="18"/>
        </w:rPr>
        <w:t xml:space="preserve">Enquête </w:t>
      </w:r>
      <w:r>
        <w:rPr>
          <w:rFonts w:ascii="Trebuchet MS" w:hAnsi="Trebuchet MS"/>
          <w:szCs w:val="18"/>
        </w:rPr>
        <w:t>lesgevenden</w:t>
      </w:r>
      <w:r w:rsidRPr="00F524D3">
        <w:rPr>
          <w:rFonts w:ascii="Trebuchet MS" w:hAnsi="Trebuchet MS"/>
          <w:szCs w:val="18"/>
        </w:rPr>
        <w:t xml:space="preserve"> STO (april 2025).</w:t>
      </w:r>
      <w:r w:rsidR="00B52D66">
        <w:rPr>
          <w:szCs w:val="18"/>
        </w:rPr>
        <w:br w:type="page"/>
      </w:r>
    </w:p>
    <w:p w:rsidR="00B52D66" w:rsidP="00A743B3" w:rsidRDefault="00B52D66" w14:paraId="453268F7" w14:textId="00460EF9">
      <w:pPr>
        <w:pStyle w:val="Kop1"/>
      </w:pPr>
      <w:bookmarkStart w:name="_Toc203573615" w:id="98"/>
      <w:r>
        <w:lastRenderedPageBreak/>
        <w:t xml:space="preserve">Bijlage 3 </w:t>
      </w:r>
      <w:r w:rsidRPr="00A743B3">
        <w:t>Monitorgegevens</w:t>
      </w:r>
      <w:r>
        <w:t xml:space="preserve"> STO</w:t>
      </w:r>
      <w:bookmarkEnd w:id="98"/>
    </w:p>
    <w:p w:rsidR="00B52D66" w:rsidP="00B52D66" w:rsidRDefault="00B52D66" w14:paraId="11798629" w14:textId="4A683593">
      <w:pPr>
        <w:jc w:val="both"/>
        <w:rPr>
          <w:szCs w:val="18"/>
        </w:rPr>
      </w:pPr>
      <w:r w:rsidRPr="00A45539">
        <w:rPr>
          <w:szCs w:val="18"/>
        </w:rPr>
        <w:t xml:space="preserve">In </w:t>
      </w:r>
      <w:r w:rsidR="00A009E0">
        <w:rPr>
          <w:szCs w:val="18"/>
        </w:rPr>
        <w:t>deze bijlage</w:t>
      </w:r>
      <w:r w:rsidRPr="00A45539">
        <w:rPr>
          <w:szCs w:val="18"/>
        </w:rPr>
        <w:t xml:space="preserve"> </w:t>
      </w:r>
      <w:r>
        <w:rPr>
          <w:szCs w:val="18"/>
        </w:rPr>
        <w:t>geven we verdiepend inzicht</w:t>
      </w:r>
      <w:r w:rsidRPr="00A45539">
        <w:rPr>
          <w:szCs w:val="18"/>
        </w:rPr>
        <w:t xml:space="preserve"> </w:t>
      </w:r>
      <w:r>
        <w:rPr>
          <w:szCs w:val="18"/>
        </w:rPr>
        <w:t>in leerlingenaantallen en profielaanbod voor de beroepsgerichte leerwegen gebaseerd op</w:t>
      </w:r>
      <w:r w:rsidRPr="00A45539">
        <w:rPr>
          <w:szCs w:val="18"/>
        </w:rPr>
        <w:t xml:space="preserve"> het schooljaar 202</w:t>
      </w:r>
      <w:r>
        <w:rPr>
          <w:szCs w:val="18"/>
        </w:rPr>
        <w:t>3</w:t>
      </w:r>
      <w:r w:rsidRPr="00A45539">
        <w:rPr>
          <w:szCs w:val="18"/>
        </w:rPr>
        <w:t>/202</w:t>
      </w:r>
      <w:r>
        <w:rPr>
          <w:szCs w:val="18"/>
        </w:rPr>
        <w:t>4 voor leerjaar 3 en 2022/2023 voor leerjaar 4</w:t>
      </w:r>
      <w:r w:rsidRPr="00A45539">
        <w:rPr>
          <w:szCs w:val="18"/>
        </w:rPr>
        <w:t xml:space="preserve">. </w:t>
      </w:r>
      <w:r>
        <w:rPr>
          <w:szCs w:val="18"/>
        </w:rPr>
        <w:t xml:space="preserve">De vijf technische vmbo-profielen staan hierbij centraal. Wij kijken naar ontwikkelingen in leerlingenaantallen, het aanbod van keuzevakken, de dekking en bereikbaarheid van techniekonderwijs alsmede de aansluiting op vervolgonderwijs. </w:t>
      </w:r>
      <w:r w:rsidRPr="00A45539">
        <w:rPr>
          <w:szCs w:val="18"/>
        </w:rPr>
        <w:t xml:space="preserve">Dit hoofdstuk is als volgt ingedeeld: In paragraaf </w:t>
      </w:r>
      <w:r w:rsidR="00A743B3">
        <w:rPr>
          <w:szCs w:val="18"/>
        </w:rPr>
        <w:t>10</w:t>
      </w:r>
      <w:r w:rsidRPr="00283B39">
        <w:rPr>
          <w:szCs w:val="18"/>
        </w:rPr>
        <w:t>.1</w:t>
      </w:r>
      <w:r w:rsidRPr="00A45539">
        <w:rPr>
          <w:szCs w:val="18"/>
        </w:rPr>
        <w:t xml:space="preserve"> analyseren we de ontwikkelingen in het aantal leerlingen in de basis-, kaderberoepsgerichte</w:t>
      </w:r>
      <w:r>
        <w:rPr>
          <w:szCs w:val="18"/>
        </w:rPr>
        <w:t>-</w:t>
      </w:r>
      <w:r w:rsidRPr="00A45539">
        <w:rPr>
          <w:szCs w:val="18"/>
        </w:rPr>
        <w:t xml:space="preserve"> en gemengde leerweg</w:t>
      </w:r>
      <w:r w:rsidRPr="00B7142A">
        <w:rPr>
          <w:szCs w:val="18"/>
        </w:rPr>
        <w:t xml:space="preserve"> </w:t>
      </w:r>
      <w:r w:rsidRPr="00A45539">
        <w:rPr>
          <w:szCs w:val="18"/>
        </w:rPr>
        <w:t>voor zowel de vijf technische profielen als voor de niet-technische profielen. Hierbij geven we ook inzicht in de leerlingenaantallen</w:t>
      </w:r>
      <w:r>
        <w:rPr>
          <w:szCs w:val="18"/>
        </w:rPr>
        <w:t xml:space="preserve"> en -aandelen</w:t>
      </w:r>
      <w:r w:rsidRPr="00A45539">
        <w:rPr>
          <w:szCs w:val="18"/>
        </w:rPr>
        <w:t xml:space="preserve"> </w:t>
      </w:r>
      <w:r>
        <w:rPr>
          <w:szCs w:val="18"/>
        </w:rPr>
        <w:t>per STO-regio</w:t>
      </w:r>
      <w:r w:rsidRPr="00A45539">
        <w:rPr>
          <w:szCs w:val="18"/>
        </w:rPr>
        <w:t xml:space="preserve">. Vervolgens belichten we in paragraaf </w:t>
      </w:r>
      <w:r w:rsidR="00A743B3">
        <w:rPr>
          <w:szCs w:val="18"/>
        </w:rPr>
        <w:t>10</w:t>
      </w:r>
      <w:r w:rsidRPr="00283B39">
        <w:rPr>
          <w:szCs w:val="18"/>
        </w:rPr>
        <w:t>.2</w:t>
      </w:r>
      <w:r w:rsidRPr="00A45539">
        <w:rPr>
          <w:szCs w:val="18"/>
        </w:rPr>
        <w:t xml:space="preserve"> het aantal vestigingen per </w:t>
      </w:r>
      <w:r>
        <w:rPr>
          <w:szCs w:val="18"/>
        </w:rPr>
        <w:t xml:space="preserve">beroepsgerichte </w:t>
      </w:r>
      <w:r w:rsidRPr="00A45539">
        <w:rPr>
          <w:szCs w:val="18"/>
        </w:rPr>
        <w:t xml:space="preserve">leerweg en per profiel. De </w:t>
      </w:r>
      <w:r>
        <w:rPr>
          <w:szCs w:val="18"/>
        </w:rPr>
        <w:t>dekking</w:t>
      </w:r>
      <w:r w:rsidRPr="00A45539">
        <w:rPr>
          <w:szCs w:val="18"/>
        </w:rPr>
        <w:t xml:space="preserve"> en de bereikbaarheid van het aanbod aan technische vmbo-opleidingen komt aan bod in paragraaf </w:t>
      </w:r>
      <w:r w:rsidR="00A743B3">
        <w:rPr>
          <w:szCs w:val="18"/>
        </w:rPr>
        <w:t>10</w:t>
      </w:r>
      <w:r w:rsidRPr="00283B39" w:rsidR="00A009E0">
        <w:rPr>
          <w:szCs w:val="18"/>
        </w:rPr>
        <w:t>.</w:t>
      </w:r>
      <w:r w:rsidRPr="00283B39">
        <w:rPr>
          <w:szCs w:val="18"/>
        </w:rPr>
        <w:t>3</w:t>
      </w:r>
      <w:r w:rsidRPr="00A45539">
        <w:rPr>
          <w:szCs w:val="18"/>
        </w:rPr>
        <w:t xml:space="preserve">. In paragraaf </w:t>
      </w:r>
      <w:r w:rsidR="00A743B3">
        <w:rPr>
          <w:szCs w:val="18"/>
        </w:rPr>
        <w:t>10</w:t>
      </w:r>
      <w:r w:rsidRPr="00283B39">
        <w:rPr>
          <w:szCs w:val="18"/>
        </w:rPr>
        <w:t>.4</w:t>
      </w:r>
      <w:r w:rsidRPr="00A45539">
        <w:rPr>
          <w:szCs w:val="18"/>
        </w:rPr>
        <w:t xml:space="preserve"> richten we ons op de keuzevakken</w:t>
      </w:r>
      <w:r>
        <w:rPr>
          <w:szCs w:val="18"/>
        </w:rPr>
        <w:t>.</w:t>
      </w:r>
      <w:r w:rsidRPr="00A45539">
        <w:rPr>
          <w:szCs w:val="18"/>
        </w:rPr>
        <w:t xml:space="preserve"> </w:t>
      </w:r>
      <w:r>
        <w:rPr>
          <w:szCs w:val="18"/>
        </w:rPr>
        <w:t>Naast de keuzes van techniekleerlingen, beschrijven we ook in welke mate leerlingen van niet-technische profielen voor technische keuzevakken kiezen. I</w:t>
      </w:r>
      <w:r w:rsidRPr="00A45539">
        <w:rPr>
          <w:szCs w:val="18"/>
        </w:rPr>
        <w:t xml:space="preserve">n </w:t>
      </w:r>
      <w:r>
        <w:rPr>
          <w:szCs w:val="18"/>
        </w:rPr>
        <w:t xml:space="preserve">paragraaf </w:t>
      </w:r>
      <w:r w:rsidR="00A743B3">
        <w:rPr>
          <w:szCs w:val="18"/>
        </w:rPr>
        <w:t>10</w:t>
      </w:r>
      <w:r w:rsidRPr="00283B39">
        <w:rPr>
          <w:szCs w:val="18"/>
        </w:rPr>
        <w:t>.5</w:t>
      </w:r>
      <w:r w:rsidRPr="00A45539">
        <w:rPr>
          <w:szCs w:val="18"/>
        </w:rPr>
        <w:t xml:space="preserve"> analyseren we de doorstroom naar het vervolgonderwijs</w:t>
      </w:r>
      <w:r>
        <w:rPr>
          <w:szCs w:val="18"/>
        </w:rPr>
        <w:t>. Gebaseerd op het schoolverlatersonderzoek beschrijven we in de laatste paragraaf (</w:t>
      </w:r>
      <w:r w:rsidR="00A743B3">
        <w:rPr>
          <w:szCs w:val="18"/>
        </w:rPr>
        <w:t>10</w:t>
      </w:r>
      <w:r w:rsidRPr="00283B39">
        <w:rPr>
          <w:szCs w:val="18"/>
        </w:rPr>
        <w:t>.6</w:t>
      </w:r>
      <w:r>
        <w:rPr>
          <w:szCs w:val="18"/>
        </w:rPr>
        <w:t>) de mening van oud-vmbo leerlingen over hoe zij hun vmbo-opleiding beoordelen.</w:t>
      </w:r>
      <w:r w:rsidRPr="00A45539">
        <w:rPr>
          <w:szCs w:val="18"/>
        </w:rPr>
        <w:t xml:space="preserve"> Iedere paragraaf wordt afge</w:t>
      </w:r>
      <w:r>
        <w:rPr>
          <w:szCs w:val="18"/>
        </w:rPr>
        <w:t>sloten</w:t>
      </w:r>
      <w:r w:rsidRPr="00A45539">
        <w:rPr>
          <w:szCs w:val="18"/>
        </w:rPr>
        <w:t xml:space="preserve"> met een samenvatting.</w:t>
      </w:r>
      <w:r>
        <w:rPr>
          <w:szCs w:val="18"/>
        </w:rPr>
        <w:t xml:space="preserve"> </w:t>
      </w:r>
    </w:p>
    <w:p w:rsidR="00B52D66" w:rsidP="00B52D66" w:rsidRDefault="00B52D66" w14:paraId="7E1C9A73" w14:textId="77777777">
      <w:pPr>
        <w:jc w:val="both"/>
        <w:rPr>
          <w:szCs w:val="18"/>
        </w:rPr>
      </w:pPr>
    </w:p>
    <w:p w:rsidR="00B52D66" w:rsidP="00B52D66" w:rsidRDefault="00B52D66" w14:paraId="2A5E1987" w14:textId="6C2ED62C">
      <w:pPr>
        <w:jc w:val="both"/>
        <w:rPr>
          <w:szCs w:val="18"/>
        </w:rPr>
      </w:pPr>
      <w:r>
        <w:rPr>
          <w:szCs w:val="18"/>
        </w:rPr>
        <w:t xml:space="preserve">Dit is de laatste editie van de kwantitatieve monitor in deze reeks. </w:t>
      </w:r>
      <w:r w:rsidRPr="00810793">
        <w:rPr>
          <w:szCs w:val="18"/>
        </w:rPr>
        <w:t xml:space="preserve">In de </w:t>
      </w:r>
      <w:r w:rsidR="00E8226B">
        <w:rPr>
          <w:szCs w:val="18"/>
        </w:rPr>
        <w:t>appendix bij</w:t>
      </w:r>
      <w:r w:rsidRPr="00810793">
        <w:rPr>
          <w:szCs w:val="18"/>
        </w:rPr>
        <w:t xml:space="preserve"> de bijlage </w:t>
      </w:r>
      <w:r>
        <w:rPr>
          <w:szCs w:val="18"/>
        </w:rPr>
        <w:t>presenteren we daarom</w:t>
      </w:r>
      <w:r w:rsidRPr="00810793">
        <w:rPr>
          <w:szCs w:val="18"/>
        </w:rPr>
        <w:t xml:space="preserve"> trendanalyses vanaf schooljaar 2018/2019 voor leerjaar 3 en vanaf schooljaar 2019/2020 voor leerjaar 4, het startjaar van het initiatief Sterk Techniekonderwijs in het vmbo.</w:t>
      </w:r>
    </w:p>
    <w:p w:rsidR="00B52D66" w:rsidP="00B52D66" w:rsidRDefault="00B52D66" w14:paraId="77060B4F" w14:textId="77777777">
      <w:pPr>
        <w:jc w:val="both"/>
        <w:rPr>
          <w:szCs w:val="18"/>
        </w:rPr>
      </w:pPr>
    </w:p>
    <w:p w:rsidR="00B52D66" w:rsidP="00B52D66" w:rsidRDefault="00B52D66" w14:paraId="3DECC98A" w14:textId="32EFB6AF">
      <w:pPr>
        <w:jc w:val="both"/>
        <w:rPr>
          <w:szCs w:val="18"/>
        </w:rPr>
      </w:pPr>
      <w:r w:rsidRPr="00A55317">
        <w:rPr>
          <w:szCs w:val="18"/>
        </w:rPr>
        <w:t xml:space="preserve">Ten opzichte van de huidige STO-regeling zal de nieuwe (concept-)regeling (2025-2029) meer nadruk leggen op het aantrekken van meisjes en leerlingen met ouders die niet in Nederland zijn geboren. Daarom bieden we, aanvullend op de gebruikelijke uitwerkingen, in twee tekstboxen (tekstboxen </w:t>
      </w:r>
      <w:r w:rsidR="00A743B3">
        <w:rPr>
          <w:szCs w:val="18"/>
        </w:rPr>
        <w:t>10</w:t>
      </w:r>
      <w:r w:rsidRPr="00A55317">
        <w:rPr>
          <w:szCs w:val="18"/>
        </w:rPr>
        <w:t xml:space="preserve">.1 en </w:t>
      </w:r>
      <w:r w:rsidR="00A743B3">
        <w:rPr>
          <w:szCs w:val="18"/>
        </w:rPr>
        <w:t>10</w:t>
      </w:r>
      <w:r w:rsidRPr="00A55317">
        <w:rPr>
          <w:szCs w:val="18"/>
        </w:rPr>
        <w:t xml:space="preserve">.2) verdiepend inzicht door de deelname aan techniekonderwijs te analyseren naar het aandeel meisjes en het aandeel leerlingen met ouders die in het buitenland zijn geboren. </w:t>
      </w:r>
    </w:p>
    <w:p w:rsidR="00B52D66" w:rsidP="00B52D66" w:rsidRDefault="00B52D66" w14:paraId="3FFC8614" w14:textId="77777777">
      <w:pPr>
        <w:jc w:val="both"/>
        <w:rPr>
          <w:szCs w:val="18"/>
        </w:rPr>
      </w:pPr>
    </w:p>
    <w:p w:rsidR="00B52D66" w:rsidP="00B52D66" w:rsidRDefault="00B52D66" w14:paraId="55B08A07" w14:textId="77777777">
      <w:pPr>
        <w:jc w:val="both"/>
        <w:rPr>
          <w:szCs w:val="18"/>
        </w:rPr>
      </w:pPr>
      <w:r>
        <w:rPr>
          <w:szCs w:val="18"/>
        </w:rPr>
        <w:t xml:space="preserve">Voor de leesbaarheid gebruiken we in het vervolg veel afkortingen, die bij een grote meerderheid van de lezers bekend zijn. Voor een overzicht van de afkortingen zie het inleidend hoofdstuk (1). </w:t>
      </w:r>
    </w:p>
    <w:p w:rsidRPr="00A45539" w:rsidR="00B52D66" w:rsidP="00B52D66" w:rsidRDefault="00B52D66" w14:paraId="70AC036F" w14:textId="77777777">
      <w:pPr>
        <w:jc w:val="both"/>
        <w:rPr>
          <w:szCs w:val="18"/>
        </w:rPr>
      </w:pPr>
    </w:p>
    <w:p w:rsidRPr="00A45539" w:rsidR="00B52D66" w:rsidP="00B52D66" w:rsidRDefault="00B52D66" w14:paraId="120CB1D0" w14:textId="77777777">
      <w:pPr>
        <w:spacing w:line="276" w:lineRule="auto"/>
        <w:ind w:right="376"/>
        <w:jc w:val="both"/>
        <w:rPr>
          <w:i/>
          <w:iCs/>
          <w:color w:val="000000" w:themeColor="text1"/>
          <w:szCs w:val="18"/>
        </w:rPr>
      </w:pPr>
    </w:p>
    <w:p w:rsidRPr="005D2F5F" w:rsidR="00B52D66" w:rsidP="00B52D66" w:rsidRDefault="00B52D66" w14:paraId="0C0E2F0A" w14:textId="3AE5E0DA">
      <w:pPr>
        <w:pStyle w:val="Kop2"/>
        <w:jc w:val="both"/>
      </w:pPr>
      <w:bookmarkStart w:name="_Toc125541240" w:id="99"/>
      <w:bookmarkStart w:name="_Toc127528890" w:id="100"/>
      <w:bookmarkStart w:name="_Toc158042053" w:id="101"/>
      <w:bookmarkStart w:name="_Toc203573616" w:id="102"/>
      <w:r w:rsidRPr="005D2F5F">
        <w:t>Ontwikkelingen leerlingenaantallen bovenbouw voortgezet onderwijs sinds schooljaar 201</w:t>
      </w:r>
      <w:r>
        <w:t>5</w:t>
      </w:r>
      <w:r w:rsidRPr="005D2F5F">
        <w:t>/201</w:t>
      </w:r>
      <w:bookmarkEnd w:id="99"/>
      <w:bookmarkEnd w:id="100"/>
      <w:bookmarkEnd w:id="101"/>
      <w:r>
        <w:t>6</w:t>
      </w:r>
      <w:bookmarkEnd w:id="102"/>
    </w:p>
    <w:p w:rsidR="00B52D66" w:rsidP="00B52D66" w:rsidRDefault="00B52D66" w14:paraId="172F4822" w14:textId="77777777">
      <w:pPr>
        <w:jc w:val="both"/>
        <w:rPr>
          <w:szCs w:val="18"/>
        </w:rPr>
      </w:pPr>
    </w:p>
    <w:p w:rsidRPr="00A45539" w:rsidR="00B52D66" w:rsidP="00B52D66" w:rsidRDefault="00B52D66" w14:paraId="0BEF0E5B" w14:textId="3B540318">
      <w:pPr>
        <w:jc w:val="both"/>
        <w:rPr>
          <w:szCs w:val="18"/>
        </w:rPr>
      </w:pPr>
      <w:r w:rsidRPr="003D443B">
        <w:rPr>
          <w:szCs w:val="18"/>
        </w:rPr>
        <w:t xml:space="preserve">Allereerst geeft Figuur </w:t>
      </w:r>
      <w:r w:rsidR="00E8226B">
        <w:rPr>
          <w:szCs w:val="18"/>
        </w:rPr>
        <w:t>B3</w:t>
      </w:r>
      <w:r w:rsidRPr="003D443B">
        <w:rPr>
          <w:szCs w:val="18"/>
        </w:rPr>
        <w:t xml:space="preserve">.1 de overkoepelende trend van leerlingenaantallen in de bovenbouw van het voortgezet onderwijs (vo) weer. Sinds </w:t>
      </w:r>
      <w:r>
        <w:rPr>
          <w:szCs w:val="18"/>
        </w:rPr>
        <w:t>2016/2017</w:t>
      </w:r>
      <w:r w:rsidRPr="003D443B">
        <w:rPr>
          <w:szCs w:val="18"/>
        </w:rPr>
        <w:t xml:space="preserve"> </w:t>
      </w:r>
      <w:r>
        <w:rPr>
          <w:szCs w:val="18"/>
        </w:rPr>
        <w:t xml:space="preserve">tot 2020/2021 </w:t>
      </w:r>
      <w:r w:rsidRPr="003D443B">
        <w:rPr>
          <w:szCs w:val="18"/>
        </w:rPr>
        <w:t>daal</w:t>
      </w:r>
      <w:r>
        <w:rPr>
          <w:szCs w:val="18"/>
        </w:rPr>
        <w:t>t</w:t>
      </w:r>
      <w:r w:rsidRPr="003D443B">
        <w:rPr>
          <w:szCs w:val="18"/>
        </w:rPr>
        <w:t xml:space="preserve"> het leerlingenaantal</w:t>
      </w:r>
      <w:r>
        <w:rPr>
          <w:szCs w:val="18"/>
        </w:rPr>
        <w:t>, waarna het</w:t>
      </w:r>
      <w:r w:rsidRPr="003D443B">
        <w:rPr>
          <w:szCs w:val="18"/>
        </w:rPr>
        <w:t xml:space="preserve"> vanaf schooljaar 202</w:t>
      </w:r>
      <w:r>
        <w:rPr>
          <w:szCs w:val="18"/>
        </w:rPr>
        <w:t>0</w:t>
      </w:r>
      <w:r w:rsidRPr="003D443B">
        <w:rPr>
          <w:szCs w:val="18"/>
        </w:rPr>
        <w:t>/202</w:t>
      </w:r>
      <w:r>
        <w:rPr>
          <w:szCs w:val="18"/>
        </w:rPr>
        <w:t>1</w:t>
      </w:r>
      <w:r w:rsidRPr="003D443B">
        <w:rPr>
          <w:szCs w:val="18"/>
        </w:rPr>
        <w:t xml:space="preserve"> </w:t>
      </w:r>
      <w:r>
        <w:rPr>
          <w:szCs w:val="18"/>
        </w:rPr>
        <w:t>stagneert (rond de 940 duizend). In 2022/2023 zaten er</w:t>
      </w:r>
      <w:r w:rsidRPr="00A45539">
        <w:rPr>
          <w:szCs w:val="18"/>
        </w:rPr>
        <w:t xml:space="preserve"> </w:t>
      </w:r>
      <w:r>
        <w:rPr>
          <w:szCs w:val="18"/>
        </w:rPr>
        <w:t>941.558 leerlingen in de bovenbouw van het vo en in 2023/2024 947.734. In het meest recente schooljaar, 2024/2025, is het leerlingenaantal 936.180.</w:t>
      </w:r>
    </w:p>
    <w:p w:rsidRPr="00A45539" w:rsidR="00B52D66" w:rsidP="00B52D66" w:rsidRDefault="00B52D66" w14:paraId="6D066FE7" w14:textId="77777777">
      <w:pPr>
        <w:jc w:val="both"/>
        <w:rPr>
          <w:szCs w:val="18"/>
        </w:rPr>
      </w:pPr>
    </w:p>
    <w:p w:rsidRPr="00F75D9D" w:rsidR="00B52D66" w:rsidP="00B52D66" w:rsidRDefault="00B52D66" w14:paraId="2AFFEFA0" w14:textId="21079699">
      <w:pPr>
        <w:pStyle w:val="Bijschrift"/>
        <w:jc w:val="both"/>
      </w:pPr>
      <w:r w:rsidRPr="00F75D9D">
        <w:t xml:space="preserve">FIGUUR </w:t>
      </w:r>
      <w:r w:rsidR="00E8226B">
        <w:t>B3</w:t>
      </w:r>
      <w:r>
        <w:t>.</w:t>
      </w:r>
      <w:r w:rsidRPr="00F75D9D">
        <w:t>1</w:t>
      </w:r>
      <w:r>
        <w:tab/>
      </w:r>
      <w:r w:rsidRPr="00F75D9D">
        <w:t>Leerlingenaantallen bovenbouw voortgezet onderwijs van 201</w:t>
      </w:r>
      <w:r>
        <w:t>5</w:t>
      </w:r>
      <w:r w:rsidRPr="00F75D9D">
        <w:t>/201</w:t>
      </w:r>
      <w:r>
        <w:t>6</w:t>
      </w:r>
      <w:r w:rsidRPr="00F75D9D">
        <w:t xml:space="preserve"> t/m 202</w:t>
      </w:r>
      <w:r>
        <w:t>4</w:t>
      </w:r>
      <w:r w:rsidRPr="00F75D9D">
        <w:t>/202</w:t>
      </w:r>
      <w:r>
        <w:t>5, naar onderwijssoort</w:t>
      </w:r>
    </w:p>
    <w:p w:rsidRPr="00A45539" w:rsidR="00B52D66" w:rsidP="00B52D66" w:rsidRDefault="00B52D66" w14:paraId="3FCE0BDA" w14:textId="54302555">
      <w:pPr>
        <w:jc w:val="both"/>
      </w:pPr>
      <w:r>
        <w:rPr>
          <w:noProof/>
        </w:rPr>
        <w:lastRenderedPageBreak/>
        <w:drawing>
          <wp:inline distT="0" distB="0" distL="0" distR="0" wp14:anchorId="467A9F9B" wp14:editId="6949C53D">
            <wp:extent cx="5953125" cy="3159125"/>
            <wp:effectExtent l="0" t="0" r="9525" b="3175"/>
            <wp:docPr id="17" name="Chart 17">
              <a:extLst xmlns:a="http://schemas.openxmlformats.org/drawingml/2006/main">
                <a:ext uri="{FF2B5EF4-FFF2-40B4-BE49-F238E27FC236}">
                  <a16:creationId xmlns:a16="http://schemas.microsoft.com/office/drawing/2014/main" id="{0AB85144-83CC-7037-9010-B553637539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A45539">
        <w:rPr>
          <w:b/>
          <w:szCs w:val="18"/>
        </w:rPr>
        <w:br/>
      </w:r>
      <w:r w:rsidR="00998A47">
        <w:t>Noot: Leerlingen in een havo/vwo brugklas leerjaar 3 worden gerekend bij brugjaar en ongedee</w:t>
      </w:r>
      <w:r w:rsidR="1DAECE2F">
        <w:t>ld 3e jaar</w:t>
      </w:r>
      <w:r w:rsidR="00998A47">
        <w:t>.</w:t>
      </w:r>
    </w:p>
    <w:p w:rsidRPr="00A45539" w:rsidR="00B52D66" w:rsidP="7C716BD1" w:rsidRDefault="00B52D66" w14:paraId="37988699" w14:textId="77777777">
      <w:pPr>
        <w:jc w:val="both"/>
        <w:rPr>
          <w:i/>
          <w:iCs/>
        </w:rPr>
      </w:pPr>
      <w:r w:rsidRPr="7C716BD1">
        <w:rPr>
          <w:i/>
          <w:iCs/>
        </w:rPr>
        <w:t>Bron: www.ocwincijfers.nl</w:t>
      </w:r>
    </w:p>
    <w:p w:rsidRPr="00A45539" w:rsidR="00B52D66" w:rsidP="00B52D66" w:rsidRDefault="00B52D66" w14:paraId="71705B45" w14:textId="77777777">
      <w:pPr>
        <w:jc w:val="both"/>
        <w:rPr>
          <w:szCs w:val="18"/>
        </w:rPr>
      </w:pPr>
    </w:p>
    <w:p w:rsidRPr="00A45539" w:rsidR="00B52D66" w:rsidP="00B52D66" w:rsidRDefault="00B52D66" w14:paraId="7E6A4F0A" w14:textId="77777777">
      <w:pPr>
        <w:jc w:val="both"/>
        <w:rPr>
          <w:szCs w:val="18"/>
        </w:rPr>
      </w:pPr>
      <w:r>
        <w:rPr>
          <w:szCs w:val="18"/>
        </w:rPr>
        <w:t>In leerjaar 3 en 4</w:t>
      </w:r>
      <w:r w:rsidRPr="003D443B">
        <w:rPr>
          <w:szCs w:val="18"/>
        </w:rPr>
        <w:t xml:space="preserve"> </w:t>
      </w:r>
      <w:r>
        <w:rPr>
          <w:szCs w:val="18"/>
        </w:rPr>
        <w:t xml:space="preserve">van het vo bedraagt het aandeel vmbo-leerlingen </w:t>
      </w:r>
      <w:r w:rsidRPr="003D443B">
        <w:rPr>
          <w:szCs w:val="18"/>
        </w:rPr>
        <w:t>20 procent</w:t>
      </w:r>
      <w:r>
        <w:rPr>
          <w:szCs w:val="18"/>
        </w:rPr>
        <w:t xml:space="preserve"> van het totaal aantal leerlingen</w:t>
      </w:r>
      <w:r w:rsidRPr="003D443B">
        <w:rPr>
          <w:szCs w:val="18"/>
        </w:rPr>
        <w:t xml:space="preserve"> </w:t>
      </w:r>
      <w:r>
        <w:rPr>
          <w:szCs w:val="18"/>
        </w:rPr>
        <w:t xml:space="preserve">en dat is sinds </w:t>
      </w:r>
      <w:r w:rsidRPr="003D443B">
        <w:rPr>
          <w:szCs w:val="18"/>
        </w:rPr>
        <w:t>schooljaar 202</w:t>
      </w:r>
      <w:r>
        <w:rPr>
          <w:szCs w:val="18"/>
        </w:rPr>
        <w:t>0</w:t>
      </w:r>
      <w:r w:rsidRPr="003D443B">
        <w:rPr>
          <w:szCs w:val="18"/>
        </w:rPr>
        <w:t>/202</w:t>
      </w:r>
      <w:r>
        <w:rPr>
          <w:szCs w:val="18"/>
        </w:rPr>
        <w:t>1 onveranderd</w:t>
      </w:r>
      <w:r w:rsidRPr="003D443B">
        <w:rPr>
          <w:szCs w:val="18"/>
        </w:rPr>
        <w:t xml:space="preserve">. </w:t>
      </w:r>
      <w:r>
        <w:rPr>
          <w:szCs w:val="18"/>
        </w:rPr>
        <w:t xml:space="preserve">Vmbo-tl is hierin met 8 procent de grootste leerweg, gevolgd door vmbo-kl (6 procent) en vmbo-bl en gl, beide leerwegen met een aandeel van 3 procent. </w:t>
      </w:r>
      <w:r w:rsidRPr="003D443B">
        <w:rPr>
          <w:szCs w:val="18"/>
        </w:rPr>
        <w:t xml:space="preserve">Jaar-op-jaar veranderingen in aandelen leerlingen naar </w:t>
      </w:r>
      <w:r>
        <w:rPr>
          <w:szCs w:val="18"/>
        </w:rPr>
        <w:t>onderwijssoort</w:t>
      </w:r>
      <w:r w:rsidRPr="003D443B">
        <w:rPr>
          <w:szCs w:val="18"/>
        </w:rPr>
        <w:t xml:space="preserve"> zijn niet hoger dan 1 procentpunt</w:t>
      </w:r>
      <w:r>
        <w:rPr>
          <w:szCs w:val="18"/>
        </w:rPr>
        <w:t xml:space="preserve"> sinds 2015/2016</w:t>
      </w:r>
      <w:r w:rsidRPr="003D443B">
        <w:rPr>
          <w:szCs w:val="18"/>
        </w:rPr>
        <w:t>.</w:t>
      </w:r>
      <w:r>
        <w:rPr>
          <w:szCs w:val="18"/>
        </w:rPr>
        <w:t xml:space="preserve"> </w:t>
      </w:r>
    </w:p>
    <w:p w:rsidR="00B52D66" w:rsidP="00B52D66" w:rsidRDefault="00B52D66" w14:paraId="4F671EE7" w14:textId="77777777">
      <w:pPr>
        <w:jc w:val="both"/>
        <w:rPr>
          <w:szCs w:val="18"/>
        </w:rPr>
      </w:pPr>
    </w:p>
    <w:p w:rsidRPr="00A45539" w:rsidR="00B52D66" w:rsidP="00B52D66" w:rsidRDefault="00B52D66" w14:paraId="42196FE4" w14:textId="77777777">
      <w:pPr>
        <w:jc w:val="both"/>
        <w:rPr>
          <w:szCs w:val="18"/>
        </w:rPr>
      </w:pPr>
    </w:p>
    <w:p w:rsidR="00B52D66" w:rsidP="00B52D66" w:rsidRDefault="00B52D66" w14:paraId="64E64DDA" w14:textId="1FEFDD78">
      <w:pPr>
        <w:pStyle w:val="Kop3"/>
        <w:jc w:val="both"/>
        <w:rPr>
          <w:szCs w:val="18"/>
        </w:rPr>
      </w:pPr>
      <w:bookmarkStart w:name="_Toc125541241" w:id="103"/>
      <w:bookmarkStart w:name="_Toc127528891" w:id="104"/>
      <w:bookmarkStart w:name="_Toc158042054" w:id="105"/>
      <w:bookmarkStart w:name="_Toc203573617" w:id="106"/>
      <w:r w:rsidRPr="00A45539">
        <w:rPr>
          <w:szCs w:val="18"/>
        </w:rPr>
        <w:t xml:space="preserve">Leerlingenaantallen van beroepsgerichte </w:t>
      </w:r>
      <w:r>
        <w:rPr>
          <w:szCs w:val="18"/>
        </w:rPr>
        <w:t>leerwegen</w:t>
      </w:r>
      <w:r w:rsidRPr="00A45539">
        <w:rPr>
          <w:szCs w:val="18"/>
        </w:rPr>
        <w:t xml:space="preserve"> per profiel</w:t>
      </w:r>
      <w:bookmarkEnd w:id="103"/>
      <w:bookmarkEnd w:id="104"/>
      <w:bookmarkEnd w:id="105"/>
      <w:bookmarkEnd w:id="106"/>
    </w:p>
    <w:p w:rsidRPr="00F82446" w:rsidR="00B52D66" w:rsidP="00B52D66" w:rsidRDefault="00B52D66" w14:paraId="72457DBB" w14:textId="77777777">
      <w:pPr>
        <w:pStyle w:val="Plattetekst"/>
        <w:jc w:val="both"/>
        <w:rPr>
          <w:lang w:eastAsia="en-US"/>
        </w:rPr>
      </w:pPr>
    </w:p>
    <w:p w:rsidRPr="00A45539" w:rsidR="00B52D66" w:rsidP="00B52D66" w:rsidRDefault="00B52D66" w14:paraId="6EF57175" w14:textId="77777777">
      <w:pPr>
        <w:jc w:val="both"/>
        <w:rPr>
          <w:szCs w:val="18"/>
        </w:rPr>
      </w:pPr>
      <w:r w:rsidRPr="00A45539">
        <w:rPr>
          <w:szCs w:val="18"/>
        </w:rPr>
        <w:t xml:space="preserve">In deze paragraaf zoomen we in op het aantal derdejaarsleerlingen per profiel </w:t>
      </w:r>
      <w:r>
        <w:rPr>
          <w:szCs w:val="18"/>
        </w:rPr>
        <w:t xml:space="preserve">in schooljaar 2023/2024 </w:t>
      </w:r>
      <w:r w:rsidRPr="00A45539">
        <w:rPr>
          <w:szCs w:val="18"/>
        </w:rPr>
        <w:t xml:space="preserve">en de verandering </w:t>
      </w:r>
      <w:r>
        <w:rPr>
          <w:szCs w:val="18"/>
        </w:rPr>
        <w:t>ten opzichte van</w:t>
      </w:r>
      <w:r w:rsidRPr="00A45539">
        <w:rPr>
          <w:szCs w:val="18"/>
        </w:rPr>
        <w:t xml:space="preserve"> 202</w:t>
      </w:r>
      <w:r>
        <w:rPr>
          <w:szCs w:val="18"/>
        </w:rPr>
        <w:t>2</w:t>
      </w:r>
      <w:r w:rsidRPr="00A45539">
        <w:rPr>
          <w:szCs w:val="18"/>
        </w:rPr>
        <w:t>/202</w:t>
      </w:r>
      <w:r>
        <w:rPr>
          <w:szCs w:val="18"/>
        </w:rPr>
        <w:t>3</w:t>
      </w:r>
      <w:r w:rsidRPr="00A45539">
        <w:rPr>
          <w:szCs w:val="18"/>
        </w:rPr>
        <w:t xml:space="preserve">. In het vervolg van dit hoofdstuk wordt de aandacht specifiek gelegd op derdejaarsleerlingen </w:t>
      </w:r>
      <w:r>
        <w:rPr>
          <w:szCs w:val="18"/>
        </w:rPr>
        <w:t>in</w:t>
      </w:r>
      <w:r w:rsidRPr="00A45539">
        <w:rPr>
          <w:szCs w:val="18"/>
        </w:rPr>
        <w:t xml:space="preserve"> de drie beroepsgerichte leerwegen in het vmbo. </w:t>
      </w:r>
      <w:r>
        <w:rPr>
          <w:szCs w:val="18"/>
        </w:rPr>
        <w:t>Tevens zijn de figuren en tabellen vanaf hier gebaseerd op gegevens van DUO.</w:t>
      </w:r>
    </w:p>
    <w:p w:rsidRPr="00A45539" w:rsidR="00B52D66" w:rsidP="00B52D66" w:rsidRDefault="00B52D66" w14:paraId="590E7F87" w14:textId="77777777">
      <w:pPr>
        <w:jc w:val="both"/>
        <w:rPr>
          <w:szCs w:val="18"/>
        </w:rPr>
      </w:pPr>
    </w:p>
    <w:p w:rsidR="00B52D66" w:rsidP="00B52D66" w:rsidRDefault="00B52D66" w14:paraId="1C3F38C9" w14:textId="3B292E1E">
      <w:pPr>
        <w:jc w:val="both"/>
        <w:rPr>
          <w:szCs w:val="18"/>
        </w:rPr>
      </w:pPr>
      <w:r>
        <w:rPr>
          <w:szCs w:val="18"/>
        </w:rPr>
        <w:t xml:space="preserve">In Tabel </w:t>
      </w:r>
      <w:r w:rsidR="00656046">
        <w:rPr>
          <w:szCs w:val="18"/>
        </w:rPr>
        <w:t>B3</w:t>
      </w:r>
      <w:r>
        <w:rPr>
          <w:szCs w:val="18"/>
        </w:rPr>
        <w:t xml:space="preserve">.1 zien we </w:t>
      </w:r>
      <w:r w:rsidRPr="00A45539">
        <w:rPr>
          <w:szCs w:val="18"/>
        </w:rPr>
        <w:t xml:space="preserve">een </w:t>
      </w:r>
      <w:r>
        <w:rPr>
          <w:szCs w:val="18"/>
        </w:rPr>
        <w:t>afname van</w:t>
      </w:r>
      <w:r w:rsidRPr="00A45539">
        <w:rPr>
          <w:szCs w:val="18"/>
        </w:rPr>
        <w:t xml:space="preserve"> het totaal aantal derdejaarsleerlingen</w:t>
      </w:r>
      <w:r>
        <w:rPr>
          <w:szCs w:val="18"/>
        </w:rPr>
        <w:t xml:space="preserve"> in een beroepsgerichte leerweg met 2,5 procent</w:t>
      </w:r>
      <w:r w:rsidRPr="00A45539">
        <w:rPr>
          <w:szCs w:val="18"/>
        </w:rPr>
        <w:t xml:space="preserve"> tussen 202</w:t>
      </w:r>
      <w:r>
        <w:rPr>
          <w:szCs w:val="18"/>
        </w:rPr>
        <w:t>2</w:t>
      </w:r>
      <w:r w:rsidRPr="00A45539">
        <w:rPr>
          <w:szCs w:val="18"/>
        </w:rPr>
        <w:t>/202</w:t>
      </w:r>
      <w:r>
        <w:rPr>
          <w:szCs w:val="18"/>
        </w:rPr>
        <w:t>3</w:t>
      </w:r>
      <w:r w:rsidRPr="00A45539">
        <w:rPr>
          <w:szCs w:val="18"/>
        </w:rPr>
        <w:t xml:space="preserve"> en 202</w:t>
      </w:r>
      <w:r>
        <w:rPr>
          <w:szCs w:val="18"/>
        </w:rPr>
        <w:t>3</w:t>
      </w:r>
      <w:r w:rsidRPr="00A45539">
        <w:rPr>
          <w:szCs w:val="18"/>
        </w:rPr>
        <w:t>/202</w:t>
      </w:r>
      <w:r>
        <w:rPr>
          <w:szCs w:val="18"/>
        </w:rPr>
        <w:t>4</w:t>
      </w:r>
      <w:r w:rsidRPr="00A45539">
        <w:rPr>
          <w:szCs w:val="18"/>
        </w:rPr>
        <w:t xml:space="preserve">. Geanalyseerd naar leerwegen daalt het aantal leerlingen </w:t>
      </w:r>
      <w:r>
        <w:rPr>
          <w:szCs w:val="18"/>
        </w:rPr>
        <w:t xml:space="preserve">in alle drie de leerwegen: in de bl het meest met 3,1 procent, gevolgd door de kl met 2,6 procent en de gl met 1,7 procent. Als we kijken naar technische versus niet-technische profielen zien we een grotere afname in het aantal leerlingen in de technische profielen. Van de in totaal 60.418 leerlingen volgden 12.160 leerlingen een technisch profiel in het schooljaar 2023/2024, ofwel 20 procent. </w:t>
      </w:r>
    </w:p>
    <w:p w:rsidRPr="00A45539" w:rsidR="00B52D66" w:rsidP="00B52D66" w:rsidRDefault="00B52D66" w14:paraId="40722939" w14:textId="77777777">
      <w:pPr>
        <w:jc w:val="both"/>
        <w:rPr>
          <w:szCs w:val="18"/>
        </w:rPr>
      </w:pPr>
    </w:p>
    <w:p w:rsidRPr="00A45539" w:rsidR="00B52D66" w:rsidP="00B52D66" w:rsidRDefault="00B52D66" w14:paraId="76A43E01" w14:textId="77777777">
      <w:pPr>
        <w:jc w:val="both"/>
        <w:rPr>
          <w:szCs w:val="18"/>
        </w:rPr>
      </w:pPr>
      <w:r>
        <w:rPr>
          <w:szCs w:val="18"/>
        </w:rPr>
        <w:t>Binnen de</w:t>
      </w:r>
      <w:r w:rsidRPr="00A45539">
        <w:rPr>
          <w:szCs w:val="18"/>
        </w:rPr>
        <w:t xml:space="preserve"> </w:t>
      </w:r>
      <w:r>
        <w:rPr>
          <w:szCs w:val="18"/>
        </w:rPr>
        <w:t xml:space="preserve">technische </w:t>
      </w:r>
      <w:r w:rsidRPr="00A45539">
        <w:rPr>
          <w:szCs w:val="18"/>
        </w:rPr>
        <w:t>profiel</w:t>
      </w:r>
      <w:r>
        <w:rPr>
          <w:szCs w:val="18"/>
        </w:rPr>
        <w:t>en is</w:t>
      </w:r>
      <w:r w:rsidRPr="00A45539">
        <w:rPr>
          <w:szCs w:val="18"/>
        </w:rPr>
        <w:t xml:space="preserve"> de kl de grootste</w:t>
      </w:r>
      <w:r>
        <w:rPr>
          <w:szCs w:val="18"/>
        </w:rPr>
        <w:t xml:space="preserve"> leerweg</w:t>
      </w:r>
      <w:r w:rsidRPr="00A45539">
        <w:rPr>
          <w:szCs w:val="18"/>
        </w:rPr>
        <w:t xml:space="preserve">, gevolgd door de </w:t>
      </w:r>
      <w:r>
        <w:rPr>
          <w:szCs w:val="18"/>
        </w:rPr>
        <w:t>bl</w:t>
      </w:r>
      <w:r w:rsidRPr="00A45539">
        <w:rPr>
          <w:szCs w:val="18"/>
        </w:rPr>
        <w:t xml:space="preserve"> en </w:t>
      </w:r>
      <w:r>
        <w:rPr>
          <w:szCs w:val="18"/>
        </w:rPr>
        <w:t>gl</w:t>
      </w:r>
      <w:r w:rsidRPr="00A45539">
        <w:rPr>
          <w:szCs w:val="18"/>
        </w:rPr>
        <w:t xml:space="preserve">. Het aantal techniekleerlingen groeit </w:t>
      </w:r>
      <w:r>
        <w:rPr>
          <w:szCs w:val="18"/>
        </w:rPr>
        <w:t xml:space="preserve">alleen </w:t>
      </w:r>
      <w:r w:rsidRPr="00A45539">
        <w:rPr>
          <w:szCs w:val="18"/>
        </w:rPr>
        <w:t>in de gl</w:t>
      </w:r>
      <w:r>
        <w:rPr>
          <w:szCs w:val="18"/>
        </w:rPr>
        <w:t>, namelijk</w:t>
      </w:r>
      <w:r w:rsidRPr="00A45539">
        <w:rPr>
          <w:szCs w:val="18"/>
        </w:rPr>
        <w:t xml:space="preserve"> met </w:t>
      </w:r>
      <w:r>
        <w:rPr>
          <w:szCs w:val="18"/>
        </w:rPr>
        <w:t>3,9</w:t>
      </w:r>
      <w:r w:rsidRPr="00A45539">
        <w:rPr>
          <w:szCs w:val="18"/>
        </w:rPr>
        <w:t xml:space="preserve"> procent ten opzichte van schooljaar 202</w:t>
      </w:r>
      <w:r>
        <w:rPr>
          <w:szCs w:val="18"/>
        </w:rPr>
        <w:t>2</w:t>
      </w:r>
      <w:r w:rsidRPr="00A45539">
        <w:rPr>
          <w:szCs w:val="18"/>
        </w:rPr>
        <w:t>/202</w:t>
      </w:r>
      <w:r>
        <w:rPr>
          <w:szCs w:val="18"/>
        </w:rPr>
        <w:t>3. Dit is met name te herleiden door een toename in het aantal leerlingen in het profiel MVI</w:t>
      </w:r>
      <w:r w:rsidRPr="00A45539">
        <w:rPr>
          <w:szCs w:val="18"/>
        </w:rPr>
        <w:t xml:space="preserve"> (+</w:t>
      </w:r>
      <w:r>
        <w:rPr>
          <w:szCs w:val="18"/>
        </w:rPr>
        <w:t>2</w:t>
      </w:r>
      <w:r w:rsidRPr="00A45539">
        <w:rPr>
          <w:szCs w:val="18"/>
        </w:rPr>
        <w:t xml:space="preserve">8,2 procent). </w:t>
      </w:r>
      <w:r>
        <w:rPr>
          <w:szCs w:val="18"/>
        </w:rPr>
        <w:t>Het merendeel van de technische profielen heeft echter te maken met een afname in het aantal leerlingen tussen 2022</w:t>
      </w:r>
      <w:r w:rsidRPr="00A45539">
        <w:rPr>
          <w:szCs w:val="18"/>
        </w:rPr>
        <w:t>/202</w:t>
      </w:r>
      <w:r>
        <w:rPr>
          <w:szCs w:val="18"/>
        </w:rPr>
        <w:t>3</w:t>
      </w:r>
      <w:r w:rsidRPr="00A45539">
        <w:rPr>
          <w:szCs w:val="18"/>
        </w:rPr>
        <w:t xml:space="preserve"> en 202</w:t>
      </w:r>
      <w:r>
        <w:rPr>
          <w:szCs w:val="18"/>
        </w:rPr>
        <w:t>3</w:t>
      </w:r>
      <w:r w:rsidRPr="00A45539">
        <w:rPr>
          <w:szCs w:val="18"/>
        </w:rPr>
        <w:t>/202</w:t>
      </w:r>
      <w:r>
        <w:rPr>
          <w:szCs w:val="18"/>
        </w:rPr>
        <w:t>4</w:t>
      </w:r>
      <w:r w:rsidRPr="00A45539">
        <w:rPr>
          <w:szCs w:val="18"/>
        </w:rPr>
        <w:t xml:space="preserve">. </w:t>
      </w:r>
      <w:r>
        <w:rPr>
          <w:szCs w:val="18"/>
        </w:rPr>
        <w:t xml:space="preserve">Ook bij de niet-technische profielen daalde het leerlingenaantal en dan met name in de profielen D&amp;P, E&amp;O en Z&amp;W, terwijl het leerlingaantal juist steeg in Groen en HBR. </w:t>
      </w:r>
      <w:r w:rsidRPr="00A45539">
        <w:rPr>
          <w:szCs w:val="18"/>
        </w:rPr>
        <w:t>Bij MaT dient rekening te worden gehouden met het kleine aantal derdejaarsleerlingen</w:t>
      </w:r>
      <w:r>
        <w:rPr>
          <w:szCs w:val="18"/>
        </w:rPr>
        <w:t>;</w:t>
      </w:r>
      <w:r w:rsidRPr="00A45539">
        <w:rPr>
          <w:szCs w:val="18"/>
        </w:rPr>
        <w:t xml:space="preserve"> een kleine verandering in het aantal leerlingen leidt tot een grote relatieve verandering.</w:t>
      </w:r>
    </w:p>
    <w:p w:rsidRPr="00A45539" w:rsidR="00B52D66" w:rsidP="00B52D66" w:rsidRDefault="00B52D66" w14:paraId="15EBA573" w14:textId="77777777">
      <w:pPr>
        <w:rPr>
          <w:szCs w:val="18"/>
        </w:rPr>
      </w:pPr>
    </w:p>
    <w:p w:rsidRPr="00F75D9D" w:rsidR="00B52D66" w:rsidP="00B52D66" w:rsidRDefault="00B52D66" w14:paraId="0C36F4A3" w14:textId="35DB1A21">
      <w:pPr>
        <w:pStyle w:val="Bijschrift"/>
      </w:pPr>
      <w:r w:rsidRPr="00F75D9D">
        <w:lastRenderedPageBreak/>
        <w:t xml:space="preserve">TABEL </w:t>
      </w:r>
      <w:r w:rsidR="00152A16">
        <w:t>B3</w:t>
      </w:r>
      <w:r>
        <w:t>.</w:t>
      </w:r>
      <w:r w:rsidRPr="00F75D9D">
        <w:t xml:space="preserve">1 </w:t>
      </w:r>
      <w:r>
        <w:tab/>
      </w:r>
      <w:r w:rsidRPr="00F75D9D">
        <w:t>Aantal derdejaarsleerlingen per profiel: schooljaar 202</w:t>
      </w:r>
      <w:r>
        <w:t>3</w:t>
      </w:r>
      <w:r w:rsidRPr="00F75D9D">
        <w:t>/202</w:t>
      </w:r>
      <w:r>
        <w:t>4</w:t>
      </w:r>
      <w:r w:rsidRPr="00F75D9D">
        <w:t xml:space="preserve"> en verandering t.o.v. schooljaar 202</w:t>
      </w:r>
      <w:r>
        <w:t>2</w:t>
      </w:r>
      <w:r w:rsidRPr="00F75D9D">
        <w:t>/202</w:t>
      </w:r>
      <w:r>
        <w:t>3</w:t>
      </w:r>
    </w:p>
    <w:tbl>
      <w:tblPr>
        <w:tblW w:w="0" w:type="auto"/>
        <w:tblLayout w:type="fixed"/>
        <w:tblLook w:val="04A0" w:firstRow="1" w:lastRow="0" w:firstColumn="1" w:lastColumn="0" w:noHBand="0" w:noVBand="1"/>
      </w:tblPr>
      <w:tblGrid>
        <w:gridCol w:w="1418"/>
        <w:gridCol w:w="1276"/>
        <w:gridCol w:w="850"/>
        <w:gridCol w:w="1276"/>
        <w:gridCol w:w="740"/>
        <w:gridCol w:w="1069"/>
        <w:gridCol w:w="884"/>
        <w:gridCol w:w="1134"/>
        <w:gridCol w:w="713"/>
      </w:tblGrid>
      <w:tr w:rsidRPr="00E76941" w:rsidR="00B52D66" w:rsidTr="00FC2172" w14:paraId="476B38E8" w14:textId="77777777">
        <w:trPr>
          <w:trHeight w:val="290"/>
        </w:trPr>
        <w:tc>
          <w:tcPr>
            <w:tcW w:w="1418" w:type="dxa"/>
            <w:tcBorders>
              <w:top w:val="single" w:color="auto" w:sz="4" w:space="0"/>
              <w:left w:val="nil"/>
              <w:bottom w:val="single" w:color="auto" w:sz="4" w:space="0"/>
              <w:right w:val="nil"/>
            </w:tcBorders>
            <w:noWrap/>
            <w:hideMark/>
          </w:tcPr>
          <w:p w:rsidRPr="008C0C61" w:rsidR="00B52D66" w:rsidP="00FC2172" w:rsidRDefault="00B52D66" w14:paraId="3353CC1C" w14:textId="77777777">
            <w:pPr>
              <w:spacing w:line="240" w:lineRule="auto"/>
              <w:jc w:val="center"/>
              <w:rPr>
                <w:rFonts w:cs="Calibri"/>
                <w:szCs w:val="18"/>
                <w:lang w:eastAsia="en-GB"/>
              </w:rPr>
            </w:pPr>
            <w:r w:rsidRPr="008C0C61">
              <w:rPr>
                <w:rFonts w:cs="Calibri"/>
                <w:szCs w:val="18"/>
                <w:lang w:eastAsia="en-GB"/>
              </w:rPr>
              <w:t> </w:t>
            </w:r>
          </w:p>
        </w:tc>
        <w:tc>
          <w:tcPr>
            <w:tcW w:w="1276" w:type="dxa"/>
            <w:tcBorders>
              <w:top w:val="single" w:color="auto" w:sz="4" w:space="0"/>
              <w:left w:val="nil"/>
              <w:bottom w:val="single" w:color="auto" w:sz="4" w:space="0"/>
              <w:right w:val="nil"/>
            </w:tcBorders>
            <w:noWrap/>
            <w:hideMark/>
          </w:tcPr>
          <w:p w:rsidRPr="00E76941" w:rsidR="00B52D66" w:rsidP="00FC2172" w:rsidRDefault="00B52D66" w14:paraId="30CA1F2C" w14:textId="77777777">
            <w:pPr>
              <w:spacing w:line="240" w:lineRule="auto"/>
              <w:jc w:val="right"/>
              <w:rPr>
                <w:rFonts w:cs="Calibri"/>
                <w:szCs w:val="18"/>
                <w:lang w:val="en-GB" w:eastAsia="en-GB"/>
              </w:rPr>
            </w:pPr>
            <w:r w:rsidRPr="008C0C61">
              <w:rPr>
                <w:rFonts w:cs="Calibri"/>
                <w:szCs w:val="18"/>
                <w:lang w:eastAsia="en-GB"/>
              </w:rPr>
              <w:t xml:space="preserve"> </w:t>
            </w:r>
            <w:r w:rsidRPr="00E76941">
              <w:rPr>
                <w:rFonts w:cs="Calibri"/>
                <w:szCs w:val="18"/>
                <w:lang w:val="en-GB" w:eastAsia="en-GB"/>
              </w:rPr>
              <w:t xml:space="preserve">Vmbo bl </w:t>
            </w:r>
          </w:p>
        </w:tc>
        <w:tc>
          <w:tcPr>
            <w:tcW w:w="850" w:type="dxa"/>
            <w:tcBorders>
              <w:top w:val="single" w:color="auto" w:sz="4" w:space="0"/>
              <w:left w:val="nil"/>
              <w:bottom w:val="single" w:color="auto" w:sz="4" w:space="0"/>
              <w:right w:val="nil"/>
            </w:tcBorders>
            <w:hideMark/>
          </w:tcPr>
          <w:p w:rsidRPr="00E76941" w:rsidR="00B52D66" w:rsidP="00FC2172" w:rsidRDefault="00B52D66" w14:paraId="551A9C05" w14:textId="77777777">
            <w:pPr>
              <w:spacing w:line="240" w:lineRule="auto"/>
              <w:jc w:val="right"/>
              <w:rPr>
                <w:rFonts w:cs="Calibri"/>
                <w:szCs w:val="18"/>
                <w:lang w:val="en-GB" w:eastAsia="en-GB"/>
              </w:rPr>
            </w:pPr>
            <w:r w:rsidRPr="00E76941">
              <w:rPr>
                <w:rFonts w:cs="Calibri"/>
                <w:szCs w:val="18"/>
                <w:lang w:val="en-GB" w:eastAsia="en-GB"/>
              </w:rPr>
              <w:t xml:space="preserve"> ∆% </w:t>
            </w:r>
          </w:p>
        </w:tc>
        <w:tc>
          <w:tcPr>
            <w:tcW w:w="1276" w:type="dxa"/>
            <w:tcBorders>
              <w:top w:val="single" w:color="auto" w:sz="4" w:space="0"/>
              <w:left w:val="nil"/>
              <w:bottom w:val="single" w:color="auto" w:sz="4" w:space="0"/>
              <w:right w:val="nil"/>
            </w:tcBorders>
            <w:noWrap/>
            <w:hideMark/>
          </w:tcPr>
          <w:p w:rsidRPr="00E76941" w:rsidR="00B52D66" w:rsidP="00FC2172" w:rsidRDefault="00B52D66" w14:paraId="78E05F21" w14:textId="77777777">
            <w:pPr>
              <w:spacing w:line="240" w:lineRule="auto"/>
              <w:jc w:val="right"/>
              <w:rPr>
                <w:rFonts w:cs="Calibri"/>
                <w:szCs w:val="18"/>
                <w:lang w:val="en-GB" w:eastAsia="en-GB"/>
              </w:rPr>
            </w:pPr>
            <w:r w:rsidRPr="00E76941">
              <w:rPr>
                <w:rFonts w:cs="Calibri"/>
                <w:szCs w:val="18"/>
                <w:lang w:val="en-GB" w:eastAsia="en-GB"/>
              </w:rPr>
              <w:t xml:space="preserve"> Vmbo kl </w:t>
            </w:r>
          </w:p>
        </w:tc>
        <w:tc>
          <w:tcPr>
            <w:tcW w:w="740" w:type="dxa"/>
            <w:tcBorders>
              <w:top w:val="single" w:color="auto" w:sz="4" w:space="0"/>
              <w:left w:val="nil"/>
              <w:bottom w:val="single" w:color="auto" w:sz="4" w:space="0"/>
              <w:right w:val="nil"/>
            </w:tcBorders>
            <w:hideMark/>
          </w:tcPr>
          <w:p w:rsidRPr="00E76941" w:rsidR="00B52D66" w:rsidP="00FC2172" w:rsidRDefault="00B52D66" w14:paraId="52AE63BB" w14:textId="77777777">
            <w:pPr>
              <w:spacing w:line="240" w:lineRule="auto"/>
              <w:jc w:val="right"/>
              <w:rPr>
                <w:rFonts w:cs="Calibri"/>
                <w:szCs w:val="18"/>
                <w:lang w:val="en-GB" w:eastAsia="en-GB"/>
              </w:rPr>
            </w:pPr>
            <w:r w:rsidRPr="00E76941">
              <w:rPr>
                <w:rFonts w:cs="Calibri"/>
                <w:szCs w:val="18"/>
                <w:lang w:val="en-GB" w:eastAsia="en-GB"/>
              </w:rPr>
              <w:t xml:space="preserve"> ∆% </w:t>
            </w:r>
          </w:p>
        </w:tc>
        <w:tc>
          <w:tcPr>
            <w:tcW w:w="1069" w:type="dxa"/>
            <w:tcBorders>
              <w:top w:val="single" w:color="auto" w:sz="4" w:space="0"/>
              <w:left w:val="nil"/>
              <w:bottom w:val="single" w:color="auto" w:sz="4" w:space="0"/>
              <w:right w:val="nil"/>
            </w:tcBorders>
            <w:noWrap/>
            <w:hideMark/>
          </w:tcPr>
          <w:p w:rsidRPr="00E76941" w:rsidR="00B52D66" w:rsidP="00FC2172" w:rsidRDefault="00B52D66" w14:paraId="0734E8C2" w14:textId="77777777">
            <w:pPr>
              <w:spacing w:line="240" w:lineRule="auto"/>
              <w:jc w:val="right"/>
              <w:rPr>
                <w:rFonts w:cs="Calibri"/>
                <w:szCs w:val="18"/>
                <w:lang w:val="en-GB" w:eastAsia="en-GB"/>
              </w:rPr>
            </w:pPr>
            <w:r w:rsidRPr="00E76941">
              <w:rPr>
                <w:rFonts w:cs="Calibri"/>
                <w:szCs w:val="18"/>
                <w:lang w:val="en-GB" w:eastAsia="en-GB"/>
              </w:rPr>
              <w:t xml:space="preserve"> Vmbo gl </w:t>
            </w:r>
          </w:p>
        </w:tc>
        <w:tc>
          <w:tcPr>
            <w:tcW w:w="884" w:type="dxa"/>
            <w:tcBorders>
              <w:top w:val="single" w:color="auto" w:sz="4" w:space="0"/>
              <w:left w:val="nil"/>
              <w:bottom w:val="single" w:color="auto" w:sz="4" w:space="0"/>
              <w:right w:val="nil"/>
            </w:tcBorders>
            <w:hideMark/>
          </w:tcPr>
          <w:p w:rsidRPr="00E76941" w:rsidR="00B52D66" w:rsidP="00FC2172" w:rsidRDefault="00B52D66" w14:paraId="13D21C91" w14:textId="77777777">
            <w:pPr>
              <w:spacing w:line="240" w:lineRule="auto"/>
              <w:jc w:val="right"/>
              <w:rPr>
                <w:rFonts w:cs="Calibri"/>
                <w:szCs w:val="18"/>
                <w:lang w:val="en-GB" w:eastAsia="en-GB"/>
              </w:rPr>
            </w:pPr>
            <w:r w:rsidRPr="00E76941">
              <w:rPr>
                <w:rFonts w:cs="Calibri"/>
                <w:szCs w:val="18"/>
                <w:lang w:val="en-GB" w:eastAsia="en-GB"/>
              </w:rPr>
              <w:t xml:space="preserve"> ∆% </w:t>
            </w:r>
          </w:p>
        </w:tc>
        <w:tc>
          <w:tcPr>
            <w:tcW w:w="1134" w:type="dxa"/>
            <w:tcBorders>
              <w:top w:val="single" w:color="auto" w:sz="4" w:space="0"/>
              <w:left w:val="nil"/>
              <w:bottom w:val="single" w:color="auto" w:sz="4" w:space="0"/>
              <w:right w:val="nil"/>
            </w:tcBorders>
            <w:noWrap/>
            <w:hideMark/>
          </w:tcPr>
          <w:p w:rsidRPr="00E76941" w:rsidR="00B52D66" w:rsidP="00FC2172" w:rsidRDefault="00B52D66" w14:paraId="7E9EA217" w14:textId="77777777">
            <w:pPr>
              <w:spacing w:line="240" w:lineRule="auto"/>
              <w:jc w:val="right"/>
              <w:rPr>
                <w:rFonts w:cs="Calibri"/>
                <w:szCs w:val="18"/>
                <w:lang w:val="en-GB" w:eastAsia="en-GB"/>
              </w:rPr>
            </w:pPr>
            <w:r w:rsidRPr="00E76941">
              <w:rPr>
                <w:rFonts w:cs="Calibri"/>
                <w:szCs w:val="18"/>
                <w:lang w:val="en-GB" w:eastAsia="en-GB"/>
              </w:rPr>
              <w:t xml:space="preserve"> Totaal </w:t>
            </w:r>
          </w:p>
        </w:tc>
        <w:tc>
          <w:tcPr>
            <w:tcW w:w="713" w:type="dxa"/>
            <w:tcBorders>
              <w:top w:val="single" w:color="auto" w:sz="4" w:space="0"/>
              <w:left w:val="nil"/>
              <w:bottom w:val="single" w:color="auto" w:sz="4" w:space="0"/>
              <w:right w:val="nil"/>
            </w:tcBorders>
            <w:hideMark/>
          </w:tcPr>
          <w:p w:rsidRPr="00E76941" w:rsidR="00B52D66" w:rsidP="00FC2172" w:rsidRDefault="00B52D66" w14:paraId="26BD4E22" w14:textId="77777777">
            <w:pPr>
              <w:spacing w:line="240" w:lineRule="auto"/>
              <w:jc w:val="right"/>
              <w:rPr>
                <w:rFonts w:cs="Calibri"/>
                <w:szCs w:val="18"/>
                <w:lang w:val="en-GB" w:eastAsia="en-GB"/>
              </w:rPr>
            </w:pPr>
            <w:r w:rsidRPr="00E76941">
              <w:rPr>
                <w:rFonts w:cs="Calibri"/>
                <w:szCs w:val="18"/>
                <w:lang w:val="en-GB" w:eastAsia="en-GB"/>
              </w:rPr>
              <w:t xml:space="preserve"> ∆% </w:t>
            </w:r>
          </w:p>
        </w:tc>
      </w:tr>
      <w:tr w:rsidRPr="00E76941" w:rsidR="00B52D66" w:rsidTr="00FC2172" w14:paraId="6F67299A" w14:textId="77777777">
        <w:trPr>
          <w:trHeight w:val="290"/>
        </w:trPr>
        <w:tc>
          <w:tcPr>
            <w:tcW w:w="1418" w:type="dxa"/>
            <w:tcBorders>
              <w:top w:val="nil"/>
              <w:left w:val="nil"/>
              <w:bottom w:val="nil"/>
              <w:right w:val="nil"/>
            </w:tcBorders>
            <w:noWrap/>
            <w:hideMark/>
          </w:tcPr>
          <w:p w:rsidRPr="00E76941" w:rsidR="00B52D66" w:rsidP="00FC2172" w:rsidRDefault="00B52D66" w14:paraId="7772EBDA" w14:textId="77777777">
            <w:pPr>
              <w:spacing w:line="240" w:lineRule="auto"/>
              <w:rPr>
                <w:rFonts w:cs="Calibri"/>
                <w:i/>
                <w:iCs/>
                <w:szCs w:val="18"/>
                <w:lang w:val="en-GB" w:eastAsia="en-GB"/>
              </w:rPr>
            </w:pPr>
            <w:r w:rsidRPr="00E76941">
              <w:rPr>
                <w:rFonts w:cs="Calibri"/>
                <w:i/>
                <w:iCs/>
                <w:szCs w:val="18"/>
                <w:lang w:val="en-GB" w:eastAsia="en-GB"/>
              </w:rPr>
              <w:t>Techniek</w:t>
            </w:r>
          </w:p>
        </w:tc>
        <w:tc>
          <w:tcPr>
            <w:tcW w:w="1276" w:type="dxa"/>
            <w:tcBorders>
              <w:top w:val="nil"/>
              <w:left w:val="nil"/>
              <w:bottom w:val="nil"/>
              <w:right w:val="nil"/>
            </w:tcBorders>
            <w:noWrap/>
            <w:hideMark/>
          </w:tcPr>
          <w:p w:rsidRPr="00E76941" w:rsidR="00B52D66" w:rsidP="00FC2172" w:rsidRDefault="00B52D66" w14:paraId="0ECF06A8" w14:textId="77777777">
            <w:pPr>
              <w:spacing w:line="240" w:lineRule="auto"/>
              <w:jc w:val="right"/>
              <w:rPr>
                <w:rFonts w:cs="Calibri"/>
                <w:i/>
                <w:iCs/>
                <w:szCs w:val="18"/>
                <w:lang w:val="en-GB" w:eastAsia="en-GB"/>
              </w:rPr>
            </w:pPr>
            <w:r w:rsidRPr="00E76941">
              <w:rPr>
                <w:rFonts w:cs="Calibri"/>
                <w:i/>
                <w:iCs/>
                <w:szCs w:val="18"/>
                <w:lang w:val="en-GB" w:eastAsia="en-GB"/>
              </w:rPr>
              <w:t xml:space="preserve">3.752 </w:t>
            </w:r>
          </w:p>
        </w:tc>
        <w:tc>
          <w:tcPr>
            <w:tcW w:w="850" w:type="dxa"/>
            <w:tcBorders>
              <w:top w:val="nil"/>
              <w:left w:val="nil"/>
              <w:bottom w:val="nil"/>
              <w:right w:val="nil"/>
            </w:tcBorders>
            <w:noWrap/>
            <w:hideMark/>
          </w:tcPr>
          <w:p w:rsidRPr="00E76941" w:rsidR="00B52D66" w:rsidP="00FC2172" w:rsidRDefault="00B52D66" w14:paraId="373F0345" w14:textId="77777777">
            <w:pPr>
              <w:spacing w:line="240" w:lineRule="auto"/>
              <w:jc w:val="right"/>
              <w:rPr>
                <w:rFonts w:cs="Calibri"/>
                <w:i/>
                <w:iCs/>
                <w:szCs w:val="18"/>
                <w:lang w:val="en-GB" w:eastAsia="en-GB"/>
              </w:rPr>
            </w:pPr>
            <w:r w:rsidRPr="00E76941">
              <w:rPr>
                <w:rFonts w:cs="Calibri"/>
                <w:i/>
                <w:iCs/>
                <w:szCs w:val="18"/>
                <w:lang w:val="en-GB" w:eastAsia="en-GB"/>
              </w:rPr>
              <w:t xml:space="preserve">-7,2 </w:t>
            </w:r>
          </w:p>
        </w:tc>
        <w:tc>
          <w:tcPr>
            <w:tcW w:w="1276" w:type="dxa"/>
            <w:tcBorders>
              <w:top w:val="nil"/>
              <w:left w:val="nil"/>
              <w:bottom w:val="nil"/>
              <w:right w:val="nil"/>
            </w:tcBorders>
            <w:noWrap/>
            <w:hideMark/>
          </w:tcPr>
          <w:p w:rsidRPr="00E76941" w:rsidR="00B52D66" w:rsidP="00FC2172" w:rsidRDefault="00B52D66" w14:paraId="076D364D" w14:textId="77777777">
            <w:pPr>
              <w:spacing w:line="240" w:lineRule="auto"/>
              <w:jc w:val="right"/>
              <w:rPr>
                <w:rFonts w:cs="Calibri"/>
                <w:i/>
                <w:iCs/>
                <w:szCs w:val="18"/>
                <w:lang w:val="en-GB" w:eastAsia="en-GB"/>
              </w:rPr>
            </w:pPr>
            <w:r w:rsidRPr="00E76941">
              <w:rPr>
                <w:rFonts w:cs="Calibri"/>
                <w:i/>
                <w:iCs/>
                <w:szCs w:val="18"/>
                <w:lang w:val="en-GB" w:eastAsia="en-GB"/>
              </w:rPr>
              <w:t xml:space="preserve">6.445 </w:t>
            </w:r>
          </w:p>
        </w:tc>
        <w:tc>
          <w:tcPr>
            <w:tcW w:w="740" w:type="dxa"/>
            <w:tcBorders>
              <w:top w:val="nil"/>
              <w:left w:val="nil"/>
              <w:bottom w:val="nil"/>
              <w:right w:val="nil"/>
            </w:tcBorders>
            <w:noWrap/>
            <w:hideMark/>
          </w:tcPr>
          <w:p w:rsidRPr="00E76941" w:rsidR="00B52D66" w:rsidP="00FC2172" w:rsidRDefault="00B52D66" w14:paraId="03C8DF59" w14:textId="77777777">
            <w:pPr>
              <w:spacing w:line="240" w:lineRule="auto"/>
              <w:jc w:val="right"/>
              <w:rPr>
                <w:rFonts w:cs="Calibri"/>
                <w:i/>
                <w:iCs/>
                <w:szCs w:val="18"/>
                <w:lang w:val="en-GB" w:eastAsia="en-GB"/>
              </w:rPr>
            </w:pPr>
            <w:r w:rsidRPr="00E76941">
              <w:rPr>
                <w:rFonts w:cs="Calibri"/>
                <w:i/>
                <w:iCs/>
                <w:szCs w:val="18"/>
                <w:lang w:val="en-GB" w:eastAsia="en-GB"/>
              </w:rPr>
              <w:t xml:space="preserve">-2,5 </w:t>
            </w:r>
          </w:p>
        </w:tc>
        <w:tc>
          <w:tcPr>
            <w:tcW w:w="1069" w:type="dxa"/>
            <w:tcBorders>
              <w:top w:val="nil"/>
              <w:left w:val="nil"/>
              <w:bottom w:val="nil"/>
              <w:right w:val="nil"/>
            </w:tcBorders>
            <w:noWrap/>
            <w:hideMark/>
          </w:tcPr>
          <w:p w:rsidRPr="00E76941" w:rsidR="00B52D66" w:rsidP="00FC2172" w:rsidRDefault="00B52D66" w14:paraId="4C2D15B9" w14:textId="77777777">
            <w:pPr>
              <w:spacing w:line="240" w:lineRule="auto"/>
              <w:jc w:val="right"/>
              <w:rPr>
                <w:rFonts w:cs="Calibri"/>
                <w:i/>
                <w:iCs/>
                <w:szCs w:val="18"/>
                <w:lang w:val="en-GB" w:eastAsia="en-GB"/>
              </w:rPr>
            </w:pPr>
            <w:r w:rsidRPr="00E76941">
              <w:rPr>
                <w:rFonts w:cs="Calibri"/>
                <w:i/>
                <w:iCs/>
                <w:szCs w:val="18"/>
                <w:lang w:val="en-GB" w:eastAsia="en-GB"/>
              </w:rPr>
              <w:t xml:space="preserve">1.963 </w:t>
            </w:r>
          </w:p>
        </w:tc>
        <w:tc>
          <w:tcPr>
            <w:tcW w:w="884" w:type="dxa"/>
            <w:tcBorders>
              <w:top w:val="nil"/>
              <w:left w:val="nil"/>
              <w:bottom w:val="nil"/>
              <w:right w:val="nil"/>
            </w:tcBorders>
            <w:noWrap/>
            <w:hideMark/>
          </w:tcPr>
          <w:p w:rsidRPr="00E76941" w:rsidR="00B52D66" w:rsidP="00FC2172" w:rsidRDefault="00B52D66" w14:paraId="78A7437A" w14:textId="77777777">
            <w:pPr>
              <w:spacing w:line="240" w:lineRule="auto"/>
              <w:jc w:val="right"/>
              <w:rPr>
                <w:rFonts w:cs="Calibri"/>
                <w:i/>
                <w:iCs/>
                <w:szCs w:val="18"/>
                <w:lang w:val="en-GB" w:eastAsia="en-GB"/>
              </w:rPr>
            </w:pPr>
            <w:r w:rsidRPr="00E76941">
              <w:rPr>
                <w:rFonts w:cs="Calibri"/>
                <w:i/>
                <w:iCs/>
                <w:szCs w:val="18"/>
                <w:lang w:val="en-GB" w:eastAsia="en-GB"/>
              </w:rPr>
              <w:t xml:space="preserve">3,9 </w:t>
            </w:r>
          </w:p>
        </w:tc>
        <w:tc>
          <w:tcPr>
            <w:tcW w:w="1134" w:type="dxa"/>
            <w:tcBorders>
              <w:top w:val="nil"/>
              <w:left w:val="nil"/>
              <w:bottom w:val="nil"/>
              <w:right w:val="nil"/>
            </w:tcBorders>
            <w:noWrap/>
            <w:hideMark/>
          </w:tcPr>
          <w:p w:rsidRPr="00E76941" w:rsidR="00B52D66" w:rsidP="00FC2172" w:rsidRDefault="00B52D66" w14:paraId="43D4A764" w14:textId="77777777">
            <w:pPr>
              <w:spacing w:line="240" w:lineRule="auto"/>
              <w:jc w:val="right"/>
              <w:rPr>
                <w:rFonts w:cs="Calibri"/>
                <w:i/>
                <w:iCs/>
                <w:szCs w:val="18"/>
                <w:lang w:val="en-GB" w:eastAsia="en-GB"/>
              </w:rPr>
            </w:pPr>
            <w:r w:rsidRPr="00E76941">
              <w:rPr>
                <w:rFonts w:cs="Calibri"/>
                <w:i/>
                <w:iCs/>
                <w:szCs w:val="18"/>
                <w:lang w:val="en-GB" w:eastAsia="en-GB"/>
              </w:rPr>
              <w:t xml:space="preserve">12.160 </w:t>
            </w:r>
          </w:p>
        </w:tc>
        <w:tc>
          <w:tcPr>
            <w:tcW w:w="713" w:type="dxa"/>
            <w:tcBorders>
              <w:top w:val="nil"/>
              <w:left w:val="nil"/>
              <w:bottom w:val="nil"/>
              <w:right w:val="nil"/>
            </w:tcBorders>
            <w:noWrap/>
            <w:hideMark/>
          </w:tcPr>
          <w:p w:rsidRPr="00E76941" w:rsidR="00B52D66" w:rsidP="00FC2172" w:rsidRDefault="00B52D66" w14:paraId="50267BC6" w14:textId="77777777">
            <w:pPr>
              <w:spacing w:line="240" w:lineRule="auto"/>
              <w:jc w:val="right"/>
              <w:rPr>
                <w:rFonts w:cs="Calibri"/>
                <w:i/>
                <w:iCs/>
                <w:szCs w:val="18"/>
                <w:lang w:val="en-GB" w:eastAsia="en-GB"/>
              </w:rPr>
            </w:pPr>
            <w:r w:rsidRPr="00E76941">
              <w:rPr>
                <w:rFonts w:cs="Calibri"/>
                <w:i/>
                <w:iCs/>
                <w:szCs w:val="18"/>
                <w:lang w:val="en-GB" w:eastAsia="en-GB"/>
              </w:rPr>
              <w:t xml:space="preserve">-3,0 </w:t>
            </w:r>
          </w:p>
        </w:tc>
      </w:tr>
      <w:tr w:rsidRPr="00E76941" w:rsidR="00B52D66" w:rsidTr="00FC2172" w14:paraId="3CE7496D" w14:textId="77777777">
        <w:trPr>
          <w:trHeight w:val="290"/>
        </w:trPr>
        <w:tc>
          <w:tcPr>
            <w:tcW w:w="1418" w:type="dxa"/>
            <w:tcBorders>
              <w:top w:val="nil"/>
              <w:left w:val="nil"/>
              <w:bottom w:val="nil"/>
              <w:right w:val="nil"/>
            </w:tcBorders>
            <w:noWrap/>
            <w:hideMark/>
          </w:tcPr>
          <w:p w:rsidRPr="00E76941" w:rsidR="00B52D66" w:rsidP="00FC2172" w:rsidRDefault="00B52D66" w14:paraId="63B3EE82" w14:textId="77777777">
            <w:pPr>
              <w:spacing w:line="240" w:lineRule="auto"/>
              <w:rPr>
                <w:rFonts w:cs="Calibri"/>
                <w:szCs w:val="18"/>
                <w:lang w:val="en-GB" w:eastAsia="en-GB"/>
              </w:rPr>
            </w:pPr>
            <w:r w:rsidRPr="00E76941">
              <w:rPr>
                <w:rFonts w:cs="Calibri"/>
                <w:szCs w:val="18"/>
                <w:lang w:val="en-GB" w:eastAsia="en-GB"/>
              </w:rPr>
              <w:t>BWI</w:t>
            </w:r>
          </w:p>
        </w:tc>
        <w:tc>
          <w:tcPr>
            <w:tcW w:w="1276" w:type="dxa"/>
            <w:tcBorders>
              <w:top w:val="nil"/>
              <w:left w:val="nil"/>
              <w:bottom w:val="nil"/>
              <w:right w:val="nil"/>
            </w:tcBorders>
            <w:noWrap/>
            <w:hideMark/>
          </w:tcPr>
          <w:p w:rsidRPr="00E76941" w:rsidR="00B52D66" w:rsidP="00FC2172" w:rsidRDefault="00B52D66" w14:paraId="08D1CAEB" w14:textId="77777777">
            <w:pPr>
              <w:spacing w:line="240" w:lineRule="auto"/>
              <w:jc w:val="right"/>
              <w:rPr>
                <w:rFonts w:cs="Calibri"/>
                <w:szCs w:val="18"/>
                <w:lang w:val="en-GB" w:eastAsia="en-GB"/>
              </w:rPr>
            </w:pPr>
            <w:r w:rsidRPr="00E76941">
              <w:rPr>
                <w:rFonts w:cs="Calibri"/>
                <w:szCs w:val="18"/>
                <w:lang w:val="en-GB" w:eastAsia="en-GB"/>
              </w:rPr>
              <w:t xml:space="preserve">1.383 </w:t>
            </w:r>
          </w:p>
        </w:tc>
        <w:tc>
          <w:tcPr>
            <w:tcW w:w="850" w:type="dxa"/>
            <w:tcBorders>
              <w:top w:val="nil"/>
              <w:left w:val="nil"/>
              <w:bottom w:val="nil"/>
              <w:right w:val="nil"/>
            </w:tcBorders>
            <w:noWrap/>
            <w:hideMark/>
          </w:tcPr>
          <w:p w:rsidRPr="00E76941" w:rsidR="00B52D66" w:rsidP="00FC2172" w:rsidRDefault="00B52D66" w14:paraId="73625D1A" w14:textId="77777777">
            <w:pPr>
              <w:spacing w:line="240" w:lineRule="auto"/>
              <w:jc w:val="right"/>
              <w:rPr>
                <w:rFonts w:cs="Calibri"/>
                <w:szCs w:val="18"/>
                <w:lang w:val="en-GB" w:eastAsia="en-GB"/>
              </w:rPr>
            </w:pPr>
            <w:r w:rsidRPr="00E76941">
              <w:rPr>
                <w:rFonts w:cs="Calibri"/>
                <w:szCs w:val="18"/>
                <w:lang w:val="en-GB" w:eastAsia="en-GB"/>
              </w:rPr>
              <w:t xml:space="preserve">-4,4 </w:t>
            </w:r>
          </w:p>
        </w:tc>
        <w:tc>
          <w:tcPr>
            <w:tcW w:w="1276" w:type="dxa"/>
            <w:tcBorders>
              <w:top w:val="nil"/>
              <w:left w:val="nil"/>
              <w:bottom w:val="nil"/>
              <w:right w:val="nil"/>
            </w:tcBorders>
            <w:noWrap/>
            <w:hideMark/>
          </w:tcPr>
          <w:p w:rsidRPr="00E76941" w:rsidR="00B52D66" w:rsidP="00FC2172" w:rsidRDefault="00B52D66" w14:paraId="1F9AB671" w14:textId="77777777">
            <w:pPr>
              <w:spacing w:line="240" w:lineRule="auto"/>
              <w:jc w:val="right"/>
              <w:rPr>
                <w:rFonts w:cs="Calibri"/>
                <w:szCs w:val="18"/>
                <w:lang w:val="en-GB" w:eastAsia="en-GB"/>
              </w:rPr>
            </w:pPr>
            <w:r w:rsidRPr="00E76941">
              <w:rPr>
                <w:rFonts w:cs="Calibri"/>
                <w:szCs w:val="18"/>
                <w:lang w:val="en-GB" w:eastAsia="en-GB"/>
              </w:rPr>
              <w:t xml:space="preserve">2.126 </w:t>
            </w:r>
          </w:p>
        </w:tc>
        <w:tc>
          <w:tcPr>
            <w:tcW w:w="740" w:type="dxa"/>
            <w:tcBorders>
              <w:top w:val="nil"/>
              <w:left w:val="nil"/>
              <w:bottom w:val="nil"/>
              <w:right w:val="nil"/>
            </w:tcBorders>
            <w:noWrap/>
            <w:hideMark/>
          </w:tcPr>
          <w:p w:rsidRPr="00E76941" w:rsidR="00B52D66" w:rsidP="00FC2172" w:rsidRDefault="00B52D66" w14:paraId="0D55DA9B" w14:textId="77777777">
            <w:pPr>
              <w:spacing w:line="240" w:lineRule="auto"/>
              <w:jc w:val="right"/>
              <w:rPr>
                <w:rFonts w:cs="Calibri"/>
                <w:szCs w:val="18"/>
                <w:lang w:val="en-GB" w:eastAsia="en-GB"/>
              </w:rPr>
            </w:pPr>
            <w:r w:rsidRPr="00E76941">
              <w:rPr>
                <w:rFonts w:cs="Calibri"/>
                <w:szCs w:val="18"/>
                <w:lang w:val="en-GB" w:eastAsia="en-GB"/>
              </w:rPr>
              <w:t xml:space="preserve">-1,7 </w:t>
            </w:r>
          </w:p>
        </w:tc>
        <w:tc>
          <w:tcPr>
            <w:tcW w:w="1069" w:type="dxa"/>
            <w:tcBorders>
              <w:top w:val="nil"/>
              <w:left w:val="nil"/>
              <w:bottom w:val="nil"/>
              <w:right w:val="nil"/>
            </w:tcBorders>
            <w:noWrap/>
            <w:hideMark/>
          </w:tcPr>
          <w:p w:rsidRPr="00E76941" w:rsidR="00B52D66" w:rsidP="00FC2172" w:rsidRDefault="00B52D66" w14:paraId="31B01FB6" w14:textId="77777777">
            <w:pPr>
              <w:spacing w:line="240" w:lineRule="auto"/>
              <w:jc w:val="right"/>
              <w:rPr>
                <w:rFonts w:cs="Calibri"/>
                <w:szCs w:val="18"/>
                <w:lang w:val="en-GB" w:eastAsia="en-GB"/>
              </w:rPr>
            </w:pPr>
            <w:r w:rsidRPr="00E76941">
              <w:rPr>
                <w:rFonts w:cs="Calibri"/>
                <w:szCs w:val="18"/>
                <w:lang w:val="en-GB" w:eastAsia="en-GB"/>
              </w:rPr>
              <w:t xml:space="preserve">505 </w:t>
            </w:r>
          </w:p>
        </w:tc>
        <w:tc>
          <w:tcPr>
            <w:tcW w:w="884" w:type="dxa"/>
            <w:tcBorders>
              <w:top w:val="nil"/>
              <w:left w:val="nil"/>
              <w:bottom w:val="nil"/>
              <w:right w:val="nil"/>
            </w:tcBorders>
            <w:noWrap/>
            <w:hideMark/>
          </w:tcPr>
          <w:p w:rsidRPr="00E76941" w:rsidR="00B52D66" w:rsidP="00FC2172" w:rsidRDefault="00B52D66" w14:paraId="4CBD53D2" w14:textId="77777777">
            <w:pPr>
              <w:spacing w:line="240" w:lineRule="auto"/>
              <w:jc w:val="right"/>
              <w:rPr>
                <w:rFonts w:cs="Calibri"/>
                <w:szCs w:val="18"/>
                <w:lang w:val="en-GB" w:eastAsia="en-GB"/>
              </w:rPr>
            </w:pPr>
            <w:r w:rsidRPr="00E76941">
              <w:rPr>
                <w:rFonts w:cs="Calibri"/>
                <w:szCs w:val="18"/>
                <w:lang w:val="en-GB" w:eastAsia="en-GB"/>
              </w:rPr>
              <w:t xml:space="preserve">-6,7 </w:t>
            </w:r>
          </w:p>
        </w:tc>
        <w:tc>
          <w:tcPr>
            <w:tcW w:w="1134" w:type="dxa"/>
            <w:tcBorders>
              <w:top w:val="nil"/>
              <w:left w:val="nil"/>
              <w:bottom w:val="nil"/>
              <w:right w:val="nil"/>
            </w:tcBorders>
            <w:noWrap/>
            <w:hideMark/>
          </w:tcPr>
          <w:p w:rsidRPr="00E76941" w:rsidR="00B52D66" w:rsidP="00FC2172" w:rsidRDefault="00B52D66" w14:paraId="16457CCD" w14:textId="77777777">
            <w:pPr>
              <w:spacing w:line="240" w:lineRule="auto"/>
              <w:jc w:val="right"/>
              <w:rPr>
                <w:rFonts w:cs="Calibri"/>
                <w:szCs w:val="18"/>
                <w:lang w:val="en-GB" w:eastAsia="en-GB"/>
              </w:rPr>
            </w:pPr>
            <w:r w:rsidRPr="00E76941">
              <w:rPr>
                <w:rFonts w:cs="Calibri"/>
                <w:szCs w:val="18"/>
                <w:lang w:val="en-GB" w:eastAsia="en-GB"/>
              </w:rPr>
              <w:t xml:space="preserve">4.014 </w:t>
            </w:r>
          </w:p>
        </w:tc>
        <w:tc>
          <w:tcPr>
            <w:tcW w:w="713" w:type="dxa"/>
            <w:tcBorders>
              <w:top w:val="nil"/>
              <w:left w:val="nil"/>
              <w:bottom w:val="nil"/>
              <w:right w:val="nil"/>
            </w:tcBorders>
            <w:noWrap/>
            <w:hideMark/>
          </w:tcPr>
          <w:p w:rsidRPr="00E76941" w:rsidR="00B52D66" w:rsidP="00FC2172" w:rsidRDefault="00B52D66" w14:paraId="02D19254" w14:textId="77777777">
            <w:pPr>
              <w:spacing w:line="240" w:lineRule="auto"/>
              <w:jc w:val="right"/>
              <w:rPr>
                <w:rFonts w:cs="Calibri"/>
                <w:szCs w:val="18"/>
                <w:lang w:val="en-GB" w:eastAsia="en-GB"/>
              </w:rPr>
            </w:pPr>
            <w:r w:rsidRPr="00E76941">
              <w:rPr>
                <w:rFonts w:cs="Calibri"/>
                <w:szCs w:val="18"/>
                <w:lang w:val="en-GB" w:eastAsia="en-GB"/>
              </w:rPr>
              <w:t xml:space="preserve">-3,3 </w:t>
            </w:r>
          </w:p>
        </w:tc>
      </w:tr>
      <w:tr w:rsidRPr="00E76941" w:rsidR="00B52D66" w:rsidTr="00FC2172" w14:paraId="7D2E6615" w14:textId="77777777">
        <w:trPr>
          <w:trHeight w:val="290"/>
        </w:trPr>
        <w:tc>
          <w:tcPr>
            <w:tcW w:w="1418" w:type="dxa"/>
            <w:tcBorders>
              <w:top w:val="nil"/>
              <w:left w:val="nil"/>
              <w:bottom w:val="nil"/>
              <w:right w:val="nil"/>
            </w:tcBorders>
            <w:noWrap/>
            <w:hideMark/>
          </w:tcPr>
          <w:p w:rsidRPr="00E76941" w:rsidR="00B52D66" w:rsidP="00FC2172" w:rsidRDefault="00B52D66" w14:paraId="0FF8BB30" w14:textId="77777777">
            <w:pPr>
              <w:spacing w:line="240" w:lineRule="auto"/>
              <w:rPr>
                <w:rFonts w:cs="Calibri"/>
                <w:szCs w:val="18"/>
                <w:lang w:val="en-GB" w:eastAsia="en-GB"/>
              </w:rPr>
            </w:pPr>
            <w:r w:rsidRPr="00E76941">
              <w:rPr>
                <w:rFonts w:cs="Calibri"/>
                <w:szCs w:val="18"/>
                <w:lang w:val="en-GB" w:eastAsia="en-GB"/>
              </w:rPr>
              <w:t>MaT</w:t>
            </w:r>
          </w:p>
        </w:tc>
        <w:tc>
          <w:tcPr>
            <w:tcW w:w="1276" w:type="dxa"/>
            <w:tcBorders>
              <w:top w:val="nil"/>
              <w:left w:val="nil"/>
              <w:bottom w:val="nil"/>
              <w:right w:val="nil"/>
            </w:tcBorders>
            <w:noWrap/>
            <w:hideMark/>
          </w:tcPr>
          <w:p w:rsidRPr="00E76941" w:rsidR="00B52D66" w:rsidP="00FC2172" w:rsidRDefault="00B52D66" w14:paraId="5431C9B9" w14:textId="77777777">
            <w:pPr>
              <w:spacing w:line="240" w:lineRule="auto"/>
              <w:jc w:val="right"/>
              <w:rPr>
                <w:rFonts w:cs="Calibri"/>
                <w:szCs w:val="18"/>
                <w:lang w:val="en-GB" w:eastAsia="en-GB"/>
              </w:rPr>
            </w:pPr>
            <w:r w:rsidRPr="00E76941">
              <w:rPr>
                <w:rFonts w:cs="Calibri"/>
                <w:szCs w:val="18"/>
                <w:lang w:val="en-GB" w:eastAsia="en-GB"/>
              </w:rPr>
              <w:t xml:space="preserve">52 </w:t>
            </w:r>
          </w:p>
        </w:tc>
        <w:tc>
          <w:tcPr>
            <w:tcW w:w="850" w:type="dxa"/>
            <w:tcBorders>
              <w:top w:val="nil"/>
              <w:left w:val="nil"/>
              <w:bottom w:val="nil"/>
              <w:right w:val="nil"/>
            </w:tcBorders>
            <w:noWrap/>
            <w:hideMark/>
          </w:tcPr>
          <w:p w:rsidRPr="00E76941" w:rsidR="00B52D66" w:rsidP="00FC2172" w:rsidRDefault="00B52D66" w14:paraId="15149B45" w14:textId="77777777">
            <w:pPr>
              <w:spacing w:line="240" w:lineRule="auto"/>
              <w:jc w:val="right"/>
              <w:rPr>
                <w:rFonts w:cs="Calibri"/>
                <w:szCs w:val="18"/>
                <w:lang w:val="en-GB" w:eastAsia="en-GB"/>
              </w:rPr>
            </w:pPr>
            <w:r w:rsidRPr="00E76941">
              <w:rPr>
                <w:rFonts w:cs="Calibri"/>
                <w:szCs w:val="18"/>
                <w:lang w:val="en-GB" w:eastAsia="en-GB"/>
              </w:rPr>
              <w:t xml:space="preserve">4,0 </w:t>
            </w:r>
          </w:p>
        </w:tc>
        <w:tc>
          <w:tcPr>
            <w:tcW w:w="1276" w:type="dxa"/>
            <w:tcBorders>
              <w:top w:val="nil"/>
              <w:left w:val="nil"/>
              <w:bottom w:val="nil"/>
              <w:right w:val="nil"/>
            </w:tcBorders>
            <w:noWrap/>
            <w:hideMark/>
          </w:tcPr>
          <w:p w:rsidRPr="00E76941" w:rsidR="00B52D66" w:rsidP="00FC2172" w:rsidRDefault="00B52D66" w14:paraId="52957078" w14:textId="77777777">
            <w:pPr>
              <w:spacing w:line="240" w:lineRule="auto"/>
              <w:jc w:val="right"/>
              <w:rPr>
                <w:rFonts w:cs="Calibri"/>
                <w:szCs w:val="18"/>
                <w:lang w:val="en-GB" w:eastAsia="en-GB"/>
              </w:rPr>
            </w:pPr>
            <w:r w:rsidRPr="00E76941">
              <w:rPr>
                <w:rFonts w:cs="Calibri"/>
                <w:szCs w:val="18"/>
                <w:lang w:val="en-GB" w:eastAsia="en-GB"/>
              </w:rPr>
              <w:t xml:space="preserve">98 </w:t>
            </w:r>
          </w:p>
        </w:tc>
        <w:tc>
          <w:tcPr>
            <w:tcW w:w="740" w:type="dxa"/>
            <w:tcBorders>
              <w:top w:val="nil"/>
              <w:left w:val="nil"/>
              <w:bottom w:val="nil"/>
              <w:right w:val="nil"/>
            </w:tcBorders>
            <w:noWrap/>
            <w:hideMark/>
          </w:tcPr>
          <w:p w:rsidRPr="00E76941" w:rsidR="00B52D66" w:rsidP="00FC2172" w:rsidRDefault="00B52D66" w14:paraId="4A089398" w14:textId="77777777">
            <w:pPr>
              <w:spacing w:line="240" w:lineRule="auto"/>
              <w:jc w:val="right"/>
              <w:rPr>
                <w:rFonts w:cs="Calibri"/>
                <w:szCs w:val="18"/>
                <w:lang w:val="en-GB" w:eastAsia="en-GB"/>
              </w:rPr>
            </w:pPr>
            <w:r w:rsidRPr="00E76941">
              <w:rPr>
                <w:rFonts w:cs="Calibri"/>
                <w:szCs w:val="18"/>
                <w:lang w:val="en-GB" w:eastAsia="en-GB"/>
              </w:rPr>
              <w:t xml:space="preserve">-25,2 </w:t>
            </w:r>
          </w:p>
        </w:tc>
        <w:tc>
          <w:tcPr>
            <w:tcW w:w="1069" w:type="dxa"/>
            <w:tcBorders>
              <w:top w:val="nil"/>
              <w:left w:val="nil"/>
              <w:bottom w:val="nil"/>
              <w:right w:val="nil"/>
            </w:tcBorders>
            <w:noWrap/>
            <w:hideMark/>
          </w:tcPr>
          <w:p w:rsidRPr="00E76941" w:rsidR="00B52D66" w:rsidP="00FC2172" w:rsidRDefault="00B52D66" w14:paraId="46130C8E" w14:textId="77777777">
            <w:pPr>
              <w:spacing w:line="240" w:lineRule="auto"/>
              <w:jc w:val="right"/>
              <w:rPr>
                <w:rFonts w:cs="Calibri"/>
                <w:szCs w:val="18"/>
                <w:lang w:val="en-GB" w:eastAsia="en-GB"/>
              </w:rPr>
            </w:pPr>
            <w:r w:rsidRPr="00E76941">
              <w:rPr>
                <w:rFonts w:cs="Calibri"/>
                <w:szCs w:val="18"/>
                <w:lang w:val="en-GB" w:eastAsia="en-GB"/>
              </w:rPr>
              <w:t xml:space="preserve">53 </w:t>
            </w:r>
          </w:p>
        </w:tc>
        <w:tc>
          <w:tcPr>
            <w:tcW w:w="884" w:type="dxa"/>
            <w:tcBorders>
              <w:top w:val="nil"/>
              <w:left w:val="nil"/>
              <w:bottom w:val="nil"/>
              <w:right w:val="nil"/>
            </w:tcBorders>
            <w:noWrap/>
            <w:hideMark/>
          </w:tcPr>
          <w:p w:rsidRPr="00E76941" w:rsidR="00B52D66" w:rsidP="00FC2172" w:rsidRDefault="00B52D66" w14:paraId="63D5715C" w14:textId="77777777">
            <w:pPr>
              <w:spacing w:line="240" w:lineRule="auto"/>
              <w:jc w:val="right"/>
              <w:rPr>
                <w:rFonts w:cs="Calibri"/>
                <w:szCs w:val="18"/>
                <w:lang w:val="en-GB" w:eastAsia="en-GB"/>
              </w:rPr>
            </w:pPr>
            <w:r w:rsidRPr="00E76941">
              <w:rPr>
                <w:rFonts w:cs="Calibri"/>
                <w:szCs w:val="18"/>
                <w:lang w:val="en-GB" w:eastAsia="en-GB"/>
              </w:rPr>
              <w:t xml:space="preserve">-15,9 </w:t>
            </w:r>
          </w:p>
        </w:tc>
        <w:tc>
          <w:tcPr>
            <w:tcW w:w="1134" w:type="dxa"/>
            <w:tcBorders>
              <w:top w:val="nil"/>
              <w:left w:val="nil"/>
              <w:bottom w:val="nil"/>
              <w:right w:val="nil"/>
            </w:tcBorders>
            <w:noWrap/>
            <w:hideMark/>
          </w:tcPr>
          <w:p w:rsidRPr="00E76941" w:rsidR="00B52D66" w:rsidP="00FC2172" w:rsidRDefault="00B52D66" w14:paraId="0E6AC518" w14:textId="77777777">
            <w:pPr>
              <w:spacing w:line="240" w:lineRule="auto"/>
              <w:jc w:val="right"/>
              <w:rPr>
                <w:rFonts w:cs="Calibri"/>
                <w:szCs w:val="18"/>
                <w:lang w:val="en-GB" w:eastAsia="en-GB"/>
              </w:rPr>
            </w:pPr>
            <w:r w:rsidRPr="00E76941">
              <w:rPr>
                <w:rFonts w:cs="Calibri"/>
                <w:szCs w:val="18"/>
                <w:lang w:val="en-GB" w:eastAsia="en-GB"/>
              </w:rPr>
              <w:t xml:space="preserve">203 </w:t>
            </w:r>
          </w:p>
        </w:tc>
        <w:tc>
          <w:tcPr>
            <w:tcW w:w="713" w:type="dxa"/>
            <w:tcBorders>
              <w:top w:val="nil"/>
              <w:left w:val="nil"/>
              <w:bottom w:val="nil"/>
              <w:right w:val="nil"/>
            </w:tcBorders>
            <w:noWrap/>
            <w:hideMark/>
          </w:tcPr>
          <w:p w:rsidRPr="00E76941" w:rsidR="00B52D66" w:rsidP="00FC2172" w:rsidRDefault="00B52D66" w14:paraId="3117E80F" w14:textId="77777777">
            <w:pPr>
              <w:spacing w:line="240" w:lineRule="auto"/>
              <w:jc w:val="right"/>
              <w:rPr>
                <w:rFonts w:cs="Calibri"/>
                <w:szCs w:val="18"/>
                <w:lang w:val="en-GB" w:eastAsia="en-GB"/>
              </w:rPr>
            </w:pPr>
            <w:r w:rsidRPr="00E76941">
              <w:rPr>
                <w:rFonts w:cs="Calibri"/>
                <w:szCs w:val="18"/>
                <w:lang w:val="en-GB" w:eastAsia="en-GB"/>
              </w:rPr>
              <w:t xml:space="preserve">-19,1 </w:t>
            </w:r>
          </w:p>
        </w:tc>
      </w:tr>
      <w:tr w:rsidRPr="00E76941" w:rsidR="00B52D66" w:rsidTr="00FC2172" w14:paraId="710D2C3C" w14:textId="77777777">
        <w:trPr>
          <w:trHeight w:val="290"/>
        </w:trPr>
        <w:tc>
          <w:tcPr>
            <w:tcW w:w="1418" w:type="dxa"/>
            <w:tcBorders>
              <w:top w:val="nil"/>
              <w:left w:val="nil"/>
              <w:bottom w:val="nil"/>
              <w:right w:val="nil"/>
            </w:tcBorders>
            <w:noWrap/>
            <w:hideMark/>
          </w:tcPr>
          <w:p w:rsidRPr="00E76941" w:rsidR="00B52D66" w:rsidP="00FC2172" w:rsidRDefault="00B52D66" w14:paraId="780F1D46" w14:textId="77777777">
            <w:pPr>
              <w:spacing w:line="240" w:lineRule="auto"/>
              <w:rPr>
                <w:rFonts w:cs="Calibri"/>
                <w:szCs w:val="18"/>
                <w:lang w:val="en-GB" w:eastAsia="en-GB"/>
              </w:rPr>
            </w:pPr>
            <w:r w:rsidRPr="00E76941">
              <w:rPr>
                <w:rFonts w:cs="Calibri"/>
                <w:szCs w:val="18"/>
                <w:lang w:val="en-GB" w:eastAsia="en-GB"/>
              </w:rPr>
              <w:t>MVI</w:t>
            </w:r>
          </w:p>
        </w:tc>
        <w:tc>
          <w:tcPr>
            <w:tcW w:w="1276" w:type="dxa"/>
            <w:tcBorders>
              <w:top w:val="nil"/>
              <w:left w:val="nil"/>
              <w:bottom w:val="nil"/>
              <w:right w:val="nil"/>
            </w:tcBorders>
            <w:noWrap/>
            <w:hideMark/>
          </w:tcPr>
          <w:p w:rsidRPr="00E76941" w:rsidR="00B52D66" w:rsidP="00FC2172" w:rsidRDefault="00B52D66" w14:paraId="76E30B20" w14:textId="77777777">
            <w:pPr>
              <w:spacing w:line="240" w:lineRule="auto"/>
              <w:jc w:val="right"/>
              <w:rPr>
                <w:rFonts w:cs="Calibri"/>
                <w:szCs w:val="18"/>
                <w:lang w:val="en-GB" w:eastAsia="en-GB"/>
              </w:rPr>
            </w:pPr>
            <w:r w:rsidRPr="00E76941">
              <w:rPr>
                <w:rFonts w:cs="Calibri"/>
                <w:szCs w:val="18"/>
                <w:lang w:val="en-GB" w:eastAsia="en-GB"/>
              </w:rPr>
              <w:t xml:space="preserve">274 </w:t>
            </w:r>
          </w:p>
        </w:tc>
        <w:tc>
          <w:tcPr>
            <w:tcW w:w="850" w:type="dxa"/>
            <w:tcBorders>
              <w:top w:val="nil"/>
              <w:left w:val="nil"/>
              <w:bottom w:val="nil"/>
              <w:right w:val="nil"/>
            </w:tcBorders>
            <w:noWrap/>
            <w:hideMark/>
          </w:tcPr>
          <w:p w:rsidRPr="00E76941" w:rsidR="00B52D66" w:rsidP="00FC2172" w:rsidRDefault="00B52D66" w14:paraId="7F2EBED6" w14:textId="77777777">
            <w:pPr>
              <w:spacing w:line="240" w:lineRule="auto"/>
              <w:jc w:val="right"/>
              <w:rPr>
                <w:rFonts w:cs="Calibri"/>
                <w:szCs w:val="18"/>
                <w:lang w:val="en-GB" w:eastAsia="en-GB"/>
              </w:rPr>
            </w:pPr>
            <w:r w:rsidRPr="00E76941">
              <w:rPr>
                <w:rFonts w:cs="Calibri"/>
                <w:szCs w:val="18"/>
                <w:lang w:val="en-GB" w:eastAsia="en-GB"/>
              </w:rPr>
              <w:t xml:space="preserve">-22,8 </w:t>
            </w:r>
          </w:p>
        </w:tc>
        <w:tc>
          <w:tcPr>
            <w:tcW w:w="1276" w:type="dxa"/>
            <w:tcBorders>
              <w:top w:val="nil"/>
              <w:left w:val="nil"/>
              <w:bottom w:val="nil"/>
              <w:right w:val="nil"/>
            </w:tcBorders>
            <w:noWrap/>
            <w:hideMark/>
          </w:tcPr>
          <w:p w:rsidRPr="00E76941" w:rsidR="00B52D66" w:rsidP="00FC2172" w:rsidRDefault="00B52D66" w14:paraId="3F5C0D74" w14:textId="77777777">
            <w:pPr>
              <w:spacing w:line="240" w:lineRule="auto"/>
              <w:jc w:val="right"/>
              <w:rPr>
                <w:rFonts w:cs="Calibri"/>
                <w:szCs w:val="18"/>
                <w:lang w:val="en-GB" w:eastAsia="en-GB"/>
              </w:rPr>
            </w:pPr>
            <w:r w:rsidRPr="00E76941">
              <w:rPr>
                <w:rFonts w:cs="Calibri"/>
                <w:szCs w:val="18"/>
                <w:lang w:val="en-GB" w:eastAsia="en-GB"/>
              </w:rPr>
              <w:t xml:space="preserve">760 </w:t>
            </w:r>
          </w:p>
        </w:tc>
        <w:tc>
          <w:tcPr>
            <w:tcW w:w="740" w:type="dxa"/>
            <w:tcBorders>
              <w:top w:val="nil"/>
              <w:left w:val="nil"/>
              <w:bottom w:val="nil"/>
              <w:right w:val="nil"/>
            </w:tcBorders>
            <w:noWrap/>
            <w:hideMark/>
          </w:tcPr>
          <w:p w:rsidRPr="00E76941" w:rsidR="00B52D66" w:rsidP="00FC2172" w:rsidRDefault="00B52D66" w14:paraId="497D02C4" w14:textId="77777777">
            <w:pPr>
              <w:spacing w:line="240" w:lineRule="auto"/>
              <w:jc w:val="right"/>
              <w:rPr>
                <w:rFonts w:cs="Calibri"/>
                <w:szCs w:val="18"/>
                <w:lang w:val="en-GB" w:eastAsia="en-GB"/>
              </w:rPr>
            </w:pPr>
            <w:r w:rsidRPr="00E76941">
              <w:rPr>
                <w:rFonts w:cs="Calibri"/>
                <w:szCs w:val="18"/>
                <w:lang w:val="en-GB" w:eastAsia="en-GB"/>
              </w:rPr>
              <w:t xml:space="preserve">-5,6 </w:t>
            </w:r>
          </w:p>
        </w:tc>
        <w:tc>
          <w:tcPr>
            <w:tcW w:w="1069" w:type="dxa"/>
            <w:tcBorders>
              <w:top w:val="nil"/>
              <w:left w:val="nil"/>
              <w:bottom w:val="nil"/>
              <w:right w:val="nil"/>
            </w:tcBorders>
            <w:noWrap/>
            <w:hideMark/>
          </w:tcPr>
          <w:p w:rsidRPr="00E76941" w:rsidR="00B52D66" w:rsidP="00FC2172" w:rsidRDefault="00B52D66" w14:paraId="5BDFFB0F" w14:textId="77777777">
            <w:pPr>
              <w:spacing w:line="240" w:lineRule="auto"/>
              <w:jc w:val="right"/>
              <w:rPr>
                <w:rFonts w:cs="Calibri"/>
                <w:szCs w:val="18"/>
                <w:lang w:val="en-GB" w:eastAsia="en-GB"/>
              </w:rPr>
            </w:pPr>
            <w:r w:rsidRPr="00E76941">
              <w:rPr>
                <w:rFonts w:cs="Calibri"/>
                <w:szCs w:val="18"/>
                <w:lang w:val="en-GB" w:eastAsia="en-GB"/>
              </w:rPr>
              <w:t xml:space="preserve">537 </w:t>
            </w:r>
          </w:p>
        </w:tc>
        <w:tc>
          <w:tcPr>
            <w:tcW w:w="884" w:type="dxa"/>
            <w:tcBorders>
              <w:top w:val="nil"/>
              <w:left w:val="nil"/>
              <w:bottom w:val="nil"/>
              <w:right w:val="nil"/>
            </w:tcBorders>
            <w:noWrap/>
            <w:hideMark/>
          </w:tcPr>
          <w:p w:rsidRPr="00E76941" w:rsidR="00B52D66" w:rsidP="00FC2172" w:rsidRDefault="00B52D66" w14:paraId="3AAF50D5" w14:textId="77777777">
            <w:pPr>
              <w:spacing w:line="240" w:lineRule="auto"/>
              <w:jc w:val="right"/>
              <w:rPr>
                <w:rFonts w:cs="Calibri"/>
                <w:szCs w:val="18"/>
                <w:lang w:val="en-GB" w:eastAsia="en-GB"/>
              </w:rPr>
            </w:pPr>
            <w:r w:rsidRPr="00E76941">
              <w:rPr>
                <w:rFonts w:cs="Calibri"/>
                <w:szCs w:val="18"/>
                <w:lang w:val="en-GB" w:eastAsia="en-GB"/>
              </w:rPr>
              <w:t xml:space="preserve">28,2 </w:t>
            </w:r>
          </w:p>
        </w:tc>
        <w:tc>
          <w:tcPr>
            <w:tcW w:w="1134" w:type="dxa"/>
            <w:tcBorders>
              <w:top w:val="nil"/>
              <w:left w:val="nil"/>
              <w:bottom w:val="nil"/>
              <w:right w:val="nil"/>
            </w:tcBorders>
            <w:noWrap/>
            <w:hideMark/>
          </w:tcPr>
          <w:p w:rsidRPr="00E76941" w:rsidR="00B52D66" w:rsidP="00FC2172" w:rsidRDefault="00B52D66" w14:paraId="72BCC1CF" w14:textId="77777777">
            <w:pPr>
              <w:spacing w:line="240" w:lineRule="auto"/>
              <w:jc w:val="right"/>
              <w:rPr>
                <w:rFonts w:cs="Calibri"/>
                <w:szCs w:val="18"/>
                <w:lang w:val="en-GB" w:eastAsia="en-GB"/>
              </w:rPr>
            </w:pPr>
            <w:r w:rsidRPr="00E76941">
              <w:rPr>
                <w:rFonts w:cs="Calibri"/>
                <w:szCs w:val="18"/>
                <w:lang w:val="en-GB" w:eastAsia="en-GB"/>
              </w:rPr>
              <w:t xml:space="preserve">1.571 </w:t>
            </w:r>
          </w:p>
        </w:tc>
        <w:tc>
          <w:tcPr>
            <w:tcW w:w="713" w:type="dxa"/>
            <w:tcBorders>
              <w:top w:val="nil"/>
              <w:left w:val="nil"/>
              <w:bottom w:val="nil"/>
              <w:right w:val="nil"/>
            </w:tcBorders>
            <w:noWrap/>
            <w:hideMark/>
          </w:tcPr>
          <w:p w:rsidRPr="00E76941" w:rsidR="00B52D66" w:rsidP="00FC2172" w:rsidRDefault="00B52D66" w14:paraId="4E641883" w14:textId="77777777">
            <w:pPr>
              <w:spacing w:line="240" w:lineRule="auto"/>
              <w:jc w:val="right"/>
              <w:rPr>
                <w:rFonts w:cs="Calibri"/>
                <w:szCs w:val="18"/>
                <w:lang w:val="en-GB" w:eastAsia="en-GB"/>
              </w:rPr>
            </w:pPr>
            <w:r w:rsidRPr="00E76941">
              <w:rPr>
                <w:rFonts w:cs="Calibri"/>
                <w:szCs w:val="18"/>
                <w:lang w:val="en-GB" w:eastAsia="en-GB"/>
              </w:rPr>
              <w:t xml:space="preserve">-0,5 </w:t>
            </w:r>
          </w:p>
        </w:tc>
      </w:tr>
      <w:tr w:rsidRPr="00E76941" w:rsidR="00B52D66" w:rsidTr="00FC2172" w14:paraId="44E214A5" w14:textId="77777777">
        <w:trPr>
          <w:trHeight w:val="290"/>
        </w:trPr>
        <w:tc>
          <w:tcPr>
            <w:tcW w:w="1418" w:type="dxa"/>
            <w:tcBorders>
              <w:top w:val="nil"/>
              <w:left w:val="nil"/>
              <w:bottom w:val="nil"/>
              <w:right w:val="nil"/>
            </w:tcBorders>
            <w:noWrap/>
            <w:hideMark/>
          </w:tcPr>
          <w:p w:rsidRPr="00E76941" w:rsidR="00B52D66" w:rsidP="00FC2172" w:rsidRDefault="00B52D66" w14:paraId="2166E10D" w14:textId="77777777">
            <w:pPr>
              <w:spacing w:line="240" w:lineRule="auto"/>
              <w:rPr>
                <w:rFonts w:cs="Calibri"/>
                <w:szCs w:val="18"/>
                <w:lang w:val="en-GB" w:eastAsia="en-GB"/>
              </w:rPr>
            </w:pPr>
            <w:r w:rsidRPr="00E76941">
              <w:rPr>
                <w:rFonts w:cs="Calibri"/>
                <w:szCs w:val="18"/>
                <w:lang w:val="en-GB" w:eastAsia="en-GB"/>
              </w:rPr>
              <w:t>M&amp;T</w:t>
            </w:r>
          </w:p>
        </w:tc>
        <w:tc>
          <w:tcPr>
            <w:tcW w:w="1276" w:type="dxa"/>
            <w:tcBorders>
              <w:top w:val="nil"/>
              <w:left w:val="nil"/>
              <w:bottom w:val="nil"/>
              <w:right w:val="nil"/>
            </w:tcBorders>
            <w:noWrap/>
            <w:hideMark/>
          </w:tcPr>
          <w:p w:rsidRPr="00E76941" w:rsidR="00B52D66" w:rsidP="00FC2172" w:rsidRDefault="00B52D66" w14:paraId="02D46EE4" w14:textId="77777777">
            <w:pPr>
              <w:spacing w:line="240" w:lineRule="auto"/>
              <w:jc w:val="right"/>
              <w:rPr>
                <w:rFonts w:cs="Calibri"/>
                <w:szCs w:val="18"/>
                <w:lang w:val="en-GB" w:eastAsia="en-GB"/>
              </w:rPr>
            </w:pPr>
            <w:r w:rsidRPr="00E76941">
              <w:rPr>
                <w:rFonts w:cs="Calibri"/>
                <w:szCs w:val="18"/>
                <w:lang w:val="en-GB" w:eastAsia="en-GB"/>
              </w:rPr>
              <w:t xml:space="preserve">539 </w:t>
            </w:r>
          </w:p>
        </w:tc>
        <w:tc>
          <w:tcPr>
            <w:tcW w:w="850" w:type="dxa"/>
            <w:tcBorders>
              <w:top w:val="nil"/>
              <w:left w:val="nil"/>
              <w:bottom w:val="nil"/>
              <w:right w:val="nil"/>
            </w:tcBorders>
            <w:noWrap/>
            <w:hideMark/>
          </w:tcPr>
          <w:p w:rsidRPr="00E76941" w:rsidR="00B52D66" w:rsidP="00FC2172" w:rsidRDefault="00B52D66" w14:paraId="2AAED907" w14:textId="77777777">
            <w:pPr>
              <w:spacing w:line="240" w:lineRule="auto"/>
              <w:jc w:val="right"/>
              <w:rPr>
                <w:rFonts w:cs="Calibri"/>
                <w:szCs w:val="18"/>
                <w:lang w:val="en-GB" w:eastAsia="en-GB"/>
              </w:rPr>
            </w:pPr>
            <w:r w:rsidRPr="00E76941">
              <w:rPr>
                <w:rFonts w:cs="Calibri"/>
                <w:szCs w:val="18"/>
                <w:lang w:val="en-GB" w:eastAsia="en-GB"/>
              </w:rPr>
              <w:t xml:space="preserve">-8,5 </w:t>
            </w:r>
          </w:p>
        </w:tc>
        <w:tc>
          <w:tcPr>
            <w:tcW w:w="1276" w:type="dxa"/>
            <w:tcBorders>
              <w:top w:val="nil"/>
              <w:left w:val="nil"/>
              <w:bottom w:val="nil"/>
              <w:right w:val="nil"/>
            </w:tcBorders>
            <w:noWrap/>
            <w:hideMark/>
          </w:tcPr>
          <w:p w:rsidRPr="00E76941" w:rsidR="00B52D66" w:rsidP="00FC2172" w:rsidRDefault="00B52D66" w14:paraId="10C89DDE" w14:textId="77777777">
            <w:pPr>
              <w:spacing w:line="240" w:lineRule="auto"/>
              <w:jc w:val="right"/>
              <w:rPr>
                <w:rFonts w:cs="Calibri"/>
                <w:szCs w:val="18"/>
                <w:lang w:val="en-GB" w:eastAsia="en-GB"/>
              </w:rPr>
            </w:pPr>
            <w:r w:rsidRPr="00E76941">
              <w:rPr>
                <w:rFonts w:cs="Calibri"/>
                <w:szCs w:val="18"/>
                <w:lang w:val="en-GB" w:eastAsia="en-GB"/>
              </w:rPr>
              <w:t xml:space="preserve">818 </w:t>
            </w:r>
          </w:p>
        </w:tc>
        <w:tc>
          <w:tcPr>
            <w:tcW w:w="740" w:type="dxa"/>
            <w:tcBorders>
              <w:top w:val="nil"/>
              <w:left w:val="nil"/>
              <w:bottom w:val="nil"/>
              <w:right w:val="nil"/>
            </w:tcBorders>
            <w:noWrap/>
            <w:hideMark/>
          </w:tcPr>
          <w:p w:rsidRPr="00E76941" w:rsidR="00B52D66" w:rsidP="00FC2172" w:rsidRDefault="00B52D66" w14:paraId="7B5CFA3A" w14:textId="77777777">
            <w:pPr>
              <w:spacing w:line="240" w:lineRule="auto"/>
              <w:jc w:val="right"/>
              <w:rPr>
                <w:rFonts w:cs="Calibri"/>
                <w:szCs w:val="18"/>
                <w:lang w:val="en-GB" w:eastAsia="en-GB"/>
              </w:rPr>
            </w:pPr>
            <w:r w:rsidRPr="00E76941">
              <w:rPr>
                <w:rFonts w:cs="Calibri"/>
                <w:szCs w:val="18"/>
                <w:lang w:val="en-GB" w:eastAsia="en-GB"/>
              </w:rPr>
              <w:t xml:space="preserve">-4,0 </w:t>
            </w:r>
          </w:p>
        </w:tc>
        <w:tc>
          <w:tcPr>
            <w:tcW w:w="1069" w:type="dxa"/>
            <w:tcBorders>
              <w:top w:val="nil"/>
              <w:left w:val="nil"/>
              <w:bottom w:val="nil"/>
              <w:right w:val="nil"/>
            </w:tcBorders>
            <w:noWrap/>
            <w:hideMark/>
          </w:tcPr>
          <w:p w:rsidRPr="00E76941" w:rsidR="00B52D66" w:rsidP="00FC2172" w:rsidRDefault="00B52D66" w14:paraId="38F88632" w14:textId="77777777">
            <w:pPr>
              <w:spacing w:line="240" w:lineRule="auto"/>
              <w:jc w:val="right"/>
              <w:rPr>
                <w:rFonts w:cs="Calibri"/>
                <w:szCs w:val="18"/>
                <w:lang w:val="en-GB" w:eastAsia="en-GB"/>
              </w:rPr>
            </w:pPr>
            <w:r w:rsidRPr="00E76941">
              <w:rPr>
                <w:rFonts w:cs="Calibri"/>
                <w:szCs w:val="18"/>
                <w:lang w:val="en-GB" w:eastAsia="en-GB"/>
              </w:rPr>
              <w:t xml:space="preserve">153 </w:t>
            </w:r>
          </w:p>
        </w:tc>
        <w:tc>
          <w:tcPr>
            <w:tcW w:w="884" w:type="dxa"/>
            <w:tcBorders>
              <w:top w:val="nil"/>
              <w:left w:val="nil"/>
              <w:bottom w:val="nil"/>
              <w:right w:val="nil"/>
            </w:tcBorders>
            <w:noWrap/>
            <w:hideMark/>
          </w:tcPr>
          <w:p w:rsidRPr="00E76941" w:rsidR="00B52D66" w:rsidP="00FC2172" w:rsidRDefault="00B52D66" w14:paraId="31410135" w14:textId="77777777">
            <w:pPr>
              <w:spacing w:line="240" w:lineRule="auto"/>
              <w:jc w:val="right"/>
              <w:rPr>
                <w:rFonts w:cs="Calibri"/>
                <w:szCs w:val="18"/>
                <w:lang w:val="en-GB" w:eastAsia="en-GB"/>
              </w:rPr>
            </w:pPr>
            <w:r w:rsidRPr="00E76941">
              <w:rPr>
                <w:rFonts w:cs="Calibri"/>
                <w:szCs w:val="18"/>
                <w:lang w:val="en-GB" w:eastAsia="en-GB"/>
              </w:rPr>
              <w:t xml:space="preserve">-3,8 </w:t>
            </w:r>
          </w:p>
        </w:tc>
        <w:tc>
          <w:tcPr>
            <w:tcW w:w="1134" w:type="dxa"/>
            <w:tcBorders>
              <w:top w:val="nil"/>
              <w:left w:val="nil"/>
              <w:bottom w:val="nil"/>
              <w:right w:val="nil"/>
            </w:tcBorders>
            <w:noWrap/>
            <w:hideMark/>
          </w:tcPr>
          <w:p w:rsidRPr="00E76941" w:rsidR="00B52D66" w:rsidP="00FC2172" w:rsidRDefault="00B52D66" w14:paraId="25D82E50" w14:textId="77777777">
            <w:pPr>
              <w:spacing w:line="240" w:lineRule="auto"/>
              <w:jc w:val="right"/>
              <w:rPr>
                <w:rFonts w:cs="Calibri"/>
                <w:szCs w:val="18"/>
                <w:lang w:val="en-GB" w:eastAsia="en-GB"/>
              </w:rPr>
            </w:pPr>
            <w:r w:rsidRPr="00E76941">
              <w:rPr>
                <w:rFonts w:cs="Calibri"/>
                <w:szCs w:val="18"/>
                <w:lang w:val="en-GB" w:eastAsia="en-GB"/>
              </w:rPr>
              <w:t xml:space="preserve">1.510 </w:t>
            </w:r>
          </w:p>
        </w:tc>
        <w:tc>
          <w:tcPr>
            <w:tcW w:w="713" w:type="dxa"/>
            <w:tcBorders>
              <w:top w:val="nil"/>
              <w:left w:val="nil"/>
              <w:bottom w:val="nil"/>
              <w:right w:val="nil"/>
            </w:tcBorders>
            <w:noWrap/>
            <w:hideMark/>
          </w:tcPr>
          <w:p w:rsidRPr="00E76941" w:rsidR="00B52D66" w:rsidP="00FC2172" w:rsidRDefault="00B52D66" w14:paraId="717587A7" w14:textId="77777777">
            <w:pPr>
              <w:spacing w:line="240" w:lineRule="auto"/>
              <w:jc w:val="right"/>
              <w:rPr>
                <w:rFonts w:cs="Calibri"/>
                <w:szCs w:val="18"/>
                <w:lang w:val="en-GB" w:eastAsia="en-GB"/>
              </w:rPr>
            </w:pPr>
            <w:r w:rsidRPr="00E76941">
              <w:rPr>
                <w:rFonts w:cs="Calibri"/>
                <w:szCs w:val="18"/>
                <w:lang w:val="en-GB" w:eastAsia="en-GB"/>
              </w:rPr>
              <w:t xml:space="preserve">-5,6 </w:t>
            </w:r>
          </w:p>
        </w:tc>
      </w:tr>
      <w:tr w:rsidRPr="00E76941" w:rsidR="00B52D66" w:rsidTr="00FC2172" w14:paraId="27A22C97" w14:textId="77777777">
        <w:trPr>
          <w:trHeight w:val="290"/>
        </w:trPr>
        <w:tc>
          <w:tcPr>
            <w:tcW w:w="1418" w:type="dxa"/>
            <w:tcBorders>
              <w:top w:val="nil"/>
              <w:left w:val="nil"/>
              <w:bottom w:val="nil"/>
              <w:right w:val="nil"/>
            </w:tcBorders>
            <w:noWrap/>
            <w:hideMark/>
          </w:tcPr>
          <w:p w:rsidRPr="00E76941" w:rsidR="00B52D66" w:rsidP="00FC2172" w:rsidRDefault="00B52D66" w14:paraId="303EC4E6" w14:textId="77777777">
            <w:pPr>
              <w:spacing w:line="240" w:lineRule="auto"/>
              <w:rPr>
                <w:rFonts w:cs="Calibri"/>
                <w:szCs w:val="18"/>
                <w:lang w:val="en-GB" w:eastAsia="en-GB"/>
              </w:rPr>
            </w:pPr>
            <w:r w:rsidRPr="00E76941">
              <w:rPr>
                <w:rFonts w:cs="Calibri"/>
                <w:szCs w:val="18"/>
                <w:lang w:val="en-GB" w:eastAsia="en-GB"/>
              </w:rPr>
              <w:t>PIE</w:t>
            </w:r>
          </w:p>
        </w:tc>
        <w:tc>
          <w:tcPr>
            <w:tcW w:w="1276" w:type="dxa"/>
            <w:tcBorders>
              <w:top w:val="nil"/>
              <w:left w:val="nil"/>
              <w:bottom w:val="nil"/>
              <w:right w:val="nil"/>
            </w:tcBorders>
            <w:noWrap/>
            <w:hideMark/>
          </w:tcPr>
          <w:p w:rsidRPr="00E76941" w:rsidR="00B52D66" w:rsidP="00FC2172" w:rsidRDefault="00B52D66" w14:paraId="731485EA" w14:textId="77777777">
            <w:pPr>
              <w:spacing w:line="240" w:lineRule="auto"/>
              <w:jc w:val="right"/>
              <w:rPr>
                <w:rFonts w:cs="Calibri"/>
                <w:szCs w:val="18"/>
                <w:lang w:val="en-GB" w:eastAsia="en-GB"/>
              </w:rPr>
            </w:pPr>
            <w:r w:rsidRPr="00E76941">
              <w:rPr>
                <w:rFonts w:cs="Calibri"/>
                <w:szCs w:val="18"/>
                <w:lang w:val="en-GB" w:eastAsia="en-GB"/>
              </w:rPr>
              <w:t xml:space="preserve">1.504 </w:t>
            </w:r>
          </w:p>
        </w:tc>
        <w:tc>
          <w:tcPr>
            <w:tcW w:w="850" w:type="dxa"/>
            <w:tcBorders>
              <w:top w:val="nil"/>
              <w:left w:val="nil"/>
              <w:bottom w:val="nil"/>
              <w:right w:val="nil"/>
            </w:tcBorders>
            <w:noWrap/>
            <w:hideMark/>
          </w:tcPr>
          <w:p w:rsidRPr="00E76941" w:rsidR="00B52D66" w:rsidP="00FC2172" w:rsidRDefault="00B52D66" w14:paraId="75626474" w14:textId="77777777">
            <w:pPr>
              <w:spacing w:line="240" w:lineRule="auto"/>
              <w:jc w:val="right"/>
              <w:rPr>
                <w:rFonts w:cs="Calibri"/>
                <w:szCs w:val="18"/>
                <w:lang w:val="en-GB" w:eastAsia="en-GB"/>
              </w:rPr>
            </w:pPr>
            <w:r w:rsidRPr="00E76941">
              <w:rPr>
                <w:rFonts w:cs="Calibri"/>
                <w:szCs w:val="18"/>
                <w:lang w:val="en-GB" w:eastAsia="en-GB"/>
              </w:rPr>
              <w:t xml:space="preserve">-6,0 </w:t>
            </w:r>
          </w:p>
        </w:tc>
        <w:tc>
          <w:tcPr>
            <w:tcW w:w="1276" w:type="dxa"/>
            <w:tcBorders>
              <w:top w:val="nil"/>
              <w:left w:val="nil"/>
              <w:bottom w:val="nil"/>
              <w:right w:val="nil"/>
            </w:tcBorders>
            <w:noWrap/>
            <w:hideMark/>
          </w:tcPr>
          <w:p w:rsidRPr="00E76941" w:rsidR="00B52D66" w:rsidP="00FC2172" w:rsidRDefault="00B52D66" w14:paraId="5AB4BF7C" w14:textId="77777777">
            <w:pPr>
              <w:spacing w:line="240" w:lineRule="auto"/>
              <w:jc w:val="right"/>
              <w:rPr>
                <w:rFonts w:cs="Calibri"/>
                <w:szCs w:val="18"/>
                <w:lang w:val="en-GB" w:eastAsia="en-GB"/>
              </w:rPr>
            </w:pPr>
            <w:r w:rsidRPr="00E76941">
              <w:rPr>
                <w:rFonts w:cs="Calibri"/>
                <w:szCs w:val="18"/>
                <w:lang w:val="en-GB" w:eastAsia="en-GB"/>
              </w:rPr>
              <w:t xml:space="preserve">2.643 </w:t>
            </w:r>
          </w:p>
        </w:tc>
        <w:tc>
          <w:tcPr>
            <w:tcW w:w="740" w:type="dxa"/>
            <w:tcBorders>
              <w:top w:val="nil"/>
              <w:left w:val="nil"/>
              <w:bottom w:val="nil"/>
              <w:right w:val="nil"/>
            </w:tcBorders>
            <w:noWrap/>
            <w:hideMark/>
          </w:tcPr>
          <w:p w:rsidRPr="00E76941" w:rsidR="00B52D66" w:rsidP="00FC2172" w:rsidRDefault="00B52D66" w14:paraId="6322CFF0" w14:textId="77777777">
            <w:pPr>
              <w:spacing w:line="240" w:lineRule="auto"/>
              <w:jc w:val="right"/>
              <w:rPr>
                <w:rFonts w:cs="Calibri"/>
                <w:szCs w:val="18"/>
                <w:lang w:val="en-GB" w:eastAsia="en-GB"/>
              </w:rPr>
            </w:pPr>
            <w:r w:rsidRPr="00E76941">
              <w:rPr>
                <w:rFonts w:cs="Calibri"/>
                <w:szCs w:val="18"/>
                <w:lang w:val="en-GB" w:eastAsia="en-GB"/>
              </w:rPr>
              <w:t xml:space="preserve">-0,6 </w:t>
            </w:r>
          </w:p>
        </w:tc>
        <w:tc>
          <w:tcPr>
            <w:tcW w:w="1069" w:type="dxa"/>
            <w:tcBorders>
              <w:top w:val="nil"/>
              <w:left w:val="nil"/>
              <w:bottom w:val="nil"/>
              <w:right w:val="nil"/>
            </w:tcBorders>
            <w:noWrap/>
            <w:hideMark/>
          </w:tcPr>
          <w:p w:rsidRPr="00E76941" w:rsidR="00B52D66" w:rsidP="00FC2172" w:rsidRDefault="00B52D66" w14:paraId="49900680" w14:textId="77777777">
            <w:pPr>
              <w:spacing w:line="240" w:lineRule="auto"/>
              <w:jc w:val="right"/>
              <w:rPr>
                <w:rFonts w:cs="Calibri"/>
                <w:szCs w:val="18"/>
                <w:lang w:val="en-GB" w:eastAsia="en-GB"/>
              </w:rPr>
            </w:pPr>
            <w:r w:rsidRPr="00E76941">
              <w:rPr>
                <w:rFonts w:cs="Calibri"/>
                <w:szCs w:val="18"/>
                <w:lang w:val="en-GB" w:eastAsia="en-GB"/>
              </w:rPr>
              <w:t xml:space="preserve">715 </w:t>
            </w:r>
          </w:p>
        </w:tc>
        <w:tc>
          <w:tcPr>
            <w:tcW w:w="884" w:type="dxa"/>
            <w:tcBorders>
              <w:top w:val="nil"/>
              <w:left w:val="nil"/>
              <w:bottom w:val="nil"/>
              <w:right w:val="nil"/>
            </w:tcBorders>
            <w:noWrap/>
            <w:hideMark/>
          </w:tcPr>
          <w:p w:rsidRPr="00E76941" w:rsidR="00B52D66" w:rsidP="00FC2172" w:rsidRDefault="00B52D66" w14:paraId="35562DF3" w14:textId="77777777">
            <w:pPr>
              <w:spacing w:line="240" w:lineRule="auto"/>
              <w:jc w:val="right"/>
              <w:rPr>
                <w:rFonts w:cs="Calibri"/>
                <w:szCs w:val="18"/>
                <w:lang w:val="en-GB" w:eastAsia="en-GB"/>
              </w:rPr>
            </w:pPr>
            <w:r w:rsidRPr="00E76941">
              <w:rPr>
                <w:rFonts w:cs="Calibri"/>
                <w:szCs w:val="18"/>
                <w:lang w:val="en-GB" w:eastAsia="en-GB"/>
              </w:rPr>
              <w:t xml:space="preserve">1,0 </w:t>
            </w:r>
          </w:p>
        </w:tc>
        <w:tc>
          <w:tcPr>
            <w:tcW w:w="1134" w:type="dxa"/>
            <w:tcBorders>
              <w:top w:val="nil"/>
              <w:left w:val="nil"/>
              <w:bottom w:val="nil"/>
              <w:right w:val="nil"/>
            </w:tcBorders>
            <w:noWrap/>
            <w:hideMark/>
          </w:tcPr>
          <w:p w:rsidRPr="00E76941" w:rsidR="00B52D66" w:rsidP="00FC2172" w:rsidRDefault="00B52D66" w14:paraId="462D87C3" w14:textId="77777777">
            <w:pPr>
              <w:spacing w:line="240" w:lineRule="auto"/>
              <w:jc w:val="right"/>
              <w:rPr>
                <w:rFonts w:cs="Calibri"/>
                <w:szCs w:val="18"/>
                <w:lang w:val="en-GB" w:eastAsia="en-GB"/>
              </w:rPr>
            </w:pPr>
            <w:r w:rsidRPr="00E76941">
              <w:rPr>
                <w:rFonts w:cs="Calibri"/>
                <w:szCs w:val="18"/>
                <w:lang w:val="en-GB" w:eastAsia="en-GB"/>
              </w:rPr>
              <w:t xml:space="preserve">4.862 </w:t>
            </w:r>
          </w:p>
        </w:tc>
        <w:tc>
          <w:tcPr>
            <w:tcW w:w="713" w:type="dxa"/>
            <w:tcBorders>
              <w:top w:val="nil"/>
              <w:left w:val="nil"/>
              <w:bottom w:val="nil"/>
              <w:right w:val="nil"/>
            </w:tcBorders>
            <w:noWrap/>
            <w:hideMark/>
          </w:tcPr>
          <w:p w:rsidRPr="00E76941" w:rsidR="00B52D66" w:rsidP="00FC2172" w:rsidRDefault="00B52D66" w14:paraId="5BBE1E6D" w14:textId="77777777">
            <w:pPr>
              <w:spacing w:line="240" w:lineRule="auto"/>
              <w:jc w:val="right"/>
              <w:rPr>
                <w:rFonts w:cs="Calibri"/>
                <w:szCs w:val="18"/>
                <w:lang w:val="en-GB" w:eastAsia="en-GB"/>
              </w:rPr>
            </w:pPr>
            <w:r w:rsidRPr="00E76941">
              <w:rPr>
                <w:rFonts w:cs="Calibri"/>
                <w:szCs w:val="18"/>
                <w:lang w:val="en-GB" w:eastAsia="en-GB"/>
              </w:rPr>
              <w:t xml:space="preserve">-2,1 </w:t>
            </w:r>
          </w:p>
        </w:tc>
      </w:tr>
      <w:tr w:rsidRPr="00E76941" w:rsidR="00B52D66" w:rsidTr="00FC2172" w14:paraId="1A8A7514" w14:textId="77777777">
        <w:trPr>
          <w:trHeight w:val="290"/>
        </w:trPr>
        <w:tc>
          <w:tcPr>
            <w:tcW w:w="1418" w:type="dxa"/>
            <w:tcBorders>
              <w:top w:val="nil"/>
              <w:left w:val="nil"/>
              <w:bottom w:val="nil"/>
              <w:right w:val="nil"/>
            </w:tcBorders>
            <w:noWrap/>
            <w:hideMark/>
          </w:tcPr>
          <w:p w:rsidRPr="00E76941" w:rsidR="00B52D66" w:rsidP="00FC2172" w:rsidRDefault="00B52D66" w14:paraId="13957367" w14:textId="77777777">
            <w:pPr>
              <w:spacing w:line="240" w:lineRule="auto"/>
              <w:rPr>
                <w:rFonts w:cs="Calibri"/>
                <w:i/>
                <w:iCs/>
                <w:szCs w:val="18"/>
                <w:lang w:val="en-GB" w:eastAsia="en-GB"/>
              </w:rPr>
            </w:pPr>
            <w:r w:rsidRPr="00E76941">
              <w:rPr>
                <w:rFonts w:cs="Calibri"/>
                <w:i/>
                <w:iCs/>
                <w:szCs w:val="18"/>
                <w:lang w:val="en-GB" w:eastAsia="en-GB"/>
              </w:rPr>
              <w:t>Niet-techniek</w:t>
            </w:r>
          </w:p>
        </w:tc>
        <w:tc>
          <w:tcPr>
            <w:tcW w:w="1276" w:type="dxa"/>
            <w:tcBorders>
              <w:top w:val="nil"/>
              <w:left w:val="nil"/>
              <w:bottom w:val="nil"/>
              <w:right w:val="nil"/>
            </w:tcBorders>
            <w:noWrap/>
            <w:hideMark/>
          </w:tcPr>
          <w:p w:rsidRPr="00E76941" w:rsidR="00B52D66" w:rsidP="00FC2172" w:rsidRDefault="00B52D66" w14:paraId="6778E206" w14:textId="77777777">
            <w:pPr>
              <w:spacing w:line="240" w:lineRule="auto"/>
              <w:jc w:val="right"/>
              <w:rPr>
                <w:rFonts w:cs="Calibri"/>
                <w:i/>
                <w:iCs/>
                <w:szCs w:val="18"/>
                <w:lang w:val="en-GB" w:eastAsia="en-GB"/>
              </w:rPr>
            </w:pPr>
            <w:r w:rsidRPr="00E76941">
              <w:rPr>
                <w:rFonts w:cs="Calibri"/>
                <w:i/>
                <w:iCs/>
                <w:szCs w:val="18"/>
                <w:lang w:val="en-GB" w:eastAsia="en-GB"/>
              </w:rPr>
              <w:t xml:space="preserve">12.387 </w:t>
            </w:r>
          </w:p>
        </w:tc>
        <w:tc>
          <w:tcPr>
            <w:tcW w:w="850" w:type="dxa"/>
            <w:tcBorders>
              <w:top w:val="nil"/>
              <w:left w:val="nil"/>
              <w:bottom w:val="nil"/>
              <w:right w:val="nil"/>
            </w:tcBorders>
            <w:noWrap/>
            <w:hideMark/>
          </w:tcPr>
          <w:p w:rsidRPr="00E76941" w:rsidR="00B52D66" w:rsidP="00FC2172" w:rsidRDefault="00B52D66" w14:paraId="2383F572" w14:textId="77777777">
            <w:pPr>
              <w:spacing w:line="240" w:lineRule="auto"/>
              <w:jc w:val="right"/>
              <w:rPr>
                <w:rFonts w:cs="Calibri"/>
                <w:i/>
                <w:iCs/>
                <w:szCs w:val="18"/>
                <w:lang w:val="en-GB" w:eastAsia="en-GB"/>
              </w:rPr>
            </w:pPr>
            <w:r w:rsidRPr="00E76941">
              <w:rPr>
                <w:rFonts w:cs="Calibri"/>
                <w:i/>
                <w:iCs/>
                <w:szCs w:val="18"/>
                <w:lang w:val="en-GB" w:eastAsia="en-GB"/>
              </w:rPr>
              <w:t xml:space="preserve">-1,8 </w:t>
            </w:r>
          </w:p>
        </w:tc>
        <w:tc>
          <w:tcPr>
            <w:tcW w:w="1276" w:type="dxa"/>
            <w:tcBorders>
              <w:top w:val="nil"/>
              <w:left w:val="nil"/>
              <w:bottom w:val="nil"/>
              <w:right w:val="nil"/>
            </w:tcBorders>
            <w:noWrap/>
            <w:hideMark/>
          </w:tcPr>
          <w:p w:rsidRPr="00E76941" w:rsidR="00B52D66" w:rsidP="00FC2172" w:rsidRDefault="00B52D66" w14:paraId="186BD428" w14:textId="77777777">
            <w:pPr>
              <w:spacing w:line="240" w:lineRule="auto"/>
              <w:jc w:val="right"/>
              <w:rPr>
                <w:rFonts w:cs="Calibri"/>
                <w:i/>
                <w:iCs/>
                <w:szCs w:val="18"/>
                <w:lang w:val="en-GB" w:eastAsia="en-GB"/>
              </w:rPr>
            </w:pPr>
            <w:r w:rsidRPr="00E76941">
              <w:rPr>
                <w:rFonts w:cs="Calibri"/>
                <w:i/>
                <w:iCs/>
                <w:szCs w:val="18"/>
                <w:lang w:val="en-GB" w:eastAsia="en-GB"/>
              </w:rPr>
              <w:t xml:space="preserve">21.887 </w:t>
            </w:r>
          </w:p>
        </w:tc>
        <w:tc>
          <w:tcPr>
            <w:tcW w:w="740" w:type="dxa"/>
            <w:tcBorders>
              <w:top w:val="nil"/>
              <w:left w:val="nil"/>
              <w:bottom w:val="nil"/>
              <w:right w:val="nil"/>
            </w:tcBorders>
            <w:noWrap/>
            <w:hideMark/>
          </w:tcPr>
          <w:p w:rsidRPr="00E76941" w:rsidR="00B52D66" w:rsidP="00FC2172" w:rsidRDefault="00B52D66" w14:paraId="7BB6CFC7" w14:textId="77777777">
            <w:pPr>
              <w:spacing w:line="240" w:lineRule="auto"/>
              <w:jc w:val="right"/>
              <w:rPr>
                <w:rFonts w:cs="Calibri"/>
                <w:i/>
                <w:iCs/>
                <w:szCs w:val="18"/>
                <w:lang w:val="en-GB" w:eastAsia="en-GB"/>
              </w:rPr>
            </w:pPr>
            <w:r w:rsidRPr="00E76941">
              <w:rPr>
                <w:rFonts w:cs="Calibri"/>
                <w:i/>
                <w:iCs/>
                <w:szCs w:val="18"/>
                <w:lang w:val="en-GB" w:eastAsia="en-GB"/>
              </w:rPr>
              <w:t xml:space="preserve"> -2,6 </w:t>
            </w:r>
          </w:p>
        </w:tc>
        <w:tc>
          <w:tcPr>
            <w:tcW w:w="1069" w:type="dxa"/>
            <w:tcBorders>
              <w:top w:val="nil"/>
              <w:left w:val="nil"/>
              <w:bottom w:val="nil"/>
              <w:right w:val="nil"/>
            </w:tcBorders>
            <w:noWrap/>
            <w:hideMark/>
          </w:tcPr>
          <w:p w:rsidRPr="00E76941" w:rsidR="00B52D66" w:rsidP="00FC2172" w:rsidRDefault="00B52D66" w14:paraId="2F4E0FE9" w14:textId="77777777">
            <w:pPr>
              <w:spacing w:line="240" w:lineRule="auto"/>
              <w:jc w:val="right"/>
              <w:rPr>
                <w:rFonts w:cs="Calibri"/>
                <w:i/>
                <w:iCs/>
                <w:szCs w:val="18"/>
                <w:lang w:val="en-GB" w:eastAsia="en-GB"/>
              </w:rPr>
            </w:pPr>
            <w:r w:rsidRPr="00E76941">
              <w:rPr>
                <w:rFonts w:cs="Calibri"/>
                <w:i/>
                <w:iCs/>
                <w:szCs w:val="18"/>
                <w:lang w:val="en-GB" w:eastAsia="en-GB"/>
              </w:rPr>
              <w:t xml:space="preserve">13.984 </w:t>
            </w:r>
          </w:p>
        </w:tc>
        <w:tc>
          <w:tcPr>
            <w:tcW w:w="884" w:type="dxa"/>
            <w:tcBorders>
              <w:top w:val="nil"/>
              <w:left w:val="nil"/>
              <w:bottom w:val="nil"/>
              <w:right w:val="nil"/>
            </w:tcBorders>
            <w:noWrap/>
            <w:hideMark/>
          </w:tcPr>
          <w:p w:rsidRPr="00E76941" w:rsidR="00B52D66" w:rsidP="00FC2172" w:rsidRDefault="00B52D66" w14:paraId="60C538FB" w14:textId="77777777">
            <w:pPr>
              <w:spacing w:line="240" w:lineRule="auto"/>
              <w:jc w:val="right"/>
              <w:rPr>
                <w:rFonts w:cs="Calibri"/>
                <w:i/>
                <w:iCs/>
                <w:szCs w:val="18"/>
                <w:lang w:val="en-GB" w:eastAsia="en-GB"/>
              </w:rPr>
            </w:pPr>
            <w:r w:rsidRPr="00E76941">
              <w:rPr>
                <w:rFonts w:cs="Calibri"/>
                <w:i/>
                <w:iCs/>
                <w:szCs w:val="18"/>
                <w:lang w:val="en-GB" w:eastAsia="en-GB"/>
              </w:rPr>
              <w:t xml:space="preserve"> -2,4 </w:t>
            </w:r>
          </w:p>
        </w:tc>
        <w:tc>
          <w:tcPr>
            <w:tcW w:w="1134" w:type="dxa"/>
            <w:tcBorders>
              <w:top w:val="nil"/>
              <w:left w:val="nil"/>
              <w:bottom w:val="nil"/>
              <w:right w:val="nil"/>
            </w:tcBorders>
            <w:noWrap/>
            <w:hideMark/>
          </w:tcPr>
          <w:p w:rsidRPr="00E76941" w:rsidR="00B52D66" w:rsidP="00FC2172" w:rsidRDefault="00B52D66" w14:paraId="0927DF23" w14:textId="77777777">
            <w:pPr>
              <w:spacing w:line="240" w:lineRule="auto"/>
              <w:jc w:val="right"/>
              <w:rPr>
                <w:rFonts w:cs="Calibri"/>
                <w:i/>
                <w:iCs/>
                <w:szCs w:val="18"/>
                <w:lang w:val="en-GB" w:eastAsia="en-GB"/>
              </w:rPr>
            </w:pPr>
            <w:r w:rsidRPr="00E76941">
              <w:rPr>
                <w:rFonts w:cs="Calibri"/>
                <w:i/>
                <w:iCs/>
                <w:szCs w:val="18"/>
                <w:lang w:val="en-GB" w:eastAsia="en-GB"/>
              </w:rPr>
              <w:t xml:space="preserve">48.258 </w:t>
            </w:r>
          </w:p>
        </w:tc>
        <w:tc>
          <w:tcPr>
            <w:tcW w:w="713" w:type="dxa"/>
            <w:tcBorders>
              <w:top w:val="nil"/>
              <w:left w:val="nil"/>
              <w:bottom w:val="nil"/>
              <w:right w:val="nil"/>
            </w:tcBorders>
            <w:noWrap/>
            <w:hideMark/>
          </w:tcPr>
          <w:p w:rsidRPr="00E76941" w:rsidR="00B52D66" w:rsidP="00FC2172" w:rsidRDefault="00B52D66" w14:paraId="59A7EF0C" w14:textId="77777777">
            <w:pPr>
              <w:spacing w:line="240" w:lineRule="auto"/>
              <w:jc w:val="right"/>
              <w:rPr>
                <w:rFonts w:cs="Calibri"/>
                <w:i/>
                <w:iCs/>
                <w:szCs w:val="18"/>
                <w:lang w:val="en-GB" w:eastAsia="en-GB"/>
              </w:rPr>
            </w:pPr>
            <w:r w:rsidRPr="00E76941">
              <w:rPr>
                <w:rFonts w:cs="Calibri"/>
                <w:i/>
                <w:iCs/>
                <w:szCs w:val="18"/>
                <w:lang w:val="en-GB" w:eastAsia="en-GB"/>
              </w:rPr>
              <w:t xml:space="preserve">-2,4 </w:t>
            </w:r>
          </w:p>
        </w:tc>
      </w:tr>
      <w:tr w:rsidRPr="00E76941" w:rsidR="00B52D66" w:rsidTr="00FC2172" w14:paraId="1E00B44F" w14:textId="77777777">
        <w:trPr>
          <w:trHeight w:val="290"/>
        </w:trPr>
        <w:tc>
          <w:tcPr>
            <w:tcW w:w="1418" w:type="dxa"/>
            <w:tcBorders>
              <w:top w:val="nil"/>
              <w:left w:val="nil"/>
              <w:bottom w:val="nil"/>
              <w:right w:val="nil"/>
            </w:tcBorders>
            <w:noWrap/>
            <w:hideMark/>
          </w:tcPr>
          <w:p w:rsidRPr="00E76941" w:rsidR="00B52D66" w:rsidP="00FC2172" w:rsidRDefault="00B52D66" w14:paraId="4CBA5250" w14:textId="77777777">
            <w:pPr>
              <w:spacing w:line="240" w:lineRule="auto"/>
              <w:rPr>
                <w:rFonts w:cs="Calibri"/>
                <w:szCs w:val="18"/>
                <w:lang w:val="en-GB" w:eastAsia="en-GB"/>
              </w:rPr>
            </w:pPr>
            <w:r w:rsidRPr="00E76941">
              <w:rPr>
                <w:rFonts w:cs="Calibri"/>
                <w:szCs w:val="18"/>
                <w:lang w:val="en-GB" w:eastAsia="en-GB"/>
              </w:rPr>
              <w:t>D&amp;P</w:t>
            </w:r>
          </w:p>
        </w:tc>
        <w:tc>
          <w:tcPr>
            <w:tcW w:w="1276" w:type="dxa"/>
            <w:tcBorders>
              <w:top w:val="nil"/>
              <w:left w:val="nil"/>
              <w:bottom w:val="nil"/>
              <w:right w:val="nil"/>
            </w:tcBorders>
            <w:noWrap/>
            <w:hideMark/>
          </w:tcPr>
          <w:p w:rsidRPr="00E76941" w:rsidR="00B52D66" w:rsidP="00FC2172" w:rsidRDefault="00B52D66" w14:paraId="22F49CEF" w14:textId="77777777">
            <w:pPr>
              <w:spacing w:line="240" w:lineRule="auto"/>
              <w:jc w:val="right"/>
              <w:rPr>
                <w:rFonts w:cs="Calibri"/>
                <w:szCs w:val="18"/>
                <w:lang w:val="en-GB" w:eastAsia="en-GB"/>
              </w:rPr>
            </w:pPr>
            <w:r w:rsidRPr="00E76941">
              <w:rPr>
                <w:rFonts w:cs="Calibri"/>
                <w:szCs w:val="18"/>
                <w:lang w:val="en-GB" w:eastAsia="en-GB"/>
              </w:rPr>
              <w:t xml:space="preserve">3.249 </w:t>
            </w:r>
          </w:p>
        </w:tc>
        <w:tc>
          <w:tcPr>
            <w:tcW w:w="850" w:type="dxa"/>
            <w:tcBorders>
              <w:top w:val="nil"/>
              <w:left w:val="nil"/>
              <w:bottom w:val="nil"/>
              <w:right w:val="nil"/>
            </w:tcBorders>
            <w:noWrap/>
            <w:hideMark/>
          </w:tcPr>
          <w:p w:rsidRPr="00E76941" w:rsidR="00B52D66" w:rsidP="00FC2172" w:rsidRDefault="00B52D66" w14:paraId="1D353672" w14:textId="77777777">
            <w:pPr>
              <w:spacing w:line="240" w:lineRule="auto"/>
              <w:jc w:val="right"/>
              <w:rPr>
                <w:rFonts w:cs="Calibri"/>
                <w:szCs w:val="18"/>
                <w:lang w:val="en-GB" w:eastAsia="en-GB"/>
              </w:rPr>
            </w:pPr>
            <w:r w:rsidRPr="00E76941">
              <w:rPr>
                <w:rFonts w:cs="Calibri"/>
                <w:szCs w:val="18"/>
                <w:lang w:val="en-GB" w:eastAsia="en-GB"/>
              </w:rPr>
              <w:t xml:space="preserve">-0,4 </w:t>
            </w:r>
          </w:p>
        </w:tc>
        <w:tc>
          <w:tcPr>
            <w:tcW w:w="1276" w:type="dxa"/>
            <w:tcBorders>
              <w:top w:val="nil"/>
              <w:left w:val="nil"/>
              <w:bottom w:val="nil"/>
              <w:right w:val="nil"/>
            </w:tcBorders>
            <w:noWrap/>
            <w:hideMark/>
          </w:tcPr>
          <w:p w:rsidRPr="00E76941" w:rsidR="00B52D66" w:rsidP="00FC2172" w:rsidRDefault="00B52D66" w14:paraId="1D76810B" w14:textId="77777777">
            <w:pPr>
              <w:spacing w:line="240" w:lineRule="auto"/>
              <w:jc w:val="right"/>
              <w:rPr>
                <w:rFonts w:cs="Calibri"/>
                <w:szCs w:val="18"/>
                <w:lang w:val="en-GB" w:eastAsia="en-GB"/>
              </w:rPr>
            </w:pPr>
            <w:r w:rsidRPr="00E76941">
              <w:rPr>
                <w:rFonts w:cs="Calibri"/>
                <w:szCs w:val="18"/>
                <w:lang w:val="en-GB" w:eastAsia="en-GB"/>
              </w:rPr>
              <w:t xml:space="preserve">6.234 </w:t>
            </w:r>
          </w:p>
        </w:tc>
        <w:tc>
          <w:tcPr>
            <w:tcW w:w="740" w:type="dxa"/>
            <w:tcBorders>
              <w:top w:val="nil"/>
              <w:left w:val="nil"/>
              <w:bottom w:val="nil"/>
              <w:right w:val="nil"/>
            </w:tcBorders>
            <w:noWrap/>
            <w:hideMark/>
          </w:tcPr>
          <w:p w:rsidRPr="00E76941" w:rsidR="00B52D66" w:rsidP="00FC2172" w:rsidRDefault="00B52D66" w14:paraId="66413D5D" w14:textId="77777777">
            <w:pPr>
              <w:spacing w:line="240" w:lineRule="auto"/>
              <w:jc w:val="right"/>
              <w:rPr>
                <w:rFonts w:cs="Calibri"/>
                <w:szCs w:val="18"/>
                <w:lang w:val="en-GB" w:eastAsia="en-GB"/>
              </w:rPr>
            </w:pPr>
            <w:r w:rsidRPr="00E76941">
              <w:rPr>
                <w:rFonts w:cs="Calibri"/>
                <w:szCs w:val="18"/>
                <w:lang w:val="en-GB" w:eastAsia="en-GB"/>
              </w:rPr>
              <w:t xml:space="preserve">-5,6 </w:t>
            </w:r>
          </w:p>
        </w:tc>
        <w:tc>
          <w:tcPr>
            <w:tcW w:w="1069" w:type="dxa"/>
            <w:tcBorders>
              <w:top w:val="nil"/>
              <w:left w:val="nil"/>
              <w:bottom w:val="nil"/>
              <w:right w:val="nil"/>
            </w:tcBorders>
            <w:noWrap/>
            <w:hideMark/>
          </w:tcPr>
          <w:p w:rsidRPr="00E76941" w:rsidR="00B52D66" w:rsidP="00FC2172" w:rsidRDefault="00B52D66" w14:paraId="6FDC05BA" w14:textId="77777777">
            <w:pPr>
              <w:spacing w:line="240" w:lineRule="auto"/>
              <w:jc w:val="right"/>
              <w:rPr>
                <w:rFonts w:cs="Calibri"/>
                <w:szCs w:val="18"/>
                <w:lang w:val="en-GB" w:eastAsia="en-GB"/>
              </w:rPr>
            </w:pPr>
            <w:r w:rsidRPr="00E76941">
              <w:rPr>
                <w:rFonts w:cs="Calibri"/>
                <w:szCs w:val="18"/>
                <w:lang w:val="en-GB" w:eastAsia="en-GB"/>
              </w:rPr>
              <w:t xml:space="preserve">7.473 </w:t>
            </w:r>
          </w:p>
        </w:tc>
        <w:tc>
          <w:tcPr>
            <w:tcW w:w="884" w:type="dxa"/>
            <w:tcBorders>
              <w:top w:val="nil"/>
              <w:left w:val="nil"/>
              <w:bottom w:val="nil"/>
              <w:right w:val="nil"/>
            </w:tcBorders>
            <w:noWrap/>
            <w:hideMark/>
          </w:tcPr>
          <w:p w:rsidRPr="00E76941" w:rsidR="00B52D66" w:rsidP="00FC2172" w:rsidRDefault="00B52D66" w14:paraId="66D4B4D1" w14:textId="77777777">
            <w:pPr>
              <w:spacing w:line="240" w:lineRule="auto"/>
              <w:jc w:val="right"/>
              <w:rPr>
                <w:rFonts w:cs="Calibri"/>
                <w:szCs w:val="18"/>
                <w:lang w:val="en-GB" w:eastAsia="en-GB"/>
              </w:rPr>
            </w:pPr>
            <w:r w:rsidRPr="00E76941">
              <w:rPr>
                <w:rFonts w:cs="Calibri"/>
                <w:szCs w:val="18"/>
                <w:lang w:val="en-GB" w:eastAsia="en-GB"/>
              </w:rPr>
              <w:t xml:space="preserve">-5,9 </w:t>
            </w:r>
          </w:p>
        </w:tc>
        <w:tc>
          <w:tcPr>
            <w:tcW w:w="1134" w:type="dxa"/>
            <w:tcBorders>
              <w:top w:val="nil"/>
              <w:left w:val="nil"/>
              <w:bottom w:val="nil"/>
              <w:right w:val="nil"/>
            </w:tcBorders>
            <w:noWrap/>
            <w:hideMark/>
          </w:tcPr>
          <w:p w:rsidRPr="00E76941" w:rsidR="00B52D66" w:rsidP="00FC2172" w:rsidRDefault="00B52D66" w14:paraId="0929A6B2" w14:textId="77777777">
            <w:pPr>
              <w:spacing w:line="240" w:lineRule="auto"/>
              <w:jc w:val="right"/>
              <w:rPr>
                <w:rFonts w:cs="Calibri"/>
                <w:szCs w:val="18"/>
                <w:lang w:val="en-GB" w:eastAsia="en-GB"/>
              </w:rPr>
            </w:pPr>
            <w:r w:rsidRPr="00E76941">
              <w:rPr>
                <w:rFonts w:cs="Calibri"/>
                <w:szCs w:val="18"/>
                <w:lang w:val="en-GB" w:eastAsia="en-GB"/>
              </w:rPr>
              <w:t xml:space="preserve">16.956 </w:t>
            </w:r>
          </w:p>
        </w:tc>
        <w:tc>
          <w:tcPr>
            <w:tcW w:w="713" w:type="dxa"/>
            <w:tcBorders>
              <w:top w:val="nil"/>
              <w:left w:val="nil"/>
              <w:bottom w:val="nil"/>
              <w:right w:val="nil"/>
            </w:tcBorders>
            <w:noWrap/>
            <w:hideMark/>
          </w:tcPr>
          <w:p w:rsidRPr="00E76941" w:rsidR="00B52D66" w:rsidP="00FC2172" w:rsidRDefault="00B52D66" w14:paraId="1DECBC4E" w14:textId="77777777">
            <w:pPr>
              <w:spacing w:line="240" w:lineRule="auto"/>
              <w:jc w:val="right"/>
              <w:rPr>
                <w:rFonts w:cs="Calibri"/>
                <w:szCs w:val="18"/>
                <w:lang w:val="en-GB" w:eastAsia="en-GB"/>
              </w:rPr>
            </w:pPr>
            <w:r w:rsidRPr="00E76941">
              <w:rPr>
                <w:rFonts w:cs="Calibri"/>
                <w:szCs w:val="18"/>
                <w:lang w:val="en-GB" w:eastAsia="en-GB"/>
              </w:rPr>
              <w:t xml:space="preserve">-4,8 </w:t>
            </w:r>
          </w:p>
        </w:tc>
      </w:tr>
      <w:tr w:rsidRPr="00E76941" w:rsidR="00B52D66" w:rsidTr="00FC2172" w14:paraId="18A303B9" w14:textId="77777777">
        <w:trPr>
          <w:trHeight w:val="290"/>
        </w:trPr>
        <w:tc>
          <w:tcPr>
            <w:tcW w:w="1418" w:type="dxa"/>
            <w:tcBorders>
              <w:top w:val="nil"/>
              <w:left w:val="nil"/>
              <w:bottom w:val="nil"/>
              <w:right w:val="nil"/>
            </w:tcBorders>
            <w:noWrap/>
            <w:hideMark/>
          </w:tcPr>
          <w:p w:rsidRPr="00E76941" w:rsidR="00B52D66" w:rsidP="00FC2172" w:rsidRDefault="00B52D66" w14:paraId="1C12087A" w14:textId="77777777">
            <w:pPr>
              <w:spacing w:line="240" w:lineRule="auto"/>
              <w:rPr>
                <w:rFonts w:cs="Calibri"/>
                <w:szCs w:val="18"/>
                <w:lang w:val="en-GB" w:eastAsia="en-GB"/>
              </w:rPr>
            </w:pPr>
            <w:r w:rsidRPr="00E76941">
              <w:rPr>
                <w:rFonts w:cs="Calibri"/>
                <w:szCs w:val="18"/>
                <w:lang w:val="en-GB" w:eastAsia="en-GB"/>
              </w:rPr>
              <w:t>E&amp;O</w:t>
            </w:r>
          </w:p>
        </w:tc>
        <w:tc>
          <w:tcPr>
            <w:tcW w:w="1276" w:type="dxa"/>
            <w:tcBorders>
              <w:top w:val="nil"/>
              <w:left w:val="nil"/>
              <w:bottom w:val="nil"/>
              <w:right w:val="nil"/>
            </w:tcBorders>
            <w:noWrap/>
            <w:hideMark/>
          </w:tcPr>
          <w:p w:rsidRPr="00E76941" w:rsidR="00B52D66" w:rsidP="00FC2172" w:rsidRDefault="00B52D66" w14:paraId="7ADBF89F" w14:textId="77777777">
            <w:pPr>
              <w:spacing w:line="240" w:lineRule="auto"/>
              <w:jc w:val="right"/>
              <w:rPr>
                <w:rFonts w:cs="Calibri"/>
                <w:szCs w:val="18"/>
                <w:lang w:val="en-GB" w:eastAsia="en-GB"/>
              </w:rPr>
            </w:pPr>
            <w:r w:rsidRPr="00E76941">
              <w:rPr>
                <w:rFonts w:cs="Calibri"/>
                <w:szCs w:val="18"/>
                <w:lang w:val="en-GB" w:eastAsia="en-GB"/>
              </w:rPr>
              <w:t xml:space="preserve">1.331 </w:t>
            </w:r>
          </w:p>
        </w:tc>
        <w:tc>
          <w:tcPr>
            <w:tcW w:w="850" w:type="dxa"/>
            <w:tcBorders>
              <w:top w:val="nil"/>
              <w:left w:val="nil"/>
              <w:bottom w:val="nil"/>
              <w:right w:val="nil"/>
            </w:tcBorders>
            <w:noWrap/>
            <w:hideMark/>
          </w:tcPr>
          <w:p w:rsidRPr="00E76941" w:rsidR="00B52D66" w:rsidP="00FC2172" w:rsidRDefault="00B52D66" w14:paraId="63DDF6D4" w14:textId="77777777">
            <w:pPr>
              <w:spacing w:line="240" w:lineRule="auto"/>
              <w:jc w:val="right"/>
              <w:rPr>
                <w:rFonts w:cs="Calibri"/>
                <w:szCs w:val="18"/>
                <w:lang w:val="en-GB" w:eastAsia="en-GB"/>
              </w:rPr>
            </w:pPr>
            <w:r w:rsidRPr="00E76941">
              <w:rPr>
                <w:rFonts w:cs="Calibri"/>
                <w:szCs w:val="18"/>
                <w:lang w:val="en-GB" w:eastAsia="en-GB"/>
              </w:rPr>
              <w:t xml:space="preserve">-2,7 </w:t>
            </w:r>
          </w:p>
        </w:tc>
        <w:tc>
          <w:tcPr>
            <w:tcW w:w="1276" w:type="dxa"/>
            <w:tcBorders>
              <w:top w:val="nil"/>
              <w:left w:val="nil"/>
              <w:bottom w:val="nil"/>
              <w:right w:val="nil"/>
            </w:tcBorders>
            <w:noWrap/>
            <w:hideMark/>
          </w:tcPr>
          <w:p w:rsidRPr="00E76941" w:rsidR="00B52D66" w:rsidP="00FC2172" w:rsidRDefault="00B52D66" w14:paraId="555301A6" w14:textId="77777777">
            <w:pPr>
              <w:spacing w:line="240" w:lineRule="auto"/>
              <w:jc w:val="right"/>
              <w:rPr>
                <w:rFonts w:cs="Calibri"/>
                <w:szCs w:val="18"/>
                <w:lang w:val="en-GB" w:eastAsia="en-GB"/>
              </w:rPr>
            </w:pPr>
            <w:r w:rsidRPr="00E76941">
              <w:rPr>
                <w:rFonts w:cs="Calibri"/>
                <w:szCs w:val="18"/>
                <w:lang w:val="en-GB" w:eastAsia="en-GB"/>
              </w:rPr>
              <w:t xml:space="preserve">2.945 </w:t>
            </w:r>
          </w:p>
        </w:tc>
        <w:tc>
          <w:tcPr>
            <w:tcW w:w="740" w:type="dxa"/>
            <w:tcBorders>
              <w:top w:val="nil"/>
              <w:left w:val="nil"/>
              <w:bottom w:val="nil"/>
              <w:right w:val="nil"/>
            </w:tcBorders>
            <w:noWrap/>
            <w:hideMark/>
          </w:tcPr>
          <w:p w:rsidRPr="00E76941" w:rsidR="00B52D66" w:rsidP="00FC2172" w:rsidRDefault="00B52D66" w14:paraId="6C7326F4" w14:textId="77777777">
            <w:pPr>
              <w:spacing w:line="240" w:lineRule="auto"/>
              <w:jc w:val="right"/>
              <w:rPr>
                <w:rFonts w:cs="Calibri"/>
                <w:szCs w:val="18"/>
                <w:lang w:val="en-GB" w:eastAsia="en-GB"/>
              </w:rPr>
            </w:pPr>
            <w:r w:rsidRPr="00E76941">
              <w:rPr>
                <w:rFonts w:cs="Calibri"/>
                <w:szCs w:val="18"/>
                <w:lang w:val="en-GB" w:eastAsia="en-GB"/>
              </w:rPr>
              <w:t xml:space="preserve">-8,7 </w:t>
            </w:r>
          </w:p>
        </w:tc>
        <w:tc>
          <w:tcPr>
            <w:tcW w:w="1069" w:type="dxa"/>
            <w:tcBorders>
              <w:top w:val="nil"/>
              <w:left w:val="nil"/>
              <w:bottom w:val="nil"/>
              <w:right w:val="nil"/>
            </w:tcBorders>
            <w:noWrap/>
            <w:hideMark/>
          </w:tcPr>
          <w:p w:rsidRPr="00E76941" w:rsidR="00B52D66" w:rsidP="00FC2172" w:rsidRDefault="00B52D66" w14:paraId="18AA3CD4" w14:textId="77777777">
            <w:pPr>
              <w:spacing w:line="240" w:lineRule="auto"/>
              <w:jc w:val="right"/>
              <w:rPr>
                <w:rFonts w:cs="Calibri"/>
                <w:szCs w:val="18"/>
                <w:lang w:val="en-GB" w:eastAsia="en-GB"/>
              </w:rPr>
            </w:pPr>
            <w:r w:rsidRPr="00E76941">
              <w:rPr>
                <w:rFonts w:cs="Calibri"/>
                <w:szCs w:val="18"/>
                <w:lang w:val="en-GB" w:eastAsia="en-GB"/>
              </w:rPr>
              <w:t xml:space="preserve">1.173 </w:t>
            </w:r>
          </w:p>
        </w:tc>
        <w:tc>
          <w:tcPr>
            <w:tcW w:w="884" w:type="dxa"/>
            <w:tcBorders>
              <w:top w:val="nil"/>
              <w:left w:val="nil"/>
              <w:bottom w:val="nil"/>
              <w:right w:val="nil"/>
            </w:tcBorders>
            <w:noWrap/>
            <w:hideMark/>
          </w:tcPr>
          <w:p w:rsidRPr="00E76941" w:rsidR="00B52D66" w:rsidP="00FC2172" w:rsidRDefault="00B52D66" w14:paraId="55EC50EE" w14:textId="77777777">
            <w:pPr>
              <w:spacing w:line="240" w:lineRule="auto"/>
              <w:jc w:val="right"/>
              <w:rPr>
                <w:rFonts w:cs="Calibri"/>
                <w:szCs w:val="18"/>
                <w:lang w:val="en-GB" w:eastAsia="en-GB"/>
              </w:rPr>
            </w:pPr>
            <w:r w:rsidRPr="00E76941">
              <w:rPr>
                <w:rFonts w:cs="Calibri"/>
                <w:szCs w:val="18"/>
                <w:lang w:val="en-GB" w:eastAsia="en-GB"/>
              </w:rPr>
              <w:t xml:space="preserve">-5,2 </w:t>
            </w:r>
          </w:p>
        </w:tc>
        <w:tc>
          <w:tcPr>
            <w:tcW w:w="1134" w:type="dxa"/>
            <w:tcBorders>
              <w:top w:val="nil"/>
              <w:left w:val="nil"/>
              <w:bottom w:val="nil"/>
              <w:right w:val="nil"/>
            </w:tcBorders>
            <w:noWrap/>
            <w:hideMark/>
          </w:tcPr>
          <w:p w:rsidRPr="00E76941" w:rsidR="00B52D66" w:rsidP="00FC2172" w:rsidRDefault="00B52D66" w14:paraId="65E991FA" w14:textId="77777777">
            <w:pPr>
              <w:spacing w:line="240" w:lineRule="auto"/>
              <w:jc w:val="right"/>
              <w:rPr>
                <w:rFonts w:cs="Calibri"/>
                <w:szCs w:val="18"/>
                <w:lang w:val="en-GB" w:eastAsia="en-GB"/>
              </w:rPr>
            </w:pPr>
            <w:r w:rsidRPr="00E76941">
              <w:rPr>
                <w:rFonts w:cs="Calibri"/>
                <w:szCs w:val="18"/>
                <w:lang w:val="en-GB" w:eastAsia="en-GB"/>
              </w:rPr>
              <w:t xml:space="preserve">5.449 </w:t>
            </w:r>
          </w:p>
        </w:tc>
        <w:tc>
          <w:tcPr>
            <w:tcW w:w="713" w:type="dxa"/>
            <w:tcBorders>
              <w:top w:val="nil"/>
              <w:left w:val="nil"/>
              <w:bottom w:val="nil"/>
              <w:right w:val="nil"/>
            </w:tcBorders>
            <w:noWrap/>
            <w:hideMark/>
          </w:tcPr>
          <w:p w:rsidRPr="00E76941" w:rsidR="00B52D66" w:rsidP="00FC2172" w:rsidRDefault="00B52D66" w14:paraId="4C9203A7" w14:textId="77777777">
            <w:pPr>
              <w:spacing w:line="240" w:lineRule="auto"/>
              <w:jc w:val="right"/>
              <w:rPr>
                <w:rFonts w:cs="Calibri"/>
                <w:szCs w:val="18"/>
                <w:lang w:val="en-GB" w:eastAsia="en-GB"/>
              </w:rPr>
            </w:pPr>
            <w:r w:rsidRPr="00E76941">
              <w:rPr>
                <w:rFonts w:cs="Calibri"/>
                <w:szCs w:val="18"/>
                <w:lang w:val="en-GB" w:eastAsia="en-GB"/>
              </w:rPr>
              <w:t xml:space="preserve">-6,6 </w:t>
            </w:r>
          </w:p>
        </w:tc>
      </w:tr>
      <w:tr w:rsidRPr="00E76941" w:rsidR="00B52D66" w:rsidTr="00FC2172" w14:paraId="014CE129" w14:textId="77777777">
        <w:trPr>
          <w:trHeight w:val="290"/>
        </w:trPr>
        <w:tc>
          <w:tcPr>
            <w:tcW w:w="1418" w:type="dxa"/>
            <w:tcBorders>
              <w:top w:val="nil"/>
              <w:left w:val="nil"/>
              <w:bottom w:val="nil"/>
              <w:right w:val="nil"/>
            </w:tcBorders>
            <w:noWrap/>
            <w:hideMark/>
          </w:tcPr>
          <w:p w:rsidRPr="00E76941" w:rsidR="00B52D66" w:rsidP="00FC2172" w:rsidRDefault="00B52D66" w14:paraId="40D292D2" w14:textId="77777777">
            <w:pPr>
              <w:spacing w:line="240" w:lineRule="auto"/>
              <w:rPr>
                <w:rFonts w:cs="Calibri"/>
                <w:szCs w:val="18"/>
                <w:lang w:val="en-GB" w:eastAsia="en-GB"/>
              </w:rPr>
            </w:pPr>
            <w:r w:rsidRPr="00E76941">
              <w:rPr>
                <w:rFonts w:cs="Calibri"/>
                <w:szCs w:val="18"/>
                <w:lang w:val="en-GB" w:eastAsia="en-GB"/>
              </w:rPr>
              <w:t>Groen</w:t>
            </w:r>
          </w:p>
        </w:tc>
        <w:tc>
          <w:tcPr>
            <w:tcW w:w="1276" w:type="dxa"/>
            <w:tcBorders>
              <w:top w:val="nil"/>
              <w:left w:val="nil"/>
              <w:bottom w:val="nil"/>
              <w:right w:val="nil"/>
            </w:tcBorders>
            <w:noWrap/>
            <w:hideMark/>
          </w:tcPr>
          <w:p w:rsidRPr="00E76941" w:rsidR="00B52D66" w:rsidP="00FC2172" w:rsidRDefault="00B52D66" w14:paraId="6957481F" w14:textId="77777777">
            <w:pPr>
              <w:spacing w:line="240" w:lineRule="auto"/>
              <w:jc w:val="right"/>
              <w:rPr>
                <w:rFonts w:cs="Calibri"/>
                <w:szCs w:val="18"/>
                <w:lang w:val="en-GB" w:eastAsia="en-GB"/>
              </w:rPr>
            </w:pPr>
            <w:r w:rsidRPr="00E76941">
              <w:rPr>
                <w:rFonts w:cs="Calibri"/>
                <w:szCs w:val="18"/>
                <w:lang w:val="en-GB" w:eastAsia="en-GB"/>
              </w:rPr>
              <w:t xml:space="preserve">2.685 </w:t>
            </w:r>
          </w:p>
        </w:tc>
        <w:tc>
          <w:tcPr>
            <w:tcW w:w="850" w:type="dxa"/>
            <w:tcBorders>
              <w:top w:val="nil"/>
              <w:left w:val="nil"/>
              <w:bottom w:val="nil"/>
              <w:right w:val="nil"/>
            </w:tcBorders>
            <w:noWrap/>
            <w:hideMark/>
          </w:tcPr>
          <w:p w:rsidRPr="00E76941" w:rsidR="00B52D66" w:rsidP="00FC2172" w:rsidRDefault="00B52D66" w14:paraId="5476B230" w14:textId="77777777">
            <w:pPr>
              <w:spacing w:line="240" w:lineRule="auto"/>
              <w:jc w:val="right"/>
              <w:rPr>
                <w:rFonts w:cs="Calibri"/>
                <w:szCs w:val="18"/>
                <w:lang w:val="en-GB" w:eastAsia="en-GB"/>
              </w:rPr>
            </w:pPr>
            <w:r w:rsidRPr="00E76941">
              <w:rPr>
                <w:rFonts w:cs="Calibri"/>
                <w:szCs w:val="18"/>
                <w:lang w:val="en-GB" w:eastAsia="en-GB"/>
              </w:rPr>
              <w:t xml:space="preserve">0,9 </w:t>
            </w:r>
          </w:p>
        </w:tc>
        <w:tc>
          <w:tcPr>
            <w:tcW w:w="1276" w:type="dxa"/>
            <w:tcBorders>
              <w:top w:val="nil"/>
              <w:left w:val="nil"/>
              <w:bottom w:val="nil"/>
              <w:right w:val="nil"/>
            </w:tcBorders>
            <w:noWrap/>
            <w:hideMark/>
          </w:tcPr>
          <w:p w:rsidRPr="00E76941" w:rsidR="00B52D66" w:rsidP="00FC2172" w:rsidRDefault="00B52D66" w14:paraId="689ECEFA" w14:textId="77777777">
            <w:pPr>
              <w:spacing w:line="240" w:lineRule="auto"/>
              <w:jc w:val="right"/>
              <w:rPr>
                <w:rFonts w:cs="Calibri"/>
                <w:szCs w:val="18"/>
                <w:lang w:val="en-GB" w:eastAsia="en-GB"/>
              </w:rPr>
            </w:pPr>
            <w:r w:rsidRPr="00E76941">
              <w:rPr>
                <w:rFonts w:cs="Calibri"/>
                <w:szCs w:val="18"/>
                <w:lang w:val="en-GB" w:eastAsia="en-GB"/>
              </w:rPr>
              <w:t xml:space="preserve">3.819 </w:t>
            </w:r>
          </w:p>
        </w:tc>
        <w:tc>
          <w:tcPr>
            <w:tcW w:w="740" w:type="dxa"/>
            <w:tcBorders>
              <w:top w:val="nil"/>
              <w:left w:val="nil"/>
              <w:bottom w:val="nil"/>
              <w:right w:val="nil"/>
            </w:tcBorders>
            <w:noWrap/>
            <w:hideMark/>
          </w:tcPr>
          <w:p w:rsidRPr="00E76941" w:rsidR="00B52D66" w:rsidP="00FC2172" w:rsidRDefault="00B52D66" w14:paraId="2F772A1B" w14:textId="77777777">
            <w:pPr>
              <w:spacing w:line="240" w:lineRule="auto"/>
              <w:jc w:val="right"/>
              <w:rPr>
                <w:rFonts w:cs="Calibri"/>
                <w:szCs w:val="18"/>
                <w:lang w:val="en-GB" w:eastAsia="en-GB"/>
              </w:rPr>
            </w:pPr>
            <w:r w:rsidRPr="00E76941">
              <w:rPr>
                <w:rFonts w:cs="Calibri"/>
                <w:szCs w:val="18"/>
                <w:lang w:val="en-GB" w:eastAsia="en-GB"/>
              </w:rPr>
              <w:t xml:space="preserve">6,1 </w:t>
            </w:r>
          </w:p>
        </w:tc>
        <w:tc>
          <w:tcPr>
            <w:tcW w:w="1069" w:type="dxa"/>
            <w:tcBorders>
              <w:top w:val="nil"/>
              <w:left w:val="nil"/>
              <w:bottom w:val="nil"/>
              <w:right w:val="nil"/>
            </w:tcBorders>
            <w:noWrap/>
            <w:hideMark/>
          </w:tcPr>
          <w:p w:rsidRPr="00E76941" w:rsidR="00B52D66" w:rsidP="00FC2172" w:rsidRDefault="00B52D66" w14:paraId="09972D1F" w14:textId="77777777">
            <w:pPr>
              <w:spacing w:line="240" w:lineRule="auto"/>
              <w:jc w:val="right"/>
              <w:rPr>
                <w:rFonts w:cs="Calibri"/>
                <w:szCs w:val="18"/>
                <w:lang w:val="en-GB" w:eastAsia="en-GB"/>
              </w:rPr>
            </w:pPr>
            <w:r w:rsidRPr="00E76941">
              <w:rPr>
                <w:rFonts w:cs="Calibri"/>
                <w:szCs w:val="18"/>
                <w:lang w:val="en-GB" w:eastAsia="en-GB"/>
              </w:rPr>
              <w:t xml:space="preserve">3.109 </w:t>
            </w:r>
          </w:p>
        </w:tc>
        <w:tc>
          <w:tcPr>
            <w:tcW w:w="884" w:type="dxa"/>
            <w:tcBorders>
              <w:top w:val="nil"/>
              <w:left w:val="nil"/>
              <w:bottom w:val="nil"/>
              <w:right w:val="nil"/>
            </w:tcBorders>
            <w:noWrap/>
            <w:hideMark/>
          </w:tcPr>
          <w:p w:rsidRPr="00E76941" w:rsidR="00B52D66" w:rsidP="00FC2172" w:rsidRDefault="00B52D66" w14:paraId="07AAB38A" w14:textId="77777777">
            <w:pPr>
              <w:spacing w:line="240" w:lineRule="auto"/>
              <w:jc w:val="right"/>
              <w:rPr>
                <w:rFonts w:cs="Calibri"/>
                <w:szCs w:val="18"/>
                <w:lang w:val="en-GB" w:eastAsia="en-GB"/>
              </w:rPr>
            </w:pPr>
            <w:r w:rsidRPr="00E76941">
              <w:rPr>
                <w:rFonts w:cs="Calibri"/>
                <w:szCs w:val="18"/>
                <w:lang w:val="en-GB" w:eastAsia="en-GB"/>
              </w:rPr>
              <w:t xml:space="preserve">11,6 </w:t>
            </w:r>
          </w:p>
        </w:tc>
        <w:tc>
          <w:tcPr>
            <w:tcW w:w="1134" w:type="dxa"/>
            <w:tcBorders>
              <w:top w:val="nil"/>
              <w:left w:val="nil"/>
              <w:bottom w:val="nil"/>
              <w:right w:val="nil"/>
            </w:tcBorders>
            <w:noWrap/>
            <w:hideMark/>
          </w:tcPr>
          <w:p w:rsidRPr="00E76941" w:rsidR="00B52D66" w:rsidP="00FC2172" w:rsidRDefault="00B52D66" w14:paraId="3AB66E3B" w14:textId="77777777">
            <w:pPr>
              <w:spacing w:line="240" w:lineRule="auto"/>
              <w:jc w:val="right"/>
              <w:rPr>
                <w:rFonts w:cs="Calibri"/>
                <w:szCs w:val="18"/>
                <w:lang w:val="en-GB" w:eastAsia="en-GB"/>
              </w:rPr>
            </w:pPr>
            <w:r w:rsidRPr="00E76941">
              <w:rPr>
                <w:rFonts w:cs="Calibri"/>
                <w:szCs w:val="18"/>
                <w:lang w:val="en-GB" w:eastAsia="en-GB"/>
              </w:rPr>
              <w:t xml:space="preserve">9.613 </w:t>
            </w:r>
          </w:p>
        </w:tc>
        <w:tc>
          <w:tcPr>
            <w:tcW w:w="713" w:type="dxa"/>
            <w:tcBorders>
              <w:top w:val="nil"/>
              <w:left w:val="nil"/>
              <w:bottom w:val="nil"/>
              <w:right w:val="nil"/>
            </w:tcBorders>
            <w:noWrap/>
            <w:hideMark/>
          </w:tcPr>
          <w:p w:rsidRPr="00E76941" w:rsidR="00B52D66" w:rsidP="00FC2172" w:rsidRDefault="00B52D66" w14:paraId="03AF90A6" w14:textId="77777777">
            <w:pPr>
              <w:spacing w:line="240" w:lineRule="auto"/>
              <w:jc w:val="right"/>
              <w:rPr>
                <w:rFonts w:cs="Calibri"/>
                <w:szCs w:val="18"/>
                <w:lang w:val="en-GB" w:eastAsia="en-GB"/>
              </w:rPr>
            </w:pPr>
            <w:r w:rsidRPr="00E76941">
              <w:rPr>
                <w:rFonts w:cs="Calibri"/>
                <w:szCs w:val="18"/>
                <w:lang w:val="en-GB" w:eastAsia="en-GB"/>
              </w:rPr>
              <w:t xml:space="preserve">6,3 </w:t>
            </w:r>
          </w:p>
        </w:tc>
      </w:tr>
      <w:tr w:rsidRPr="00E76941" w:rsidR="00B52D66" w:rsidTr="00FC2172" w14:paraId="638C6ACF" w14:textId="77777777">
        <w:trPr>
          <w:trHeight w:val="290"/>
        </w:trPr>
        <w:tc>
          <w:tcPr>
            <w:tcW w:w="1418" w:type="dxa"/>
            <w:tcBorders>
              <w:top w:val="nil"/>
              <w:left w:val="nil"/>
              <w:bottom w:val="nil"/>
              <w:right w:val="nil"/>
            </w:tcBorders>
            <w:noWrap/>
            <w:hideMark/>
          </w:tcPr>
          <w:p w:rsidRPr="00E76941" w:rsidR="00B52D66" w:rsidP="00FC2172" w:rsidRDefault="00B52D66" w14:paraId="7D66A5DA" w14:textId="77777777">
            <w:pPr>
              <w:spacing w:line="240" w:lineRule="auto"/>
              <w:rPr>
                <w:rFonts w:cs="Calibri"/>
                <w:szCs w:val="18"/>
                <w:lang w:val="en-GB" w:eastAsia="en-GB"/>
              </w:rPr>
            </w:pPr>
            <w:r w:rsidRPr="00E76941">
              <w:rPr>
                <w:rFonts w:cs="Calibri"/>
                <w:szCs w:val="18"/>
                <w:lang w:val="en-GB" w:eastAsia="en-GB"/>
              </w:rPr>
              <w:t>HBR</w:t>
            </w:r>
          </w:p>
        </w:tc>
        <w:tc>
          <w:tcPr>
            <w:tcW w:w="1276" w:type="dxa"/>
            <w:tcBorders>
              <w:top w:val="nil"/>
              <w:left w:val="nil"/>
              <w:bottom w:val="nil"/>
              <w:right w:val="nil"/>
            </w:tcBorders>
            <w:noWrap/>
            <w:hideMark/>
          </w:tcPr>
          <w:p w:rsidRPr="00E76941" w:rsidR="00B52D66" w:rsidP="00FC2172" w:rsidRDefault="00B52D66" w14:paraId="65F592BB" w14:textId="77777777">
            <w:pPr>
              <w:spacing w:line="240" w:lineRule="auto"/>
              <w:jc w:val="right"/>
              <w:rPr>
                <w:rFonts w:cs="Calibri"/>
                <w:szCs w:val="18"/>
                <w:lang w:val="en-GB" w:eastAsia="en-GB"/>
              </w:rPr>
            </w:pPr>
            <w:r w:rsidRPr="00E76941">
              <w:rPr>
                <w:rFonts w:cs="Calibri"/>
                <w:szCs w:val="18"/>
                <w:lang w:val="en-GB" w:eastAsia="en-GB"/>
              </w:rPr>
              <w:t xml:space="preserve">884 </w:t>
            </w:r>
          </w:p>
        </w:tc>
        <w:tc>
          <w:tcPr>
            <w:tcW w:w="850" w:type="dxa"/>
            <w:tcBorders>
              <w:top w:val="nil"/>
              <w:left w:val="nil"/>
              <w:bottom w:val="nil"/>
              <w:right w:val="nil"/>
            </w:tcBorders>
            <w:noWrap/>
            <w:hideMark/>
          </w:tcPr>
          <w:p w:rsidRPr="00E76941" w:rsidR="00B52D66" w:rsidP="00FC2172" w:rsidRDefault="00B52D66" w14:paraId="190B02F4" w14:textId="77777777">
            <w:pPr>
              <w:spacing w:line="240" w:lineRule="auto"/>
              <w:jc w:val="right"/>
              <w:rPr>
                <w:rFonts w:cs="Calibri"/>
                <w:szCs w:val="18"/>
                <w:lang w:val="en-GB" w:eastAsia="en-GB"/>
              </w:rPr>
            </w:pPr>
            <w:r w:rsidRPr="00E76941">
              <w:rPr>
                <w:rFonts w:cs="Calibri"/>
                <w:szCs w:val="18"/>
                <w:lang w:val="en-GB" w:eastAsia="en-GB"/>
              </w:rPr>
              <w:t xml:space="preserve">0,5 </w:t>
            </w:r>
          </w:p>
        </w:tc>
        <w:tc>
          <w:tcPr>
            <w:tcW w:w="1276" w:type="dxa"/>
            <w:tcBorders>
              <w:top w:val="nil"/>
              <w:left w:val="nil"/>
              <w:bottom w:val="nil"/>
              <w:right w:val="nil"/>
            </w:tcBorders>
            <w:noWrap/>
            <w:hideMark/>
          </w:tcPr>
          <w:p w:rsidRPr="00E76941" w:rsidR="00B52D66" w:rsidP="00FC2172" w:rsidRDefault="00B52D66" w14:paraId="567CF726" w14:textId="77777777">
            <w:pPr>
              <w:spacing w:line="240" w:lineRule="auto"/>
              <w:jc w:val="right"/>
              <w:rPr>
                <w:rFonts w:cs="Calibri"/>
                <w:szCs w:val="18"/>
                <w:lang w:val="en-GB" w:eastAsia="en-GB"/>
              </w:rPr>
            </w:pPr>
            <w:r w:rsidRPr="00E76941">
              <w:rPr>
                <w:rFonts w:cs="Calibri"/>
                <w:szCs w:val="18"/>
                <w:lang w:val="en-GB" w:eastAsia="en-GB"/>
              </w:rPr>
              <w:t xml:space="preserve">1.530 </w:t>
            </w:r>
          </w:p>
        </w:tc>
        <w:tc>
          <w:tcPr>
            <w:tcW w:w="740" w:type="dxa"/>
            <w:tcBorders>
              <w:top w:val="nil"/>
              <w:left w:val="nil"/>
              <w:bottom w:val="nil"/>
              <w:right w:val="nil"/>
            </w:tcBorders>
            <w:noWrap/>
            <w:hideMark/>
          </w:tcPr>
          <w:p w:rsidRPr="00E76941" w:rsidR="00B52D66" w:rsidP="00FC2172" w:rsidRDefault="00B52D66" w14:paraId="1322429A" w14:textId="77777777">
            <w:pPr>
              <w:spacing w:line="240" w:lineRule="auto"/>
              <w:jc w:val="right"/>
              <w:rPr>
                <w:rFonts w:cs="Calibri"/>
                <w:szCs w:val="18"/>
                <w:lang w:val="en-GB" w:eastAsia="en-GB"/>
              </w:rPr>
            </w:pPr>
            <w:r w:rsidRPr="00E76941">
              <w:rPr>
                <w:rFonts w:cs="Calibri"/>
                <w:szCs w:val="18"/>
                <w:lang w:val="en-GB" w:eastAsia="en-GB"/>
              </w:rPr>
              <w:t xml:space="preserve">0,4 </w:t>
            </w:r>
          </w:p>
        </w:tc>
        <w:tc>
          <w:tcPr>
            <w:tcW w:w="1069" w:type="dxa"/>
            <w:tcBorders>
              <w:top w:val="nil"/>
              <w:left w:val="nil"/>
              <w:bottom w:val="nil"/>
              <w:right w:val="nil"/>
            </w:tcBorders>
            <w:noWrap/>
            <w:hideMark/>
          </w:tcPr>
          <w:p w:rsidRPr="00E76941" w:rsidR="00B52D66" w:rsidP="00FC2172" w:rsidRDefault="00B52D66" w14:paraId="2461C099" w14:textId="77777777">
            <w:pPr>
              <w:spacing w:line="240" w:lineRule="auto"/>
              <w:jc w:val="right"/>
              <w:rPr>
                <w:rFonts w:cs="Calibri"/>
                <w:szCs w:val="18"/>
                <w:lang w:val="en-GB" w:eastAsia="en-GB"/>
              </w:rPr>
            </w:pPr>
            <w:r>
              <w:rPr>
                <w:rFonts w:cs="Calibri"/>
                <w:szCs w:val="18"/>
                <w:lang w:val="en-GB" w:eastAsia="en-GB"/>
              </w:rPr>
              <w:t>3</w:t>
            </w:r>
            <w:r w:rsidRPr="00E76941">
              <w:rPr>
                <w:rFonts w:cs="Calibri"/>
                <w:szCs w:val="18"/>
                <w:lang w:val="en-GB" w:eastAsia="en-GB"/>
              </w:rPr>
              <w:t xml:space="preserve">42 </w:t>
            </w:r>
          </w:p>
        </w:tc>
        <w:tc>
          <w:tcPr>
            <w:tcW w:w="884" w:type="dxa"/>
            <w:tcBorders>
              <w:top w:val="nil"/>
              <w:left w:val="nil"/>
              <w:bottom w:val="nil"/>
              <w:right w:val="nil"/>
            </w:tcBorders>
            <w:noWrap/>
            <w:hideMark/>
          </w:tcPr>
          <w:p w:rsidRPr="00E76941" w:rsidR="00B52D66" w:rsidP="00FC2172" w:rsidRDefault="00B52D66" w14:paraId="55267F54" w14:textId="77777777">
            <w:pPr>
              <w:spacing w:line="240" w:lineRule="auto"/>
              <w:jc w:val="right"/>
              <w:rPr>
                <w:rFonts w:cs="Calibri"/>
                <w:szCs w:val="18"/>
                <w:lang w:val="en-GB" w:eastAsia="en-GB"/>
              </w:rPr>
            </w:pPr>
            <w:r w:rsidRPr="00E76941">
              <w:rPr>
                <w:rFonts w:cs="Calibri"/>
                <w:szCs w:val="18"/>
                <w:lang w:val="en-GB" w:eastAsia="en-GB"/>
              </w:rPr>
              <w:t xml:space="preserve">6,9 </w:t>
            </w:r>
          </w:p>
        </w:tc>
        <w:tc>
          <w:tcPr>
            <w:tcW w:w="1134" w:type="dxa"/>
            <w:tcBorders>
              <w:top w:val="nil"/>
              <w:left w:val="nil"/>
              <w:bottom w:val="nil"/>
              <w:right w:val="nil"/>
            </w:tcBorders>
            <w:noWrap/>
            <w:hideMark/>
          </w:tcPr>
          <w:p w:rsidRPr="00E76941" w:rsidR="00B52D66" w:rsidP="00FC2172" w:rsidRDefault="00B52D66" w14:paraId="40EF99E0" w14:textId="77777777">
            <w:pPr>
              <w:spacing w:line="240" w:lineRule="auto"/>
              <w:jc w:val="right"/>
              <w:rPr>
                <w:rFonts w:cs="Calibri"/>
                <w:szCs w:val="18"/>
                <w:lang w:val="en-GB" w:eastAsia="en-GB"/>
              </w:rPr>
            </w:pPr>
            <w:r w:rsidRPr="00E76941">
              <w:rPr>
                <w:rFonts w:cs="Calibri"/>
                <w:szCs w:val="18"/>
                <w:lang w:val="en-GB" w:eastAsia="en-GB"/>
              </w:rPr>
              <w:t xml:space="preserve">2.756 </w:t>
            </w:r>
          </w:p>
        </w:tc>
        <w:tc>
          <w:tcPr>
            <w:tcW w:w="713" w:type="dxa"/>
            <w:tcBorders>
              <w:top w:val="nil"/>
              <w:left w:val="nil"/>
              <w:bottom w:val="nil"/>
              <w:right w:val="nil"/>
            </w:tcBorders>
            <w:noWrap/>
            <w:hideMark/>
          </w:tcPr>
          <w:p w:rsidRPr="00E76941" w:rsidR="00B52D66" w:rsidP="00FC2172" w:rsidRDefault="00B52D66" w14:paraId="42EEF07B" w14:textId="77777777">
            <w:pPr>
              <w:spacing w:line="240" w:lineRule="auto"/>
              <w:jc w:val="right"/>
              <w:rPr>
                <w:rFonts w:cs="Calibri"/>
                <w:szCs w:val="18"/>
                <w:lang w:val="en-GB" w:eastAsia="en-GB"/>
              </w:rPr>
            </w:pPr>
            <w:r w:rsidRPr="00E76941">
              <w:rPr>
                <w:rFonts w:cs="Calibri"/>
                <w:szCs w:val="18"/>
                <w:lang w:val="en-GB" w:eastAsia="en-GB"/>
              </w:rPr>
              <w:t xml:space="preserve">1,2 </w:t>
            </w:r>
          </w:p>
        </w:tc>
      </w:tr>
      <w:tr w:rsidRPr="00E76941" w:rsidR="00B52D66" w:rsidTr="00FC2172" w14:paraId="49CC956F" w14:textId="77777777">
        <w:trPr>
          <w:trHeight w:val="290"/>
        </w:trPr>
        <w:tc>
          <w:tcPr>
            <w:tcW w:w="1418" w:type="dxa"/>
            <w:tcBorders>
              <w:top w:val="nil"/>
              <w:left w:val="nil"/>
              <w:bottom w:val="nil"/>
              <w:right w:val="nil"/>
            </w:tcBorders>
            <w:noWrap/>
            <w:hideMark/>
          </w:tcPr>
          <w:p w:rsidRPr="00E76941" w:rsidR="00B52D66" w:rsidP="00FC2172" w:rsidRDefault="00B52D66" w14:paraId="1CEA7605" w14:textId="77777777">
            <w:pPr>
              <w:spacing w:line="240" w:lineRule="auto"/>
              <w:rPr>
                <w:rFonts w:cs="Calibri"/>
                <w:szCs w:val="18"/>
                <w:lang w:val="en-GB" w:eastAsia="en-GB"/>
              </w:rPr>
            </w:pPr>
            <w:r w:rsidRPr="00E76941">
              <w:rPr>
                <w:rFonts w:cs="Calibri"/>
                <w:szCs w:val="18"/>
                <w:lang w:val="en-GB" w:eastAsia="en-GB"/>
              </w:rPr>
              <w:t>Z&amp;W</w:t>
            </w:r>
          </w:p>
        </w:tc>
        <w:tc>
          <w:tcPr>
            <w:tcW w:w="1276" w:type="dxa"/>
            <w:tcBorders>
              <w:top w:val="nil"/>
              <w:left w:val="nil"/>
              <w:bottom w:val="nil"/>
              <w:right w:val="nil"/>
            </w:tcBorders>
            <w:noWrap/>
            <w:hideMark/>
          </w:tcPr>
          <w:p w:rsidRPr="00E76941" w:rsidR="00B52D66" w:rsidP="00FC2172" w:rsidRDefault="00B52D66" w14:paraId="69BE6A17" w14:textId="77777777">
            <w:pPr>
              <w:spacing w:line="240" w:lineRule="auto"/>
              <w:jc w:val="right"/>
              <w:rPr>
                <w:rFonts w:cs="Calibri"/>
                <w:szCs w:val="18"/>
                <w:lang w:val="en-GB" w:eastAsia="en-GB"/>
              </w:rPr>
            </w:pPr>
            <w:r w:rsidRPr="00E76941">
              <w:rPr>
                <w:rFonts w:cs="Calibri"/>
                <w:szCs w:val="18"/>
                <w:lang w:val="en-GB" w:eastAsia="en-GB"/>
              </w:rPr>
              <w:t xml:space="preserve">4.238 </w:t>
            </w:r>
          </w:p>
        </w:tc>
        <w:tc>
          <w:tcPr>
            <w:tcW w:w="850" w:type="dxa"/>
            <w:tcBorders>
              <w:top w:val="nil"/>
              <w:left w:val="nil"/>
              <w:bottom w:val="nil"/>
              <w:right w:val="nil"/>
            </w:tcBorders>
            <w:noWrap/>
            <w:hideMark/>
          </w:tcPr>
          <w:p w:rsidRPr="00E76941" w:rsidR="00B52D66" w:rsidP="00FC2172" w:rsidRDefault="00B52D66" w14:paraId="48F8F11C" w14:textId="77777777">
            <w:pPr>
              <w:spacing w:line="240" w:lineRule="auto"/>
              <w:jc w:val="right"/>
              <w:rPr>
                <w:rFonts w:cs="Calibri"/>
                <w:szCs w:val="18"/>
                <w:lang w:val="en-GB" w:eastAsia="en-GB"/>
              </w:rPr>
            </w:pPr>
            <w:r w:rsidRPr="00E76941">
              <w:rPr>
                <w:rFonts w:cs="Calibri"/>
                <w:szCs w:val="18"/>
                <w:lang w:val="en-GB" w:eastAsia="en-GB"/>
              </w:rPr>
              <w:t xml:space="preserve">-4,6 </w:t>
            </w:r>
          </w:p>
        </w:tc>
        <w:tc>
          <w:tcPr>
            <w:tcW w:w="1276" w:type="dxa"/>
            <w:tcBorders>
              <w:top w:val="nil"/>
              <w:left w:val="nil"/>
              <w:bottom w:val="nil"/>
              <w:right w:val="nil"/>
            </w:tcBorders>
            <w:noWrap/>
            <w:hideMark/>
          </w:tcPr>
          <w:p w:rsidRPr="00E76941" w:rsidR="00B52D66" w:rsidP="00FC2172" w:rsidRDefault="00B52D66" w14:paraId="1146A993" w14:textId="77777777">
            <w:pPr>
              <w:spacing w:line="240" w:lineRule="auto"/>
              <w:jc w:val="right"/>
              <w:rPr>
                <w:rFonts w:cs="Calibri"/>
                <w:szCs w:val="18"/>
                <w:lang w:val="en-GB" w:eastAsia="en-GB"/>
              </w:rPr>
            </w:pPr>
            <w:r w:rsidRPr="00E76941">
              <w:rPr>
                <w:rFonts w:cs="Calibri"/>
                <w:szCs w:val="18"/>
                <w:lang w:val="en-GB" w:eastAsia="en-GB"/>
              </w:rPr>
              <w:t xml:space="preserve">7.359 </w:t>
            </w:r>
          </w:p>
        </w:tc>
        <w:tc>
          <w:tcPr>
            <w:tcW w:w="740" w:type="dxa"/>
            <w:tcBorders>
              <w:top w:val="nil"/>
              <w:left w:val="nil"/>
              <w:bottom w:val="nil"/>
              <w:right w:val="nil"/>
            </w:tcBorders>
            <w:noWrap/>
            <w:hideMark/>
          </w:tcPr>
          <w:p w:rsidRPr="00E76941" w:rsidR="00B52D66" w:rsidP="00FC2172" w:rsidRDefault="00B52D66" w14:paraId="5EE41D2E" w14:textId="77777777">
            <w:pPr>
              <w:spacing w:line="240" w:lineRule="auto"/>
              <w:jc w:val="right"/>
              <w:rPr>
                <w:rFonts w:cs="Calibri"/>
                <w:szCs w:val="18"/>
                <w:lang w:val="en-GB" w:eastAsia="en-GB"/>
              </w:rPr>
            </w:pPr>
            <w:r w:rsidRPr="00E76941">
              <w:rPr>
                <w:rFonts w:cs="Calibri"/>
                <w:szCs w:val="18"/>
                <w:lang w:val="en-GB" w:eastAsia="en-GB"/>
              </w:rPr>
              <w:t xml:space="preserve">-2,3 </w:t>
            </w:r>
          </w:p>
        </w:tc>
        <w:tc>
          <w:tcPr>
            <w:tcW w:w="1069" w:type="dxa"/>
            <w:tcBorders>
              <w:top w:val="nil"/>
              <w:left w:val="nil"/>
              <w:bottom w:val="nil"/>
              <w:right w:val="nil"/>
            </w:tcBorders>
            <w:noWrap/>
            <w:hideMark/>
          </w:tcPr>
          <w:p w:rsidRPr="00E76941" w:rsidR="00B52D66" w:rsidP="00FC2172" w:rsidRDefault="00B52D66" w14:paraId="70405110" w14:textId="77777777">
            <w:pPr>
              <w:spacing w:line="240" w:lineRule="auto"/>
              <w:jc w:val="right"/>
              <w:rPr>
                <w:rFonts w:cs="Calibri"/>
                <w:szCs w:val="18"/>
                <w:lang w:val="en-GB" w:eastAsia="en-GB"/>
              </w:rPr>
            </w:pPr>
            <w:r w:rsidRPr="00E76941">
              <w:rPr>
                <w:rFonts w:cs="Calibri"/>
                <w:szCs w:val="18"/>
                <w:lang w:val="en-GB" w:eastAsia="en-GB"/>
              </w:rPr>
              <w:t xml:space="preserve">1.887 </w:t>
            </w:r>
          </w:p>
        </w:tc>
        <w:tc>
          <w:tcPr>
            <w:tcW w:w="884" w:type="dxa"/>
            <w:tcBorders>
              <w:top w:val="nil"/>
              <w:left w:val="nil"/>
              <w:bottom w:val="nil"/>
              <w:right w:val="nil"/>
            </w:tcBorders>
            <w:noWrap/>
            <w:hideMark/>
          </w:tcPr>
          <w:p w:rsidRPr="00E76941" w:rsidR="00B52D66" w:rsidP="00FC2172" w:rsidRDefault="00B52D66" w14:paraId="6E72CD78" w14:textId="77777777">
            <w:pPr>
              <w:spacing w:line="240" w:lineRule="auto"/>
              <w:jc w:val="right"/>
              <w:rPr>
                <w:rFonts w:cs="Calibri"/>
                <w:szCs w:val="18"/>
                <w:lang w:val="en-GB" w:eastAsia="en-GB"/>
              </w:rPr>
            </w:pPr>
            <w:r w:rsidRPr="00E76941">
              <w:rPr>
                <w:rFonts w:cs="Calibri"/>
                <w:szCs w:val="18"/>
                <w:lang w:val="en-GB" w:eastAsia="en-GB"/>
              </w:rPr>
              <w:t xml:space="preserve">-7,4 </w:t>
            </w:r>
          </w:p>
        </w:tc>
        <w:tc>
          <w:tcPr>
            <w:tcW w:w="1134" w:type="dxa"/>
            <w:tcBorders>
              <w:top w:val="nil"/>
              <w:left w:val="nil"/>
              <w:bottom w:val="nil"/>
              <w:right w:val="nil"/>
            </w:tcBorders>
            <w:noWrap/>
            <w:hideMark/>
          </w:tcPr>
          <w:p w:rsidRPr="00E76941" w:rsidR="00B52D66" w:rsidP="00FC2172" w:rsidRDefault="00B52D66" w14:paraId="45415BC5" w14:textId="77777777">
            <w:pPr>
              <w:spacing w:line="240" w:lineRule="auto"/>
              <w:jc w:val="right"/>
              <w:rPr>
                <w:rFonts w:cs="Calibri"/>
                <w:szCs w:val="18"/>
                <w:lang w:val="en-GB" w:eastAsia="en-GB"/>
              </w:rPr>
            </w:pPr>
            <w:r w:rsidRPr="00E76941">
              <w:rPr>
                <w:rFonts w:cs="Calibri"/>
                <w:szCs w:val="18"/>
                <w:lang w:val="en-GB" w:eastAsia="en-GB"/>
              </w:rPr>
              <w:t xml:space="preserve">13.484 </w:t>
            </w:r>
          </w:p>
        </w:tc>
        <w:tc>
          <w:tcPr>
            <w:tcW w:w="713" w:type="dxa"/>
            <w:tcBorders>
              <w:top w:val="nil"/>
              <w:left w:val="nil"/>
              <w:bottom w:val="nil"/>
              <w:right w:val="nil"/>
            </w:tcBorders>
            <w:noWrap/>
            <w:hideMark/>
          </w:tcPr>
          <w:p w:rsidRPr="00E76941" w:rsidR="00B52D66" w:rsidP="00FC2172" w:rsidRDefault="00B52D66" w14:paraId="776A730C" w14:textId="77777777">
            <w:pPr>
              <w:spacing w:line="240" w:lineRule="auto"/>
              <w:jc w:val="right"/>
              <w:rPr>
                <w:rFonts w:cs="Calibri"/>
                <w:szCs w:val="18"/>
                <w:lang w:val="en-GB" w:eastAsia="en-GB"/>
              </w:rPr>
            </w:pPr>
            <w:r w:rsidRPr="00E76941">
              <w:rPr>
                <w:rFonts w:cs="Calibri"/>
                <w:szCs w:val="18"/>
                <w:lang w:val="en-GB" w:eastAsia="en-GB"/>
              </w:rPr>
              <w:t xml:space="preserve">-3,8 </w:t>
            </w:r>
          </w:p>
        </w:tc>
      </w:tr>
      <w:tr w:rsidRPr="00E76941" w:rsidR="00B52D66" w:rsidTr="00FC2172" w14:paraId="0AC2C5FE" w14:textId="77777777">
        <w:trPr>
          <w:trHeight w:val="290"/>
        </w:trPr>
        <w:tc>
          <w:tcPr>
            <w:tcW w:w="1418" w:type="dxa"/>
            <w:tcBorders>
              <w:top w:val="nil"/>
              <w:left w:val="nil"/>
              <w:bottom w:val="single" w:color="auto" w:sz="4" w:space="0"/>
              <w:right w:val="nil"/>
            </w:tcBorders>
            <w:noWrap/>
            <w:hideMark/>
          </w:tcPr>
          <w:p w:rsidRPr="00E76941" w:rsidR="00B52D66" w:rsidP="00FC2172" w:rsidRDefault="00B52D66" w14:paraId="488DA9C0" w14:textId="77777777">
            <w:pPr>
              <w:spacing w:line="240" w:lineRule="auto"/>
              <w:rPr>
                <w:rFonts w:cs="Calibri"/>
                <w:b/>
                <w:bCs/>
                <w:szCs w:val="18"/>
                <w:lang w:val="en-GB" w:eastAsia="en-GB"/>
              </w:rPr>
            </w:pPr>
            <w:r w:rsidRPr="00E76941">
              <w:rPr>
                <w:rFonts w:cs="Calibri"/>
                <w:b/>
                <w:bCs/>
                <w:szCs w:val="18"/>
                <w:lang w:val="en-GB" w:eastAsia="en-GB"/>
              </w:rPr>
              <w:t>Totaal</w:t>
            </w:r>
          </w:p>
        </w:tc>
        <w:tc>
          <w:tcPr>
            <w:tcW w:w="1276" w:type="dxa"/>
            <w:tcBorders>
              <w:top w:val="nil"/>
              <w:left w:val="nil"/>
              <w:bottom w:val="single" w:color="auto" w:sz="4" w:space="0"/>
              <w:right w:val="nil"/>
            </w:tcBorders>
            <w:noWrap/>
            <w:hideMark/>
          </w:tcPr>
          <w:p w:rsidRPr="00E76941" w:rsidR="00B52D66" w:rsidP="00FC2172" w:rsidRDefault="00B52D66" w14:paraId="7DB61033" w14:textId="77777777">
            <w:pPr>
              <w:spacing w:line="240" w:lineRule="auto"/>
              <w:jc w:val="right"/>
              <w:rPr>
                <w:rFonts w:cs="Calibri"/>
                <w:b/>
                <w:bCs/>
                <w:szCs w:val="18"/>
                <w:lang w:val="en-GB" w:eastAsia="en-GB"/>
              </w:rPr>
            </w:pPr>
            <w:r w:rsidRPr="00E76941">
              <w:rPr>
                <w:rFonts w:cs="Calibri"/>
                <w:b/>
                <w:bCs/>
                <w:szCs w:val="18"/>
                <w:lang w:val="en-GB" w:eastAsia="en-GB"/>
              </w:rPr>
              <w:t xml:space="preserve">16.139 </w:t>
            </w:r>
          </w:p>
        </w:tc>
        <w:tc>
          <w:tcPr>
            <w:tcW w:w="850" w:type="dxa"/>
            <w:tcBorders>
              <w:top w:val="nil"/>
              <w:left w:val="nil"/>
              <w:bottom w:val="single" w:color="auto" w:sz="4" w:space="0"/>
              <w:right w:val="nil"/>
            </w:tcBorders>
            <w:noWrap/>
            <w:hideMark/>
          </w:tcPr>
          <w:p w:rsidRPr="00E76941" w:rsidR="00B52D66" w:rsidP="00FC2172" w:rsidRDefault="00B52D66" w14:paraId="4C98727B" w14:textId="77777777">
            <w:pPr>
              <w:spacing w:line="240" w:lineRule="auto"/>
              <w:jc w:val="right"/>
              <w:rPr>
                <w:rFonts w:cs="Calibri"/>
                <w:b/>
                <w:bCs/>
                <w:szCs w:val="18"/>
                <w:lang w:val="en-GB" w:eastAsia="en-GB"/>
              </w:rPr>
            </w:pPr>
            <w:r w:rsidRPr="00E76941">
              <w:rPr>
                <w:rFonts w:cs="Calibri"/>
                <w:b/>
                <w:bCs/>
                <w:szCs w:val="18"/>
                <w:lang w:val="en-GB" w:eastAsia="en-GB"/>
              </w:rPr>
              <w:t xml:space="preserve">-3,1 </w:t>
            </w:r>
          </w:p>
        </w:tc>
        <w:tc>
          <w:tcPr>
            <w:tcW w:w="1276" w:type="dxa"/>
            <w:tcBorders>
              <w:top w:val="nil"/>
              <w:left w:val="nil"/>
              <w:bottom w:val="single" w:color="auto" w:sz="4" w:space="0"/>
              <w:right w:val="nil"/>
            </w:tcBorders>
            <w:noWrap/>
            <w:hideMark/>
          </w:tcPr>
          <w:p w:rsidRPr="00E76941" w:rsidR="00B52D66" w:rsidP="00FC2172" w:rsidRDefault="00B52D66" w14:paraId="0F6CBF90" w14:textId="77777777">
            <w:pPr>
              <w:spacing w:line="240" w:lineRule="auto"/>
              <w:jc w:val="right"/>
              <w:rPr>
                <w:rFonts w:cs="Calibri"/>
                <w:b/>
                <w:bCs/>
                <w:szCs w:val="18"/>
                <w:lang w:val="en-GB" w:eastAsia="en-GB"/>
              </w:rPr>
            </w:pPr>
            <w:r w:rsidRPr="00E76941">
              <w:rPr>
                <w:rFonts w:cs="Calibri"/>
                <w:b/>
                <w:bCs/>
                <w:szCs w:val="18"/>
                <w:lang w:val="en-GB" w:eastAsia="en-GB"/>
              </w:rPr>
              <w:t xml:space="preserve">28.332 </w:t>
            </w:r>
          </w:p>
        </w:tc>
        <w:tc>
          <w:tcPr>
            <w:tcW w:w="740" w:type="dxa"/>
            <w:tcBorders>
              <w:top w:val="nil"/>
              <w:left w:val="nil"/>
              <w:bottom w:val="single" w:color="auto" w:sz="4" w:space="0"/>
              <w:right w:val="nil"/>
            </w:tcBorders>
            <w:noWrap/>
            <w:hideMark/>
          </w:tcPr>
          <w:p w:rsidRPr="00E76941" w:rsidR="00B52D66" w:rsidP="00FC2172" w:rsidRDefault="00B52D66" w14:paraId="59FDB9D9" w14:textId="77777777">
            <w:pPr>
              <w:spacing w:line="240" w:lineRule="auto"/>
              <w:jc w:val="right"/>
              <w:rPr>
                <w:rFonts w:cs="Calibri"/>
                <w:b/>
                <w:bCs/>
                <w:szCs w:val="18"/>
                <w:lang w:val="en-GB" w:eastAsia="en-GB"/>
              </w:rPr>
            </w:pPr>
            <w:r>
              <w:rPr>
                <w:rFonts w:cs="Calibri"/>
                <w:b/>
                <w:bCs/>
                <w:szCs w:val="18"/>
                <w:lang w:val="en-GB" w:eastAsia="en-GB"/>
              </w:rPr>
              <w:t>-</w:t>
            </w:r>
            <w:r w:rsidRPr="00E76941">
              <w:rPr>
                <w:rFonts w:cs="Calibri"/>
                <w:b/>
                <w:bCs/>
                <w:szCs w:val="18"/>
                <w:lang w:val="en-GB" w:eastAsia="en-GB"/>
              </w:rPr>
              <w:t xml:space="preserve">2,6 </w:t>
            </w:r>
          </w:p>
        </w:tc>
        <w:tc>
          <w:tcPr>
            <w:tcW w:w="1069" w:type="dxa"/>
            <w:tcBorders>
              <w:top w:val="nil"/>
              <w:left w:val="nil"/>
              <w:bottom w:val="single" w:color="auto" w:sz="4" w:space="0"/>
              <w:right w:val="nil"/>
            </w:tcBorders>
            <w:noWrap/>
            <w:hideMark/>
          </w:tcPr>
          <w:p w:rsidRPr="00E76941" w:rsidR="00B52D66" w:rsidP="00FC2172" w:rsidRDefault="00B52D66" w14:paraId="75CF9F0F" w14:textId="77777777">
            <w:pPr>
              <w:spacing w:line="240" w:lineRule="auto"/>
              <w:jc w:val="right"/>
              <w:rPr>
                <w:rFonts w:cs="Calibri"/>
                <w:b/>
                <w:bCs/>
                <w:szCs w:val="18"/>
                <w:lang w:val="en-GB" w:eastAsia="en-GB"/>
              </w:rPr>
            </w:pPr>
            <w:r w:rsidRPr="00E76941">
              <w:rPr>
                <w:rFonts w:cs="Calibri"/>
                <w:b/>
                <w:bCs/>
                <w:szCs w:val="18"/>
                <w:lang w:val="en-GB" w:eastAsia="en-GB"/>
              </w:rPr>
              <w:t xml:space="preserve">15.947 </w:t>
            </w:r>
          </w:p>
        </w:tc>
        <w:tc>
          <w:tcPr>
            <w:tcW w:w="884" w:type="dxa"/>
            <w:tcBorders>
              <w:top w:val="nil"/>
              <w:left w:val="nil"/>
              <w:bottom w:val="single" w:color="auto" w:sz="4" w:space="0"/>
              <w:right w:val="nil"/>
            </w:tcBorders>
            <w:noWrap/>
            <w:hideMark/>
          </w:tcPr>
          <w:p w:rsidRPr="00E76941" w:rsidR="00B52D66" w:rsidP="00FC2172" w:rsidRDefault="00B52D66" w14:paraId="3915EB80" w14:textId="77777777">
            <w:pPr>
              <w:spacing w:line="240" w:lineRule="auto"/>
              <w:jc w:val="right"/>
              <w:rPr>
                <w:rFonts w:cs="Calibri"/>
                <w:b/>
                <w:bCs/>
                <w:szCs w:val="18"/>
                <w:lang w:val="en-GB" w:eastAsia="en-GB"/>
              </w:rPr>
            </w:pPr>
            <w:r w:rsidRPr="00E76941">
              <w:rPr>
                <w:rFonts w:cs="Calibri"/>
                <w:b/>
                <w:bCs/>
                <w:szCs w:val="18"/>
                <w:lang w:val="en-GB" w:eastAsia="en-GB"/>
              </w:rPr>
              <w:t xml:space="preserve">-1,7 </w:t>
            </w:r>
          </w:p>
        </w:tc>
        <w:tc>
          <w:tcPr>
            <w:tcW w:w="1134" w:type="dxa"/>
            <w:tcBorders>
              <w:top w:val="nil"/>
              <w:left w:val="nil"/>
              <w:bottom w:val="single" w:color="auto" w:sz="4" w:space="0"/>
              <w:right w:val="nil"/>
            </w:tcBorders>
            <w:noWrap/>
            <w:hideMark/>
          </w:tcPr>
          <w:p w:rsidRPr="00E76941" w:rsidR="00B52D66" w:rsidP="00FC2172" w:rsidRDefault="00B52D66" w14:paraId="18F85A74" w14:textId="77777777">
            <w:pPr>
              <w:spacing w:line="240" w:lineRule="auto"/>
              <w:jc w:val="right"/>
              <w:rPr>
                <w:rFonts w:cs="Calibri"/>
                <w:b/>
                <w:bCs/>
                <w:szCs w:val="18"/>
                <w:lang w:val="en-GB" w:eastAsia="en-GB"/>
              </w:rPr>
            </w:pPr>
            <w:r w:rsidRPr="00E76941">
              <w:rPr>
                <w:rFonts w:cs="Calibri"/>
                <w:b/>
                <w:bCs/>
                <w:szCs w:val="18"/>
                <w:lang w:val="en-GB" w:eastAsia="en-GB"/>
              </w:rPr>
              <w:t xml:space="preserve">60.418 </w:t>
            </w:r>
          </w:p>
        </w:tc>
        <w:tc>
          <w:tcPr>
            <w:tcW w:w="713" w:type="dxa"/>
            <w:tcBorders>
              <w:top w:val="nil"/>
              <w:left w:val="nil"/>
              <w:bottom w:val="single" w:color="auto" w:sz="4" w:space="0"/>
              <w:right w:val="nil"/>
            </w:tcBorders>
            <w:noWrap/>
            <w:hideMark/>
          </w:tcPr>
          <w:p w:rsidRPr="00E76941" w:rsidR="00B52D66" w:rsidP="00FC2172" w:rsidRDefault="00B52D66" w14:paraId="0AB2DC86" w14:textId="77777777">
            <w:pPr>
              <w:spacing w:line="240" w:lineRule="auto"/>
              <w:jc w:val="right"/>
              <w:rPr>
                <w:rFonts w:cs="Calibri"/>
                <w:b/>
                <w:bCs/>
                <w:szCs w:val="18"/>
                <w:lang w:val="en-GB" w:eastAsia="en-GB"/>
              </w:rPr>
            </w:pPr>
            <w:r w:rsidRPr="00E76941">
              <w:rPr>
                <w:rFonts w:cs="Calibri"/>
                <w:b/>
                <w:bCs/>
                <w:szCs w:val="18"/>
                <w:lang w:val="en-GB" w:eastAsia="en-GB"/>
              </w:rPr>
              <w:t xml:space="preserve">-2,5 </w:t>
            </w:r>
          </w:p>
        </w:tc>
      </w:tr>
    </w:tbl>
    <w:p w:rsidRPr="00A45539" w:rsidR="00B52D66" w:rsidP="00B52D66" w:rsidRDefault="00B52D66" w14:paraId="6D32556C" w14:textId="77777777">
      <w:pPr>
        <w:rPr>
          <w:szCs w:val="18"/>
        </w:rPr>
      </w:pPr>
      <w:r w:rsidRPr="00A45539">
        <w:rPr>
          <w:i/>
          <w:szCs w:val="18"/>
        </w:rPr>
        <w:t>Bron: DUO (eigen bewerking ROA).</w:t>
      </w:r>
    </w:p>
    <w:p w:rsidR="00B52D66" w:rsidP="00B52D66" w:rsidRDefault="00B52D66" w14:paraId="3F03FA42" w14:textId="77777777">
      <w:pPr>
        <w:rPr>
          <w:szCs w:val="18"/>
        </w:rPr>
      </w:pPr>
    </w:p>
    <w:p w:rsidR="00B52D66" w:rsidP="00B52D66" w:rsidRDefault="00B52D66" w14:paraId="16A490B8" w14:textId="028687A7">
      <w:pPr>
        <w:jc w:val="both"/>
        <w:rPr>
          <w:szCs w:val="18"/>
        </w:rPr>
      </w:pPr>
      <w:r>
        <w:rPr>
          <w:szCs w:val="18"/>
        </w:rPr>
        <w:t xml:space="preserve">In </w:t>
      </w:r>
      <w:r w:rsidR="008D4DFE">
        <w:rPr>
          <w:szCs w:val="18"/>
        </w:rPr>
        <w:t>tabel</w:t>
      </w:r>
      <w:r w:rsidR="00152A16">
        <w:rPr>
          <w:szCs w:val="18"/>
        </w:rPr>
        <w:t xml:space="preserve"> B3</w:t>
      </w:r>
      <w:r>
        <w:rPr>
          <w:szCs w:val="18"/>
        </w:rPr>
        <w:t>.1</w:t>
      </w:r>
      <w:r w:rsidR="008D4DFE">
        <w:rPr>
          <w:szCs w:val="18"/>
        </w:rPr>
        <w:t>2 (zie Appendix bij Bijlage 3)</w:t>
      </w:r>
      <w:r>
        <w:rPr>
          <w:szCs w:val="18"/>
        </w:rPr>
        <w:t xml:space="preserve"> zien we dat het aandeel techniekleerlingen tussen het schooljaar 2018/2019 en 2022/2023 van 19,3 naar 20,2 procent steeg, waarbij het aantal techniek leerlingen in 2018/2019 12.414 bedroeg, in 2020/2021 met 11.345 het laagst was en in 2022/2023 met 12.541 het hoogst was. </w:t>
      </w:r>
    </w:p>
    <w:p w:rsidR="00B52D66" w:rsidP="00B52D66" w:rsidRDefault="00B52D66" w14:paraId="4250950C" w14:textId="77777777">
      <w:pPr>
        <w:rPr>
          <w:szCs w:val="18"/>
        </w:rPr>
      </w:pPr>
    </w:p>
    <w:p w:rsidRPr="00CA2AE0" w:rsidR="00B52D66" w:rsidP="00B52D66" w:rsidRDefault="00B52D66" w14:paraId="2872BBA9" w14:textId="7E0ECC1C">
      <w:pPr>
        <w:ind w:right="429"/>
        <w:jc w:val="both"/>
        <w:rPr>
          <w:i/>
          <w:iCs/>
          <w:szCs w:val="18"/>
        </w:rPr>
      </w:pPr>
      <w:r w:rsidRPr="00CA2AE0">
        <w:rPr>
          <w:i/>
          <w:iCs/>
          <w:szCs w:val="18"/>
        </w:rPr>
        <w:t xml:space="preserve">TEKSTBOX </w:t>
      </w:r>
      <w:r w:rsidR="00152A16">
        <w:rPr>
          <w:i/>
          <w:iCs/>
          <w:szCs w:val="18"/>
        </w:rPr>
        <w:t>B3</w:t>
      </w:r>
      <w:r w:rsidRPr="00CA2AE0">
        <w:rPr>
          <w:i/>
          <w:iCs/>
          <w:szCs w:val="18"/>
        </w:rPr>
        <w:t>.1</w:t>
      </w:r>
      <w:r>
        <w:rPr>
          <w:i/>
          <w:iCs/>
          <w:szCs w:val="18"/>
        </w:rPr>
        <w:t xml:space="preserve">: </w:t>
      </w:r>
    </w:p>
    <w:p w:rsidR="00B52D66" w:rsidP="00B52D66" w:rsidRDefault="00B52D66" w14:paraId="5496151D" w14:textId="77777777">
      <w:pPr>
        <w:pBdr>
          <w:top w:val="single" w:color="auto" w:sz="4" w:space="1"/>
        </w:pBdr>
        <w:ind w:right="4"/>
        <w:jc w:val="both"/>
        <w:rPr>
          <w:szCs w:val="18"/>
        </w:rPr>
      </w:pPr>
    </w:p>
    <w:p w:rsidRPr="00A55317" w:rsidR="00B52D66" w:rsidP="00B52D66" w:rsidRDefault="008D4DFE" w14:paraId="1CB4E7C2" w14:textId="51B45EA7">
      <w:pPr>
        <w:ind w:left="284" w:right="429"/>
        <w:jc w:val="both"/>
        <w:rPr>
          <w:szCs w:val="18"/>
        </w:rPr>
      </w:pPr>
      <w:r>
        <w:rPr>
          <w:rStyle w:val="Zwaar"/>
          <w:rFonts w:eastAsiaTheme="majorEastAsia"/>
        </w:rPr>
        <w:t xml:space="preserve">Tabel </w:t>
      </w:r>
      <w:r w:rsidR="00152A16">
        <w:rPr>
          <w:rStyle w:val="Zwaar"/>
          <w:rFonts w:eastAsiaTheme="majorEastAsia"/>
        </w:rPr>
        <w:t>B3.</w:t>
      </w:r>
      <w:r>
        <w:rPr>
          <w:rStyle w:val="Zwaar"/>
          <w:rFonts w:eastAsiaTheme="majorEastAsia"/>
        </w:rPr>
        <w:t>13</w:t>
      </w:r>
      <w:r w:rsidRPr="00A55317" w:rsidR="00B52D66">
        <w:t xml:space="preserve"> toont het aandeel meisjes in elk profiel voor de schooljaren 2018/2019 tot en met 2023/2024, uitgesplitst naar leerweg in het derde leerjaar. De meest opvallende ontwikkelingen zien we in de gl met een aanzienlijke stijging in het aandeel meisjes in de technische profielen ten opzichte van de niet-technische profielen. In het profiel MVI en M&amp;T is de toename het grootst: In MVI stijgt het aandeel van 43,0 procent in 2018/2019 tot 55,1 procent in 2023/2024 en M&amp;T van slechts 0,8 procent in 2018/2019 tot 15,0 procent in 2023/2024. Het aandeel meisjes in het profiel MVI is overigens ook toegenomen in de kl en in minder mate in de bl. Vergeleken met het schooljaar 2018/2019 neemt het aandeel meisjes in 2023/2024 in het profiel BWI toe in de bl (+4,9 %-punten) en juist af in de gl (-7,4 %-punten).</w:t>
      </w:r>
    </w:p>
    <w:p w:rsidRPr="00A55317" w:rsidR="00B52D66" w:rsidP="00B52D66" w:rsidRDefault="00B52D66" w14:paraId="632BB85E" w14:textId="77777777">
      <w:pPr>
        <w:ind w:left="284" w:right="429"/>
        <w:jc w:val="both"/>
        <w:rPr>
          <w:szCs w:val="18"/>
        </w:rPr>
      </w:pPr>
    </w:p>
    <w:p w:rsidR="00B52D66" w:rsidP="00B52D66" w:rsidRDefault="008D4DFE" w14:paraId="1F4CE583" w14:textId="56D0D291">
      <w:pPr>
        <w:ind w:left="284" w:right="429"/>
        <w:jc w:val="both"/>
        <w:rPr>
          <w:szCs w:val="18"/>
        </w:rPr>
      </w:pPr>
      <w:r>
        <w:rPr>
          <w:rStyle w:val="Zwaar"/>
          <w:rFonts w:eastAsiaTheme="majorEastAsia"/>
        </w:rPr>
        <w:t>Tabel</w:t>
      </w:r>
      <w:r w:rsidRPr="00A55317" w:rsidR="00152A16">
        <w:rPr>
          <w:rStyle w:val="Zwaar"/>
          <w:rFonts w:eastAsiaTheme="majorEastAsia"/>
        </w:rPr>
        <w:t xml:space="preserve"> </w:t>
      </w:r>
      <w:r w:rsidR="00152A16">
        <w:rPr>
          <w:rStyle w:val="Zwaar"/>
          <w:rFonts w:eastAsiaTheme="majorEastAsia"/>
        </w:rPr>
        <w:t>B3</w:t>
      </w:r>
      <w:r w:rsidRPr="00A55317" w:rsidR="00B52D66">
        <w:rPr>
          <w:rStyle w:val="Zwaar"/>
          <w:rFonts w:eastAsiaTheme="majorEastAsia"/>
        </w:rPr>
        <w:t>.</w:t>
      </w:r>
      <w:r>
        <w:rPr>
          <w:rStyle w:val="Zwaar"/>
          <w:rFonts w:eastAsiaTheme="majorEastAsia"/>
        </w:rPr>
        <w:t>14</w:t>
      </w:r>
      <w:r w:rsidRPr="00A55317" w:rsidR="00B52D66">
        <w:t xml:space="preserve"> laat het aandeel leerlingen met een migratieachtergrond zien per profiel, wederom voor de schooljaren 2018/2019 tot en met 2023/2024 en uitgesplitst naar leerweg. Opvallend is dat in bijna alle profielen – ook de niet-techniekprofielen – het aandeel jongeren met een migratieachtergrond is toegenomen. Ten opzichte van de niet-technische profielen groeide het aandeel techniekleerlingen met een migratieachtergrond in de bl en kl sterker. Net als bij de meisjes is er binnen het profiel MVI in alle leerwegen een duidelijke stijging van het aandeel jongeren met een migratieachtergrond te zien. Deze toename is het sterkst in de bl, waar het percentage steeg van 46,3 naar 61,9 procent. Ook in de kl nam het aandeel in MVI in sterke mate toe: van 32,3 procent in 2018/2019 tot 45,3 procent in 2023/2024. Voor het profiel MaT zien we een gemengd beeld: in de gl daalde het aandeel leerlingen met een migratieachtergrond van 36,1 naar 30,2 procent, terwijl in de kl juist een stijging zichtbaar is, van 37,9 naar 46,9 procent.</w:t>
      </w:r>
    </w:p>
    <w:p w:rsidR="00B52D66" w:rsidP="00B52D66" w:rsidRDefault="00B52D66" w14:paraId="640D93A0" w14:textId="77777777">
      <w:pPr>
        <w:ind w:left="284" w:right="429"/>
        <w:jc w:val="both"/>
        <w:rPr>
          <w:szCs w:val="18"/>
        </w:rPr>
      </w:pPr>
    </w:p>
    <w:p w:rsidR="00B52D66" w:rsidP="00B52D66" w:rsidRDefault="00B52D66" w14:paraId="77E55470" w14:textId="77777777">
      <w:pPr>
        <w:pBdr>
          <w:top w:val="single" w:color="auto" w:sz="4" w:space="1"/>
        </w:pBdr>
        <w:jc w:val="both"/>
        <w:rPr>
          <w:szCs w:val="18"/>
        </w:rPr>
      </w:pPr>
    </w:p>
    <w:p w:rsidR="00B52D66" w:rsidP="00B52D66" w:rsidRDefault="00B52D66" w14:paraId="33E53B6F" w14:textId="77777777">
      <w:pPr>
        <w:jc w:val="both"/>
        <w:rPr>
          <w:szCs w:val="18"/>
        </w:rPr>
      </w:pPr>
    </w:p>
    <w:p w:rsidR="00B52D66" w:rsidP="00B52D66" w:rsidRDefault="00B52D66" w14:paraId="7C25D6C8" w14:textId="77777777">
      <w:pPr>
        <w:jc w:val="both"/>
        <w:rPr>
          <w:szCs w:val="18"/>
        </w:rPr>
      </w:pPr>
    </w:p>
    <w:p w:rsidRPr="00A45539" w:rsidR="00B52D66" w:rsidP="00B52D66" w:rsidRDefault="00B52D66" w14:paraId="52AD9F1B" w14:textId="2F1D9EE1">
      <w:pPr>
        <w:pStyle w:val="Kop3"/>
        <w:rPr>
          <w:szCs w:val="18"/>
        </w:rPr>
      </w:pPr>
      <w:bookmarkStart w:name="_Toc125541242" w:id="107"/>
      <w:bookmarkStart w:name="_Toc127528892" w:id="108"/>
      <w:bookmarkStart w:name="_Toc158042055" w:id="109"/>
      <w:bookmarkStart w:name="_Toc203573618" w:id="110"/>
      <w:r w:rsidRPr="00A45539">
        <w:rPr>
          <w:szCs w:val="18"/>
        </w:rPr>
        <w:lastRenderedPageBreak/>
        <w:t>Ontwikkelingen in de theoretische leerweg</w:t>
      </w:r>
      <w:bookmarkEnd w:id="107"/>
      <w:bookmarkEnd w:id="108"/>
      <w:bookmarkEnd w:id="109"/>
      <w:bookmarkEnd w:id="110"/>
    </w:p>
    <w:p w:rsidRPr="00A45539" w:rsidR="00B52D66" w:rsidP="00B52D66" w:rsidRDefault="00B52D66" w14:paraId="69BDB0BD" w14:textId="7DB442B9">
      <w:pPr>
        <w:jc w:val="both"/>
      </w:pPr>
      <w:r>
        <w:t>In deze subparagraaf gaan we nader in op de ontwikkeling in leerlingenaantallen in de vier profielen van de theoretische leerweg – en in het bijzonder het profiel Techniek. Hier is geen tabel van. Leerlingen in de theoretische leerweg kiezen een vakkenpakket aan het einde van het tweede leerjaar. Het profiel wordt vaak pas in het vierde jaar geregistreerd, wanneer leerlingen examen doen. We zien daarom een hoog aandeel “Profielloos” onder derdejaars tl-leerlingen; ongeveer een op de vier derdejaarsleerlingen zijn “Profielloos” in het schooljaar 2023/2024.</w:t>
      </w:r>
    </w:p>
    <w:p w:rsidRPr="00A45539" w:rsidR="00B52D66" w:rsidP="00B52D66" w:rsidRDefault="00B52D66" w14:paraId="2D322C03" w14:textId="77777777">
      <w:pPr>
        <w:jc w:val="both"/>
        <w:rPr>
          <w:szCs w:val="18"/>
        </w:rPr>
      </w:pPr>
    </w:p>
    <w:p w:rsidRPr="00A45539" w:rsidR="00B52D66" w:rsidP="00B52D66" w:rsidRDefault="00B52D66" w14:paraId="78CF3166" w14:textId="77777777">
      <w:pPr>
        <w:jc w:val="both"/>
        <w:rPr>
          <w:szCs w:val="18"/>
        </w:rPr>
      </w:pPr>
      <w:r w:rsidRPr="00A45539">
        <w:rPr>
          <w:szCs w:val="18"/>
        </w:rPr>
        <w:t>De theoretische leerweg telde in het schooljaar 202</w:t>
      </w:r>
      <w:r>
        <w:rPr>
          <w:szCs w:val="18"/>
        </w:rPr>
        <w:t>3</w:t>
      </w:r>
      <w:r w:rsidRPr="00A45539">
        <w:rPr>
          <w:szCs w:val="18"/>
        </w:rPr>
        <w:t>/202</w:t>
      </w:r>
      <w:r>
        <w:rPr>
          <w:szCs w:val="18"/>
        </w:rPr>
        <w:t>4</w:t>
      </w:r>
      <w:r w:rsidRPr="00A45539">
        <w:rPr>
          <w:szCs w:val="18"/>
        </w:rPr>
        <w:t xml:space="preserve"> </w:t>
      </w:r>
      <w:r>
        <w:rPr>
          <w:szCs w:val="18"/>
        </w:rPr>
        <w:t xml:space="preserve">ongeveer </w:t>
      </w:r>
      <w:r w:rsidRPr="00A45539">
        <w:rPr>
          <w:szCs w:val="18"/>
        </w:rPr>
        <w:t>3</w:t>
      </w:r>
      <w:r>
        <w:rPr>
          <w:szCs w:val="18"/>
        </w:rPr>
        <w:t>6</w:t>
      </w:r>
      <w:r w:rsidRPr="00A45539">
        <w:rPr>
          <w:szCs w:val="18"/>
        </w:rPr>
        <w:t>.</w:t>
      </w:r>
      <w:r>
        <w:rPr>
          <w:szCs w:val="18"/>
        </w:rPr>
        <w:t>400</w:t>
      </w:r>
      <w:r w:rsidRPr="00A45539">
        <w:rPr>
          <w:szCs w:val="18"/>
        </w:rPr>
        <w:t xml:space="preserve"> derdejaarsleerlingen waarbij Economie het meest gekozen profiel is met een aandeel van 4</w:t>
      </w:r>
      <w:r>
        <w:rPr>
          <w:szCs w:val="18"/>
        </w:rPr>
        <w:t>1,1</w:t>
      </w:r>
      <w:r w:rsidRPr="00A45539">
        <w:rPr>
          <w:szCs w:val="18"/>
        </w:rPr>
        <w:t xml:space="preserve"> procent, gevolgd door “Profielloos” (2</w:t>
      </w:r>
      <w:r>
        <w:rPr>
          <w:szCs w:val="18"/>
        </w:rPr>
        <w:t>4,7</w:t>
      </w:r>
      <w:r w:rsidRPr="00A45539">
        <w:rPr>
          <w:szCs w:val="18"/>
        </w:rPr>
        <w:t xml:space="preserve"> procent), Zorg en Welzijn (</w:t>
      </w:r>
      <w:r>
        <w:rPr>
          <w:szCs w:val="18"/>
        </w:rPr>
        <w:t>20,1</w:t>
      </w:r>
      <w:r w:rsidRPr="00A45539">
        <w:rPr>
          <w:szCs w:val="18"/>
        </w:rPr>
        <w:t xml:space="preserve"> procent), Techniek (</w:t>
      </w:r>
      <w:r>
        <w:rPr>
          <w:szCs w:val="18"/>
        </w:rPr>
        <w:t>11,9</w:t>
      </w:r>
      <w:r w:rsidRPr="00A45539">
        <w:rPr>
          <w:szCs w:val="18"/>
        </w:rPr>
        <w:t xml:space="preserve"> procent) en Landbouw (2</w:t>
      </w:r>
      <w:r>
        <w:rPr>
          <w:szCs w:val="18"/>
        </w:rPr>
        <w:t>,2</w:t>
      </w:r>
      <w:r w:rsidRPr="00A45539">
        <w:rPr>
          <w:szCs w:val="18"/>
        </w:rPr>
        <w:t xml:space="preserve"> procent). Het profiel Techniek telde </w:t>
      </w:r>
      <w:r>
        <w:rPr>
          <w:szCs w:val="18"/>
        </w:rPr>
        <w:t>4.343</w:t>
      </w:r>
      <w:r w:rsidRPr="00A45539">
        <w:rPr>
          <w:szCs w:val="18"/>
        </w:rPr>
        <w:t xml:space="preserve"> derdejaarsleerlingen, wat vergeleken met het schooljaar 202</w:t>
      </w:r>
      <w:r>
        <w:rPr>
          <w:szCs w:val="18"/>
        </w:rPr>
        <w:t>2</w:t>
      </w:r>
      <w:r w:rsidRPr="00A45539">
        <w:rPr>
          <w:szCs w:val="18"/>
        </w:rPr>
        <w:t>/202</w:t>
      </w:r>
      <w:r>
        <w:rPr>
          <w:szCs w:val="18"/>
        </w:rPr>
        <w:t>3</w:t>
      </w:r>
      <w:r w:rsidRPr="00A45539">
        <w:rPr>
          <w:szCs w:val="18"/>
        </w:rPr>
        <w:t xml:space="preserve"> een </w:t>
      </w:r>
      <w:r>
        <w:rPr>
          <w:szCs w:val="18"/>
        </w:rPr>
        <w:t>stijging</w:t>
      </w:r>
      <w:r w:rsidRPr="00A45539">
        <w:rPr>
          <w:szCs w:val="18"/>
        </w:rPr>
        <w:t xml:space="preserve"> van </w:t>
      </w:r>
      <w:r>
        <w:rPr>
          <w:szCs w:val="18"/>
        </w:rPr>
        <w:t>1,4</w:t>
      </w:r>
      <w:r w:rsidRPr="00A45539">
        <w:rPr>
          <w:szCs w:val="18"/>
        </w:rPr>
        <w:t xml:space="preserve"> procent was. </w:t>
      </w:r>
      <w:r>
        <w:rPr>
          <w:szCs w:val="18"/>
        </w:rPr>
        <w:t xml:space="preserve">We zien ook een toename in de profielen Landbouw (18,5 procent), “Profielloos” (5,9 procent) en Zorg en Welzijn (3,3 procent), terwijl het aantal leerlingen in het profiel Economie juist is gedaald met 2,9 procent. </w:t>
      </w:r>
      <w:r w:rsidRPr="00A45539">
        <w:rPr>
          <w:szCs w:val="18"/>
        </w:rPr>
        <w:t xml:space="preserve">Het totale leerlingenaantal in de theoretische leerweg nam </w:t>
      </w:r>
      <w:r>
        <w:rPr>
          <w:szCs w:val="18"/>
        </w:rPr>
        <w:t>toe</w:t>
      </w:r>
      <w:r w:rsidRPr="00A45539">
        <w:rPr>
          <w:szCs w:val="18"/>
        </w:rPr>
        <w:t xml:space="preserve"> met </w:t>
      </w:r>
      <w:r>
        <w:rPr>
          <w:szCs w:val="18"/>
        </w:rPr>
        <w:t>1,3</w:t>
      </w:r>
      <w:r w:rsidRPr="00A45539">
        <w:rPr>
          <w:szCs w:val="18"/>
        </w:rPr>
        <w:t xml:space="preserve"> procent ten opzichte van het voorgaande jaar. </w:t>
      </w:r>
    </w:p>
    <w:p w:rsidRPr="00A45539" w:rsidR="00B52D66" w:rsidP="00B52D66" w:rsidRDefault="00B52D66" w14:paraId="3FA70CBE" w14:textId="77777777">
      <w:pPr>
        <w:jc w:val="both"/>
        <w:rPr>
          <w:szCs w:val="18"/>
        </w:rPr>
      </w:pPr>
    </w:p>
    <w:p w:rsidRPr="00284C85" w:rsidR="00B52D66" w:rsidP="00B52D66" w:rsidRDefault="00B52D66" w14:paraId="06A0A414" w14:textId="77777777"/>
    <w:p w:rsidRPr="00F82446" w:rsidR="00B52D66" w:rsidP="00B52D66" w:rsidRDefault="00B52D66" w14:paraId="5BC33894" w14:textId="77777777">
      <w:pPr>
        <w:pStyle w:val="Kop3"/>
      </w:pPr>
      <w:bookmarkStart w:name="_Toc203573619" w:id="111"/>
      <w:r>
        <w:rPr>
          <w:szCs w:val="18"/>
        </w:rPr>
        <w:t>A</w:t>
      </w:r>
      <w:r w:rsidRPr="00A45539">
        <w:rPr>
          <w:szCs w:val="18"/>
        </w:rPr>
        <w:t>andeel</w:t>
      </w:r>
      <w:r>
        <w:rPr>
          <w:szCs w:val="18"/>
        </w:rPr>
        <w:t xml:space="preserve"> en aantal</w:t>
      </w:r>
      <w:r w:rsidRPr="00A45539">
        <w:rPr>
          <w:szCs w:val="18"/>
        </w:rPr>
        <w:t xml:space="preserve"> techniekleerlingen per </w:t>
      </w:r>
      <w:r>
        <w:rPr>
          <w:szCs w:val="18"/>
        </w:rPr>
        <w:t>STO-</w:t>
      </w:r>
      <w:r w:rsidRPr="00A45539">
        <w:rPr>
          <w:szCs w:val="18"/>
        </w:rPr>
        <w:t>regio</w:t>
      </w:r>
      <w:bookmarkEnd w:id="111"/>
    </w:p>
    <w:p w:rsidR="00B52D66" w:rsidP="00B52D66" w:rsidRDefault="00B52D66" w14:paraId="6B5E7123" w14:textId="77777777">
      <w:pPr>
        <w:rPr>
          <w:szCs w:val="18"/>
        </w:rPr>
      </w:pPr>
    </w:p>
    <w:p w:rsidRPr="00A45539" w:rsidR="00B52D66" w:rsidP="00B52D66" w:rsidRDefault="00B52D66" w14:paraId="212730B8" w14:textId="242AE350">
      <w:pPr>
        <w:jc w:val="both"/>
        <w:rPr>
          <w:szCs w:val="18"/>
        </w:rPr>
      </w:pPr>
      <w:r w:rsidRPr="00A45539">
        <w:rPr>
          <w:szCs w:val="18"/>
        </w:rPr>
        <w:t xml:space="preserve">Figuur </w:t>
      </w:r>
      <w:r w:rsidR="00006041">
        <w:rPr>
          <w:szCs w:val="18"/>
        </w:rPr>
        <w:t>B3</w:t>
      </w:r>
      <w:r>
        <w:rPr>
          <w:szCs w:val="18"/>
        </w:rPr>
        <w:t>.2</w:t>
      </w:r>
      <w:r w:rsidRPr="00A45539">
        <w:rPr>
          <w:szCs w:val="18"/>
        </w:rPr>
        <w:t xml:space="preserve"> toont</w:t>
      </w:r>
      <w:r w:rsidRPr="00A45539">
        <w:rPr>
          <w:rStyle w:val="Verwijzingopmerking"/>
          <w:rFonts w:eastAsiaTheme="majorEastAsia"/>
          <w:szCs w:val="18"/>
        </w:rPr>
        <w:t xml:space="preserve"> </w:t>
      </w:r>
      <w:r w:rsidRPr="00A45539">
        <w:rPr>
          <w:szCs w:val="18"/>
        </w:rPr>
        <w:t>het aandeel techniekleerlingen per STO-regio. In schooljaar 202</w:t>
      </w:r>
      <w:r>
        <w:rPr>
          <w:szCs w:val="18"/>
        </w:rPr>
        <w:t>3</w:t>
      </w:r>
      <w:r w:rsidRPr="00A45539">
        <w:rPr>
          <w:szCs w:val="18"/>
        </w:rPr>
        <w:t>/202</w:t>
      </w:r>
      <w:r>
        <w:rPr>
          <w:szCs w:val="18"/>
        </w:rPr>
        <w:t>4</w:t>
      </w:r>
      <w:r w:rsidRPr="00A45539">
        <w:rPr>
          <w:szCs w:val="18"/>
        </w:rPr>
        <w:t xml:space="preserve"> volg</w:t>
      </w:r>
      <w:r>
        <w:rPr>
          <w:szCs w:val="18"/>
        </w:rPr>
        <w:t>t</w:t>
      </w:r>
      <w:r w:rsidRPr="00A45539">
        <w:rPr>
          <w:szCs w:val="18"/>
        </w:rPr>
        <w:t xml:space="preserve"> per STO-regio gemiddeld 24,</w:t>
      </w:r>
      <w:r>
        <w:rPr>
          <w:szCs w:val="18"/>
        </w:rPr>
        <w:t>9</w:t>
      </w:r>
      <w:r w:rsidRPr="00A45539">
        <w:rPr>
          <w:szCs w:val="18"/>
        </w:rPr>
        <w:t xml:space="preserve"> procent van de leerlingen een technisch profiel</w:t>
      </w:r>
      <w:r>
        <w:rPr>
          <w:szCs w:val="18"/>
        </w:rPr>
        <w:t xml:space="preserve"> (2018/2019: 23,7%). Vergeleken met het eerste jaar van STO steeg het aandeel techniekleerlingen met iets meer dan 1 procentpunt. </w:t>
      </w:r>
      <w:r w:rsidRPr="00A45539">
        <w:rPr>
          <w:szCs w:val="18"/>
        </w:rPr>
        <w:t xml:space="preserve">Er zijn echter grote verschillen tussen de </w:t>
      </w:r>
      <w:r>
        <w:rPr>
          <w:szCs w:val="18"/>
        </w:rPr>
        <w:t xml:space="preserve">78 </w:t>
      </w:r>
      <w:r w:rsidRPr="00A45539">
        <w:rPr>
          <w:szCs w:val="18"/>
        </w:rPr>
        <w:t xml:space="preserve">STO-regio’s. Zo zijn er </w:t>
      </w:r>
      <w:r>
        <w:rPr>
          <w:szCs w:val="18"/>
        </w:rPr>
        <w:t>vijf</w:t>
      </w:r>
      <w:r w:rsidRPr="00A45539">
        <w:rPr>
          <w:szCs w:val="18"/>
        </w:rPr>
        <w:t xml:space="preserve"> regio’s met een aandeel van 4 tot 10 procent techniekleerlingen en </w:t>
      </w:r>
      <w:r>
        <w:rPr>
          <w:szCs w:val="18"/>
        </w:rPr>
        <w:t>acht</w:t>
      </w:r>
      <w:r w:rsidRPr="00A45539">
        <w:rPr>
          <w:szCs w:val="18"/>
        </w:rPr>
        <w:t xml:space="preserve"> regio’s die een aandeel van 40 procent of meer hebben. In totaal zitten 4</w:t>
      </w:r>
      <w:r>
        <w:rPr>
          <w:szCs w:val="18"/>
        </w:rPr>
        <w:t>1</w:t>
      </w:r>
      <w:r w:rsidRPr="00A45539">
        <w:rPr>
          <w:szCs w:val="18"/>
        </w:rPr>
        <w:t xml:space="preserve"> STO-regio’s boven het gemiddeld</w:t>
      </w:r>
      <w:r>
        <w:rPr>
          <w:szCs w:val="18"/>
        </w:rPr>
        <w:t>e</w:t>
      </w:r>
      <w:r w:rsidRPr="00A45539">
        <w:rPr>
          <w:szCs w:val="18"/>
        </w:rPr>
        <w:t xml:space="preserve"> aandeel techniekleerlingen. Dat zijn twee STO-regio’s meer dan </w:t>
      </w:r>
      <w:r>
        <w:rPr>
          <w:szCs w:val="18"/>
        </w:rPr>
        <w:t>het voorgaande schooljaar</w:t>
      </w:r>
      <w:r w:rsidRPr="00A45539">
        <w:rPr>
          <w:szCs w:val="18"/>
        </w:rPr>
        <w:t>.</w:t>
      </w:r>
      <w:r>
        <w:rPr>
          <w:szCs w:val="18"/>
        </w:rPr>
        <w:t xml:space="preserve"> </w:t>
      </w:r>
    </w:p>
    <w:p w:rsidRPr="00A45539" w:rsidR="00B52D66" w:rsidP="00B52D66" w:rsidRDefault="00B52D66" w14:paraId="7784D6FC" w14:textId="77777777">
      <w:pPr>
        <w:rPr>
          <w:szCs w:val="18"/>
        </w:rPr>
      </w:pPr>
    </w:p>
    <w:p w:rsidR="00B52D66" w:rsidP="00B52D66" w:rsidRDefault="00B52D66" w14:paraId="3E388113" w14:textId="1C5F375A">
      <w:pPr>
        <w:pStyle w:val="Bijschrift"/>
      </w:pPr>
      <w:r w:rsidRPr="0065314C">
        <w:rPr>
          <w:bCs w:val="0"/>
        </w:rPr>
        <w:t xml:space="preserve">FIGUUR </w:t>
      </w:r>
      <w:r w:rsidR="00006041">
        <w:rPr>
          <w:bCs w:val="0"/>
        </w:rPr>
        <w:t>B3</w:t>
      </w:r>
      <w:r>
        <w:rPr>
          <w:bCs w:val="0"/>
        </w:rPr>
        <w:t>.2</w:t>
      </w:r>
      <w:r w:rsidRPr="0065314C">
        <w:rPr>
          <w:bCs w:val="0"/>
        </w:rPr>
        <w:t xml:space="preserve"> </w:t>
      </w:r>
      <w:r>
        <w:rPr>
          <w:bCs w:val="0"/>
        </w:rPr>
        <w:tab/>
      </w:r>
      <w:r w:rsidRPr="00A45539">
        <w:t>Aandeel leerlingen in technisch profiel per STO-regio, schooljaar 202</w:t>
      </w:r>
      <w:r>
        <w:t>3</w:t>
      </w:r>
      <w:r w:rsidRPr="00A45539">
        <w:t>/202</w:t>
      </w:r>
      <w:r>
        <w:t>4</w:t>
      </w:r>
    </w:p>
    <w:p w:rsidRPr="00A45539" w:rsidR="00B52D66" w:rsidP="780653D5" w:rsidRDefault="00B52D66" w14:paraId="18BC95BD" w14:textId="77777777">
      <w:pPr>
        <w:rPr>
          <w:i/>
          <w:iCs/>
        </w:rPr>
      </w:pPr>
      <w:r>
        <w:rPr>
          <w:noProof/>
        </w:rPr>
        <w:drawing>
          <wp:inline distT="0" distB="0" distL="0" distR="0" wp14:anchorId="4E209D63" wp14:editId="5442ABD7">
            <wp:extent cx="5975498" cy="3028315"/>
            <wp:effectExtent l="0" t="0" r="6350" b="635"/>
            <wp:docPr id="2" name="Chart 2">
              <a:extLst xmlns:a="http://schemas.openxmlformats.org/drawingml/2006/main">
                <a:ext uri="{FF2B5EF4-FFF2-40B4-BE49-F238E27FC236}">
                  <a16:creationId xmlns:a16="http://schemas.microsoft.com/office/drawing/2014/main" id="{9FC3C74A-511A-E0AF-98C3-F8CBDF5D62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A45539">
        <w:rPr>
          <w:szCs w:val="18"/>
        </w:rPr>
        <w:br/>
      </w:r>
      <w:r w:rsidRPr="780653D5">
        <w:rPr>
          <w:i/>
          <w:iCs/>
          <w:sz w:val="16"/>
          <w:szCs w:val="16"/>
        </w:rPr>
        <w:t>Bron: DUO (eigen bewerking ROA).</w:t>
      </w:r>
    </w:p>
    <w:p w:rsidR="00B52D66" w:rsidP="00B52D66" w:rsidRDefault="00B52D66" w14:paraId="15C9335A" w14:textId="77777777">
      <w:pPr>
        <w:rPr>
          <w:szCs w:val="18"/>
        </w:rPr>
      </w:pPr>
    </w:p>
    <w:p w:rsidRPr="00A45539" w:rsidR="00B52D66" w:rsidP="00B52D66" w:rsidRDefault="00B52D66" w14:paraId="62C3C64E" w14:textId="77777777">
      <w:pPr>
        <w:pStyle w:val="Kop4"/>
        <w:rPr>
          <w:rFonts w:ascii="Trebuchet MS" w:hAnsi="Trebuchet MS"/>
          <w:szCs w:val="18"/>
        </w:rPr>
      </w:pPr>
      <w:r w:rsidRPr="00A45539">
        <w:rPr>
          <w:rFonts w:ascii="Trebuchet MS" w:hAnsi="Trebuchet MS"/>
          <w:szCs w:val="18"/>
        </w:rPr>
        <w:lastRenderedPageBreak/>
        <w:t xml:space="preserve">Absolute aantallen techniekleerlingen variëren </w:t>
      </w:r>
      <w:r>
        <w:rPr>
          <w:rFonts w:ascii="Trebuchet MS" w:hAnsi="Trebuchet MS"/>
          <w:szCs w:val="18"/>
        </w:rPr>
        <w:t>sterk tussen STO-regio’s</w:t>
      </w:r>
    </w:p>
    <w:p w:rsidRPr="00A45539" w:rsidR="00B52D66" w:rsidP="00B52D66" w:rsidRDefault="00B52D66" w14:paraId="0B9B8A89" w14:textId="72BAC127">
      <w:pPr>
        <w:jc w:val="both"/>
        <w:rPr>
          <w:szCs w:val="18"/>
        </w:rPr>
      </w:pPr>
      <w:r w:rsidRPr="00A45539">
        <w:rPr>
          <w:szCs w:val="18"/>
        </w:rPr>
        <w:t xml:space="preserve">Figuur </w:t>
      </w:r>
      <w:r w:rsidR="00006041">
        <w:rPr>
          <w:szCs w:val="18"/>
        </w:rPr>
        <w:t>B3</w:t>
      </w:r>
      <w:r>
        <w:rPr>
          <w:szCs w:val="18"/>
        </w:rPr>
        <w:t>.3</w:t>
      </w:r>
      <w:r w:rsidRPr="00A45539">
        <w:rPr>
          <w:szCs w:val="18"/>
        </w:rPr>
        <w:t xml:space="preserve"> toont het aantal derdejaarsleerlingen in een technisch profiel</w:t>
      </w:r>
      <w:r w:rsidRPr="004C1458">
        <w:rPr>
          <w:szCs w:val="18"/>
        </w:rPr>
        <w:t xml:space="preserve"> </w:t>
      </w:r>
      <w:r w:rsidRPr="00A45539">
        <w:rPr>
          <w:szCs w:val="18"/>
        </w:rPr>
        <w:t>per STO-regio en leerweg. Een gemiddelde STO-regio heeft 15</w:t>
      </w:r>
      <w:r>
        <w:rPr>
          <w:szCs w:val="18"/>
        </w:rPr>
        <w:t>4</w:t>
      </w:r>
      <w:r w:rsidRPr="00A45539">
        <w:rPr>
          <w:szCs w:val="18"/>
        </w:rPr>
        <w:t xml:space="preserve"> leerlingen met een technisch profiel</w:t>
      </w:r>
      <w:r>
        <w:rPr>
          <w:szCs w:val="18"/>
        </w:rPr>
        <w:t xml:space="preserve"> in 2023/2024. Het aantal techniekleerlingen loopt sterk uiteen tussen de STO-regio’s. </w:t>
      </w:r>
      <w:r w:rsidRPr="00A45539">
        <w:rPr>
          <w:szCs w:val="18"/>
        </w:rPr>
        <w:t>Zo zijn er 1</w:t>
      </w:r>
      <w:r>
        <w:rPr>
          <w:szCs w:val="18"/>
        </w:rPr>
        <w:t>6</w:t>
      </w:r>
      <w:r w:rsidRPr="00A45539">
        <w:rPr>
          <w:szCs w:val="18"/>
        </w:rPr>
        <w:t xml:space="preserve"> regio’s met minder dan 75 techniekleerlingen in schooljaar 202</w:t>
      </w:r>
      <w:r>
        <w:rPr>
          <w:szCs w:val="18"/>
        </w:rPr>
        <w:t>3</w:t>
      </w:r>
      <w:r w:rsidRPr="00A45539">
        <w:rPr>
          <w:szCs w:val="18"/>
        </w:rPr>
        <w:t>/202</w:t>
      </w:r>
      <w:r>
        <w:rPr>
          <w:szCs w:val="18"/>
        </w:rPr>
        <w:t>4</w:t>
      </w:r>
      <w:r w:rsidRPr="00A45539">
        <w:rPr>
          <w:szCs w:val="18"/>
        </w:rPr>
        <w:t xml:space="preserve">, wat </w:t>
      </w:r>
      <w:r>
        <w:rPr>
          <w:szCs w:val="18"/>
        </w:rPr>
        <w:t>twee</w:t>
      </w:r>
      <w:r w:rsidRPr="00A45539">
        <w:rPr>
          <w:szCs w:val="18"/>
        </w:rPr>
        <w:t xml:space="preserve"> regio</w:t>
      </w:r>
      <w:r>
        <w:rPr>
          <w:szCs w:val="18"/>
        </w:rPr>
        <w:t>’s</w:t>
      </w:r>
      <w:r w:rsidRPr="00A45539">
        <w:rPr>
          <w:szCs w:val="18"/>
        </w:rPr>
        <w:t xml:space="preserve"> </w:t>
      </w:r>
      <w:r>
        <w:rPr>
          <w:szCs w:val="18"/>
        </w:rPr>
        <w:t>meer</w:t>
      </w:r>
      <w:r w:rsidRPr="00A45539">
        <w:rPr>
          <w:szCs w:val="18"/>
        </w:rPr>
        <w:t xml:space="preserve"> is vergeleken met het voorgaande schooljaar. Verder zitten </w:t>
      </w:r>
      <w:r>
        <w:rPr>
          <w:szCs w:val="18"/>
        </w:rPr>
        <w:t>35</w:t>
      </w:r>
      <w:r w:rsidRPr="00A45539">
        <w:rPr>
          <w:szCs w:val="18"/>
        </w:rPr>
        <w:t xml:space="preserve"> STO-regio’s </w:t>
      </w:r>
      <w:r>
        <w:rPr>
          <w:szCs w:val="18"/>
        </w:rPr>
        <w:t>boven</w:t>
      </w:r>
      <w:r w:rsidRPr="00A45539">
        <w:rPr>
          <w:szCs w:val="18"/>
        </w:rPr>
        <w:t xml:space="preserve"> het gemiddelde van 1</w:t>
      </w:r>
      <w:r>
        <w:rPr>
          <w:szCs w:val="18"/>
        </w:rPr>
        <w:t>54</w:t>
      </w:r>
      <w:r w:rsidRPr="00A45539">
        <w:rPr>
          <w:szCs w:val="18"/>
        </w:rPr>
        <w:t xml:space="preserve"> leerlingen met een technisch profiel. </w:t>
      </w:r>
      <w:r>
        <w:rPr>
          <w:szCs w:val="18"/>
        </w:rPr>
        <w:t xml:space="preserve">Er </w:t>
      </w:r>
      <w:r w:rsidRPr="00A45539">
        <w:rPr>
          <w:szCs w:val="18"/>
        </w:rPr>
        <w:t xml:space="preserve">zijn </w:t>
      </w:r>
      <w:r>
        <w:rPr>
          <w:szCs w:val="18"/>
        </w:rPr>
        <w:t>zes</w:t>
      </w:r>
      <w:r w:rsidRPr="00A45539">
        <w:rPr>
          <w:szCs w:val="18"/>
        </w:rPr>
        <w:t xml:space="preserve"> regio’s met meer dan 300 techniekleerlingen. De drie grootste regio’s hebben samen 1.5</w:t>
      </w:r>
      <w:r>
        <w:rPr>
          <w:szCs w:val="18"/>
        </w:rPr>
        <w:t>5</w:t>
      </w:r>
      <w:r w:rsidRPr="00A45539">
        <w:rPr>
          <w:szCs w:val="18"/>
        </w:rPr>
        <w:t>6 techniekleerlingen</w:t>
      </w:r>
      <w:r>
        <w:rPr>
          <w:szCs w:val="18"/>
        </w:rPr>
        <w:t xml:space="preserve">. Ten opzichte van het schooljaar 2022/2023 hebben </w:t>
      </w:r>
      <w:r w:rsidRPr="00A45539">
        <w:rPr>
          <w:szCs w:val="18"/>
        </w:rPr>
        <w:t xml:space="preserve">deze drie regio’s </w:t>
      </w:r>
      <w:r>
        <w:rPr>
          <w:szCs w:val="18"/>
        </w:rPr>
        <w:t xml:space="preserve">wel </w:t>
      </w:r>
      <w:r w:rsidRPr="00A45539">
        <w:rPr>
          <w:szCs w:val="18"/>
        </w:rPr>
        <w:t>minder techniekleerlingen.</w:t>
      </w:r>
      <w:r>
        <w:rPr>
          <w:szCs w:val="18"/>
        </w:rPr>
        <w:t xml:space="preserve"> Vergeleken met Figuur </w:t>
      </w:r>
      <w:r w:rsidR="00006041">
        <w:rPr>
          <w:szCs w:val="18"/>
        </w:rPr>
        <w:t>B3</w:t>
      </w:r>
      <w:r>
        <w:rPr>
          <w:szCs w:val="18"/>
        </w:rPr>
        <w:t>.3 zien we dat meer STO-regio’s boven het gemiddelde liggen wanneer geanalyseerd naar aandeel techniekleerlingen ten opzichte van niet-techniekleerlingen (41 regio’s) en juist minder STO-regio’s met een bovengemiddeld aantal techniekleerlingen (35 regio’s).</w:t>
      </w:r>
    </w:p>
    <w:p w:rsidRPr="00A45539" w:rsidR="00B52D66" w:rsidP="00B52D66" w:rsidRDefault="00B52D66" w14:paraId="691E6855" w14:textId="77777777">
      <w:pPr>
        <w:jc w:val="both"/>
        <w:rPr>
          <w:szCs w:val="18"/>
        </w:rPr>
      </w:pPr>
    </w:p>
    <w:p w:rsidRPr="00A45539" w:rsidR="00B52D66" w:rsidP="00B52D66" w:rsidRDefault="00B52D66" w14:paraId="4E95786B" w14:textId="77777777">
      <w:pPr>
        <w:jc w:val="both"/>
        <w:rPr>
          <w:szCs w:val="18"/>
        </w:rPr>
      </w:pPr>
      <w:r w:rsidRPr="00A45539">
        <w:rPr>
          <w:szCs w:val="18"/>
        </w:rPr>
        <w:t>Voor bijna alle STO-regio’s geldt dat de meeste van deze techni</w:t>
      </w:r>
      <w:r>
        <w:rPr>
          <w:szCs w:val="18"/>
        </w:rPr>
        <w:t>ek</w:t>
      </w:r>
      <w:r w:rsidRPr="00A45539">
        <w:rPr>
          <w:szCs w:val="18"/>
        </w:rPr>
        <w:t xml:space="preserve">leerlingen in de kl zitten, gevolgd door de bl. </w:t>
      </w:r>
      <w:r>
        <w:rPr>
          <w:szCs w:val="18"/>
        </w:rPr>
        <w:t>V</w:t>
      </w:r>
      <w:r w:rsidRPr="00A45539">
        <w:rPr>
          <w:szCs w:val="18"/>
        </w:rPr>
        <w:t xml:space="preserve">oor de meeste STO-regio’s kent </w:t>
      </w:r>
      <w:r>
        <w:rPr>
          <w:szCs w:val="18"/>
        </w:rPr>
        <w:t>d</w:t>
      </w:r>
      <w:r w:rsidRPr="00A45539">
        <w:rPr>
          <w:szCs w:val="18"/>
        </w:rPr>
        <w:t>e gl de minste leerlingen</w:t>
      </w:r>
      <w:r w:rsidRPr="00C36DB9">
        <w:rPr>
          <w:szCs w:val="18"/>
        </w:rPr>
        <w:t xml:space="preserve"> </w:t>
      </w:r>
      <w:r>
        <w:rPr>
          <w:szCs w:val="18"/>
        </w:rPr>
        <w:t>in een technisch profiel</w:t>
      </w:r>
      <w:r w:rsidRPr="00A45539">
        <w:rPr>
          <w:szCs w:val="18"/>
        </w:rPr>
        <w:t xml:space="preserve"> en komt in 2</w:t>
      </w:r>
      <w:r>
        <w:rPr>
          <w:szCs w:val="18"/>
        </w:rPr>
        <w:t>8</w:t>
      </w:r>
      <w:r w:rsidRPr="00A45539">
        <w:rPr>
          <w:szCs w:val="18"/>
        </w:rPr>
        <w:t xml:space="preserve"> regio’s (202</w:t>
      </w:r>
      <w:r>
        <w:rPr>
          <w:szCs w:val="18"/>
        </w:rPr>
        <w:t>2</w:t>
      </w:r>
      <w:r w:rsidRPr="00A45539">
        <w:rPr>
          <w:szCs w:val="18"/>
        </w:rPr>
        <w:t>/202</w:t>
      </w:r>
      <w:r>
        <w:rPr>
          <w:szCs w:val="18"/>
        </w:rPr>
        <w:t>3</w:t>
      </w:r>
      <w:r w:rsidRPr="00A45539">
        <w:rPr>
          <w:szCs w:val="18"/>
        </w:rPr>
        <w:t xml:space="preserve">: </w:t>
      </w:r>
      <w:r>
        <w:rPr>
          <w:szCs w:val="18"/>
        </w:rPr>
        <w:t>28</w:t>
      </w:r>
      <w:r w:rsidRPr="00A45539">
        <w:rPr>
          <w:szCs w:val="18"/>
        </w:rPr>
        <w:t xml:space="preserve"> regio’s) zelfs niet voor. In </w:t>
      </w:r>
      <w:r>
        <w:rPr>
          <w:szCs w:val="18"/>
        </w:rPr>
        <w:t>63</w:t>
      </w:r>
      <w:r w:rsidRPr="00A45539">
        <w:rPr>
          <w:szCs w:val="18"/>
        </w:rPr>
        <w:t xml:space="preserve"> STO-regio’s is de kl de grootste</w:t>
      </w:r>
      <w:r>
        <w:rPr>
          <w:szCs w:val="18"/>
        </w:rPr>
        <w:t xml:space="preserve"> leerweg</w:t>
      </w:r>
      <w:r w:rsidRPr="00A45539">
        <w:rPr>
          <w:szCs w:val="18"/>
        </w:rPr>
        <w:t xml:space="preserve"> wat betreft leerlingenaantal en in </w:t>
      </w:r>
      <w:r>
        <w:rPr>
          <w:szCs w:val="18"/>
        </w:rPr>
        <w:t>negen</w:t>
      </w:r>
      <w:r w:rsidRPr="00A45539">
        <w:rPr>
          <w:szCs w:val="18"/>
        </w:rPr>
        <w:t xml:space="preserve"> STO-regio’s heeft de bl de meeste leerlingen. Tot slot valt op dat doorgaans geldt dat hoe groter het aantal leerlingen, hoe vaker alle drie de leerwegen per regio voorkomen.</w:t>
      </w:r>
      <w:r w:rsidRPr="00A45539" w:rsidDel="0055384D">
        <w:rPr>
          <w:szCs w:val="18"/>
        </w:rPr>
        <w:t xml:space="preserve"> </w:t>
      </w:r>
    </w:p>
    <w:p w:rsidR="00B52D66" w:rsidP="00B52D66" w:rsidRDefault="00B52D66" w14:paraId="57397E28" w14:textId="77777777">
      <w:pPr>
        <w:rPr>
          <w:szCs w:val="18"/>
        </w:rPr>
      </w:pPr>
    </w:p>
    <w:p w:rsidRPr="0065314C" w:rsidR="00B52D66" w:rsidP="00B52D66" w:rsidRDefault="00B52D66" w14:paraId="53A9A3D7" w14:textId="0190EC15">
      <w:pPr>
        <w:pStyle w:val="Bijschrift"/>
      </w:pPr>
      <w:r w:rsidRPr="0065314C">
        <w:t xml:space="preserve">FIGUUR </w:t>
      </w:r>
      <w:r w:rsidR="00006041">
        <w:t>B3</w:t>
      </w:r>
      <w:r>
        <w:t>.3</w:t>
      </w:r>
      <w:r w:rsidRPr="0065314C">
        <w:t xml:space="preserve"> </w:t>
      </w:r>
      <w:r>
        <w:tab/>
      </w:r>
      <w:r w:rsidRPr="0065314C">
        <w:t xml:space="preserve">Aantal leerlingen in technische profielen per STO-regio, schooljaar </w:t>
      </w:r>
      <w:r>
        <w:t>2023/2024</w:t>
      </w:r>
    </w:p>
    <w:p w:rsidRPr="00A45539" w:rsidR="00B52D66" w:rsidP="780653D5" w:rsidRDefault="00B52D66" w14:paraId="2DFF4ABF" w14:textId="77777777">
      <w:pPr>
        <w:rPr>
          <w:i/>
          <w:iCs/>
        </w:rPr>
      </w:pPr>
      <w:r>
        <w:rPr>
          <w:noProof/>
        </w:rPr>
        <w:drawing>
          <wp:inline distT="0" distB="0" distL="0" distR="0" wp14:anchorId="1CC73EE2" wp14:editId="22C42D89">
            <wp:extent cx="5943600" cy="2682875"/>
            <wp:effectExtent l="0" t="0" r="0" b="3175"/>
            <wp:docPr id="15" name="Chart 15">
              <a:extLst xmlns:a="http://schemas.openxmlformats.org/drawingml/2006/main">
                <a:ext uri="{FF2B5EF4-FFF2-40B4-BE49-F238E27FC236}">
                  <a16:creationId xmlns:a16="http://schemas.microsoft.com/office/drawing/2014/main" id="{9F96DFB8-98F0-9C2F-E1BB-7FDB3CFD21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A45539">
        <w:rPr>
          <w:szCs w:val="18"/>
        </w:rPr>
        <w:br/>
      </w:r>
      <w:r w:rsidRPr="780653D5">
        <w:rPr>
          <w:i/>
          <w:iCs/>
          <w:sz w:val="16"/>
          <w:szCs w:val="16"/>
        </w:rPr>
        <w:t>Bron: DUO (eigen bewerking ROA). *: aantallen in de gl vallen onder rapportagegrens (&lt;6 leerlingen).</w:t>
      </w:r>
    </w:p>
    <w:p w:rsidR="00B52D66" w:rsidP="00B52D66" w:rsidRDefault="00B52D66" w14:paraId="35E33A7C" w14:textId="77777777">
      <w:pPr>
        <w:rPr>
          <w:szCs w:val="18"/>
        </w:rPr>
      </w:pPr>
    </w:p>
    <w:p w:rsidR="00B52D66" w:rsidP="00B52D66" w:rsidRDefault="00B52D66" w14:paraId="69476A41" w14:textId="2450DAB5">
      <w:pPr>
        <w:rPr>
          <w:szCs w:val="18"/>
        </w:rPr>
      </w:pPr>
      <w:r>
        <w:rPr>
          <w:szCs w:val="18"/>
        </w:rPr>
        <w:t>Kijken we terug naar de eerste meting, het schooljaar 2019/2020</w:t>
      </w:r>
      <w:r>
        <w:rPr>
          <w:rStyle w:val="Voetnootmarkering"/>
          <w:szCs w:val="18"/>
        </w:rPr>
        <w:footnoteReference w:id="8"/>
      </w:r>
      <w:r>
        <w:rPr>
          <w:szCs w:val="18"/>
        </w:rPr>
        <w:t xml:space="preserve">, dan was het gemiddeld aantal leerlingen per STO-regio 150 met 7 regio’s van meer dan 300 techniekleerlingen en 20 STO-regio’s met minder dan 75 leerlingen. </w:t>
      </w:r>
      <w:bookmarkStart w:name="_Hlk198106708" w:id="112"/>
      <w:r>
        <w:rPr>
          <w:szCs w:val="18"/>
        </w:rPr>
        <w:t>Het gemiddeld aantal techniekleerlingen is dus door de tijd heen iets gestegen en dan met name in regio’s met minder techniekleerlingen en het gemiddeld aandeel techniekleerlingen is met iets meer dan 1 procentpunt gestegen (</w:t>
      </w:r>
      <w:bookmarkEnd w:id="112"/>
      <w:r w:rsidR="008D4DFE">
        <w:rPr>
          <w:szCs w:val="18"/>
        </w:rPr>
        <w:t xml:space="preserve">Tabel B3.15 in de Appendix bij Bijlage </w:t>
      </w:r>
      <w:r>
        <w:rPr>
          <w:szCs w:val="18"/>
        </w:rPr>
        <w:t>3).</w:t>
      </w:r>
    </w:p>
    <w:p w:rsidR="00B52D66" w:rsidP="00B52D66" w:rsidRDefault="00B52D66" w14:paraId="73C43D31" w14:textId="77777777">
      <w:pPr>
        <w:rPr>
          <w:szCs w:val="18"/>
        </w:rPr>
      </w:pPr>
    </w:p>
    <w:p w:rsidRPr="00A45539" w:rsidR="00B52D66" w:rsidP="00B52D66" w:rsidRDefault="00B52D66" w14:paraId="4A6C6B20" w14:textId="77777777">
      <w:pPr>
        <w:rPr>
          <w:szCs w:val="18"/>
        </w:rPr>
      </w:pPr>
    </w:p>
    <w:p w:rsidRPr="00F82446" w:rsidR="00B52D66" w:rsidP="00B52D66" w:rsidRDefault="00B52D66" w14:paraId="3C567AE0" w14:textId="77777777">
      <w:pPr>
        <w:pStyle w:val="Kop3"/>
        <w:rPr>
          <w:szCs w:val="18"/>
        </w:rPr>
      </w:pPr>
      <w:bookmarkStart w:name="_Toc125541244" w:id="113"/>
      <w:bookmarkStart w:name="_Toc127528894" w:id="114"/>
      <w:bookmarkStart w:name="_Toc158042057" w:id="115"/>
      <w:bookmarkStart w:name="_Toc203573620" w:id="116"/>
      <w:r w:rsidRPr="00F82446">
        <w:rPr>
          <w:szCs w:val="18"/>
        </w:rPr>
        <w:t>Ontwikkelingen in de basis- en kaderberoepsgerichte leerwegen</w:t>
      </w:r>
      <w:bookmarkEnd w:id="113"/>
      <w:bookmarkEnd w:id="114"/>
      <w:bookmarkEnd w:id="115"/>
      <w:bookmarkEnd w:id="116"/>
    </w:p>
    <w:p w:rsidRPr="00A45539" w:rsidR="00B52D66" w:rsidP="00B52D66" w:rsidRDefault="00B52D66" w14:paraId="5CB4AB74" w14:textId="77777777">
      <w:pPr>
        <w:rPr>
          <w:szCs w:val="18"/>
        </w:rPr>
      </w:pPr>
    </w:p>
    <w:p w:rsidRPr="00A45539" w:rsidR="00B52D66" w:rsidP="00B52D66" w:rsidRDefault="00B52D66" w14:paraId="1A22774E" w14:textId="4CE314DA">
      <w:pPr>
        <w:jc w:val="both"/>
      </w:pPr>
      <w:r w:rsidRPr="00A45539">
        <w:t xml:space="preserve">In deze paragraaf wordt gekeken naar de ontwikkelingen in de technische en de niet-technische profielen bij de </w:t>
      </w:r>
      <w:r>
        <w:t>bl en kl, de twee grootste beroepsgerichte leerwegen</w:t>
      </w:r>
      <w:r w:rsidRPr="00A45539">
        <w:t xml:space="preserve">. In Figuur </w:t>
      </w:r>
      <w:r w:rsidR="00006041">
        <w:t>B3</w:t>
      </w:r>
      <w:r>
        <w:t>.4</w:t>
      </w:r>
      <w:r w:rsidRPr="00A45539">
        <w:t xml:space="preserve"> zetten we de techniek- en niet-techniekprofielen </w:t>
      </w:r>
      <w:r w:rsidRPr="00A45539">
        <w:lastRenderedPageBreak/>
        <w:t>tegen elkaar af en vormen we vier clusters om de toename en afname van het aantal derdejaarsleerlingen in het schooljaar 202</w:t>
      </w:r>
      <w:r>
        <w:t>3</w:t>
      </w:r>
      <w:r w:rsidRPr="00A45539">
        <w:t>/202</w:t>
      </w:r>
      <w:r>
        <w:t>4</w:t>
      </w:r>
      <w:r w:rsidRPr="00A45539">
        <w:t xml:space="preserve"> ten opzichte van het schooljaar 202</w:t>
      </w:r>
      <w:r>
        <w:t>2</w:t>
      </w:r>
      <w:r w:rsidRPr="00A45539">
        <w:t>/202</w:t>
      </w:r>
      <w:r>
        <w:t>3</w:t>
      </w:r>
      <w:r w:rsidRPr="00A45539">
        <w:t xml:space="preserve"> inzichtelijk te maken. </w:t>
      </w:r>
    </w:p>
    <w:p w:rsidRPr="00A45539" w:rsidR="00B52D66" w:rsidP="00B52D66" w:rsidRDefault="00B52D66" w14:paraId="3747AFF9" w14:textId="77777777">
      <w:pPr>
        <w:jc w:val="both"/>
        <w:rPr>
          <w:szCs w:val="18"/>
        </w:rPr>
      </w:pPr>
    </w:p>
    <w:p w:rsidRPr="00A45539" w:rsidR="00B52D66" w:rsidP="00426692" w:rsidRDefault="00B52D66" w14:paraId="5436A59E" w14:textId="77777777">
      <w:pPr>
        <w:pStyle w:val="Lijstalinea"/>
        <w:numPr>
          <w:ilvl w:val="0"/>
          <w:numId w:val="2"/>
        </w:numPr>
        <w:ind w:left="284" w:hanging="284"/>
        <w:jc w:val="both"/>
        <w:rPr>
          <w:szCs w:val="18"/>
        </w:rPr>
      </w:pPr>
      <w:r w:rsidRPr="00A45539">
        <w:rPr>
          <w:szCs w:val="18"/>
        </w:rPr>
        <w:t>Cluster A: toename (of geen verandering) in de technische en de niet-technische profielen</w:t>
      </w:r>
    </w:p>
    <w:p w:rsidRPr="00A45539" w:rsidR="00B52D66" w:rsidP="00426692" w:rsidRDefault="00B52D66" w14:paraId="4F7C8726" w14:textId="77777777">
      <w:pPr>
        <w:pStyle w:val="Lijstalinea"/>
        <w:numPr>
          <w:ilvl w:val="0"/>
          <w:numId w:val="2"/>
        </w:numPr>
        <w:ind w:left="284" w:hanging="284"/>
        <w:jc w:val="both"/>
        <w:rPr>
          <w:szCs w:val="18"/>
        </w:rPr>
      </w:pPr>
      <w:r w:rsidRPr="00A45539">
        <w:rPr>
          <w:szCs w:val="18"/>
        </w:rPr>
        <w:t>Cluster B: afname in de technische en de niet-technische profielen</w:t>
      </w:r>
    </w:p>
    <w:p w:rsidRPr="00A45539" w:rsidR="00B52D66" w:rsidP="00426692" w:rsidRDefault="00B52D66" w14:paraId="77599418" w14:textId="77777777">
      <w:pPr>
        <w:pStyle w:val="Lijstalinea"/>
        <w:numPr>
          <w:ilvl w:val="0"/>
          <w:numId w:val="2"/>
        </w:numPr>
        <w:ind w:left="284" w:hanging="284"/>
        <w:jc w:val="both"/>
        <w:rPr>
          <w:szCs w:val="18"/>
        </w:rPr>
      </w:pPr>
      <w:r w:rsidRPr="00A45539">
        <w:rPr>
          <w:szCs w:val="18"/>
        </w:rPr>
        <w:t>Cluster C: toename (of geen verandering) in de technische en afname in de niet-technische profielen</w:t>
      </w:r>
    </w:p>
    <w:p w:rsidRPr="00A45539" w:rsidR="00B52D66" w:rsidP="00426692" w:rsidRDefault="00B52D66" w14:paraId="42934E03" w14:textId="77777777">
      <w:pPr>
        <w:pStyle w:val="Lijstalinea"/>
        <w:numPr>
          <w:ilvl w:val="0"/>
          <w:numId w:val="2"/>
        </w:numPr>
        <w:ind w:left="284" w:hanging="284"/>
        <w:jc w:val="both"/>
        <w:rPr>
          <w:szCs w:val="18"/>
        </w:rPr>
      </w:pPr>
      <w:r w:rsidRPr="00A45539">
        <w:rPr>
          <w:szCs w:val="18"/>
        </w:rPr>
        <w:t>Cluster D: afname in de technische en toename (of geen verandering) in de niet-technische profielen</w:t>
      </w:r>
    </w:p>
    <w:p w:rsidRPr="00A45539" w:rsidR="00B52D66" w:rsidP="00B52D66" w:rsidRDefault="00B52D66" w14:paraId="28249525" w14:textId="77777777">
      <w:pPr>
        <w:jc w:val="both"/>
        <w:rPr>
          <w:szCs w:val="18"/>
        </w:rPr>
      </w:pPr>
    </w:p>
    <w:p w:rsidRPr="00A45539" w:rsidR="00B52D66" w:rsidP="00B52D66" w:rsidRDefault="00B52D66" w14:paraId="1E7A6DEE" w14:textId="77777777">
      <w:pPr>
        <w:jc w:val="both"/>
        <w:rPr>
          <w:szCs w:val="18"/>
        </w:rPr>
      </w:pPr>
      <w:r w:rsidRPr="00A45539">
        <w:rPr>
          <w:szCs w:val="18"/>
        </w:rPr>
        <w:t xml:space="preserve">De meeste STO-regio’s (26) vinden we in cluster </w:t>
      </w:r>
      <w:r>
        <w:rPr>
          <w:szCs w:val="18"/>
        </w:rPr>
        <w:t>B</w:t>
      </w:r>
      <w:r w:rsidRPr="00A45539">
        <w:rPr>
          <w:szCs w:val="18"/>
        </w:rPr>
        <w:t>, gevolgd door 2</w:t>
      </w:r>
      <w:r>
        <w:rPr>
          <w:szCs w:val="18"/>
        </w:rPr>
        <w:t>1</w:t>
      </w:r>
      <w:r w:rsidRPr="00A45539">
        <w:rPr>
          <w:szCs w:val="18"/>
        </w:rPr>
        <w:t xml:space="preserve"> STO-regio’s in cluster </w:t>
      </w:r>
      <w:r>
        <w:rPr>
          <w:szCs w:val="18"/>
        </w:rPr>
        <w:t>C</w:t>
      </w:r>
      <w:r w:rsidRPr="00A45539">
        <w:rPr>
          <w:szCs w:val="18"/>
        </w:rPr>
        <w:t xml:space="preserve">, </w:t>
      </w:r>
      <w:r>
        <w:rPr>
          <w:szCs w:val="18"/>
        </w:rPr>
        <w:t>20</w:t>
      </w:r>
      <w:r w:rsidRPr="00A45539">
        <w:rPr>
          <w:szCs w:val="18"/>
        </w:rPr>
        <w:t xml:space="preserve"> STO-regio’s in cluster </w:t>
      </w:r>
      <w:r>
        <w:rPr>
          <w:szCs w:val="18"/>
        </w:rPr>
        <w:t>D</w:t>
      </w:r>
      <w:r w:rsidRPr="00A45539">
        <w:rPr>
          <w:szCs w:val="18"/>
        </w:rPr>
        <w:t xml:space="preserve"> en, tot slot, </w:t>
      </w:r>
      <w:r>
        <w:rPr>
          <w:szCs w:val="18"/>
        </w:rPr>
        <w:t>10</w:t>
      </w:r>
      <w:r w:rsidRPr="00A45539">
        <w:rPr>
          <w:szCs w:val="18"/>
        </w:rPr>
        <w:t xml:space="preserve"> STO-regio’s in cluster </w:t>
      </w:r>
      <w:r>
        <w:rPr>
          <w:szCs w:val="18"/>
        </w:rPr>
        <w:t>A</w:t>
      </w:r>
      <w:r w:rsidRPr="00A45539">
        <w:rPr>
          <w:szCs w:val="18"/>
        </w:rPr>
        <w:t xml:space="preserve">. Richten we de aandacht op de clusters met toenames of geen veranderingen in leerlingenaantallen in technische profielen (clusters A en C), dan tellen we hier </w:t>
      </w:r>
      <w:r>
        <w:rPr>
          <w:szCs w:val="18"/>
        </w:rPr>
        <w:t>31</w:t>
      </w:r>
      <w:r w:rsidRPr="00A45539">
        <w:rPr>
          <w:szCs w:val="18"/>
        </w:rPr>
        <w:t xml:space="preserve"> regio’s. Daarentegen vinden we in totaal </w:t>
      </w:r>
      <w:r>
        <w:rPr>
          <w:szCs w:val="18"/>
        </w:rPr>
        <w:t>46</w:t>
      </w:r>
      <w:r w:rsidRPr="00A45539">
        <w:rPr>
          <w:szCs w:val="18"/>
        </w:rPr>
        <w:t xml:space="preserve"> regio’s met een afname in het aantal leerlingen in technische profielen (clusters B en D). Dat wil zeggen dat </w:t>
      </w:r>
      <w:r>
        <w:rPr>
          <w:szCs w:val="18"/>
        </w:rPr>
        <w:t>59,7</w:t>
      </w:r>
      <w:r w:rsidRPr="00A45539">
        <w:rPr>
          <w:szCs w:val="18"/>
        </w:rPr>
        <w:t xml:space="preserve"> procent van de regio’s een daling in het aan</w:t>
      </w:r>
      <w:r>
        <w:rPr>
          <w:szCs w:val="18"/>
        </w:rPr>
        <w:t>tal</w:t>
      </w:r>
      <w:r w:rsidRPr="00A45539">
        <w:rPr>
          <w:szCs w:val="18"/>
        </w:rPr>
        <w:t xml:space="preserve"> techniekleerlingen heeft. Ter vergelijking, in 202</w:t>
      </w:r>
      <w:r>
        <w:rPr>
          <w:szCs w:val="18"/>
        </w:rPr>
        <w:t>2</w:t>
      </w:r>
      <w:r w:rsidRPr="00A45539">
        <w:rPr>
          <w:szCs w:val="18"/>
        </w:rPr>
        <w:t>/202</w:t>
      </w:r>
      <w:r>
        <w:rPr>
          <w:szCs w:val="18"/>
        </w:rPr>
        <w:t>3</w:t>
      </w:r>
      <w:r w:rsidRPr="00A45539">
        <w:rPr>
          <w:szCs w:val="18"/>
        </w:rPr>
        <w:t xml:space="preserve"> behoorden </w:t>
      </w:r>
      <w:r>
        <w:rPr>
          <w:szCs w:val="18"/>
        </w:rPr>
        <w:t>56</w:t>
      </w:r>
      <w:r w:rsidRPr="00A45539">
        <w:rPr>
          <w:szCs w:val="18"/>
        </w:rPr>
        <w:t xml:space="preserve"> regio’s tot de groeiclusters en </w:t>
      </w:r>
      <w:r>
        <w:rPr>
          <w:szCs w:val="18"/>
        </w:rPr>
        <w:t>21</w:t>
      </w:r>
      <w:r w:rsidRPr="00A45539">
        <w:rPr>
          <w:szCs w:val="18"/>
        </w:rPr>
        <w:t xml:space="preserve"> regio’s tot de dalingsclusters, oftewel </w:t>
      </w:r>
      <w:r>
        <w:rPr>
          <w:szCs w:val="18"/>
        </w:rPr>
        <w:t>27,3</w:t>
      </w:r>
      <w:r w:rsidRPr="00A45539">
        <w:rPr>
          <w:szCs w:val="18"/>
        </w:rPr>
        <w:t xml:space="preserve"> procent van alle STO-regio</w:t>
      </w:r>
      <w:r>
        <w:rPr>
          <w:szCs w:val="18"/>
        </w:rPr>
        <w:t>’</w:t>
      </w:r>
      <w:r w:rsidRPr="00A45539">
        <w:rPr>
          <w:szCs w:val="18"/>
        </w:rPr>
        <w:t>s</w:t>
      </w:r>
      <w:r>
        <w:rPr>
          <w:szCs w:val="18"/>
        </w:rPr>
        <w:t xml:space="preserve"> behoorde tot een dalingscluster</w:t>
      </w:r>
      <w:r w:rsidRPr="00A45539">
        <w:rPr>
          <w:szCs w:val="18"/>
        </w:rPr>
        <w:t>.</w:t>
      </w:r>
      <w:r>
        <w:rPr>
          <w:szCs w:val="18"/>
        </w:rPr>
        <w:t xml:space="preserve"> Schooljaar 2022/2023 lijkt echter een uitzondering te zijn geweest, als we het vergelijken met de eerdere jaren: in 2021/2022 behoorde 44 procent van de STO-regio’s tot de dalingsclusters en in 2020/2021 57 procent. </w:t>
      </w:r>
    </w:p>
    <w:p w:rsidR="00B52D66" w:rsidP="00B52D66" w:rsidRDefault="00B52D66" w14:paraId="59D813DC" w14:textId="77777777">
      <w:pPr>
        <w:jc w:val="both"/>
        <w:rPr>
          <w:szCs w:val="18"/>
        </w:rPr>
      </w:pPr>
    </w:p>
    <w:p w:rsidRPr="00A45539" w:rsidR="00B52D66" w:rsidP="00B52D66" w:rsidRDefault="00B52D66" w14:paraId="517EB4F0" w14:textId="3EA3CF24">
      <w:pPr>
        <w:pStyle w:val="Bijschrift"/>
      </w:pPr>
      <w:r w:rsidRPr="0065314C">
        <w:t xml:space="preserve">FIGUUR </w:t>
      </w:r>
      <w:r w:rsidR="00006041">
        <w:t>B3</w:t>
      </w:r>
      <w:r>
        <w:t>.4</w:t>
      </w:r>
      <w:r w:rsidRPr="0065314C">
        <w:t xml:space="preserve"> </w:t>
      </w:r>
      <w:r>
        <w:tab/>
      </w:r>
      <w:r w:rsidRPr="0065314C">
        <w:t>Procentuele</w:t>
      </w:r>
      <w:r w:rsidRPr="00A45539">
        <w:rPr>
          <w:color w:val="2E74B5" w:themeColor="accent1" w:themeShade="BF"/>
        </w:rPr>
        <w:t xml:space="preserve"> </w:t>
      </w:r>
      <w:r w:rsidRPr="00A45539">
        <w:t>verandering in aantal leerlingen in</w:t>
      </w:r>
      <w:r>
        <w:t xml:space="preserve"> de bl en kl in</w:t>
      </w:r>
      <w:r w:rsidRPr="00A45539">
        <w:t xml:space="preserve"> technische versus niet-technische profielen per STO-regio; schooljaar 202</w:t>
      </w:r>
      <w:r>
        <w:t>3</w:t>
      </w:r>
      <w:r w:rsidRPr="00A45539">
        <w:t>/202</w:t>
      </w:r>
      <w:r>
        <w:t>4</w:t>
      </w:r>
      <w:r w:rsidRPr="00A45539">
        <w:t xml:space="preserve"> ten opzichte van 202</w:t>
      </w:r>
      <w:r>
        <w:t>2</w:t>
      </w:r>
      <w:r w:rsidRPr="00A45539">
        <w:t>/202</w:t>
      </w:r>
      <w:r>
        <w:t>3</w:t>
      </w:r>
    </w:p>
    <w:p w:rsidRPr="00A45539" w:rsidR="00B52D66" w:rsidP="780653D5" w:rsidRDefault="00B52D66" w14:paraId="04F0491C" w14:textId="77777777">
      <w:pPr>
        <w:rPr>
          <w:i/>
          <w:iCs/>
        </w:rPr>
      </w:pPr>
      <w:r>
        <w:rPr>
          <w:noProof/>
        </w:rPr>
        <w:drawing>
          <wp:inline distT="0" distB="0" distL="0" distR="0" wp14:anchorId="5B13948B" wp14:editId="1936860B">
            <wp:extent cx="5810250" cy="3359150"/>
            <wp:effectExtent l="0" t="0" r="0" b="12700"/>
            <wp:docPr id="8" name="Chart 8">
              <a:extLst xmlns:a="http://schemas.openxmlformats.org/drawingml/2006/main">
                <a:ext uri="{FF2B5EF4-FFF2-40B4-BE49-F238E27FC236}">
                  <a16:creationId xmlns:a16="http://schemas.microsoft.com/office/drawing/2014/main" id="{B24D943C-B0C2-471B-8C15-EAE7CD7E40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A45539">
        <w:rPr>
          <w:szCs w:val="18"/>
        </w:rPr>
        <w:br/>
      </w:r>
      <w:r w:rsidRPr="780653D5">
        <w:rPr>
          <w:i/>
          <w:iCs/>
          <w:sz w:val="16"/>
          <w:szCs w:val="16"/>
        </w:rPr>
        <w:t>Bron: DUO (eigen bewerking ROA).</w:t>
      </w:r>
    </w:p>
    <w:p w:rsidRPr="00A45539" w:rsidR="00B52D66" w:rsidP="00B52D66" w:rsidRDefault="00B52D66" w14:paraId="11317C8F" w14:textId="77777777">
      <w:pPr>
        <w:rPr>
          <w:szCs w:val="18"/>
        </w:rPr>
      </w:pPr>
    </w:p>
    <w:p w:rsidR="00B52D66" w:rsidP="00B52D66" w:rsidRDefault="00B52D66" w14:paraId="32843512" w14:textId="26C8EE40">
      <w:pPr>
        <w:jc w:val="both"/>
        <w:rPr>
          <w:szCs w:val="18"/>
        </w:rPr>
      </w:pPr>
      <w:r>
        <w:rPr>
          <w:szCs w:val="18"/>
        </w:rPr>
        <w:t xml:space="preserve">De verandering in het aantal techniekleerlingen in de bl en kl in het schooljaar 2023/2024 ten opzichte van 2018/2019 wordt in </w:t>
      </w:r>
      <w:r w:rsidR="005E67E6">
        <w:rPr>
          <w:szCs w:val="18"/>
        </w:rPr>
        <w:t>Figuur</w:t>
      </w:r>
      <w:r w:rsidR="00480BEF">
        <w:rPr>
          <w:szCs w:val="18"/>
        </w:rPr>
        <w:t xml:space="preserve"> B3</w:t>
      </w:r>
      <w:r>
        <w:rPr>
          <w:szCs w:val="18"/>
        </w:rPr>
        <w:t>.</w:t>
      </w:r>
      <w:r w:rsidR="005E67E6">
        <w:rPr>
          <w:szCs w:val="18"/>
        </w:rPr>
        <w:t>11 (zie Appendix bij Bijlage 3)</w:t>
      </w:r>
      <w:r>
        <w:rPr>
          <w:szCs w:val="18"/>
        </w:rPr>
        <w:t xml:space="preserve"> weergegeven. De STO-regio’s in cluster B en D – de clusters die de daling in aantal techniekleerlingen bundelen – zijn in aantallen groter (namelijk 47 STO-regio’s) vergeleken met cluster A en C, die de toename in aantal techniekleerlingen samenvatten (30 STO-regio’s)</w:t>
      </w:r>
      <w:r w:rsidRPr="00A45539">
        <w:rPr>
          <w:szCs w:val="18"/>
        </w:rPr>
        <w:t xml:space="preserve">. </w:t>
      </w:r>
    </w:p>
    <w:p w:rsidRPr="00A45539" w:rsidR="00B52D66" w:rsidP="00B52D66" w:rsidRDefault="00B52D66" w14:paraId="14F4B315" w14:textId="77777777">
      <w:pPr>
        <w:jc w:val="both"/>
        <w:rPr>
          <w:szCs w:val="18"/>
        </w:rPr>
      </w:pPr>
    </w:p>
    <w:p w:rsidR="00B52D66" w:rsidP="00B52D66" w:rsidRDefault="00B52D66" w14:paraId="0A86E14F" w14:textId="1F9C66E6">
      <w:pPr>
        <w:jc w:val="both"/>
        <w:rPr>
          <w:szCs w:val="18"/>
        </w:rPr>
      </w:pPr>
      <w:r w:rsidRPr="00A45539">
        <w:rPr>
          <w:szCs w:val="18"/>
        </w:rPr>
        <w:t xml:space="preserve">Tabel </w:t>
      </w:r>
      <w:r w:rsidR="00480BEF">
        <w:rPr>
          <w:szCs w:val="18"/>
        </w:rPr>
        <w:t>B3</w:t>
      </w:r>
      <w:r>
        <w:rPr>
          <w:szCs w:val="18"/>
        </w:rPr>
        <w:t>.2</w:t>
      </w:r>
      <w:r w:rsidRPr="00A45539">
        <w:rPr>
          <w:szCs w:val="18"/>
        </w:rPr>
        <w:t xml:space="preserve"> vat de observaties van Figuur </w:t>
      </w:r>
      <w:r w:rsidR="00480BEF">
        <w:rPr>
          <w:szCs w:val="18"/>
        </w:rPr>
        <w:t>B3</w:t>
      </w:r>
      <w:r>
        <w:rPr>
          <w:szCs w:val="18"/>
        </w:rPr>
        <w:t>.5</w:t>
      </w:r>
      <w:r w:rsidRPr="00A45539">
        <w:rPr>
          <w:szCs w:val="18"/>
        </w:rPr>
        <w:t xml:space="preserve"> voor cluster A tot en met D samen. De STO-regio’s in cluster A (groei technisch én niet-technisch) </w:t>
      </w:r>
      <w:r>
        <w:rPr>
          <w:szCs w:val="18"/>
        </w:rPr>
        <w:t>tellen</w:t>
      </w:r>
      <w:r w:rsidRPr="00A45539">
        <w:rPr>
          <w:szCs w:val="18"/>
        </w:rPr>
        <w:t xml:space="preserve"> in schooljaar 202</w:t>
      </w:r>
      <w:r>
        <w:rPr>
          <w:szCs w:val="18"/>
        </w:rPr>
        <w:t>3</w:t>
      </w:r>
      <w:r w:rsidRPr="00A45539">
        <w:rPr>
          <w:szCs w:val="18"/>
        </w:rPr>
        <w:t>/202</w:t>
      </w:r>
      <w:r>
        <w:rPr>
          <w:szCs w:val="18"/>
        </w:rPr>
        <w:t>4</w:t>
      </w:r>
      <w:r w:rsidRPr="00A45539">
        <w:rPr>
          <w:szCs w:val="18"/>
        </w:rPr>
        <w:t xml:space="preserve"> </w:t>
      </w:r>
      <w:r>
        <w:rPr>
          <w:szCs w:val="18"/>
        </w:rPr>
        <w:t>1.158</w:t>
      </w:r>
      <w:r w:rsidRPr="00A45539">
        <w:rPr>
          <w:szCs w:val="18"/>
        </w:rPr>
        <w:t xml:space="preserve"> derdejaarsleerlingen in de technische profielen. </w:t>
      </w:r>
      <w:r>
        <w:rPr>
          <w:szCs w:val="18"/>
        </w:rPr>
        <w:t xml:space="preserve">Cluster A telt hiermee het kleinste aantal techniekleerlingen. Bovendien neemt het aantal techniekleerlingen in </w:t>
      </w:r>
      <w:r>
        <w:rPr>
          <w:szCs w:val="18"/>
        </w:rPr>
        <w:lastRenderedPageBreak/>
        <w:t xml:space="preserve">cluster A toe met zo’n 20,4 procent en het aantal niet-techniekleerlingen neemt met 8,2 procent toe ten opzichte van het voorgaande schooljaar. </w:t>
      </w:r>
      <w:r w:rsidRPr="00A45539">
        <w:rPr>
          <w:szCs w:val="18"/>
        </w:rPr>
        <w:t xml:space="preserve">Cluster C (toename in de technische en afname in de niet-technische profielen) </w:t>
      </w:r>
      <w:r>
        <w:rPr>
          <w:szCs w:val="18"/>
        </w:rPr>
        <w:t>telt</w:t>
      </w:r>
      <w:r w:rsidRPr="00A45539">
        <w:rPr>
          <w:szCs w:val="18"/>
        </w:rPr>
        <w:t xml:space="preserve"> </w:t>
      </w:r>
      <w:r>
        <w:rPr>
          <w:szCs w:val="18"/>
        </w:rPr>
        <w:t>2.687</w:t>
      </w:r>
      <w:r w:rsidRPr="00A45539">
        <w:rPr>
          <w:szCs w:val="18"/>
        </w:rPr>
        <w:t xml:space="preserve"> techniekleerlingen en </w:t>
      </w:r>
      <w:r>
        <w:rPr>
          <w:szCs w:val="18"/>
        </w:rPr>
        <w:t>kent</w:t>
      </w:r>
      <w:r w:rsidRPr="00A45539">
        <w:rPr>
          <w:szCs w:val="18"/>
        </w:rPr>
        <w:t xml:space="preserve"> in vergelijking met het voorgaande schooljaar een toename in aantal techni</w:t>
      </w:r>
      <w:r>
        <w:rPr>
          <w:szCs w:val="18"/>
        </w:rPr>
        <w:t>ek</w:t>
      </w:r>
      <w:r w:rsidRPr="00A45539">
        <w:rPr>
          <w:szCs w:val="18"/>
        </w:rPr>
        <w:t>leerlingen van ongeveer 1</w:t>
      </w:r>
      <w:r>
        <w:rPr>
          <w:szCs w:val="18"/>
        </w:rPr>
        <w:t>5</w:t>
      </w:r>
      <w:r w:rsidRPr="00A45539">
        <w:rPr>
          <w:szCs w:val="18"/>
        </w:rPr>
        <w:t xml:space="preserve"> procent, terwijl het aantal niet-techni</w:t>
      </w:r>
      <w:r>
        <w:rPr>
          <w:szCs w:val="18"/>
        </w:rPr>
        <w:t>ek</w:t>
      </w:r>
      <w:r w:rsidRPr="00A45539">
        <w:rPr>
          <w:szCs w:val="18"/>
        </w:rPr>
        <w:t xml:space="preserve">leerlingen </w:t>
      </w:r>
      <w:r>
        <w:rPr>
          <w:szCs w:val="18"/>
        </w:rPr>
        <w:t>afneemt</w:t>
      </w:r>
      <w:r w:rsidRPr="00A45539">
        <w:rPr>
          <w:szCs w:val="18"/>
        </w:rPr>
        <w:t xml:space="preserve"> met </w:t>
      </w:r>
      <w:r>
        <w:rPr>
          <w:szCs w:val="18"/>
        </w:rPr>
        <w:t xml:space="preserve">ongeveer </w:t>
      </w:r>
      <w:r w:rsidRPr="00A45539">
        <w:rPr>
          <w:szCs w:val="18"/>
        </w:rPr>
        <w:t xml:space="preserve">10 procent. De STO-regio’s in cluster B (afname in de technische én de niet-technische profielen) </w:t>
      </w:r>
      <w:r>
        <w:rPr>
          <w:szCs w:val="18"/>
        </w:rPr>
        <w:t>tellen</w:t>
      </w:r>
      <w:r w:rsidRPr="00A45539">
        <w:rPr>
          <w:szCs w:val="18"/>
        </w:rPr>
        <w:t xml:space="preserve"> daarentegen ongeveer 3.</w:t>
      </w:r>
      <w:r>
        <w:rPr>
          <w:szCs w:val="18"/>
        </w:rPr>
        <w:t>680</w:t>
      </w:r>
      <w:r w:rsidRPr="00A45539">
        <w:rPr>
          <w:szCs w:val="18"/>
        </w:rPr>
        <w:t xml:space="preserve"> techniekleerlingen. </w:t>
      </w:r>
      <w:r>
        <w:rPr>
          <w:szCs w:val="18"/>
        </w:rPr>
        <w:t xml:space="preserve">Het aantal techniekleerlingen neemt in cluster B sterker af dan het aantal niet-techniekleerlingen ten opzichte van het voorgaande jaar, respectievelijk 12,6 procent en 9,0 procent. </w:t>
      </w:r>
      <w:r w:rsidRPr="00A45539">
        <w:rPr>
          <w:szCs w:val="18"/>
        </w:rPr>
        <w:t xml:space="preserve">Cluster D telt </w:t>
      </w:r>
      <w:r>
        <w:rPr>
          <w:szCs w:val="18"/>
        </w:rPr>
        <w:t>2.660 techniekleerlingen, net iets minder dan cluster C</w:t>
      </w:r>
      <w:r w:rsidRPr="00A45539">
        <w:rPr>
          <w:szCs w:val="18"/>
        </w:rPr>
        <w:t>. Het aan</w:t>
      </w:r>
      <w:r>
        <w:rPr>
          <w:szCs w:val="18"/>
        </w:rPr>
        <w:t>tal</w:t>
      </w:r>
      <w:r w:rsidRPr="00A45539">
        <w:rPr>
          <w:szCs w:val="18"/>
        </w:rPr>
        <w:t xml:space="preserve"> techni</w:t>
      </w:r>
      <w:r>
        <w:rPr>
          <w:szCs w:val="18"/>
        </w:rPr>
        <w:t>ek</w:t>
      </w:r>
      <w:r w:rsidRPr="00A45539">
        <w:rPr>
          <w:szCs w:val="18"/>
        </w:rPr>
        <w:t xml:space="preserve">leerlingen </w:t>
      </w:r>
      <w:r>
        <w:rPr>
          <w:szCs w:val="18"/>
        </w:rPr>
        <w:t>daalt</w:t>
      </w:r>
      <w:r w:rsidRPr="00A45539">
        <w:rPr>
          <w:szCs w:val="18"/>
        </w:rPr>
        <w:t xml:space="preserve"> met </w:t>
      </w:r>
      <w:r>
        <w:rPr>
          <w:szCs w:val="18"/>
        </w:rPr>
        <w:t>16,3</w:t>
      </w:r>
      <w:r w:rsidRPr="00A45539">
        <w:rPr>
          <w:szCs w:val="18"/>
        </w:rPr>
        <w:t xml:space="preserve"> procent en het aan</w:t>
      </w:r>
      <w:r>
        <w:rPr>
          <w:szCs w:val="18"/>
        </w:rPr>
        <w:t>tal</w:t>
      </w:r>
      <w:r w:rsidRPr="00A45539">
        <w:rPr>
          <w:szCs w:val="18"/>
        </w:rPr>
        <w:t xml:space="preserve"> niet-techni</w:t>
      </w:r>
      <w:r>
        <w:rPr>
          <w:szCs w:val="18"/>
        </w:rPr>
        <w:t>ek</w:t>
      </w:r>
      <w:r w:rsidRPr="00A45539">
        <w:rPr>
          <w:szCs w:val="18"/>
        </w:rPr>
        <w:t xml:space="preserve">leerlingen </w:t>
      </w:r>
      <w:r>
        <w:rPr>
          <w:szCs w:val="18"/>
        </w:rPr>
        <w:t>groeit</w:t>
      </w:r>
      <w:r w:rsidRPr="00A45539">
        <w:rPr>
          <w:szCs w:val="18"/>
        </w:rPr>
        <w:t xml:space="preserve"> met 6,</w:t>
      </w:r>
      <w:r>
        <w:rPr>
          <w:szCs w:val="18"/>
        </w:rPr>
        <w:t>2</w:t>
      </w:r>
      <w:r w:rsidRPr="00A45539">
        <w:rPr>
          <w:szCs w:val="18"/>
        </w:rPr>
        <w:t xml:space="preserve"> procent. </w:t>
      </w:r>
    </w:p>
    <w:p w:rsidRPr="00A45539" w:rsidR="00B52D66" w:rsidP="00B52D66" w:rsidRDefault="00B52D66" w14:paraId="4CBA0F53" w14:textId="77777777">
      <w:pPr>
        <w:rPr>
          <w:szCs w:val="18"/>
        </w:rPr>
      </w:pPr>
    </w:p>
    <w:p w:rsidRPr="0065314C" w:rsidR="00B52D66" w:rsidP="00B52D66" w:rsidRDefault="00B52D66" w14:paraId="18EAB773" w14:textId="26E7CA12">
      <w:pPr>
        <w:pStyle w:val="Bijschrift"/>
      </w:pPr>
      <w:r w:rsidRPr="0065314C">
        <w:t xml:space="preserve">Tabel </w:t>
      </w:r>
      <w:r w:rsidR="00346EBF">
        <w:t>B3</w:t>
      </w:r>
      <w:r>
        <w:t>.2</w:t>
      </w:r>
      <w:r w:rsidRPr="0065314C">
        <w:t xml:space="preserve"> </w:t>
      </w:r>
      <w:r>
        <w:tab/>
      </w:r>
      <w:r w:rsidRPr="0065314C">
        <w:t>Indicatoren van groei en daling clusters voor de STO-regio’s (leerlingen in de bl en kl tezamen)</w:t>
      </w:r>
    </w:p>
    <w:tbl>
      <w:tblPr>
        <w:tblW w:w="9620" w:type="dxa"/>
        <w:tblLook w:val="04A0" w:firstRow="1" w:lastRow="0" w:firstColumn="1" w:lastColumn="0" w:noHBand="0" w:noVBand="1"/>
      </w:tblPr>
      <w:tblGrid>
        <w:gridCol w:w="960"/>
        <w:gridCol w:w="1700"/>
        <w:gridCol w:w="1680"/>
        <w:gridCol w:w="1760"/>
        <w:gridCol w:w="1520"/>
        <w:gridCol w:w="2000"/>
      </w:tblGrid>
      <w:tr w:rsidRPr="008C671D" w:rsidR="00B52D66" w:rsidTr="00FC2172" w14:paraId="332C9EF4" w14:textId="77777777">
        <w:trPr>
          <w:trHeight w:val="1160"/>
        </w:trPr>
        <w:tc>
          <w:tcPr>
            <w:tcW w:w="960" w:type="dxa"/>
            <w:tcBorders>
              <w:top w:val="single" w:color="auto" w:sz="4" w:space="0"/>
              <w:left w:val="nil"/>
              <w:bottom w:val="nil"/>
              <w:right w:val="nil"/>
            </w:tcBorders>
            <w:noWrap/>
            <w:hideMark/>
          </w:tcPr>
          <w:p w:rsidRPr="008C0C61" w:rsidR="00B52D66" w:rsidP="00FC2172" w:rsidRDefault="00B52D66" w14:paraId="7F8C7783" w14:textId="77777777">
            <w:pPr>
              <w:keepLines/>
              <w:spacing w:line="240" w:lineRule="auto"/>
              <w:rPr>
                <w:rFonts w:cs="Calibri"/>
                <w:szCs w:val="18"/>
                <w:lang w:eastAsia="en-GB"/>
              </w:rPr>
            </w:pPr>
            <w:r w:rsidRPr="008C0C61">
              <w:rPr>
                <w:rFonts w:cs="Calibri"/>
                <w:szCs w:val="18"/>
                <w:lang w:eastAsia="en-GB"/>
              </w:rPr>
              <w:t> </w:t>
            </w:r>
          </w:p>
        </w:tc>
        <w:tc>
          <w:tcPr>
            <w:tcW w:w="1700" w:type="dxa"/>
            <w:tcBorders>
              <w:top w:val="single" w:color="auto" w:sz="4" w:space="0"/>
              <w:left w:val="nil"/>
              <w:bottom w:val="nil"/>
              <w:right w:val="nil"/>
            </w:tcBorders>
            <w:hideMark/>
          </w:tcPr>
          <w:p w:rsidRPr="008C671D" w:rsidR="00B52D66" w:rsidP="00FC2172" w:rsidRDefault="00B52D66" w14:paraId="4AD1DA65" w14:textId="77777777">
            <w:pPr>
              <w:keepLines/>
              <w:spacing w:line="240" w:lineRule="auto"/>
              <w:jc w:val="center"/>
              <w:rPr>
                <w:rFonts w:cs="Calibri"/>
                <w:szCs w:val="18"/>
                <w:lang w:val="en-GB" w:eastAsia="en-GB"/>
              </w:rPr>
            </w:pPr>
            <w:r w:rsidRPr="008C671D">
              <w:rPr>
                <w:rFonts w:cs="Calibri"/>
                <w:szCs w:val="18"/>
                <w:lang w:val="en-GB" w:eastAsia="en-GB"/>
              </w:rPr>
              <w:t>Aantal techni</w:t>
            </w:r>
            <w:r>
              <w:rPr>
                <w:rFonts w:cs="Calibri"/>
                <w:szCs w:val="18"/>
                <w:lang w:val="en-GB" w:eastAsia="en-GB"/>
              </w:rPr>
              <w:t>ek-</w:t>
            </w:r>
            <w:r w:rsidRPr="008C671D">
              <w:rPr>
                <w:rFonts w:cs="Calibri"/>
                <w:szCs w:val="18"/>
                <w:lang w:val="en-GB" w:eastAsia="en-GB"/>
              </w:rPr>
              <w:t xml:space="preserve">leerlingen </w:t>
            </w:r>
          </w:p>
        </w:tc>
        <w:tc>
          <w:tcPr>
            <w:tcW w:w="1680" w:type="dxa"/>
            <w:tcBorders>
              <w:top w:val="single" w:color="auto" w:sz="4" w:space="0"/>
              <w:left w:val="nil"/>
              <w:bottom w:val="nil"/>
              <w:right w:val="nil"/>
            </w:tcBorders>
            <w:hideMark/>
          </w:tcPr>
          <w:p w:rsidRPr="008C671D" w:rsidR="00B52D66" w:rsidP="00FC2172" w:rsidRDefault="00B52D66" w14:paraId="6FB42DA1" w14:textId="77777777">
            <w:pPr>
              <w:keepLines/>
              <w:spacing w:line="240" w:lineRule="auto"/>
              <w:jc w:val="center"/>
              <w:rPr>
                <w:rFonts w:cs="Calibri"/>
                <w:szCs w:val="18"/>
                <w:lang w:val="en-GB" w:eastAsia="en-GB"/>
              </w:rPr>
            </w:pPr>
            <w:r w:rsidRPr="008C671D">
              <w:rPr>
                <w:rFonts w:cs="Calibri"/>
                <w:szCs w:val="18"/>
                <w:lang w:val="en-GB" w:eastAsia="en-GB"/>
              </w:rPr>
              <w:t>Aandeel techni</w:t>
            </w:r>
            <w:r>
              <w:rPr>
                <w:rFonts w:cs="Calibri"/>
                <w:szCs w:val="18"/>
                <w:lang w:val="en-GB" w:eastAsia="en-GB"/>
              </w:rPr>
              <w:t>ek-</w:t>
            </w:r>
            <w:r w:rsidRPr="008C671D">
              <w:rPr>
                <w:rFonts w:cs="Calibri"/>
                <w:szCs w:val="18"/>
                <w:lang w:val="en-GB" w:eastAsia="en-GB"/>
              </w:rPr>
              <w:t xml:space="preserve"> leerlingen </w:t>
            </w:r>
            <w:r w:rsidRPr="008C671D">
              <w:rPr>
                <w:rFonts w:cs="Calibri"/>
                <w:szCs w:val="18"/>
                <w:lang w:val="en-GB" w:eastAsia="en-GB"/>
              </w:rPr>
              <w:br/>
              <w:t>(%)</w:t>
            </w:r>
          </w:p>
        </w:tc>
        <w:tc>
          <w:tcPr>
            <w:tcW w:w="1760" w:type="dxa"/>
            <w:tcBorders>
              <w:top w:val="single" w:color="auto" w:sz="4" w:space="0"/>
              <w:left w:val="nil"/>
              <w:bottom w:val="nil"/>
              <w:right w:val="nil"/>
            </w:tcBorders>
            <w:hideMark/>
          </w:tcPr>
          <w:p w:rsidRPr="008C671D" w:rsidR="00B52D66" w:rsidP="00FC2172" w:rsidRDefault="00B52D66" w14:paraId="6E476AA1" w14:textId="77777777">
            <w:pPr>
              <w:keepLines/>
              <w:spacing w:line="240" w:lineRule="auto"/>
              <w:jc w:val="center"/>
              <w:rPr>
                <w:rFonts w:cs="Calibri"/>
                <w:szCs w:val="18"/>
                <w:lang w:eastAsia="en-GB"/>
              </w:rPr>
            </w:pPr>
            <w:r w:rsidRPr="008C671D">
              <w:rPr>
                <w:rFonts w:cs="Calibri"/>
                <w:szCs w:val="18"/>
                <w:lang w:eastAsia="en-GB"/>
              </w:rPr>
              <w:t>Aandeel techni</w:t>
            </w:r>
            <w:r>
              <w:rPr>
                <w:rFonts w:cs="Calibri"/>
                <w:szCs w:val="18"/>
                <w:lang w:eastAsia="en-GB"/>
              </w:rPr>
              <w:t>ek-</w:t>
            </w:r>
            <w:r w:rsidRPr="008C671D">
              <w:rPr>
                <w:rFonts w:cs="Calibri"/>
                <w:szCs w:val="18"/>
                <w:lang w:eastAsia="en-GB"/>
              </w:rPr>
              <w:t xml:space="preserve"> leerlingen </w:t>
            </w:r>
            <w:r w:rsidRPr="008C671D">
              <w:rPr>
                <w:rFonts w:cs="Calibri"/>
                <w:szCs w:val="18"/>
                <w:lang w:eastAsia="en-GB"/>
              </w:rPr>
              <w:br/>
              <w:t>in bl (%)</w:t>
            </w:r>
          </w:p>
        </w:tc>
        <w:tc>
          <w:tcPr>
            <w:tcW w:w="1520" w:type="dxa"/>
            <w:tcBorders>
              <w:top w:val="single" w:color="auto" w:sz="4" w:space="0"/>
              <w:left w:val="nil"/>
              <w:bottom w:val="nil"/>
              <w:right w:val="nil"/>
            </w:tcBorders>
            <w:hideMark/>
          </w:tcPr>
          <w:p w:rsidRPr="008C671D" w:rsidR="00B52D66" w:rsidP="00FC2172" w:rsidRDefault="00B52D66" w14:paraId="44D2871E" w14:textId="77777777">
            <w:pPr>
              <w:keepLines/>
              <w:spacing w:line="240" w:lineRule="auto"/>
              <w:jc w:val="center"/>
              <w:rPr>
                <w:rFonts w:cs="Calibri"/>
                <w:szCs w:val="18"/>
                <w:lang w:eastAsia="en-GB"/>
              </w:rPr>
            </w:pPr>
            <w:r w:rsidRPr="008C671D">
              <w:rPr>
                <w:rFonts w:cs="Calibri"/>
                <w:szCs w:val="18"/>
                <w:lang w:eastAsia="en-GB"/>
              </w:rPr>
              <w:t>Verandering in aantal techni</w:t>
            </w:r>
            <w:r>
              <w:rPr>
                <w:rFonts w:cs="Calibri"/>
                <w:szCs w:val="18"/>
                <w:lang w:eastAsia="en-GB"/>
              </w:rPr>
              <w:t>ek-</w:t>
            </w:r>
            <w:r w:rsidRPr="008C671D">
              <w:rPr>
                <w:rFonts w:cs="Calibri"/>
                <w:szCs w:val="18"/>
                <w:lang w:eastAsia="en-GB"/>
              </w:rPr>
              <w:t xml:space="preserve"> leerlingen (%)</w:t>
            </w:r>
          </w:p>
        </w:tc>
        <w:tc>
          <w:tcPr>
            <w:tcW w:w="2000" w:type="dxa"/>
            <w:tcBorders>
              <w:top w:val="single" w:color="auto" w:sz="4" w:space="0"/>
              <w:left w:val="nil"/>
              <w:bottom w:val="nil"/>
              <w:right w:val="nil"/>
            </w:tcBorders>
            <w:hideMark/>
          </w:tcPr>
          <w:p w:rsidRPr="008C671D" w:rsidR="00B52D66" w:rsidP="00FC2172" w:rsidRDefault="00B52D66" w14:paraId="5B9661A3" w14:textId="77777777">
            <w:pPr>
              <w:keepLines/>
              <w:spacing w:line="240" w:lineRule="auto"/>
              <w:jc w:val="center"/>
              <w:rPr>
                <w:rFonts w:cs="Calibri"/>
                <w:szCs w:val="18"/>
                <w:lang w:eastAsia="en-GB"/>
              </w:rPr>
            </w:pPr>
            <w:r w:rsidRPr="008C671D">
              <w:rPr>
                <w:rFonts w:cs="Calibri"/>
                <w:szCs w:val="18"/>
                <w:lang w:eastAsia="en-GB"/>
              </w:rPr>
              <w:t>Verandering in aantal niet-techni</w:t>
            </w:r>
            <w:r>
              <w:rPr>
                <w:rFonts w:cs="Calibri"/>
                <w:szCs w:val="18"/>
                <w:lang w:eastAsia="en-GB"/>
              </w:rPr>
              <w:t>ek</w:t>
            </w:r>
            <w:r w:rsidRPr="008C671D">
              <w:rPr>
                <w:rFonts w:cs="Calibri"/>
                <w:szCs w:val="18"/>
                <w:lang w:eastAsia="en-GB"/>
              </w:rPr>
              <w:t>leerlingen (%)</w:t>
            </w:r>
          </w:p>
        </w:tc>
      </w:tr>
      <w:tr w:rsidRPr="008C671D" w:rsidR="00B52D66" w:rsidTr="00FC2172" w14:paraId="5155B3D1" w14:textId="77777777">
        <w:trPr>
          <w:trHeight w:val="580"/>
        </w:trPr>
        <w:tc>
          <w:tcPr>
            <w:tcW w:w="960" w:type="dxa"/>
            <w:tcBorders>
              <w:top w:val="nil"/>
              <w:left w:val="nil"/>
              <w:bottom w:val="single" w:color="auto" w:sz="4" w:space="0"/>
              <w:right w:val="nil"/>
            </w:tcBorders>
            <w:noWrap/>
            <w:vAlign w:val="bottom"/>
            <w:hideMark/>
          </w:tcPr>
          <w:p w:rsidRPr="008C671D" w:rsidR="00B52D66" w:rsidP="00FC2172" w:rsidRDefault="00B52D66" w14:paraId="51DAD054" w14:textId="77777777">
            <w:pPr>
              <w:keepLines/>
              <w:spacing w:line="240" w:lineRule="auto"/>
              <w:jc w:val="center"/>
              <w:rPr>
                <w:rFonts w:cs="Calibri"/>
                <w:szCs w:val="18"/>
                <w:lang w:eastAsia="en-GB"/>
              </w:rPr>
            </w:pPr>
            <w:r w:rsidRPr="008C671D">
              <w:rPr>
                <w:rFonts w:cs="Calibri"/>
                <w:szCs w:val="18"/>
                <w:lang w:eastAsia="en-GB"/>
              </w:rPr>
              <w:t> </w:t>
            </w:r>
          </w:p>
        </w:tc>
        <w:tc>
          <w:tcPr>
            <w:tcW w:w="1700" w:type="dxa"/>
            <w:tcBorders>
              <w:top w:val="nil"/>
              <w:left w:val="nil"/>
              <w:bottom w:val="single" w:color="auto" w:sz="4" w:space="0"/>
              <w:right w:val="nil"/>
            </w:tcBorders>
            <w:noWrap/>
            <w:vAlign w:val="bottom"/>
            <w:hideMark/>
          </w:tcPr>
          <w:p w:rsidRPr="008C671D" w:rsidR="00B52D66" w:rsidP="00FC2172" w:rsidRDefault="00B52D66" w14:paraId="5277109D" w14:textId="77777777">
            <w:pPr>
              <w:keepLines/>
              <w:spacing w:line="240" w:lineRule="auto"/>
              <w:jc w:val="center"/>
              <w:rPr>
                <w:rFonts w:cs="Calibri"/>
                <w:szCs w:val="18"/>
                <w:lang w:val="en-GB" w:eastAsia="en-GB"/>
              </w:rPr>
            </w:pPr>
            <w:r w:rsidRPr="008C671D">
              <w:rPr>
                <w:rFonts w:cs="Calibri"/>
                <w:szCs w:val="18"/>
                <w:lang w:val="en-GB" w:eastAsia="en-GB"/>
              </w:rPr>
              <w:t>2023/2024</w:t>
            </w:r>
          </w:p>
        </w:tc>
        <w:tc>
          <w:tcPr>
            <w:tcW w:w="1680" w:type="dxa"/>
            <w:tcBorders>
              <w:top w:val="nil"/>
              <w:left w:val="nil"/>
              <w:bottom w:val="single" w:color="auto" w:sz="4" w:space="0"/>
              <w:right w:val="nil"/>
            </w:tcBorders>
            <w:noWrap/>
            <w:vAlign w:val="bottom"/>
            <w:hideMark/>
          </w:tcPr>
          <w:p w:rsidRPr="008C671D" w:rsidR="00B52D66" w:rsidP="00FC2172" w:rsidRDefault="00B52D66" w14:paraId="3CC538AB" w14:textId="77777777">
            <w:pPr>
              <w:keepLines/>
              <w:spacing w:line="240" w:lineRule="auto"/>
              <w:jc w:val="center"/>
              <w:rPr>
                <w:rFonts w:cs="Calibri"/>
                <w:szCs w:val="18"/>
                <w:lang w:val="en-GB" w:eastAsia="en-GB"/>
              </w:rPr>
            </w:pPr>
            <w:r w:rsidRPr="008C671D">
              <w:rPr>
                <w:rFonts w:cs="Calibri"/>
                <w:szCs w:val="18"/>
                <w:lang w:val="en-GB" w:eastAsia="en-GB"/>
              </w:rPr>
              <w:t>2023/2024</w:t>
            </w:r>
          </w:p>
        </w:tc>
        <w:tc>
          <w:tcPr>
            <w:tcW w:w="1760" w:type="dxa"/>
            <w:tcBorders>
              <w:top w:val="nil"/>
              <w:left w:val="nil"/>
              <w:bottom w:val="single" w:color="auto" w:sz="4" w:space="0"/>
              <w:right w:val="nil"/>
            </w:tcBorders>
            <w:noWrap/>
            <w:vAlign w:val="bottom"/>
            <w:hideMark/>
          </w:tcPr>
          <w:p w:rsidRPr="008C671D" w:rsidR="00B52D66" w:rsidP="00FC2172" w:rsidRDefault="00B52D66" w14:paraId="751BC598" w14:textId="77777777">
            <w:pPr>
              <w:keepLines/>
              <w:spacing w:line="240" w:lineRule="auto"/>
              <w:jc w:val="center"/>
              <w:rPr>
                <w:rFonts w:cs="Calibri"/>
                <w:szCs w:val="18"/>
                <w:lang w:val="en-GB" w:eastAsia="en-GB"/>
              </w:rPr>
            </w:pPr>
            <w:r w:rsidRPr="008C671D">
              <w:rPr>
                <w:rFonts w:cs="Calibri"/>
                <w:szCs w:val="18"/>
                <w:lang w:val="en-GB" w:eastAsia="en-GB"/>
              </w:rPr>
              <w:t>2023/2024</w:t>
            </w:r>
          </w:p>
        </w:tc>
        <w:tc>
          <w:tcPr>
            <w:tcW w:w="1520" w:type="dxa"/>
            <w:tcBorders>
              <w:top w:val="nil"/>
              <w:left w:val="nil"/>
              <w:bottom w:val="single" w:color="auto" w:sz="4" w:space="0"/>
              <w:right w:val="nil"/>
            </w:tcBorders>
            <w:vAlign w:val="bottom"/>
            <w:hideMark/>
          </w:tcPr>
          <w:p w:rsidRPr="008C671D" w:rsidR="00B52D66" w:rsidP="00FC2172" w:rsidRDefault="00B52D66" w14:paraId="45785161" w14:textId="77777777">
            <w:pPr>
              <w:keepLines/>
              <w:spacing w:line="240" w:lineRule="auto"/>
              <w:jc w:val="center"/>
              <w:rPr>
                <w:rFonts w:cs="Calibri"/>
                <w:szCs w:val="18"/>
                <w:lang w:val="en-GB" w:eastAsia="en-GB"/>
              </w:rPr>
            </w:pPr>
            <w:r w:rsidRPr="008C671D">
              <w:rPr>
                <w:rFonts w:cs="Calibri"/>
                <w:szCs w:val="18"/>
                <w:lang w:val="en-GB" w:eastAsia="en-GB"/>
              </w:rPr>
              <w:t>2023/2024 tov 2022/2023</w:t>
            </w:r>
          </w:p>
        </w:tc>
        <w:tc>
          <w:tcPr>
            <w:tcW w:w="2000" w:type="dxa"/>
            <w:tcBorders>
              <w:top w:val="nil"/>
              <w:left w:val="nil"/>
              <w:bottom w:val="single" w:color="auto" w:sz="4" w:space="0"/>
              <w:right w:val="nil"/>
            </w:tcBorders>
            <w:vAlign w:val="bottom"/>
            <w:hideMark/>
          </w:tcPr>
          <w:p w:rsidRPr="008C671D" w:rsidR="00B52D66" w:rsidP="00FC2172" w:rsidRDefault="00B52D66" w14:paraId="33D6C524" w14:textId="77777777">
            <w:pPr>
              <w:keepLines/>
              <w:spacing w:line="240" w:lineRule="auto"/>
              <w:jc w:val="center"/>
              <w:rPr>
                <w:rFonts w:cs="Calibri"/>
                <w:szCs w:val="18"/>
                <w:lang w:val="en-GB" w:eastAsia="en-GB"/>
              </w:rPr>
            </w:pPr>
            <w:r w:rsidRPr="008C671D">
              <w:rPr>
                <w:rFonts w:cs="Calibri"/>
                <w:szCs w:val="18"/>
                <w:lang w:val="en-GB" w:eastAsia="en-GB"/>
              </w:rPr>
              <w:t>2023/2024 tov 2022/2023</w:t>
            </w:r>
          </w:p>
        </w:tc>
      </w:tr>
      <w:tr w:rsidRPr="008C671D" w:rsidR="00B52D66" w:rsidTr="00FC2172" w14:paraId="25AD7285" w14:textId="77777777">
        <w:trPr>
          <w:trHeight w:val="290"/>
        </w:trPr>
        <w:tc>
          <w:tcPr>
            <w:tcW w:w="960" w:type="dxa"/>
            <w:tcBorders>
              <w:top w:val="nil"/>
              <w:left w:val="nil"/>
              <w:bottom w:val="nil"/>
              <w:right w:val="nil"/>
            </w:tcBorders>
            <w:noWrap/>
            <w:vAlign w:val="bottom"/>
            <w:hideMark/>
          </w:tcPr>
          <w:p w:rsidRPr="008C671D" w:rsidR="00B52D66" w:rsidP="00FC2172" w:rsidRDefault="00B52D66" w14:paraId="5FE04C8A" w14:textId="77777777">
            <w:pPr>
              <w:keepLines/>
              <w:spacing w:line="240" w:lineRule="auto"/>
              <w:rPr>
                <w:rFonts w:cs="Calibri"/>
                <w:szCs w:val="18"/>
                <w:lang w:val="en-GB" w:eastAsia="en-GB"/>
              </w:rPr>
            </w:pPr>
            <w:r w:rsidRPr="008C671D">
              <w:rPr>
                <w:rFonts w:cs="Calibri"/>
                <w:szCs w:val="18"/>
                <w:lang w:val="en-GB" w:eastAsia="en-GB"/>
              </w:rPr>
              <w:t xml:space="preserve">Cluster A </w:t>
            </w:r>
          </w:p>
        </w:tc>
        <w:tc>
          <w:tcPr>
            <w:tcW w:w="1700" w:type="dxa"/>
            <w:tcBorders>
              <w:top w:val="nil"/>
              <w:left w:val="nil"/>
              <w:bottom w:val="nil"/>
              <w:right w:val="nil"/>
            </w:tcBorders>
            <w:noWrap/>
            <w:vAlign w:val="bottom"/>
            <w:hideMark/>
          </w:tcPr>
          <w:p w:rsidRPr="008C671D" w:rsidR="00B52D66" w:rsidP="00FC2172" w:rsidRDefault="00B52D66" w14:paraId="3AE52E63" w14:textId="77777777">
            <w:pPr>
              <w:keepLines/>
              <w:spacing w:line="240" w:lineRule="auto"/>
              <w:jc w:val="center"/>
              <w:rPr>
                <w:rFonts w:cs="Calibri"/>
                <w:szCs w:val="18"/>
                <w:lang w:val="en-GB" w:eastAsia="en-GB"/>
              </w:rPr>
            </w:pPr>
            <w:r w:rsidRPr="008C671D">
              <w:rPr>
                <w:rFonts w:cs="Calibri"/>
                <w:szCs w:val="18"/>
                <w:lang w:val="en-GB" w:eastAsia="en-GB"/>
              </w:rPr>
              <w:t>1.1</w:t>
            </w:r>
            <w:r>
              <w:rPr>
                <w:rFonts w:cs="Calibri"/>
                <w:szCs w:val="18"/>
                <w:lang w:val="en-GB" w:eastAsia="en-GB"/>
              </w:rPr>
              <w:t>5</w:t>
            </w:r>
            <w:r w:rsidRPr="008C671D">
              <w:rPr>
                <w:rFonts w:cs="Calibri"/>
                <w:szCs w:val="18"/>
                <w:lang w:val="en-GB" w:eastAsia="en-GB"/>
              </w:rPr>
              <w:t>8</w:t>
            </w:r>
          </w:p>
        </w:tc>
        <w:tc>
          <w:tcPr>
            <w:tcW w:w="1680" w:type="dxa"/>
            <w:tcBorders>
              <w:top w:val="nil"/>
              <w:left w:val="nil"/>
              <w:bottom w:val="nil"/>
              <w:right w:val="nil"/>
            </w:tcBorders>
            <w:noWrap/>
            <w:vAlign w:val="bottom"/>
            <w:hideMark/>
          </w:tcPr>
          <w:p w:rsidRPr="008C671D" w:rsidR="00B52D66" w:rsidP="00FC2172" w:rsidRDefault="00B52D66" w14:paraId="05316728" w14:textId="77777777">
            <w:pPr>
              <w:keepLines/>
              <w:spacing w:line="240" w:lineRule="auto"/>
              <w:jc w:val="center"/>
              <w:rPr>
                <w:rFonts w:cs="Calibri"/>
                <w:szCs w:val="18"/>
                <w:lang w:val="en-GB" w:eastAsia="en-GB"/>
              </w:rPr>
            </w:pPr>
            <w:r w:rsidRPr="008C671D">
              <w:rPr>
                <w:rFonts w:cs="Calibri"/>
                <w:szCs w:val="18"/>
                <w:lang w:val="en-GB" w:eastAsia="en-GB"/>
              </w:rPr>
              <w:t>2</w:t>
            </w:r>
            <w:r>
              <w:rPr>
                <w:rFonts w:cs="Calibri"/>
                <w:szCs w:val="18"/>
                <w:lang w:val="en-GB" w:eastAsia="en-GB"/>
              </w:rPr>
              <w:t>6,8</w:t>
            </w:r>
          </w:p>
        </w:tc>
        <w:tc>
          <w:tcPr>
            <w:tcW w:w="1760" w:type="dxa"/>
            <w:tcBorders>
              <w:top w:val="nil"/>
              <w:left w:val="nil"/>
              <w:bottom w:val="nil"/>
              <w:right w:val="nil"/>
            </w:tcBorders>
            <w:noWrap/>
            <w:vAlign w:val="bottom"/>
            <w:hideMark/>
          </w:tcPr>
          <w:p w:rsidRPr="008C671D" w:rsidR="00B52D66" w:rsidP="00FC2172" w:rsidRDefault="00B52D66" w14:paraId="534F1F2E" w14:textId="77777777">
            <w:pPr>
              <w:keepLines/>
              <w:spacing w:line="240" w:lineRule="auto"/>
              <w:jc w:val="center"/>
              <w:rPr>
                <w:rFonts w:cs="Calibri"/>
                <w:szCs w:val="18"/>
                <w:lang w:val="en-GB" w:eastAsia="en-GB"/>
              </w:rPr>
            </w:pPr>
            <w:r w:rsidRPr="008C671D">
              <w:rPr>
                <w:rFonts w:cs="Calibri"/>
                <w:szCs w:val="18"/>
                <w:lang w:val="en-GB" w:eastAsia="en-GB"/>
              </w:rPr>
              <w:t>29,</w:t>
            </w:r>
            <w:r>
              <w:rPr>
                <w:rFonts w:cs="Calibri"/>
                <w:szCs w:val="18"/>
                <w:lang w:val="en-GB" w:eastAsia="en-GB"/>
              </w:rPr>
              <w:t>0</w:t>
            </w:r>
          </w:p>
        </w:tc>
        <w:tc>
          <w:tcPr>
            <w:tcW w:w="1520" w:type="dxa"/>
            <w:tcBorders>
              <w:top w:val="nil"/>
              <w:left w:val="nil"/>
              <w:bottom w:val="nil"/>
              <w:right w:val="nil"/>
            </w:tcBorders>
            <w:noWrap/>
            <w:vAlign w:val="center"/>
            <w:hideMark/>
          </w:tcPr>
          <w:p w:rsidRPr="008C671D" w:rsidR="00B52D66" w:rsidP="00FC2172" w:rsidRDefault="00B52D66" w14:paraId="1D6C03A6" w14:textId="77777777">
            <w:pPr>
              <w:keepLines/>
              <w:spacing w:line="240" w:lineRule="auto"/>
              <w:jc w:val="center"/>
              <w:rPr>
                <w:rFonts w:cs="Calibri"/>
                <w:szCs w:val="18"/>
                <w:lang w:val="en-GB" w:eastAsia="en-GB"/>
              </w:rPr>
            </w:pPr>
            <w:r>
              <w:rPr>
                <w:rFonts w:cs="Calibri"/>
                <w:szCs w:val="18"/>
                <w:lang w:val="en-GB" w:eastAsia="en-GB"/>
              </w:rPr>
              <w:t>20,4</w:t>
            </w:r>
          </w:p>
        </w:tc>
        <w:tc>
          <w:tcPr>
            <w:tcW w:w="2000" w:type="dxa"/>
            <w:tcBorders>
              <w:top w:val="nil"/>
              <w:left w:val="nil"/>
              <w:bottom w:val="nil"/>
              <w:right w:val="nil"/>
            </w:tcBorders>
            <w:noWrap/>
            <w:vAlign w:val="center"/>
            <w:hideMark/>
          </w:tcPr>
          <w:p w:rsidRPr="008C671D" w:rsidR="00B52D66" w:rsidP="00FC2172" w:rsidRDefault="00B52D66" w14:paraId="53D4CC46" w14:textId="77777777">
            <w:pPr>
              <w:keepLines/>
              <w:spacing w:line="240" w:lineRule="auto"/>
              <w:jc w:val="center"/>
              <w:rPr>
                <w:rFonts w:cs="Calibri"/>
                <w:szCs w:val="18"/>
                <w:lang w:val="en-GB" w:eastAsia="en-GB"/>
              </w:rPr>
            </w:pPr>
            <w:r>
              <w:rPr>
                <w:rFonts w:cs="Calibri"/>
                <w:szCs w:val="18"/>
                <w:lang w:val="en-GB" w:eastAsia="en-GB"/>
              </w:rPr>
              <w:t>8,2</w:t>
            </w:r>
          </w:p>
        </w:tc>
      </w:tr>
      <w:tr w:rsidRPr="008C671D" w:rsidR="00B52D66" w:rsidTr="00FC2172" w14:paraId="38A02BD6" w14:textId="77777777">
        <w:trPr>
          <w:trHeight w:val="290"/>
        </w:trPr>
        <w:tc>
          <w:tcPr>
            <w:tcW w:w="960" w:type="dxa"/>
            <w:tcBorders>
              <w:top w:val="nil"/>
              <w:left w:val="nil"/>
              <w:bottom w:val="nil"/>
              <w:right w:val="nil"/>
            </w:tcBorders>
            <w:noWrap/>
            <w:vAlign w:val="bottom"/>
            <w:hideMark/>
          </w:tcPr>
          <w:p w:rsidRPr="008C671D" w:rsidR="00B52D66" w:rsidP="00FC2172" w:rsidRDefault="00B52D66" w14:paraId="0A0F3109" w14:textId="77777777">
            <w:pPr>
              <w:keepLines/>
              <w:spacing w:line="240" w:lineRule="auto"/>
              <w:rPr>
                <w:rFonts w:cs="Calibri"/>
                <w:szCs w:val="18"/>
                <w:lang w:val="en-GB" w:eastAsia="en-GB"/>
              </w:rPr>
            </w:pPr>
            <w:r w:rsidRPr="008C671D">
              <w:rPr>
                <w:rFonts w:cs="Calibri"/>
                <w:szCs w:val="18"/>
                <w:lang w:val="en-GB" w:eastAsia="en-GB"/>
              </w:rPr>
              <w:t xml:space="preserve">Cluster B </w:t>
            </w:r>
          </w:p>
        </w:tc>
        <w:tc>
          <w:tcPr>
            <w:tcW w:w="1700" w:type="dxa"/>
            <w:tcBorders>
              <w:top w:val="nil"/>
              <w:left w:val="nil"/>
              <w:bottom w:val="nil"/>
              <w:right w:val="nil"/>
            </w:tcBorders>
            <w:noWrap/>
            <w:vAlign w:val="bottom"/>
            <w:hideMark/>
          </w:tcPr>
          <w:p w:rsidRPr="008C671D" w:rsidR="00B52D66" w:rsidP="00FC2172" w:rsidRDefault="00B52D66" w14:paraId="03D8DC26" w14:textId="77777777">
            <w:pPr>
              <w:keepLines/>
              <w:spacing w:line="240" w:lineRule="auto"/>
              <w:jc w:val="center"/>
              <w:rPr>
                <w:rFonts w:cs="Calibri"/>
                <w:szCs w:val="18"/>
                <w:lang w:val="en-GB" w:eastAsia="en-GB"/>
              </w:rPr>
            </w:pPr>
            <w:r w:rsidRPr="008C671D">
              <w:rPr>
                <w:rFonts w:cs="Calibri"/>
                <w:szCs w:val="18"/>
                <w:lang w:val="en-GB" w:eastAsia="en-GB"/>
              </w:rPr>
              <w:t>3.680</w:t>
            </w:r>
          </w:p>
        </w:tc>
        <w:tc>
          <w:tcPr>
            <w:tcW w:w="1680" w:type="dxa"/>
            <w:tcBorders>
              <w:top w:val="nil"/>
              <w:left w:val="nil"/>
              <w:bottom w:val="nil"/>
              <w:right w:val="nil"/>
            </w:tcBorders>
            <w:noWrap/>
            <w:vAlign w:val="bottom"/>
            <w:hideMark/>
          </w:tcPr>
          <w:p w:rsidRPr="008C671D" w:rsidR="00B52D66" w:rsidP="00FC2172" w:rsidRDefault="00B52D66" w14:paraId="318241EC" w14:textId="77777777">
            <w:pPr>
              <w:keepLines/>
              <w:spacing w:line="240" w:lineRule="auto"/>
              <w:jc w:val="center"/>
              <w:rPr>
                <w:rFonts w:cs="Calibri"/>
                <w:szCs w:val="18"/>
                <w:lang w:val="en-GB" w:eastAsia="en-GB"/>
              </w:rPr>
            </w:pPr>
            <w:r w:rsidRPr="008C671D">
              <w:rPr>
                <w:rFonts w:cs="Calibri"/>
                <w:szCs w:val="18"/>
                <w:lang w:val="en-GB" w:eastAsia="en-GB"/>
              </w:rPr>
              <w:t>27,0</w:t>
            </w:r>
          </w:p>
        </w:tc>
        <w:tc>
          <w:tcPr>
            <w:tcW w:w="1760" w:type="dxa"/>
            <w:tcBorders>
              <w:top w:val="nil"/>
              <w:left w:val="nil"/>
              <w:bottom w:val="nil"/>
              <w:right w:val="nil"/>
            </w:tcBorders>
            <w:noWrap/>
            <w:vAlign w:val="bottom"/>
            <w:hideMark/>
          </w:tcPr>
          <w:p w:rsidRPr="008C671D" w:rsidR="00B52D66" w:rsidP="00FC2172" w:rsidRDefault="00B52D66" w14:paraId="6D27C356" w14:textId="77777777">
            <w:pPr>
              <w:keepLines/>
              <w:spacing w:line="240" w:lineRule="auto"/>
              <w:jc w:val="center"/>
              <w:rPr>
                <w:rFonts w:cs="Calibri"/>
                <w:szCs w:val="18"/>
                <w:lang w:val="en-GB" w:eastAsia="en-GB"/>
              </w:rPr>
            </w:pPr>
            <w:r w:rsidRPr="008C671D">
              <w:rPr>
                <w:rFonts w:cs="Calibri"/>
                <w:szCs w:val="18"/>
                <w:lang w:val="en-GB" w:eastAsia="en-GB"/>
              </w:rPr>
              <w:t>27,4</w:t>
            </w:r>
          </w:p>
        </w:tc>
        <w:tc>
          <w:tcPr>
            <w:tcW w:w="1520" w:type="dxa"/>
            <w:tcBorders>
              <w:top w:val="nil"/>
              <w:left w:val="nil"/>
              <w:bottom w:val="nil"/>
              <w:right w:val="nil"/>
            </w:tcBorders>
            <w:noWrap/>
            <w:vAlign w:val="center"/>
            <w:hideMark/>
          </w:tcPr>
          <w:p w:rsidRPr="008C671D" w:rsidR="00B52D66" w:rsidP="00FC2172" w:rsidRDefault="00B52D66" w14:paraId="297DBAD2" w14:textId="77777777">
            <w:pPr>
              <w:keepLines/>
              <w:spacing w:line="240" w:lineRule="auto"/>
              <w:jc w:val="center"/>
              <w:rPr>
                <w:rFonts w:cs="Calibri"/>
                <w:szCs w:val="18"/>
                <w:lang w:val="en-GB" w:eastAsia="en-GB"/>
              </w:rPr>
            </w:pPr>
            <w:r w:rsidRPr="008C671D">
              <w:rPr>
                <w:rFonts w:cs="Calibri"/>
                <w:szCs w:val="18"/>
                <w:lang w:val="en-GB" w:eastAsia="en-GB"/>
              </w:rPr>
              <w:t>-12,6</w:t>
            </w:r>
          </w:p>
        </w:tc>
        <w:tc>
          <w:tcPr>
            <w:tcW w:w="2000" w:type="dxa"/>
            <w:tcBorders>
              <w:top w:val="nil"/>
              <w:left w:val="nil"/>
              <w:bottom w:val="nil"/>
              <w:right w:val="nil"/>
            </w:tcBorders>
            <w:noWrap/>
            <w:vAlign w:val="center"/>
            <w:hideMark/>
          </w:tcPr>
          <w:p w:rsidRPr="008C671D" w:rsidR="00B52D66" w:rsidP="00FC2172" w:rsidRDefault="00B52D66" w14:paraId="5774D870" w14:textId="77777777">
            <w:pPr>
              <w:keepLines/>
              <w:spacing w:line="240" w:lineRule="auto"/>
              <w:jc w:val="center"/>
              <w:rPr>
                <w:rFonts w:cs="Calibri"/>
                <w:szCs w:val="18"/>
                <w:lang w:val="en-GB" w:eastAsia="en-GB"/>
              </w:rPr>
            </w:pPr>
            <w:r w:rsidRPr="008C671D">
              <w:rPr>
                <w:rFonts w:cs="Calibri"/>
                <w:szCs w:val="18"/>
                <w:lang w:val="en-GB" w:eastAsia="en-GB"/>
              </w:rPr>
              <w:t>-9,0</w:t>
            </w:r>
          </w:p>
        </w:tc>
      </w:tr>
      <w:tr w:rsidRPr="008C671D" w:rsidR="00B52D66" w:rsidTr="00FC2172" w14:paraId="08391CAB" w14:textId="77777777">
        <w:trPr>
          <w:trHeight w:val="290"/>
        </w:trPr>
        <w:tc>
          <w:tcPr>
            <w:tcW w:w="960" w:type="dxa"/>
            <w:tcBorders>
              <w:top w:val="nil"/>
              <w:left w:val="nil"/>
              <w:bottom w:val="nil"/>
              <w:right w:val="nil"/>
            </w:tcBorders>
            <w:noWrap/>
            <w:vAlign w:val="bottom"/>
            <w:hideMark/>
          </w:tcPr>
          <w:p w:rsidRPr="008C671D" w:rsidR="00B52D66" w:rsidP="00FC2172" w:rsidRDefault="00B52D66" w14:paraId="73BE80D6" w14:textId="77777777">
            <w:pPr>
              <w:keepLines/>
              <w:spacing w:line="240" w:lineRule="auto"/>
              <w:rPr>
                <w:rFonts w:cs="Calibri"/>
                <w:szCs w:val="18"/>
                <w:lang w:val="en-GB" w:eastAsia="en-GB"/>
              </w:rPr>
            </w:pPr>
            <w:r w:rsidRPr="008C671D">
              <w:rPr>
                <w:rFonts w:cs="Calibri"/>
                <w:szCs w:val="18"/>
                <w:lang w:val="en-GB" w:eastAsia="en-GB"/>
              </w:rPr>
              <w:t xml:space="preserve">Cluster C </w:t>
            </w:r>
          </w:p>
        </w:tc>
        <w:tc>
          <w:tcPr>
            <w:tcW w:w="1700" w:type="dxa"/>
            <w:tcBorders>
              <w:top w:val="nil"/>
              <w:left w:val="nil"/>
              <w:bottom w:val="nil"/>
              <w:right w:val="nil"/>
            </w:tcBorders>
            <w:noWrap/>
            <w:vAlign w:val="bottom"/>
            <w:hideMark/>
          </w:tcPr>
          <w:p w:rsidRPr="008C671D" w:rsidR="00B52D66" w:rsidP="00FC2172" w:rsidRDefault="00B52D66" w14:paraId="6E61989C" w14:textId="77777777">
            <w:pPr>
              <w:keepLines/>
              <w:spacing w:line="240" w:lineRule="auto"/>
              <w:jc w:val="center"/>
              <w:rPr>
                <w:rFonts w:cs="Calibri"/>
                <w:szCs w:val="18"/>
                <w:lang w:val="en-GB" w:eastAsia="en-GB"/>
              </w:rPr>
            </w:pPr>
            <w:r w:rsidRPr="008C671D">
              <w:rPr>
                <w:rFonts w:cs="Calibri"/>
                <w:szCs w:val="18"/>
                <w:lang w:val="en-GB" w:eastAsia="en-GB"/>
              </w:rPr>
              <w:t>2.687</w:t>
            </w:r>
          </w:p>
        </w:tc>
        <w:tc>
          <w:tcPr>
            <w:tcW w:w="1680" w:type="dxa"/>
            <w:tcBorders>
              <w:top w:val="nil"/>
              <w:left w:val="nil"/>
              <w:bottom w:val="nil"/>
              <w:right w:val="nil"/>
            </w:tcBorders>
            <w:noWrap/>
            <w:vAlign w:val="bottom"/>
            <w:hideMark/>
          </w:tcPr>
          <w:p w:rsidRPr="008C671D" w:rsidR="00B52D66" w:rsidP="00FC2172" w:rsidRDefault="00B52D66" w14:paraId="31289714" w14:textId="77777777">
            <w:pPr>
              <w:keepLines/>
              <w:spacing w:line="240" w:lineRule="auto"/>
              <w:jc w:val="center"/>
              <w:rPr>
                <w:rFonts w:cs="Calibri"/>
                <w:szCs w:val="18"/>
                <w:lang w:val="en-GB" w:eastAsia="en-GB"/>
              </w:rPr>
            </w:pPr>
            <w:r w:rsidRPr="008C671D">
              <w:rPr>
                <w:rFonts w:cs="Calibri"/>
                <w:szCs w:val="18"/>
                <w:lang w:val="en-GB" w:eastAsia="en-GB"/>
              </w:rPr>
              <w:t>29,2</w:t>
            </w:r>
          </w:p>
        </w:tc>
        <w:tc>
          <w:tcPr>
            <w:tcW w:w="1760" w:type="dxa"/>
            <w:tcBorders>
              <w:top w:val="nil"/>
              <w:left w:val="nil"/>
              <w:bottom w:val="nil"/>
              <w:right w:val="nil"/>
            </w:tcBorders>
            <w:noWrap/>
            <w:vAlign w:val="bottom"/>
            <w:hideMark/>
          </w:tcPr>
          <w:p w:rsidRPr="008C671D" w:rsidR="00B52D66" w:rsidP="00FC2172" w:rsidRDefault="00B52D66" w14:paraId="7D389E39" w14:textId="77777777">
            <w:pPr>
              <w:keepLines/>
              <w:spacing w:line="240" w:lineRule="auto"/>
              <w:jc w:val="center"/>
              <w:rPr>
                <w:rFonts w:cs="Calibri"/>
                <w:szCs w:val="18"/>
                <w:lang w:val="en-GB" w:eastAsia="en-GB"/>
              </w:rPr>
            </w:pPr>
            <w:r w:rsidRPr="008C671D">
              <w:rPr>
                <w:rFonts w:cs="Calibri"/>
                <w:szCs w:val="18"/>
                <w:lang w:val="en-GB" w:eastAsia="en-GB"/>
              </w:rPr>
              <w:t>29,4</w:t>
            </w:r>
          </w:p>
        </w:tc>
        <w:tc>
          <w:tcPr>
            <w:tcW w:w="1520" w:type="dxa"/>
            <w:tcBorders>
              <w:top w:val="nil"/>
              <w:left w:val="nil"/>
              <w:bottom w:val="nil"/>
              <w:right w:val="nil"/>
            </w:tcBorders>
            <w:noWrap/>
            <w:vAlign w:val="center"/>
            <w:hideMark/>
          </w:tcPr>
          <w:p w:rsidRPr="008C671D" w:rsidR="00B52D66" w:rsidP="00FC2172" w:rsidRDefault="00B52D66" w14:paraId="001AE73F" w14:textId="77777777">
            <w:pPr>
              <w:keepLines/>
              <w:spacing w:line="240" w:lineRule="auto"/>
              <w:jc w:val="center"/>
              <w:rPr>
                <w:rFonts w:cs="Calibri"/>
                <w:szCs w:val="18"/>
                <w:lang w:val="en-GB" w:eastAsia="en-GB"/>
              </w:rPr>
            </w:pPr>
            <w:r w:rsidRPr="008C671D">
              <w:rPr>
                <w:rFonts w:cs="Calibri"/>
                <w:szCs w:val="18"/>
                <w:lang w:val="en-GB" w:eastAsia="en-GB"/>
              </w:rPr>
              <w:t>15,1</w:t>
            </w:r>
          </w:p>
        </w:tc>
        <w:tc>
          <w:tcPr>
            <w:tcW w:w="2000" w:type="dxa"/>
            <w:tcBorders>
              <w:top w:val="nil"/>
              <w:left w:val="nil"/>
              <w:bottom w:val="nil"/>
              <w:right w:val="nil"/>
            </w:tcBorders>
            <w:noWrap/>
            <w:vAlign w:val="center"/>
            <w:hideMark/>
          </w:tcPr>
          <w:p w:rsidRPr="008C671D" w:rsidR="00B52D66" w:rsidP="00FC2172" w:rsidRDefault="00B52D66" w14:paraId="23261D27" w14:textId="77777777">
            <w:pPr>
              <w:keepLines/>
              <w:spacing w:line="240" w:lineRule="auto"/>
              <w:jc w:val="center"/>
              <w:rPr>
                <w:rFonts w:cs="Calibri"/>
                <w:szCs w:val="18"/>
                <w:lang w:val="en-GB" w:eastAsia="en-GB"/>
              </w:rPr>
            </w:pPr>
            <w:r w:rsidRPr="008C671D">
              <w:rPr>
                <w:rFonts w:cs="Calibri"/>
                <w:szCs w:val="18"/>
                <w:lang w:val="en-GB" w:eastAsia="en-GB"/>
              </w:rPr>
              <w:t>-10,3</w:t>
            </w:r>
          </w:p>
        </w:tc>
      </w:tr>
      <w:tr w:rsidRPr="008C671D" w:rsidR="00B52D66" w:rsidTr="00FC2172" w14:paraId="6F2AE205" w14:textId="77777777">
        <w:trPr>
          <w:trHeight w:val="290"/>
        </w:trPr>
        <w:tc>
          <w:tcPr>
            <w:tcW w:w="960" w:type="dxa"/>
            <w:tcBorders>
              <w:top w:val="nil"/>
              <w:left w:val="nil"/>
              <w:bottom w:val="single" w:color="auto" w:sz="4" w:space="0"/>
              <w:right w:val="nil"/>
            </w:tcBorders>
            <w:noWrap/>
            <w:vAlign w:val="bottom"/>
            <w:hideMark/>
          </w:tcPr>
          <w:p w:rsidRPr="008C671D" w:rsidR="00B52D66" w:rsidP="00FC2172" w:rsidRDefault="00B52D66" w14:paraId="120D702A" w14:textId="77777777">
            <w:pPr>
              <w:keepLines/>
              <w:spacing w:line="240" w:lineRule="auto"/>
              <w:rPr>
                <w:rFonts w:cs="Calibri"/>
                <w:szCs w:val="18"/>
                <w:lang w:val="en-GB" w:eastAsia="en-GB"/>
              </w:rPr>
            </w:pPr>
            <w:r w:rsidRPr="008C671D">
              <w:rPr>
                <w:rFonts w:cs="Calibri"/>
                <w:szCs w:val="18"/>
                <w:lang w:val="en-GB" w:eastAsia="en-GB"/>
              </w:rPr>
              <w:t>Cluster D</w:t>
            </w:r>
          </w:p>
        </w:tc>
        <w:tc>
          <w:tcPr>
            <w:tcW w:w="1700" w:type="dxa"/>
            <w:tcBorders>
              <w:top w:val="nil"/>
              <w:left w:val="nil"/>
              <w:bottom w:val="single" w:color="auto" w:sz="4" w:space="0"/>
              <w:right w:val="nil"/>
            </w:tcBorders>
            <w:noWrap/>
            <w:vAlign w:val="bottom"/>
            <w:hideMark/>
          </w:tcPr>
          <w:p w:rsidRPr="008C671D" w:rsidR="00B52D66" w:rsidP="00FC2172" w:rsidRDefault="00B52D66" w14:paraId="2894BCE6" w14:textId="77777777">
            <w:pPr>
              <w:keepLines/>
              <w:spacing w:line="240" w:lineRule="auto"/>
              <w:jc w:val="center"/>
              <w:rPr>
                <w:rFonts w:cs="Calibri"/>
                <w:szCs w:val="18"/>
                <w:lang w:val="en-GB" w:eastAsia="en-GB"/>
              </w:rPr>
            </w:pPr>
            <w:r w:rsidRPr="008C671D">
              <w:rPr>
                <w:rFonts w:cs="Calibri"/>
                <w:szCs w:val="18"/>
                <w:lang w:val="en-GB" w:eastAsia="en-GB"/>
              </w:rPr>
              <w:t>2.660</w:t>
            </w:r>
          </w:p>
        </w:tc>
        <w:tc>
          <w:tcPr>
            <w:tcW w:w="1680" w:type="dxa"/>
            <w:tcBorders>
              <w:top w:val="nil"/>
              <w:left w:val="nil"/>
              <w:bottom w:val="single" w:color="auto" w:sz="4" w:space="0"/>
              <w:right w:val="nil"/>
            </w:tcBorders>
            <w:noWrap/>
            <w:vAlign w:val="bottom"/>
            <w:hideMark/>
          </w:tcPr>
          <w:p w:rsidRPr="008C671D" w:rsidR="00B52D66" w:rsidP="00FC2172" w:rsidRDefault="00B52D66" w14:paraId="6D1F7B86" w14:textId="77777777">
            <w:pPr>
              <w:keepLines/>
              <w:spacing w:line="240" w:lineRule="auto"/>
              <w:jc w:val="center"/>
              <w:rPr>
                <w:rFonts w:cs="Calibri"/>
                <w:szCs w:val="18"/>
                <w:lang w:val="en-GB" w:eastAsia="en-GB"/>
              </w:rPr>
            </w:pPr>
            <w:r w:rsidRPr="008C671D">
              <w:rPr>
                <w:rFonts w:cs="Calibri"/>
                <w:szCs w:val="18"/>
                <w:lang w:val="en-GB" w:eastAsia="en-GB"/>
              </w:rPr>
              <w:t>26,3</w:t>
            </w:r>
          </w:p>
        </w:tc>
        <w:tc>
          <w:tcPr>
            <w:tcW w:w="1760" w:type="dxa"/>
            <w:tcBorders>
              <w:top w:val="nil"/>
              <w:left w:val="nil"/>
              <w:bottom w:val="single" w:color="auto" w:sz="4" w:space="0"/>
              <w:right w:val="nil"/>
            </w:tcBorders>
            <w:noWrap/>
            <w:vAlign w:val="bottom"/>
            <w:hideMark/>
          </w:tcPr>
          <w:p w:rsidRPr="008C671D" w:rsidR="00B52D66" w:rsidP="00FC2172" w:rsidRDefault="00B52D66" w14:paraId="6BD2B7D1" w14:textId="77777777">
            <w:pPr>
              <w:keepLines/>
              <w:spacing w:line="240" w:lineRule="auto"/>
              <w:jc w:val="center"/>
              <w:rPr>
                <w:rFonts w:cs="Calibri"/>
                <w:szCs w:val="18"/>
                <w:lang w:val="en-GB" w:eastAsia="en-GB"/>
              </w:rPr>
            </w:pPr>
            <w:r w:rsidRPr="008C671D">
              <w:rPr>
                <w:rFonts w:cs="Calibri"/>
                <w:szCs w:val="18"/>
                <w:lang w:val="en-GB" w:eastAsia="en-GB"/>
              </w:rPr>
              <w:t>27,0</w:t>
            </w:r>
          </w:p>
        </w:tc>
        <w:tc>
          <w:tcPr>
            <w:tcW w:w="1520" w:type="dxa"/>
            <w:tcBorders>
              <w:top w:val="nil"/>
              <w:left w:val="nil"/>
              <w:bottom w:val="single" w:color="auto" w:sz="4" w:space="0"/>
              <w:right w:val="nil"/>
            </w:tcBorders>
            <w:noWrap/>
            <w:vAlign w:val="center"/>
            <w:hideMark/>
          </w:tcPr>
          <w:p w:rsidRPr="008C671D" w:rsidR="00B52D66" w:rsidP="00FC2172" w:rsidRDefault="00B52D66" w14:paraId="0DE2BBC0" w14:textId="77777777">
            <w:pPr>
              <w:keepLines/>
              <w:spacing w:line="240" w:lineRule="auto"/>
              <w:jc w:val="center"/>
              <w:rPr>
                <w:rFonts w:cs="Calibri"/>
                <w:szCs w:val="18"/>
                <w:lang w:val="en-GB" w:eastAsia="en-GB"/>
              </w:rPr>
            </w:pPr>
            <w:r w:rsidRPr="008C671D">
              <w:rPr>
                <w:rFonts w:cs="Calibri"/>
                <w:szCs w:val="18"/>
                <w:lang w:val="en-GB" w:eastAsia="en-GB"/>
              </w:rPr>
              <w:t>-16,3</w:t>
            </w:r>
          </w:p>
        </w:tc>
        <w:tc>
          <w:tcPr>
            <w:tcW w:w="2000" w:type="dxa"/>
            <w:tcBorders>
              <w:top w:val="nil"/>
              <w:left w:val="nil"/>
              <w:bottom w:val="single" w:color="auto" w:sz="4" w:space="0"/>
              <w:right w:val="nil"/>
            </w:tcBorders>
            <w:noWrap/>
            <w:vAlign w:val="center"/>
            <w:hideMark/>
          </w:tcPr>
          <w:p w:rsidRPr="008C671D" w:rsidR="00B52D66" w:rsidP="00FC2172" w:rsidRDefault="00B52D66" w14:paraId="4E495ABD" w14:textId="77777777">
            <w:pPr>
              <w:keepLines/>
              <w:spacing w:line="240" w:lineRule="auto"/>
              <w:jc w:val="center"/>
              <w:rPr>
                <w:rFonts w:cs="Calibri"/>
                <w:szCs w:val="18"/>
                <w:lang w:val="en-GB" w:eastAsia="en-GB"/>
              </w:rPr>
            </w:pPr>
            <w:r w:rsidRPr="008C671D">
              <w:rPr>
                <w:rFonts w:cs="Calibri"/>
                <w:szCs w:val="18"/>
                <w:lang w:val="en-GB" w:eastAsia="en-GB"/>
              </w:rPr>
              <w:t>6,2</w:t>
            </w:r>
          </w:p>
        </w:tc>
      </w:tr>
    </w:tbl>
    <w:p w:rsidR="00B52D66" w:rsidP="00B52D66" w:rsidRDefault="00B52D66" w14:paraId="5B2DC018" w14:textId="77777777">
      <w:pPr>
        <w:spacing w:before="60"/>
        <w:rPr>
          <w:i/>
          <w:sz w:val="16"/>
          <w:szCs w:val="16"/>
        </w:rPr>
      </w:pPr>
      <w:r w:rsidRPr="00F82446">
        <w:rPr>
          <w:i/>
          <w:sz w:val="16"/>
          <w:szCs w:val="16"/>
        </w:rPr>
        <w:t xml:space="preserve">Bron: DUO (eigen bewerking ROA). </w:t>
      </w:r>
    </w:p>
    <w:p w:rsidR="00B52D66" w:rsidP="00B52D66" w:rsidRDefault="00B52D66" w14:paraId="052F3050" w14:textId="77777777">
      <w:pPr>
        <w:spacing w:before="60"/>
        <w:rPr>
          <w:i/>
          <w:sz w:val="16"/>
          <w:szCs w:val="16"/>
        </w:rPr>
      </w:pPr>
    </w:p>
    <w:p w:rsidR="00B52D66" w:rsidP="00B52D66" w:rsidRDefault="00B52D66" w14:paraId="7E5D2D7F" w14:textId="77777777">
      <w:pPr>
        <w:spacing w:before="60"/>
        <w:rPr>
          <w:i/>
          <w:sz w:val="16"/>
          <w:szCs w:val="16"/>
        </w:rPr>
      </w:pPr>
    </w:p>
    <w:p w:rsidR="00B52D66" w:rsidP="00B52D66" w:rsidRDefault="00B52D66" w14:paraId="57A7696E" w14:textId="77777777">
      <w:pPr>
        <w:pStyle w:val="Kop3"/>
        <w:rPr>
          <w:szCs w:val="18"/>
        </w:rPr>
      </w:pPr>
      <w:bookmarkStart w:name="_Toc125541245" w:id="117"/>
      <w:bookmarkStart w:name="_Toc127528895" w:id="118"/>
      <w:bookmarkStart w:name="_Toc158042058" w:id="119"/>
      <w:bookmarkStart w:name="_Toc203573621" w:id="120"/>
      <w:r w:rsidRPr="00A45539">
        <w:rPr>
          <w:szCs w:val="18"/>
        </w:rPr>
        <w:t>Samenvatting aantal derdejaarsleerlingen naar technische en niet-technische profielen</w:t>
      </w:r>
      <w:bookmarkEnd w:id="117"/>
      <w:bookmarkEnd w:id="118"/>
      <w:bookmarkEnd w:id="119"/>
      <w:bookmarkEnd w:id="120"/>
    </w:p>
    <w:p w:rsidRPr="00D26E09" w:rsidR="00B52D66" w:rsidP="00B52D66" w:rsidRDefault="00B52D66" w14:paraId="4C848A62" w14:textId="77777777">
      <w:pPr>
        <w:pStyle w:val="Plattetekst"/>
        <w:rPr>
          <w:lang w:eastAsia="en-US"/>
        </w:rPr>
      </w:pPr>
    </w:p>
    <w:p w:rsidRPr="00A45539" w:rsidR="00B52D66" w:rsidP="00B52D66" w:rsidRDefault="00B52D66" w14:paraId="13BDC13F" w14:textId="77777777">
      <w:pPr>
        <w:jc w:val="both"/>
        <w:rPr>
          <w:szCs w:val="18"/>
        </w:rPr>
      </w:pPr>
      <w:r w:rsidRPr="00A45539">
        <w:rPr>
          <w:szCs w:val="18"/>
        </w:rPr>
        <w:t xml:space="preserve">In schooljaar </w:t>
      </w:r>
      <w:r>
        <w:rPr>
          <w:szCs w:val="18"/>
        </w:rPr>
        <w:t>2023/2024</w:t>
      </w:r>
      <w:r w:rsidRPr="00A45539">
        <w:rPr>
          <w:szCs w:val="18"/>
        </w:rPr>
        <w:t xml:space="preserve"> tel</w:t>
      </w:r>
      <w:r>
        <w:rPr>
          <w:szCs w:val="18"/>
        </w:rPr>
        <w:t>l</w:t>
      </w:r>
      <w:r w:rsidRPr="00A45539">
        <w:rPr>
          <w:szCs w:val="18"/>
        </w:rPr>
        <w:t xml:space="preserve">en de </w:t>
      </w:r>
      <w:r>
        <w:rPr>
          <w:szCs w:val="18"/>
        </w:rPr>
        <w:t>beroepsgerichte</w:t>
      </w:r>
      <w:r w:rsidRPr="00A45539">
        <w:rPr>
          <w:szCs w:val="18"/>
        </w:rPr>
        <w:t xml:space="preserve"> leerwegen </w:t>
      </w:r>
      <w:r>
        <w:rPr>
          <w:szCs w:val="18"/>
        </w:rPr>
        <w:t>60.418</w:t>
      </w:r>
      <w:r w:rsidRPr="00A45539">
        <w:rPr>
          <w:szCs w:val="18"/>
        </w:rPr>
        <w:t xml:space="preserve"> derdejaarsleerlingen, wat </w:t>
      </w:r>
      <w:r>
        <w:rPr>
          <w:szCs w:val="18"/>
        </w:rPr>
        <w:t>iets minder</w:t>
      </w:r>
      <w:r w:rsidRPr="00A45539">
        <w:rPr>
          <w:szCs w:val="18"/>
        </w:rPr>
        <w:t xml:space="preserve"> is </w:t>
      </w:r>
      <w:r>
        <w:rPr>
          <w:szCs w:val="18"/>
        </w:rPr>
        <w:t>dan</w:t>
      </w:r>
      <w:r w:rsidRPr="00A45539">
        <w:rPr>
          <w:szCs w:val="18"/>
        </w:rPr>
        <w:t xml:space="preserve"> het voorgaande schooljaar. Van deze ruim </w:t>
      </w:r>
      <w:r>
        <w:rPr>
          <w:szCs w:val="18"/>
        </w:rPr>
        <w:t>60</w:t>
      </w:r>
      <w:r w:rsidRPr="00A45539">
        <w:rPr>
          <w:szCs w:val="18"/>
        </w:rPr>
        <w:t xml:space="preserve"> duizend derdejaarsleerlingen </w:t>
      </w:r>
      <w:r>
        <w:rPr>
          <w:szCs w:val="18"/>
        </w:rPr>
        <w:t>kiest</w:t>
      </w:r>
      <w:r w:rsidRPr="00A45539">
        <w:rPr>
          <w:szCs w:val="18"/>
        </w:rPr>
        <w:t xml:space="preserve"> één op de vijf voor een technisch profiel. Twee punten vallen hierbij op: ten eerste zien we</w:t>
      </w:r>
      <w:r>
        <w:rPr>
          <w:szCs w:val="18"/>
        </w:rPr>
        <w:t xml:space="preserve"> </w:t>
      </w:r>
      <w:r w:rsidRPr="00A45539">
        <w:rPr>
          <w:szCs w:val="18"/>
        </w:rPr>
        <w:t xml:space="preserve">het aantal techniekleerlingen stijgen in de gl en ten tweede </w:t>
      </w:r>
      <w:r>
        <w:rPr>
          <w:szCs w:val="18"/>
        </w:rPr>
        <w:t>daalt</w:t>
      </w:r>
      <w:r w:rsidRPr="00A45539">
        <w:rPr>
          <w:szCs w:val="18"/>
        </w:rPr>
        <w:t xml:space="preserve"> het totaal aantal leerlingen in </w:t>
      </w:r>
      <w:r>
        <w:rPr>
          <w:szCs w:val="18"/>
        </w:rPr>
        <w:t>alle vijf de technische profielen</w:t>
      </w:r>
      <w:r w:rsidRPr="00A45539">
        <w:rPr>
          <w:szCs w:val="18"/>
        </w:rPr>
        <w:t xml:space="preserve">. </w:t>
      </w:r>
    </w:p>
    <w:p w:rsidRPr="00A45539" w:rsidR="00B52D66" w:rsidP="00B52D66" w:rsidRDefault="00B52D66" w14:paraId="71AB5A16" w14:textId="77777777">
      <w:pPr>
        <w:jc w:val="both"/>
        <w:rPr>
          <w:szCs w:val="18"/>
        </w:rPr>
      </w:pPr>
    </w:p>
    <w:p w:rsidRPr="00A45539" w:rsidR="00B52D66" w:rsidP="00B52D66" w:rsidRDefault="00B52D66" w14:paraId="55ABF3C7" w14:textId="77777777">
      <w:pPr>
        <w:jc w:val="both"/>
        <w:rPr>
          <w:szCs w:val="18"/>
        </w:rPr>
      </w:pPr>
      <w:r w:rsidRPr="00A45539">
        <w:rPr>
          <w:szCs w:val="18"/>
        </w:rPr>
        <w:t xml:space="preserve">Analyses van het aantal </w:t>
      </w:r>
      <w:r>
        <w:rPr>
          <w:szCs w:val="18"/>
        </w:rPr>
        <w:t xml:space="preserve">en aandeel </w:t>
      </w:r>
      <w:r w:rsidRPr="00A45539">
        <w:rPr>
          <w:szCs w:val="18"/>
        </w:rPr>
        <w:t>techniekleerlingen naar STO-regio to</w:t>
      </w:r>
      <w:r>
        <w:rPr>
          <w:szCs w:val="18"/>
        </w:rPr>
        <w:t>nen</w:t>
      </w:r>
      <w:r w:rsidRPr="00A45539">
        <w:rPr>
          <w:szCs w:val="18"/>
        </w:rPr>
        <w:t xml:space="preserve"> dat</w:t>
      </w:r>
      <w:r>
        <w:rPr>
          <w:szCs w:val="18"/>
        </w:rPr>
        <w:t xml:space="preserve"> het om</w:t>
      </w:r>
      <w:r w:rsidRPr="00A45539">
        <w:rPr>
          <w:szCs w:val="18"/>
        </w:rPr>
        <w:t xml:space="preserve"> gemiddeld 15</w:t>
      </w:r>
      <w:r>
        <w:rPr>
          <w:szCs w:val="18"/>
        </w:rPr>
        <w:t>4</w:t>
      </w:r>
      <w:r w:rsidRPr="00A45539">
        <w:rPr>
          <w:szCs w:val="18"/>
        </w:rPr>
        <w:t xml:space="preserve"> techniekleerlingen in de 78 STO-regio</w:t>
      </w:r>
      <w:r>
        <w:rPr>
          <w:szCs w:val="18"/>
        </w:rPr>
        <w:t>’</w:t>
      </w:r>
      <w:r w:rsidRPr="00A45539">
        <w:rPr>
          <w:szCs w:val="18"/>
        </w:rPr>
        <w:t>s gaat</w:t>
      </w:r>
      <w:r>
        <w:rPr>
          <w:szCs w:val="18"/>
        </w:rPr>
        <w:t xml:space="preserve"> waarbij gemiddeld één op de vier vmbo-leerlingen een technisch profiel volgt</w:t>
      </w:r>
      <w:r w:rsidRPr="00A45539">
        <w:rPr>
          <w:szCs w:val="18"/>
        </w:rPr>
        <w:t xml:space="preserve">. De verschillen tussen de regio’s zijn echter aanzienlijk. Zo </w:t>
      </w:r>
      <w:r>
        <w:rPr>
          <w:szCs w:val="18"/>
        </w:rPr>
        <w:t>waren</w:t>
      </w:r>
      <w:r w:rsidRPr="00A45539">
        <w:rPr>
          <w:szCs w:val="18"/>
        </w:rPr>
        <w:t xml:space="preserve"> er 4</w:t>
      </w:r>
      <w:r>
        <w:rPr>
          <w:szCs w:val="18"/>
        </w:rPr>
        <w:t>1</w:t>
      </w:r>
      <w:r w:rsidRPr="00A45539">
        <w:rPr>
          <w:szCs w:val="18"/>
        </w:rPr>
        <w:t xml:space="preserve"> regio’s met een techniek-aandeel boven het gemiddelde en </w:t>
      </w:r>
      <w:r>
        <w:rPr>
          <w:szCs w:val="18"/>
        </w:rPr>
        <w:t>acht</w:t>
      </w:r>
      <w:r w:rsidRPr="00A45539">
        <w:rPr>
          <w:szCs w:val="18"/>
        </w:rPr>
        <w:t xml:space="preserve"> regio’s met een aandeel van 4</w:t>
      </w:r>
      <w:r>
        <w:rPr>
          <w:szCs w:val="18"/>
        </w:rPr>
        <w:t>0</w:t>
      </w:r>
      <w:r w:rsidRPr="00A45539">
        <w:rPr>
          <w:szCs w:val="18"/>
        </w:rPr>
        <w:t xml:space="preserve"> procent of meer. Analyses van de absolute aantallen derdejaarsleerlingen per leerweg tonen dat er 1</w:t>
      </w:r>
      <w:r>
        <w:rPr>
          <w:szCs w:val="18"/>
        </w:rPr>
        <w:t>6</w:t>
      </w:r>
      <w:r w:rsidRPr="00A45539">
        <w:rPr>
          <w:szCs w:val="18"/>
        </w:rPr>
        <w:t xml:space="preserve"> STO-regio’s zijn met minder dan 75 techniekleerlingen en dat 4</w:t>
      </w:r>
      <w:r>
        <w:rPr>
          <w:szCs w:val="18"/>
        </w:rPr>
        <w:t>3</w:t>
      </w:r>
      <w:r w:rsidRPr="00A45539">
        <w:rPr>
          <w:szCs w:val="18"/>
        </w:rPr>
        <w:t xml:space="preserve"> STO-regio’s onder het gemiddelde (van 1</w:t>
      </w:r>
      <w:r>
        <w:rPr>
          <w:szCs w:val="18"/>
        </w:rPr>
        <w:t>54</w:t>
      </w:r>
      <w:r w:rsidRPr="00A45539">
        <w:rPr>
          <w:szCs w:val="18"/>
        </w:rPr>
        <w:t xml:space="preserve"> techniekleerlingen) zitten. De kl </w:t>
      </w:r>
      <w:r>
        <w:rPr>
          <w:szCs w:val="18"/>
        </w:rPr>
        <w:t>heeft</w:t>
      </w:r>
      <w:r w:rsidRPr="00A45539">
        <w:rPr>
          <w:szCs w:val="18"/>
        </w:rPr>
        <w:t xml:space="preserve"> de meeste derdejaarsleerlingen</w:t>
      </w:r>
      <w:r>
        <w:rPr>
          <w:szCs w:val="18"/>
        </w:rPr>
        <w:t xml:space="preserve"> in een technisch profiel</w:t>
      </w:r>
      <w:r w:rsidRPr="00A45539">
        <w:rPr>
          <w:szCs w:val="18"/>
        </w:rPr>
        <w:t>, gevolgd door de bl. Techni</w:t>
      </w:r>
      <w:r>
        <w:rPr>
          <w:szCs w:val="18"/>
        </w:rPr>
        <w:t xml:space="preserve">sche </w:t>
      </w:r>
      <w:r w:rsidRPr="00A45539">
        <w:rPr>
          <w:szCs w:val="18"/>
        </w:rPr>
        <w:t>profiele</w:t>
      </w:r>
      <w:r>
        <w:rPr>
          <w:szCs w:val="18"/>
        </w:rPr>
        <w:t>n</w:t>
      </w:r>
      <w:r w:rsidRPr="00A45539">
        <w:rPr>
          <w:szCs w:val="18"/>
        </w:rPr>
        <w:t xml:space="preserve"> </w:t>
      </w:r>
      <w:r>
        <w:rPr>
          <w:szCs w:val="18"/>
        </w:rPr>
        <w:t>kwamen</w:t>
      </w:r>
      <w:r w:rsidRPr="00A45539">
        <w:rPr>
          <w:szCs w:val="18"/>
        </w:rPr>
        <w:t xml:space="preserve"> het minst voor in de gl en w</w:t>
      </w:r>
      <w:r>
        <w:rPr>
          <w:szCs w:val="18"/>
        </w:rPr>
        <w:t>e</w:t>
      </w:r>
      <w:r w:rsidRPr="00A45539">
        <w:rPr>
          <w:szCs w:val="18"/>
        </w:rPr>
        <w:t xml:space="preserve">rden in 28 regio’s zelfs niet aangeboden. De vier-cluster-analyse </w:t>
      </w:r>
      <w:r>
        <w:rPr>
          <w:szCs w:val="18"/>
        </w:rPr>
        <w:t>laat zien dat</w:t>
      </w:r>
      <w:r w:rsidRPr="00A45539">
        <w:rPr>
          <w:szCs w:val="18"/>
        </w:rPr>
        <w:t xml:space="preserve"> </w:t>
      </w:r>
      <w:r>
        <w:rPr>
          <w:szCs w:val="18"/>
        </w:rPr>
        <w:t>40,3</w:t>
      </w:r>
      <w:r w:rsidRPr="00A45539">
        <w:rPr>
          <w:szCs w:val="18"/>
        </w:rPr>
        <w:t xml:space="preserve"> procent van de STO-regio’s in een van de groeiclusters</w:t>
      </w:r>
      <w:r w:rsidRPr="00127137">
        <w:rPr>
          <w:szCs w:val="18"/>
        </w:rPr>
        <w:t xml:space="preserve"> </w:t>
      </w:r>
      <w:r w:rsidRPr="00A45539">
        <w:rPr>
          <w:szCs w:val="18"/>
        </w:rPr>
        <w:t xml:space="preserve">valt. Dat wil zeggen dat het aantal techniekleerlingen </w:t>
      </w:r>
      <w:r>
        <w:rPr>
          <w:szCs w:val="18"/>
        </w:rPr>
        <w:t>minder sterk</w:t>
      </w:r>
      <w:r w:rsidRPr="00A45539">
        <w:rPr>
          <w:szCs w:val="18"/>
        </w:rPr>
        <w:t xml:space="preserve"> groei</w:t>
      </w:r>
      <w:r>
        <w:rPr>
          <w:szCs w:val="18"/>
        </w:rPr>
        <w:t>de</w:t>
      </w:r>
      <w:r w:rsidRPr="00A45539">
        <w:rPr>
          <w:szCs w:val="18"/>
        </w:rPr>
        <w:t xml:space="preserve"> dan het aantal niet-techniekleerlingen in de STO-regio</w:t>
      </w:r>
      <w:r>
        <w:rPr>
          <w:szCs w:val="18"/>
        </w:rPr>
        <w:t>’</w:t>
      </w:r>
      <w:r w:rsidRPr="00A45539">
        <w:rPr>
          <w:szCs w:val="18"/>
        </w:rPr>
        <w:t>s</w:t>
      </w:r>
      <w:r>
        <w:rPr>
          <w:szCs w:val="18"/>
        </w:rPr>
        <w:t xml:space="preserve"> in 2023/2024 ten opzichte van 2022/2023.</w:t>
      </w:r>
    </w:p>
    <w:p w:rsidRPr="00A45539" w:rsidR="00B52D66" w:rsidP="00B52D66" w:rsidRDefault="00B52D66" w14:paraId="559C8D54" w14:textId="77777777">
      <w:pPr>
        <w:rPr>
          <w:szCs w:val="18"/>
        </w:rPr>
      </w:pPr>
    </w:p>
    <w:p w:rsidR="00B52D66" w:rsidP="00B52D66" w:rsidRDefault="00B52D66" w14:paraId="71E6B664" w14:textId="77777777">
      <w:pPr>
        <w:pStyle w:val="Kop2"/>
        <w:rPr>
          <w:szCs w:val="18"/>
        </w:rPr>
      </w:pPr>
      <w:bookmarkStart w:name="_Toc125541246" w:id="121"/>
      <w:bookmarkStart w:name="_Toc127528896" w:id="122"/>
      <w:bookmarkStart w:name="_Toc158042059" w:id="123"/>
      <w:bookmarkStart w:name="_Toc203573622" w:id="124"/>
      <w:r>
        <w:rPr>
          <w:szCs w:val="18"/>
        </w:rPr>
        <w:t>Techniek</w:t>
      </w:r>
      <w:r w:rsidRPr="00A45539">
        <w:rPr>
          <w:szCs w:val="18"/>
        </w:rPr>
        <w:t xml:space="preserve">leerlingen naar profiel, </w:t>
      </w:r>
      <w:r>
        <w:rPr>
          <w:szCs w:val="18"/>
        </w:rPr>
        <w:t>STO-</w:t>
      </w:r>
      <w:r w:rsidRPr="00A45539">
        <w:rPr>
          <w:szCs w:val="18"/>
        </w:rPr>
        <w:t>regio</w:t>
      </w:r>
      <w:r>
        <w:rPr>
          <w:szCs w:val="18"/>
        </w:rPr>
        <w:t xml:space="preserve"> </w:t>
      </w:r>
      <w:r w:rsidRPr="00A45539">
        <w:rPr>
          <w:szCs w:val="18"/>
        </w:rPr>
        <w:t>en vestiging</w:t>
      </w:r>
      <w:bookmarkEnd w:id="121"/>
      <w:bookmarkEnd w:id="122"/>
      <w:bookmarkEnd w:id="123"/>
      <w:bookmarkEnd w:id="124"/>
    </w:p>
    <w:p w:rsidRPr="00D26E09" w:rsidR="00B52D66" w:rsidP="00B52D66" w:rsidRDefault="00B52D66" w14:paraId="3AF0033A" w14:textId="77777777">
      <w:pPr>
        <w:rPr>
          <w:lang w:eastAsia="en-US"/>
        </w:rPr>
      </w:pPr>
    </w:p>
    <w:p w:rsidR="00B52D66" w:rsidP="00B52D66" w:rsidRDefault="00B52D66" w14:paraId="24B8AD4D" w14:textId="77777777">
      <w:pPr>
        <w:pStyle w:val="Kop3"/>
        <w:rPr>
          <w:szCs w:val="18"/>
        </w:rPr>
      </w:pPr>
      <w:bookmarkStart w:name="_Toc125541247" w:id="125"/>
      <w:bookmarkStart w:name="_Toc127528897" w:id="126"/>
      <w:bookmarkStart w:name="_Toc158042060" w:id="127"/>
      <w:bookmarkStart w:name="_Toc203573623" w:id="128"/>
      <w:r w:rsidRPr="00A45539">
        <w:rPr>
          <w:szCs w:val="18"/>
        </w:rPr>
        <w:t>Aandeel leerlingen per vestiging</w:t>
      </w:r>
      <w:bookmarkEnd w:id="125"/>
      <w:bookmarkEnd w:id="126"/>
      <w:bookmarkEnd w:id="127"/>
      <w:bookmarkEnd w:id="128"/>
      <w:r w:rsidRPr="00A45539">
        <w:rPr>
          <w:szCs w:val="18"/>
        </w:rPr>
        <w:t xml:space="preserve"> </w:t>
      </w:r>
    </w:p>
    <w:p w:rsidRPr="00D26E09" w:rsidR="00B52D66" w:rsidP="00B52D66" w:rsidRDefault="00B52D66" w14:paraId="5BDD25A8" w14:textId="77777777">
      <w:pPr>
        <w:rPr>
          <w:lang w:eastAsia="en-US"/>
        </w:rPr>
      </w:pPr>
    </w:p>
    <w:p w:rsidR="00B52D66" w:rsidP="00B52D66" w:rsidRDefault="00B52D66" w14:paraId="4DFA9132" w14:textId="3AE76C83">
      <w:pPr>
        <w:jc w:val="both"/>
      </w:pPr>
      <w:r w:rsidRPr="00A45539">
        <w:t xml:space="preserve">In Figuur </w:t>
      </w:r>
      <w:r w:rsidR="00346EBF">
        <w:t>B3</w:t>
      </w:r>
      <w:r>
        <w:t>.</w:t>
      </w:r>
      <w:r w:rsidRPr="00A45539">
        <w:t>4 z</w:t>
      </w:r>
      <w:r>
        <w:t>agen</w:t>
      </w:r>
      <w:r w:rsidRPr="00A45539">
        <w:t xml:space="preserve"> we dat het aantal leerlingen per STO-regio sterk uiteenloopt. Meer dan de helft (</w:t>
      </w:r>
      <w:r>
        <w:t>59,0</w:t>
      </w:r>
      <w:r w:rsidRPr="00A45539">
        <w:t xml:space="preserve"> procent) van de STO-regio’s heeft gemiddeld minder dan 1</w:t>
      </w:r>
      <w:r>
        <w:t>54</w:t>
      </w:r>
      <w:r w:rsidRPr="00A45539">
        <w:t xml:space="preserve"> derdejaars techniekleerlingen in de drie beroepsgerichte </w:t>
      </w:r>
      <w:r>
        <w:t>leerwegen</w:t>
      </w:r>
      <w:r w:rsidRPr="00A45539">
        <w:t xml:space="preserve"> samen. Deze paragraaf richt zich daarom op het aantal derdejaarsleerlingen per vestiging; met name </w:t>
      </w:r>
      <w:r w:rsidRPr="00A45539">
        <w:lastRenderedPageBreak/>
        <w:t>kleine, kwetsbare vestigingen met weinig leerlingen. Een leerlingenaantal van hooguit tien per profiel per vestiging beschouwen we als lastig organiseerbaar.</w:t>
      </w:r>
    </w:p>
    <w:p w:rsidR="00B52D66" w:rsidP="00B52D66" w:rsidRDefault="00B52D66" w14:paraId="20A10BF9" w14:textId="77777777">
      <w:r>
        <w:rPr>
          <w:noProof/>
          <w:lang w:val="en-GB" w:eastAsia="en-GB"/>
        </w:rPr>
        <mc:AlternateContent>
          <mc:Choice Requires="wps">
            <w:drawing>
              <wp:anchor distT="45720" distB="45720" distL="114300" distR="114300" simplePos="0" relativeHeight="251658249" behindDoc="0" locked="0" layoutInCell="1" allowOverlap="1" wp14:editId="1A7E99A5" wp14:anchorId="5BC11CE6">
                <wp:simplePos x="0" y="0"/>
                <wp:positionH relativeFrom="margin">
                  <wp:align>right</wp:align>
                </wp:positionH>
                <wp:positionV relativeFrom="paragraph">
                  <wp:posOffset>247484</wp:posOffset>
                </wp:positionV>
                <wp:extent cx="5903595" cy="1404620"/>
                <wp:effectExtent l="0" t="0" r="2095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1404620"/>
                        </a:xfrm>
                        <a:prstGeom prst="rect">
                          <a:avLst/>
                        </a:prstGeom>
                        <a:solidFill>
                          <a:srgbClr val="FFFFFF"/>
                        </a:solidFill>
                        <a:ln w="9525">
                          <a:solidFill>
                            <a:srgbClr val="000000"/>
                          </a:solidFill>
                          <a:miter lim="800000"/>
                          <a:headEnd/>
                          <a:tailEnd/>
                        </a:ln>
                      </wps:spPr>
                      <wps:txbx>
                        <w:txbxContent>
                          <w:p w:rsidRPr="004C3F3F" w:rsidR="00B52D66" w:rsidP="00B52D66" w:rsidRDefault="00B52D66" w14:paraId="2B64FEFD" w14:textId="77777777">
                            <w:pPr>
                              <w:spacing w:before="120" w:after="120"/>
                              <w:jc w:val="both"/>
                            </w:pPr>
                            <w:r w:rsidRPr="004C3F3F">
                              <w:t xml:space="preserve">Door kleine leerlingenaantallen in de profielen geven vmbo-docenten beroepsgericht vaak les aan combinaties van leerwegen (bb, kb, gl) en/of leerjaren: 62% van de beroepsgerichte lessen wordt gecombineerd aan leerlingen van meerdere leerwegen gegeven, tegen 32% van </w:t>
                            </w:r>
                            <w:r w:rsidRPr="004C3F3F">
                              <w:rPr>
                                <w:rFonts w:cs="Open Sans Light"/>
                              </w:rPr>
                              <w:t>á</w:t>
                            </w:r>
                            <w:r w:rsidRPr="004C3F3F">
                              <w:t>lle lessen in het vmbo. Voor docenten in technische profielen geldt nog sterker dat zij vaker lesgeven aan gecombineerde groepen, in die profielen geldt dit voor tussen de 73 en 86% van de lessen.</w:t>
                            </w:r>
                          </w:p>
                          <w:p w:rsidRPr="00D96BB4" w:rsidR="00B52D66" w:rsidP="00B52D66" w:rsidRDefault="00B52D66" w14:paraId="5C96F165" w14:textId="77777777">
                            <w:pPr>
                              <w:jc w:val="both"/>
                              <w:rPr>
                                <w:lang w:val="en-GB"/>
                              </w:rPr>
                            </w:pPr>
                            <w:r w:rsidRPr="004C3F3F">
                              <w:rPr>
                                <w:rFonts w:cs="Calibri Light"/>
                                <w:color w:val="000000" w:themeColor="text1"/>
                                <w:szCs w:val="22"/>
                              </w:rPr>
                              <w:t>Bron: C</w:t>
                            </w:r>
                            <w:r w:rsidRPr="004C3F3F">
                              <w:t>enterdata, februari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5BC11CE6">
                <v:stroke joinstyle="miter"/>
                <v:path gradientshapeok="t" o:connecttype="rect"/>
              </v:shapetype>
              <v:shape id="Text Box 2" style="position:absolute;margin-left:413.65pt;margin-top:19.5pt;width:464.85pt;height:110.6pt;z-index:251658249;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lYEgIAACAEAAAOAAAAZHJzL2Uyb0RvYy54bWysk82O0zAQx+9IvIPlO01a2mUbNV0tXYqQ&#10;lg9p4QEcx2ksHI8Zu03K0zN2ut1qgQvCB8v2jP+e+c14dTN0hh0Ueg225NNJzpmyEmptdyX/9nX7&#10;6pozH4SthQGrSn5Unt+sX75Y9a5QM2jB1AoZiVhf9K7kbQiuyDIvW9UJPwGnLBkbwE4E2uIuq1H0&#10;pN6ZbJbnV1kPWDsEqbyn07vRyNdJv2mUDJ+bxqvATMkptpBmTHMV52y9EsUOhWu1PIUh/iGKTmhL&#10;j56l7kQQbI/6N6lOSwQPTZhI6DJoGi1VyoGymebPsnlohVMpF4Lj3RmT/3+y8tPhwX1BFoa3MFAB&#10;UxLe3YP87pmFTSvsTt0iQt8qUdPD04gs650vTlcjal/4KFL1H6GmIot9gCQ0NNhFKpQnI3UqwPEM&#10;XQ2BSTpcLPPXi+WCM0m26TyfX81SWTJRPF536MN7BR2Li5IjVTXJi8O9DzEcUTy6xNc8GF1vtTFp&#10;g7tqY5AdBHXANo2UwTM3Y1lf8uVithgJ/FUiT+NPEp0O1MpGdyW/PjuJInJ7Z+vUaEFoM64pZGNP&#10;ICO7kWIYqoEcI9AK6iMhRRhblr4YLVrAn5z11K4l9z/2AhVn5oOlsiyn83ns77SZL94QQ4aXlurS&#10;IqwkqZIHzsblJqQ/kYC5WyrfViewT5GcYqU2TLxPXyb2+eU+eT197PUvAAAA//8DAFBLAwQUAAYA&#10;CAAAACEAPcklCd0AAAAHAQAADwAAAGRycy9kb3ducmV2LnhtbEyPwU7DMBBE70j8g7VIXCrqkKqh&#10;CXEqqNQTp4Zyd+NtEhGvg+226d+znOhpNZrRzNtyPdlBnNGH3pGC53kCAqlxpqdWwf5z+7QCEaIm&#10;owdHqOCKAdbV/V2pC+MutMNzHVvBJRQKraCLcSykDE2HVoe5G5HYOzpvdWTpW2m8vnC5HWSaJJm0&#10;uide6PSImw6b7/pkFWQ/9WL28WVmtLtu331jl2azXyr1+DC9vYKIOMX/MPzhMzpUzHRwJzJBDAr4&#10;kahgkfNlN0/zFxAHBWmWpCCrUt7yV78AAAD//wMAUEsBAi0AFAAGAAgAAAAhALaDOJL+AAAA4QEA&#10;ABMAAAAAAAAAAAAAAAAAAAAAAFtDb250ZW50X1R5cGVzXS54bWxQSwECLQAUAAYACAAAACEAOP0h&#10;/9YAAACUAQAACwAAAAAAAAAAAAAAAAAvAQAAX3JlbHMvLnJlbHNQSwECLQAUAAYACAAAACEAlGCp&#10;WBICAAAgBAAADgAAAAAAAAAAAAAAAAAuAgAAZHJzL2Uyb0RvYy54bWxQSwECLQAUAAYACAAAACEA&#10;PcklCd0AAAAHAQAADwAAAAAAAAAAAAAAAABsBAAAZHJzL2Rvd25yZXYueG1sUEsFBgAAAAAEAAQA&#10;8wAAAHYFAAAAAA==&#10;">
                <v:textbox style="mso-fit-shape-to-text:t">
                  <w:txbxContent>
                    <w:p w:rsidRPr="004C3F3F" w:rsidR="00B52D66" w:rsidP="00B52D66" w:rsidRDefault="00B52D66" w14:paraId="2B64FEFD" w14:textId="77777777">
                      <w:pPr>
                        <w:spacing w:before="120" w:after="120"/>
                        <w:jc w:val="both"/>
                      </w:pPr>
                      <w:r w:rsidRPr="004C3F3F">
                        <w:t xml:space="preserve">Door kleine leerlingenaantallen in de profielen geven vmbo-docenten beroepsgericht vaak les aan combinaties van leerwegen (bb, kb, gl) en/of leerjaren: 62% van de beroepsgerichte lessen wordt gecombineerd aan leerlingen van meerdere leerwegen gegeven, tegen 32% van </w:t>
                      </w:r>
                      <w:r w:rsidRPr="004C3F3F">
                        <w:rPr>
                          <w:rFonts w:cs="Open Sans Light"/>
                        </w:rPr>
                        <w:t>á</w:t>
                      </w:r>
                      <w:r w:rsidRPr="004C3F3F">
                        <w:t>lle lessen in het vmbo. Voor docenten in technische profielen geldt nog sterker dat zij vaker lesgeven aan gecombineerde groepen, in die profielen geldt dit voor tussen de 73 en 86% van de lessen.</w:t>
                      </w:r>
                    </w:p>
                    <w:p w:rsidRPr="00D96BB4" w:rsidR="00B52D66" w:rsidP="00B52D66" w:rsidRDefault="00B52D66" w14:paraId="5C96F165" w14:textId="77777777">
                      <w:pPr>
                        <w:jc w:val="both"/>
                        <w:rPr>
                          <w:lang w:val="en-GB"/>
                        </w:rPr>
                      </w:pPr>
                      <w:r w:rsidRPr="004C3F3F">
                        <w:rPr>
                          <w:rFonts w:cs="Calibri Light"/>
                          <w:color w:val="000000" w:themeColor="text1"/>
                          <w:szCs w:val="22"/>
                        </w:rPr>
                        <w:t>Bron: C</w:t>
                      </w:r>
                      <w:r w:rsidRPr="004C3F3F">
                        <w:t>enterdata, februari 2023</w:t>
                      </w:r>
                    </w:p>
                  </w:txbxContent>
                </v:textbox>
                <w10:wrap type="square" anchorx="margin"/>
              </v:shape>
            </w:pict>
          </mc:Fallback>
        </mc:AlternateContent>
      </w:r>
    </w:p>
    <w:p w:rsidRPr="00A45539" w:rsidR="00B52D66" w:rsidP="00B52D66" w:rsidRDefault="00B52D66" w14:paraId="5D551D02" w14:textId="77777777">
      <w:pPr>
        <w:rPr>
          <w:szCs w:val="18"/>
        </w:rPr>
      </w:pPr>
    </w:p>
    <w:p w:rsidRPr="00A45539" w:rsidR="00B52D66" w:rsidP="00B52D66" w:rsidRDefault="00B52D66" w14:paraId="2546AF7E" w14:textId="76E0C587">
      <w:pPr>
        <w:jc w:val="both"/>
      </w:pPr>
      <w:r w:rsidRPr="00A45539">
        <w:t xml:space="preserve">Tabel </w:t>
      </w:r>
      <w:r w:rsidR="00346EBF">
        <w:t>B3</w:t>
      </w:r>
      <w:r>
        <w:t>.3</w:t>
      </w:r>
      <w:r w:rsidRPr="00A45539">
        <w:t xml:space="preserve"> toont de vijf techniekprofielen ingedeeld naar het gemiddelde aan</w:t>
      </w:r>
      <w:r>
        <w:t>deel</w:t>
      </w:r>
      <w:r w:rsidRPr="00A45539">
        <w:t xml:space="preserve"> derdejaarsleerlingen per vestiging</w:t>
      </w:r>
      <w:r w:rsidRPr="00A45539" w:rsidDel="005A7368">
        <w:t xml:space="preserve"> </w:t>
      </w:r>
      <w:r w:rsidRPr="00A45539">
        <w:t>in schooljaar 202</w:t>
      </w:r>
      <w:r>
        <w:t>3</w:t>
      </w:r>
      <w:r w:rsidRPr="00A45539">
        <w:t>/202</w:t>
      </w:r>
      <w:r>
        <w:t>4</w:t>
      </w:r>
      <w:r w:rsidRPr="00A45539">
        <w:t xml:space="preserve">. Categorie 1, bijvoorbeeld, toont het aandeel van vestigingen binnen het betreffende profiel dat slechts 1 tot 5 leerlingen heeft, enzovoorts. Een leesvoorbeeld voor </w:t>
      </w:r>
      <w:r>
        <w:t>Tabel</w:t>
      </w:r>
      <w:r w:rsidRPr="00A45539">
        <w:t xml:space="preserve"> </w:t>
      </w:r>
      <w:r w:rsidRPr="00283B39" w:rsidR="00346EBF">
        <w:t>B3</w:t>
      </w:r>
      <w:r>
        <w:t>.3</w:t>
      </w:r>
      <w:r w:rsidRPr="00A45539">
        <w:t xml:space="preserve"> kan als volgt zijn: in de bl telt </w:t>
      </w:r>
      <w:r>
        <w:t>38</w:t>
      </w:r>
      <w:r w:rsidRPr="00A45539">
        <w:t xml:space="preserve"> procent van de vestigingen in het profiel </w:t>
      </w:r>
      <w:r>
        <w:t>BWI</w:t>
      </w:r>
      <w:r w:rsidRPr="00A45539">
        <w:t xml:space="preserve"> tussen de 1 en 5 leerlingen; 7</w:t>
      </w:r>
      <w:r>
        <w:t>6</w:t>
      </w:r>
      <w:r w:rsidRPr="00A45539">
        <w:t xml:space="preserve"> procent heeft </w:t>
      </w:r>
      <w:r>
        <w:t>tussen de 1 en</w:t>
      </w:r>
      <w:r w:rsidRPr="00A45539">
        <w:t xml:space="preserve"> 10 leerlingen. Het gemiddelde aantal leerlingen is, net als in het schooljaar 202</w:t>
      </w:r>
      <w:r>
        <w:t>2</w:t>
      </w:r>
      <w:r w:rsidRPr="00A45539">
        <w:t>/202</w:t>
      </w:r>
      <w:r>
        <w:t>3</w:t>
      </w:r>
      <w:r w:rsidRPr="00A45539">
        <w:t xml:space="preserve">, voor alle vestigingen </w:t>
      </w:r>
      <w:r>
        <w:t>8</w:t>
      </w:r>
      <w:r w:rsidRPr="00A45539">
        <w:t xml:space="preserve">. </w:t>
      </w:r>
    </w:p>
    <w:p w:rsidRPr="00A45539" w:rsidR="00B52D66" w:rsidP="00B52D66" w:rsidRDefault="00B52D66" w14:paraId="23C73F7B" w14:textId="77777777">
      <w:pPr>
        <w:jc w:val="both"/>
        <w:rPr>
          <w:szCs w:val="18"/>
        </w:rPr>
      </w:pPr>
    </w:p>
    <w:p w:rsidRPr="00A45539" w:rsidR="00B52D66" w:rsidP="00B52D66" w:rsidRDefault="00B52D66" w14:paraId="2DDB08D5" w14:textId="2806B59E">
      <w:pPr>
        <w:jc w:val="both"/>
      </w:pPr>
      <w:r w:rsidRPr="00A45539">
        <w:t>Over het algemeen zien we dat de bl vooral in groepen van maximaal 10 leerlingen werkt</w:t>
      </w:r>
      <w:r>
        <w:t xml:space="preserve"> in het schooljaar 2023/2024</w:t>
      </w:r>
      <w:r w:rsidRPr="00A45539">
        <w:t xml:space="preserve">. In de kl </w:t>
      </w:r>
      <w:r>
        <w:t>zijn</w:t>
      </w:r>
      <w:r w:rsidRPr="00A45539">
        <w:t xml:space="preserve"> er, relatief gezien, vaker grote groepen leerlingen per vestiging</w:t>
      </w:r>
      <w:r>
        <w:t xml:space="preserve"> en in </w:t>
      </w:r>
      <w:r w:rsidRPr="00A45539">
        <w:t>de gl</w:t>
      </w:r>
      <w:r>
        <w:t xml:space="preserve"> werkt iets meer dan de helft van de vestigingen in groepen met maximaal 10 leerlingen</w:t>
      </w:r>
      <w:r w:rsidRPr="00A45539">
        <w:t xml:space="preserve">, met uitzondering van </w:t>
      </w:r>
      <w:r>
        <w:t>MVI</w:t>
      </w:r>
      <w:r w:rsidRPr="00A45539">
        <w:t>. Dit laat onverlet dat scholen in de praktijk de organiseerbaarheid op peil kunnen houden door bijvoorbeeld het combineren van leerwegen of klassen. MaT is een uitzonderlijk geval in alle leerwegen. MaT is het kleinste profiel, als we kijken naar de leerlingenaantallen (</w:t>
      </w:r>
      <w:r w:rsidRPr="008A30FF">
        <w:t xml:space="preserve">Tabel </w:t>
      </w:r>
      <w:r w:rsidR="00346EBF">
        <w:t>B3</w:t>
      </w:r>
      <w:r w:rsidRPr="008A30FF">
        <w:t>.1</w:t>
      </w:r>
      <w:r w:rsidRPr="00A45539">
        <w:t xml:space="preserve">), al heeft het wel gemiddeld grotere groepsgroottes per vestiging. Het kleinste profiel MaT blijkt dus het meeste geconcentreerd te zijn georganiseerd. Wat het gemiddeld aantal leerlingen betreft </w:t>
      </w:r>
      <w:r>
        <w:t xml:space="preserve">zijn de veranderingen tussen het schooljaar 2022/2023 en 2023/2024 voor de bl en de gl beperkt. Voor de kl zien we wel een duidelijke afname </w:t>
      </w:r>
      <w:r w:rsidRPr="00A45539">
        <w:t xml:space="preserve">bij </w:t>
      </w:r>
      <w:r>
        <w:t>de profielen</w:t>
      </w:r>
      <w:r w:rsidRPr="00A45539">
        <w:t xml:space="preserve"> </w:t>
      </w:r>
      <w:r>
        <w:t xml:space="preserve">BWI (-5) en </w:t>
      </w:r>
      <w:r w:rsidRPr="00A45539">
        <w:t>MaT</w:t>
      </w:r>
      <w:r>
        <w:t xml:space="preserve"> (-13)</w:t>
      </w:r>
      <w:r w:rsidRPr="00A45539">
        <w:t xml:space="preserve"> en </w:t>
      </w:r>
      <w:r>
        <w:t xml:space="preserve">een toename bij </w:t>
      </w:r>
      <w:r w:rsidRPr="00A45539">
        <w:t>M</w:t>
      </w:r>
      <w:r>
        <w:t>&amp;T (+6)</w:t>
      </w:r>
      <w:r w:rsidRPr="00A45539">
        <w:t>.</w:t>
      </w:r>
    </w:p>
    <w:p w:rsidRPr="00A45539" w:rsidR="00B52D66" w:rsidP="00B52D66" w:rsidRDefault="00B52D66" w14:paraId="46EEA13B" w14:textId="77777777">
      <w:pPr>
        <w:jc w:val="both"/>
        <w:rPr>
          <w:szCs w:val="18"/>
        </w:rPr>
      </w:pPr>
    </w:p>
    <w:p w:rsidRPr="0065314C" w:rsidR="00B52D66" w:rsidP="00B52D66" w:rsidRDefault="00B52D66" w14:paraId="4BAC23B5" w14:textId="247245B1">
      <w:pPr>
        <w:pStyle w:val="Bijschrift"/>
      </w:pPr>
      <w:r w:rsidRPr="0065314C">
        <w:t xml:space="preserve">TABEL </w:t>
      </w:r>
      <w:r w:rsidR="00346EBF">
        <w:t>B3</w:t>
      </w:r>
      <w:r>
        <w:t>.3</w:t>
      </w:r>
      <w:r w:rsidRPr="0065314C">
        <w:t xml:space="preserve"> </w:t>
      </w:r>
      <w:r>
        <w:tab/>
      </w:r>
      <w:r w:rsidRPr="0065314C">
        <w:t>Aandeel gemiddeld aantal derdejaarsleerlingen naar groepsgrootte, leerweg en profiel, schooljaar 202</w:t>
      </w:r>
      <w:r>
        <w:t>3</w:t>
      </w:r>
      <w:r w:rsidRPr="0065314C">
        <w:t>/202</w:t>
      </w:r>
      <w:r>
        <w:t>4</w:t>
      </w:r>
    </w:p>
    <w:tbl>
      <w:tblPr>
        <w:tblW w:w="9647" w:type="dxa"/>
        <w:tblLayout w:type="fixed"/>
        <w:tblLook w:val="04A0" w:firstRow="1" w:lastRow="0" w:firstColumn="1" w:lastColumn="0" w:noHBand="0" w:noVBand="1"/>
      </w:tblPr>
      <w:tblGrid>
        <w:gridCol w:w="1843"/>
        <w:gridCol w:w="261"/>
        <w:gridCol w:w="496"/>
        <w:gridCol w:w="478"/>
        <w:gridCol w:w="9"/>
        <w:gridCol w:w="975"/>
        <w:gridCol w:w="345"/>
        <w:gridCol w:w="735"/>
        <w:gridCol w:w="345"/>
        <w:gridCol w:w="350"/>
        <w:gridCol w:w="486"/>
        <w:gridCol w:w="750"/>
        <w:gridCol w:w="234"/>
        <w:gridCol w:w="780"/>
        <w:gridCol w:w="222"/>
        <w:gridCol w:w="168"/>
        <w:gridCol w:w="1170"/>
      </w:tblGrid>
      <w:tr w:rsidRPr="00617FE0" w:rsidR="00B52D66" w:rsidTr="003E014E" w14:paraId="7822FD6E" w14:textId="77777777">
        <w:trPr>
          <w:trHeight w:val="300"/>
        </w:trPr>
        <w:tc>
          <w:tcPr>
            <w:tcW w:w="2104" w:type="dxa"/>
            <w:gridSpan w:val="2"/>
            <w:tcBorders>
              <w:top w:val="single" w:color="auto" w:sz="4" w:space="0"/>
              <w:left w:val="nil"/>
              <w:bottom w:val="nil"/>
              <w:right w:val="nil"/>
            </w:tcBorders>
            <w:hideMark/>
          </w:tcPr>
          <w:p w:rsidRPr="00617FE0" w:rsidR="00B52D66" w:rsidP="00FC2172" w:rsidRDefault="00B52D66" w14:paraId="25E2B757" w14:textId="77777777">
            <w:pPr>
              <w:spacing w:line="240" w:lineRule="auto"/>
              <w:rPr>
                <w:rFonts w:cs="Calibri"/>
                <w:sz w:val="16"/>
                <w:szCs w:val="16"/>
                <w:lang w:eastAsia="en-GB"/>
              </w:rPr>
            </w:pPr>
            <w:r w:rsidRPr="00617FE0">
              <w:rPr>
                <w:rFonts w:cs="Calibri"/>
                <w:sz w:val="16"/>
                <w:szCs w:val="16"/>
                <w:lang w:eastAsia="en-GB"/>
              </w:rPr>
              <w:t>Aandeel leerlingen per vestiging i</w:t>
            </w:r>
            <w:r>
              <w:rPr>
                <w:rFonts w:cs="Calibri"/>
                <w:sz w:val="16"/>
                <w:szCs w:val="16"/>
                <w:lang w:eastAsia="en-GB"/>
              </w:rPr>
              <w:t>ngedeeld in groepsgrootte van:</w:t>
            </w:r>
          </w:p>
        </w:tc>
        <w:tc>
          <w:tcPr>
            <w:tcW w:w="983" w:type="dxa"/>
            <w:gridSpan w:val="3"/>
            <w:tcBorders>
              <w:top w:val="single" w:color="auto" w:sz="4" w:space="0"/>
              <w:left w:val="nil"/>
              <w:bottom w:val="nil"/>
              <w:right w:val="nil"/>
            </w:tcBorders>
            <w:vAlign w:val="bottom"/>
          </w:tcPr>
          <w:p w:rsidRPr="00617FE0" w:rsidR="00B52D66" w:rsidP="00FC2172" w:rsidRDefault="00B52D66" w14:paraId="05A03D41" w14:textId="31DB9B72">
            <w:pPr>
              <w:spacing w:line="240" w:lineRule="auto"/>
              <w:jc w:val="center"/>
              <w:rPr>
                <w:rFonts w:cs="Calibri"/>
                <w:sz w:val="16"/>
                <w:szCs w:val="16"/>
                <w:lang w:val="en-GB" w:eastAsia="en-GB"/>
              </w:rPr>
            </w:pPr>
            <w:r w:rsidRPr="7C716BD1">
              <w:rPr>
                <w:rFonts w:cs="Calibri"/>
                <w:sz w:val="16"/>
                <w:szCs w:val="16"/>
                <w:lang w:val="en-GB" w:eastAsia="en-GB"/>
              </w:rPr>
              <w:t>1 tm 5</w:t>
            </w:r>
            <w:r w:rsidRPr="7C716BD1" w:rsidR="25F9EBA2">
              <w:rPr>
                <w:rFonts w:cs="Calibri"/>
                <w:sz w:val="16"/>
                <w:szCs w:val="16"/>
                <w:lang w:val="en-GB" w:eastAsia="en-GB"/>
              </w:rPr>
              <w:t>*</w:t>
            </w:r>
            <w:r w:rsidRPr="7C716BD1">
              <w:rPr>
                <w:rFonts w:cs="Calibri"/>
                <w:sz w:val="16"/>
                <w:szCs w:val="16"/>
                <w:lang w:val="en-GB" w:eastAsia="en-GB"/>
              </w:rPr>
              <w:t xml:space="preserve"> </w:t>
            </w:r>
          </w:p>
        </w:tc>
        <w:tc>
          <w:tcPr>
            <w:tcW w:w="975" w:type="dxa"/>
            <w:tcBorders>
              <w:top w:val="single" w:color="auto" w:sz="4" w:space="0"/>
              <w:left w:val="nil"/>
              <w:bottom w:val="nil"/>
              <w:right w:val="nil"/>
            </w:tcBorders>
            <w:vAlign w:val="bottom"/>
          </w:tcPr>
          <w:p w:rsidRPr="00617FE0" w:rsidR="00B52D66" w:rsidP="00FC2172" w:rsidRDefault="00B52D66" w14:paraId="6F5AA660" w14:textId="5EA7379C">
            <w:pPr>
              <w:spacing w:line="240" w:lineRule="auto"/>
              <w:jc w:val="center"/>
              <w:rPr>
                <w:rFonts w:cs="Calibri"/>
                <w:sz w:val="16"/>
                <w:szCs w:val="16"/>
                <w:lang w:val="en-GB" w:eastAsia="en-GB"/>
              </w:rPr>
            </w:pPr>
            <w:r w:rsidRPr="7C716BD1">
              <w:rPr>
                <w:rFonts w:cs="Calibri"/>
                <w:sz w:val="16"/>
                <w:szCs w:val="16"/>
                <w:lang w:val="en-GB" w:eastAsia="en-GB"/>
              </w:rPr>
              <w:t>6 tm 10</w:t>
            </w:r>
            <w:r w:rsidRPr="7C716BD1" w:rsidR="05315446">
              <w:rPr>
                <w:rFonts w:cs="Calibri"/>
                <w:sz w:val="16"/>
                <w:szCs w:val="16"/>
                <w:lang w:val="en-GB" w:eastAsia="en-GB"/>
              </w:rPr>
              <w:t>*</w:t>
            </w:r>
            <w:r w:rsidRPr="7C716BD1">
              <w:rPr>
                <w:rFonts w:cs="Calibri"/>
                <w:sz w:val="16"/>
                <w:szCs w:val="16"/>
                <w:lang w:val="en-GB" w:eastAsia="en-GB"/>
              </w:rPr>
              <w:t xml:space="preserve"> </w:t>
            </w:r>
          </w:p>
        </w:tc>
        <w:tc>
          <w:tcPr>
            <w:tcW w:w="1080" w:type="dxa"/>
            <w:gridSpan w:val="2"/>
            <w:tcBorders>
              <w:top w:val="single" w:color="auto" w:sz="4" w:space="0"/>
              <w:left w:val="nil"/>
              <w:bottom w:val="nil"/>
              <w:right w:val="nil"/>
            </w:tcBorders>
            <w:vAlign w:val="bottom"/>
          </w:tcPr>
          <w:p w:rsidRPr="00617FE0" w:rsidR="00B52D66" w:rsidP="00FC2172" w:rsidRDefault="00B52D66" w14:paraId="03ADA0D2" w14:textId="0B1D9C02">
            <w:pPr>
              <w:spacing w:line="240" w:lineRule="auto"/>
              <w:rPr>
                <w:rFonts w:cs="Calibri"/>
                <w:sz w:val="16"/>
                <w:szCs w:val="16"/>
                <w:lang w:val="en-GB" w:eastAsia="en-GB"/>
              </w:rPr>
            </w:pPr>
            <w:r w:rsidRPr="7C716BD1">
              <w:rPr>
                <w:rFonts w:cs="Calibri"/>
                <w:sz w:val="16"/>
                <w:szCs w:val="16"/>
                <w:lang w:val="en-GB" w:eastAsia="en-GB"/>
              </w:rPr>
              <w:t>11 tm 20</w:t>
            </w:r>
            <w:r w:rsidRPr="7C716BD1" w:rsidR="4CD15B2F">
              <w:rPr>
                <w:rFonts w:cs="Calibri"/>
                <w:sz w:val="16"/>
                <w:szCs w:val="16"/>
                <w:lang w:val="en-GB" w:eastAsia="en-GB"/>
              </w:rPr>
              <w:t>*</w:t>
            </w:r>
            <w:r w:rsidRPr="7C716BD1">
              <w:rPr>
                <w:rFonts w:cs="Calibri"/>
                <w:sz w:val="16"/>
                <w:szCs w:val="16"/>
                <w:lang w:val="en-GB" w:eastAsia="en-GB"/>
              </w:rPr>
              <w:t xml:space="preserve"> </w:t>
            </w:r>
          </w:p>
        </w:tc>
        <w:tc>
          <w:tcPr>
            <w:tcW w:w="1181" w:type="dxa"/>
            <w:gridSpan w:val="3"/>
            <w:tcBorders>
              <w:top w:val="single" w:color="auto" w:sz="4" w:space="0"/>
              <w:left w:val="nil"/>
              <w:bottom w:val="nil"/>
              <w:right w:val="nil"/>
            </w:tcBorders>
            <w:vAlign w:val="bottom"/>
          </w:tcPr>
          <w:p w:rsidRPr="00617FE0" w:rsidR="00B52D66" w:rsidP="00FC2172" w:rsidRDefault="00B52D66" w14:paraId="36FF5A27" w14:textId="1BBEE0C1">
            <w:pPr>
              <w:spacing w:line="240" w:lineRule="auto"/>
              <w:jc w:val="center"/>
              <w:rPr>
                <w:rFonts w:cs="Calibri"/>
                <w:sz w:val="16"/>
                <w:szCs w:val="16"/>
                <w:lang w:val="en-GB" w:eastAsia="en-GB"/>
              </w:rPr>
            </w:pPr>
            <w:r w:rsidRPr="7C716BD1">
              <w:rPr>
                <w:rFonts w:cs="Calibri"/>
                <w:sz w:val="16"/>
                <w:szCs w:val="16"/>
                <w:lang w:val="en-GB" w:eastAsia="en-GB"/>
              </w:rPr>
              <w:t>21 tm 30</w:t>
            </w:r>
            <w:r w:rsidRPr="7C716BD1" w:rsidR="264937BD">
              <w:rPr>
                <w:rFonts w:cs="Calibri"/>
                <w:sz w:val="16"/>
                <w:szCs w:val="16"/>
                <w:lang w:val="en-GB" w:eastAsia="en-GB"/>
              </w:rPr>
              <w:t>*</w:t>
            </w:r>
            <w:r w:rsidRPr="7C716BD1">
              <w:rPr>
                <w:rFonts w:cs="Calibri"/>
                <w:sz w:val="16"/>
                <w:szCs w:val="16"/>
                <w:lang w:val="en-GB" w:eastAsia="en-GB"/>
              </w:rPr>
              <w:t xml:space="preserve"> </w:t>
            </w:r>
          </w:p>
        </w:tc>
        <w:tc>
          <w:tcPr>
            <w:tcW w:w="984" w:type="dxa"/>
            <w:gridSpan w:val="2"/>
            <w:tcBorders>
              <w:top w:val="single" w:color="auto" w:sz="4" w:space="0"/>
              <w:left w:val="nil"/>
              <w:bottom w:val="nil"/>
              <w:right w:val="nil"/>
            </w:tcBorders>
            <w:vAlign w:val="bottom"/>
          </w:tcPr>
          <w:p w:rsidRPr="00617FE0" w:rsidR="00B52D66" w:rsidP="00FC2172" w:rsidRDefault="00B52D66" w14:paraId="7D32570A" w14:textId="4A86985E">
            <w:pPr>
              <w:spacing w:line="240" w:lineRule="auto"/>
              <w:jc w:val="center"/>
              <w:rPr>
                <w:rFonts w:cs="Calibri"/>
                <w:sz w:val="16"/>
                <w:szCs w:val="16"/>
                <w:lang w:val="en-GB" w:eastAsia="en-GB"/>
              </w:rPr>
            </w:pPr>
            <w:r w:rsidRPr="7C716BD1">
              <w:rPr>
                <w:rFonts w:cs="Calibri"/>
                <w:sz w:val="16"/>
                <w:szCs w:val="16"/>
                <w:lang w:val="en-GB" w:eastAsia="en-GB"/>
              </w:rPr>
              <w:t>&gt; 30</w:t>
            </w:r>
            <w:r w:rsidRPr="7C716BD1" w:rsidR="16669571">
              <w:rPr>
                <w:rFonts w:cs="Calibri"/>
                <w:sz w:val="16"/>
                <w:szCs w:val="16"/>
                <w:lang w:val="en-GB" w:eastAsia="en-GB"/>
              </w:rPr>
              <w:t>*</w:t>
            </w:r>
            <w:r w:rsidRPr="7C716BD1">
              <w:rPr>
                <w:rFonts w:cs="Calibri"/>
                <w:sz w:val="16"/>
                <w:szCs w:val="16"/>
                <w:lang w:val="en-GB" w:eastAsia="en-GB"/>
              </w:rPr>
              <w:t xml:space="preserve"> </w:t>
            </w:r>
          </w:p>
        </w:tc>
        <w:tc>
          <w:tcPr>
            <w:tcW w:w="2340" w:type="dxa"/>
            <w:gridSpan w:val="4"/>
            <w:tcBorders>
              <w:top w:val="single" w:color="auto" w:sz="4" w:space="0"/>
              <w:left w:val="nil"/>
              <w:bottom w:val="nil"/>
              <w:right w:val="nil"/>
            </w:tcBorders>
            <w:vAlign w:val="bottom"/>
          </w:tcPr>
          <w:p w:rsidRPr="00617FE0" w:rsidR="00B52D66" w:rsidP="00FC2172" w:rsidRDefault="00B52D66" w14:paraId="0F4228C6" w14:textId="77777777">
            <w:pPr>
              <w:spacing w:line="240" w:lineRule="auto"/>
              <w:jc w:val="center"/>
              <w:rPr>
                <w:rFonts w:cs="Calibri"/>
                <w:sz w:val="16"/>
                <w:szCs w:val="16"/>
                <w:lang w:val="en-GB" w:eastAsia="en-GB"/>
              </w:rPr>
            </w:pPr>
            <w:r w:rsidRPr="00617FE0">
              <w:rPr>
                <w:rFonts w:cs="Calibri"/>
                <w:sz w:val="16"/>
                <w:szCs w:val="16"/>
                <w:lang w:val="en-GB" w:eastAsia="en-GB"/>
              </w:rPr>
              <w:t>Gemiddeld aantal leerlingen</w:t>
            </w:r>
          </w:p>
        </w:tc>
      </w:tr>
      <w:tr w:rsidRPr="00617FE0" w:rsidR="00B52D66" w:rsidTr="003E014E" w14:paraId="7C03D0AB" w14:textId="77777777">
        <w:trPr>
          <w:trHeight w:val="300"/>
        </w:trPr>
        <w:tc>
          <w:tcPr>
            <w:tcW w:w="2104" w:type="dxa"/>
            <w:gridSpan w:val="2"/>
            <w:tcBorders>
              <w:top w:val="nil"/>
              <w:left w:val="nil"/>
              <w:bottom w:val="single" w:color="auto" w:sz="4" w:space="0"/>
              <w:right w:val="nil"/>
            </w:tcBorders>
            <w:noWrap/>
            <w:vAlign w:val="bottom"/>
          </w:tcPr>
          <w:p w:rsidRPr="00617FE0" w:rsidR="00B52D66" w:rsidP="00FC2172" w:rsidRDefault="00B52D66" w14:paraId="71616C6E" w14:textId="77777777">
            <w:pPr>
              <w:spacing w:line="240" w:lineRule="auto"/>
              <w:jc w:val="center"/>
              <w:rPr>
                <w:rFonts w:cs="Calibri"/>
                <w:sz w:val="16"/>
                <w:szCs w:val="16"/>
                <w:lang w:val="en-GB" w:eastAsia="en-GB"/>
              </w:rPr>
            </w:pPr>
          </w:p>
        </w:tc>
        <w:tc>
          <w:tcPr>
            <w:tcW w:w="5203" w:type="dxa"/>
            <w:gridSpan w:val="11"/>
            <w:tcBorders>
              <w:top w:val="nil"/>
              <w:left w:val="nil"/>
              <w:bottom w:val="single" w:color="auto" w:sz="4" w:space="0"/>
              <w:right w:val="nil"/>
            </w:tcBorders>
            <w:vAlign w:val="bottom"/>
          </w:tcPr>
          <w:p w:rsidRPr="00617FE0" w:rsidR="00B52D66" w:rsidP="00FC2172" w:rsidRDefault="00B52D66" w14:paraId="4189A163" w14:textId="77777777">
            <w:pPr>
              <w:spacing w:line="240" w:lineRule="auto"/>
              <w:jc w:val="center"/>
              <w:rPr>
                <w:rFonts w:cs="Calibri"/>
                <w:sz w:val="16"/>
                <w:szCs w:val="16"/>
                <w:lang w:val="en-GB" w:eastAsia="en-GB"/>
              </w:rPr>
            </w:pPr>
            <w:r w:rsidRPr="00617FE0">
              <w:rPr>
                <w:rFonts w:cs="Calibri"/>
                <w:sz w:val="16"/>
                <w:szCs w:val="16"/>
                <w:lang w:val="en-GB" w:eastAsia="en-GB"/>
              </w:rPr>
              <w:t>leerlingen</w:t>
            </w:r>
          </w:p>
        </w:tc>
        <w:tc>
          <w:tcPr>
            <w:tcW w:w="1170" w:type="dxa"/>
            <w:gridSpan w:val="3"/>
            <w:tcBorders>
              <w:top w:val="nil"/>
              <w:left w:val="nil"/>
              <w:bottom w:val="single" w:color="auto" w:sz="4" w:space="0"/>
              <w:right w:val="nil"/>
            </w:tcBorders>
            <w:vAlign w:val="bottom"/>
          </w:tcPr>
          <w:p w:rsidRPr="00617FE0" w:rsidR="00B52D66" w:rsidP="00FC2172" w:rsidRDefault="00B52D66" w14:paraId="58011C52" w14:textId="77777777">
            <w:pPr>
              <w:spacing w:line="240" w:lineRule="auto"/>
              <w:jc w:val="center"/>
              <w:rPr>
                <w:rFonts w:cs="Calibri"/>
                <w:sz w:val="16"/>
                <w:szCs w:val="16"/>
                <w:lang w:val="en-GB" w:eastAsia="en-GB"/>
              </w:rPr>
            </w:pPr>
            <w:r w:rsidRPr="00617FE0">
              <w:rPr>
                <w:rFonts w:cs="Calibri"/>
                <w:sz w:val="16"/>
                <w:szCs w:val="16"/>
                <w:lang w:val="en-GB" w:eastAsia="en-GB"/>
              </w:rPr>
              <w:t>2022/2023</w:t>
            </w:r>
          </w:p>
        </w:tc>
        <w:tc>
          <w:tcPr>
            <w:tcW w:w="1170" w:type="dxa"/>
            <w:tcBorders>
              <w:top w:val="nil"/>
              <w:left w:val="nil"/>
              <w:bottom w:val="single" w:color="auto" w:sz="4" w:space="0"/>
              <w:right w:val="nil"/>
            </w:tcBorders>
            <w:vAlign w:val="bottom"/>
          </w:tcPr>
          <w:p w:rsidRPr="00617FE0" w:rsidR="00B52D66" w:rsidP="00FC2172" w:rsidRDefault="00B52D66" w14:paraId="3DA848F6" w14:textId="77777777">
            <w:pPr>
              <w:spacing w:line="240" w:lineRule="auto"/>
              <w:jc w:val="center"/>
              <w:rPr>
                <w:rFonts w:cs="Calibri"/>
                <w:sz w:val="16"/>
                <w:szCs w:val="16"/>
                <w:lang w:val="en-GB" w:eastAsia="en-GB"/>
              </w:rPr>
            </w:pPr>
            <w:r w:rsidRPr="00617FE0">
              <w:rPr>
                <w:rFonts w:cs="Calibri"/>
                <w:sz w:val="16"/>
                <w:szCs w:val="16"/>
                <w:lang w:val="en-GB" w:eastAsia="en-GB"/>
              </w:rPr>
              <w:t>2023/2024</w:t>
            </w:r>
          </w:p>
        </w:tc>
      </w:tr>
      <w:tr w:rsidRPr="00617FE0" w:rsidR="00B52D66" w:rsidTr="003E014E" w14:paraId="5263D139" w14:textId="77777777">
        <w:trPr>
          <w:trHeight w:val="300"/>
        </w:trPr>
        <w:tc>
          <w:tcPr>
            <w:tcW w:w="2600" w:type="dxa"/>
            <w:gridSpan w:val="3"/>
            <w:tcBorders>
              <w:top w:val="nil"/>
              <w:left w:val="nil"/>
              <w:bottom w:val="nil"/>
              <w:right w:val="nil"/>
            </w:tcBorders>
            <w:noWrap/>
            <w:vAlign w:val="bottom"/>
            <w:hideMark/>
          </w:tcPr>
          <w:p w:rsidRPr="00617FE0" w:rsidR="00B52D66" w:rsidP="00FC2172" w:rsidRDefault="00B52D66" w14:paraId="39691F04" w14:textId="7AF778B7">
            <w:pPr>
              <w:spacing w:line="240" w:lineRule="auto"/>
              <w:rPr>
                <w:rFonts w:cs="Calibri"/>
                <w:b/>
                <w:bCs/>
                <w:sz w:val="16"/>
                <w:szCs w:val="16"/>
                <w:lang w:val="en-GB" w:eastAsia="en-GB"/>
              </w:rPr>
            </w:pPr>
            <w:r w:rsidRPr="7C716BD1">
              <w:rPr>
                <w:rFonts w:cs="Calibri"/>
                <w:b/>
                <w:bCs/>
                <w:sz w:val="16"/>
                <w:szCs w:val="16"/>
                <w:lang w:val="en-GB" w:eastAsia="en-GB"/>
              </w:rPr>
              <w:t>Basisberoepsgerichte leerweg</w:t>
            </w:r>
            <w:r w:rsidRPr="7C716BD1" w:rsidR="357AC0DC">
              <w:rPr>
                <w:rFonts w:cs="Calibri"/>
                <w:b/>
                <w:bCs/>
                <w:sz w:val="16"/>
                <w:szCs w:val="16"/>
                <w:lang w:val="en-GB" w:eastAsia="en-GB"/>
              </w:rPr>
              <w:t>*</w:t>
            </w:r>
            <w:r w:rsidRPr="7C716BD1">
              <w:rPr>
                <w:rFonts w:cs="Calibri"/>
                <w:b/>
                <w:bCs/>
                <w:sz w:val="16"/>
                <w:szCs w:val="16"/>
                <w:lang w:val="en-GB" w:eastAsia="en-GB"/>
              </w:rPr>
              <w:t> </w:t>
            </w:r>
          </w:p>
        </w:tc>
        <w:tc>
          <w:tcPr>
            <w:tcW w:w="2887" w:type="dxa"/>
            <w:gridSpan w:val="6"/>
            <w:tcBorders>
              <w:top w:val="nil"/>
              <w:left w:val="nil"/>
              <w:bottom w:val="nil"/>
              <w:right w:val="nil"/>
            </w:tcBorders>
            <w:noWrap/>
            <w:vAlign w:val="bottom"/>
            <w:hideMark/>
          </w:tcPr>
          <w:p w:rsidRPr="00617FE0" w:rsidR="00B52D66" w:rsidP="00FC2172" w:rsidRDefault="00B52D66" w14:paraId="10D7AFB4" w14:textId="77777777">
            <w:pPr>
              <w:spacing w:line="240" w:lineRule="auto"/>
              <w:jc w:val="center"/>
              <w:rPr>
                <w:rFonts w:cs="Calibri"/>
                <w:b/>
                <w:bCs/>
                <w:sz w:val="16"/>
                <w:szCs w:val="16"/>
                <w:lang w:val="en-GB" w:eastAsia="en-GB"/>
              </w:rPr>
            </w:pPr>
            <w:r w:rsidRPr="00617FE0">
              <w:rPr>
                <w:rFonts w:cs="Calibri"/>
                <w:b/>
                <w:bCs/>
                <w:sz w:val="16"/>
                <w:szCs w:val="16"/>
                <w:lang w:val="en-GB" w:eastAsia="en-GB"/>
              </w:rPr>
              <w:t> </w:t>
            </w:r>
          </w:p>
        </w:tc>
        <w:tc>
          <w:tcPr>
            <w:tcW w:w="2600" w:type="dxa"/>
            <w:gridSpan w:val="5"/>
            <w:tcBorders>
              <w:top w:val="nil"/>
              <w:left w:val="nil"/>
              <w:bottom w:val="nil"/>
              <w:right w:val="nil"/>
            </w:tcBorders>
            <w:noWrap/>
            <w:vAlign w:val="bottom"/>
            <w:hideMark/>
          </w:tcPr>
          <w:p w:rsidRPr="00617FE0" w:rsidR="00B52D66" w:rsidP="00FC2172" w:rsidRDefault="00B52D66" w14:paraId="3D7C384D" w14:textId="77777777">
            <w:pPr>
              <w:spacing w:line="240" w:lineRule="auto"/>
              <w:jc w:val="center"/>
              <w:rPr>
                <w:rFonts w:cs="Calibri"/>
                <w:b/>
                <w:bCs/>
                <w:sz w:val="16"/>
                <w:szCs w:val="16"/>
                <w:lang w:val="en-GB" w:eastAsia="en-GB"/>
              </w:rPr>
            </w:pPr>
            <w:r w:rsidRPr="00617FE0">
              <w:rPr>
                <w:rFonts w:cs="Calibri"/>
                <w:b/>
                <w:bCs/>
                <w:sz w:val="16"/>
                <w:szCs w:val="16"/>
                <w:lang w:val="en-GB" w:eastAsia="en-GB"/>
              </w:rPr>
              <w:t> </w:t>
            </w:r>
          </w:p>
        </w:tc>
        <w:tc>
          <w:tcPr>
            <w:tcW w:w="1560" w:type="dxa"/>
            <w:gridSpan w:val="3"/>
            <w:tcBorders>
              <w:top w:val="nil"/>
              <w:left w:val="nil"/>
              <w:bottom w:val="nil"/>
              <w:right w:val="nil"/>
            </w:tcBorders>
            <w:noWrap/>
            <w:vAlign w:val="bottom"/>
            <w:hideMark/>
          </w:tcPr>
          <w:p w:rsidRPr="00617FE0" w:rsidR="00B52D66" w:rsidP="00FC2172" w:rsidRDefault="00B52D66" w14:paraId="6188A661" w14:textId="77777777">
            <w:pPr>
              <w:spacing w:line="240" w:lineRule="auto"/>
              <w:jc w:val="center"/>
              <w:rPr>
                <w:rFonts w:cs="Calibri"/>
                <w:b/>
                <w:bCs/>
                <w:sz w:val="16"/>
                <w:szCs w:val="16"/>
                <w:lang w:val="en-GB" w:eastAsia="en-GB"/>
              </w:rPr>
            </w:pPr>
            <w:r w:rsidRPr="00617FE0">
              <w:rPr>
                <w:rFonts w:cs="Calibri"/>
                <w:b/>
                <w:bCs/>
                <w:sz w:val="16"/>
                <w:szCs w:val="16"/>
                <w:lang w:val="en-GB" w:eastAsia="en-GB"/>
              </w:rPr>
              <w:t> </w:t>
            </w:r>
          </w:p>
        </w:tc>
      </w:tr>
      <w:tr w:rsidRPr="00617FE0" w:rsidR="00B52D66" w:rsidTr="003E014E" w14:paraId="5887964C" w14:textId="77777777">
        <w:trPr>
          <w:trHeight w:val="300"/>
        </w:trPr>
        <w:tc>
          <w:tcPr>
            <w:tcW w:w="2104" w:type="dxa"/>
            <w:gridSpan w:val="2"/>
            <w:tcBorders>
              <w:top w:val="nil"/>
              <w:left w:val="nil"/>
              <w:bottom w:val="nil"/>
              <w:right w:val="nil"/>
            </w:tcBorders>
            <w:noWrap/>
            <w:vAlign w:val="bottom"/>
            <w:hideMark/>
          </w:tcPr>
          <w:p w:rsidRPr="00617FE0" w:rsidR="00B52D66" w:rsidP="00FC2172" w:rsidRDefault="00B52D66" w14:paraId="5A5E4675" w14:textId="77777777">
            <w:pPr>
              <w:spacing w:line="240" w:lineRule="auto"/>
              <w:rPr>
                <w:rFonts w:cs="Calibri"/>
                <w:sz w:val="16"/>
                <w:szCs w:val="16"/>
                <w:lang w:val="en-GB" w:eastAsia="en-GB"/>
              </w:rPr>
            </w:pPr>
            <w:r w:rsidRPr="00617FE0">
              <w:rPr>
                <w:rFonts w:cs="Calibri"/>
                <w:sz w:val="16"/>
                <w:szCs w:val="16"/>
                <w:lang w:val="en-GB" w:eastAsia="en-GB"/>
              </w:rPr>
              <w:t>BWI</w:t>
            </w:r>
          </w:p>
        </w:tc>
        <w:tc>
          <w:tcPr>
            <w:tcW w:w="983" w:type="dxa"/>
            <w:gridSpan w:val="3"/>
            <w:tcBorders>
              <w:top w:val="nil"/>
              <w:left w:val="nil"/>
              <w:bottom w:val="nil"/>
              <w:right w:val="nil"/>
            </w:tcBorders>
            <w:noWrap/>
            <w:vAlign w:val="center"/>
            <w:hideMark/>
          </w:tcPr>
          <w:p w:rsidRPr="00617FE0" w:rsidR="00B52D66" w:rsidP="00FC2172" w:rsidRDefault="00B52D66" w14:paraId="6DC1CCAB" w14:textId="77777777">
            <w:pPr>
              <w:spacing w:line="240" w:lineRule="auto"/>
              <w:jc w:val="center"/>
              <w:rPr>
                <w:rFonts w:cs="Calibri"/>
                <w:sz w:val="16"/>
                <w:szCs w:val="16"/>
                <w:lang w:val="en-GB" w:eastAsia="en-GB"/>
              </w:rPr>
            </w:pPr>
            <w:r w:rsidRPr="00617FE0">
              <w:rPr>
                <w:rFonts w:cs="Calibri"/>
                <w:sz w:val="16"/>
                <w:szCs w:val="16"/>
                <w:lang w:val="en-GB" w:eastAsia="en-GB"/>
              </w:rPr>
              <w:t>38</w:t>
            </w:r>
          </w:p>
        </w:tc>
        <w:tc>
          <w:tcPr>
            <w:tcW w:w="975" w:type="dxa"/>
            <w:tcBorders>
              <w:top w:val="nil"/>
              <w:left w:val="nil"/>
              <w:bottom w:val="nil"/>
              <w:right w:val="nil"/>
            </w:tcBorders>
            <w:noWrap/>
            <w:vAlign w:val="center"/>
            <w:hideMark/>
          </w:tcPr>
          <w:p w:rsidRPr="00617FE0" w:rsidR="00B52D66" w:rsidP="00FC2172" w:rsidRDefault="00B52D66" w14:paraId="3ED5B7FA" w14:textId="77777777">
            <w:pPr>
              <w:spacing w:line="240" w:lineRule="auto"/>
              <w:jc w:val="center"/>
              <w:rPr>
                <w:rFonts w:cs="Calibri"/>
                <w:sz w:val="16"/>
                <w:szCs w:val="16"/>
                <w:lang w:val="en-GB" w:eastAsia="en-GB"/>
              </w:rPr>
            </w:pPr>
            <w:r w:rsidRPr="00617FE0">
              <w:rPr>
                <w:rFonts w:cs="Calibri"/>
                <w:sz w:val="16"/>
                <w:szCs w:val="16"/>
                <w:lang w:val="en-GB" w:eastAsia="en-GB"/>
              </w:rPr>
              <w:t>38</w:t>
            </w:r>
          </w:p>
        </w:tc>
        <w:tc>
          <w:tcPr>
            <w:tcW w:w="1080" w:type="dxa"/>
            <w:gridSpan w:val="2"/>
            <w:tcBorders>
              <w:top w:val="nil"/>
              <w:left w:val="nil"/>
              <w:bottom w:val="nil"/>
              <w:right w:val="nil"/>
            </w:tcBorders>
            <w:noWrap/>
            <w:vAlign w:val="center"/>
            <w:hideMark/>
          </w:tcPr>
          <w:p w:rsidRPr="00617FE0" w:rsidR="00B52D66" w:rsidP="00FC2172" w:rsidRDefault="00B52D66" w14:paraId="27FFD567" w14:textId="77777777">
            <w:pPr>
              <w:spacing w:line="240" w:lineRule="auto"/>
              <w:jc w:val="center"/>
              <w:rPr>
                <w:rFonts w:cs="Calibri"/>
                <w:sz w:val="16"/>
                <w:szCs w:val="16"/>
                <w:lang w:val="en-GB" w:eastAsia="en-GB"/>
              </w:rPr>
            </w:pPr>
            <w:r w:rsidRPr="00617FE0">
              <w:rPr>
                <w:rFonts w:cs="Calibri"/>
                <w:sz w:val="16"/>
                <w:szCs w:val="16"/>
                <w:lang w:val="en-GB" w:eastAsia="en-GB"/>
              </w:rPr>
              <w:t>20</w:t>
            </w:r>
          </w:p>
        </w:tc>
        <w:tc>
          <w:tcPr>
            <w:tcW w:w="1181" w:type="dxa"/>
            <w:gridSpan w:val="3"/>
            <w:tcBorders>
              <w:top w:val="nil"/>
              <w:left w:val="nil"/>
              <w:bottom w:val="nil"/>
              <w:right w:val="nil"/>
            </w:tcBorders>
            <w:noWrap/>
            <w:vAlign w:val="center"/>
            <w:hideMark/>
          </w:tcPr>
          <w:p w:rsidRPr="00617FE0" w:rsidR="00B52D66" w:rsidP="00FC2172" w:rsidRDefault="00B52D66" w14:paraId="1CAA9342" w14:textId="77777777">
            <w:pPr>
              <w:spacing w:line="240" w:lineRule="auto"/>
              <w:jc w:val="center"/>
              <w:rPr>
                <w:rFonts w:cs="Calibri"/>
                <w:sz w:val="16"/>
                <w:szCs w:val="16"/>
                <w:lang w:val="en-GB" w:eastAsia="en-GB"/>
              </w:rPr>
            </w:pPr>
            <w:r w:rsidRPr="00617FE0">
              <w:rPr>
                <w:rFonts w:cs="Calibri"/>
                <w:sz w:val="16"/>
                <w:szCs w:val="16"/>
                <w:lang w:val="en-GB" w:eastAsia="en-GB"/>
              </w:rPr>
              <w:t>4</w:t>
            </w:r>
          </w:p>
        </w:tc>
        <w:tc>
          <w:tcPr>
            <w:tcW w:w="984" w:type="dxa"/>
            <w:gridSpan w:val="2"/>
            <w:tcBorders>
              <w:top w:val="nil"/>
              <w:left w:val="nil"/>
              <w:bottom w:val="nil"/>
              <w:right w:val="nil"/>
            </w:tcBorders>
            <w:noWrap/>
            <w:vAlign w:val="center"/>
            <w:hideMark/>
          </w:tcPr>
          <w:p w:rsidRPr="00617FE0" w:rsidR="00B52D66" w:rsidP="00FC2172" w:rsidRDefault="00B52D66" w14:paraId="56DFFF5A" w14:textId="77777777">
            <w:pPr>
              <w:spacing w:line="240" w:lineRule="auto"/>
              <w:jc w:val="center"/>
              <w:rPr>
                <w:rFonts w:cs="Calibri"/>
                <w:sz w:val="16"/>
                <w:szCs w:val="16"/>
                <w:lang w:val="en-GB" w:eastAsia="en-GB"/>
              </w:rPr>
            </w:pPr>
            <w:r w:rsidRPr="00617FE0">
              <w:rPr>
                <w:rFonts w:cs="Calibri"/>
                <w:sz w:val="16"/>
                <w:szCs w:val="16"/>
                <w:lang w:val="en-GB" w:eastAsia="en-GB"/>
              </w:rPr>
              <w:t>1</w:t>
            </w:r>
          </w:p>
        </w:tc>
        <w:tc>
          <w:tcPr>
            <w:tcW w:w="1170" w:type="dxa"/>
            <w:gridSpan w:val="3"/>
            <w:tcBorders>
              <w:top w:val="nil"/>
              <w:left w:val="nil"/>
              <w:bottom w:val="nil"/>
              <w:right w:val="nil"/>
            </w:tcBorders>
            <w:noWrap/>
            <w:vAlign w:val="center"/>
            <w:hideMark/>
          </w:tcPr>
          <w:p w:rsidRPr="00617FE0" w:rsidR="00B52D66" w:rsidP="00FC2172" w:rsidRDefault="00B52D66" w14:paraId="6A53F842" w14:textId="77777777">
            <w:pPr>
              <w:spacing w:line="240" w:lineRule="auto"/>
              <w:jc w:val="center"/>
              <w:rPr>
                <w:rFonts w:cs="Calibri"/>
                <w:sz w:val="16"/>
                <w:szCs w:val="16"/>
                <w:lang w:val="en-GB" w:eastAsia="en-GB"/>
              </w:rPr>
            </w:pPr>
            <w:r w:rsidRPr="00617FE0">
              <w:rPr>
                <w:rFonts w:cs="Calibri"/>
                <w:sz w:val="16"/>
                <w:szCs w:val="16"/>
                <w:lang w:val="en-GB" w:eastAsia="en-GB"/>
              </w:rPr>
              <w:t>8</w:t>
            </w:r>
          </w:p>
        </w:tc>
        <w:tc>
          <w:tcPr>
            <w:tcW w:w="1170" w:type="dxa"/>
            <w:tcBorders>
              <w:top w:val="nil"/>
              <w:left w:val="nil"/>
              <w:bottom w:val="nil"/>
              <w:right w:val="nil"/>
            </w:tcBorders>
            <w:noWrap/>
            <w:vAlign w:val="center"/>
            <w:hideMark/>
          </w:tcPr>
          <w:p w:rsidRPr="00617FE0" w:rsidR="00B52D66" w:rsidP="00FC2172" w:rsidRDefault="00B52D66" w14:paraId="3267F0A4" w14:textId="77777777">
            <w:pPr>
              <w:spacing w:line="240" w:lineRule="auto"/>
              <w:jc w:val="center"/>
              <w:rPr>
                <w:rFonts w:cs="Calibri"/>
                <w:sz w:val="16"/>
                <w:szCs w:val="16"/>
                <w:lang w:val="en-GB" w:eastAsia="en-GB"/>
              </w:rPr>
            </w:pPr>
            <w:r w:rsidRPr="00617FE0">
              <w:rPr>
                <w:rFonts w:cs="Calibri"/>
                <w:sz w:val="16"/>
                <w:szCs w:val="16"/>
                <w:lang w:val="en-GB" w:eastAsia="en-GB"/>
              </w:rPr>
              <w:t>8</w:t>
            </w:r>
          </w:p>
        </w:tc>
      </w:tr>
      <w:tr w:rsidRPr="00617FE0" w:rsidR="00B52D66" w:rsidTr="003E014E" w14:paraId="49622909" w14:textId="77777777">
        <w:trPr>
          <w:trHeight w:val="300"/>
        </w:trPr>
        <w:tc>
          <w:tcPr>
            <w:tcW w:w="2104" w:type="dxa"/>
            <w:gridSpan w:val="2"/>
            <w:tcBorders>
              <w:top w:val="nil"/>
              <w:left w:val="nil"/>
              <w:bottom w:val="nil"/>
              <w:right w:val="nil"/>
            </w:tcBorders>
            <w:noWrap/>
            <w:vAlign w:val="bottom"/>
            <w:hideMark/>
          </w:tcPr>
          <w:p w:rsidRPr="00617FE0" w:rsidR="00B52D66" w:rsidP="00FC2172" w:rsidRDefault="00B52D66" w14:paraId="649DCFD4" w14:textId="77777777">
            <w:pPr>
              <w:spacing w:line="240" w:lineRule="auto"/>
              <w:rPr>
                <w:rFonts w:cs="Calibri"/>
                <w:sz w:val="16"/>
                <w:szCs w:val="16"/>
                <w:lang w:val="en-GB" w:eastAsia="en-GB"/>
              </w:rPr>
            </w:pPr>
            <w:r w:rsidRPr="00617FE0">
              <w:rPr>
                <w:rFonts w:cs="Calibri"/>
                <w:sz w:val="16"/>
                <w:szCs w:val="16"/>
                <w:lang w:val="en-GB" w:eastAsia="en-GB"/>
              </w:rPr>
              <w:t>MaT</w:t>
            </w:r>
          </w:p>
        </w:tc>
        <w:tc>
          <w:tcPr>
            <w:tcW w:w="983" w:type="dxa"/>
            <w:gridSpan w:val="3"/>
            <w:tcBorders>
              <w:top w:val="nil"/>
              <w:left w:val="nil"/>
              <w:bottom w:val="nil"/>
              <w:right w:val="nil"/>
            </w:tcBorders>
            <w:noWrap/>
            <w:vAlign w:val="center"/>
            <w:hideMark/>
          </w:tcPr>
          <w:p w:rsidRPr="00617FE0" w:rsidR="00B52D66" w:rsidP="00FC2172" w:rsidRDefault="00B52D66" w14:paraId="153AD947" w14:textId="77777777">
            <w:pPr>
              <w:spacing w:line="240" w:lineRule="auto"/>
              <w:jc w:val="center"/>
              <w:rPr>
                <w:rFonts w:cs="Calibri"/>
                <w:sz w:val="16"/>
                <w:szCs w:val="16"/>
                <w:lang w:val="en-GB" w:eastAsia="en-GB"/>
              </w:rPr>
            </w:pPr>
            <w:r w:rsidRPr="00617FE0">
              <w:rPr>
                <w:rFonts w:cs="Calibri"/>
                <w:sz w:val="16"/>
                <w:szCs w:val="16"/>
                <w:lang w:val="en-GB" w:eastAsia="en-GB"/>
              </w:rPr>
              <w:t>20</w:t>
            </w:r>
          </w:p>
        </w:tc>
        <w:tc>
          <w:tcPr>
            <w:tcW w:w="975" w:type="dxa"/>
            <w:tcBorders>
              <w:top w:val="nil"/>
              <w:left w:val="nil"/>
              <w:bottom w:val="nil"/>
              <w:right w:val="nil"/>
            </w:tcBorders>
            <w:noWrap/>
            <w:vAlign w:val="center"/>
            <w:hideMark/>
          </w:tcPr>
          <w:p w:rsidRPr="00617FE0" w:rsidR="00B52D66" w:rsidP="00FC2172" w:rsidRDefault="00B52D66" w14:paraId="0DAE236E" w14:textId="77777777">
            <w:pPr>
              <w:spacing w:line="240" w:lineRule="auto"/>
              <w:jc w:val="center"/>
              <w:rPr>
                <w:rFonts w:cs="Calibri"/>
                <w:sz w:val="16"/>
                <w:szCs w:val="16"/>
                <w:lang w:val="en-GB" w:eastAsia="en-GB"/>
              </w:rPr>
            </w:pPr>
            <w:r w:rsidRPr="00617FE0">
              <w:rPr>
                <w:rFonts w:cs="Calibri"/>
                <w:sz w:val="16"/>
                <w:szCs w:val="16"/>
                <w:lang w:val="en-GB" w:eastAsia="en-GB"/>
              </w:rPr>
              <w:t>20</w:t>
            </w:r>
          </w:p>
        </w:tc>
        <w:tc>
          <w:tcPr>
            <w:tcW w:w="1080" w:type="dxa"/>
            <w:gridSpan w:val="2"/>
            <w:tcBorders>
              <w:top w:val="nil"/>
              <w:left w:val="nil"/>
              <w:bottom w:val="nil"/>
              <w:right w:val="nil"/>
            </w:tcBorders>
            <w:noWrap/>
            <w:vAlign w:val="center"/>
            <w:hideMark/>
          </w:tcPr>
          <w:p w:rsidRPr="00617FE0" w:rsidR="00B52D66" w:rsidP="00FC2172" w:rsidRDefault="00B52D66" w14:paraId="6C91F3FF" w14:textId="77777777">
            <w:pPr>
              <w:spacing w:line="240" w:lineRule="auto"/>
              <w:jc w:val="center"/>
              <w:rPr>
                <w:rFonts w:cs="Calibri"/>
                <w:sz w:val="16"/>
                <w:szCs w:val="16"/>
                <w:lang w:val="en-GB" w:eastAsia="en-GB"/>
              </w:rPr>
            </w:pPr>
            <w:r w:rsidRPr="00617FE0">
              <w:rPr>
                <w:rFonts w:cs="Calibri"/>
                <w:sz w:val="16"/>
                <w:szCs w:val="16"/>
                <w:lang w:val="en-GB" w:eastAsia="en-GB"/>
              </w:rPr>
              <w:t>60</w:t>
            </w:r>
          </w:p>
        </w:tc>
        <w:tc>
          <w:tcPr>
            <w:tcW w:w="1181" w:type="dxa"/>
            <w:gridSpan w:val="3"/>
            <w:tcBorders>
              <w:top w:val="nil"/>
              <w:left w:val="nil"/>
              <w:bottom w:val="nil"/>
              <w:right w:val="nil"/>
            </w:tcBorders>
            <w:noWrap/>
            <w:vAlign w:val="center"/>
            <w:hideMark/>
          </w:tcPr>
          <w:p w:rsidRPr="00617FE0" w:rsidR="00B52D66" w:rsidP="00FC2172" w:rsidRDefault="00B52D66" w14:paraId="364A70F4" w14:textId="77777777">
            <w:pPr>
              <w:spacing w:line="240" w:lineRule="auto"/>
              <w:jc w:val="center"/>
              <w:rPr>
                <w:rFonts w:cs="Calibri"/>
                <w:sz w:val="16"/>
                <w:szCs w:val="16"/>
                <w:lang w:val="en-GB" w:eastAsia="en-GB"/>
              </w:rPr>
            </w:pPr>
            <w:r w:rsidRPr="00617FE0">
              <w:rPr>
                <w:rFonts w:cs="Calibri"/>
                <w:sz w:val="16"/>
                <w:szCs w:val="16"/>
                <w:lang w:val="en-GB" w:eastAsia="en-GB"/>
              </w:rPr>
              <w:t>0</w:t>
            </w:r>
          </w:p>
        </w:tc>
        <w:tc>
          <w:tcPr>
            <w:tcW w:w="984" w:type="dxa"/>
            <w:gridSpan w:val="2"/>
            <w:tcBorders>
              <w:top w:val="nil"/>
              <w:left w:val="nil"/>
              <w:bottom w:val="nil"/>
              <w:right w:val="nil"/>
            </w:tcBorders>
            <w:noWrap/>
            <w:vAlign w:val="center"/>
            <w:hideMark/>
          </w:tcPr>
          <w:p w:rsidRPr="00617FE0" w:rsidR="00B52D66" w:rsidP="00FC2172" w:rsidRDefault="00B52D66" w14:paraId="60DC0918" w14:textId="77777777">
            <w:pPr>
              <w:spacing w:line="240" w:lineRule="auto"/>
              <w:jc w:val="center"/>
              <w:rPr>
                <w:rFonts w:cs="Calibri"/>
                <w:sz w:val="16"/>
                <w:szCs w:val="16"/>
                <w:lang w:val="en-GB" w:eastAsia="en-GB"/>
              </w:rPr>
            </w:pPr>
            <w:r w:rsidRPr="00617FE0">
              <w:rPr>
                <w:rFonts w:cs="Calibri"/>
                <w:sz w:val="16"/>
                <w:szCs w:val="16"/>
                <w:lang w:val="en-GB" w:eastAsia="en-GB"/>
              </w:rPr>
              <w:t>0</w:t>
            </w:r>
          </w:p>
        </w:tc>
        <w:tc>
          <w:tcPr>
            <w:tcW w:w="1170" w:type="dxa"/>
            <w:gridSpan w:val="3"/>
            <w:tcBorders>
              <w:top w:val="nil"/>
              <w:left w:val="nil"/>
              <w:bottom w:val="nil"/>
              <w:right w:val="nil"/>
            </w:tcBorders>
            <w:noWrap/>
            <w:vAlign w:val="center"/>
            <w:hideMark/>
          </w:tcPr>
          <w:p w:rsidRPr="00617FE0" w:rsidR="00B52D66" w:rsidP="00FC2172" w:rsidRDefault="00B52D66" w14:paraId="7455D05B" w14:textId="77777777">
            <w:pPr>
              <w:spacing w:line="240" w:lineRule="auto"/>
              <w:jc w:val="center"/>
              <w:rPr>
                <w:rFonts w:cs="Calibri"/>
                <w:sz w:val="16"/>
                <w:szCs w:val="16"/>
                <w:lang w:val="en-GB" w:eastAsia="en-GB"/>
              </w:rPr>
            </w:pPr>
            <w:r w:rsidRPr="00617FE0">
              <w:rPr>
                <w:rFonts w:cs="Calibri"/>
                <w:sz w:val="16"/>
                <w:szCs w:val="16"/>
                <w:lang w:val="en-GB" w:eastAsia="en-GB"/>
              </w:rPr>
              <w:t>11</w:t>
            </w:r>
          </w:p>
        </w:tc>
        <w:tc>
          <w:tcPr>
            <w:tcW w:w="1170" w:type="dxa"/>
            <w:tcBorders>
              <w:top w:val="nil"/>
              <w:left w:val="nil"/>
              <w:bottom w:val="nil"/>
              <w:right w:val="nil"/>
            </w:tcBorders>
            <w:noWrap/>
            <w:vAlign w:val="center"/>
            <w:hideMark/>
          </w:tcPr>
          <w:p w:rsidRPr="00617FE0" w:rsidR="00B52D66" w:rsidP="00FC2172" w:rsidRDefault="00B52D66" w14:paraId="1B272FD1" w14:textId="77777777">
            <w:pPr>
              <w:spacing w:line="240" w:lineRule="auto"/>
              <w:jc w:val="center"/>
              <w:rPr>
                <w:rFonts w:cs="Calibri"/>
                <w:sz w:val="16"/>
                <w:szCs w:val="16"/>
                <w:lang w:val="en-GB" w:eastAsia="en-GB"/>
              </w:rPr>
            </w:pPr>
            <w:r w:rsidRPr="00617FE0">
              <w:rPr>
                <w:rFonts w:cs="Calibri"/>
                <w:sz w:val="16"/>
                <w:szCs w:val="16"/>
                <w:lang w:val="en-GB" w:eastAsia="en-GB"/>
              </w:rPr>
              <w:t>10</w:t>
            </w:r>
          </w:p>
        </w:tc>
      </w:tr>
      <w:tr w:rsidRPr="00617FE0" w:rsidR="00B52D66" w:rsidTr="003E014E" w14:paraId="22C9B896" w14:textId="77777777">
        <w:trPr>
          <w:trHeight w:val="300"/>
        </w:trPr>
        <w:tc>
          <w:tcPr>
            <w:tcW w:w="2104" w:type="dxa"/>
            <w:gridSpan w:val="2"/>
            <w:tcBorders>
              <w:top w:val="nil"/>
              <w:left w:val="nil"/>
              <w:bottom w:val="nil"/>
              <w:right w:val="nil"/>
            </w:tcBorders>
            <w:noWrap/>
            <w:vAlign w:val="bottom"/>
            <w:hideMark/>
          </w:tcPr>
          <w:p w:rsidRPr="00617FE0" w:rsidR="00B52D66" w:rsidP="00FC2172" w:rsidRDefault="00B52D66" w14:paraId="55CD1C61" w14:textId="77777777">
            <w:pPr>
              <w:spacing w:line="240" w:lineRule="auto"/>
              <w:rPr>
                <w:rFonts w:cs="Calibri"/>
                <w:sz w:val="16"/>
                <w:szCs w:val="16"/>
                <w:lang w:val="en-GB" w:eastAsia="en-GB"/>
              </w:rPr>
            </w:pPr>
            <w:r w:rsidRPr="00617FE0">
              <w:rPr>
                <w:rFonts w:cs="Calibri"/>
                <w:sz w:val="16"/>
                <w:szCs w:val="16"/>
                <w:lang w:val="en-GB" w:eastAsia="en-GB"/>
              </w:rPr>
              <w:t>MVI</w:t>
            </w:r>
          </w:p>
        </w:tc>
        <w:tc>
          <w:tcPr>
            <w:tcW w:w="983" w:type="dxa"/>
            <w:gridSpan w:val="3"/>
            <w:tcBorders>
              <w:top w:val="nil"/>
              <w:left w:val="nil"/>
              <w:bottom w:val="nil"/>
              <w:right w:val="nil"/>
            </w:tcBorders>
            <w:noWrap/>
            <w:vAlign w:val="center"/>
            <w:hideMark/>
          </w:tcPr>
          <w:p w:rsidRPr="00617FE0" w:rsidR="00B52D66" w:rsidP="00FC2172" w:rsidRDefault="00B52D66" w14:paraId="38C69479" w14:textId="77777777">
            <w:pPr>
              <w:spacing w:line="240" w:lineRule="auto"/>
              <w:jc w:val="center"/>
              <w:rPr>
                <w:rFonts w:cs="Calibri"/>
                <w:sz w:val="16"/>
                <w:szCs w:val="16"/>
                <w:lang w:val="en-GB" w:eastAsia="en-GB"/>
              </w:rPr>
            </w:pPr>
            <w:r w:rsidRPr="00617FE0">
              <w:rPr>
                <w:rFonts w:cs="Calibri"/>
                <w:sz w:val="16"/>
                <w:szCs w:val="16"/>
                <w:lang w:val="en-GB" w:eastAsia="en-GB"/>
              </w:rPr>
              <w:t>46</w:t>
            </w:r>
          </w:p>
        </w:tc>
        <w:tc>
          <w:tcPr>
            <w:tcW w:w="975" w:type="dxa"/>
            <w:tcBorders>
              <w:top w:val="nil"/>
              <w:left w:val="nil"/>
              <w:bottom w:val="nil"/>
              <w:right w:val="nil"/>
            </w:tcBorders>
            <w:noWrap/>
            <w:vAlign w:val="center"/>
            <w:hideMark/>
          </w:tcPr>
          <w:p w:rsidRPr="00617FE0" w:rsidR="00B52D66" w:rsidP="00FC2172" w:rsidRDefault="00B52D66" w14:paraId="353ABAA1" w14:textId="77777777">
            <w:pPr>
              <w:spacing w:line="240" w:lineRule="auto"/>
              <w:jc w:val="center"/>
              <w:rPr>
                <w:rFonts w:cs="Calibri"/>
                <w:sz w:val="16"/>
                <w:szCs w:val="16"/>
                <w:lang w:val="en-GB" w:eastAsia="en-GB"/>
              </w:rPr>
            </w:pPr>
            <w:r w:rsidRPr="00617FE0">
              <w:rPr>
                <w:rFonts w:cs="Calibri"/>
                <w:sz w:val="16"/>
                <w:szCs w:val="16"/>
                <w:lang w:val="en-GB" w:eastAsia="en-GB"/>
              </w:rPr>
              <w:t>36</w:t>
            </w:r>
          </w:p>
        </w:tc>
        <w:tc>
          <w:tcPr>
            <w:tcW w:w="1080" w:type="dxa"/>
            <w:gridSpan w:val="2"/>
            <w:tcBorders>
              <w:top w:val="nil"/>
              <w:left w:val="nil"/>
              <w:bottom w:val="nil"/>
              <w:right w:val="nil"/>
            </w:tcBorders>
            <w:noWrap/>
            <w:vAlign w:val="center"/>
            <w:hideMark/>
          </w:tcPr>
          <w:p w:rsidRPr="00617FE0" w:rsidR="00B52D66" w:rsidP="00FC2172" w:rsidRDefault="00B52D66" w14:paraId="29166FB5" w14:textId="77777777">
            <w:pPr>
              <w:spacing w:line="240" w:lineRule="auto"/>
              <w:jc w:val="center"/>
              <w:rPr>
                <w:rFonts w:cs="Calibri"/>
                <w:sz w:val="16"/>
                <w:szCs w:val="16"/>
                <w:lang w:val="en-GB" w:eastAsia="en-GB"/>
              </w:rPr>
            </w:pPr>
            <w:r w:rsidRPr="00617FE0">
              <w:rPr>
                <w:rFonts w:cs="Calibri"/>
                <w:sz w:val="16"/>
                <w:szCs w:val="16"/>
                <w:lang w:val="en-GB" w:eastAsia="en-GB"/>
              </w:rPr>
              <w:t>18</w:t>
            </w:r>
          </w:p>
        </w:tc>
        <w:tc>
          <w:tcPr>
            <w:tcW w:w="1181" w:type="dxa"/>
            <w:gridSpan w:val="3"/>
            <w:tcBorders>
              <w:top w:val="nil"/>
              <w:left w:val="nil"/>
              <w:bottom w:val="nil"/>
              <w:right w:val="nil"/>
            </w:tcBorders>
            <w:noWrap/>
            <w:vAlign w:val="center"/>
            <w:hideMark/>
          </w:tcPr>
          <w:p w:rsidRPr="00617FE0" w:rsidR="00B52D66" w:rsidP="00FC2172" w:rsidRDefault="00B52D66" w14:paraId="5CC83597" w14:textId="77777777">
            <w:pPr>
              <w:spacing w:line="240" w:lineRule="auto"/>
              <w:jc w:val="center"/>
              <w:rPr>
                <w:rFonts w:cs="Calibri"/>
                <w:sz w:val="16"/>
                <w:szCs w:val="16"/>
                <w:lang w:val="en-GB" w:eastAsia="en-GB"/>
              </w:rPr>
            </w:pPr>
            <w:r w:rsidRPr="00617FE0">
              <w:rPr>
                <w:rFonts w:cs="Calibri"/>
                <w:sz w:val="16"/>
                <w:szCs w:val="16"/>
                <w:lang w:val="en-GB" w:eastAsia="en-GB"/>
              </w:rPr>
              <w:t>0</w:t>
            </w:r>
          </w:p>
        </w:tc>
        <w:tc>
          <w:tcPr>
            <w:tcW w:w="984" w:type="dxa"/>
            <w:gridSpan w:val="2"/>
            <w:tcBorders>
              <w:top w:val="nil"/>
              <w:left w:val="nil"/>
              <w:bottom w:val="nil"/>
              <w:right w:val="nil"/>
            </w:tcBorders>
            <w:noWrap/>
            <w:vAlign w:val="center"/>
            <w:hideMark/>
          </w:tcPr>
          <w:p w:rsidRPr="00617FE0" w:rsidR="00B52D66" w:rsidP="00FC2172" w:rsidRDefault="00B52D66" w14:paraId="07BCBC99" w14:textId="77777777">
            <w:pPr>
              <w:spacing w:line="240" w:lineRule="auto"/>
              <w:jc w:val="center"/>
              <w:rPr>
                <w:rFonts w:cs="Calibri"/>
                <w:sz w:val="16"/>
                <w:szCs w:val="16"/>
                <w:lang w:val="en-GB" w:eastAsia="en-GB"/>
              </w:rPr>
            </w:pPr>
            <w:r w:rsidRPr="00617FE0">
              <w:rPr>
                <w:rFonts w:cs="Calibri"/>
                <w:sz w:val="16"/>
                <w:szCs w:val="16"/>
                <w:lang w:val="en-GB" w:eastAsia="en-GB"/>
              </w:rPr>
              <w:t>0</w:t>
            </w:r>
          </w:p>
        </w:tc>
        <w:tc>
          <w:tcPr>
            <w:tcW w:w="1170" w:type="dxa"/>
            <w:gridSpan w:val="3"/>
            <w:tcBorders>
              <w:top w:val="nil"/>
              <w:left w:val="nil"/>
              <w:bottom w:val="nil"/>
              <w:right w:val="nil"/>
            </w:tcBorders>
            <w:noWrap/>
            <w:vAlign w:val="center"/>
            <w:hideMark/>
          </w:tcPr>
          <w:p w:rsidRPr="00617FE0" w:rsidR="00B52D66" w:rsidP="00FC2172" w:rsidRDefault="00B52D66" w14:paraId="6E9BEBC8" w14:textId="77777777">
            <w:pPr>
              <w:spacing w:line="240" w:lineRule="auto"/>
              <w:jc w:val="center"/>
              <w:rPr>
                <w:rFonts w:cs="Calibri"/>
                <w:sz w:val="16"/>
                <w:szCs w:val="16"/>
                <w:lang w:val="en-GB" w:eastAsia="en-GB"/>
              </w:rPr>
            </w:pPr>
            <w:r w:rsidRPr="00617FE0">
              <w:rPr>
                <w:rFonts w:cs="Calibri"/>
                <w:sz w:val="16"/>
                <w:szCs w:val="16"/>
                <w:lang w:val="en-GB" w:eastAsia="en-GB"/>
              </w:rPr>
              <w:t>10</w:t>
            </w:r>
          </w:p>
        </w:tc>
        <w:tc>
          <w:tcPr>
            <w:tcW w:w="1170" w:type="dxa"/>
            <w:tcBorders>
              <w:top w:val="nil"/>
              <w:left w:val="nil"/>
              <w:bottom w:val="nil"/>
              <w:right w:val="nil"/>
            </w:tcBorders>
            <w:noWrap/>
            <w:vAlign w:val="center"/>
            <w:hideMark/>
          </w:tcPr>
          <w:p w:rsidRPr="00617FE0" w:rsidR="00B52D66" w:rsidP="00FC2172" w:rsidRDefault="00B52D66" w14:paraId="6EB14C51" w14:textId="77777777">
            <w:pPr>
              <w:spacing w:line="240" w:lineRule="auto"/>
              <w:jc w:val="center"/>
              <w:rPr>
                <w:rFonts w:cs="Calibri"/>
                <w:sz w:val="16"/>
                <w:szCs w:val="16"/>
                <w:lang w:val="en-GB" w:eastAsia="en-GB"/>
              </w:rPr>
            </w:pPr>
            <w:r w:rsidRPr="00617FE0">
              <w:rPr>
                <w:rFonts w:cs="Calibri"/>
                <w:sz w:val="16"/>
                <w:szCs w:val="16"/>
                <w:lang w:val="en-GB" w:eastAsia="en-GB"/>
              </w:rPr>
              <w:t>7</w:t>
            </w:r>
          </w:p>
        </w:tc>
      </w:tr>
      <w:tr w:rsidRPr="00617FE0" w:rsidR="00B52D66" w:rsidTr="003E014E" w14:paraId="2FBE2F58" w14:textId="77777777">
        <w:trPr>
          <w:trHeight w:val="300"/>
        </w:trPr>
        <w:tc>
          <w:tcPr>
            <w:tcW w:w="2104" w:type="dxa"/>
            <w:gridSpan w:val="2"/>
            <w:tcBorders>
              <w:top w:val="nil"/>
              <w:left w:val="nil"/>
              <w:bottom w:val="nil"/>
              <w:right w:val="nil"/>
            </w:tcBorders>
            <w:noWrap/>
            <w:vAlign w:val="bottom"/>
            <w:hideMark/>
          </w:tcPr>
          <w:p w:rsidRPr="00617FE0" w:rsidR="00B52D66" w:rsidP="00FC2172" w:rsidRDefault="00B52D66" w14:paraId="2FBB2165" w14:textId="77777777">
            <w:pPr>
              <w:spacing w:line="240" w:lineRule="auto"/>
              <w:rPr>
                <w:rFonts w:cs="Calibri"/>
                <w:sz w:val="16"/>
                <w:szCs w:val="16"/>
                <w:lang w:val="en-GB" w:eastAsia="en-GB"/>
              </w:rPr>
            </w:pPr>
            <w:r w:rsidRPr="00617FE0">
              <w:rPr>
                <w:rFonts w:cs="Calibri"/>
                <w:sz w:val="16"/>
                <w:szCs w:val="16"/>
                <w:lang w:val="en-GB" w:eastAsia="en-GB"/>
              </w:rPr>
              <w:t>M&amp;T</w:t>
            </w:r>
          </w:p>
        </w:tc>
        <w:tc>
          <w:tcPr>
            <w:tcW w:w="983" w:type="dxa"/>
            <w:gridSpan w:val="3"/>
            <w:tcBorders>
              <w:top w:val="nil"/>
              <w:left w:val="nil"/>
              <w:bottom w:val="nil"/>
              <w:right w:val="nil"/>
            </w:tcBorders>
            <w:noWrap/>
            <w:vAlign w:val="center"/>
            <w:hideMark/>
          </w:tcPr>
          <w:p w:rsidRPr="00617FE0" w:rsidR="00B52D66" w:rsidP="00FC2172" w:rsidRDefault="00B52D66" w14:paraId="38FCDD6F" w14:textId="77777777">
            <w:pPr>
              <w:spacing w:line="240" w:lineRule="auto"/>
              <w:jc w:val="center"/>
              <w:rPr>
                <w:rFonts w:cs="Calibri"/>
                <w:sz w:val="16"/>
                <w:szCs w:val="16"/>
                <w:lang w:val="en-GB" w:eastAsia="en-GB"/>
              </w:rPr>
            </w:pPr>
            <w:r w:rsidRPr="00617FE0">
              <w:rPr>
                <w:rFonts w:cs="Calibri"/>
                <w:sz w:val="16"/>
                <w:szCs w:val="16"/>
                <w:lang w:val="en-GB" w:eastAsia="en-GB"/>
              </w:rPr>
              <w:t>44</w:t>
            </w:r>
          </w:p>
        </w:tc>
        <w:tc>
          <w:tcPr>
            <w:tcW w:w="975" w:type="dxa"/>
            <w:tcBorders>
              <w:top w:val="nil"/>
              <w:left w:val="nil"/>
              <w:bottom w:val="nil"/>
              <w:right w:val="nil"/>
            </w:tcBorders>
            <w:noWrap/>
            <w:vAlign w:val="center"/>
            <w:hideMark/>
          </w:tcPr>
          <w:p w:rsidRPr="00617FE0" w:rsidR="00B52D66" w:rsidP="00FC2172" w:rsidRDefault="00B52D66" w14:paraId="57C7B893" w14:textId="77777777">
            <w:pPr>
              <w:spacing w:line="240" w:lineRule="auto"/>
              <w:jc w:val="center"/>
              <w:rPr>
                <w:rFonts w:cs="Calibri"/>
                <w:sz w:val="16"/>
                <w:szCs w:val="16"/>
                <w:lang w:val="en-GB" w:eastAsia="en-GB"/>
              </w:rPr>
            </w:pPr>
            <w:r w:rsidRPr="00617FE0">
              <w:rPr>
                <w:rFonts w:cs="Calibri"/>
                <w:sz w:val="16"/>
                <w:szCs w:val="16"/>
                <w:lang w:val="en-GB" w:eastAsia="en-GB"/>
              </w:rPr>
              <w:t>44</w:t>
            </w:r>
          </w:p>
        </w:tc>
        <w:tc>
          <w:tcPr>
            <w:tcW w:w="1080" w:type="dxa"/>
            <w:gridSpan w:val="2"/>
            <w:tcBorders>
              <w:top w:val="nil"/>
              <w:left w:val="nil"/>
              <w:bottom w:val="nil"/>
              <w:right w:val="nil"/>
            </w:tcBorders>
            <w:noWrap/>
            <w:vAlign w:val="center"/>
            <w:hideMark/>
          </w:tcPr>
          <w:p w:rsidRPr="00617FE0" w:rsidR="00B52D66" w:rsidP="00FC2172" w:rsidRDefault="00B52D66" w14:paraId="2400C3A9" w14:textId="77777777">
            <w:pPr>
              <w:spacing w:line="240" w:lineRule="auto"/>
              <w:jc w:val="center"/>
              <w:rPr>
                <w:rFonts w:cs="Calibri"/>
                <w:sz w:val="16"/>
                <w:szCs w:val="16"/>
                <w:lang w:val="en-GB" w:eastAsia="en-GB"/>
              </w:rPr>
            </w:pPr>
            <w:r w:rsidRPr="00617FE0">
              <w:rPr>
                <w:rFonts w:cs="Calibri"/>
                <w:sz w:val="16"/>
                <w:szCs w:val="16"/>
                <w:lang w:val="en-GB" w:eastAsia="en-GB"/>
              </w:rPr>
              <w:t>11</w:t>
            </w:r>
          </w:p>
        </w:tc>
        <w:tc>
          <w:tcPr>
            <w:tcW w:w="1181" w:type="dxa"/>
            <w:gridSpan w:val="3"/>
            <w:tcBorders>
              <w:top w:val="nil"/>
              <w:left w:val="nil"/>
              <w:bottom w:val="nil"/>
              <w:right w:val="nil"/>
            </w:tcBorders>
            <w:noWrap/>
            <w:vAlign w:val="center"/>
            <w:hideMark/>
          </w:tcPr>
          <w:p w:rsidRPr="00617FE0" w:rsidR="00B52D66" w:rsidP="00FC2172" w:rsidRDefault="00B52D66" w14:paraId="4C5EDF38" w14:textId="77777777">
            <w:pPr>
              <w:spacing w:line="240" w:lineRule="auto"/>
              <w:jc w:val="center"/>
              <w:rPr>
                <w:rFonts w:cs="Calibri"/>
                <w:sz w:val="16"/>
                <w:szCs w:val="16"/>
                <w:lang w:val="en-GB" w:eastAsia="en-GB"/>
              </w:rPr>
            </w:pPr>
            <w:r w:rsidRPr="00617FE0">
              <w:rPr>
                <w:rFonts w:cs="Calibri"/>
                <w:sz w:val="16"/>
                <w:szCs w:val="16"/>
                <w:lang w:val="en-GB" w:eastAsia="en-GB"/>
              </w:rPr>
              <w:t>0</w:t>
            </w:r>
          </w:p>
        </w:tc>
        <w:tc>
          <w:tcPr>
            <w:tcW w:w="984" w:type="dxa"/>
            <w:gridSpan w:val="2"/>
            <w:tcBorders>
              <w:top w:val="nil"/>
              <w:left w:val="nil"/>
              <w:bottom w:val="nil"/>
              <w:right w:val="nil"/>
            </w:tcBorders>
            <w:noWrap/>
            <w:vAlign w:val="center"/>
            <w:hideMark/>
          </w:tcPr>
          <w:p w:rsidRPr="00617FE0" w:rsidR="00B52D66" w:rsidP="00FC2172" w:rsidRDefault="00B52D66" w14:paraId="6EA6435A" w14:textId="77777777">
            <w:pPr>
              <w:spacing w:line="240" w:lineRule="auto"/>
              <w:jc w:val="center"/>
              <w:rPr>
                <w:rFonts w:cs="Calibri"/>
                <w:sz w:val="16"/>
                <w:szCs w:val="16"/>
                <w:lang w:val="en-GB" w:eastAsia="en-GB"/>
              </w:rPr>
            </w:pPr>
            <w:r w:rsidRPr="00617FE0">
              <w:rPr>
                <w:rFonts w:cs="Calibri"/>
                <w:sz w:val="16"/>
                <w:szCs w:val="16"/>
                <w:lang w:val="en-GB" w:eastAsia="en-GB"/>
              </w:rPr>
              <w:t>1</w:t>
            </w:r>
          </w:p>
        </w:tc>
        <w:tc>
          <w:tcPr>
            <w:tcW w:w="1170" w:type="dxa"/>
            <w:gridSpan w:val="3"/>
            <w:tcBorders>
              <w:top w:val="nil"/>
              <w:left w:val="nil"/>
              <w:bottom w:val="nil"/>
              <w:right w:val="nil"/>
            </w:tcBorders>
            <w:noWrap/>
            <w:vAlign w:val="center"/>
            <w:hideMark/>
          </w:tcPr>
          <w:p w:rsidRPr="00617FE0" w:rsidR="00B52D66" w:rsidP="00FC2172" w:rsidRDefault="00B52D66" w14:paraId="7B72D5FE" w14:textId="77777777">
            <w:pPr>
              <w:spacing w:line="240" w:lineRule="auto"/>
              <w:jc w:val="center"/>
              <w:rPr>
                <w:rFonts w:cs="Calibri"/>
                <w:sz w:val="16"/>
                <w:szCs w:val="16"/>
                <w:lang w:val="en-GB" w:eastAsia="en-GB"/>
              </w:rPr>
            </w:pPr>
            <w:r w:rsidRPr="00617FE0">
              <w:rPr>
                <w:rFonts w:cs="Calibri"/>
                <w:sz w:val="16"/>
                <w:szCs w:val="16"/>
                <w:lang w:val="en-GB" w:eastAsia="en-GB"/>
              </w:rPr>
              <w:t>7</w:t>
            </w:r>
          </w:p>
        </w:tc>
        <w:tc>
          <w:tcPr>
            <w:tcW w:w="1170" w:type="dxa"/>
            <w:tcBorders>
              <w:top w:val="nil"/>
              <w:left w:val="nil"/>
              <w:bottom w:val="nil"/>
              <w:right w:val="nil"/>
            </w:tcBorders>
            <w:noWrap/>
            <w:vAlign w:val="center"/>
            <w:hideMark/>
          </w:tcPr>
          <w:p w:rsidRPr="00617FE0" w:rsidR="00B52D66" w:rsidP="00FC2172" w:rsidRDefault="00B52D66" w14:paraId="7F886CAD" w14:textId="77777777">
            <w:pPr>
              <w:spacing w:line="240" w:lineRule="auto"/>
              <w:jc w:val="center"/>
              <w:rPr>
                <w:rFonts w:cs="Calibri"/>
                <w:sz w:val="16"/>
                <w:szCs w:val="16"/>
                <w:lang w:val="en-GB" w:eastAsia="en-GB"/>
              </w:rPr>
            </w:pPr>
            <w:r w:rsidRPr="00617FE0">
              <w:rPr>
                <w:rFonts w:cs="Calibri"/>
                <w:sz w:val="16"/>
                <w:szCs w:val="16"/>
                <w:lang w:val="en-GB" w:eastAsia="en-GB"/>
              </w:rPr>
              <w:t>7</w:t>
            </w:r>
          </w:p>
        </w:tc>
      </w:tr>
      <w:tr w:rsidRPr="00617FE0" w:rsidR="00B52D66" w:rsidTr="003E014E" w14:paraId="352315C2" w14:textId="77777777">
        <w:trPr>
          <w:trHeight w:val="300"/>
        </w:trPr>
        <w:tc>
          <w:tcPr>
            <w:tcW w:w="2104" w:type="dxa"/>
            <w:gridSpan w:val="2"/>
            <w:tcBorders>
              <w:top w:val="nil"/>
              <w:left w:val="nil"/>
              <w:bottom w:val="nil"/>
              <w:right w:val="nil"/>
            </w:tcBorders>
            <w:noWrap/>
            <w:vAlign w:val="bottom"/>
            <w:hideMark/>
          </w:tcPr>
          <w:p w:rsidRPr="00617FE0" w:rsidR="00B52D66" w:rsidP="00FC2172" w:rsidRDefault="00B52D66" w14:paraId="2E2B1E9C" w14:textId="77777777">
            <w:pPr>
              <w:spacing w:line="240" w:lineRule="auto"/>
              <w:rPr>
                <w:rFonts w:cs="Calibri"/>
                <w:sz w:val="16"/>
                <w:szCs w:val="16"/>
                <w:lang w:val="en-GB" w:eastAsia="en-GB"/>
              </w:rPr>
            </w:pPr>
            <w:r w:rsidRPr="00617FE0">
              <w:rPr>
                <w:rFonts w:cs="Calibri"/>
                <w:sz w:val="16"/>
                <w:szCs w:val="16"/>
                <w:lang w:val="en-GB" w:eastAsia="en-GB"/>
              </w:rPr>
              <w:t>PIE</w:t>
            </w:r>
          </w:p>
        </w:tc>
        <w:tc>
          <w:tcPr>
            <w:tcW w:w="983" w:type="dxa"/>
            <w:gridSpan w:val="3"/>
            <w:tcBorders>
              <w:top w:val="nil"/>
              <w:left w:val="nil"/>
              <w:bottom w:val="nil"/>
              <w:right w:val="nil"/>
            </w:tcBorders>
            <w:noWrap/>
            <w:vAlign w:val="center"/>
            <w:hideMark/>
          </w:tcPr>
          <w:p w:rsidRPr="00617FE0" w:rsidR="00B52D66" w:rsidP="00FC2172" w:rsidRDefault="00B52D66" w14:paraId="4741FFC4" w14:textId="77777777">
            <w:pPr>
              <w:spacing w:line="240" w:lineRule="auto"/>
              <w:jc w:val="center"/>
              <w:rPr>
                <w:rFonts w:cs="Calibri"/>
                <w:sz w:val="16"/>
                <w:szCs w:val="16"/>
                <w:lang w:val="en-GB" w:eastAsia="en-GB"/>
              </w:rPr>
            </w:pPr>
            <w:r w:rsidRPr="00617FE0">
              <w:rPr>
                <w:rFonts w:cs="Calibri"/>
                <w:sz w:val="16"/>
                <w:szCs w:val="16"/>
                <w:lang w:val="en-GB" w:eastAsia="en-GB"/>
              </w:rPr>
              <w:t>39</w:t>
            </w:r>
          </w:p>
        </w:tc>
        <w:tc>
          <w:tcPr>
            <w:tcW w:w="975" w:type="dxa"/>
            <w:tcBorders>
              <w:top w:val="nil"/>
              <w:left w:val="nil"/>
              <w:bottom w:val="nil"/>
              <w:right w:val="nil"/>
            </w:tcBorders>
            <w:noWrap/>
            <w:vAlign w:val="center"/>
            <w:hideMark/>
          </w:tcPr>
          <w:p w:rsidRPr="00617FE0" w:rsidR="00B52D66" w:rsidP="00FC2172" w:rsidRDefault="00B52D66" w14:paraId="49FDEBC7" w14:textId="77777777">
            <w:pPr>
              <w:spacing w:line="240" w:lineRule="auto"/>
              <w:jc w:val="center"/>
              <w:rPr>
                <w:rFonts w:cs="Calibri"/>
                <w:sz w:val="16"/>
                <w:szCs w:val="16"/>
                <w:lang w:val="en-GB" w:eastAsia="en-GB"/>
              </w:rPr>
            </w:pPr>
            <w:r w:rsidRPr="00617FE0">
              <w:rPr>
                <w:rFonts w:cs="Calibri"/>
                <w:sz w:val="16"/>
                <w:szCs w:val="16"/>
                <w:lang w:val="en-GB" w:eastAsia="en-GB"/>
              </w:rPr>
              <w:t>39</w:t>
            </w:r>
          </w:p>
        </w:tc>
        <w:tc>
          <w:tcPr>
            <w:tcW w:w="1080" w:type="dxa"/>
            <w:gridSpan w:val="2"/>
            <w:tcBorders>
              <w:top w:val="nil"/>
              <w:left w:val="nil"/>
              <w:bottom w:val="nil"/>
              <w:right w:val="nil"/>
            </w:tcBorders>
            <w:noWrap/>
            <w:vAlign w:val="center"/>
            <w:hideMark/>
          </w:tcPr>
          <w:p w:rsidRPr="00617FE0" w:rsidR="00B52D66" w:rsidP="00FC2172" w:rsidRDefault="00B52D66" w14:paraId="2D4B0883" w14:textId="77777777">
            <w:pPr>
              <w:spacing w:line="240" w:lineRule="auto"/>
              <w:jc w:val="center"/>
              <w:rPr>
                <w:rFonts w:cs="Calibri"/>
                <w:sz w:val="16"/>
                <w:szCs w:val="16"/>
                <w:lang w:val="en-GB" w:eastAsia="en-GB"/>
              </w:rPr>
            </w:pPr>
            <w:r w:rsidRPr="00617FE0">
              <w:rPr>
                <w:rFonts w:cs="Calibri"/>
                <w:sz w:val="16"/>
                <w:szCs w:val="16"/>
                <w:lang w:val="en-GB" w:eastAsia="en-GB"/>
              </w:rPr>
              <w:t>19</w:t>
            </w:r>
          </w:p>
        </w:tc>
        <w:tc>
          <w:tcPr>
            <w:tcW w:w="1181" w:type="dxa"/>
            <w:gridSpan w:val="3"/>
            <w:tcBorders>
              <w:top w:val="nil"/>
              <w:left w:val="nil"/>
              <w:bottom w:val="nil"/>
              <w:right w:val="nil"/>
            </w:tcBorders>
            <w:noWrap/>
            <w:vAlign w:val="center"/>
            <w:hideMark/>
          </w:tcPr>
          <w:p w:rsidRPr="00617FE0" w:rsidR="00B52D66" w:rsidP="00FC2172" w:rsidRDefault="00B52D66" w14:paraId="32924D8D" w14:textId="77777777">
            <w:pPr>
              <w:spacing w:line="240" w:lineRule="auto"/>
              <w:jc w:val="center"/>
              <w:rPr>
                <w:rFonts w:cs="Calibri"/>
                <w:sz w:val="16"/>
                <w:szCs w:val="16"/>
                <w:lang w:val="en-GB" w:eastAsia="en-GB"/>
              </w:rPr>
            </w:pPr>
            <w:r w:rsidRPr="00617FE0">
              <w:rPr>
                <w:rFonts w:cs="Calibri"/>
                <w:sz w:val="16"/>
                <w:szCs w:val="16"/>
                <w:lang w:val="en-GB" w:eastAsia="en-GB"/>
              </w:rPr>
              <w:t>1</w:t>
            </w:r>
          </w:p>
        </w:tc>
        <w:tc>
          <w:tcPr>
            <w:tcW w:w="984" w:type="dxa"/>
            <w:gridSpan w:val="2"/>
            <w:tcBorders>
              <w:top w:val="nil"/>
              <w:left w:val="nil"/>
              <w:bottom w:val="nil"/>
              <w:right w:val="nil"/>
            </w:tcBorders>
            <w:noWrap/>
            <w:vAlign w:val="center"/>
            <w:hideMark/>
          </w:tcPr>
          <w:p w:rsidRPr="00617FE0" w:rsidR="00B52D66" w:rsidP="00FC2172" w:rsidRDefault="00B52D66" w14:paraId="31B5EA66" w14:textId="77777777">
            <w:pPr>
              <w:spacing w:line="240" w:lineRule="auto"/>
              <w:jc w:val="center"/>
              <w:rPr>
                <w:rFonts w:cs="Calibri"/>
                <w:sz w:val="16"/>
                <w:szCs w:val="16"/>
                <w:lang w:val="en-GB" w:eastAsia="en-GB"/>
              </w:rPr>
            </w:pPr>
            <w:r w:rsidRPr="00617FE0">
              <w:rPr>
                <w:rFonts w:cs="Calibri"/>
                <w:sz w:val="16"/>
                <w:szCs w:val="16"/>
                <w:lang w:val="en-GB" w:eastAsia="en-GB"/>
              </w:rPr>
              <w:t>2</w:t>
            </w:r>
          </w:p>
        </w:tc>
        <w:tc>
          <w:tcPr>
            <w:tcW w:w="1170" w:type="dxa"/>
            <w:gridSpan w:val="3"/>
            <w:tcBorders>
              <w:top w:val="nil"/>
              <w:left w:val="nil"/>
              <w:bottom w:val="nil"/>
              <w:right w:val="nil"/>
            </w:tcBorders>
            <w:noWrap/>
            <w:vAlign w:val="center"/>
            <w:hideMark/>
          </w:tcPr>
          <w:p w:rsidRPr="00617FE0" w:rsidR="00B52D66" w:rsidP="00FC2172" w:rsidRDefault="00B52D66" w14:paraId="2AEE0C2B" w14:textId="77777777">
            <w:pPr>
              <w:spacing w:line="240" w:lineRule="auto"/>
              <w:jc w:val="center"/>
              <w:rPr>
                <w:rFonts w:cs="Calibri"/>
                <w:sz w:val="16"/>
                <w:szCs w:val="16"/>
                <w:lang w:val="en-GB" w:eastAsia="en-GB"/>
              </w:rPr>
            </w:pPr>
            <w:r w:rsidRPr="00617FE0">
              <w:rPr>
                <w:rFonts w:cs="Calibri"/>
                <w:sz w:val="16"/>
                <w:szCs w:val="16"/>
                <w:lang w:val="en-GB" w:eastAsia="en-GB"/>
              </w:rPr>
              <w:t>8</w:t>
            </w:r>
          </w:p>
        </w:tc>
        <w:tc>
          <w:tcPr>
            <w:tcW w:w="1170" w:type="dxa"/>
            <w:tcBorders>
              <w:top w:val="nil"/>
              <w:left w:val="nil"/>
              <w:bottom w:val="nil"/>
              <w:right w:val="nil"/>
            </w:tcBorders>
            <w:noWrap/>
            <w:vAlign w:val="center"/>
            <w:hideMark/>
          </w:tcPr>
          <w:p w:rsidRPr="00617FE0" w:rsidR="00B52D66" w:rsidP="00FC2172" w:rsidRDefault="00B52D66" w14:paraId="0955A18B" w14:textId="77777777">
            <w:pPr>
              <w:spacing w:line="240" w:lineRule="auto"/>
              <w:jc w:val="center"/>
              <w:rPr>
                <w:rFonts w:cs="Calibri"/>
                <w:sz w:val="16"/>
                <w:szCs w:val="16"/>
                <w:lang w:val="en-GB" w:eastAsia="en-GB"/>
              </w:rPr>
            </w:pPr>
            <w:r w:rsidRPr="00617FE0">
              <w:rPr>
                <w:rFonts w:cs="Calibri"/>
                <w:sz w:val="16"/>
                <w:szCs w:val="16"/>
                <w:lang w:val="en-GB" w:eastAsia="en-GB"/>
              </w:rPr>
              <w:t>8</w:t>
            </w:r>
          </w:p>
        </w:tc>
      </w:tr>
      <w:tr w:rsidRPr="00617FE0" w:rsidR="00B52D66" w:rsidTr="003E014E" w14:paraId="3A26F691" w14:textId="77777777">
        <w:trPr>
          <w:trHeight w:val="300"/>
        </w:trPr>
        <w:tc>
          <w:tcPr>
            <w:tcW w:w="2600" w:type="dxa"/>
            <w:gridSpan w:val="3"/>
            <w:tcBorders>
              <w:top w:val="nil"/>
              <w:left w:val="nil"/>
              <w:bottom w:val="nil"/>
              <w:right w:val="nil"/>
            </w:tcBorders>
            <w:noWrap/>
            <w:hideMark/>
          </w:tcPr>
          <w:p w:rsidRPr="00617FE0" w:rsidR="00B52D66" w:rsidP="7C716BD1" w:rsidRDefault="00B52D66" w14:paraId="1E06792A" w14:textId="44351F79">
            <w:pPr>
              <w:spacing w:line="240" w:lineRule="auto"/>
              <w:rPr>
                <w:rFonts w:cs="Calibri"/>
                <w:b/>
                <w:bCs/>
                <w:sz w:val="16"/>
                <w:szCs w:val="16"/>
                <w:lang w:val="en-GB" w:eastAsia="en-GB"/>
              </w:rPr>
            </w:pPr>
            <w:r w:rsidRPr="7C716BD1">
              <w:rPr>
                <w:rFonts w:cs="Calibri"/>
                <w:b/>
                <w:bCs/>
                <w:sz w:val="16"/>
                <w:szCs w:val="16"/>
                <w:lang w:val="en-GB" w:eastAsia="en-GB"/>
              </w:rPr>
              <w:t>Kaderberoepsgerichte leerweg</w:t>
            </w:r>
            <w:r w:rsidRPr="7C716BD1" w:rsidR="52104226">
              <w:rPr>
                <w:rFonts w:cs="Calibri"/>
                <w:b/>
                <w:bCs/>
                <w:sz w:val="16"/>
                <w:szCs w:val="16"/>
                <w:lang w:val="en-GB" w:eastAsia="en-GB"/>
              </w:rPr>
              <w:t>*</w:t>
            </w:r>
          </w:p>
        </w:tc>
        <w:tc>
          <w:tcPr>
            <w:tcW w:w="2887" w:type="dxa"/>
            <w:gridSpan w:val="6"/>
            <w:tcBorders>
              <w:top w:val="nil"/>
              <w:left w:val="nil"/>
              <w:bottom w:val="nil"/>
              <w:right w:val="nil"/>
            </w:tcBorders>
            <w:noWrap/>
            <w:vAlign w:val="center"/>
            <w:hideMark/>
          </w:tcPr>
          <w:p w:rsidRPr="00617FE0" w:rsidR="00B52D66" w:rsidP="00FC2172" w:rsidRDefault="00B52D66" w14:paraId="7962F0E2" w14:textId="77777777">
            <w:pPr>
              <w:spacing w:line="240" w:lineRule="auto"/>
              <w:jc w:val="center"/>
              <w:rPr>
                <w:rFonts w:cs="Calibri"/>
                <w:sz w:val="16"/>
                <w:szCs w:val="16"/>
                <w:lang w:val="en-GB" w:eastAsia="en-GB"/>
              </w:rPr>
            </w:pPr>
          </w:p>
        </w:tc>
        <w:tc>
          <w:tcPr>
            <w:tcW w:w="2600" w:type="dxa"/>
            <w:gridSpan w:val="5"/>
            <w:tcBorders>
              <w:top w:val="nil"/>
              <w:left w:val="nil"/>
              <w:bottom w:val="nil"/>
              <w:right w:val="nil"/>
            </w:tcBorders>
            <w:noWrap/>
            <w:vAlign w:val="center"/>
            <w:hideMark/>
          </w:tcPr>
          <w:p w:rsidRPr="00617FE0" w:rsidR="00B52D66" w:rsidP="00FC2172" w:rsidRDefault="00B52D66" w14:paraId="63C009E2" w14:textId="77777777">
            <w:pPr>
              <w:spacing w:line="240" w:lineRule="auto"/>
              <w:jc w:val="center"/>
              <w:rPr>
                <w:rFonts w:cs="Calibri"/>
                <w:sz w:val="16"/>
                <w:szCs w:val="16"/>
                <w:lang w:val="en-GB" w:eastAsia="en-GB"/>
              </w:rPr>
            </w:pPr>
          </w:p>
        </w:tc>
        <w:tc>
          <w:tcPr>
            <w:tcW w:w="1560" w:type="dxa"/>
            <w:gridSpan w:val="3"/>
            <w:tcBorders>
              <w:top w:val="nil"/>
              <w:left w:val="nil"/>
              <w:bottom w:val="nil"/>
              <w:right w:val="nil"/>
            </w:tcBorders>
            <w:noWrap/>
            <w:vAlign w:val="center"/>
            <w:hideMark/>
          </w:tcPr>
          <w:p w:rsidRPr="00617FE0" w:rsidR="00B52D66" w:rsidP="00FC2172" w:rsidRDefault="00B52D66" w14:paraId="5947FFA3" w14:textId="77777777">
            <w:pPr>
              <w:spacing w:line="240" w:lineRule="auto"/>
              <w:jc w:val="center"/>
              <w:rPr>
                <w:rFonts w:cs="Calibri"/>
                <w:sz w:val="16"/>
                <w:szCs w:val="16"/>
                <w:lang w:val="en-GB" w:eastAsia="en-GB"/>
              </w:rPr>
            </w:pPr>
          </w:p>
        </w:tc>
      </w:tr>
      <w:tr w:rsidRPr="00617FE0" w:rsidR="00B52D66" w:rsidTr="003E014E" w14:paraId="499350E8" w14:textId="77777777">
        <w:trPr>
          <w:trHeight w:val="300"/>
        </w:trPr>
        <w:tc>
          <w:tcPr>
            <w:tcW w:w="2104" w:type="dxa"/>
            <w:gridSpan w:val="2"/>
            <w:tcBorders>
              <w:top w:val="nil"/>
              <w:left w:val="nil"/>
              <w:bottom w:val="nil"/>
              <w:right w:val="nil"/>
            </w:tcBorders>
            <w:noWrap/>
            <w:vAlign w:val="bottom"/>
            <w:hideMark/>
          </w:tcPr>
          <w:p w:rsidRPr="00617FE0" w:rsidR="00B52D66" w:rsidP="00FC2172" w:rsidRDefault="00B52D66" w14:paraId="03CDF72A" w14:textId="77777777">
            <w:pPr>
              <w:spacing w:line="240" w:lineRule="auto"/>
              <w:rPr>
                <w:rFonts w:cs="Calibri"/>
                <w:sz w:val="16"/>
                <w:szCs w:val="16"/>
                <w:lang w:val="en-GB" w:eastAsia="en-GB"/>
              </w:rPr>
            </w:pPr>
            <w:r w:rsidRPr="00617FE0">
              <w:rPr>
                <w:rFonts w:cs="Calibri"/>
                <w:sz w:val="16"/>
                <w:szCs w:val="16"/>
                <w:lang w:val="en-GB" w:eastAsia="en-GB"/>
              </w:rPr>
              <w:t>BWI</w:t>
            </w:r>
          </w:p>
        </w:tc>
        <w:tc>
          <w:tcPr>
            <w:tcW w:w="983" w:type="dxa"/>
            <w:gridSpan w:val="3"/>
            <w:tcBorders>
              <w:top w:val="nil"/>
              <w:left w:val="nil"/>
              <w:bottom w:val="nil"/>
              <w:right w:val="nil"/>
            </w:tcBorders>
            <w:noWrap/>
            <w:vAlign w:val="center"/>
            <w:hideMark/>
          </w:tcPr>
          <w:p w:rsidRPr="00617FE0" w:rsidR="00B52D66" w:rsidP="00FC2172" w:rsidRDefault="00B52D66" w14:paraId="0F8FBB9C" w14:textId="77777777">
            <w:pPr>
              <w:spacing w:line="240" w:lineRule="auto"/>
              <w:jc w:val="center"/>
              <w:rPr>
                <w:rFonts w:cs="Calibri"/>
                <w:sz w:val="16"/>
                <w:szCs w:val="16"/>
                <w:lang w:val="en-GB" w:eastAsia="en-GB"/>
              </w:rPr>
            </w:pPr>
            <w:r w:rsidRPr="00617FE0">
              <w:rPr>
                <w:rFonts w:cs="Calibri"/>
                <w:sz w:val="16"/>
                <w:szCs w:val="16"/>
                <w:lang w:val="en-GB" w:eastAsia="en-GB"/>
              </w:rPr>
              <w:t>17</w:t>
            </w:r>
          </w:p>
        </w:tc>
        <w:tc>
          <w:tcPr>
            <w:tcW w:w="975" w:type="dxa"/>
            <w:tcBorders>
              <w:top w:val="nil"/>
              <w:left w:val="nil"/>
              <w:bottom w:val="nil"/>
              <w:right w:val="nil"/>
            </w:tcBorders>
            <w:noWrap/>
            <w:vAlign w:val="center"/>
            <w:hideMark/>
          </w:tcPr>
          <w:p w:rsidRPr="00617FE0" w:rsidR="00B52D66" w:rsidP="00FC2172" w:rsidRDefault="00B52D66" w14:paraId="181D0FBD" w14:textId="77777777">
            <w:pPr>
              <w:spacing w:line="240" w:lineRule="auto"/>
              <w:jc w:val="center"/>
              <w:rPr>
                <w:rFonts w:cs="Calibri"/>
                <w:sz w:val="16"/>
                <w:szCs w:val="16"/>
                <w:lang w:val="en-GB" w:eastAsia="en-GB"/>
              </w:rPr>
            </w:pPr>
            <w:r w:rsidRPr="00617FE0">
              <w:rPr>
                <w:rFonts w:cs="Calibri"/>
                <w:sz w:val="16"/>
                <w:szCs w:val="16"/>
                <w:lang w:val="en-GB" w:eastAsia="en-GB"/>
              </w:rPr>
              <w:t>29</w:t>
            </w:r>
          </w:p>
        </w:tc>
        <w:tc>
          <w:tcPr>
            <w:tcW w:w="1080" w:type="dxa"/>
            <w:gridSpan w:val="2"/>
            <w:tcBorders>
              <w:top w:val="nil"/>
              <w:left w:val="nil"/>
              <w:bottom w:val="nil"/>
              <w:right w:val="nil"/>
            </w:tcBorders>
            <w:noWrap/>
            <w:vAlign w:val="center"/>
            <w:hideMark/>
          </w:tcPr>
          <w:p w:rsidRPr="00617FE0" w:rsidR="00B52D66" w:rsidP="00FC2172" w:rsidRDefault="00B52D66" w14:paraId="2DF184C0" w14:textId="77777777">
            <w:pPr>
              <w:spacing w:line="240" w:lineRule="auto"/>
              <w:jc w:val="center"/>
              <w:rPr>
                <w:rFonts w:cs="Calibri"/>
                <w:sz w:val="16"/>
                <w:szCs w:val="16"/>
                <w:lang w:val="en-GB" w:eastAsia="en-GB"/>
              </w:rPr>
            </w:pPr>
            <w:r w:rsidRPr="00617FE0">
              <w:rPr>
                <w:rFonts w:cs="Calibri"/>
                <w:sz w:val="16"/>
                <w:szCs w:val="16"/>
                <w:lang w:val="en-GB" w:eastAsia="en-GB"/>
              </w:rPr>
              <w:t>38</w:t>
            </w:r>
          </w:p>
        </w:tc>
        <w:tc>
          <w:tcPr>
            <w:tcW w:w="1181" w:type="dxa"/>
            <w:gridSpan w:val="3"/>
            <w:tcBorders>
              <w:top w:val="nil"/>
              <w:left w:val="nil"/>
              <w:bottom w:val="nil"/>
              <w:right w:val="nil"/>
            </w:tcBorders>
            <w:noWrap/>
            <w:vAlign w:val="center"/>
            <w:hideMark/>
          </w:tcPr>
          <w:p w:rsidRPr="00617FE0" w:rsidR="00B52D66" w:rsidP="00FC2172" w:rsidRDefault="00B52D66" w14:paraId="257E9158" w14:textId="77777777">
            <w:pPr>
              <w:spacing w:line="240" w:lineRule="auto"/>
              <w:jc w:val="center"/>
              <w:rPr>
                <w:rFonts w:cs="Calibri"/>
                <w:sz w:val="16"/>
                <w:szCs w:val="16"/>
                <w:lang w:val="en-GB" w:eastAsia="en-GB"/>
              </w:rPr>
            </w:pPr>
            <w:r w:rsidRPr="00617FE0">
              <w:rPr>
                <w:rFonts w:cs="Calibri"/>
                <w:sz w:val="16"/>
                <w:szCs w:val="16"/>
                <w:lang w:val="en-GB" w:eastAsia="en-GB"/>
              </w:rPr>
              <w:t>12</w:t>
            </w:r>
          </w:p>
        </w:tc>
        <w:tc>
          <w:tcPr>
            <w:tcW w:w="984" w:type="dxa"/>
            <w:gridSpan w:val="2"/>
            <w:tcBorders>
              <w:top w:val="nil"/>
              <w:left w:val="nil"/>
              <w:bottom w:val="nil"/>
              <w:right w:val="nil"/>
            </w:tcBorders>
            <w:noWrap/>
            <w:vAlign w:val="center"/>
            <w:hideMark/>
          </w:tcPr>
          <w:p w:rsidRPr="00617FE0" w:rsidR="00B52D66" w:rsidP="00FC2172" w:rsidRDefault="00B52D66" w14:paraId="039A9D69" w14:textId="77777777">
            <w:pPr>
              <w:spacing w:line="240" w:lineRule="auto"/>
              <w:jc w:val="center"/>
              <w:rPr>
                <w:rFonts w:cs="Calibri"/>
                <w:sz w:val="16"/>
                <w:szCs w:val="16"/>
                <w:lang w:val="en-GB" w:eastAsia="en-GB"/>
              </w:rPr>
            </w:pPr>
            <w:r w:rsidRPr="00617FE0">
              <w:rPr>
                <w:rFonts w:cs="Calibri"/>
                <w:sz w:val="16"/>
                <w:szCs w:val="16"/>
                <w:lang w:val="en-GB" w:eastAsia="en-GB"/>
              </w:rPr>
              <w:t>4</w:t>
            </w:r>
          </w:p>
        </w:tc>
        <w:tc>
          <w:tcPr>
            <w:tcW w:w="1170" w:type="dxa"/>
            <w:gridSpan w:val="3"/>
            <w:tcBorders>
              <w:top w:val="nil"/>
              <w:left w:val="nil"/>
              <w:bottom w:val="nil"/>
              <w:right w:val="nil"/>
            </w:tcBorders>
            <w:noWrap/>
            <w:vAlign w:val="center"/>
            <w:hideMark/>
          </w:tcPr>
          <w:p w:rsidRPr="00617FE0" w:rsidR="00B52D66" w:rsidP="00FC2172" w:rsidRDefault="00B52D66" w14:paraId="5D9580B6" w14:textId="77777777">
            <w:pPr>
              <w:spacing w:line="240" w:lineRule="auto"/>
              <w:jc w:val="center"/>
              <w:rPr>
                <w:rFonts w:cs="Calibri"/>
                <w:sz w:val="16"/>
                <w:szCs w:val="16"/>
                <w:lang w:val="en-GB" w:eastAsia="en-GB"/>
              </w:rPr>
            </w:pPr>
            <w:r w:rsidRPr="00617FE0">
              <w:rPr>
                <w:rFonts w:cs="Calibri"/>
                <w:sz w:val="16"/>
                <w:szCs w:val="16"/>
                <w:lang w:val="en-GB" w:eastAsia="en-GB"/>
              </w:rPr>
              <w:t>13</w:t>
            </w:r>
          </w:p>
        </w:tc>
        <w:tc>
          <w:tcPr>
            <w:tcW w:w="1170" w:type="dxa"/>
            <w:tcBorders>
              <w:top w:val="nil"/>
              <w:left w:val="nil"/>
              <w:bottom w:val="nil"/>
              <w:right w:val="nil"/>
            </w:tcBorders>
            <w:noWrap/>
            <w:vAlign w:val="center"/>
            <w:hideMark/>
          </w:tcPr>
          <w:p w:rsidRPr="00617FE0" w:rsidR="00B52D66" w:rsidP="00FC2172" w:rsidRDefault="00B52D66" w14:paraId="4B77AF77" w14:textId="77777777">
            <w:pPr>
              <w:spacing w:line="240" w:lineRule="auto"/>
              <w:jc w:val="center"/>
              <w:rPr>
                <w:rFonts w:cs="Calibri"/>
                <w:sz w:val="16"/>
                <w:szCs w:val="16"/>
                <w:lang w:val="en-GB" w:eastAsia="en-GB"/>
              </w:rPr>
            </w:pPr>
            <w:r w:rsidRPr="00617FE0">
              <w:rPr>
                <w:rFonts w:cs="Calibri"/>
                <w:sz w:val="16"/>
                <w:szCs w:val="16"/>
                <w:lang w:val="en-GB" w:eastAsia="en-GB"/>
              </w:rPr>
              <w:t>8</w:t>
            </w:r>
          </w:p>
        </w:tc>
      </w:tr>
      <w:tr w:rsidRPr="00617FE0" w:rsidR="00B52D66" w:rsidTr="003E014E" w14:paraId="2C866D99" w14:textId="77777777">
        <w:trPr>
          <w:trHeight w:val="300"/>
        </w:trPr>
        <w:tc>
          <w:tcPr>
            <w:tcW w:w="2104" w:type="dxa"/>
            <w:gridSpan w:val="2"/>
            <w:tcBorders>
              <w:top w:val="nil"/>
              <w:left w:val="nil"/>
              <w:bottom w:val="nil"/>
              <w:right w:val="nil"/>
            </w:tcBorders>
            <w:noWrap/>
            <w:vAlign w:val="bottom"/>
            <w:hideMark/>
          </w:tcPr>
          <w:p w:rsidRPr="00617FE0" w:rsidR="00B52D66" w:rsidP="00FC2172" w:rsidRDefault="00B52D66" w14:paraId="3393A49B" w14:textId="77777777">
            <w:pPr>
              <w:spacing w:line="240" w:lineRule="auto"/>
              <w:rPr>
                <w:rFonts w:cs="Calibri"/>
                <w:sz w:val="16"/>
                <w:szCs w:val="16"/>
                <w:lang w:val="en-GB" w:eastAsia="en-GB"/>
              </w:rPr>
            </w:pPr>
            <w:r w:rsidRPr="00617FE0">
              <w:rPr>
                <w:rFonts w:cs="Calibri"/>
                <w:sz w:val="16"/>
                <w:szCs w:val="16"/>
                <w:lang w:val="en-GB" w:eastAsia="en-GB"/>
              </w:rPr>
              <w:t>MaT</w:t>
            </w:r>
          </w:p>
        </w:tc>
        <w:tc>
          <w:tcPr>
            <w:tcW w:w="983" w:type="dxa"/>
            <w:gridSpan w:val="3"/>
            <w:tcBorders>
              <w:top w:val="nil"/>
              <w:left w:val="nil"/>
              <w:bottom w:val="nil"/>
              <w:right w:val="nil"/>
            </w:tcBorders>
            <w:noWrap/>
            <w:vAlign w:val="center"/>
            <w:hideMark/>
          </w:tcPr>
          <w:p w:rsidRPr="00617FE0" w:rsidR="00B52D66" w:rsidP="00FC2172" w:rsidRDefault="00B52D66" w14:paraId="421E9D5C" w14:textId="77777777">
            <w:pPr>
              <w:spacing w:line="240" w:lineRule="auto"/>
              <w:jc w:val="center"/>
              <w:rPr>
                <w:rFonts w:cs="Calibri"/>
                <w:sz w:val="16"/>
                <w:szCs w:val="16"/>
                <w:lang w:val="en-GB" w:eastAsia="en-GB"/>
              </w:rPr>
            </w:pPr>
            <w:r w:rsidRPr="00617FE0">
              <w:rPr>
                <w:rFonts w:cs="Calibri"/>
                <w:sz w:val="16"/>
                <w:szCs w:val="16"/>
                <w:lang w:val="en-GB" w:eastAsia="en-GB"/>
              </w:rPr>
              <w:t>0</w:t>
            </w:r>
          </w:p>
        </w:tc>
        <w:tc>
          <w:tcPr>
            <w:tcW w:w="975" w:type="dxa"/>
            <w:tcBorders>
              <w:top w:val="nil"/>
              <w:left w:val="nil"/>
              <w:bottom w:val="nil"/>
              <w:right w:val="nil"/>
            </w:tcBorders>
            <w:noWrap/>
            <w:vAlign w:val="center"/>
            <w:hideMark/>
          </w:tcPr>
          <w:p w:rsidRPr="00617FE0" w:rsidR="00B52D66" w:rsidP="00FC2172" w:rsidRDefault="00B52D66" w14:paraId="2B879E1A" w14:textId="77777777">
            <w:pPr>
              <w:spacing w:line="240" w:lineRule="auto"/>
              <w:jc w:val="center"/>
              <w:rPr>
                <w:rFonts w:cs="Calibri"/>
                <w:sz w:val="16"/>
                <w:szCs w:val="16"/>
                <w:lang w:val="en-GB" w:eastAsia="en-GB"/>
              </w:rPr>
            </w:pPr>
            <w:r w:rsidRPr="00617FE0">
              <w:rPr>
                <w:rFonts w:cs="Calibri"/>
                <w:sz w:val="16"/>
                <w:szCs w:val="16"/>
                <w:lang w:val="en-GB" w:eastAsia="en-GB"/>
              </w:rPr>
              <w:t>0</w:t>
            </w:r>
          </w:p>
        </w:tc>
        <w:tc>
          <w:tcPr>
            <w:tcW w:w="1080" w:type="dxa"/>
            <w:gridSpan w:val="2"/>
            <w:tcBorders>
              <w:top w:val="nil"/>
              <w:left w:val="nil"/>
              <w:bottom w:val="nil"/>
              <w:right w:val="nil"/>
            </w:tcBorders>
            <w:noWrap/>
            <w:vAlign w:val="center"/>
            <w:hideMark/>
          </w:tcPr>
          <w:p w:rsidRPr="00617FE0" w:rsidR="00B52D66" w:rsidP="00FC2172" w:rsidRDefault="00B52D66" w14:paraId="0CC91075" w14:textId="77777777">
            <w:pPr>
              <w:spacing w:line="240" w:lineRule="auto"/>
              <w:jc w:val="center"/>
              <w:rPr>
                <w:rFonts w:cs="Calibri"/>
                <w:sz w:val="16"/>
                <w:szCs w:val="16"/>
                <w:lang w:val="en-GB" w:eastAsia="en-GB"/>
              </w:rPr>
            </w:pPr>
            <w:r w:rsidRPr="00617FE0">
              <w:rPr>
                <w:rFonts w:cs="Calibri"/>
                <w:sz w:val="16"/>
                <w:szCs w:val="16"/>
                <w:lang w:val="en-GB" w:eastAsia="en-GB"/>
              </w:rPr>
              <w:t>60</w:t>
            </w:r>
          </w:p>
        </w:tc>
        <w:tc>
          <w:tcPr>
            <w:tcW w:w="1181" w:type="dxa"/>
            <w:gridSpan w:val="3"/>
            <w:tcBorders>
              <w:top w:val="nil"/>
              <w:left w:val="nil"/>
              <w:bottom w:val="nil"/>
              <w:right w:val="nil"/>
            </w:tcBorders>
            <w:noWrap/>
            <w:vAlign w:val="center"/>
            <w:hideMark/>
          </w:tcPr>
          <w:p w:rsidRPr="00617FE0" w:rsidR="00B52D66" w:rsidP="00FC2172" w:rsidRDefault="00B52D66" w14:paraId="18891726" w14:textId="77777777">
            <w:pPr>
              <w:spacing w:line="240" w:lineRule="auto"/>
              <w:jc w:val="center"/>
              <w:rPr>
                <w:rFonts w:cs="Calibri"/>
                <w:sz w:val="16"/>
                <w:szCs w:val="16"/>
                <w:lang w:val="en-GB" w:eastAsia="en-GB"/>
              </w:rPr>
            </w:pPr>
            <w:r w:rsidRPr="00617FE0">
              <w:rPr>
                <w:rFonts w:cs="Calibri"/>
                <w:sz w:val="16"/>
                <w:szCs w:val="16"/>
                <w:lang w:val="en-GB" w:eastAsia="en-GB"/>
              </w:rPr>
              <w:t>20</w:t>
            </w:r>
          </w:p>
        </w:tc>
        <w:tc>
          <w:tcPr>
            <w:tcW w:w="984" w:type="dxa"/>
            <w:gridSpan w:val="2"/>
            <w:tcBorders>
              <w:top w:val="nil"/>
              <w:left w:val="nil"/>
              <w:bottom w:val="nil"/>
              <w:right w:val="nil"/>
            </w:tcBorders>
            <w:noWrap/>
            <w:vAlign w:val="center"/>
            <w:hideMark/>
          </w:tcPr>
          <w:p w:rsidRPr="00617FE0" w:rsidR="00B52D66" w:rsidP="00FC2172" w:rsidRDefault="00B52D66" w14:paraId="5E49BA96" w14:textId="77777777">
            <w:pPr>
              <w:spacing w:line="240" w:lineRule="auto"/>
              <w:jc w:val="center"/>
              <w:rPr>
                <w:rFonts w:cs="Calibri"/>
                <w:sz w:val="16"/>
                <w:szCs w:val="16"/>
                <w:lang w:val="en-GB" w:eastAsia="en-GB"/>
              </w:rPr>
            </w:pPr>
            <w:r w:rsidRPr="00617FE0">
              <w:rPr>
                <w:rFonts w:cs="Calibri"/>
                <w:sz w:val="16"/>
                <w:szCs w:val="16"/>
                <w:lang w:val="en-GB" w:eastAsia="en-GB"/>
              </w:rPr>
              <w:t>20</w:t>
            </w:r>
          </w:p>
        </w:tc>
        <w:tc>
          <w:tcPr>
            <w:tcW w:w="1170" w:type="dxa"/>
            <w:gridSpan w:val="3"/>
            <w:tcBorders>
              <w:top w:val="nil"/>
              <w:left w:val="nil"/>
              <w:bottom w:val="nil"/>
              <w:right w:val="nil"/>
            </w:tcBorders>
            <w:noWrap/>
            <w:vAlign w:val="center"/>
            <w:hideMark/>
          </w:tcPr>
          <w:p w:rsidRPr="00617FE0" w:rsidR="00B52D66" w:rsidP="00FC2172" w:rsidRDefault="00B52D66" w14:paraId="4D87E5A8" w14:textId="77777777">
            <w:pPr>
              <w:spacing w:line="240" w:lineRule="auto"/>
              <w:jc w:val="center"/>
              <w:rPr>
                <w:rFonts w:cs="Calibri"/>
                <w:sz w:val="16"/>
                <w:szCs w:val="16"/>
                <w:lang w:val="en-GB" w:eastAsia="en-GB"/>
              </w:rPr>
            </w:pPr>
            <w:r w:rsidRPr="00617FE0">
              <w:rPr>
                <w:rFonts w:cs="Calibri"/>
                <w:sz w:val="16"/>
                <w:szCs w:val="16"/>
                <w:lang w:val="en-GB" w:eastAsia="en-GB"/>
              </w:rPr>
              <w:t>26</w:t>
            </w:r>
          </w:p>
        </w:tc>
        <w:tc>
          <w:tcPr>
            <w:tcW w:w="1170" w:type="dxa"/>
            <w:tcBorders>
              <w:top w:val="nil"/>
              <w:left w:val="nil"/>
              <w:bottom w:val="nil"/>
              <w:right w:val="nil"/>
            </w:tcBorders>
            <w:noWrap/>
            <w:vAlign w:val="center"/>
            <w:hideMark/>
          </w:tcPr>
          <w:p w:rsidRPr="00617FE0" w:rsidR="00B52D66" w:rsidP="00FC2172" w:rsidRDefault="00B52D66" w14:paraId="71823DB6" w14:textId="77777777">
            <w:pPr>
              <w:spacing w:line="240" w:lineRule="auto"/>
              <w:jc w:val="center"/>
              <w:rPr>
                <w:rFonts w:cs="Calibri"/>
                <w:sz w:val="16"/>
                <w:szCs w:val="16"/>
                <w:lang w:val="en-GB" w:eastAsia="en-GB"/>
              </w:rPr>
            </w:pPr>
            <w:r w:rsidRPr="00617FE0">
              <w:rPr>
                <w:rFonts w:cs="Calibri"/>
                <w:sz w:val="16"/>
                <w:szCs w:val="16"/>
                <w:lang w:val="en-GB" w:eastAsia="en-GB"/>
              </w:rPr>
              <w:t>13</w:t>
            </w:r>
          </w:p>
        </w:tc>
      </w:tr>
      <w:tr w:rsidRPr="00617FE0" w:rsidR="00B52D66" w:rsidTr="003E014E" w14:paraId="0D2200C9" w14:textId="77777777">
        <w:trPr>
          <w:trHeight w:val="300"/>
        </w:trPr>
        <w:tc>
          <w:tcPr>
            <w:tcW w:w="2104" w:type="dxa"/>
            <w:gridSpan w:val="2"/>
            <w:tcBorders>
              <w:top w:val="nil"/>
              <w:left w:val="nil"/>
              <w:bottom w:val="nil"/>
              <w:right w:val="nil"/>
            </w:tcBorders>
            <w:noWrap/>
            <w:vAlign w:val="bottom"/>
            <w:hideMark/>
          </w:tcPr>
          <w:p w:rsidRPr="00617FE0" w:rsidR="00B52D66" w:rsidP="00FC2172" w:rsidRDefault="00B52D66" w14:paraId="3C275170" w14:textId="77777777">
            <w:pPr>
              <w:spacing w:line="240" w:lineRule="auto"/>
              <w:rPr>
                <w:rFonts w:cs="Calibri"/>
                <w:sz w:val="16"/>
                <w:szCs w:val="16"/>
                <w:lang w:val="en-GB" w:eastAsia="en-GB"/>
              </w:rPr>
            </w:pPr>
            <w:r w:rsidRPr="00617FE0">
              <w:rPr>
                <w:rFonts w:cs="Calibri"/>
                <w:sz w:val="16"/>
                <w:szCs w:val="16"/>
                <w:lang w:val="en-GB" w:eastAsia="en-GB"/>
              </w:rPr>
              <w:t>MVI</w:t>
            </w:r>
          </w:p>
        </w:tc>
        <w:tc>
          <w:tcPr>
            <w:tcW w:w="983" w:type="dxa"/>
            <w:gridSpan w:val="3"/>
            <w:tcBorders>
              <w:top w:val="nil"/>
              <w:left w:val="nil"/>
              <w:bottom w:val="nil"/>
              <w:right w:val="nil"/>
            </w:tcBorders>
            <w:noWrap/>
            <w:vAlign w:val="center"/>
            <w:hideMark/>
          </w:tcPr>
          <w:p w:rsidRPr="00617FE0" w:rsidR="00B52D66" w:rsidP="00FC2172" w:rsidRDefault="00B52D66" w14:paraId="4B6BFAC5" w14:textId="77777777">
            <w:pPr>
              <w:spacing w:line="240" w:lineRule="auto"/>
              <w:jc w:val="center"/>
              <w:rPr>
                <w:rFonts w:cs="Calibri"/>
                <w:sz w:val="16"/>
                <w:szCs w:val="16"/>
                <w:lang w:val="en-GB" w:eastAsia="en-GB"/>
              </w:rPr>
            </w:pPr>
            <w:r w:rsidRPr="00617FE0">
              <w:rPr>
                <w:rFonts w:cs="Calibri"/>
                <w:sz w:val="16"/>
                <w:szCs w:val="16"/>
                <w:lang w:val="en-GB" w:eastAsia="en-GB"/>
              </w:rPr>
              <w:t>10</w:t>
            </w:r>
          </w:p>
        </w:tc>
        <w:tc>
          <w:tcPr>
            <w:tcW w:w="975" w:type="dxa"/>
            <w:tcBorders>
              <w:top w:val="nil"/>
              <w:left w:val="nil"/>
              <w:bottom w:val="nil"/>
              <w:right w:val="nil"/>
            </w:tcBorders>
            <w:noWrap/>
            <w:vAlign w:val="center"/>
            <w:hideMark/>
          </w:tcPr>
          <w:p w:rsidRPr="00617FE0" w:rsidR="00B52D66" w:rsidP="00FC2172" w:rsidRDefault="00B52D66" w14:paraId="0880438B" w14:textId="77777777">
            <w:pPr>
              <w:spacing w:line="240" w:lineRule="auto"/>
              <w:jc w:val="center"/>
              <w:rPr>
                <w:rFonts w:cs="Calibri"/>
                <w:sz w:val="16"/>
                <w:szCs w:val="16"/>
                <w:lang w:val="en-GB" w:eastAsia="en-GB"/>
              </w:rPr>
            </w:pPr>
            <w:r w:rsidRPr="00617FE0">
              <w:rPr>
                <w:rFonts w:cs="Calibri"/>
                <w:sz w:val="16"/>
                <w:szCs w:val="16"/>
                <w:lang w:val="en-GB" w:eastAsia="en-GB"/>
              </w:rPr>
              <w:t>21</w:t>
            </w:r>
          </w:p>
        </w:tc>
        <w:tc>
          <w:tcPr>
            <w:tcW w:w="1080" w:type="dxa"/>
            <w:gridSpan w:val="2"/>
            <w:tcBorders>
              <w:top w:val="nil"/>
              <w:left w:val="nil"/>
              <w:bottom w:val="nil"/>
              <w:right w:val="nil"/>
            </w:tcBorders>
            <w:noWrap/>
            <w:vAlign w:val="center"/>
            <w:hideMark/>
          </w:tcPr>
          <w:p w:rsidRPr="00617FE0" w:rsidR="00B52D66" w:rsidP="00FC2172" w:rsidRDefault="00B52D66" w14:paraId="3BABD528" w14:textId="77777777">
            <w:pPr>
              <w:spacing w:line="240" w:lineRule="auto"/>
              <w:jc w:val="center"/>
              <w:rPr>
                <w:rFonts w:cs="Calibri"/>
                <w:sz w:val="16"/>
                <w:szCs w:val="16"/>
                <w:lang w:val="en-GB" w:eastAsia="en-GB"/>
              </w:rPr>
            </w:pPr>
            <w:r w:rsidRPr="00617FE0">
              <w:rPr>
                <w:rFonts w:cs="Calibri"/>
                <w:sz w:val="16"/>
                <w:szCs w:val="16"/>
                <w:lang w:val="en-GB" w:eastAsia="en-GB"/>
              </w:rPr>
              <w:t>44</w:t>
            </w:r>
          </w:p>
        </w:tc>
        <w:tc>
          <w:tcPr>
            <w:tcW w:w="1181" w:type="dxa"/>
            <w:gridSpan w:val="3"/>
            <w:tcBorders>
              <w:top w:val="nil"/>
              <w:left w:val="nil"/>
              <w:bottom w:val="nil"/>
              <w:right w:val="nil"/>
            </w:tcBorders>
            <w:noWrap/>
            <w:vAlign w:val="center"/>
            <w:hideMark/>
          </w:tcPr>
          <w:p w:rsidRPr="00617FE0" w:rsidR="00B52D66" w:rsidP="00FC2172" w:rsidRDefault="00B52D66" w14:paraId="4A1D3912" w14:textId="77777777">
            <w:pPr>
              <w:spacing w:line="240" w:lineRule="auto"/>
              <w:jc w:val="center"/>
              <w:rPr>
                <w:rFonts w:cs="Calibri"/>
                <w:sz w:val="16"/>
                <w:szCs w:val="16"/>
                <w:lang w:val="en-GB" w:eastAsia="en-GB"/>
              </w:rPr>
            </w:pPr>
            <w:r w:rsidRPr="00617FE0">
              <w:rPr>
                <w:rFonts w:cs="Calibri"/>
                <w:sz w:val="16"/>
                <w:szCs w:val="16"/>
                <w:lang w:val="en-GB" w:eastAsia="en-GB"/>
              </w:rPr>
              <w:t>19</w:t>
            </w:r>
          </w:p>
        </w:tc>
        <w:tc>
          <w:tcPr>
            <w:tcW w:w="984" w:type="dxa"/>
            <w:gridSpan w:val="2"/>
            <w:tcBorders>
              <w:top w:val="nil"/>
              <w:left w:val="nil"/>
              <w:bottom w:val="nil"/>
              <w:right w:val="nil"/>
            </w:tcBorders>
            <w:noWrap/>
            <w:vAlign w:val="center"/>
            <w:hideMark/>
          </w:tcPr>
          <w:p w:rsidRPr="00617FE0" w:rsidR="00B52D66" w:rsidP="00FC2172" w:rsidRDefault="00B52D66" w14:paraId="5E2343B3" w14:textId="77777777">
            <w:pPr>
              <w:spacing w:line="240" w:lineRule="auto"/>
              <w:jc w:val="center"/>
              <w:rPr>
                <w:rFonts w:cs="Calibri"/>
                <w:sz w:val="16"/>
                <w:szCs w:val="16"/>
                <w:lang w:val="en-GB" w:eastAsia="en-GB"/>
              </w:rPr>
            </w:pPr>
            <w:r w:rsidRPr="00617FE0">
              <w:rPr>
                <w:rFonts w:cs="Calibri"/>
                <w:sz w:val="16"/>
                <w:szCs w:val="16"/>
                <w:lang w:val="en-GB" w:eastAsia="en-GB"/>
              </w:rPr>
              <w:t>6</w:t>
            </w:r>
          </w:p>
        </w:tc>
        <w:tc>
          <w:tcPr>
            <w:tcW w:w="1170" w:type="dxa"/>
            <w:gridSpan w:val="3"/>
            <w:tcBorders>
              <w:top w:val="nil"/>
              <w:left w:val="nil"/>
              <w:bottom w:val="nil"/>
              <w:right w:val="nil"/>
            </w:tcBorders>
            <w:noWrap/>
            <w:vAlign w:val="center"/>
            <w:hideMark/>
          </w:tcPr>
          <w:p w:rsidRPr="00617FE0" w:rsidR="00B52D66" w:rsidP="00FC2172" w:rsidRDefault="00B52D66" w14:paraId="09E913E8" w14:textId="77777777">
            <w:pPr>
              <w:spacing w:line="240" w:lineRule="auto"/>
              <w:jc w:val="center"/>
              <w:rPr>
                <w:rFonts w:cs="Calibri"/>
                <w:sz w:val="16"/>
                <w:szCs w:val="16"/>
                <w:lang w:val="en-GB" w:eastAsia="en-GB"/>
              </w:rPr>
            </w:pPr>
            <w:r w:rsidRPr="00617FE0">
              <w:rPr>
                <w:rFonts w:cs="Calibri"/>
                <w:sz w:val="16"/>
                <w:szCs w:val="16"/>
                <w:lang w:val="en-GB" w:eastAsia="en-GB"/>
              </w:rPr>
              <w:t>18</w:t>
            </w:r>
          </w:p>
        </w:tc>
        <w:tc>
          <w:tcPr>
            <w:tcW w:w="1170" w:type="dxa"/>
            <w:tcBorders>
              <w:top w:val="nil"/>
              <w:left w:val="nil"/>
              <w:bottom w:val="nil"/>
              <w:right w:val="nil"/>
            </w:tcBorders>
            <w:noWrap/>
            <w:vAlign w:val="center"/>
            <w:hideMark/>
          </w:tcPr>
          <w:p w:rsidRPr="00617FE0" w:rsidR="00B52D66" w:rsidP="00FC2172" w:rsidRDefault="00B52D66" w14:paraId="4DAD51A5" w14:textId="77777777">
            <w:pPr>
              <w:spacing w:line="240" w:lineRule="auto"/>
              <w:jc w:val="center"/>
              <w:rPr>
                <w:rFonts w:cs="Calibri"/>
                <w:sz w:val="16"/>
                <w:szCs w:val="16"/>
                <w:lang w:val="en-GB" w:eastAsia="en-GB"/>
              </w:rPr>
            </w:pPr>
            <w:r w:rsidRPr="00617FE0">
              <w:rPr>
                <w:rFonts w:cs="Calibri"/>
                <w:sz w:val="16"/>
                <w:szCs w:val="16"/>
                <w:lang w:val="en-GB" w:eastAsia="en-GB"/>
              </w:rPr>
              <w:t>20</w:t>
            </w:r>
          </w:p>
        </w:tc>
      </w:tr>
      <w:tr w:rsidRPr="00617FE0" w:rsidR="00B52D66" w:rsidTr="003E014E" w14:paraId="69DC367C" w14:textId="77777777">
        <w:trPr>
          <w:trHeight w:val="300"/>
        </w:trPr>
        <w:tc>
          <w:tcPr>
            <w:tcW w:w="2104" w:type="dxa"/>
            <w:gridSpan w:val="2"/>
            <w:tcBorders>
              <w:top w:val="nil"/>
              <w:left w:val="nil"/>
              <w:bottom w:val="nil"/>
              <w:right w:val="nil"/>
            </w:tcBorders>
            <w:noWrap/>
            <w:vAlign w:val="bottom"/>
            <w:hideMark/>
          </w:tcPr>
          <w:p w:rsidRPr="00617FE0" w:rsidR="00B52D66" w:rsidP="00FC2172" w:rsidRDefault="00B52D66" w14:paraId="6C84CA53" w14:textId="77777777">
            <w:pPr>
              <w:spacing w:line="240" w:lineRule="auto"/>
              <w:rPr>
                <w:rFonts w:cs="Calibri"/>
                <w:sz w:val="16"/>
                <w:szCs w:val="16"/>
                <w:lang w:val="en-GB" w:eastAsia="en-GB"/>
              </w:rPr>
            </w:pPr>
            <w:r w:rsidRPr="00617FE0">
              <w:rPr>
                <w:rFonts w:cs="Calibri"/>
                <w:sz w:val="16"/>
                <w:szCs w:val="16"/>
                <w:lang w:val="en-GB" w:eastAsia="en-GB"/>
              </w:rPr>
              <w:t>M&amp;T</w:t>
            </w:r>
          </w:p>
        </w:tc>
        <w:tc>
          <w:tcPr>
            <w:tcW w:w="983" w:type="dxa"/>
            <w:gridSpan w:val="3"/>
            <w:tcBorders>
              <w:top w:val="nil"/>
              <w:left w:val="nil"/>
              <w:bottom w:val="nil"/>
              <w:right w:val="nil"/>
            </w:tcBorders>
            <w:noWrap/>
            <w:vAlign w:val="center"/>
            <w:hideMark/>
          </w:tcPr>
          <w:p w:rsidRPr="00617FE0" w:rsidR="00B52D66" w:rsidP="00FC2172" w:rsidRDefault="00B52D66" w14:paraId="3D52D1E8" w14:textId="77777777">
            <w:pPr>
              <w:spacing w:line="240" w:lineRule="auto"/>
              <w:jc w:val="center"/>
              <w:rPr>
                <w:rFonts w:cs="Calibri"/>
                <w:sz w:val="16"/>
                <w:szCs w:val="16"/>
                <w:lang w:val="en-GB" w:eastAsia="en-GB"/>
              </w:rPr>
            </w:pPr>
            <w:r w:rsidRPr="00617FE0">
              <w:rPr>
                <w:rFonts w:cs="Calibri"/>
                <w:sz w:val="16"/>
                <w:szCs w:val="16"/>
                <w:lang w:val="en-GB" w:eastAsia="en-GB"/>
              </w:rPr>
              <w:t>27</w:t>
            </w:r>
          </w:p>
        </w:tc>
        <w:tc>
          <w:tcPr>
            <w:tcW w:w="975" w:type="dxa"/>
            <w:tcBorders>
              <w:top w:val="nil"/>
              <w:left w:val="nil"/>
              <w:bottom w:val="nil"/>
              <w:right w:val="nil"/>
            </w:tcBorders>
            <w:noWrap/>
            <w:vAlign w:val="center"/>
            <w:hideMark/>
          </w:tcPr>
          <w:p w:rsidRPr="00617FE0" w:rsidR="00B52D66" w:rsidP="00FC2172" w:rsidRDefault="00B52D66" w14:paraId="2D4B7F95" w14:textId="77777777">
            <w:pPr>
              <w:spacing w:line="240" w:lineRule="auto"/>
              <w:jc w:val="center"/>
              <w:rPr>
                <w:rFonts w:cs="Calibri"/>
                <w:sz w:val="16"/>
                <w:szCs w:val="16"/>
                <w:lang w:val="en-GB" w:eastAsia="en-GB"/>
              </w:rPr>
            </w:pPr>
            <w:r w:rsidRPr="00617FE0">
              <w:rPr>
                <w:rFonts w:cs="Calibri"/>
                <w:sz w:val="16"/>
                <w:szCs w:val="16"/>
                <w:lang w:val="en-GB" w:eastAsia="en-GB"/>
              </w:rPr>
              <w:t>30</w:t>
            </w:r>
          </w:p>
        </w:tc>
        <w:tc>
          <w:tcPr>
            <w:tcW w:w="1080" w:type="dxa"/>
            <w:gridSpan w:val="2"/>
            <w:tcBorders>
              <w:top w:val="nil"/>
              <w:left w:val="nil"/>
              <w:bottom w:val="nil"/>
              <w:right w:val="nil"/>
            </w:tcBorders>
            <w:noWrap/>
            <w:vAlign w:val="center"/>
            <w:hideMark/>
          </w:tcPr>
          <w:p w:rsidRPr="00617FE0" w:rsidR="00B52D66" w:rsidP="00FC2172" w:rsidRDefault="00B52D66" w14:paraId="446A49DA" w14:textId="77777777">
            <w:pPr>
              <w:spacing w:line="240" w:lineRule="auto"/>
              <w:jc w:val="center"/>
              <w:rPr>
                <w:rFonts w:cs="Calibri"/>
                <w:sz w:val="16"/>
                <w:szCs w:val="16"/>
                <w:lang w:val="en-GB" w:eastAsia="en-GB"/>
              </w:rPr>
            </w:pPr>
            <w:r w:rsidRPr="00617FE0">
              <w:rPr>
                <w:rFonts w:cs="Calibri"/>
                <w:sz w:val="16"/>
                <w:szCs w:val="16"/>
                <w:lang w:val="en-GB" w:eastAsia="en-GB"/>
              </w:rPr>
              <w:t>38</w:t>
            </w:r>
          </w:p>
        </w:tc>
        <w:tc>
          <w:tcPr>
            <w:tcW w:w="1181" w:type="dxa"/>
            <w:gridSpan w:val="3"/>
            <w:tcBorders>
              <w:top w:val="nil"/>
              <w:left w:val="nil"/>
              <w:bottom w:val="nil"/>
              <w:right w:val="nil"/>
            </w:tcBorders>
            <w:noWrap/>
            <w:vAlign w:val="center"/>
            <w:hideMark/>
          </w:tcPr>
          <w:p w:rsidRPr="00617FE0" w:rsidR="00B52D66" w:rsidP="00FC2172" w:rsidRDefault="00B52D66" w14:paraId="3C9FF80D" w14:textId="77777777">
            <w:pPr>
              <w:spacing w:line="240" w:lineRule="auto"/>
              <w:jc w:val="center"/>
              <w:rPr>
                <w:rFonts w:cs="Calibri"/>
                <w:sz w:val="16"/>
                <w:szCs w:val="16"/>
                <w:lang w:val="en-GB" w:eastAsia="en-GB"/>
              </w:rPr>
            </w:pPr>
            <w:r w:rsidRPr="00617FE0">
              <w:rPr>
                <w:rFonts w:cs="Calibri"/>
                <w:sz w:val="16"/>
                <w:szCs w:val="16"/>
                <w:lang w:val="en-GB" w:eastAsia="en-GB"/>
              </w:rPr>
              <w:t>4</w:t>
            </w:r>
          </w:p>
        </w:tc>
        <w:tc>
          <w:tcPr>
            <w:tcW w:w="984" w:type="dxa"/>
            <w:gridSpan w:val="2"/>
            <w:tcBorders>
              <w:top w:val="nil"/>
              <w:left w:val="nil"/>
              <w:bottom w:val="nil"/>
              <w:right w:val="nil"/>
            </w:tcBorders>
            <w:noWrap/>
            <w:vAlign w:val="center"/>
            <w:hideMark/>
          </w:tcPr>
          <w:p w:rsidRPr="00617FE0" w:rsidR="00B52D66" w:rsidP="00FC2172" w:rsidRDefault="00B52D66" w14:paraId="5FFBEBFA" w14:textId="77777777">
            <w:pPr>
              <w:spacing w:line="240" w:lineRule="auto"/>
              <w:jc w:val="center"/>
              <w:rPr>
                <w:rFonts w:cs="Calibri"/>
                <w:sz w:val="16"/>
                <w:szCs w:val="16"/>
                <w:lang w:val="en-GB" w:eastAsia="en-GB"/>
              </w:rPr>
            </w:pPr>
            <w:r w:rsidRPr="00617FE0">
              <w:rPr>
                <w:rFonts w:cs="Calibri"/>
                <w:sz w:val="16"/>
                <w:szCs w:val="16"/>
                <w:lang w:val="en-GB" w:eastAsia="en-GB"/>
              </w:rPr>
              <w:t>1</w:t>
            </w:r>
          </w:p>
        </w:tc>
        <w:tc>
          <w:tcPr>
            <w:tcW w:w="1170" w:type="dxa"/>
            <w:gridSpan w:val="3"/>
            <w:tcBorders>
              <w:top w:val="nil"/>
              <w:left w:val="nil"/>
              <w:bottom w:val="nil"/>
              <w:right w:val="nil"/>
            </w:tcBorders>
            <w:noWrap/>
            <w:vAlign w:val="center"/>
            <w:hideMark/>
          </w:tcPr>
          <w:p w:rsidRPr="00617FE0" w:rsidR="00B52D66" w:rsidP="00FC2172" w:rsidRDefault="00B52D66" w14:paraId="5E98CD2E" w14:textId="77777777">
            <w:pPr>
              <w:spacing w:line="240" w:lineRule="auto"/>
              <w:jc w:val="center"/>
              <w:rPr>
                <w:rFonts w:cs="Calibri"/>
                <w:sz w:val="16"/>
                <w:szCs w:val="16"/>
                <w:lang w:val="en-GB" w:eastAsia="en-GB"/>
              </w:rPr>
            </w:pPr>
            <w:r w:rsidRPr="00617FE0">
              <w:rPr>
                <w:rFonts w:cs="Calibri"/>
                <w:sz w:val="16"/>
                <w:szCs w:val="16"/>
                <w:lang w:val="en-GB" w:eastAsia="en-GB"/>
              </w:rPr>
              <w:t>10</w:t>
            </w:r>
          </w:p>
        </w:tc>
        <w:tc>
          <w:tcPr>
            <w:tcW w:w="1170" w:type="dxa"/>
            <w:tcBorders>
              <w:top w:val="nil"/>
              <w:left w:val="nil"/>
              <w:bottom w:val="nil"/>
              <w:right w:val="nil"/>
            </w:tcBorders>
            <w:noWrap/>
            <w:vAlign w:val="center"/>
            <w:hideMark/>
          </w:tcPr>
          <w:p w:rsidRPr="00617FE0" w:rsidR="00B52D66" w:rsidP="00FC2172" w:rsidRDefault="00B52D66" w14:paraId="2704451D" w14:textId="77777777">
            <w:pPr>
              <w:spacing w:line="240" w:lineRule="auto"/>
              <w:jc w:val="center"/>
              <w:rPr>
                <w:rFonts w:cs="Calibri"/>
                <w:sz w:val="16"/>
                <w:szCs w:val="16"/>
                <w:lang w:val="en-GB" w:eastAsia="en-GB"/>
              </w:rPr>
            </w:pPr>
            <w:r w:rsidRPr="00617FE0">
              <w:rPr>
                <w:rFonts w:cs="Calibri"/>
                <w:sz w:val="16"/>
                <w:szCs w:val="16"/>
                <w:lang w:val="en-GB" w:eastAsia="en-GB"/>
              </w:rPr>
              <w:t>16</w:t>
            </w:r>
          </w:p>
        </w:tc>
      </w:tr>
      <w:tr w:rsidRPr="00617FE0" w:rsidR="00B52D66" w:rsidTr="003E014E" w14:paraId="5C1ED8C7" w14:textId="77777777">
        <w:trPr>
          <w:trHeight w:val="300"/>
        </w:trPr>
        <w:tc>
          <w:tcPr>
            <w:tcW w:w="2104" w:type="dxa"/>
            <w:gridSpan w:val="2"/>
            <w:tcBorders>
              <w:top w:val="nil"/>
              <w:left w:val="nil"/>
              <w:bottom w:val="nil"/>
              <w:right w:val="nil"/>
            </w:tcBorders>
            <w:noWrap/>
            <w:vAlign w:val="bottom"/>
            <w:hideMark/>
          </w:tcPr>
          <w:p w:rsidRPr="00617FE0" w:rsidR="00B52D66" w:rsidP="00FC2172" w:rsidRDefault="00B52D66" w14:paraId="402321CB" w14:textId="77777777">
            <w:pPr>
              <w:spacing w:line="240" w:lineRule="auto"/>
              <w:rPr>
                <w:rFonts w:cs="Calibri"/>
                <w:sz w:val="16"/>
                <w:szCs w:val="16"/>
                <w:lang w:val="en-GB" w:eastAsia="en-GB"/>
              </w:rPr>
            </w:pPr>
            <w:r w:rsidRPr="00617FE0">
              <w:rPr>
                <w:rFonts w:cs="Calibri"/>
                <w:sz w:val="16"/>
                <w:szCs w:val="16"/>
                <w:lang w:val="en-GB" w:eastAsia="en-GB"/>
              </w:rPr>
              <w:t>PIE</w:t>
            </w:r>
          </w:p>
        </w:tc>
        <w:tc>
          <w:tcPr>
            <w:tcW w:w="983" w:type="dxa"/>
            <w:gridSpan w:val="3"/>
            <w:tcBorders>
              <w:top w:val="nil"/>
              <w:left w:val="nil"/>
              <w:bottom w:val="nil"/>
              <w:right w:val="nil"/>
            </w:tcBorders>
            <w:noWrap/>
            <w:vAlign w:val="center"/>
            <w:hideMark/>
          </w:tcPr>
          <w:p w:rsidRPr="00617FE0" w:rsidR="00B52D66" w:rsidP="00FC2172" w:rsidRDefault="00B52D66" w14:paraId="1ED42E0F" w14:textId="77777777">
            <w:pPr>
              <w:spacing w:line="240" w:lineRule="auto"/>
              <w:jc w:val="center"/>
              <w:rPr>
                <w:rFonts w:cs="Calibri"/>
                <w:sz w:val="16"/>
                <w:szCs w:val="16"/>
                <w:lang w:val="en-GB" w:eastAsia="en-GB"/>
              </w:rPr>
            </w:pPr>
            <w:r w:rsidRPr="00617FE0">
              <w:rPr>
                <w:rFonts w:cs="Calibri"/>
                <w:sz w:val="16"/>
                <w:szCs w:val="16"/>
                <w:lang w:val="en-GB" w:eastAsia="en-GB"/>
              </w:rPr>
              <w:t>16</w:t>
            </w:r>
          </w:p>
        </w:tc>
        <w:tc>
          <w:tcPr>
            <w:tcW w:w="975" w:type="dxa"/>
            <w:tcBorders>
              <w:top w:val="nil"/>
              <w:left w:val="nil"/>
              <w:bottom w:val="nil"/>
              <w:right w:val="nil"/>
            </w:tcBorders>
            <w:noWrap/>
            <w:vAlign w:val="center"/>
            <w:hideMark/>
          </w:tcPr>
          <w:p w:rsidRPr="00617FE0" w:rsidR="00B52D66" w:rsidP="00FC2172" w:rsidRDefault="00B52D66" w14:paraId="4CF7A999" w14:textId="77777777">
            <w:pPr>
              <w:spacing w:line="240" w:lineRule="auto"/>
              <w:jc w:val="center"/>
              <w:rPr>
                <w:rFonts w:cs="Calibri"/>
                <w:sz w:val="16"/>
                <w:szCs w:val="16"/>
                <w:lang w:val="en-GB" w:eastAsia="en-GB"/>
              </w:rPr>
            </w:pPr>
            <w:r w:rsidRPr="00617FE0">
              <w:rPr>
                <w:rFonts w:cs="Calibri"/>
                <w:sz w:val="16"/>
                <w:szCs w:val="16"/>
                <w:lang w:val="en-GB" w:eastAsia="en-GB"/>
              </w:rPr>
              <w:t>23</w:t>
            </w:r>
          </w:p>
        </w:tc>
        <w:tc>
          <w:tcPr>
            <w:tcW w:w="1080" w:type="dxa"/>
            <w:gridSpan w:val="2"/>
            <w:tcBorders>
              <w:top w:val="nil"/>
              <w:left w:val="nil"/>
              <w:bottom w:val="nil"/>
              <w:right w:val="nil"/>
            </w:tcBorders>
            <w:noWrap/>
            <w:vAlign w:val="center"/>
            <w:hideMark/>
          </w:tcPr>
          <w:p w:rsidRPr="00617FE0" w:rsidR="00B52D66" w:rsidP="00FC2172" w:rsidRDefault="00B52D66" w14:paraId="54323C9B" w14:textId="77777777">
            <w:pPr>
              <w:spacing w:line="240" w:lineRule="auto"/>
              <w:jc w:val="center"/>
              <w:rPr>
                <w:rFonts w:cs="Calibri"/>
                <w:sz w:val="16"/>
                <w:szCs w:val="16"/>
                <w:lang w:val="en-GB" w:eastAsia="en-GB"/>
              </w:rPr>
            </w:pPr>
            <w:r w:rsidRPr="00617FE0">
              <w:rPr>
                <w:rFonts w:cs="Calibri"/>
                <w:sz w:val="16"/>
                <w:szCs w:val="16"/>
                <w:lang w:val="en-GB" w:eastAsia="en-GB"/>
              </w:rPr>
              <w:t>47</w:t>
            </w:r>
          </w:p>
        </w:tc>
        <w:tc>
          <w:tcPr>
            <w:tcW w:w="1181" w:type="dxa"/>
            <w:gridSpan w:val="3"/>
            <w:tcBorders>
              <w:top w:val="nil"/>
              <w:left w:val="nil"/>
              <w:bottom w:val="nil"/>
              <w:right w:val="nil"/>
            </w:tcBorders>
            <w:noWrap/>
            <w:vAlign w:val="center"/>
            <w:hideMark/>
          </w:tcPr>
          <w:p w:rsidRPr="00617FE0" w:rsidR="00B52D66" w:rsidP="00FC2172" w:rsidRDefault="00B52D66" w14:paraId="264BE0F9" w14:textId="77777777">
            <w:pPr>
              <w:spacing w:line="240" w:lineRule="auto"/>
              <w:jc w:val="center"/>
              <w:rPr>
                <w:rFonts w:cs="Calibri"/>
                <w:sz w:val="16"/>
                <w:szCs w:val="16"/>
                <w:lang w:val="en-GB" w:eastAsia="en-GB"/>
              </w:rPr>
            </w:pPr>
            <w:r w:rsidRPr="00617FE0">
              <w:rPr>
                <w:rFonts w:cs="Calibri"/>
                <w:sz w:val="16"/>
                <w:szCs w:val="16"/>
                <w:lang w:val="en-GB" w:eastAsia="en-GB"/>
              </w:rPr>
              <w:t>11</w:t>
            </w:r>
          </w:p>
        </w:tc>
        <w:tc>
          <w:tcPr>
            <w:tcW w:w="984" w:type="dxa"/>
            <w:gridSpan w:val="2"/>
            <w:tcBorders>
              <w:top w:val="nil"/>
              <w:left w:val="nil"/>
              <w:bottom w:val="nil"/>
              <w:right w:val="nil"/>
            </w:tcBorders>
            <w:noWrap/>
            <w:vAlign w:val="center"/>
            <w:hideMark/>
          </w:tcPr>
          <w:p w:rsidRPr="00617FE0" w:rsidR="00B52D66" w:rsidP="00FC2172" w:rsidRDefault="00B52D66" w14:paraId="4802820E" w14:textId="77777777">
            <w:pPr>
              <w:spacing w:line="240" w:lineRule="auto"/>
              <w:jc w:val="center"/>
              <w:rPr>
                <w:rFonts w:cs="Calibri"/>
                <w:sz w:val="16"/>
                <w:szCs w:val="16"/>
                <w:lang w:val="en-GB" w:eastAsia="en-GB"/>
              </w:rPr>
            </w:pPr>
            <w:r w:rsidRPr="00617FE0">
              <w:rPr>
                <w:rFonts w:cs="Calibri"/>
                <w:sz w:val="16"/>
                <w:szCs w:val="16"/>
                <w:lang w:val="en-GB" w:eastAsia="en-GB"/>
              </w:rPr>
              <w:t>4</w:t>
            </w:r>
          </w:p>
        </w:tc>
        <w:tc>
          <w:tcPr>
            <w:tcW w:w="1170" w:type="dxa"/>
            <w:gridSpan w:val="3"/>
            <w:tcBorders>
              <w:top w:val="nil"/>
              <w:left w:val="nil"/>
              <w:bottom w:val="nil"/>
              <w:right w:val="nil"/>
            </w:tcBorders>
            <w:noWrap/>
            <w:vAlign w:val="center"/>
            <w:hideMark/>
          </w:tcPr>
          <w:p w:rsidRPr="00617FE0" w:rsidR="00B52D66" w:rsidP="00FC2172" w:rsidRDefault="00B52D66" w14:paraId="23442582" w14:textId="77777777">
            <w:pPr>
              <w:spacing w:line="240" w:lineRule="auto"/>
              <w:jc w:val="center"/>
              <w:rPr>
                <w:rFonts w:cs="Calibri"/>
                <w:sz w:val="16"/>
                <w:szCs w:val="16"/>
                <w:lang w:val="en-GB" w:eastAsia="en-GB"/>
              </w:rPr>
            </w:pPr>
            <w:r w:rsidRPr="00617FE0">
              <w:rPr>
                <w:rFonts w:cs="Calibri"/>
                <w:sz w:val="16"/>
                <w:szCs w:val="16"/>
                <w:lang w:val="en-GB" w:eastAsia="en-GB"/>
              </w:rPr>
              <w:t>13</w:t>
            </w:r>
          </w:p>
        </w:tc>
        <w:tc>
          <w:tcPr>
            <w:tcW w:w="1170" w:type="dxa"/>
            <w:tcBorders>
              <w:top w:val="nil"/>
              <w:left w:val="nil"/>
              <w:bottom w:val="nil"/>
              <w:right w:val="nil"/>
            </w:tcBorders>
            <w:noWrap/>
            <w:vAlign w:val="center"/>
            <w:hideMark/>
          </w:tcPr>
          <w:p w:rsidRPr="00617FE0" w:rsidR="00B52D66" w:rsidP="00FC2172" w:rsidRDefault="00B52D66" w14:paraId="085FBE94" w14:textId="77777777">
            <w:pPr>
              <w:spacing w:line="240" w:lineRule="auto"/>
              <w:jc w:val="center"/>
              <w:rPr>
                <w:rFonts w:cs="Calibri"/>
                <w:sz w:val="16"/>
                <w:szCs w:val="16"/>
                <w:lang w:val="en-GB" w:eastAsia="en-GB"/>
              </w:rPr>
            </w:pPr>
            <w:r w:rsidRPr="00617FE0">
              <w:rPr>
                <w:rFonts w:cs="Calibri"/>
                <w:sz w:val="16"/>
                <w:szCs w:val="16"/>
                <w:lang w:val="en-GB" w:eastAsia="en-GB"/>
              </w:rPr>
              <w:t>10</w:t>
            </w:r>
          </w:p>
        </w:tc>
      </w:tr>
      <w:tr w:rsidRPr="00617FE0" w:rsidR="00B52D66" w:rsidTr="003E014E" w14:paraId="791B436F" w14:textId="77777777">
        <w:trPr>
          <w:trHeight w:val="300"/>
        </w:trPr>
        <w:tc>
          <w:tcPr>
            <w:tcW w:w="1843" w:type="dxa"/>
            <w:tcBorders>
              <w:top w:val="nil"/>
              <w:left w:val="nil"/>
              <w:bottom w:val="nil"/>
              <w:right w:val="nil"/>
            </w:tcBorders>
            <w:noWrap/>
            <w:vAlign w:val="bottom"/>
            <w:hideMark/>
          </w:tcPr>
          <w:p w:rsidRPr="00617FE0" w:rsidR="00B52D66" w:rsidP="00FC2172" w:rsidRDefault="00B52D66" w14:paraId="266F4028" w14:textId="63BB9115">
            <w:pPr>
              <w:spacing w:line="240" w:lineRule="auto"/>
              <w:rPr>
                <w:rFonts w:cs="Calibri"/>
                <w:b/>
                <w:bCs/>
                <w:sz w:val="16"/>
                <w:szCs w:val="16"/>
                <w:lang w:val="en-GB" w:eastAsia="en-GB"/>
              </w:rPr>
            </w:pPr>
            <w:r w:rsidRPr="7C716BD1">
              <w:rPr>
                <w:rFonts w:cs="Calibri"/>
                <w:b/>
                <w:bCs/>
                <w:sz w:val="16"/>
                <w:szCs w:val="16"/>
                <w:lang w:val="en-GB" w:eastAsia="en-GB"/>
              </w:rPr>
              <w:t>Gemengde leerweg</w:t>
            </w:r>
            <w:r w:rsidRPr="7C716BD1" w:rsidR="51BCA9C6">
              <w:rPr>
                <w:rFonts w:cs="Calibri"/>
                <w:b/>
                <w:bCs/>
                <w:sz w:val="16"/>
                <w:szCs w:val="16"/>
                <w:lang w:val="en-GB" w:eastAsia="en-GB"/>
              </w:rPr>
              <w:t>*</w:t>
            </w:r>
            <w:r w:rsidRPr="7C716BD1">
              <w:rPr>
                <w:rFonts w:cs="Calibri"/>
                <w:b/>
                <w:bCs/>
                <w:sz w:val="16"/>
                <w:szCs w:val="16"/>
                <w:lang w:val="en-GB" w:eastAsia="en-GB"/>
              </w:rPr>
              <w:t xml:space="preserve"> </w:t>
            </w:r>
          </w:p>
        </w:tc>
        <w:tc>
          <w:tcPr>
            <w:tcW w:w="1235" w:type="dxa"/>
            <w:gridSpan w:val="3"/>
            <w:tcBorders>
              <w:top w:val="nil"/>
              <w:left w:val="nil"/>
              <w:bottom w:val="nil"/>
              <w:right w:val="nil"/>
            </w:tcBorders>
            <w:noWrap/>
            <w:vAlign w:val="center"/>
            <w:hideMark/>
          </w:tcPr>
          <w:p w:rsidRPr="00617FE0" w:rsidR="00B52D66" w:rsidP="00FC2172" w:rsidRDefault="00B52D66" w14:paraId="14FD0DA9" w14:textId="77777777">
            <w:pPr>
              <w:spacing w:line="240" w:lineRule="auto"/>
              <w:jc w:val="center"/>
              <w:rPr>
                <w:rFonts w:cs="Calibri"/>
                <w:sz w:val="16"/>
                <w:szCs w:val="16"/>
                <w:lang w:val="en-GB" w:eastAsia="en-GB"/>
              </w:rPr>
            </w:pPr>
          </w:p>
        </w:tc>
        <w:tc>
          <w:tcPr>
            <w:tcW w:w="1329" w:type="dxa"/>
            <w:gridSpan w:val="3"/>
            <w:tcBorders>
              <w:top w:val="nil"/>
              <w:left w:val="nil"/>
              <w:bottom w:val="nil"/>
              <w:right w:val="nil"/>
            </w:tcBorders>
            <w:noWrap/>
            <w:vAlign w:val="center"/>
            <w:hideMark/>
          </w:tcPr>
          <w:p w:rsidRPr="00617FE0" w:rsidR="00B52D66" w:rsidP="00FC2172" w:rsidRDefault="00B52D66" w14:paraId="4B01B8AD" w14:textId="77777777">
            <w:pPr>
              <w:spacing w:line="240" w:lineRule="auto"/>
              <w:jc w:val="center"/>
              <w:rPr>
                <w:rFonts w:cs="Calibri"/>
                <w:sz w:val="16"/>
                <w:szCs w:val="16"/>
                <w:lang w:val="en-GB" w:eastAsia="en-GB"/>
              </w:rPr>
            </w:pPr>
          </w:p>
        </w:tc>
        <w:tc>
          <w:tcPr>
            <w:tcW w:w="1430" w:type="dxa"/>
            <w:gridSpan w:val="3"/>
            <w:tcBorders>
              <w:top w:val="nil"/>
              <w:left w:val="nil"/>
              <w:bottom w:val="nil"/>
              <w:right w:val="nil"/>
            </w:tcBorders>
            <w:noWrap/>
            <w:vAlign w:val="center"/>
            <w:hideMark/>
          </w:tcPr>
          <w:p w:rsidRPr="00617FE0" w:rsidR="00B52D66" w:rsidP="00FC2172" w:rsidRDefault="00B52D66" w14:paraId="1C16AC1A" w14:textId="77777777">
            <w:pPr>
              <w:spacing w:line="240" w:lineRule="auto"/>
              <w:jc w:val="center"/>
              <w:rPr>
                <w:rFonts w:cs="Calibri"/>
                <w:sz w:val="16"/>
                <w:szCs w:val="16"/>
                <w:lang w:val="en-GB" w:eastAsia="en-GB"/>
              </w:rPr>
            </w:pPr>
          </w:p>
        </w:tc>
        <w:tc>
          <w:tcPr>
            <w:tcW w:w="1236" w:type="dxa"/>
            <w:gridSpan w:val="2"/>
            <w:tcBorders>
              <w:top w:val="nil"/>
              <w:left w:val="nil"/>
              <w:bottom w:val="nil"/>
              <w:right w:val="nil"/>
            </w:tcBorders>
            <w:noWrap/>
            <w:vAlign w:val="center"/>
            <w:hideMark/>
          </w:tcPr>
          <w:p w:rsidRPr="00617FE0" w:rsidR="00B52D66" w:rsidP="00FC2172" w:rsidRDefault="00B52D66" w14:paraId="2CD52076" w14:textId="77777777">
            <w:pPr>
              <w:spacing w:line="240" w:lineRule="auto"/>
              <w:jc w:val="center"/>
              <w:rPr>
                <w:rFonts w:cs="Calibri"/>
                <w:sz w:val="16"/>
                <w:szCs w:val="16"/>
                <w:lang w:val="en-GB" w:eastAsia="en-GB"/>
              </w:rPr>
            </w:pPr>
          </w:p>
        </w:tc>
        <w:tc>
          <w:tcPr>
            <w:tcW w:w="1236" w:type="dxa"/>
            <w:gridSpan w:val="3"/>
            <w:tcBorders>
              <w:top w:val="nil"/>
              <w:left w:val="nil"/>
              <w:bottom w:val="nil"/>
              <w:right w:val="nil"/>
            </w:tcBorders>
            <w:noWrap/>
            <w:vAlign w:val="center"/>
            <w:hideMark/>
          </w:tcPr>
          <w:p w:rsidRPr="00617FE0" w:rsidR="00B52D66" w:rsidP="00FC2172" w:rsidRDefault="00B52D66" w14:paraId="074B1F7E" w14:textId="77777777">
            <w:pPr>
              <w:spacing w:line="240" w:lineRule="auto"/>
              <w:jc w:val="center"/>
              <w:rPr>
                <w:rFonts w:cs="Calibri"/>
                <w:sz w:val="16"/>
                <w:szCs w:val="16"/>
                <w:lang w:val="en-GB" w:eastAsia="en-GB"/>
              </w:rPr>
            </w:pPr>
          </w:p>
        </w:tc>
        <w:tc>
          <w:tcPr>
            <w:tcW w:w="1338" w:type="dxa"/>
            <w:gridSpan w:val="2"/>
            <w:tcBorders>
              <w:top w:val="nil"/>
              <w:left w:val="nil"/>
              <w:bottom w:val="nil"/>
              <w:right w:val="nil"/>
            </w:tcBorders>
            <w:noWrap/>
            <w:vAlign w:val="center"/>
            <w:hideMark/>
          </w:tcPr>
          <w:p w:rsidRPr="00617FE0" w:rsidR="00B52D66" w:rsidP="00FC2172" w:rsidRDefault="00B52D66" w14:paraId="6803E955" w14:textId="77777777">
            <w:pPr>
              <w:spacing w:line="240" w:lineRule="auto"/>
              <w:jc w:val="center"/>
              <w:rPr>
                <w:rFonts w:cs="Calibri"/>
                <w:sz w:val="16"/>
                <w:szCs w:val="16"/>
                <w:lang w:val="en-GB" w:eastAsia="en-GB"/>
              </w:rPr>
            </w:pPr>
          </w:p>
        </w:tc>
      </w:tr>
      <w:tr w:rsidRPr="00617FE0" w:rsidR="00B52D66" w:rsidTr="003E014E" w14:paraId="758D194D" w14:textId="77777777">
        <w:trPr>
          <w:trHeight w:val="300"/>
        </w:trPr>
        <w:tc>
          <w:tcPr>
            <w:tcW w:w="2104" w:type="dxa"/>
            <w:gridSpan w:val="2"/>
            <w:tcBorders>
              <w:top w:val="nil"/>
              <w:left w:val="nil"/>
              <w:bottom w:val="nil"/>
              <w:right w:val="nil"/>
            </w:tcBorders>
            <w:noWrap/>
            <w:vAlign w:val="bottom"/>
            <w:hideMark/>
          </w:tcPr>
          <w:p w:rsidRPr="00617FE0" w:rsidR="00B52D66" w:rsidP="00FC2172" w:rsidRDefault="00B52D66" w14:paraId="25F6E632" w14:textId="77777777">
            <w:pPr>
              <w:spacing w:line="240" w:lineRule="auto"/>
              <w:rPr>
                <w:rFonts w:cs="Calibri"/>
                <w:sz w:val="16"/>
                <w:szCs w:val="16"/>
                <w:lang w:val="en-GB" w:eastAsia="en-GB"/>
              </w:rPr>
            </w:pPr>
            <w:r w:rsidRPr="00617FE0">
              <w:rPr>
                <w:rFonts w:cs="Calibri"/>
                <w:sz w:val="16"/>
                <w:szCs w:val="16"/>
                <w:lang w:val="en-GB" w:eastAsia="en-GB"/>
              </w:rPr>
              <w:t>BWI</w:t>
            </w:r>
          </w:p>
        </w:tc>
        <w:tc>
          <w:tcPr>
            <w:tcW w:w="983" w:type="dxa"/>
            <w:gridSpan w:val="3"/>
            <w:tcBorders>
              <w:top w:val="nil"/>
              <w:left w:val="nil"/>
              <w:bottom w:val="nil"/>
              <w:right w:val="nil"/>
            </w:tcBorders>
            <w:noWrap/>
            <w:vAlign w:val="center"/>
            <w:hideMark/>
          </w:tcPr>
          <w:p w:rsidRPr="00617FE0" w:rsidR="00B52D66" w:rsidP="00FC2172" w:rsidRDefault="00B52D66" w14:paraId="0BE9E329" w14:textId="77777777">
            <w:pPr>
              <w:spacing w:line="240" w:lineRule="auto"/>
              <w:jc w:val="center"/>
              <w:rPr>
                <w:rFonts w:cs="Calibri"/>
                <w:sz w:val="16"/>
                <w:szCs w:val="16"/>
                <w:lang w:val="en-GB" w:eastAsia="en-GB"/>
              </w:rPr>
            </w:pPr>
            <w:r w:rsidRPr="00617FE0">
              <w:rPr>
                <w:rFonts w:cs="Calibri"/>
                <w:sz w:val="16"/>
                <w:szCs w:val="16"/>
                <w:lang w:val="en-GB" w:eastAsia="en-GB"/>
              </w:rPr>
              <w:t>36</w:t>
            </w:r>
          </w:p>
        </w:tc>
        <w:tc>
          <w:tcPr>
            <w:tcW w:w="975" w:type="dxa"/>
            <w:tcBorders>
              <w:top w:val="nil"/>
              <w:left w:val="nil"/>
              <w:bottom w:val="nil"/>
              <w:right w:val="nil"/>
            </w:tcBorders>
            <w:noWrap/>
            <w:vAlign w:val="center"/>
            <w:hideMark/>
          </w:tcPr>
          <w:p w:rsidRPr="00617FE0" w:rsidR="00B52D66" w:rsidP="00FC2172" w:rsidRDefault="00B52D66" w14:paraId="26BC4AF4" w14:textId="77777777">
            <w:pPr>
              <w:spacing w:line="240" w:lineRule="auto"/>
              <w:jc w:val="center"/>
              <w:rPr>
                <w:rFonts w:cs="Calibri"/>
                <w:sz w:val="16"/>
                <w:szCs w:val="16"/>
                <w:lang w:val="en-GB" w:eastAsia="en-GB"/>
              </w:rPr>
            </w:pPr>
            <w:r w:rsidRPr="00617FE0">
              <w:rPr>
                <w:rFonts w:cs="Calibri"/>
                <w:sz w:val="16"/>
                <w:szCs w:val="16"/>
                <w:lang w:val="en-GB" w:eastAsia="en-GB"/>
              </w:rPr>
              <w:t>20</w:t>
            </w:r>
          </w:p>
        </w:tc>
        <w:tc>
          <w:tcPr>
            <w:tcW w:w="1080" w:type="dxa"/>
            <w:gridSpan w:val="2"/>
            <w:tcBorders>
              <w:top w:val="nil"/>
              <w:left w:val="nil"/>
              <w:bottom w:val="nil"/>
              <w:right w:val="nil"/>
            </w:tcBorders>
            <w:noWrap/>
            <w:vAlign w:val="center"/>
            <w:hideMark/>
          </w:tcPr>
          <w:p w:rsidRPr="00617FE0" w:rsidR="00B52D66" w:rsidP="00FC2172" w:rsidRDefault="00B52D66" w14:paraId="209428D1" w14:textId="77777777">
            <w:pPr>
              <w:spacing w:line="240" w:lineRule="auto"/>
              <w:jc w:val="center"/>
              <w:rPr>
                <w:rFonts w:cs="Calibri"/>
                <w:sz w:val="16"/>
                <w:szCs w:val="16"/>
                <w:lang w:val="en-GB" w:eastAsia="en-GB"/>
              </w:rPr>
            </w:pPr>
            <w:r w:rsidRPr="00617FE0">
              <w:rPr>
                <w:rFonts w:cs="Calibri"/>
                <w:sz w:val="16"/>
                <w:szCs w:val="16"/>
                <w:lang w:val="en-GB" w:eastAsia="en-GB"/>
              </w:rPr>
              <w:t>34</w:t>
            </w:r>
          </w:p>
        </w:tc>
        <w:tc>
          <w:tcPr>
            <w:tcW w:w="1181" w:type="dxa"/>
            <w:gridSpan w:val="3"/>
            <w:tcBorders>
              <w:top w:val="nil"/>
              <w:left w:val="nil"/>
              <w:bottom w:val="nil"/>
              <w:right w:val="nil"/>
            </w:tcBorders>
            <w:noWrap/>
            <w:vAlign w:val="center"/>
            <w:hideMark/>
          </w:tcPr>
          <w:p w:rsidRPr="00617FE0" w:rsidR="00B52D66" w:rsidP="00FC2172" w:rsidRDefault="00B52D66" w14:paraId="6EEE99E9" w14:textId="77777777">
            <w:pPr>
              <w:spacing w:line="240" w:lineRule="auto"/>
              <w:jc w:val="center"/>
              <w:rPr>
                <w:rFonts w:cs="Calibri"/>
                <w:sz w:val="16"/>
                <w:szCs w:val="16"/>
                <w:lang w:val="en-GB" w:eastAsia="en-GB"/>
              </w:rPr>
            </w:pPr>
            <w:r w:rsidRPr="00617FE0">
              <w:rPr>
                <w:rFonts w:cs="Calibri"/>
                <w:sz w:val="16"/>
                <w:szCs w:val="16"/>
                <w:lang w:val="en-GB" w:eastAsia="en-GB"/>
              </w:rPr>
              <w:t>8</w:t>
            </w:r>
          </w:p>
        </w:tc>
        <w:tc>
          <w:tcPr>
            <w:tcW w:w="984" w:type="dxa"/>
            <w:gridSpan w:val="2"/>
            <w:tcBorders>
              <w:top w:val="nil"/>
              <w:left w:val="nil"/>
              <w:bottom w:val="nil"/>
              <w:right w:val="nil"/>
            </w:tcBorders>
            <w:noWrap/>
            <w:vAlign w:val="center"/>
            <w:hideMark/>
          </w:tcPr>
          <w:p w:rsidRPr="00617FE0" w:rsidR="00B52D66" w:rsidP="00FC2172" w:rsidRDefault="00B52D66" w14:paraId="5293847E" w14:textId="77777777">
            <w:pPr>
              <w:spacing w:line="240" w:lineRule="auto"/>
              <w:jc w:val="center"/>
              <w:rPr>
                <w:rFonts w:cs="Calibri"/>
                <w:sz w:val="16"/>
                <w:szCs w:val="16"/>
                <w:lang w:val="en-GB" w:eastAsia="en-GB"/>
              </w:rPr>
            </w:pPr>
            <w:r w:rsidRPr="00617FE0">
              <w:rPr>
                <w:rFonts w:cs="Calibri"/>
                <w:sz w:val="16"/>
                <w:szCs w:val="16"/>
                <w:lang w:val="en-GB" w:eastAsia="en-GB"/>
              </w:rPr>
              <w:t>2</w:t>
            </w:r>
          </w:p>
        </w:tc>
        <w:tc>
          <w:tcPr>
            <w:tcW w:w="1170" w:type="dxa"/>
            <w:gridSpan w:val="3"/>
            <w:tcBorders>
              <w:top w:val="nil"/>
              <w:left w:val="nil"/>
              <w:bottom w:val="nil"/>
              <w:right w:val="nil"/>
            </w:tcBorders>
            <w:noWrap/>
            <w:vAlign w:val="center"/>
            <w:hideMark/>
          </w:tcPr>
          <w:p w:rsidRPr="00617FE0" w:rsidR="00B52D66" w:rsidP="00FC2172" w:rsidRDefault="00B52D66" w14:paraId="004EB191" w14:textId="77777777">
            <w:pPr>
              <w:spacing w:line="240" w:lineRule="auto"/>
              <w:jc w:val="center"/>
              <w:rPr>
                <w:rFonts w:cs="Calibri"/>
                <w:sz w:val="16"/>
                <w:szCs w:val="16"/>
                <w:lang w:val="en-GB" w:eastAsia="en-GB"/>
              </w:rPr>
            </w:pPr>
            <w:r w:rsidRPr="00617FE0">
              <w:rPr>
                <w:rFonts w:cs="Calibri"/>
                <w:sz w:val="16"/>
                <w:szCs w:val="16"/>
                <w:lang w:val="en-GB" w:eastAsia="en-GB"/>
              </w:rPr>
              <w:t>10</w:t>
            </w:r>
          </w:p>
        </w:tc>
        <w:tc>
          <w:tcPr>
            <w:tcW w:w="1170" w:type="dxa"/>
            <w:tcBorders>
              <w:top w:val="nil"/>
              <w:left w:val="nil"/>
              <w:bottom w:val="nil"/>
              <w:right w:val="nil"/>
            </w:tcBorders>
            <w:noWrap/>
            <w:vAlign w:val="center"/>
            <w:hideMark/>
          </w:tcPr>
          <w:p w:rsidRPr="00617FE0" w:rsidR="00B52D66" w:rsidP="00FC2172" w:rsidRDefault="00B52D66" w14:paraId="65FEA858" w14:textId="77777777">
            <w:pPr>
              <w:spacing w:line="240" w:lineRule="auto"/>
              <w:jc w:val="center"/>
              <w:rPr>
                <w:rFonts w:cs="Calibri"/>
                <w:sz w:val="16"/>
                <w:szCs w:val="16"/>
                <w:lang w:val="en-GB" w:eastAsia="en-GB"/>
              </w:rPr>
            </w:pPr>
            <w:r w:rsidRPr="00617FE0">
              <w:rPr>
                <w:rFonts w:cs="Calibri"/>
                <w:sz w:val="16"/>
                <w:szCs w:val="16"/>
                <w:lang w:val="en-GB" w:eastAsia="en-GB"/>
              </w:rPr>
              <w:t>10</w:t>
            </w:r>
          </w:p>
        </w:tc>
      </w:tr>
      <w:tr w:rsidRPr="00617FE0" w:rsidR="00B52D66" w:rsidTr="003E014E" w14:paraId="6A5F8151" w14:textId="77777777">
        <w:trPr>
          <w:trHeight w:val="300"/>
        </w:trPr>
        <w:tc>
          <w:tcPr>
            <w:tcW w:w="2104" w:type="dxa"/>
            <w:gridSpan w:val="2"/>
            <w:tcBorders>
              <w:top w:val="nil"/>
              <w:left w:val="nil"/>
              <w:bottom w:val="nil"/>
              <w:right w:val="nil"/>
            </w:tcBorders>
            <w:noWrap/>
            <w:vAlign w:val="bottom"/>
            <w:hideMark/>
          </w:tcPr>
          <w:p w:rsidRPr="00617FE0" w:rsidR="00B52D66" w:rsidP="00FC2172" w:rsidRDefault="00B52D66" w14:paraId="41108553" w14:textId="77777777">
            <w:pPr>
              <w:spacing w:line="240" w:lineRule="auto"/>
              <w:rPr>
                <w:rFonts w:cs="Calibri"/>
                <w:sz w:val="16"/>
                <w:szCs w:val="16"/>
                <w:lang w:val="en-GB" w:eastAsia="en-GB"/>
              </w:rPr>
            </w:pPr>
            <w:r w:rsidRPr="00617FE0">
              <w:rPr>
                <w:rFonts w:cs="Calibri"/>
                <w:sz w:val="16"/>
                <w:szCs w:val="16"/>
                <w:lang w:val="en-GB" w:eastAsia="en-GB"/>
              </w:rPr>
              <w:lastRenderedPageBreak/>
              <w:t>MaT</w:t>
            </w:r>
          </w:p>
        </w:tc>
        <w:tc>
          <w:tcPr>
            <w:tcW w:w="983" w:type="dxa"/>
            <w:gridSpan w:val="3"/>
            <w:tcBorders>
              <w:top w:val="nil"/>
              <w:left w:val="nil"/>
              <w:bottom w:val="nil"/>
              <w:right w:val="nil"/>
            </w:tcBorders>
            <w:noWrap/>
            <w:vAlign w:val="center"/>
            <w:hideMark/>
          </w:tcPr>
          <w:p w:rsidRPr="00617FE0" w:rsidR="00B52D66" w:rsidP="00FC2172" w:rsidRDefault="00B52D66" w14:paraId="31D79FCA" w14:textId="77777777">
            <w:pPr>
              <w:spacing w:line="240" w:lineRule="auto"/>
              <w:jc w:val="center"/>
              <w:rPr>
                <w:rFonts w:cs="Calibri"/>
                <w:sz w:val="16"/>
                <w:szCs w:val="16"/>
                <w:lang w:val="en-GB" w:eastAsia="en-GB"/>
              </w:rPr>
            </w:pPr>
            <w:r w:rsidRPr="00617FE0">
              <w:rPr>
                <w:rFonts w:cs="Calibri"/>
                <w:sz w:val="16"/>
                <w:szCs w:val="16"/>
                <w:lang w:val="en-GB" w:eastAsia="en-GB"/>
              </w:rPr>
              <w:t>0</w:t>
            </w:r>
          </w:p>
        </w:tc>
        <w:tc>
          <w:tcPr>
            <w:tcW w:w="975" w:type="dxa"/>
            <w:tcBorders>
              <w:top w:val="nil"/>
              <w:left w:val="nil"/>
              <w:bottom w:val="nil"/>
              <w:right w:val="nil"/>
            </w:tcBorders>
            <w:noWrap/>
            <w:vAlign w:val="center"/>
            <w:hideMark/>
          </w:tcPr>
          <w:p w:rsidRPr="00617FE0" w:rsidR="00B52D66" w:rsidP="00FC2172" w:rsidRDefault="00B52D66" w14:paraId="3819CBAB" w14:textId="77777777">
            <w:pPr>
              <w:spacing w:line="240" w:lineRule="auto"/>
              <w:jc w:val="center"/>
              <w:rPr>
                <w:rFonts w:cs="Calibri"/>
                <w:sz w:val="16"/>
                <w:szCs w:val="16"/>
                <w:lang w:val="en-GB" w:eastAsia="en-GB"/>
              </w:rPr>
            </w:pPr>
            <w:r w:rsidRPr="00617FE0">
              <w:rPr>
                <w:rFonts w:cs="Calibri"/>
                <w:sz w:val="16"/>
                <w:szCs w:val="16"/>
                <w:lang w:val="en-GB" w:eastAsia="en-GB"/>
              </w:rPr>
              <w:t>25</w:t>
            </w:r>
          </w:p>
        </w:tc>
        <w:tc>
          <w:tcPr>
            <w:tcW w:w="1080" w:type="dxa"/>
            <w:gridSpan w:val="2"/>
            <w:tcBorders>
              <w:top w:val="nil"/>
              <w:left w:val="nil"/>
              <w:bottom w:val="nil"/>
              <w:right w:val="nil"/>
            </w:tcBorders>
            <w:noWrap/>
            <w:vAlign w:val="center"/>
            <w:hideMark/>
          </w:tcPr>
          <w:p w:rsidRPr="00617FE0" w:rsidR="00B52D66" w:rsidP="00FC2172" w:rsidRDefault="00B52D66" w14:paraId="50A73D4E" w14:textId="77777777">
            <w:pPr>
              <w:spacing w:line="240" w:lineRule="auto"/>
              <w:jc w:val="center"/>
              <w:rPr>
                <w:rFonts w:cs="Calibri"/>
                <w:sz w:val="16"/>
                <w:szCs w:val="16"/>
                <w:lang w:val="en-GB" w:eastAsia="en-GB"/>
              </w:rPr>
            </w:pPr>
            <w:r w:rsidRPr="00617FE0">
              <w:rPr>
                <w:rFonts w:cs="Calibri"/>
                <w:sz w:val="16"/>
                <w:szCs w:val="16"/>
                <w:lang w:val="en-GB" w:eastAsia="en-GB"/>
              </w:rPr>
              <w:t>50</w:t>
            </w:r>
          </w:p>
        </w:tc>
        <w:tc>
          <w:tcPr>
            <w:tcW w:w="1181" w:type="dxa"/>
            <w:gridSpan w:val="3"/>
            <w:tcBorders>
              <w:top w:val="nil"/>
              <w:left w:val="nil"/>
              <w:bottom w:val="nil"/>
              <w:right w:val="nil"/>
            </w:tcBorders>
            <w:noWrap/>
            <w:vAlign w:val="center"/>
            <w:hideMark/>
          </w:tcPr>
          <w:p w:rsidRPr="00617FE0" w:rsidR="00B52D66" w:rsidP="00FC2172" w:rsidRDefault="00B52D66" w14:paraId="3AE7BF8A" w14:textId="77777777">
            <w:pPr>
              <w:spacing w:line="240" w:lineRule="auto"/>
              <w:jc w:val="center"/>
              <w:rPr>
                <w:rFonts w:cs="Calibri"/>
                <w:sz w:val="16"/>
                <w:szCs w:val="16"/>
                <w:lang w:val="en-GB" w:eastAsia="en-GB"/>
              </w:rPr>
            </w:pPr>
            <w:r w:rsidRPr="00617FE0">
              <w:rPr>
                <w:rFonts w:cs="Calibri"/>
                <w:sz w:val="16"/>
                <w:szCs w:val="16"/>
                <w:lang w:val="en-GB" w:eastAsia="en-GB"/>
              </w:rPr>
              <w:t>25</w:t>
            </w:r>
          </w:p>
        </w:tc>
        <w:tc>
          <w:tcPr>
            <w:tcW w:w="984" w:type="dxa"/>
            <w:gridSpan w:val="2"/>
            <w:tcBorders>
              <w:top w:val="nil"/>
              <w:left w:val="nil"/>
              <w:bottom w:val="nil"/>
              <w:right w:val="nil"/>
            </w:tcBorders>
            <w:noWrap/>
            <w:vAlign w:val="center"/>
            <w:hideMark/>
          </w:tcPr>
          <w:p w:rsidRPr="00617FE0" w:rsidR="00B52D66" w:rsidP="00FC2172" w:rsidRDefault="00B52D66" w14:paraId="67ABE1AE" w14:textId="77777777">
            <w:pPr>
              <w:spacing w:line="240" w:lineRule="auto"/>
              <w:jc w:val="center"/>
              <w:rPr>
                <w:rFonts w:cs="Calibri"/>
                <w:sz w:val="16"/>
                <w:szCs w:val="16"/>
                <w:lang w:val="en-GB" w:eastAsia="en-GB"/>
              </w:rPr>
            </w:pPr>
            <w:r w:rsidRPr="00617FE0">
              <w:rPr>
                <w:rFonts w:cs="Calibri"/>
                <w:sz w:val="16"/>
                <w:szCs w:val="16"/>
                <w:lang w:val="en-GB" w:eastAsia="en-GB"/>
              </w:rPr>
              <w:t>0</w:t>
            </w:r>
          </w:p>
        </w:tc>
        <w:tc>
          <w:tcPr>
            <w:tcW w:w="1170" w:type="dxa"/>
            <w:gridSpan w:val="3"/>
            <w:tcBorders>
              <w:top w:val="nil"/>
              <w:left w:val="nil"/>
              <w:bottom w:val="nil"/>
              <w:right w:val="nil"/>
            </w:tcBorders>
            <w:noWrap/>
            <w:vAlign w:val="center"/>
            <w:hideMark/>
          </w:tcPr>
          <w:p w:rsidRPr="00617FE0" w:rsidR="00B52D66" w:rsidP="00FC2172" w:rsidRDefault="00B52D66" w14:paraId="47FDB42A" w14:textId="77777777">
            <w:pPr>
              <w:spacing w:line="240" w:lineRule="auto"/>
              <w:jc w:val="center"/>
              <w:rPr>
                <w:rFonts w:cs="Calibri"/>
                <w:sz w:val="16"/>
                <w:szCs w:val="16"/>
                <w:lang w:val="en-GB" w:eastAsia="en-GB"/>
              </w:rPr>
            </w:pPr>
            <w:r w:rsidRPr="00617FE0">
              <w:rPr>
                <w:rFonts w:cs="Calibri"/>
                <w:sz w:val="16"/>
                <w:szCs w:val="16"/>
                <w:lang w:val="en-GB" w:eastAsia="en-GB"/>
              </w:rPr>
              <w:t>16</w:t>
            </w:r>
          </w:p>
        </w:tc>
        <w:tc>
          <w:tcPr>
            <w:tcW w:w="1170" w:type="dxa"/>
            <w:tcBorders>
              <w:top w:val="nil"/>
              <w:left w:val="nil"/>
              <w:bottom w:val="nil"/>
              <w:right w:val="nil"/>
            </w:tcBorders>
            <w:noWrap/>
            <w:vAlign w:val="center"/>
            <w:hideMark/>
          </w:tcPr>
          <w:p w:rsidRPr="00617FE0" w:rsidR="00B52D66" w:rsidP="00FC2172" w:rsidRDefault="00B52D66" w14:paraId="6AF594EF" w14:textId="77777777">
            <w:pPr>
              <w:spacing w:line="240" w:lineRule="auto"/>
              <w:jc w:val="center"/>
              <w:rPr>
                <w:rFonts w:cs="Calibri"/>
                <w:sz w:val="16"/>
                <w:szCs w:val="16"/>
                <w:lang w:val="en-GB" w:eastAsia="en-GB"/>
              </w:rPr>
            </w:pPr>
            <w:r w:rsidRPr="00617FE0">
              <w:rPr>
                <w:rFonts w:cs="Calibri"/>
                <w:sz w:val="16"/>
                <w:szCs w:val="16"/>
                <w:lang w:val="en-GB" w:eastAsia="en-GB"/>
              </w:rPr>
              <w:t>13</w:t>
            </w:r>
          </w:p>
        </w:tc>
      </w:tr>
      <w:tr w:rsidRPr="00617FE0" w:rsidR="00B52D66" w:rsidTr="003E014E" w14:paraId="0293F348" w14:textId="77777777">
        <w:trPr>
          <w:trHeight w:val="300"/>
        </w:trPr>
        <w:tc>
          <w:tcPr>
            <w:tcW w:w="2104" w:type="dxa"/>
            <w:gridSpan w:val="2"/>
            <w:tcBorders>
              <w:top w:val="nil"/>
              <w:left w:val="nil"/>
              <w:bottom w:val="nil"/>
              <w:right w:val="nil"/>
            </w:tcBorders>
            <w:noWrap/>
            <w:vAlign w:val="bottom"/>
            <w:hideMark/>
          </w:tcPr>
          <w:p w:rsidRPr="00617FE0" w:rsidR="00B52D66" w:rsidP="00FC2172" w:rsidRDefault="00B52D66" w14:paraId="6CF1013A" w14:textId="77777777">
            <w:pPr>
              <w:spacing w:line="240" w:lineRule="auto"/>
              <w:rPr>
                <w:rFonts w:cs="Calibri"/>
                <w:sz w:val="16"/>
                <w:szCs w:val="16"/>
                <w:lang w:val="en-GB" w:eastAsia="en-GB"/>
              </w:rPr>
            </w:pPr>
            <w:r w:rsidRPr="00617FE0">
              <w:rPr>
                <w:rFonts w:cs="Calibri"/>
                <w:sz w:val="16"/>
                <w:szCs w:val="16"/>
                <w:lang w:val="en-GB" w:eastAsia="en-GB"/>
              </w:rPr>
              <w:t>MVI</w:t>
            </w:r>
          </w:p>
        </w:tc>
        <w:tc>
          <w:tcPr>
            <w:tcW w:w="983" w:type="dxa"/>
            <w:gridSpan w:val="3"/>
            <w:tcBorders>
              <w:top w:val="nil"/>
              <w:left w:val="nil"/>
              <w:bottom w:val="nil"/>
              <w:right w:val="nil"/>
            </w:tcBorders>
            <w:noWrap/>
            <w:vAlign w:val="center"/>
            <w:hideMark/>
          </w:tcPr>
          <w:p w:rsidRPr="00617FE0" w:rsidR="00B52D66" w:rsidP="00FC2172" w:rsidRDefault="00B52D66" w14:paraId="74C8F11F" w14:textId="77777777">
            <w:pPr>
              <w:spacing w:line="240" w:lineRule="auto"/>
              <w:jc w:val="center"/>
              <w:rPr>
                <w:rFonts w:cs="Calibri"/>
                <w:sz w:val="16"/>
                <w:szCs w:val="16"/>
                <w:lang w:val="en-GB" w:eastAsia="en-GB"/>
              </w:rPr>
            </w:pPr>
            <w:r w:rsidRPr="00617FE0">
              <w:rPr>
                <w:rFonts w:cs="Calibri"/>
                <w:sz w:val="16"/>
                <w:szCs w:val="16"/>
                <w:lang w:val="en-GB" w:eastAsia="en-GB"/>
              </w:rPr>
              <w:t>32</w:t>
            </w:r>
          </w:p>
        </w:tc>
        <w:tc>
          <w:tcPr>
            <w:tcW w:w="975" w:type="dxa"/>
            <w:tcBorders>
              <w:top w:val="nil"/>
              <w:left w:val="nil"/>
              <w:bottom w:val="nil"/>
              <w:right w:val="nil"/>
            </w:tcBorders>
            <w:noWrap/>
            <w:vAlign w:val="center"/>
            <w:hideMark/>
          </w:tcPr>
          <w:p w:rsidRPr="00617FE0" w:rsidR="00B52D66" w:rsidP="00FC2172" w:rsidRDefault="00B52D66" w14:paraId="5BD7378F" w14:textId="77777777">
            <w:pPr>
              <w:spacing w:line="240" w:lineRule="auto"/>
              <w:jc w:val="center"/>
              <w:rPr>
                <w:rFonts w:cs="Calibri"/>
                <w:sz w:val="16"/>
                <w:szCs w:val="16"/>
                <w:lang w:val="en-GB" w:eastAsia="en-GB"/>
              </w:rPr>
            </w:pPr>
            <w:r w:rsidRPr="00617FE0">
              <w:rPr>
                <w:rFonts w:cs="Calibri"/>
                <w:sz w:val="16"/>
                <w:szCs w:val="16"/>
                <w:lang w:val="en-GB" w:eastAsia="en-GB"/>
              </w:rPr>
              <w:t>21</w:t>
            </w:r>
          </w:p>
        </w:tc>
        <w:tc>
          <w:tcPr>
            <w:tcW w:w="1080" w:type="dxa"/>
            <w:gridSpan w:val="2"/>
            <w:tcBorders>
              <w:top w:val="nil"/>
              <w:left w:val="nil"/>
              <w:bottom w:val="nil"/>
              <w:right w:val="nil"/>
            </w:tcBorders>
            <w:noWrap/>
            <w:vAlign w:val="center"/>
            <w:hideMark/>
          </w:tcPr>
          <w:p w:rsidRPr="00617FE0" w:rsidR="00B52D66" w:rsidP="00FC2172" w:rsidRDefault="00B52D66" w14:paraId="6A7B482E" w14:textId="77777777">
            <w:pPr>
              <w:spacing w:line="240" w:lineRule="auto"/>
              <w:jc w:val="center"/>
              <w:rPr>
                <w:rFonts w:cs="Calibri"/>
                <w:sz w:val="16"/>
                <w:szCs w:val="16"/>
                <w:lang w:val="en-GB" w:eastAsia="en-GB"/>
              </w:rPr>
            </w:pPr>
            <w:r w:rsidRPr="00617FE0">
              <w:rPr>
                <w:rFonts w:cs="Calibri"/>
                <w:sz w:val="16"/>
                <w:szCs w:val="16"/>
                <w:lang w:val="en-GB" w:eastAsia="en-GB"/>
              </w:rPr>
              <w:t>5</w:t>
            </w:r>
          </w:p>
        </w:tc>
        <w:tc>
          <w:tcPr>
            <w:tcW w:w="1181" w:type="dxa"/>
            <w:gridSpan w:val="3"/>
            <w:tcBorders>
              <w:top w:val="nil"/>
              <w:left w:val="nil"/>
              <w:bottom w:val="nil"/>
              <w:right w:val="nil"/>
            </w:tcBorders>
            <w:noWrap/>
            <w:vAlign w:val="center"/>
            <w:hideMark/>
          </w:tcPr>
          <w:p w:rsidRPr="00617FE0" w:rsidR="00B52D66" w:rsidP="00FC2172" w:rsidRDefault="00B52D66" w14:paraId="168D07BF" w14:textId="77777777">
            <w:pPr>
              <w:spacing w:line="240" w:lineRule="auto"/>
              <w:jc w:val="center"/>
              <w:rPr>
                <w:rFonts w:cs="Calibri"/>
                <w:sz w:val="16"/>
                <w:szCs w:val="16"/>
                <w:lang w:val="en-GB" w:eastAsia="en-GB"/>
              </w:rPr>
            </w:pPr>
            <w:r w:rsidRPr="00617FE0">
              <w:rPr>
                <w:rFonts w:cs="Calibri"/>
                <w:sz w:val="16"/>
                <w:szCs w:val="16"/>
                <w:lang w:val="en-GB" w:eastAsia="en-GB"/>
              </w:rPr>
              <w:t>5</w:t>
            </w:r>
          </w:p>
        </w:tc>
        <w:tc>
          <w:tcPr>
            <w:tcW w:w="984" w:type="dxa"/>
            <w:gridSpan w:val="2"/>
            <w:tcBorders>
              <w:top w:val="nil"/>
              <w:left w:val="nil"/>
              <w:bottom w:val="nil"/>
              <w:right w:val="nil"/>
            </w:tcBorders>
            <w:noWrap/>
            <w:vAlign w:val="center"/>
            <w:hideMark/>
          </w:tcPr>
          <w:p w:rsidRPr="00617FE0" w:rsidR="00B52D66" w:rsidP="00FC2172" w:rsidRDefault="00B52D66" w14:paraId="3B6EE79B" w14:textId="77777777">
            <w:pPr>
              <w:spacing w:line="240" w:lineRule="auto"/>
              <w:jc w:val="center"/>
              <w:rPr>
                <w:rFonts w:cs="Calibri"/>
                <w:sz w:val="16"/>
                <w:szCs w:val="16"/>
                <w:lang w:val="en-GB" w:eastAsia="en-GB"/>
              </w:rPr>
            </w:pPr>
            <w:r w:rsidRPr="00617FE0">
              <w:rPr>
                <w:rFonts w:cs="Calibri"/>
                <w:sz w:val="16"/>
                <w:szCs w:val="16"/>
                <w:lang w:val="en-GB" w:eastAsia="en-GB"/>
              </w:rPr>
              <w:t>37</w:t>
            </w:r>
          </w:p>
        </w:tc>
        <w:tc>
          <w:tcPr>
            <w:tcW w:w="1170" w:type="dxa"/>
            <w:gridSpan w:val="3"/>
            <w:tcBorders>
              <w:top w:val="nil"/>
              <w:left w:val="nil"/>
              <w:bottom w:val="nil"/>
              <w:right w:val="nil"/>
            </w:tcBorders>
            <w:noWrap/>
            <w:vAlign w:val="center"/>
            <w:hideMark/>
          </w:tcPr>
          <w:p w:rsidRPr="00617FE0" w:rsidR="00B52D66" w:rsidP="00FC2172" w:rsidRDefault="00B52D66" w14:paraId="28B7E825" w14:textId="77777777">
            <w:pPr>
              <w:spacing w:line="240" w:lineRule="auto"/>
              <w:jc w:val="center"/>
              <w:rPr>
                <w:rFonts w:cs="Calibri"/>
                <w:sz w:val="16"/>
                <w:szCs w:val="16"/>
                <w:lang w:val="en-GB" w:eastAsia="en-GB"/>
              </w:rPr>
            </w:pPr>
            <w:r w:rsidRPr="00617FE0">
              <w:rPr>
                <w:rFonts w:cs="Calibri"/>
                <w:sz w:val="16"/>
                <w:szCs w:val="16"/>
                <w:lang w:val="en-GB" w:eastAsia="en-GB"/>
              </w:rPr>
              <w:t>22</w:t>
            </w:r>
          </w:p>
        </w:tc>
        <w:tc>
          <w:tcPr>
            <w:tcW w:w="1170" w:type="dxa"/>
            <w:tcBorders>
              <w:top w:val="nil"/>
              <w:left w:val="nil"/>
              <w:bottom w:val="nil"/>
              <w:right w:val="nil"/>
            </w:tcBorders>
            <w:noWrap/>
            <w:vAlign w:val="center"/>
            <w:hideMark/>
          </w:tcPr>
          <w:p w:rsidRPr="00617FE0" w:rsidR="00B52D66" w:rsidP="00FC2172" w:rsidRDefault="00B52D66" w14:paraId="3251AE2E" w14:textId="77777777">
            <w:pPr>
              <w:spacing w:line="240" w:lineRule="auto"/>
              <w:jc w:val="center"/>
              <w:rPr>
                <w:rFonts w:cs="Calibri"/>
                <w:sz w:val="16"/>
                <w:szCs w:val="16"/>
                <w:lang w:val="en-GB" w:eastAsia="en-GB"/>
              </w:rPr>
            </w:pPr>
            <w:r w:rsidRPr="00617FE0">
              <w:rPr>
                <w:rFonts w:cs="Calibri"/>
                <w:sz w:val="16"/>
                <w:szCs w:val="16"/>
                <w:lang w:val="en-GB" w:eastAsia="en-GB"/>
              </w:rPr>
              <w:t>23</w:t>
            </w:r>
          </w:p>
        </w:tc>
      </w:tr>
      <w:tr w:rsidRPr="00617FE0" w:rsidR="00B52D66" w:rsidTr="003E014E" w14:paraId="374DF5E5" w14:textId="77777777">
        <w:trPr>
          <w:trHeight w:val="300"/>
        </w:trPr>
        <w:tc>
          <w:tcPr>
            <w:tcW w:w="2104" w:type="dxa"/>
            <w:gridSpan w:val="2"/>
            <w:tcBorders>
              <w:top w:val="nil"/>
              <w:left w:val="nil"/>
              <w:bottom w:val="nil"/>
              <w:right w:val="nil"/>
            </w:tcBorders>
            <w:noWrap/>
            <w:vAlign w:val="bottom"/>
            <w:hideMark/>
          </w:tcPr>
          <w:p w:rsidRPr="00617FE0" w:rsidR="00B52D66" w:rsidP="00FC2172" w:rsidRDefault="00B52D66" w14:paraId="00E8B919" w14:textId="77777777">
            <w:pPr>
              <w:spacing w:line="240" w:lineRule="auto"/>
              <w:rPr>
                <w:rFonts w:cs="Calibri"/>
                <w:sz w:val="16"/>
                <w:szCs w:val="16"/>
                <w:lang w:val="en-GB" w:eastAsia="en-GB"/>
              </w:rPr>
            </w:pPr>
            <w:r w:rsidRPr="00617FE0">
              <w:rPr>
                <w:rFonts w:cs="Calibri"/>
                <w:sz w:val="16"/>
                <w:szCs w:val="16"/>
                <w:lang w:val="en-GB" w:eastAsia="en-GB"/>
              </w:rPr>
              <w:t>M&amp;T</w:t>
            </w:r>
          </w:p>
        </w:tc>
        <w:tc>
          <w:tcPr>
            <w:tcW w:w="983" w:type="dxa"/>
            <w:gridSpan w:val="3"/>
            <w:tcBorders>
              <w:top w:val="nil"/>
              <w:left w:val="nil"/>
              <w:bottom w:val="nil"/>
              <w:right w:val="nil"/>
            </w:tcBorders>
            <w:noWrap/>
            <w:vAlign w:val="center"/>
            <w:hideMark/>
          </w:tcPr>
          <w:p w:rsidRPr="00617FE0" w:rsidR="00B52D66" w:rsidP="00FC2172" w:rsidRDefault="00B52D66" w14:paraId="7B11A070" w14:textId="77777777">
            <w:pPr>
              <w:spacing w:line="240" w:lineRule="auto"/>
              <w:jc w:val="center"/>
              <w:rPr>
                <w:rFonts w:cs="Calibri"/>
                <w:sz w:val="16"/>
                <w:szCs w:val="16"/>
                <w:lang w:val="en-GB" w:eastAsia="en-GB"/>
              </w:rPr>
            </w:pPr>
            <w:r w:rsidRPr="00617FE0">
              <w:rPr>
                <w:rFonts w:cs="Calibri"/>
                <w:sz w:val="16"/>
                <w:szCs w:val="16"/>
                <w:lang w:val="en-GB" w:eastAsia="en-GB"/>
              </w:rPr>
              <w:t>55</w:t>
            </w:r>
          </w:p>
        </w:tc>
        <w:tc>
          <w:tcPr>
            <w:tcW w:w="975" w:type="dxa"/>
            <w:tcBorders>
              <w:top w:val="nil"/>
              <w:left w:val="nil"/>
              <w:bottom w:val="nil"/>
              <w:right w:val="nil"/>
            </w:tcBorders>
            <w:noWrap/>
            <w:vAlign w:val="center"/>
            <w:hideMark/>
          </w:tcPr>
          <w:p w:rsidRPr="00617FE0" w:rsidR="00B52D66" w:rsidP="00FC2172" w:rsidRDefault="00B52D66" w14:paraId="6E44EDE7" w14:textId="77777777">
            <w:pPr>
              <w:spacing w:line="240" w:lineRule="auto"/>
              <w:jc w:val="center"/>
              <w:rPr>
                <w:rFonts w:cs="Calibri"/>
                <w:sz w:val="16"/>
                <w:szCs w:val="16"/>
                <w:lang w:val="en-GB" w:eastAsia="en-GB"/>
              </w:rPr>
            </w:pPr>
            <w:r w:rsidRPr="00617FE0">
              <w:rPr>
                <w:rFonts w:cs="Calibri"/>
                <w:sz w:val="16"/>
                <w:szCs w:val="16"/>
                <w:lang w:val="en-GB" w:eastAsia="en-GB"/>
              </w:rPr>
              <w:t>23</w:t>
            </w:r>
          </w:p>
        </w:tc>
        <w:tc>
          <w:tcPr>
            <w:tcW w:w="1080" w:type="dxa"/>
            <w:gridSpan w:val="2"/>
            <w:tcBorders>
              <w:top w:val="nil"/>
              <w:left w:val="nil"/>
              <w:bottom w:val="nil"/>
              <w:right w:val="nil"/>
            </w:tcBorders>
            <w:noWrap/>
            <w:vAlign w:val="center"/>
            <w:hideMark/>
          </w:tcPr>
          <w:p w:rsidRPr="00617FE0" w:rsidR="00B52D66" w:rsidP="00FC2172" w:rsidRDefault="00B52D66" w14:paraId="6567A270" w14:textId="77777777">
            <w:pPr>
              <w:spacing w:line="240" w:lineRule="auto"/>
              <w:jc w:val="center"/>
              <w:rPr>
                <w:rFonts w:cs="Calibri"/>
                <w:sz w:val="16"/>
                <w:szCs w:val="16"/>
                <w:lang w:val="en-GB" w:eastAsia="en-GB"/>
              </w:rPr>
            </w:pPr>
            <w:r w:rsidRPr="00617FE0">
              <w:rPr>
                <w:rFonts w:cs="Calibri"/>
                <w:sz w:val="16"/>
                <w:szCs w:val="16"/>
                <w:lang w:val="en-GB" w:eastAsia="en-GB"/>
              </w:rPr>
              <w:t>18</w:t>
            </w:r>
          </w:p>
        </w:tc>
        <w:tc>
          <w:tcPr>
            <w:tcW w:w="1181" w:type="dxa"/>
            <w:gridSpan w:val="3"/>
            <w:tcBorders>
              <w:top w:val="nil"/>
              <w:left w:val="nil"/>
              <w:bottom w:val="nil"/>
              <w:right w:val="nil"/>
            </w:tcBorders>
            <w:noWrap/>
            <w:vAlign w:val="center"/>
            <w:hideMark/>
          </w:tcPr>
          <w:p w:rsidRPr="00617FE0" w:rsidR="00B52D66" w:rsidP="00FC2172" w:rsidRDefault="00B52D66" w14:paraId="53CF95B4" w14:textId="77777777">
            <w:pPr>
              <w:spacing w:line="240" w:lineRule="auto"/>
              <w:jc w:val="center"/>
              <w:rPr>
                <w:rFonts w:cs="Calibri"/>
                <w:sz w:val="16"/>
                <w:szCs w:val="16"/>
                <w:lang w:val="en-GB" w:eastAsia="en-GB"/>
              </w:rPr>
            </w:pPr>
            <w:r w:rsidRPr="00617FE0">
              <w:rPr>
                <w:rFonts w:cs="Calibri"/>
                <w:sz w:val="16"/>
                <w:szCs w:val="16"/>
                <w:lang w:val="en-GB" w:eastAsia="en-GB"/>
              </w:rPr>
              <w:t>0</w:t>
            </w:r>
          </w:p>
        </w:tc>
        <w:tc>
          <w:tcPr>
            <w:tcW w:w="984" w:type="dxa"/>
            <w:gridSpan w:val="2"/>
            <w:tcBorders>
              <w:top w:val="nil"/>
              <w:left w:val="nil"/>
              <w:bottom w:val="nil"/>
              <w:right w:val="nil"/>
            </w:tcBorders>
            <w:noWrap/>
            <w:vAlign w:val="center"/>
            <w:hideMark/>
          </w:tcPr>
          <w:p w:rsidRPr="00617FE0" w:rsidR="00B52D66" w:rsidP="00FC2172" w:rsidRDefault="00B52D66" w14:paraId="5DAEED43" w14:textId="77777777">
            <w:pPr>
              <w:spacing w:line="240" w:lineRule="auto"/>
              <w:jc w:val="center"/>
              <w:rPr>
                <w:rFonts w:cs="Calibri"/>
                <w:sz w:val="16"/>
                <w:szCs w:val="16"/>
                <w:lang w:val="en-GB" w:eastAsia="en-GB"/>
              </w:rPr>
            </w:pPr>
            <w:r w:rsidRPr="00617FE0">
              <w:rPr>
                <w:rFonts w:cs="Calibri"/>
                <w:sz w:val="16"/>
                <w:szCs w:val="16"/>
                <w:lang w:val="en-GB" w:eastAsia="en-GB"/>
              </w:rPr>
              <w:t>5</w:t>
            </w:r>
          </w:p>
        </w:tc>
        <w:tc>
          <w:tcPr>
            <w:tcW w:w="1170" w:type="dxa"/>
            <w:gridSpan w:val="3"/>
            <w:tcBorders>
              <w:top w:val="nil"/>
              <w:left w:val="nil"/>
              <w:bottom w:val="nil"/>
              <w:right w:val="nil"/>
            </w:tcBorders>
            <w:noWrap/>
            <w:vAlign w:val="center"/>
            <w:hideMark/>
          </w:tcPr>
          <w:p w:rsidRPr="00617FE0" w:rsidR="00B52D66" w:rsidP="00FC2172" w:rsidRDefault="00B52D66" w14:paraId="1AD0F923" w14:textId="77777777">
            <w:pPr>
              <w:spacing w:line="240" w:lineRule="auto"/>
              <w:jc w:val="center"/>
              <w:rPr>
                <w:rFonts w:cs="Calibri"/>
                <w:sz w:val="16"/>
                <w:szCs w:val="16"/>
                <w:lang w:val="en-GB" w:eastAsia="en-GB"/>
              </w:rPr>
            </w:pPr>
            <w:r w:rsidRPr="00617FE0">
              <w:rPr>
                <w:rFonts w:cs="Calibri"/>
                <w:sz w:val="16"/>
                <w:szCs w:val="16"/>
                <w:lang w:val="en-GB" w:eastAsia="en-GB"/>
              </w:rPr>
              <w:t>8</w:t>
            </w:r>
          </w:p>
        </w:tc>
        <w:tc>
          <w:tcPr>
            <w:tcW w:w="1170" w:type="dxa"/>
            <w:tcBorders>
              <w:top w:val="nil"/>
              <w:left w:val="nil"/>
              <w:bottom w:val="nil"/>
              <w:right w:val="nil"/>
            </w:tcBorders>
            <w:noWrap/>
            <w:vAlign w:val="center"/>
            <w:hideMark/>
          </w:tcPr>
          <w:p w:rsidRPr="00617FE0" w:rsidR="00B52D66" w:rsidP="00FC2172" w:rsidRDefault="00B52D66" w14:paraId="5DF2665D" w14:textId="77777777">
            <w:pPr>
              <w:spacing w:line="240" w:lineRule="auto"/>
              <w:jc w:val="center"/>
              <w:rPr>
                <w:rFonts w:cs="Calibri"/>
                <w:sz w:val="16"/>
                <w:szCs w:val="16"/>
                <w:lang w:val="en-GB" w:eastAsia="en-GB"/>
              </w:rPr>
            </w:pPr>
            <w:r w:rsidRPr="00617FE0">
              <w:rPr>
                <w:rFonts w:cs="Calibri"/>
                <w:sz w:val="16"/>
                <w:szCs w:val="16"/>
                <w:lang w:val="en-GB" w:eastAsia="en-GB"/>
              </w:rPr>
              <w:t>7</w:t>
            </w:r>
          </w:p>
        </w:tc>
      </w:tr>
      <w:tr w:rsidRPr="00617FE0" w:rsidR="00B52D66" w:rsidTr="003E014E" w14:paraId="19E64DDF" w14:textId="77777777">
        <w:trPr>
          <w:trHeight w:val="300"/>
        </w:trPr>
        <w:tc>
          <w:tcPr>
            <w:tcW w:w="2104" w:type="dxa"/>
            <w:gridSpan w:val="2"/>
            <w:tcBorders>
              <w:top w:val="nil"/>
              <w:left w:val="nil"/>
              <w:bottom w:val="single" w:color="auto" w:sz="4" w:space="0"/>
              <w:right w:val="nil"/>
            </w:tcBorders>
            <w:noWrap/>
            <w:vAlign w:val="bottom"/>
            <w:hideMark/>
          </w:tcPr>
          <w:p w:rsidRPr="00617FE0" w:rsidR="00B52D66" w:rsidP="00FC2172" w:rsidRDefault="00B52D66" w14:paraId="44DF328D" w14:textId="77777777">
            <w:pPr>
              <w:spacing w:line="240" w:lineRule="auto"/>
              <w:rPr>
                <w:rFonts w:cs="Calibri"/>
                <w:sz w:val="16"/>
                <w:szCs w:val="16"/>
                <w:lang w:val="en-GB" w:eastAsia="en-GB"/>
              </w:rPr>
            </w:pPr>
            <w:r w:rsidRPr="00617FE0">
              <w:rPr>
                <w:rFonts w:cs="Calibri"/>
                <w:sz w:val="16"/>
                <w:szCs w:val="16"/>
                <w:lang w:val="en-GB" w:eastAsia="en-GB"/>
              </w:rPr>
              <w:t>PIE</w:t>
            </w:r>
          </w:p>
        </w:tc>
        <w:tc>
          <w:tcPr>
            <w:tcW w:w="983" w:type="dxa"/>
            <w:gridSpan w:val="3"/>
            <w:tcBorders>
              <w:top w:val="nil"/>
              <w:left w:val="nil"/>
              <w:bottom w:val="single" w:color="auto" w:sz="4" w:space="0"/>
              <w:right w:val="nil"/>
            </w:tcBorders>
            <w:noWrap/>
            <w:vAlign w:val="center"/>
            <w:hideMark/>
          </w:tcPr>
          <w:p w:rsidRPr="00617FE0" w:rsidR="00B52D66" w:rsidP="00FC2172" w:rsidRDefault="00B52D66" w14:paraId="41A31554" w14:textId="77777777">
            <w:pPr>
              <w:spacing w:line="240" w:lineRule="auto"/>
              <w:jc w:val="center"/>
              <w:rPr>
                <w:rFonts w:cs="Calibri"/>
                <w:sz w:val="16"/>
                <w:szCs w:val="16"/>
                <w:lang w:val="en-GB" w:eastAsia="en-GB"/>
              </w:rPr>
            </w:pPr>
            <w:r w:rsidRPr="00617FE0">
              <w:rPr>
                <w:rFonts w:cs="Calibri"/>
                <w:sz w:val="16"/>
                <w:szCs w:val="16"/>
                <w:lang w:val="en-GB" w:eastAsia="en-GB"/>
              </w:rPr>
              <w:t>31</w:t>
            </w:r>
          </w:p>
        </w:tc>
        <w:tc>
          <w:tcPr>
            <w:tcW w:w="975" w:type="dxa"/>
            <w:tcBorders>
              <w:top w:val="nil"/>
              <w:left w:val="nil"/>
              <w:bottom w:val="single" w:color="auto" w:sz="4" w:space="0"/>
              <w:right w:val="nil"/>
            </w:tcBorders>
            <w:noWrap/>
            <w:vAlign w:val="center"/>
            <w:hideMark/>
          </w:tcPr>
          <w:p w:rsidRPr="00617FE0" w:rsidR="00B52D66" w:rsidP="00FC2172" w:rsidRDefault="00B52D66" w14:paraId="287603A5" w14:textId="77777777">
            <w:pPr>
              <w:spacing w:line="240" w:lineRule="auto"/>
              <w:jc w:val="center"/>
              <w:rPr>
                <w:rFonts w:cs="Calibri"/>
                <w:sz w:val="16"/>
                <w:szCs w:val="16"/>
                <w:lang w:val="en-GB" w:eastAsia="en-GB"/>
              </w:rPr>
            </w:pPr>
            <w:r w:rsidRPr="00617FE0">
              <w:rPr>
                <w:rFonts w:cs="Calibri"/>
                <w:sz w:val="16"/>
                <w:szCs w:val="16"/>
                <w:lang w:val="en-GB" w:eastAsia="en-GB"/>
              </w:rPr>
              <w:t>32</w:t>
            </w:r>
          </w:p>
        </w:tc>
        <w:tc>
          <w:tcPr>
            <w:tcW w:w="1080" w:type="dxa"/>
            <w:gridSpan w:val="2"/>
            <w:tcBorders>
              <w:top w:val="nil"/>
              <w:left w:val="nil"/>
              <w:bottom w:val="single" w:color="auto" w:sz="4" w:space="0"/>
              <w:right w:val="nil"/>
            </w:tcBorders>
            <w:noWrap/>
            <w:vAlign w:val="center"/>
            <w:hideMark/>
          </w:tcPr>
          <w:p w:rsidRPr="00617FE0" w:rsidR="00B52D66" w:rsidP="00FC2172" w:rsidRDefault="00B52D66" w14:paraId="52769965" w14:textId="77777777">
            <w:pPr>
              <w:spacing w:line="240" w:lineRule="auto"/>
              <w:jc w:val="center"/>
              <w:rPr>
                <w:rFonts w:cs="Calibri"/>
                <w:sz w:val="16"/>
                <w:szCs w:val="16"/>
                <w:lang w:val="en-GB" w:eastAsia="en-GB"/>
              </w:rPr>
            </w:pPr>
            <w:r w:rsidRPr="00617FE0">
              <w:rPr>
                <w:rFonts w:cs="Calibri"/>
                <w:sz w:val="16"/>
                <w:szCs w:val="16"/>
                <w:lang w:val="en-GB" w:eastAsia="en-GB"/>
              </w:rPr>
              <w:t>23</w:t>
            </w:r>
          </w:p>
        </w:tc>
        <w:tc>
          <w:tcPr>
            <w:tcW w:w="1181" w:type="dxa"/>
            <w:gridSpan w:val="3"/>
            <w:tcBorders>
              <w:top w:val="nil"/>
              <w:left w:val="nil"/>
              <w:bottom w:val="single" w:color="auto" w:sz="4" w:space="0"/>
              <w:right w:val="nil"/>
            </w:tcBorders>
            <w:noWrap/>
            <w:vAlign w:val="center"/>
            <w:hideMark/>
          </w:tcPr>
          <w:p w:rsidRPr="00617FE0" w:rsidR="00B52D66" w:rsidP="00FC2172" w:rsidRDefault="00B52D66" w14:paraId="2AE7AA55" w14:textId="77777777">
            <w:pPr>
              <w:spacing w:line="240" w:lineRule="auto"/>
              <w:jc w:val="center"/>
              <w:rPr>
                <w:rFonts w:cs="Calibri"/>
                <w:sz w:val="16"/>
                <w:szCs w:val="16"/>
                <w:lang w:val="en-GB" w:eastAsia="en-GB"/>
              </w:rPr>
            </w:pPr>
            <w:r w:rsidRPr="00617FE0">
              <w:rPr>
                <w:rFonts w:cs="Calibri"/>
                <w:sz w:val="16"/>
                <w:szCs w:val="16"/>
                <w:lang w:val="en-GB" w:eastAsia="en-GB"/>
              </w:rPr>
              <w:t>12</w:t>
            </w:r>
          </w:p>
        </w:tc>
        <w:tc>
          <w:tcPr>
            <w:tcW w:w="984" w:type="dxa"/>
            <w:gridSpan w:val="2"/>
            <w:tcBorders>
              <w:top w:val="nil"/>
              <w:left w:val="nil"/>
              <w:bottom w:val="single" w:color="auto" w:sz="4" w:space="0"/>
              <w:right w:val="nil"/>
            </w:tcBorders>
            <w:noWrap/>
            <w:vAlign w:val="center"/>
            <w:hideMark/>
          </w:tcPr>
          <w:p w:rsidRPr="00617FE0" w:rsidR="00B52D66" w:rsidP="00FC2172" w:rsidRDefault="00B52D66" w14:paraId="147E5546" w14:textId="77777777">
            <w:pPr>
              <w:spacing w:line="240" w:lineRule="auto"/>
              <w:jc w:val="center"/>
              <w:rPr>
                <w:rFonts w:cs="Calibri"/>
                <w:sz w:val="16"/>
                <w:szCs w:val="16"/>
                <w:lang w:val="en-GB" w:eastAsia="en-GB"/>
              </w:rPr>
            </w:pPr>
            <w:r w:rsidRPr="00617FE0">
              <w:rPr>
                <w:rFonts w:cs="Calibri"/>
                <w:sz w:val="16"/>
                <w:szCs w:val="16"/>
                <w:lang w:val="en-GB" w:eastAsia="en-GB"/>
              </w:rPr>
              <w:t>2</w:t>
            </w:r>
          </w:p>
        </w:tc>
        <w:tc>
          <w:tcPr>
            <w:tcW w:w="1170" w:type="dxa"/>
            <w:gridSpan w:val="3"/>
            <w:tcBorders>
              <w:top w:val="nil"/>
              <w:left w:val="nil"/>
              <w:bottom w:val="single" w:color="auto" w:sz="4" w:space="0"/>
              <w:right w:val="nil"/>
            </w:tcBorders>
            <w:noWrap/>
            <w:vAlign w:val="center"/>
            <w:hideMark/>
          </w:tcPr>
          <w:p w:rsidRPr="00617FE0" w:rsidR="00B52D66" w:rsidP="00FC2172" w:rsidRDefault="00B52D66" w14:paraId="4D9A2277" w14:textId="77777777">
            <w:pPr>
              <w:spacing w:line="240" w:lineRule="auto"/>
              <w:jc w:val="center"/>
              <w:rPr>
                <w:rFonts w:cs="Calibri"/>
                <w:sz w:val="16"/>
                <w:szCs w:val="16"/>
                <w:lang w:val="en-GB" w:eastAsia="en-GB"/>
              </w:rPr>
            </w:pPr>
            <w:r w:rsidRPr="00617FE0">
              <w:rPr>
                <w:rFonts w:cs="Calibri"/>
                <w:sz w:val="16"/>
                <w:szCs w:val="16"/>
                <w:lang w:val="en-GB" w:eastAsia="en-GB"/>
              </w:rPr>
              <w:t>11</w:t>
            </w:r>
          </w:p>
        </w:tc>
        <w:tc>
          <w:tcPr>
            <w:tcW w:w="1170" w:type="dxa"/>
            <w:tcBorders>
              <w:top w:val="nil"/>
              <w:left w:val="nil"/>
              <w:bottom w:val="single" w:color="auto" w:sz="4" w:space="0"/>
              <w:right w:val="nil"/>
            </w:tcBorders>
            <w:noWrap/>
            <w:vAlign w:val="center"/>
            <w:hideMark/>
          </w:tcPr>
          <w:p w:rsidRPr="00617FE0" w:rsidR="00B52D66" w:rsidP="00FC2172" w:rsidRDefault="00B52D66" w14:paraId="2D290660" w14:textId="77777777">
            <w:pPr>
              <w:spacing w:line="240" w:lineRule="auto"/>
              <w:jc w:val="center"/>
              <w:rPr>
                <w:rFonts w:cs="Calibri"/>
                <w:sz w:val="16"/>
                <w:szCs w:val="16"/>
                <w:lang w:val="en-GB" w:eastAsia="en-GB"/>
              </w:rPr>
            </w:pPr>
            <w:r w:rsidRPr="00617FE0">
              <w:rPr>
                <w:rFonts w:cs="Calibri"/>
                <w:sz w:val="16"/>
                <w:szCs w:val="16"/>
                <w:lang w:val="en-GB" w:eastAsia="en-GB"/>
              </w:rPr>
              <w:t>11</w:t>
            </w:r>
          </w:p>
        </w:tc>
      </w:tr>
    </w:tbl>
    <w:p w:rsidRPr="00D26E09" w:rsidR="00B52D66" w:rsidP="00B52D66" w:rsidRDefault="00B52D66" w14:paraId="334611F2" w14:textId="07709E6F">
      <w:pPr>
        <w:pStyle w:val="Geenafstand"/>
      </w:pPr>
      <w:r>
        <w:t>Bron: DUO (eigen bewerking ROA).</w:t>
      </w:r>
      <w:r>
        <w:br/>
        <w:t>Not</w:t>
      </w:r>
      <w:r w:rsidR="1D364553">
        <w:t>en</w:t>
      </w:r>
      <w:r>
        <w:t xml:space="preserve">: </w:t>
      </w:r>
      <w:r w:rsidR="280CEBAA">
        <w:t>*</w:t>
      </w:r>
      <w:r w:rsidRPr="7C716BD1" w:rsidR="280CEBAA">
        <w:rPr>
          <w:rFonts w:eastAsia="Trebuchet MS" w:cs="Trebuchet MS"/>
          <w:szCs w:val="18"/>
          <w:lang w:val="nl"/>
        </w:rPr>
        <w:t xml:space="preserve"> Door kleine leerlingenaantallen in de profielen geven vmbo-docenten beroepsgericht vaak les aan combinaties van leerwegen (bb, kb, gl) en/of leerjaren (Centerdata, 2023).</w:t>
      </w:r>
      <w:r w:rsidR="280CEBAA">
        <w:t xml:space="preserve"> </w:t>
      </w:r>
      <w:r>
        <w:br/>
        <w:t>De hier gepresenteerde cijfers kunnen (marginaal) van de landelijke cijfers afwijken omdat niet alle derdejaarsleerlingen een technisch profiel op een vestiging volgen dat onder een STO-regio valt.</w:t>
      </w:r>
    </w:p>
    <w:p w:rsidR="00B52D66" w:rsidP="00B52D66" w:rsidRDefault="00B52D66" w14:paraId="222B31A7" w14:textId="77777777">
      <w:pPr>
        <w:rPr>
          <w:szCs w:val="18"/>
        </w:rPr>
      </w:pPr>
    </w:p>
    <w:p w:rsidRPr="00A45539" w:rsidR="00B52D66" w:rsidP="00B52D66" w:rsidRDefault="00B52D66" w14:paraId="6E1CAB1B" w14:textId="77777777">
      <w:pPr>
        <w:rPr>
          <w:szCs w:val="18"/>
        </w:rPr>
      </w:pPr>
    </w:p>
    <w:p w:rsidR="00B52D66" w:rsidP="00B52D66" w:rsidRDefault="00B52D66" w14:paraId="5CDD2A09" w14:textId="77777777">
      <w:pPr>
        <w:pStyle w:val="Kop3"/>
        <w:rPr>
          <w:szCs w:val="18"/>
        </w:rPr>
      </w:pPr>
      <w:bookmarkStart w:name="_Toc125541248" w:id="129"/>
      <w:bookmarkStart w:name="_Toc127528898" w:id="130"/>
      <w:bookmarkStart w:name="_Toc158042061" w:id="131"/>
      <w:bookmarkStart w:name="_Toc203573624" w:id="132"/>
      <w:r w:rsidRPr="00A45539">
        <w:rPr>
          <w:szCs w:val="18"/>
        </w:rPr>
        <w:t>Verschillen per STO-</w:t>
      </w:r>
      <w:r>
        <w:rPr>
          <w:szCs w:val="18"/>
        </w:rPr>
        <w:t>regio</w:t>
      </w:r>
      <w:r w:rsidRPr="00A45539">
        <w:rPr>
          <w:szCs w:val="18"/>
        </w:rPr>
        <w:t xml:space="preserve"> naar aantallen vestigingen per profiel</w:t>
      </w:r>
      <w:bookmarkEnd w:id="129"/>
      <w:bookmarkEnd w:id="130"/>
      <w:bookmarkEnd w:id="131"/>
      <w:bookmarkEnd w:id="132"/>
    </w:p>
    <w:p w:rsidRPr="00D96BB4" w:rsidR="00B52D66" w:rsidP="00B52D66" w:rsidRDefault="00B52D66" w14:paraId="2BA28598" w14:textId="77777777"/>
    <w:p w:rsidRPr="00A45539" w:rsidR="00B52D66" w:rsidP="00B52D66" w:rsidRDefault="00B52D66" w14:paraId="14EBE865" w14:textId="4EE8623A">
      <w:pPr>
        <w:jc w:val="both"/>
        <w:rPr>
          <w:szCs w:val="18"/>
        </w:rPr>
      </w:pPr>
      <w:r w:rsidRPr="00A45539">
        <w:rPr>
          <w:szCs w:val="18"/>
        </w:rPr>
        <w:t xml:space="preserve">Tabel </w:t>
      </w:r>
      <w:r w:rsidR="00346EBF">
        <w:rPr>
          <w:szCs w:val="18"/>
        </w:rPr>
        <w:t>B3</w:t>
      </w:r>
      <w:r>
        <w:rPr>
          <w:szCs w:val="18"/>
        </w:rPr>
        <w:t>.4</w:t>
      </w:r>
      <w:r w:rsidRPr="00A45539">
        <w:rPr>
          <w:szCs w:val="18"/>
        </w:rPr>
        <w:t xml:space="preserve"> toont per profiel en leerweg in hoeveel STO-regio’s de profielen worden aangeboden en of dit om één of meer vestigingen per STO-regio gaat. </w:t>
      </w:r>
      <w:r>
        <w:rPr>
          <w:szCs w:val="18"/>
        </w:rPr>
        <w:t xml:space="preserve">Daarnaast geven we een indicatie in hoeveel regio’s dit een vestiging betreft die met minder dan elf leerlingen werkt. </w:t>
      </w:r>
      <w:r w:rsidRPr="00A45539">
        <w:rPr>
          <w:szCs w:val="18"/>
        </w:rPr>
        <w:t xml:space="preserve">Leesvoorbeeld: Het profiel </w:t>
      </w:r>
      <w:r>
        <w:rPr>
          <w:szCs w:val="18"/>
        </w:rPr>
        <w:t>BWI</w:t>
      </w:r>
      <w:r w:rsidRPr="00A45539">
        <w:rPr>
          <w:szCs w:val="18"/>
        </w:rPr>
        <w:t xml:space="preserve"> wordt in de beroepsgerichte leerweg in </w:t>
      </w:r>
      <w:r>
        <w:rPr>
          <w:szCs w:val="18"/>
        </w:rPr>
        <w:t>69</w:t>
      </w:r>
      <w:r w:rsidRPr="00A45539">
        <w:rPr>
          <w:szCs w:val="18"/>
        </w:rPr>
        <w:t xml:space="preserve"> STO-regio’s aangeboden waarvan in </w:t>
      </w:r>
      <w:r>
        <w:rPr>
          <w:szCs w:val="18"/>
        </w:rPr>
        <w:t>55</w:t>
      </w:r>
      <w:r w:rsidRPr="00A45539">
        <w:rPr>
          <w:szCs w:val="18"/>
        </w:rPr>
        <w:t xml:space="preserve"> regio’s het aantal derdejaarsleerlingen hooguit 10 per vestiging telt. In ca. 5</w:t>
      </w:r>
      <w:r>
        <w:rPr>
          <w:szCs w:val="18"/>
        </w:rPr>
        <w:t>4</w:t>
      </w:r>
      <w:r w:rsidRPr="00A45539">
        <w:rPr>
          <w:szCs w:val="18"/>
        </w:rPr>
        <w:t xml:space="preserve"> procent (3</w:t>
      </w:r>
      <w:r>
        <w:rPr>
          <w:szCs w:val="18"/>
        </w:rPr>
        <w:t>7</w:t>
      </w:r>
      <w:r w:rsidRPr="00A45539">
        <w:rPr>
          <w:szCs w:val="18"/>
        </w:rPr>
        <w:t xml:space="preserve"> regio’s van de </w:t>
      </w:r>
      <w:r>
        <w:rPr>
          <w:szCs w:val="18"/>
        </w:rPr>
        <w:t>69</w:t>
      </w:r>
      <w:r w:rsidRPr="00A45539">
        <w:rPr>
          <w:szCs w:val="18"/>
        </w:rPr>
        <w:t xml:space="preserve">) van de STO-regio’s gaat het om meer dan één vestiging met groepen leerlingen kleiner dan 11. </w:t>
      </w:r>
    </w:p>
    <w:p w:rsidRPr="00A45539" w:rsidR="00B52D66" w:rsidP="00B52D66" w:rsidRDefault="00B52D66" w14:paraId="393F2BCE" w14:textId="77777777">
      <w:pPr>
        <w:jc w:val="both"/>
        <w:rPr>
          <w:szCs w:val="18"/>
        </w:rPr>
      </w:pPr>
    </w:p>
    <w:p w:rsidRPr="00A45539" w:rsidR="00B52D66" w:rsidP="00B52D66" w:rsidRDefault="00B52D66" w14:paraId="478051C1" w14:textId="77777777">
      <w:pPr>
        <w:jc w:val="both"/>
        <w:rPr>
          <w:szCs w:val="18"/>
        </w:rPr>
      </w:pPr>
      <w:r w:rsidRPr="00A45539">
        <w:rPr>
          <w:szCs w:val="18"/>
        </w:rPr>
        <w:t xml:space="preserve">De profielen PIE en BWI worden in bijna alle regio’s aangeboden in de bl en kl. Het gaat dan vooral om scholen in STO-regio’s met meer dan één vestiging. </w:t>
      </w:r>
      <w:r>
        <w:rPr>
          <w:szCs w:val="18"/>
        </w:rPr>
        <w:t>M&amp;T</w:t>
      </w:r>
      <w:r w:rsidRPr="00A45539">
        <w:rPr>
          <w:szCs w:val="18"/>
        </w:rPr>
        <w:t xml:space="preserve"> wordt ook in de meerderheid van de regio’s aangeboden, hier gaat het meestal om vestigingen met gemiddeld minder dan 11 leerlingen. </w:t>
      </w:r>
      <w:r>
        <w:rPr>
          <w:szCs w:val="18"/>
        </w:rPr>
        <w:t>MVI</w:t>
      </w:r>
      <w:r w:rsidRPr="00A45539">
        <w:rPr>
          <w:szCs w:val="18"/>
        </w:rPr>
        <w:t xml:space="preserve"> wordt in iets minder dan de helft van de STO-regio’s aangeboden, terwijl </w:t>
      </w:r>
      <w:r>
        <w:rPr>
          <w:szCs w:val="18"/>
        </w:rPr>
        <w:t>MaT</w:t>
      </w:r>
      <w:r w:rsidRPr="00A45539">
        <w:rPr>
          <w:szCs w:val="18"/>
        </w:rPr>
        <w:t xml:space="preserve"> maar in 5 regio’s in de bl en kl wordt aangeboden en in 4 regio’s in de gl. Over het algemeen worden de profielen minder vaak aangeboden in de gl en gaat het vaker om vestigingen met gemiddeld minder dan 11 leerlingen in de bl en gl dan in de kl.</w:t>
      </w:r>
    </w:p>
    <w:p w:rsidRPr="00A45539" w:rsidR="00B52D66" w:rsidP="00B52D66" w:rsidRDefault="00B52D66" w14:paraId="20CD43BD" w14:textId="77777777">
      <w:pPr>
        <w:jc w:val="both"/>
        <w:rPr>
          <w:szCs w:val="18"/>
        </w:rPr>
      </w:pPr>
    </w:p>
    <w:p w:rsidR="00B52D66" w:rsidP="00B52D66" w:rsidRDefault="00B52D66" w14:paraId="7DAC6F57" w14:textId="440D3D7C">
      <w:pPr>
        <w:pStyle w:val="Bijschrift"/>
      </w:pPr>
      <w:r w:rsidRPr="0065314C">
        <w:t xml:space="preserve">TABEL </w:t>
      </w:r>
      <w:r w:rsidR="00346EBF">
        <w:t>B3</w:t>
      </w:r>
      <w:r>
        <w:t>.4</w:t>
      </w:r>
      <w:r w:rsidRPr="0065314C">
        <w:t xml:space="preserve"> </w:t>
      </w:r>
      <w:r>
        <w:tab/>
      </w:r>
      <w:r w:rsidRPr="0065314C">
        <w:t>Aantal STO-regio’s dat profiel aanbiedt: met een of meer vestigingen en met gemiddeld minder dan 11 leerlingen per leerweg, schooljaar 202</w:t>
      </w:r>
      <w:r>
        <w:t>3</w:t>
      </w:r>
      <w:r w:rsidRPr="0065314C">
        <w:t>/202</w:t>
      </w:r>
      <w:r>
        <w:t>4</w:t>
      </w:r>
    </w:p>
    <w:tbl>
      <w:tblPr>
        <w:tblStyle w:val="Tabelrasterlicht"/>
        <w:tblW w:w="92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020"/>
        <w:gridCol w:w="1120"/>
        <w:gridCol w:w="960"/>
        <w:gridCol w:w="1120"/>
        <w:gridCol w:w="960"/>
        <w:gridCol w:w="1120"/>
        <w:gridCol w:w="960"/>
      </w:tblGrid>
      <w:tr w:rsidRPr="00EA2FEC" w:rsidR="00B52D66" w:rsidTr="00FC2172" w14:paraId="377BB4F3" w14:textId="77777777">
        <w:trPr>
          <w:trHeight w:val="290"/>
        </w:trPr>
        <w:tc>
          <w:tcPr>
            <w:tcW w:w="3020" w:type="dxa"/>
            <w:tcBorders>
              <w:top w:val="single" w:color="auto" w:sz="4" w:space="0"/>
            </w:tcBorders>
            <w:noWrap/>
            <w:hideMark/>
          </w:tcPr>
          <w:p w:rsidRPr="00EA2FEC" w:rsidR="00B52D66" w:rsidP="00FC2172" w:rsidRDefault="00B52D66" w14:paraId="5B3859F6" w14:textId="77777777">
            <w:pPr>
              <w:spacing w:line="240" w:lineRule="auto"/>
              <w:rPr>
                <w:rFonts w:cs="Calibri"/>
                <w:b/>
                <w:bCs/>
                <w:sz w:val="16"/>
                <w:szCs w:val="16"/>
                <w:lang w:eastAsia="en-GB"/>
              </w:rPr>
            </w:pPr>
            <w:r w:rsidRPr="00EA2FEC">
              <w:rPr>
                <w:rFonts w:cs="Calibri"/>
                <w:b/>
                <w:bCs/>
                <w:sz w:val="16"/>
                <w:szCs w:val="16"/>
                <w:lang w:eastAsia="en-GB"/>
              </w:rPr>
              <w:t>Profiel per leerweg</w:t>
            </w:r>
          </w:p>
        </w:tc>
        <w:tc>
          <w:tcPr>
            <w:tcW w:w="2080" w:type="dxa"/>
            <w:gridSpan w:val="2"/>
            <w:tcBorders>
              <w:top w:val="single" w:color="auto" w:sz="4" w:space="0"/>
            </w:tcBorders>
            <w:noWrap/>
            <w:hideMark/>
          </w:tcPr>
          <w:p w:rsidRPr="00EA2FEC" w:rsidR="00B52D66" w:rsidP="00FC2172" w:rsidRDefault="00B52D66" w14:paraId="1BE007DD" w14:textId="77777777">
            <w:pPr>
              <w:spacing w:line="240" w:lineRule="auto"/>
              <w:jc w:val="center"/>
              <w:rPr>
                <w:rFonts w:cs="Calibri"/>
                <w:b/>
                <w:bCs/>
                <w:sz w:val="16"/>
                <w:szCs w:val="16"/>
                <w:lang w:eastAsia="en-GB"/>
              </w:rPr>
            </w:pPr>
            <w:r w:rsidRPr="00EA2FEC">
              <w:rPr>
                <w:rFonts w:cs="Calibri"/>
                <w:b/>
                <w:bCs/>
                <w:sz w:val="16"/>
                <w:szCs w:val="16"/>
                <w:lang w:eastAsia="en-GB"/>
              </w:rPr>
              <w:t>Totaal</w:t>
            </w:r>
          </w:p>
        </w:tc>
        <w:tc>
          <w:tcPr>
            <w:tcW w:w="2080" w:type="dxa"/>
            <w:gridSpan w:val="2"/>
            <w:tcBorders>
              <w:top w:val="single" w:color="auto" w:sz="4" w:space="0"/>
            </w:tcBorders>
            <w:noWrap/>
            <w:hideMark/>
          </w:tcPr>
          <w:p w:rsidRPr="00EA2FEC" w:rsidR="00B52D66" w:rsidP="00FC2172" w:rsidRDefault="00B52D66" w14:paraId="7C9A666C" w14:textId="77777777">
            <w:pPr>
              <w:spacing w:line="240" w:lineRule="auto"/>
              <w:jc w:val="center"/>
              <w:rPr>
                <w:rFonts w:cs="Calibri"/>
                <w:b/>
                <w:bCs/>
                <w:sz w:val="16"/>
                <w:szCs w:val="16"/>
                <w:lang w:eastAsia="en-GB"/>
              </w:rPr>
            </w:pPr>
            <w:r w:rsidRPr="00EA2FEC">
              <w:rPr>
                <w:rFonts w:cs="Calibri"/>
                <w:b/>
                <w:bCs/>
                <w:sz w:val="16"/>
                <w:szCs w:val="16"/>
                <w:lang w:eastAsia="en-GB"/>
              </w:rPr>
              <w:t>Met 1 vestiging</w:t>
            </w:r>
          </w:p>
        </w:tc>
        <w:tc>
          <w:tcPr>
            <w:tcW w:w="2080" w:type="dxa"/>
            <w:gridSpan w:val="2"/>
            <w:tcBorders>
              <w:top w:val="single" w:color="auto" w:sz="4" w:space="0"/>
            </w:tcBorders>
            <w:noWrap/>
            <w:hideMark/>
          </w:tcPr>
          <w:p w:rsidRPr="00EA2FEC" w:rsidR="00B52D66" w:rsidP="00FC2172" w:rsidRDefault="00B52D66" w14:paraId="4A5845D4" w14:textId="77777777">
            <w:pPr>
              <w:spacing w:line="240" w:lineRule="auto"/>
              <w:jc w:val="center"/>
              <w:rPr>
                <w:rFonts w:cs="Calibri"/>
                <w:b/>
                <w:bCs/>
                <w:sz w:val="16"/>
                <w:szCs w:val="16"/>
                <w:lang w:eastAsia="en-GB"/>
              </w:rPr>
            </w:pPr>
            <w:r w:rsidRPr="00EA2FEC">
              <w:rPr>
                <w:rFonts w:cs="Calibri"/>
                <w:b/>
                <w:bCs/>
                <w:sz w:val="16"/>
                <w:szCs w:val="16"/>
                <w:lang w:eastAsia="en-GB"/>
              </w:rPr>
              <w:t>met &gt;1 vestiging</w:t>
            </w:r>
          </w:p>
        </w:tc>
      </w:tr>
      <w:tr w:rsidRPr="00EA2FEC" w:rsidR="00B52D66" w:rsidTr="00FC2172" w14:paraId="50080F47" w14:textId="77777777">
        <w:trPr>
          <w:trHeight w:val="580"/>
        </w:trPr>
        <w:tc>
          <w:tcPr>
            <w:tcW w:w="3020" w:type="dxa"/>
            <w:tcBorders>
              <w:bottom w:val="single" w:color="auto" w:sz="4" w:space="0"/>
            </w:tcBorders>
            <w:noWrap/>
            <w:hideMark/>
          </w:tcPr>
          <w:p w:rsidRPr="00EA2FEC" w:rsidR="00B52D66" w:rsidP="00FC2172" w:rsidRDefault="00B52D66" w14:paraId="1FD9AD70" w14:textId="77777777">
            <w:pPr>
              <w:spacing w:line="240" w:lineRule="auto"/>
              <w:rPr>
                <w:rFonts w:cs="Calibri"/>
                <w:sz w:val="16"/>
                <w:szCs w:val="16"/>
                <w:lang w:eastAsia="en-GB"/>
              </w:rPr>
            </w:pPr>
            <w:r w:rsidRPr="00EA2FEC">
              <w:rPr>
                <w:rFonts w:cs="Calibri"/>
                <w:sz w:val="16"/>
                <w:szCs w:val="16"/>
                <w:lang w:eastAsia="en-GB"/>
              </w:rPr>
              <w:t> </w:t>
            </w:r>
          </w:p>
        </w:tc>
        <w:tc>
          <w:tcPr>
            <w:tcW w:w="1120" w:type="dxa"/>
            <w:tcBorders>
              <w:bottom w:val="single" w:color="auto" w:sz="4" w:space="0"/>
            </w:tcBorders>
            <w:hideMark/>
          </w:tcPr>
          <w:p w:rsidRPr="00EA2FEC" w:rsidR="00B52D66" w:rsidP="00FC2172" w:rsidRDefault="00B52D66" w14:paraId="7CDF6F62" w14:textId="77777777">
            <w:pPr>
              <w:spacing w:line="240" w:lineRule="auto"/>
              <w:jc w:val="center"/>
              <w:rPr>
                <w:rFonts w:cs="Calibri"/>
                <w:sz w:val="16"/>
                <w:szCs w:val="16"/>
                <w:lang w:eastAsia="en-GB"/>
              </w:rPr>
            </w:pPr>
            <w:r w:rsidRPr="00EA2FEC">
              <w:rPr>
                <w:rFonts w:cs="Calibri"/>
                <w:sz w:val="16"/>
                <w:szCs w:val="16"/>
                <w:lang w:eastAsia="en-GB"/>
              </w:rPr>
              <w:t>Aantal STO-regio's</w:t>
            </w:r>
          </w:p>
        </w:tc>
        <w:tc>
          <w:tcPr>
            <w:tcW w:w="960" w:type="dxa"/>
            <w:tcBorders>
              <w:bottom w:val="single" w:color="auto" w:sz="4" w:space="0"/>
            </w:tcBorders>
            <w:noWrap/>
            <w:hideMark/>
          </w:tcPr>
          <w:p w:rsidRPr="00EA2FEC" w:rsidR="00B52D66" w:rsidP="00FC2172" w:rsidRDefault="00B52D66" w14:paraId="22C110AB" w14:textId="77777777">
            <w:pPr>
              <w:spacing w:line="240" w:lineRule="auto"/>
              <w:jc w:val="center"/>
              <w:rPr>
                <w:rFonts w:cs="Calibri"/>
                <w:sz w:val="16"/>
                <w:szCs w:val="16"/>
                <w:lang w:eastAsia="en-GB"/>
              </w:rPr>
            </w:pPr>
            <w:r w:rsidRPr="00EA2FEC">
              <w:rPr>
                <w:rFonts w:cs="Calibri"/>
                <w:sz w:val="16"/>
                <w:szCs w:val="16"/>
                <w:lang w:eastAsia="en-GB"/>
              </w:rPr>
              <w:t>lln&lt;11</w:t>
            </w:r>
          </w:p>
        </w:tc>
        <w:tc>
          <w:tcPr>
            <w:tcW w:w="1120" w:type="dxa"/>
            <w:tcBorders>
              <w:bottom w:val="single" w:color="auto" w:sz="4" w:space="0"/>
            </w:tcBorders>
            <w:hideMark/>
          </w:tcPr>
          <w:p w:rsidRPr="00EA2FEC" w:rsidR="00B52D66" w:rsidP="00FC2172" w:rsidRDefault="00B52D66" w14:paraId="63A93295" w14:textId="77777777">
            <w:pPr>
              <w:spacing w:line="240" w:lineRule="auto"/>
              <w:jc w:val="center"/>
              <w:rPr>
                <w:rFonts w:cs="Calibri"/>
                <w:sz w:val="16"/>
                <w:szCs w:val="16"/>
                <w:lang w:eastAsia="en-GB"/>
              </w:rPr>
            </w:pPr>
            <w:r w:rsidRPr="00EA2FEC">
              <w:rPr>
                <w:rFonts w:cs="Calibri"/>
                <w:sz w:val="16"/>
                <w:szCs w:val="16"/>
                <w:lang w:eastAsia="en-GB"/>
              </w:rPr>
              <w:t>Aantal STO-regio's</w:t>
            </w:r>
          </w:p>
        </w:tc>
        <w:tc>
          <w:tcPr>
            <w:tcW w:w="960" w:type="dxa"/>
            <w:tcBorders>
              <w:bottom w:val="single" w:color="auto" w:sz="4" w:space="0"/>
            </w:tcBorders>
            <w:noWrap/>
            <w:hideMark/>
          </w:tcPr>
          <w:p w:rsidRPr="00EA2FEC" w:rsidR="00B52D66" w:rsidP="00FC2172" w:rsidRDefault="00B52D66" w14:paraId="6D065C63" w14:textId="77777777">
            <w:pPr>
              <w:spacing w:line="240" w:lineRule="auto"/>
              <w:jc w:val="center"/>
              <w:rPr>
                <w:rFonts w:cs="Calibri"/>
                <w:sz w:val="16"/>
                <w:szCs w:val="16"/>
                <w:lang w:eastAsia="en-GB"/>
              </w:rPr>
            </w:pPr>
            <w:r w:rsidRPr="00EA2FEC">
              <w:rPr>
                <w:rFonts w:cs="Calibri"/>
                <w:sz w:val="16"/>
                <w:szCs w:val="16"/>
                <w:lang w:eastAsia="en-GB"/>
              </w:rPr>
              <w:t>lln&lt;11</w:t>
            </w:r>
          </w:p>
        </w:tc>
        <w:tc>
          <w:tcPr>
            <w:tcW w:w="1120" w:type="dxa"/>
            <w:tcBorders>
              <w:bottom w:val="single" w:color="auto" w:sz="4" w:space="0"/>
            </w:tcBorders>
            <w:hideMark/>
          </w:tcPr>
          <w:p w:rsidRPr="00EA2FEC" w:rsidR="00B52D66" w:rsidP="00FC2172" w:rsidRDefault="00B52D66" w14:paraId="28132F23" w14:textId="77777777">
            <w:pPr>
              <w:spacing w:line="240" w:lineRule="auto"/>
              <w:jc w:val="center"/>
              <w:rPr>
                <w:rFonts w:cs="Calibri"/>
                <w:sz w:val="16"/>
                <w:szCs w:val="16"/>
                <w:lang w:eastAsia="en-GB"/>
              </w:rPr>
            </w:pPr>
            <w:r w:rsidRPr="00EA2FEC">
              <w:rPr>
                <w:rFonts w:cs="Calibri"/>
                <w:sz w:val="16"/>
                <w:szCs w:val="16"/>
                <w:lang w:eastAsia="en-GB"/>
              </w:rPr>
              <w:t>Aantal STO-regio's</w:t>
            </w:r>
          </w:p>
        </w:tc>
        <w:tc>
          <w:tcPr>
            <w:tcW w:w="960" w:type="dxa"/>
            <w:tcBorders>
              <w:bottom w:val="single" w:color="auto" w:sz="4" w:space="0"/>
            </w:tcBorders>
            <w:noWrap/>
            <w:hideMark/>
          </w:tcPr>
          <w:p w:rsidRPr="00EA2FEC" w:rsidR="00B52D66" w:rsidP="00FC2172" w:rsidRDefault="00B52D66" w14:paraId="03041E38" w14:textId="77777777">
            <w:pPr>
              <w:spacing w:line="240" w:lineRule="auto"/>
              <w:jc w:val="center"/>
              <w:rPr>
                <w:rFonts w:cs="Calibri"/>
                <w:sz w:val="16"/>
                <w:szCs w:val="16"/>
                <w:lang w:eastAsia="en-GB"/>
              </w:rPr>
            </w:pPr>
            <w:r w:rsidRPr="00EA2FEC">
              <w:rPr>
                <w:rFonts w:cs="Calibri"/>
                <w:sz w:val="16"/>
                <w:szCs w:val="16"/>
                <w:lang w:eastAsia="en-GB"/>
              </w:rPr>
              <w:t>lln&lt;11</w:t>
            </w:r>
          </w:p>
        </w:tc>
      </w:tr>
      <w:tr w:rsidRPr="00EA2FEC" w:rsidR="00B52D66" w:rsidTr="00FC2172" w14:paraId="73AC2BCE" w14:textId="77777777">
        <w:trPr>
          <w:trHeight w:val="290"/>
        </w:trPr>
        <w:tc>
          <w:tcPr>
            <w:tcW w:w="3020" w:type="dxa"/>
            <w:tcBorders>
              <w:top w:val="single" w:color="auto" w:sz="4" w:space="0"/>
            </w:tcBorders>
            <w:noWrap/>
            <w:hideMark/>
          </w:tcPr>
          <w:p w:rsidRPr="00EA2FEC" w:rsidR="00B52D66" w:rsidP="00FC2172" w:rsidRDefault="00B52D66" w14:paraId="603EF4D4" w14:textId="77777777">
            <w:pPr>
              <w:spacing w:line="240" w:lineRule="auto"/>
              <w:rPr>
                <w:rFonts w:cs="Calibri"/>
                <w:b/>
                <w:bCs/>
                <w:sz w:val="16"/>
                <w:szCs w:val="16"/>
                <w:lang w:eastAsia="en-GB"/>
              </w:rPr>
            </w:pPr>
            <w:r w:rsidRPr="00EA2FEC">
              <w:rPr>
                <w:rFonts w:cs="Calibri"/>
                <w:b/>
                <w:bCs/>
                <w:sz w:val="16"/>
                <w:szCs w:val="16"/>
                <w:lang w:eastAsia="en-GB"/>
              </w:rPr>
              <w:t>Basisberoepsgerichte leerweg</w:t>
            </w:r>
          </w:p>
        </w:tc>
        <w:tc>
          <w:tcPr>
            <w:tcW w:w="1120" w:type="dxa"/>
            <w:tcBorders>
              <w:top w:val="single" w:color="auto" w:sz="4" w:space="0"/>
            </w:tcBorders>
            <w:hideMark/>
          </w:tcPr>
          <w:p w:rsidRPr="00EA2FEC" w:rsidR="00B52D66" w:rsidP="00FC2172" w:rsidRDefault="00B52D66" w14:paraId="6A435848" w14:textId="77777777">
            <w:pPr>
              <w:spacing w:line="240" w:lineRule="auto"/>
              <w:jc w:val="center"/>
              <w:rPr>
                <w:rFonts w:cs="Calibri"/>
                <w:sz w:val="16"/>
                <w:szCs w:val="16"/>
                <w:lang w:eastAsia="en-GB"/>
              </w:rPr>
            </w:pPr>
            <w:r w:rsidRPr="00EA2FEC">
              <w:rPr>
                <w:rFonts w:cs="Calibri"/>
                <w:sz w:val="16"/>
                <w:szCs w:val="16"/>
                <w:lang w:eastAsia="en-GB"/>
              </w:rPr>
              <w:t> </w:t>
            </w:r>
          </w:p>
        </w:tc>
        <w:tc>
          <w:tcPr>
            <w:tcW w:w="960" w:type="dxa"/>
            <w:tcBorders>
              <w:top w:val="single" w:color="auto" w:sz="4" w:space="0"/>
            </w:tcBorders>
            <w:noWrap/>
            <w:hideMark/>
          </w:tcPr>
          <w:p w:rsidRPr="00EA2FEC" w:rsidR="00B52D66" w:rsidP="00FC2172" w:rsidRDefault="00B52D66" w14:paraId="349EB83F" w14:textId="77777777">
            <w:pPr>
              <w:spacing w:line="240" w:lineRule="auto"/>
              <w:jc w:val="center"/>
              <w:rPr>
                <w:rFonts w:cs="Calibri"/>
                <w:sz w:val="16"/>
                <w:szCs w:val="16"/>
                <w:lang w:eastAsia="en-GB"/>
              </w:rPr>
            </w:pPr>
            <w:r w:rsidRPr="00EA2FEC">
              <w:rPr>
                <w:rFonts w:cs="Calibri"/>
                <w:sz w:val="16"/>
                <w:szCs w:val="16"/>
                <w:lang w:eastAsia="en-GB"/>
              </w:rPr>
              <w:t> </w:t>
            </w:r>
          </w:p>
        </w:tc>
        <w:tc>
          <w:tcPr>
            <w:tcW w:w="1120" w:type="dxa"/>
            <w:tcBorders>
              <w:top w:val="single" w:color="auto" w:sz="4" w:space="0"/>
            </w:tcBorders>
            <w:hideMark/>
          </w:tcPr>
          <w:p w:rsidRPr="00EA2FEC" w:rsidR="00B52D66" w:rsidP="00FC2172" w:rsidRDefault="00B52D66" w14:paraId="480F068D" w14:textId="77777777">
            <w:pPr>
              <w:spacing w:line="240" w:lineRule="auto"/>
              <w:jc w:val="center"/>
              <w:rPr>
                <w:rFonts w:cs="Calibri"/>
                <w:sz w:val="16"/>
                <w:szCs w:val="16"/>
                <w:lang w:eastAsia="en-GB"/>
              </w:rPr>
            </w:pPr>
            <w:r w:rsidRPr="00EA2FEC">
              <w:rPr>
                <w:rFonts w:cs="Calibri"/>
                <w:sz w:val="16"/>
                <w:szCs w:val="16"/>
                <w:lang w:eastAsia="en-GB"/>
              </w:rPr>
              <w:t> </w:t>
            </w:r>
          </w:p>
        </w:tc>
        <w:tc>
          <w:tcPr>
            <w:tcW w:w="960" w:type="dxa"/>
            <w:tcBorders>
              <w:top w:val="single" w:color="auto" w:sz="4" w:space="0"/>
            </w:tcBorders>
            <w:noWrap/>
            <w:hideMark/>
          </w:tcPr>
          <w:p w:rsidRPr="00EA2FEC" w:rsidR="00B52D66" w:rsidP="00FC2172" w:rsidRDefault="00B52D66" w14:paraId="037B3BDF" w14:textId="77777777">
            <w:pPr>
              <w:spacing w:line="240" w:lineRule="auto"/>
              <w:jc w:val="center"/>
              <w:rPr>
                <w:rFonts w:cs="Calibri"/>
                <w:sz w:val="16"/>
                <w:szCs w:val="16"/>
                <w:lang w:eastAsia="en-GB"/>
              </w:rPr>
            </w:pPr>
            <w:r w:rsidRPr="00EA2FEC">
              <w:rPr>
                <w:rFonts w:cs="Calibri"/>
                <w:sz w:val="16"/>
                <w:szCs w:val="16"/>
                <w:lang w:eastAsia="en-GB"/>
              </w:rPr>
              <w:t> </w:t>
            </w:r>
          </w:p>
        </w:tc>
        <w:tc>
          <w:tcPr>
            <w:tcW w:w="1120" w:type="dxa"/>
            <w:tcBorders>
              <w:top w:val="single" w:color="auto" w:sz="4" w:space="0"/>
            </w:tcBorders>
            <w:hideMark/>
          </w:tcPr>
          <w:p w:rsidRPr="00EA2FEC" w:rsidR="00B52D66" w:rsidP="00FC2172" w:rsidRDefault="00B52D66" w14:paraId="29B49C06" w14:textId="77777777">
            <w:pPr>
              <w:spacing w:line="240" w:lineRule="auto"/>
              <w:jc w:val="center"/>
              <w:rPr>
                <w:rFonts w:cs="Calibri"/>
                <w:sz w:val="16"/>
                <w:szCs w:val="16"/>
                <w:lang w:eastAsia="en-GB"/>
              </w:rPr>
            </w:pPr>
            <w:r w:rsidRPr="00EA2FEC">
              <w:rPr>
                <w:rFonts w:cs="Calibri"/>
                <w:sz w:val="16"/>
                <w:szCs w:val="16"/>
                <w:lang w:eastAsia="en-GB"/>
              </w:rPr>
              <w:t> </w:t>
            </w:r>
          </w:p>
        </w:tc>
        <w:tc>
          <w:tcPr>
            <w:tcW w:w="960" w:type="dxa"/>
            <w:tcBorders>
              <w:top w:val="single" w:color="auto" w:sz="4" w:space="0"/>
            </w:tcBorders>
            <w:noWrap/>
            <w:hideMark/>
          </w:tcPr>
          <w:p w:rsidRPr="00EA2FEC" w:rsidR="00B52D66" w:rsidP="00FC2172" w:rsidRDefault="00B52D66" w14:paraId="10D26CFF" w14:textId="77777777">
            <w:pPr>
              <w:spacing w:line="240" w:lineRule="auto"/>
              <w:jc w:val="center"/>
              <w:rPr>
                <w:rFonts w:cs="Calibri"/>
                <w:sz w:val="16"/>
                <w:szCs w:val="16"/>
                <w:lang w:eastAsia="en-GB"/>
              </w:rPr>
            </w:pPr>
            <w:r w:rsidRPr="00EA2FEC">
              <w:rPr>
                <w:rFonts w:cs="Calibri"/>
                <w:sz w:val="16"/>
                <w:szCs w:val="16"/>
                <w:lang w:eastAsia="en-GB"/>
              </w:rPr>
              <w:t> </w:t>
            </w:r>
          </w:p>
        </w:tc>
      </w:tr>
      <w:tr w:rsidRPr="00EA2FEC" w:rsidR="00B52D66" w:rsidTr="00FC2172" w14:paraId="6F8B9C58" w14:textId="77777777">
        <w:trPr>
          <w:trHeight w:val="290"/>
        </w:trPr>
        <w:tc>
          <w:tcPr>
            <w:tcW w:w="3020" w:type="dxa"/>
            <w:noWrap/>
            <w:hideMark/>
          </w:tcPr>
          <w:p w:rsidRPr="00EA2FEC" w:rsidR="00B52D66" w:rsidP="00FC2172" w:rsidRDefault="00B52D66" w14:paraId="2F196E61" w14:textId="77777777">
            <w:pPr>
              <w:spacing w:line="240" w:lineRule="auto"/>
              <w:rPr>
                <w:rFonts w:cs="Calibri"/>
                <w:sz w:val="16"/>
                <w:szCs w:val="16"/>
                <w:lang w:eastAsia="en-GB"/>
              </w:rPr>
            </w:pPr>
            <w:r w:rsidRPr="00EA2FEC">
              <w:rPr>
                <w:rFonts w:cs="Calibri"/>
                <w:sz w:val="16"/>
                <w:szCs w:val="16"/>
                <w:lang w:eastAsia="en-GB"/>
              </w:rPr>
              <w:t>BWI</w:t>
            </w:r>
          </w:p>
        </w:tc>
        <w:tc>
          <w:tcPr>
            <w:tcW w:w="1120" w:type="dxa"/>
            <w:noWrap/>
            <w:hideMark/>
          </w:tcPr>
          <w:p w:rsidRPr="00EA2FEC" w:rsidR="00B52D66" w:rsidP="00FC2172" w:rsidRDefault="00B52D66" w14:paraId="7DAC527B" w14:textId="77777777">
            <w:pPr>
              <w:spacing w:line="240" w:lineRule="auto"/>
              <w:jc w:val="right"/>
              <w:rPr>
                <w:rFonts w:cs="Calibri"/>
                <w:sz w:val="16"/>
                <w:szCs w:val="16"/>
                <w:lang w:eastAsia="en-GB"/>
              </w:rPr>
            </w:pPr>
            <w:r w:rsidRPr="00EA2FEC">
              <w:rPr>
                <w:rFonts w:cs="Calibri"/>
                <w:sz w:val="16"/>
                <w:szCs w:val="16"/>
                <w:lang w:eastAsia="en-GB"/>
              </w:rPr>
              <w:t>69</w:t>
            </w:r>
          </w:p>
        </w:tc>
        <w:tc>
          <w:tcPr>
            <w:tcW w:w="960" w:type="dxa"/>
            <w:noWrap/>
            <w:hideMark/>
          </w:tcPr>
          <w:p w:rsidRPr="00EA2FEC" w:rsidR="00B52D66" w:rsidP="00FC2172" w:rsidRDefault="00B52D66" w14:paraId="56E53151" w14:textId="77777777">
            <w:pPr>
              <w:spacing w:line="240" w:lineRule="auto"/>
              <w:jc w:val="right"/>
              <w:rPr>
                <w:rFonts w:cs="Calibri"/>
                <w:sz w:val="16"/>
                <w:szCs w:val="16"/>
                <w:lang w:eastAsia="en-GB"/>
              </w:rPr>
            </w:pPr>
            <w:r w:rsidRPr="00EA2FEC">
              <w:rPr>
                <w:rFonts w:cs="Calibri"/>
                <w:sz w:val="16"/>
                <w:szCs w:val="16"/>
                <w:lang w:eastAsia="en-GB"/>
              </w:rPr>
              <w:t>55</w:t>
            </w:r>
          </w:p>
        </w:tc>
        <w:tc>
          <w:tcPr>
            <w:tcW w:w="1120" w:type="dxa"/>
            <w:noWrap/>
            <w:hideMark/>
          </w:tcPr>
          <w:p w:rsidRPr="00EA2FEC" w:rsidR="00B52D66" w:rsidP="00FC2172" w:rsidRDefault="00B52D66" w14:paraId="31A1DB5A" w14:textId="77777777">
            <w:pPr>
              <w:spacing w:line="240" w:lineRule="auto"/>
              <w:jc w:val="right"/>
              <w:rPr>
                <w:rFonts w:cs="Calibri"/>
                <w:sz w:val="16"/>
                <w:szCs w:val="16"/>
                <w:lang w:eastAsia="en-GB"/>
              </w:rPr>
            </w:pPr>
            <w:r w:rsidRPr="00EA2FEC">
              <w:rPr>
                <w:rFonts w:cs="Calibri"/>
                <w:sz w:val="16"/>
                <w:szCs w:val="16"/>
                <w:lang w:eastAsia="en-GB"/>
              </w:rPr>
              <w:t>23</w:t>
            </w:r>
          </w:p>
        </w:tc>
        <w:tc>
          <w:tcPr>
            <w:tcW w:w="960" w:type="dxa"/>
            <w:noWrap/>
            <w:hideMark/>
          </w:tcPr>
          <w:p w:rsidRPr="00EA2FEC" w:rsidR="00B52D66" w:rsidP="00FC2172" w:rsidRDefault="00B52D66" w14:paraId="2968C6E4" w14:textId="77777777">
            <w:pPr>
              <w:spacing w:line="240" w:lineRule="auto"/>
              <w:jc w:val="right"/>
              <w:rPr>
                <w:rFonts w:cs="Calibri"/>
                <w:sz w:val="16"/>
                <w:szCs w:val="16"/>
                <w:lang w:eastAsia="en-GB"/>
              </w:rPr>
            </w:pPr>
            <w:r w:rsidRPr="00EA2FEC">
              <w:rPr>
                <w:rFonts w:cs="Calibri"/>
                <w:sz w:val="16"/>
                <w:szCs w:val="16"/>
                <w:lang w:eastAsia="en-GB"/>
              </w:rPr>
              <w:t>18</w:t>
            </w:r>
          </w:p>
        </w:tc>
        <w:tc>
          <w:tcPr>
            <w:tcW w:w="1120" w:type="dxa"/>
            <w:noWrap/>
            <w:hideMark/>
          </w:tcPr>
          <w:p w:rsidRPr="00EA2FEC" w:rsidR="00B52D66" w:rsidP="00FC2172" w:rsidRDefault="00B52D66" w14:paraId="33A2DF56" w14:textId="77777777">
            <w:pPr>
              <w:spacing w:line="240" w:lineRule="auto"/>
              <w:jc w:val="right"/>
              <w:rPr>
                <w:rFonts w:cs="Calibri"/>
                <w:sz w:val="16"/>
                <w:szCs w:val="16"/>
                <w:lang w:eastAsia="en-GB"/>
              </w:rPr>
            </w:pPr>
            <w:r w:rsidRPr="00EA2FEC">
              <w:rPr>
                <w:rFonts w:cs="Calibri"/>
                <w:sz w:val="16"/>
                <w:szCs w:val="16"/>
                <w:lang w:eastAsia="en-GB"/>
              </w:rPr>
              <w:t>46</w:t>
            </w:r>
          </w:p>
        </w:tc>
        <w:tc>
          <w:tcPr>
            <w:tcW w:w="960" w:type="dxa"/>
            <w:noWrap/>
            <w:hideMark/>
          </w:tcPr>
          <w:p w:rsidRPr="00EA2FEC" w:rsidR="00B52D66" w:rsidP="00FC2172" w:rsidRDefault="00B52D66" w14:paraId="0A5EBD2A" w14:textId="77777777">
            <w:pPr>
              <w:spacing w:line="240" w:lineRule="auto"/>
              <w:jc w:val="right"/>
              <w:rPr>
                <w:rFonts w:cs="Calibri"/>
                <w:sz w:val="16"/>
                <w:szCs w:val="16"/>
                <w:lang w:eastAsia="en-GB"/>
              </w:rPr>
            </w:pPr>
            <w:r w:rsidRPr="00EA2FEC">
              <w:rPr>
                <w:rFonts w:cs="Calibri"/>
                <w:sz w:val="16"/>
                <w:szCs w:val="16"/>
                <w:lang w:eastAsia="en-GB"/>
              </w:rPr>
              <w:t>37</w:t>
            </w:r>
          </w:p>
        </w:tc>
      </w:tr>
      <w:tr w:rsidRPr="00EA2FEC" w:rsidR="00B52D66" w:rsidTr="00FC2172" w14:paraId="7DC5D0A4" w14:textId="77777777">
        <w:trPr>
          <w:trHeight w:val="290"/>
        </w:trPr>
        <w:tc>
          <w:tcPr>
            <w:tcW w:w="3020" w:type="dxa"/>
            <w:noWrap/>
            <w:hideMark/>
          </w:tcPr>
          <w:p w:rsidRPr="00EA2FEC" w:rsidR="00B52D66" w:rsidP="00FC2172" w:rsidRDefault="00B52D66" w14:paraId="59F9BCA0" w14:textId="77777777">
            <w:pPr>
              <w:spacing w:line="240" w:lineRule="auto"/>
              <w:rPr>
                <w:rFonts w:cs="Calibri"/>
                <w:sz w:val="16"/>
                <w:szCs w:val="16"/>
                <w:lang w:eastAsia="en-GB"/>
              </w:rPr>
            </w:pPr>
            <w:r w:rsidRPr="00EA2FEC">
              <w:rPr>
                <w:rFonts w:cs="Calibri"/>
                <w:sz w:val="16"/>
                <w:szCs w:val="16"/>
                <w:lang w:eastAsia="en-GB"/>
              </w:rPr>
              <w:t>MaT</w:t>
            </w:r>
          </w:p>
        </w:tc>
        <w:tc>
          <w:tcPr>
            <w:tcW w:w="1120" w:type="dxa"/>
            <w:noWrap/>
            <w:hideMark/>
          </w:tcPr>
          <w:p w:rsidRPr="00EA2FEC" w:rsidR="00B52D66" w:rsidP="00FC2172" w:rsidRDefault="00B52D66" w14:paraId="5CC62C40" w14:textId="77777777">
            <w:pPr>
              <w:spacing w:line="240" w:lineRule="auto"/>
              <w:jc w:val="right"/>
              <w:rPr>
                <w:rFonts w:cs="Calibri"/>
                <w:sz w:val="16"/>
                <w:szCs w:val="16"/>
                <w:lang w:eastAsia="en-GB"/>
              </w:rPr>
            </w:pPr>
            <w:r w:rsidRPr="00EA2FEC">
              <w:rPr>
                <w:rFonts w:cs="Calibri"/>
                <w:sz w:val="16"/>
                <w:szCs w:val="16"/>
                <w:lang w:eastAsia="en-GB"/>
              </w:rPr>
              <w:t>5</w:t>
            </w:r>
          </w:p>
        </w:tc>
        <w:tc>
          <w:tcPr>
            <w:tcW w:w="960" w:type="dxa"/>
            <w:noWrap/>
            <w:hideMark/>
          </w:tcPr>
          <w:p w:rsidRPr="00EA2FEC" w:rsidR="00B52D66" w:rsidP="00FC2172" w:rsidRDefault="00B52D66" w14:paraId="399C8332" w14:textId="77777777">
            <w:pPr>
              <w:spacing w:line="240" w:lineRule="auto"/>
              <w:jc w:val="right"/>
              <w:rPr>
                <w:rFonts w:cs="Calibri"/>
                <w:sz w:val="16"/>
                <w:szCs w:val="16"/>
                <w:lang w:eastAsia="en-GB"/>
              </w:rPr>
            </w:pPr>
            <w:r w:rsidRPr="00EA2FEC">
              <w:rPr>
                <w:rFonts w:cs="Calibri"/>
                <w:sz w:val="16"/>
                <w:szCs w:val="16"/>
                <w:lang w:eastAsia="en-GB"/>
              </w:rPr>
              <w:t>2</w:t>
            </w:r>
          </w:p>
        </w:tc>
        <w:tc>
          <w:tcPr>
            <w:tcW w:w="1120" w:type="dxa"/>
            <w:noWrap/>
            <w:hideMark/>
          </w:tcPr>
          <w:p w:rsidRPr="00EA2FEC" w:rsidR="00B52D66" w:rsidP="00FC2172" w:rsidRDefault="00B52D66" w14:paraId="4461D6E0" w14:textId="77777777">
            <w:pPr>
              <w:spacing w:line="240" w:lineRule="auto"/>
              <w:jc w:val="right"/>
              <w:rPr>
                <w:rFonts w:cs="Calibri"/>
                <w:sz w:val="16"/>
                <w:szCs w:val="16"/>
                <w:lang w:eastAsia="en-GB"/>
              </w:rPr>
            </w:pPr>
            <w:r w:rsidRPr="00EA2FEC">
              <w:rPr>
                <w:rFonts w:cs="Calibri"/>
                <w:sz w:val="16"/>
                <w:szCs w:val="16"/>
                <w:lang w:eastAsia="en-GB"/>
              </w:rPr>
              <w:t>5</w:t>
            </w:r>
          </w:p>
        </w:tc>
        <w:tc>
          <w:tcPr>
            <w:tcW w:w="960" w:type="dxa"/>
            <w:noWrap/>
            <w:hideMark/>
          </w:tcPr>
          <w:p w:rsidRPr="00EA2FEC" w:rsidR="00B52D66" w:rsidP="00FC2172" w:rsidRDefault="00B52D66" w14:paraId="787D34AD" w14:textId="77777777">
            <w:pPr>
              <w:spacing w:line="240" w:lineRule="auto"/>
              <w:jc w:val="right"/>
              <w:rPr>
                <w:rFonts w:cs="Calibri"/>
                <w:sz w:val="16"/>
                <w:szCs w:val="16"/>
                <w:lang w:eastAsia="en-GB"/>
              </w:rPr>
            </w:pPr>
            <w:r w:rsidRPr="00EA2FEC">
              <w:rPr>
                <w:rFonts w:cs="Calibri"/>
                <w:sz w:val="16"/>
                <w:szCs w:val="16"/>
                <w:lang w:eastAsia="en-GB"/>
              </w:rPr>
              <w:t>2</w:t>
            </w:r>
          </w:p>
        </w:tc>
        <w:tc>
          <w:tcPr>
            <w:tcW w:w="1120" w:type="dxa"/>
            <w:noWrap/>
            <w:hideMark/>
          </w:tcPr>
          <w:p w:rsidRPr="00EA2FEC" w:rsidR="00B52D66" w:rsidP="00FC2172" w:rsidRDefault="00B52D66" w14:paraId="765AC0DD" w14:textId="77777777">
            <w:pPr>
              <w:spacing w:line="240" w:lineRule="auto"/>
              <w:jc w:val="right"/>
              <w:rPr>
                <w:rFonts w:cs="Calibri"/>
                <w:sz w:val="16"/>
                <w:szCs w:val="16"/>
                <w:lang w:eastAsia="en-GB"/>
              </w:rPr>
            </w:pPr>
            <w:r w:rsidRPr="00EA2FEC">
              <w:rPr>
                <w:rFonts w:cs="Calibri"/>
                <w:sz w:val="16"/>
                <w:szCs w:val="16"/>
                <w:lang w:eastAsia="en-GB"/>
              </w:rPr>
              <w:t>0</w:t>
            </w:r>
          </w:p>
        </w:tc>
        <w:tc>
          <w:tcPr>
            <w:tcW w:w="960" w:type="dxa"/>
            <w:noWrap/>
            <w:hideMark/>
          </w:tcPr>
          <w:p w:rsidRPr="00EA2FEC" w:rsidR="00B52D66" w:rsidP="00FC2172" w:rsidRDefault="00B52D66" w14:paraId="12A5CD68" w14:textId="77777777">
            <w:pPr>
              <w:spacing w:line="240" w:lineRule="auto"/>
              <w:jc w:val="right"/>
              <w:rPr>
                <w:rFonts w:cs="Calibri"/>
                <w:sz w:val="16"/>
                <w:szCs w:val="16"/>
                <w:lang w:eastAsia="en-GB"/>
              </w:rPr>
            </w:pPr>
            <w:r w:rsidRPr="00EA2FEC">
              <w:rPr>
                <w:rFonts w:cs="Calibri"/>
                <w:sz w:val="16"/>
                <w:szCs w:val="16"/>
                <w:lang w:eastAsia="en-GB"/>
              </w:rPr>
              <w:t>0</w:t>
            </w:r>
          </w:p>
        </w:tc>
      </w:tr>
      <w:tr w:rsidRPr="00EA2FEC" w:rsidR="00B52D66" w:rsidTr="00FC2172" w14:paraId="2965C9A2" w14:textId="77777777">
        <w:trPr>
          <w:trHeight w:val="290"/>
        </w:trPr>
        <w:tc>
          <w:tcPr>
            <w:tcW w:w="3020" w:type="dxa"/>
            <w:noWrap/>
            <w:hideMark/>
          </w:tcPr>
          <w:p w:rsidRPr="00EA2FEC" w:rsidR="00B52D66" w:rsidP="00FC2172" w:rsidRDefault="00B52D66" w14:paraId="28E216D2" w14:textId="77777777">
            <w:pPr>
              <w:spacing w:line="240" w:lineRule="auto"/>
              <w:rPr>
                <w:rFonts w:cs="Calibri"/>
                <w:sz w:val="16"/>
                <w:szCs w:val="16"/>
                <w:lang w:eastAsia="en-GB"/>
              </w:rPr>
            </w:pPr>
            <w:r w:rsidRPr="00EA2FEC">
              <w:rPr>
                <w:rFonts w:cs="Calibri"/>
                <w:sz w:val="16"/>
                <w:szCs w:val="16"/>
                <w:lang w:eastAsia="en-GB"/>
              </w:rPr>
              <w:t>MVI</w:t>
            </w:r>
          </w:p>
        </w:tc>
        <w:tc>
          <w:tcPr>
            <w:tcW w:w="1120" w:type="dxa"/>
            <w:noWrap/>
            <w:hideMark/>
          </w:tcPr>
          <w:p w:rsidRPr="00EA2FEC" w:rsidR="00B52D66" w:rsidP="00FC2172" w:rsidRDefault="00B52D66" w14:paraId="049237DB" w14:textId="77777777">
            <w:pPr>
              <w:spacing w:line="240" w:lineRule="auto"/>
              <w:jc w:val="right"/>
              <w:rPr>
                <w:rFonts w:cs="Calibri"/>
                <w:sz w:val="16"/>
                <w:szCs w:val="16"/>
                <w:lang w:eastAsia="en-GB"/>
              </w:rPr>
            </w:pPr>
            <w:r w:rsidRPr="00EA2FEC">
              <w:rPr>
                <w:rFonts w:cs="Calibri"/>
                <w:sz w:val="16"/>
                <w:szCs w:val="16"/>
                <w:lang w:eastAsia="en-GB"/>
              </w:rPr>
              <w:t>28</w:t>
            </w:r>
          </w:p>
        </w:tc>
        <w:tc>
          <w:tcPr>
            <w:tcW w:w="960" w:type="dxa"/>
            <w:noWrap/>
            <w:hideMark/>
          </w:tcPr>
          <w:p w:rsidRPr="00EA2FEC" w:rsidR="00B52D66" w:rsidP="00FC2172" w:rsidRDefault="00B52D66" w14:paraId="78757D8F" w14:textId="77777777">
            <w:pPr>
              <w:spacing w:line="240" w:lineRule="auto"/>
              <w:jc w:val="right"/>
              <w:rPr>
                <w:rFonts w:cs="Calibri"/>
                <w:sz w:val="16"/>
                <w:szCs w:val="16"/>
                <w:lang w:eastAsia="en-GB"/>
              </w:rPr>
            </w:pPr>
            <w:r w:rsidRPr="00EA2FEC">
              <w:rPr>
                <w:rFonts w:cs="Calibri"/>
                <w:sz w:val="16"/>
                <w:szCs w:val="16"/>
                <w:lang w:eastAsia="en-GB"/>
              </w:rPr>
              <w:t>24</w:t>
            </w:r>
          </w:p>
        </w:tc>
        <w:tc>
          <w:tcPr>
            <w:tcW w:w="1120" w:type="dxa"/>
            <w:noWrap/>
            <w:hideMark/>
          </w:tcPr>
          <w:p w:rsidRPr="00EA2FEC" w:rsidR="00B52D66" w:rsidP="00FC2172" w:rsidRDefault="00B52D66" w14:paraId="4E5ECF35" w14:textId="77777777">
            <w:pPr>
              <w:spacing w:line="240" w:lineRule="auto"/>
              <w:jc w:val="right"/>
              <w:rPr>
                <w:rFonts w:cs="Calibri"/>
                <w:sz w:val="16"/>
                <w:szCs w:val="16"/>
                <w:lang w:eastAsia="en-GB"/>
              </w:rPr>
            </w:pPr>
            <w:r w:rsidRPr="00EA2FEC">
              <w:rPr>
                <w:rFonts w:cs="Calibri"/>
                <w:sz w:val="16"/>
                <w:szCs w:val="16"/>
                <w:lang w:eastAsia="en-GB"/>
              </w:rPr>
              <w:t>21</w:t>
            </w:r>
          </w:p>
        </w:tc>
        <w:tc>
          <w:tcPr>
            <w:tcW w:w="960" w:type="dxa"/>
            <w:noWrap/>
            <w:hideMark/>
          </w:tcPr>
          <w:p w:rsidRPr="00EA2FEC" w:rsidR="00B52D66" w:rsidP="00FC2172" w:rsidRDefault="00B52D66" w14:paraId="264012A0" w14:textId="77777777">
            <w:pPr>
              <w:spacing w:line="240" w:lineRule="auto"/>
              <w:jc w:val="right"/>
              <w:rPr>
                <w:rFonts w:cs="Calibri"/>
                <w:sz w:val="16"/>
                <w:szCs w:val="16"/>
                <w:lang w:eastAsia="en-GB"/>
              </w:rPr>
            </w:pPr>
            <w:r w:rsidRPr="00EA2FEC">
              <w:rPr>
                <w:rFonts w:cs="Calibri"/>
                <w:sz w:val="16"/>
                <w:szCs w:val="16"/>
                <w:lang w:eastAsia="en-GB"/>
              </w:rPr>
              <w:t>18</w:t>
            </w:r>
          </w:p>
        </w:tc>
        <w:tc>
          <w:tcPr>
            <w:tcW w:w="1120" w:type="dxa"/>
            <w:noWrap/>
            <w:hideMark/>
          </w:tcPr>
          <w:p w:rsidRPr="00EA2FEC" w:rsidR="00B52D66" w:rsidP="00FC2172" w:rsidRDefault="00B52D66" w14:paraId="03174CF6" w14:textId="77777777">
            <w:pPr>
              <w:spacing w:line="240" w:lineRule="auto"/>
              <w:jc w:val="right"/>
              <w:rPr>
                <w:rFonts w:cs="Calibri"/>
                <w:sz w:val="16"/>
                <w:szCs w:val="16"/>
                <w:lang w:eastAsia="en-GB"/>
              </w:rPr>
            </w:pPr>
            <w:r w:rsidRPr="00EA2FEC">
              <w:rPr>
                <w:rFonts w:cs="Calibri"/>
                <w:sz w:val="16"/>
                <w:szCs w:val="16"/>
                <w:lang w:eastAsia="en-GB"/>
              </w:rPr>
              <w:t>7</w:t>
            </w:r>
          </w:p>
        </w:tc>
        <w:tc>
          <w:tcPr>
            <w:tcW w:w="960" w:type="dxa"/>
            <w:noWrap/>
            <w:hideMark/>
          </w:tcPr>
          <w:p w:rsidRPr="00EA2FEC" w:rsidR="00B52D66" w:rsidP="00FC2172" w:rsidRDefault="00B52D66" w14:paraId="2FF01BC3" w14:textId="77777777">
            <w:pPr>
              <w:spacing w:line="240" w:lineRule="auto"/>
              <w:jc w:val="right"/>
              <w:rPr>
                <w:rFonts w:cs="Calibri"/>
                <w:sz w:val="16"/>
                <w:szCs w:val="16"/>
                <w:lang w:eastAsia="en-GB"/>
              </w:rPr>
            </w:pPr>
            <w:r w:rsidRPr="00EA2FEC">
              <w:rPr>
                <w:rFonts w:cs="Calibri"/>
                <w:sz w:val="16"/>
                <w:szCs w:val="16"/>
                <w:lang w:eastAsia="en-GB"/>
              </w:rPr>
              <w:t>6</w:t>
            </w:r>
          </w:p>
        </w:tc>
      </w:tr>
      <w:tr w:rsidRPr="00EA2FEC" w:rsidR="00B52D66" w:rsidTr="00FC2172" w14:paraId="6C56BD24" w14:textId="77777777">
        <w:trPr>
          <w:trHeight w:val="290"/>
        </w:trPr>
        <w:tc>
          <w:tcPr>
            <w:tcW w:w="3020" w:type="dxa"/>
            <w:noWrap/>
            <w:hideMark/>
          </w:tcPr>
          <w:p w:rsidRPr="00EA2FEC" w:rsidR="00B52D66" w:rsidP="00FC2172" w:rsidRDefault="00B52D66" w14:paraId="40F50266" w14:textId="77777777">
            <w:pPr>
              <w:spacing w:line="240" w:lineRule="auto"/>
              <w:rPr>
                <w:rFonts w:cs="Calibri"/>
                <w:sz w:val="16"/>
                <w:szCs w:val="16"/>
                <w:lang w:eastAsia="en-GB"/>
              </w:rPr>
            </w:pPr>
            <w:r w:rsidRPr="00EA2FEC">
              <w:rPr>
                <w:rFonts w:cs="Calibri"/>
                <w:sz w:val="16"/>
                <w:szCs w:val="16"/>
                <w:lang w:eastAsia="en-GB"/>
              </w:rPr>
              <w:t>M&amp;T</w:t>
            </w:r>
          </w:p>
        </w:tc>
        <w:tc>
          <w:tcPr>
            <w:tcW w:w="1120" w:type="dxa"/>
            <w:noWrap/>
            <w:hideMark/>
          </w:tcPr>
          <w:p w:rsidRPr="00EA2FEC" w:rsidR="00B52D66" w:rsidP="00FC2172" w:rsidRDefault="00B52D66" w14:paraId="1269E5E3" w14:textId="77777777">
            <w:pPr>
              <w:spacing w:line="240" w:lineRule="auto"/>
              <w:jc w:val="right"/>
              <w:rPr>
                <w:rFonts w:cs="Calibri"/>
                <w:sz w:val="16"/>
                <w:szCs w:val="16"/>
                <w:lang w:eastAsia="en-GB"/>
              </w:rPr>
            </w:pPr>
            <w:r w:rsidRPr="00EA2FEC">
              <w:rPr>
                <w:rFonts w:cs="Calibri"/>
                <w:sz w:val="16"/>
                <w:szCs w:val="16"/>
                <w:lang w:eastAsia="en-GB"/>
              </w:rPr>
              <w:t>48</w:t>
            </w:r>
          </w:p>
        </w:tc>
        <w:tc>
          <w:tcPr>
            <w:tcW w:w="960" w:type="dxa"/>
            <w:noWrap/>
            <w:hideMark/>
          </w:tcPr>
          <w:p w:rsidRPr="00EA2FEC" w:rsidR="00B52D66" w:rsidP="00FC2172" w:rsidRDefault="00B52D66" w14:paraId="03A4FF59" w14:textId="77777777">
            <w:pPr>
              <w:spacing w:line="240" w:lineRule="auto"/>
              <w:jc w:val="right"/>
              <w:rPr>
                <w:rFonts w:cs="Calibri"/>
                <w:sz w:val="16"/>
                <w:szCs w:val="16"/>
                <w:lang w:eastAsia="en-GB"/>
              </w:rPr>
            </w:pPr>
            <w:r w:rsidRPr="00EA2FEC">
              <w:rPr>
                <w:rFonts w:cs="Calibri"/>
                <w:sz w:val="16"/>
                <w:szCs w:val="16"/>
                <w:lang w:eastAsia="en-GB"/>
              </w:rPr>
              <w:t>43</w:t>
            </w:r>
          </w:p>
        </w:tc>
        <w:tc>
          <w:tcPr>
            <w:tcW w:w="1120" w:type="dxa"/>
            <w:noWrap/>
            <w:hideMark/>
          </w:tcPr>
          <w:p w:rsidRPr="00EA2FEC" w:rsidR="00B52D66" w:rsidP="00FC2172" w:rsidRDefault="00B52D66" w14:paraId="6BE4B08D" w14:textId="77777777">
            <w:pPr>
              <w:spacing w:line="240" w:lineRule="auto"/>
              <w:jc w:val="right"/>
              <w:rPr>
                <w:rFonts w:cs="Calibri"/>
                <w:sz w:val="16"/>
                <w:szCs w:val="16"/>
                <w:lang w:eastAsia="en-GB"/>
              </w:rPr>
            </w:pPr>
            <w:r w:rsidRPr="00EA2FEC">
              <w:rPr>
                <w:rFonts w:cs="Calibri"/>
                <w:sz w:val="16"/>
                <w:szCs w:val="16"/>
                <w:lang w:eastAsia="en-GB"/>
              </w:rPr>
              <w:t>26</w:t>
            </w:r>
          </w:p>
        </w:tc>
        <w:tc>
          <w:tcPr>
            <w:tcW w:w="960" w:type="dxa"/>
            <w:noWrap/>
            <w:hideMark/>
          </w:tcPr>
          <w:p w:rsidRPr="00EA2FEC" w:rsidR="00B52D66" w:rsidP="00FC2172" w:rsidRDefault="00B52D66" w14:paraId="3F560C68" w14:textId="77777777">
            <w:pPr>
              <w:spacing w:line="240" w:lineRule="auto"/>
              <w:jc w:val="right"/>
              <w:rPr>
                <w:rFonts w:cs="Calibri"/>
                <w:sz w:val="16"/>
                <w:szCs w:val="16"/>
                <w:lang w:eastAsia="en-GB"/>
              </w:rPr>
            </w:pPr>
            <w:r w:rsidRPr="00EA2FEC">
              <w:rPr>
                <w:rFonts w:cs="Calibri"/>
                <w:sz w:val="16"/>
                <w:szCs w:val="16"/>
                <w:lang w:eastAsia="en-GB"/>
              </w:rPr>
              <w:t>23</w:t>
            </w:r>
          </w:p>
        </w:tc>
        <w:tc>
          <w:tcPr>
            <w:tcW w:w="1120" w:type="dxa"/>
            <w:noWrap/>
            <w:hideMark/>
          </w:tcPr>
          <w:p w:rsidRPr="00EA2FEC" w:rsidR="00B52D66" w:rsidP="00FC2172" w:rsidRDefault="00B52D66" w14:paraId="6326BCEF" w14:textId="77777777">
            <w:pPr>
              <w:spacing w:line="240" w:lineRule="auto"/>
              <w:jc w:val="right"/>
              <w:rPr>
                <w:rFonts w:cs="Calibri"/>
                <w:sz w:val="16"/>
                <w:szCs w:val="16"/>
                <w:lang w:eastAsia="en-GB"/>
              </w:rPr>
            </w:pPr>
            <w:r w:rsidRPr="00EA2FEC">
              <w:rPr>
                <w:rFonts w:cs="Calibri"/>
                <w:sz w:val="16"/>
                <w:szCs w:val="16"/>
                <w:lang w:eastAsia="en-GB"/>
              </w:rPr>
              <w:t>22</w:t>
            </w:r>
          </w:p>
        </w:tc>
        <w:tc>
          <w:tcPr>
            <w:tcW w:w="960" w:type="dxa"/>
            <w:noWrap/>
            <w:hideMark/>
          </w:tcPr>
          <w:p w:rsidRPr="00EA2FEC" w:rsidR="00B52D66" w:rsidP="00FC2172" w:rsidRDefault="00B52D66" w14:paraId="602AFDC8" w14:textId="77777777">
            <w:pPr>
              <w:spacing w:line="240" w:lineRule="auto"/>
              <w:jc w:val="right"/>
              <w:rPr>
                <w:rFonts w:cs="Calibri"/>
                <w:sz w:val="16"/>
                <w:szCs w:val="16"/>
                <w:lang w:eastAsia="en-GB"/>
              </w:rPr>
            </w:pPr>
            <w:r w:rsidRPr="00EA2FEC">
              <w:rPr>
                <w:rFonts w:cs="Calibri"/>
                <w:sz w:val="16"/>
                <w:szCs w:val="16"/>
                <w:lang w:eastAsia="en-GB"/>
              </w:rPr>
              <w:t>20</w:t>
            </w:r>
          </w:p>
        </w:tc>
      </w:tr>
      <w:tr w:rsidRPr="00EA2FEC" w:rsidR="00B52D66" w:rsidTr="00FC2172" w14:paraId="6A38E70C" w14:textId="77777777">
        <w:trPr>
          <w:trHeight w:val="290"/>
        </w:trPr>
        <w:tc>
          <w:tcPr>
            <w:tcW w:w="3020" w:type="dxa"/>
            <w:noWrap/>
            <w:hideMark/>
          </w:tcPr>
          <w:p w:rsidRPr="00EA2FEC" w:rsidR="00B52D66" w:rsidP="00FC2172" w:rsidRDefault="00B52D66" w14:paraId="56A305F6" w14:textId="77777777">
            <w:pPr>
              <w:spacing w:line="240" w:lineRule="auto"/>
              <w:rPr>
                <w:rFonts w:cs="Calibri"/>
                <w:sz w:val="16"/>
                <w:szCs w:val="16"/>
                <w:lang w:eastAsia="en-GB"/>
              </w:rPr>
            </w:pPr>
            <w:r w:rsidRPr="00EA2FEC">
              <w:rPr>
                <w:rFonts w:cs="Calibri"/>
                <w:sz w:val="16"/>
                <w:szCs w:val="16"/>
                <w:lang w:eastAsia="en-GB"/>
              </w:rPr>
              <w:t>PIE</w:t>
            </w:r>
          </w:p>
        </w:tc>
        <w:tc>
          <w:tcPr>
            <w:tcW w:w="1120" w:type="dxa"/>
            <w:noWrap/>
            <w:hideMark/>
          </w:tcPr>
          <w:p w:rsidRPr="00EA2FEC" w:rsidR="00B52D66" w:rsidP="00FC2172" w:rsidRDefault="00B52D66" w14:paraId="4728A02F" w14:textId="77777777">
            <w:pPr>
              <w:spacing w:line="240" w:lineRule="auto"/>
              <w:jc w:val="right"/>
              <w:rPr>
                <w:rFonts w:cs="Calibri"/>
                <w:sz w:val="16"/>
                <w:szCs w:val="16"/>
                <w:lang w:eastAsia="en-GB"/>
              </w:rPr>
            </w:pPr>
            <w:r w:rsidRPr="00EA2FEC">
              <w:rPr>
                <w:rFonts w:cs="Calibri"/>
                <w:sz w:val="16"/>
                <w:szCs w:val="16"/>
                <w:lang w:eastAsia="en-GB"/>
              </w:rPr>
              <w:t>74</w:t>
            </w:r>
          </w:p>
        </w:tc>
        <w:tc>
          <w:tcPr>
            <w:tcW w:w="960" w:type="dxa"/>
            <w:noWrap/>
            <w:hideMark/>
          </w:tcPr>
          <w:p w:rsidRPr="00EA2FEC" w:rsidR="00B52D66" w:rsidP="00FC2172" w:rsidRDefault="00B52D66" w14:paraId="7C96018A" w14:textId="77777777">
            <w:pPr>
              <w:spacing w:line="240" w:lineRule="auto"/>
              <w:jc w:val="right"/>
              <w:rPr>
                <w:rFonts w:cs="Calibri"/>
                <w:sz w:val="16"/>
                <w:szCs w:val="16"/>
                <w:lang w:eastAsia="en-GB"/>
              </w:rPr>
            </w:pPr>
            <w:r w:rsidRPr="00EA2FEC">
              <w:rPr>
                <w:rFonts w:cs="Calibri"/>
                <w:sz w:val="16"/>
                <w:szCs w:val="16"/>
                <w:lang w:eastAsia="en-GB"/>
              </w:rPr>
              <w:t>62</w:t>
            </w:r>
          </w:p>
        </w:tc>
        <w:tc>
          <w:tcPr>
            <w:tcW w:w="1120" w:type="dxa"/>
            <w:noWrap/>
            <w:hideMark/>
          </w:tcPr>
          <w:p w:rsidRPr="00EA2FEC" w:rsidR="00B52D66" w:rsidP="00FC2172" w:rsidRDefault="00B52D66" w14:paraId="21C5FC80" w14:textId="77777777">
            <w:pPr>
              <w:spacing w:line="240" w:lineRule="auto"/>
              <w:jc w:val="right"/>
              <w:rPr>
                <w:rFonts w:cs="Calibri"/>
                <w:sz w:val="16"/>
                <w:szCs w:val="16"/>
                <w:lang w:eastAsia="en-GB"/>
              </w:rPr>
            </w:pPr>
            <w:r w:rsidRPr="00EA2FEC">
              <w:rPr>
                <w:rFonts w:cs="Calibri"/>
                <w:sz w:val="16"/>
                <w:szCs w:val="16"/>
                <w:lang w:eastAsia="en-GB"/>
              </w:rPr>
              <w:t>17</w:t>
            </w:r>
          </w:p>
        </w:tc>
        <w:tc>
          <w:tcPr>
            <w:tcW w:w="960" w:type="dxa"/>
            <w:noWrap/>
            <w:hideMark/>
          </w:tcPr>
          <w:p w:rsidRPr="00EA2FEC" w:rsidR="00B52D66" w:rsidP="00FC2172" w:rsidRDefault="00B52D66" w14:paraId="43748D98" w14:textId="77777777">
            <w:pPr>
              <w:spacing w:line="240" w:lineRule="auto"/>
              <w:jc w:val="right"/>
              <w:rPr>
                <w:rFonts w:cs="Calibri"/>
                <w:sz w:val="16"/>
                <w:szCs w:val="16"/>
                <w:lang w:eastAsia="en-GB"/>
              </w:rPr>
            </w:pPr>
            <w:r w:rsidRPr="00EA2FEC">
              <w:rPr>
                <w:rFonts w:cs="Calibri"/>
                <w:sz w:val="16"/>
                <w:szCs w:val="16"/>
                <w:lang w:eastAsia="en-GB"/>
              </w:rPr>
              <w:t>14</w:t>
            </w:r>
          </w:p>
        </w:tc>
        <w:tc>
          <w:tcPr>
            <w:tcW w:w="1120" w:type="dxa"/>
            <w:noWrap/>
            <w:hideMark/>
          </w:tcPr>
          <w:p w:rsidRPr="00EA2FEC" w:rsidR="00B52D66" w:rsidP="00FC2172" w:rsidRDefault="00B52D66" w14:paraId="6968EAEA" w14:textId="77777777">
            <w:pPr>
              <w:spacing w:line="240" w:lineRule="auto"/>
              <w:jc w:val="right"/>
              <w:rPr>
                <w:rFonts w:cs="Calibri"/>
                <w:sz w:val="16"/>
                <w:szCs w:val="16"/>
                <w:lang w:eastAsia="en-GB"/>
              </w:rPr>
            </w:pPr>
            <w:r w:rsidRPr="00EA2FEC">
              <w:rPr>
                <w:rFonts w:cs="Calibri"/>
                <w:sz w:val="16"/>
                <w:szCs w:val="16"/>
                <w:lang w:eastAsia="en-GB"/>
              </w:rPr>
              <w:t>57</w:t>
            </w:r>
          </w:p>
        </w:tc>
        <w:tc>
          <w:tcPr>
            <w:tcW w:w="960" w:type="dxa"/>
            <w:noWrap/>
            <w:hideMark/>
          </w:tcPr>
          <w:p w:rsidRPr="00EA2FEC" w:rsidR="00B52D66" w:rsidP="00FC2172" w:rsidRDefault="00B52D66" w14:paraId="79090605" w14:textId="77777777">
            <w:pPr>
              <w:spacing w:line="240" w:lineRule="auto"/>
              <w:jc w:val="right"/>
              <w:rPr>
                <w:rFonts w:cs="Calibri"/>
                <w:sz w:val="16"/>
                <w:szCs w:val="16"/>
                <w:lang w:eastAsia="en-GB"/>
              </w:rPr>
            </w:pPr>
            <w:r w:rsidRPr="00EA2FEC">
              <w:rPr>
                <w:rFonts w:cs="Calibri"/>
                <w:sz w:val="16"/>
                <w:szCs w:val="16"/>
                <w:lang w:eastAsia="en-GB"/>
              </w:rPr>
              <w:t>48</w:t>
            </w:r>
          </w:p>
        </w:tc>
      </w:tr>
      <w:tr w:rsidRPr="00EA2FEC" w:rsidR="00B52D66" w:rsidTr="00FC2172" w14:paraId="5BC98C37" w14:textId="77777777">
        <w:trPr>
          <w:trHeight w:val="290"/>
        </w:trPr>
        <w:tc>
          <w:tcPr>
            <w:tcW w:w="3020" w:type="dxa"/>
            <w:noWrap/>
            <w:hideMark/>
          </w:tcPr>
          <w:p w:rsidRPr="00EA2FEC" w:rsidR="00B52D66" w:rsidP="00FC2172" w:rsidRDefault="00B52D66" w14:paraId="2404B3AB" w14:textId="77777777">
            <w:pPr>
              <w:spacing w:line="240" w:lineRule="auto"/>
              <w:rPr>
                <w:rFonts w:cs="Calibri"/>
                <w:b/>
                <w:bCs/>
                <w:sz w:val="16"/>
                <w:szCs w:val="16"/>
                <w:lang w:eastAsia="en-GB"/>
              </w:rPr>
            </w:pPr>
            <w:r w:rsidRPr="00EA2FEC">
              <w:rPr>
                <w:rFonts w:cs="Calibri"/>
                <w:b/>
                <w:bCs/>
                <w:sz w:val="16"/>
                <w:szCs w:val="16"/>
                <w:lang w:eastAsia="en-GB"/>
              </w:rPr>
              <w:t>Kaderberoepsgerichte leerweg</w:t>
            </w:r>
          </w:p>
        </w:tc>
        <w:tc>
          <w:tcPr>
            <w:tcW w:w="1120" w:type="dxa"/>
            <w:noWrap/>
            <w:hideMark/>
          </w:tcPr>
          <w:p w:rsidRPr="00EA2FEC" w:rsidR="00B52D66" w:rsidP="00FC2172" w:rsidRDefault="00B52D66" w14:paraId="636D67B5" w14:textId="77777777">
            <w:pPr>
              <w:spacing w:line="240" w:lineRule="auto"/>
              <w:rPr>
                <w:rFonts w:cs="Calibri"/>
                <w:sz w:val="16"/>
                <w:szCs w:val="16"/>
                <w:lang w:eastAsia="en-GB"/>
              </w:rPr>
            </w:pPr>
            <w:r w:rsidRPr="00EA2FEC">
              <w:rPr>
                <w:rFonts w:cs="Calibri"/>
                <w:sz w:val="16"/>
                <w:szCs w:val="16"/>
                <w:lang w:eastAsia="en-GB"/>
              </w:rPr>
              <w:t> </w:t>
            </w:r>
          </w:p>
        </w:tc>
        <w:tc>
          <w:tcPr>
            <w:tcW w:w="960" w:type="dxa"/>
            <w:noWrap/>
            <w:hideMark/>
          </w:tcPr>
          <w:p w:rsidRPr="00EA2FEC" w:rsidR="00B52D66" w:rsidP="00FC2172" w:rsidRDefault="00B52D66" w14:paraId="77307A9E" w14:textId="77777777">
            <w:pPr>
              <w:spacing w:line="240" w:lineRule="auto"/>
              <w:rPr>
                <w:rFonts w:cs="Calibri"/>
                <w:sz w:val="16"/>
                <w:szCs w:val="16"/>
                <w:lang w:eastAsia="en-GB"/>
              </w:rPr>
            </w:pPr>
            <w:r w:rsidRPr="00EA2FEC">
              <w:rPr>
                <w:rFonts w:cs="Calibri"/>
                <w:sz w:val="16"/>
                <w:szCs w:val="16"/>
                <w:lang w:eastAsia="en-GB"/>
              </w:rPr>
              <w:t> </w:t>
            </w:r>
          </w:p>
        </w:tc>
        <w:tc>
          <w:tcPr>
            <w:tcW w:w="1120" w:type="dxa"/>
            <w:noWrap/>
            <w:hideMark/>
          </w:tcPr>
          <w:p w:rsidRPr="00EA2FEC" w:rsidR="00B52D66" w:rsidP="00FC2172" w:rsidRDefault="00B52D66" w14:paraId="19DD06DF" w14:textId="77777777">
            <w:pPr>
              <w:spacing w:line="240" w:lineRule="auto"/>
              <w:rPr>
                <w:rFonts w:cs="Calibri"/>
                <w:sz w:val="16"/>
                <w:szCs w:val="16"/>
                <w:lang w:eastAsia="en-GB"/>
              </w:rPr>
            </w:pPr>
            <w:r w:rsidRPr="00EA2FEC">
              <w:rPr>
                <w:rFonts w:cs="Calibri"/>
                <w:sz w:val="16"/>
                <w:szCs w:val="16"/>
                <w:lang w:eastAsia="en-GB"/>
              </w:rPr>
              <w:t> </w:t>
            </w:r>
          </w:p>
        </w:tc>
        <w:tc>
          <w:tcPr>
            <w:tcW w:w="960" w:type="dxa"/>
            <w:noWrap/>
            <w:hideMark/>
          </w:tcPr>
          <w:p w:rsidRPr="00EA2FEC" w:rsidR="00B52D66" w:rsidP="00FC2172" w:rsidRDefault="00B52D66" w14:paraId="4F5D5C12" w14:textId="77777777">
            <w:pPr>
              <w:spacing w:line="240" w:lineRule="auto"/>
              <w:rPr>
                <w:rFonts w:cs="Calibri"/>
                <w:sz w:val="16"/>
                <w:szCs w:val="16"/>
                <w:lang w:eastAsia="en-GB"/>
              </w:rPr>
            </w:pPr>
            <w:r w:rsidRPr="00EA2FEC">
              <w:rPr>
                <w:rFonts w:cs="Calibri"/>
                <w:sz w:val="16"/>
                <w:szCs w:val="16"/>
                <w:lang w:eastAsia="en-GB"/>
              </w:rPr>
              <w:t> </w:t>
            </w:r>
          </w:p>
        </w:tc>
        <w:tc>
          <w:tcPr>
            <w:tcW w:w="1120" w:type="dxa"/>
            <w:noWrap/>
            <w:hideMark/>
          </w:tcPr>
          <w:p w:rsidRPr="00EA2FEC" w:rsidR="00B52D66" w:rsidP="00FC2172" w:rsidRDefault="00B52D66" w14:paraId="4BA20E2F" w14:textId="77777777">
            <w:pPr>
              <w:spacing w:line="240" w:lineRule="auto"/>
              <w:rPr>
                <w:rFonts w:cs="Calibri"/>
                <w:sz w:val="16"/>
                <w:szCs w:val="16"/>
                <w:lang w:eastAsia="en-GB"/>
              </w:rPr>
            </w:pPr>
            <w:r w:rsidRPr="00EA2FEC">
              <w:rPr>
                <w:rFonts w:cs="Calibri"/>
                <w:sz w:val="16"/>
                <w:szCs w:val="16"/>
                <w:lang w:eastAsia="en-GB"/>
              </w:rPr>
              <w:t> </w:t>
            </w:r>
          </w:p>
        </w:tc>
        <w:tc>
          <w:tcPr>
            <w:tcW w:w="960" w:type="dxa"/>
            <w:noWrap/>
            <w:hideMark/>
          </w:tcPr>
          <w:p w:rsidRPr="00EA2FEC" w:rsidR="00B52D66" w:rsidP="00FC2172" w:rsidRDefault="00B52D66" w14:paraId="2306ED47" w14:textId="77777777">
            <w:pPr>
              <w:spacing w:line="240" w:lineRule="auto"/>
              <w:rPr>
                <w:rFonts w:cs="Calibri"/>
                <w:sz w:val="16"/>
                <w:szCs w:val="16"/>
                <w:lang w:eastAsia="en-GB"/>
              </w:rPr>
            </w:pPr>
            <w:r w:rsidRPr="00EA2FEC">
              <w:rPr>
                <w:rFonts w:cs="Calibri"/>
                <w:sz w:val="16"/>
                <w:szCs w:val="16"/>
                <w:lang w:eastAsia="en-GB"/>
              </w:rPr>
              <w:t> </w:t>
            </w:r>
          </w:p>
        </w:tc>
      </w:tr>
      <w:tr w:rsidRPr="00EA2FEC" w:rsidR="00B52D66" w:rsidTr="00FC2172" w14:paraId="00CC6A7D" w14:textId="77777777">
        <w:trPr>
          <w:trHeight w:val="290"/>
        </w:trPr>
        <w:tc>
          <w:tcPr>
            <w:tcW w:w="3020" w:type="dxa"/>
            <w:noWrap/>
            <w:hideMark/>
          </w:tcPr>
          <w:p w:rsidRPr="00EA2FEC" w:rsidR="00B52D66" w:rsidP="00FC2172" w:rsidRDefault="00B52D66" w14:paraId="5E150880" w14:textId="77777777">
            <w:pPr>
              <w:spacing w:line="240" w:lineRule="auto"/>
              <w:rPr>
                <w:rFonts w:cs="Calibri"/>
                <w:sz w:val="16"/>
                <w:szCs w:val="16"/>
                <w:lang w:eastAsia="en-GB"/>
              </w:rPr>
            </w:pPr>
            <w:r w:rsidRPr="00EA2FEC">
              <w:rPr>
                <w:rFonts w:cs="Calibri"/>
                <w:sz w:val="16"/>
                <w:szCs w:val="16"/>
                <w:lang w:eastAsia="en-GB"/>
              </w:rPr>
              <w:t>BWI</w:t>
            </w:r>
          </w:p>
        </w:tc>
        <w:tc>
          <w:tcPr>
            <w:tcW w:w="1120" w:type="dxa"/>
            <w:noWrap/>
            <w:hideMark/>
          </w:tcPr>
          <w:p w:rsidRPr="00EA2FEC" w:rsidR="00B52D66" w:rsidP="00FC2172" w:rsidRDefault="00B52D66" w14:paraId="67F3ED44" w14:textId="77777777">
            <w:pPr>
              <w:spacing w:line="240" w:lineRule="auto"/>
              <w:jc w:val="right"/>
              <w:rPr>
                <w:rFonts w:cs="Calibri"/>
                <w:sz w:val="16"/>
                <w:szCs w:val="16"/>
                <w:lang w:eastAsia="en-GB"/>
              </w:rPr>
            </w:pPr>
            <w:r w:rsidRPr="00EA2FEC">
              <w:rPr>
                <w:rFonts w:cs="Calibri"/>
                <w:sz w:val="16"/>
                <w:szCs w:val="16"/>
                <w:lang w:eastAsia="en-GB"/>
              </w:rPr>
              <w:t>70</w:t>
            </w:r>
          </w:p>
        </w:tc>
        <w:tc>
          <w:tcPr>
            <w:tcW w:w="960" w:type="dxa"/>
            <w:noWrap/>
            <w:hideMark/>
          </w:tcPr>
          <w:p w:rsidRPr="00EA2FEC" w:rsidR="00B52D66" w:rsidP="00FC2172" w:rsidRDefault="00B52D66" w14:paraId="13E23095" w14:textId="77777777">
            <w:pPr>
              <w:spacing w:line="240" w:lineRule="auto"/>
              <w:jc w:val="right"/>
              <w:rPr>
                <w:rFonts w:cs="Calibri"/>
                <w:sz w:val="16"/>
                <w:szCs w:val="16"/>
                <w:lang w:eastAsia="en-GB"/>
              </w:rPr>
            </w:pPr>
            <w:r w:rsidRPr="00EA2FEC">
              <w:rPr>
                <w:rFonts w:cs="Calibri"/>
                <w:sz w:val="16"/>
                <w:szCs w:val="16"/>
                <w:lang w:eastAsia="en-GB"/>
              </w:rPr>
              <w:t>33</w:t>
            </w:r>
          </w:p>
        </w:tc>
        <w:tc>
          <w:tcPr>
            <w:tcW w:w="1120" w:type="dxa"/>
            <w:noWrap/>
            <w:hideMark/>
          </w:tcPr>
          <w:p w:rsidRPr="00EA2FEC" w:rsidR="00B52D66" w:rsidP="00FC2172" w:rsidRDefault="00B52D66" w14:paraId="676E86AA" w14:textId="77777777">
            <w:pPr>
              <w:spacing w:line="240" w:lineRule="auto"/>
              <w:jc w:val="right"/>
              <w:rPr>
                <w:rFonts w:cs="Calibri"/>
                <w:sz w:val="16"/>
                <w:szCs w:val="16"/>
                <w:lang w:eastAsia="en-GB"/>
              </w:rPr>
            </w:pPr>
            <w:r w:rsidRPr="00EA2FEC">
              <w:rPr>
                <w:rFonts w:cs="Calibri"/>
                <w:sz w:val="16"/>
                <w:szCs w:val="16"/>
                <w:lang w:eastAsia="en-GB"/>
              </w:rPr>
              <w:t>24</w:t>
            </w:r>
          </w:p>
        </w:tc>
        <w:tc>
          <w:tcPr>
            <w:tcW w:w="960" w:type="dxa"/>
            <w:noWrap/>
            <w:hideMark/>
          </w:tcPr>
          <w:p w:rsidRPr="00EA2FEC" w:rsidR="00B52D66" w:rsidP="00FC2172" w:rsidRDefault="00B52D66" w14:paraId="16310CFD" w14:textId="77777777">
            <w:pPr>
              <w:spacing w:line="240" w:lineRule="auto"/>
              <w:jc w:val="right"/>
              <w:rPr>
                <w:rFonts w:cs="Calibri"/>
                <w:sz w:val="16"/>
                <w:szCs w:val="16"/>
                <w:lang w:eastAsia="en-GB"/>
              </w:rPr>
            </w:pPr>
            <w:r w:rsidRPr="00EA2FEC">
              <w:rPr>
                <w:rFonts w:cs="Calibri"/>
                <w:sz w:val="16"/>
                <w:szCs w:val="16"/>
                <w:lang w:eastAsia="en-GB"/>
              </w:rPr>
              <w:t>15</w:t>
            </w:r>
          </w:p>
        </w:tc>
        <w:tc>
          <w:tcPr>
            <w:tcW w:w="1120" w:type="dxa"/>
            <w:noWrap/>
            <w:hideMark/>
          </w:tcPr>
          <w:p w:rsidRPr="00EA2FEC" w:rsidR="00B52D66" w:rsidP="00FC2172" w:rsidRDefault="00B52D66" w14:paraId="72CC0898" w14:textId="77777777">
            <w:pPr>
              <w:spacing w:line="240" w:lineRule="auto"/>
              <w:jc w:val="right"/>
              <w:rPr>
                <w:rFonts w:cs="Calibri"/>
                <w:sz w:val="16"/>
                <w:szCs w:val="16"/>
                <w:lang w:eastAsia="en-GB"/>
              </w:rPr>
            </w:pPr>
            <w:r w:rsidRPr="00EA2FEC">
              <w:rPr>
                <w:rFonts w:cs="Calibri"/>
                <w:sz w:val="16"/>
                <w:szCs w:val="16"/>
                <w:lang w:eastAsia="en-GB"/>
              </w:rPr>
              <w:t>46</w:t>
            </w:r>
          </w:p>
        </w:tc>
        <w:tc>
          <w:tcPr>
            <w:tcW w:w="960" w:type="dxa"/>
            <w:noWrap/>
            <w:hideMark/>
          </w:tcPr>
          <w:p w:rsidRPr="00EA2FEC" w:rsidR="00B52D66" w:rsidP="00FC2172" w:rsidRDefault="00B52D66" w14:paraId="1872A263" w14:textId="77777777">
            <w:pPr>
              <w:spacing w:line="240" w:lineRule="auto"/>
              <w:jc w:val="right"/>
              <w:rPr>
                <w:rFonts w:cs="Calibri"/>
                <w:sz w:val="16"/>
                <w:szCs w:val="16"/>
                <w:lang w:eastAsia="en-GB"/>
              </w:rPr>
            </w:pPr>
            <w:r w:rsidRPr="00EA2FEC">
              <w:rPr>
                <w:rFonts w:cs="Calibri"/>
                <w:sz w:val="16"/>
                <w:szCs w:val="16"/>
                <w:lang w:eastAsia="en-GB"/>
              </w:rPr>
              <w:t>18</w:t>
            </w:r>
          </w:p>
        </w:tc>
      </w:tr>
      <w:tr w:rsidRPr="00EA2FEC" w:rsidR="00B52D66" w:rsidTr="00FC2172" w14:paraId="54C3A4CE" w14:textId="77777777">
        <w:trPr>
          <w:trHeight w:val="290"/>
        </w:trPr>
        <w:tc>
          <w:tcPr>
            <w:tcW w:w="3020" w:type="dxa"/>
            <w:noWrap/>
            <w:hideMark/>
          </w:tcPr>
          <w:p w:rsidRPr="00EA2FEC" w:rsidR="00B52D66" w:rsidP="00FC2172" w:rsidRDefault="00B52D66" w14:paraId="3D1DEB91" w14:textId="77777777">
            <w:pPr>
              <w:spacing w:line="240" w:lineRule="auto"/>
              <w:rPr>
                <w:rFonts w:cs="Calibri"/>
                <w:sz w:val="16"/>
                <w:szCs w:val="16"/>
                <w:lang w:eastAsia="en-GB"/>
              </w:rPr>
            </w:pPr>
            <w:r w:rsidRPr="00EA2FEC">
              <w:rPr>
                <w:rFonts w:cs="Calibri"/>
                <w:sz w:val="16"/>
                <w:szCs w:val="16"/>
                <w:lang w:eastAsia="en-GB"/>
              </w:rPr>
              <w:t>MaT</w:t>
            </w:r>
          </w:p>
        </w:tc>
        <w:tc>
          <w:tcPr>
            <w:tcW w:w="1120" w:type="dxa"/>
            <w:noWrap/>
            <w:hideMark/>
          </w:tcPr>
          <w:p w:rsidRPr="00EA2FEC" w:rsidR="00B52D66" w:rsidP="00FC2172" w:rsidRDefault="00B52D66" w14:paraId="3FE2EF52" w14:textId="77777777">
            <w:pPr>
              <w:spacing w:line="240" w:lineRule="auto"/>
              <w:jc w:val="right"/>
              <w:rPr>
                <w:rFonts w:cs="Calibri"/>
                <w:sz w:val="16"/>
                <w:szCs w:val="16"/>
                <w:lang w:eastAsia="en-GB"/>
              </w:rPr>
            </w:pPr>
            <w:r w:rsidRPr="00EA2FEC">
              <w:rPr>
                <w:rFonts w:cs="Calibri"/>
                <w:sz w:val="16"/>
                <w:szCs w:val="16"/>
                <w:lang w:eastAsia="en-GB"/>
              </w:rPr>
              <w:t>5</w:t>
            </w:r>
          </w:p>
        </w:tc>
        <w:tc>
          <w:tcPr>
            <w:tcW w:w="960" w:type="dxa"/>
            <w:noWrap/>
            <w:hideMark/>
          </w:tcPr>
          <w:p w:rsidRPr="00EA2FEC" w:rsidR="00B52D66" w:rsidP="00FC2172" w:rsidRDefault="00B52D66" w14:paraId="0003F356" w14:textId="77777777">
            <w:pPr>
              <w:spacing w:line="240" w:lineRule="auto"/>
              <w:jc w:val="right"/>
              <w:rPr>
                <w:rFonts w:cs="Calibri"/>
                <w:sz w:val="16"/>
                <w:szCs w:val="16"/>
                <w:lang w:eastAsia="en-GB"/>
              </w:rPr>
            </w:pPr>
            <w:r w:rsidRPr="00EA2FEC">
              <w:rPr>
                <w:rFonts w:cs="Calibri"/>
                <w:sz w:val="16"/>
                <w:szCs w:val="16"/>
                <w:lang w:eastAsia="en-GB"/>
              </w:rPr>
              <w:t>0</w:t>
            </w:r>
          </w:p>
        </w:tc>
        <w:tc>
          <w:tcPr>
            <w:tcW w:w="1120" w:type="dxa"/>
            <w:noWrap/>
            <w:hideMark/>
          </w:tcPr>
          <w:p w:rsidRPr="00EA2FEC" w:rsidR="00B52D66" w:rsidP="00FC2172" w:rsidRDefault="00B52D66" w14:paraId="329AD5DA" w14:textId="77777777">
            <w:pPr>
              <w:spacing w:line="240" w:lineRule="auto"/>
              <w:jc w:val="right"/>
              <w:rPr>
                <w:rFonts w:cs="Calibri"/>
                <w:sz w:val="16"/>
                <w:szCs w:val="16"/>
                <w:lang w:eastAsia="en-GB"/>
              </w:rPr>
            </w:pPr>
            <w:r w:rsidRPr="00EA2FEC">
              <w:rPr>
                <w:rFonts w:cs="Calibri"/>
                <w:sz w:val="16"/>
                <w:szCs w:val="16"/>
                <w:lang w:eastAsia="en-GB"/>
              </w:rPr>
              <w:t>5</w:t>
            </w:r>
          </w:p>
        </w:tc>
        <w:tc>
          <w:tcPr>
            <w:tcW w:w="960" w:type="dxa"/>
            <w:noWrap/>
            <w:hideMark/>
          </w:tcPr>
          <w:p w:rsidRPr="00EA2FEC" w:rsidR="00B52D66" w:rsidP="00FC2172" w:rsidRDefault="00B52D66" w14:paraId="790ADB18" w14:textId="77777777">
            <w:pPr>
              <w:spacing w:line="240" w:lineRule="auto"/>
              <w:jc w:val="right"/>
              <w:rPr>
                <w:rFonts w:cs="Calibri"/>
                <w:sz w:val="16"/>
                <w:szCs w:val="16"/>
                <w:lang w:eastAsia="en-GB"/>
              </w:rPr>
            </w:pPr>
            <w:r w:rsidRPr="00EA2FEC">
              <w:rPr>
                <w:rFonts w:cs="Calibri"/>
                <w:sz w:val="16"/>
                <w:szCs w:val="16"/>
                <w:lang w:eastAsia="en-GB"/>
              </w:rPr>
              <w:t>0</w:t>
            </w:r>
          </w:p>
        </w:tc>
        <w:tc>
          <w:tcPr>
            <w:tcW w:w="1120" w:type="dxa"/>
            <w:noWrap/>
            <w:hideMark/>
          </w:tcPr>
          <w:p w:rsidRPr="00EA2FEC" w:rsidR="00B52D66" w:rsidP="00FC2172" w:rsidRDefault="00B52D66" w14:paraId="308419A6" w14:textId="77777777">
            <w:pPr>
              <w:spacing w:line="240" w:lineRule="auto"/>
              <w:jc w:val="right"/>
              <w:rPr>
                <w:rFonts w:cs="Calibri"/>
                <w:sz w:val="16"/>
                <w:szCs w:val="16"/>
                <w:lang w:eastAsia="en-GB"/>
              </w:rPr>
            </w:pPr>
            <w:r w:rsidRPr="00EA2FEC">
              <w:rPr>
                <w:rFonts w:cs="Calibri"/>
                <w:sz w:val="16"/>
                <w:szCs w:val="16"/>
                <w:lang w:eastAsia="en-GB"/>
              </w:rPr>
              <w:t>0</w:t>
            </w:r>
          </w:p>
        </w:tc>
        <w:tc>
          <w:tcPr>
            <w:tcW w:w="960" w:type="dxa"/>
            <w:noWrap/>
            <w:hideMark/>
          </w:tcPr>
          <w:p w:rsidRPr="00EA2FEC" w:rsidR="00B52D66" w:rsidP="00FC2172" w:rsidRDefault="00B52D66" w14:paraId="56D8C327" w14:textId="77777777">
            <w:pPr>
              <w:spacing w:line="240" w:lineRule="auto"/>
              <w:jc w:val="right"/>
              <w:rPr>
                <w:rFonts w:cs="Calibri"/>
                <w:sz w:val="16"/>
                <w:szCs w:val="16"/>
                <w:lang w:eastAsia="en-GB"/>
              </w:rPr>
            </w:pPr>
            <w:r w:rsidRPr="00EA2FEC">
              <w:rPr>
                <w:rFonts w:cs="Calibri"/>
                <w:sz w:val="16"/>
                <w:szCs w:val="16"/>
                <w:lang w:eastAsia="en-GB"/>
              </w:rPr>
              <w:t>0</w:t>
            </w:r>
          </w:p>
        </w:tc>
      </w:tr>
      <w:tr w:rsidRPr="00EA2FEC" w:rsidR="00B52D66" w:rsidTr="00FC2172" w14:paraId="5539EF83" w14:textId="77777777">
        <w:trPr>
          <w:trHeight w:val="290"/>
        </w:trPr>
        <w:tc>
          <w:tcPr>
            <w:tcW w:w="3020" w:type="dxa"/>
            <w:noWrap/>
            <w:hideMark/>
          </w:tcPr>
          <w:p w:rsidRPr="00EA2FEC" w:rsidR="00B52D66" w:rsidP="00FC2172" w:rsidRDefault="00B52D66" w14:paraId="7096536A" w14:textId="77777777">
            <w:pPr>
              <w:spacing w:line="240" w:lineRule="auto"/>
              <w:rPr>
                <w:rFonts w:cs="Calibri"/>
                <w:sz w:val="16"/>
                <w:szCs w:val="16"/>
                <w:lang w:eastAsia="en-GB"/>
              </w:rPr>
            </w:pPr>
            <w:r w:rsidRPr="00EA2FEC">
              <w:rPr>
                <w:rFonts w:cs="Calibri"/>
                <w:sz w:val="16"/>
                <w:szCs w:val="16"/>
                <w:lang w:eastAsia="en-GB"/>
              </w:rPr>
              <w:t>MVI</w:t>
            </w:r>
          </w:p>
        </w:tc>
        <w:tc>
          <w:tcPr>
            <w:tcW w:w="1120" w:type="dxa"/>
            <w:noWrap/>
            <w:hideMark/>
          </w:tcPr>
          <w:p w:rsidRPr="00EA2FEC" w:rsidR="00B52D66" w:rsidP="00FC2172" w:rsidRDefault="00B52D66" w14:paraId="520B0EE1" w14:textId="77777777">
            <w:pPr>
              <w:spacing w:line="240" w:lineRule="auto"/>
              <w:jc w:val="right"/>
              <w:rPr>
                <w:rFonts w:cs="Calibri"/>
                <w:sz w:val="16"/>
                <w:szCs w:val="16"/>
                <w:lang w:eastAsia="en-GB"/>
              </w:rPr>
            </w:pPr>
            <w:r w:rsidRPr="00EA2FEC">
              <w:rPr>
                <w:rFonts w:cs="Calibri"/>
                <w:sz w:val="16"/>
                <w:szCs w:val="16"/>
                <w:lang w:eastAsia="en-GB"/>
              </w:rPr>
              <w:t>33</w:t>
            </w:r>
          </w:p>
        </w:tc>
        <w:tc>
          <w:tcPr>
            <w:tcW w:w="960" w:type="dxa"/>
            <w:noWrap/>
            <w:hideMark/>
          </w:tcPr>
          <w:p w:rsidRPr="00EA2FEC" w:rsidR="00B52D66" w:rsidP="00FC2172" w:rsidRDefault="00B52D66" w14:paraId="0D46B3DE" w14:textId="77777777">
            <w:pPr>
              <w:spacing w:line="240" w:lineRule="auto"/>
              <w:jc w:val="right"/>
              <w:rPr>
                <w:rFonts w:cs="Calibri"/>
                <w:sz w:val="16"/>
                <w:szCs w:val="16"/>
                <w:lang w:eastAsia="en-GB"/>
              </w:rPr>
            </w:pPr>
            <w:r w:rsidRPr="00EA2FEC">
              <w:rPr>
                <w:rFonts w:cs="Calibri"/>
                <w:sz w:val="16"/>
                <w:szCs w:val="16"/>
                <w:lang w:eastAsia="en-GB"/>
              </w:rPr>
              <w:t>10</w:t>
            </w:r>
          </w:p>
        </w:tc>
        <w:tc>
          <w:tcPr>
            <w:tcW w:w="1120" w:type="dxa"/>
            <w:noWrap/>
            <w:hideMark/>
          </w:tcPr>
          <w:p w:rsidRPr="00EA2FEC" w:rsidR="00B52D66" w:rsidP="00FC2172" w:rsidRDefault="00B52D66" w14:paraId="6C6F153A" w14:textId="77777777">
            <w:pPr>
              <w:spacing w:line="240" w:lineRule="auto"/>
              <w:jc w:val="right"/>
              <w:rPr>
                <w:rFonts w:cs="Calibri"/>
                <w:sz w:val="16"/>
                <w:szCs w:val="16"/>
                <w:lang w:eastAsia="en-GB"/>
              </w:rPr>
            </w:pPr>
            <w:r w:rsidRPr="00EA2FEC">
              <w:rPr>
                <w:rFonts w:cs="Calibri"/>
                <w:sz w:val="16"/>
                <w:szCs w:val="16"/>
                <w:lang w:eastAsia="en-GB"/>
              </w:rPr>
              <w:t>24</w:t>
            </w:r>
          </w:p>
        </w:tc>
        <w:tc>
          <w:tcPr>
            <w:tcW w:w="960" w:type="dxa"/>
            <w:noWrap/>
            <w:hideMark/>
          </w:tcPr>
          <w:p w:rsidRPr="00EA2FEC" w:rsidR="00B52D66" w:rsidP="00FC2172" w:rsidRDefault="00B52D66" w14:paraId="7C8E3A24" w14:textId="77777777">
            <w:pPr>
              <w:spacing w:line="240" w:lineRule="auto"/>
              <w:jc w:val="right"/>
              <w:rPr>
                <w:rFonts w:cs="Calibri"/>
                <w:sz w:val="16"/>
                <w:szCs w:val="16"/>
                <w:lang w:eastAsia="en-GB"/>
              </w:rPr>
            </w:pPr>
            <w:r w:rsidRPr="00EA2FEC">
              <w:rPr>
                <w:rFonts w:cs="Calibri"/>
                <w:sz w:val="16"/>
                <w:szCs w:val="16"/>
                <w:lang w:eastAsia="en-GB"/>
              </w:rPr>
              <w:t>8</w:t>
            </w:r>
          </w:p>
        </w:tc>
        <w:tc>
          <w:tcPr>
            <w:tcW w:w="1120" w:type="dxa"/>
            <w:noWrap/>
            <w:hideMark/>
          </w:tcPr>
          <w:p w:rsidRPr="00EA2FEC" w:rsidR="00B52D66" w:rsidP="00FC2172" w:rsidRDefault="00B52D66" w14:paraId="775982D1" w14:textId="77777777">
            <w:pPr>
              <w:spacing w:line="240" w:lineRule="auto"/>
              <w:jc w:val="right"/>
              <w:rPr>
                <w:rFonts w:cs="Calibri"/>
                <w:sz w:val="16"/>
                <w:szCs w:val="16"/>
                <w:lang w:eastAsia="en-GB"/>
              </w:rPr>
            </w:pPr>
            <w:r w:rsidRPr="00EA2FEC">
              <w:rPr>
                <w:rFonts w:cs="Calibri"/>
                <w:sz w:val="16"/>
                <w:szCs w:val="16"/>
                <w:lang w:eastAsia="en-GB"/>
              </w:rPr>
              <w:t>9</w:t>
            </w:r>
          </w:p>
        </w:tc>
        <w:tc>
          <w:tcPr>
            <w:tcW w:w="960" w:type="dxa"/>
            <w:noWrap/>
            <w:hideMark/>
          </w:tcPr>
          <w:p w:rsidRPr="00EA2FEC" w:rsidR="00B52D66" w:rsidP="00FC2172" w:rsidRDefault="00B52D66" w14:paraId="3FFC82FD" w14:textId="77777777">
            <w:pPr>
              <w:spacing w:line="240" w:lineRule="auto"/>
              <w:jc w:val="right"/>
              <w:rPr>
                <w:rFonts w:cs="Calibri"/>
                <w:sz w:val="16"/>
                <w:szCs w:val="16"/>
                <w:lang w:eastAsia="en-GB"/>
              </w:rPr>
            </w:pPr>
            <w:r w:rsidRPr="00EA2FEC">
              <w:rPr>
                <w:rFonts w:cs="Calibri"/>
                <w:sz w:val="16"/>
                <w:szCs w:val="16"/>
                <w:lang w:eastAsia="en-GB"/>
              </w:rPr>
              <w:t>2</w:t>
            </w:r>
          </w:p>
        </w:tc>
      </w:tr>
      <w:tr w:rsidRPr="00EA2FEC" w:rsidR="00B52D66" w:rsidTr="00FC2172" w14:paraId="408015DC" w14:textId="77777777">
        <w:trPr>
          <w:trHeight w:val="290"/>
        </w:trPr>
        <w:tc>
          <w:tcPr>
            <w:tcW w:w="3020" w:type="dxa"/>
            <w:noWrap/>
            <w:hideMark/>
          </w:tcPr>
          <w:p w:rsidRPr="00EA2FEC" w:rsidR="00B52D66" w:rsidP="00FC2172" w:rsidRDefault="00B52D66" w14:paraId="2AA658FF" w14:textId="77777777">
            <w:pPr>
              <w:spacing w:line="240" w:lineRule="auto"/>
              <w:rPr>
                <w:rFonts w:cs="Calibri"/>
                <w:sz w:val="16"/>
                <w:szCs w:val="16"/>
                <w:lang w:eastAsia="en-GB"/>
              </w:rPr>
            </w:pPr>
            <w:r w:rsidRPr="00EA2FEC">
              <w:rPr>
                <w:rFonts w:cs="Calibri"/>
                <w:sz w:val="16"/>
                <w:szCs w:val="16"/>
                <w:lang w:eastAsia="en-GB"/>
              </w:rPr>
              <w:t>M&amp;T</w:t>
            </w:r>
          </w:p>
        </w:tc>
        <w:tc>
          <w:tcPr>
            <w:tcW w:w="1120" w:type="dxa"/>
            <w:noWrap/>
            <w:hideMark/>
          </w:tcPr>
          <w:p w:rsidRPr="00EA2FEC" w:rsidR="00B52D66" w:rsidP="00FC2172" w:rsidRDefault="00B52D66" w14:paraId="4AB0F166" w14:textId="77777777">
            <w:pPr>
              <w:spacing w:line="240" w:lineRule="auto"/>
              <w:jc w:val="right"/>
              <w:rPr>
                <w:rFonts w:cs="Calibri"/>
                <w:sz w:val="16"/>
                <w:szCs w:val="16"/>
                <w:lang w:eastAsia="en-GB"/>
              </w:rPr>
            </w:pPr>
            <w:r w:rsidRPr="00EA2FEC">
              <w:rPr>
                <w:rFonts w:cs="Calibri"/>
                <w:sz w:val="16"/>
                <w:szCs w:val="16"/>
                <w:lang w:eastAsia="en-GB"/>
              </w:rPr>
              <w:t>49</w:t>
            </w:r>
          </w:p>
        </w:tc>
        <w:tc>
          <w:tcPr>
            <w:tcW w:w="960" w:type="dxa"/>
            <w:noWrap/>
            <w:hideMark/>
          </w:tcPr>
          <w:p w:rsidRPr="00EA2FEC" w:rsidR="00B52D66" w:rsidP="00FC2172" w:rsidRDefault="00B52D66" w14:paraId="0129A9D4" w14:textId="77777777">
            <w:pPr>
              <w:spacing w:line="240" w:lineRule="auto"/>
              <w:jc w:val="right"/>
              <w:rPr>
                <w:rFonts w:cs="Calibri"/>
                <w:sz w:val="16"/>
                <w:szCs w:val="16"/>
                <w:lang w:eastAsia="en-GB"/>
              </w:rPr>
            </w:pPr>
            <w:r w:rsidRPr="00EA2FEC">
              <w:rPr>
                <w:rFonts w:cs="Calibri"/>
                <w:sz w:val="16"/>
                <w:szCs w:val="16"/>
                <w:lang w:eastAsia="en-GB"/>
              </w:rPr>
              <w:t>28</w:t>
            </w:r>
          </w:p>
        </w:tc>
        <w:tc>
          <w:tcPr>
            <w:tcW w:w="1120" w:type="dxa"/>
            <w:noWrap/>
            <w:hideMark/>
          </w:tcPr>
          <w:p w:rsidRPr="00EA2FEC" w:rsidR="00B52D66" w:rsidP="00FC2172" w:rsidRDefault="00B52D66" w14:paraId="3664E057" w14:textId="77777777">
            <w:pPr>
              <w:spacing w:line="240" w:lineRule="auto"/>
              <w:jc w:val="right"/>
              <w:rPr>
                <w:rFonts w:cs="Calibri"/>
                <w:sz w:val="16"/>
                <w:szCs w:val="16"/>
                <w:lang w:eastAsia="en-GB"/>
              </w:rPr>
            </w:pPr>
            <w:r w:rsidRPr="00EA2FEC">
              <w:rPr>
                <w:rFonts w:cs="Calibri"/>
                <w:sz w:val="16"/>
                <w:szCs w:val="16"/>
                <w:lang w:eastAsia="en-GB"/>
              </w:rPr>
              <w:t>29</w:t>
            </w:r>
          </w:p>
        </w:tc>
        <w:tc>
          <w:tcPr>
            <w:tcW w:w="960" w:type="dxa"/>
            <w:noWrap/>
            <w:hideMark/>
          </w:tcPr>
          <w:p w:rsidRPr="00EA2FEC" w:rsidR="00B52D66" w:rsidP="00FC2172" w:rsidRDefault="00B52D66" w14:paraId="56FF3788" w14:textId="77777777">
            <w:pPr>
              <w:spacing w:line="240" w:lineRule="auto"/>
              <w:jc w:val="right"/>
              <w:rPr>
                <w:rFonts w:cs="Calibri"/>
                <w:sz w:val="16"/>
                <w:szCs w:val="16"/>
                <w:lang w:eastAsia="en-GB"/>
              </w:rPr>
            </w:pPr>
            <w:r w:rsidRPr="00EA2FEC">
              <w:rPr>
                <w:rFonts w:cs="Calibri"/>
                <w:sz w:val="16"/>
                <w:szCs w:val="16"/>
                <w:lang w:eastAsia="en-GB"/>
              </w:rPr>
              <w:t>16</w:t>
            </w:r>
          </w:p>
        </w:tc>
        <w:tc>
          <w:tcPr>
            <w:tcW w:w="1120" w:type="dxa"/>
            <w:noWrap/>
            <w:hideMark/>
          </w:tcPr>
          <w:p w:rsidRPr="00EA2FEC" w:rsidR="00B52D66" w:rsidP="00FC2172" w:rsidRDefault="00B52D66" w14:paraId="18023E1E" w14:textId="77777777">
            <w:pPr>
              <w:spacing w:line="240" w:lineRule="auto"/>
              <w:jc w:val="right"/>
              <w:rPr>
                <w:rFonts w:cs="Calibri"/>
                <w:sz w:val="16"/>
                <w:szCs w:val="16"/>
                <w:lang w:eastAsia="en-GB"/>
              </w:rPr>
            </w:pPr>
            <w:r w:rsidRPr="00EA2FEC">
              <w:rPr>
                <w:rFonts w:cs="Calibri"/>
                <w:sz w:val="16"/>
                <w:szCs w:val="16"/>
                <w:lang w:eastAsia="en-GB"/>
              </w:rPr>
              <w:t>20</w:t>
            </w:r>
          </w:p>
        </w:tc>
        <w:tc>
          <w:tcPr>
            <w:tcW w:w="960" w:type="dxa"/>
            <w:noWrap/>
            <w:hideMark/>
          </w:tcPr>
          <w:p w:rsidRPr="00EA2FEC" w:rsidR="00B52D66" w:rsidP="00FC2172" w:rsidRDefault="00B52D66" w14:paraId="2915B2FB" w14:textId="77777777">
            <w:pPr>
              <w:spacing w:line="240" w:lineRule="auto"/>
              <w:jc w:val="right"/>
              <w:rPr>
                <w:rFonts w:cs="Calibri"/>
                <w:sz w:val="16"/>
                <w:szCs w:val="16"/>
                <w:lang w:eastAsia="en-GB"/>
              </w:rPr>
            </w:pPr>
            <w:r w:rsidRPr="00EA2FEC">
              <w:rPr>
                <w:rFonts w:cs="Calibri"/>
                <w:sz w:val="16"/>
                <w:szCs w:val="16"/>
                <w:lang w:eastAsia="en-GB"/>
              </w:rPr>
              <w:t>12</w:t>
            </w:r>
          </w:p>
        </w:tc>
      </w:tr>
      <w:tr w:rsidRPr="00EA2FEC" w:rsidR="00B52D66" w:rsidTr="00FC2172" w14:paraId="2180E4CA" w14:textId="77777777">
        <w:trPr>
          <w:trHeight w:val="290"/>
        </w:trPr>
        <w:tc>
          <w:tcPr>
            <w:tcW w:w="3020" w:type="dxa"/>
            <w:noWrap/>
            <w:hideMark/>
          </w:tcPr>
          <w:p w:rsidRPr="00EA2FEC" w:rsidR="00B52D66" w:rsidP="00FC2172" w:rsidRDefault="00B52D66" w14:paraId="0CD36820" w14:textId="77777777">
            <w:pPr>
              <w:spacing w:line="240" w:lineRule="auto"/>
              <w:rPr>
                <w:rFonts w:cs="Calibri"/>
                <w:sz w:val="16"/>
                <w:szCs w:val="16"/>
                <w:lang w:eastAsia="en-GB"/>
              </w:rPr>
            </w:pPr>
            <w:r w:rsidRPr="00EA2FEC">
              <w:rPr>
                <w:rFonts w:cs="Calibri"/>
                <w:sz w:val="16"/>
                <w:szCs w:val="16"/>
                <w:lang w:eastAsia="en-GB"/>
              </w:rPr>
              <w:t>PIE</w:t>
            </w:r>
          </w:p>
        </w:tc>
        <w:tc>
          <w:tcPr>
            <w:tcW w:w="1120" w:type="dxa"/>
            <w:noWrap/>
            <w:hideMark/>
          </w:tcPr>
          <w:p w:rsidRPr="00EA2FEC" w:rsidR="00B52D66" w:rsidP="00FC2172" w:rsidRDefault="00B52D66" w14:paraId="254E46E1" w14:textId="77777777">
            <w:pPr>
              <w:spacing w:line="240" w:lineRule="auto"/>
              <w:jc w:val="right"/>
              <w:rPr>
                <w:rFonts w:cs="Calibri"/>
                <w:sz w:val="16"/>
                <w:szCs w:val="16"/>
                <w:lang w:eastAsia="en-GB"/>
              </w:rPr>
            </w:pPr>
            <w:r w:rsidRPr="00EA2FEC">
              <w:rPr>
                <w:rFonts w:cs="Calibri"/>
                <w:sz w:val="16"/>
                <w:szCs w:val="16"/>
                <w:lang w:eastAsia="en-GB"/>
              </w:rPr>
              <w:t>74</w:t>
            </w:r>
          </w:p>
        </w:tc>
        <w:tc>
          <w:tcPr>
            <w:tcW w:w="960" w:type="dxa"/>
            <w:noWrap/>
            <w:hideMark/>
          </w:tcPr>
          <w:p w:rsidRPr="00EA2FEC" w:rsidR="00B52D66" w:rsidP="00FC2172" w:rsidRDefault="00B52D66" w14:paraId="4701E281" w14:textId="77777777">
            <w:pPr>
              <w:spacing w:line="240" w:lineRule="auto"/>
              <w:jc w:val="right"/>
              <w:rPr>
                <w:rFonts w:cs="Calibri"/>
                <w:sz w:val="16"/>
                <w:szCs w:val="16"/>
                <w:lang w:eastAsia="en-GB"/>
              </w:rPr>
            </w:pPr>
            <w:r w:rsidRPr="00EA2FEC">
              <w:rPr>
                <w:rFonts w:cs="Calibri"/>
                <w:sz w:val="16"/>
                <w:szCs w:val="16"/>
                <w:lang w:eastAsia="en-GB"/>
              </w:rPr>
              <w:t>24</w:t>
            </w:r>
          </w:p>
        </w:tc>
        <w:tc>
          <w:tcPr>
            <w:tcW w:w="1120" w:type="dxa"/>
            <w:noWrap/>
            <w:hideMark/>
          </w:tcPr>
          <w:p w:rsidRPr="00EA2FEC" w:rsidR="00B52D66" w:rsidP="00FC2172" w:rsidRDefault="00B52D66" w14:paraId="2E5B549E" w14:textId="77777777">
            <w:pPr>
              <w:spacing w:line="240" w:lineRule="auto"/>
              <w:jc w:val="right"/>
              <w:rPr>
                <w:rFonts w:cs="Calibri"/>
                <w:sz w:val="16"/>
                <w:szCs w:val="16"/>
                <w:lang w:eastAsia="en-GB"/>
              </w:rPr>
            </w:pPr>
            <w:r w:rsidRPr="00EA2FEC">
              <w:rPr>
                <w:rFonts w:cs="Calibri"/>
                <w:sz w:val="16"/>
                <w:szCs w:val="16"/>
                <w:lang w:eastAsia="en-GB"/>
              </w:rPr>
              <w:t>16</w:t>
            </w:r>
          </w:p>
        </w:tc>
        <w:tc>
          <w:tcPr>
            <w:tcW w:w="960" w:type="dxa"/>
            <w:noWrap/>
            <w:hideMark/>
          </w:tcPr>
          <w:p w:rsidRPr="00EA2FEC" w:rsidR="00B52D66" w:rsidP="00FC2172" w:rsidRDefault="00B52D66" w14:paraId="00C9FE81" w14:textId="77777777">
            <w:pPr>
              <w:spacing w:line="240" w:lineRule="auto"/>
              <w:jc w:val="right"/>
              <w:rPr>
                <w:rFonts w:cs="Calibri"/>
                <w:sz w:val="16"/>
                <w:szCs w:val="16"/>
                <w:lang w:eastAsia="en-GB"/>
              </w:rPr>
            </w:pPr>
            <w:r w:rsidRPr="00EA2FEC">
              <w:rPr>
                <w:rFonts w:cs="Calibri"/>
                <w:sz w:val="16"/>
                <w:szCs w:val="16"/>
                <w:lang w:eastAsia="en-GB"/>
              </w:rPr>
              <w:t>6</w:t>
            </w:r>
          </w:p>
        </w:tc>
        <w:tc>
          <w:tcPr>
            <w:tcW w:w="1120" w:type="dxa"/>
            <w:noWrap/>
            <w:hideMark/>
          </w:tcPr>
          <w:p w:rsidRPr="00EA2FEC" w:rsidR="00B52D66" w:rsidP="00FC2172" w:rsidRDefault="00B52D66" w14:paraId="60354AD1" w14:textId="77777777">
            <w:pPr>
              <w:spacing w:line="240" w:lineRule="auto"/>
              <w:jc w:val="right"/>
              <w:rPr>
                <w:rFonts w:cs="Calibri"/>
                <w:sz w:val="16"/>
                <w:szCs w:val="16"/>
                <w:lang w:eastAsia="en-GB"/>
              </w:rPr>
            </w:pPr>
            <w:r w:rsidRPr="00EA2FEC">
              <w:rPr>
                <w:rFonts w:cs="Calibri"/>
                <w:sz w:val="16"/>
                <w:szCs w:val="16"/>
                <w:lang w:eastAsia="en-GB"/>
              </w:rPr>
              <w:t>58</w:t>
            </w:r>
          </w:p>
        </w:tc>
        <w:tc>
          <w:tcPr>
            <w:tcW w:w="960" w:type="dxa"/>
            <w:noWrap/>
            <w:hideMark/>
          </w:tcPr>
          <w:p w:rsidRPr="00EA2FEC" w:rsidR="00B52D66" w:rsidP="00FC2172" w:rsidRDefault="00B52D66" w14:paraId="7784175B" w14:textId="77777777">
            <w:pPr>
              <w:spacing w:line="240" w:lineRule="auto"/>
              <w:jc w:val="right"/>
              <w:rPr>
                <w:rFonts w:cs="Calibri"/>
                <w:sz w:val="16"/>
                <w:szCs w:val="16"/>
                <w:lang w:eastAsia="en-GB"/>
              </w:rPr>
            </w:pPr>
            <w:r w:rsidRPr="00EA2FEC">
              <w:rPr>
                <w:rFonts w:cs="Calibri"/>
                <w:sz w:val="16"/>
                <w:szCs w:val="16"/>
                <w:lang w:eastAsia="en-GB"/>
              </w:rPr>
              <w:t>18</w:t>
            </w:r>
          </w:p>
        </w:tc>
      </w:tr>
      <w:tr w:rsidRPr="00EA2FEC" w:rsidR="00B52D66" w:rsidTr="00FC2172" w14:paraId="4F4D85BE" w14:textId="77777777">
        <w:trPr>
          <w:trHeight w:val="290"/>
        </w:trPr>
        <w:tc>
          <w:tcPr>
            <w:tcW w:w="3020" w:type="dxa"/>
            <w:noWrap/>
            <w:hideMark/>
          </w:tcPr>
          <w:p w:rsidRPr="00EA2FEC" w:rsidR="00B52D66" w:rsidP="00FC2172" w:rsidRDefault="00B52D66" w14:paraId="68D5CE0E" w14:textId="77777777">
            <w:pPr>
              <w:spacing w:line="240" w:lineRule="auto"/>
              <w:rPr>
                <w:rFonts w:cs="Calibri"/>
                <w:b/>
                <w:bCs/>
                <w:sz w:val="16"/>
                <w:szCs w:val="16"/>
                <w:lang w:eastAsia="en-GB"/>
              </w:rPr>
            </w:pPr>
            <w:r w:rsidRPr="00EA2FEC">
              <w:rPr>
                <w:rFonts w:cs="Calibri"/>
                <w:b/>
                <w:bCs/>
                <w:sz w:val="16"/>
                <w:szCs w:val="16"/>
                <w:lang w:eastAsia="en-GB"/>
              </w:rPr>
              <w:lastRenderedPageBreak/>
              <w:t>Gemengde leerweg</w:t>
            </w:r>
          </w:p>
        </w:tc>
        <w:tc>
          <w:tcPr>
            <w:tcW w:w="1120" w:type="dxa"/>
            <w:noWrap/>
            <w:hideMark/>
          </w:tcPr>
          <w:p w:rsidRPr="00EA2FEC" w:rsidR="00B52D66" w:rsidP="00FC2172" w:rsidRDefault="00B52D66" w14:paraId="6D4EE386" w14:textId="77777777">
            <w:pPr>
              <w:spacing w:line="240" w:lineRule="auto"/>
              <w:rPr>
                <w:rFonts w:cs="Calibri"/>
                <w:sz w:val="16"/>
                <w:szCs w:val="16"/>
                <w:lang w:eastAsia="en-GB"/>
              </w:rPr>
            </w:pPr>
            <w:r w:rsidRPr="00EA2FEC">
              <w:rPr>
                <w:rFonts w:cs="Calibri"/>
                <w:sz w:val="16"/>
                <w:szCs w:val="16"/>
                <w:lang w:eastAsia="en-GB"/>
              </w:rPr>
              <w:t> </w:t>
            </w:r>
          </w:p>
        </w:tc>
        <w:tc>
          <w:tcPr>
            <w:tcW w:w="960" w:type="dxa"/>
            <w:noWrap/>
            <w:hideMark/>
          </w:tcPr>
          <w:p w:rsidRPr="00EA2FEC" w:rsidR="00B52D66" w:rsidP="00FC2172" w:rsidRDefault="00B52D66" w14:paraId="067B6FDD" w14:textId="77777777">
            <w:pPr>
              <w:spacing w:line="240" w:lineRule="auto"/>
              <w:rPr>
                <w:rFonts w:cs="Calibri"/>
                <w:sz w:val="16"/>
                <w:szCs w:val="16"/>
                <w:lang w:eastAsia="en-GB"/>
              </w:rPr>
            </w:pPr>
            <w:r w:rsidRPr="00EA2FEC">
              <w:rPr>
                <w:rFonts w:cs="Calibri"/>
                <w:sz w:val="16"/>
                <w:szCs w:val="16"/>
                <w:lang w:eastAsia="en-GB"/>
              </w:rPr>
              <w:t> </w:t>
            </w:r>
          </w:p>
        </w:tc>
        <w:tc>
          <w:tcPr>
            <w:tcW w:w="1120" w:type="dxa"/>
            <w:noWrap/>
            <w:hideMark/>
          </w:tcPr>
          <w:p w:rsidRPr="00EA2FEC" w:rsidR="00B52D66" w:rsidP="00FC2172" w:rsidRDefault="00B52D66" w14:paraId="487F1F37" w14:textId="77777777">
            <w:pPr>
              <w:spacing w:line="240" w:lineRule="auto"/>
              <w:rPr>
                <w:rFonts w:cs="Calibri"/>
                <w:sz w:val="16"/>
                <w:szCs w:val="16"/>
                <w:lang w:eastAsia="en-GB"/>
              </w:rPr>
            </w:pPr>
            <w:r w:rsidRPr="00EA2FEC">
              <w:rPr>
                <w:rFonts w:cs="Calibri"/>
                <w:sz w:val="16"/>
                <w:szCs w:val="16"/>
                <w:lang w:eastAsia="en-GB"/>
              </w:rPr>
              <w:t> </w:t>
            </w:r>
          </w:p>
        </w:tc>
        <w:tc>
          <w:tcPr>
            <w:tcW w:w="960" w:type="dxa"/>
            <w:noWrap/>
            <w:hideMark/>
          </w:tcPr>
          <w:p w:rsidRPr="00EA2FEC" w:rsidR="00B52D66" w:rsidP="00FC2172" w:rsidRDefault="00B52D66" w14:paraId="4FDD6815" w14:textId="77777777">
            <w:pPr>
              <w:spacing w:line="240" w:lineRule="auto"/>
              <w:rPr>
                <w:rFonts w:cs="Calibri"/>
                <w:sz w:val="16"/>
                <w:szCs w:val="16"/>
                <w:lang w:eastAsia="en-GB"/>
              </w:rPr>
            </w:pPr>
            <w:r w:rsidRPr="00EA2FEC">
              <w:rPr>
                <w:rFonts w:cs="Calibri"/>
                <w:sz w:val="16"/>
                <w:szCs w:val="16"/>
                <w:lang w:eastAsia="en-GB"/>
              </w:rPr>
              <w:t> </w:t>
            </w:r>
          </w:p>
        </w:tc>
        <w:tc>
          <w:tcPr>
            <w:tcW w:w="1120" w:type="dxa"/>
            <w:noWrap/>
            <w:hideMark/>
          </w:tcPr>
          <w:p w:rsidRPr="00EA2FEC" w:rsidR="00B52D66" w:rsidP="00FC2172" w:rsidRDefault="00B52D66" w14:paraId="7BEEC511" w14:textId="77777777">
            <w:pPr>
              <w:spacing w:line="240" w:lineRule="auto"/>
              <w:rPr>
                <w:rFonts w:cs="Calibri"/>
                <w:sz w:val="16"/>
                <w:szCs w:val="16"/>
                <w:lang w:eastAsia="en-GB"/>
              </w:rPr>
            </w:pPr>
            <w:r w:rsidRPr="00EA2FEC">
              <w:rPr>
                <w:rFonts w:cs="Calibri"/>
                <w:sz w:val="16"/>
                <w:szCs w:val="16"/>
                <w:lang w:eastAsia="en-GB"/>
              </w:rPr>
              <w:t> </w:t>
            </w:r>
          </w:p>
        </w:tc>
        <w:tc>
          <w:tcPr>
            <w:tcW w:w="960" w:type="dxa"/>
            <w:noWrap/>
            <w:hideMark/>
          </w:tcPr>
          <w:p w:rsidRPr="00EA2FEC" w:rsidR="00B52D66" w:rsidP="00FC2172" w:rsidRDefault="00B52D66" w14:paraId="120B1C68" w14:textId="77777777">
            <w:pPr>
              <w:spacing w:line="240" w:lineRule="auto"/>
              <w:rPr>
                <w:rFonts w:cs="Calibri"/>
                <w:sz w:val="16"/>
                <w:szCs w:val="16"/>
                <w:lang w:eastAsia="en-GB"/>
              </w:rPr>
            </w:pPr>
            <w:r w:rsidRPr="00EA2FEC">
              <w:rPr>
                <w:rFonts w:cs="Calibri"/>
                <w:sz w:val="16"/>
                <w:szCs w:val="16"/>
                <w:lang w:eastAsia="en-GB"/>
              </w:rPr>
              <w:t> </w:t>
            </w:r>
          </w:p>
        </w:tc>
      </w:tr>
      <w:tr w:rsidRPr="00EA2FEC" w:rsidR="00B52D66" w:rsidTr="00FC2172" w14:paraId="22DEF15D" w14:textId="77777777">
        <w:trPr>
          <w:trHeight w:val="290"/>
        </w:trPr>
        <w:tc>
          <w:tcPr>
            <w:tcW w:w="3020" w:type="dxa"/>
            <w:noWrap/>
            <w:hideMark/>
          </w:tcPr>
          <w:p w:rsidRPr="00EA2FEC" w:rsidR="00B52D66" w:rsidP="00FC2172" w:rsidRDefault="00B52D66" w14:paraId="6C109A32" w14:textId="77777777">
            <w:pPr>
              <w:spacing w:line="240" w:lineRule="auto"/>
              <w:rPr>
                <w:rFonts w:cs="Calibri"/>
                <w:sz w:val="16"/>
                <w:szCs w:val="16"/>
                <w:lang w:eastAsia="en-GB"/>
              </w:rPr>
            </w:pPr>
            <w:r w:rsidRPr="00EA2FEC">
              <w:rPr>
                <w:rFonts w:cs="Calibri"/>
                <w:sz w:val="16"/>
                <w:szCs w:val="16"/>
                <w:lang w:eastAsia="en-GB"/>
              </w:rPr>
              <w:t>BWI</w:t>
            </w:r>
          </w:p>
        </w:tc>
        <w:tc>
          <w:tcPr>
            <w:tcW w:w="1120" w:type="dxa"/>
            <w:noWrap/>
            <w:hideMark/>
          </w:tcPr>
          <w:p w:rsidRPr="00EA2FEC" w:rsidR="00B52D66" w:rsidP="00FC2172" w:rsidRDefault="00B52D66" w14:paraId="53F857A4" w14:textId="77777777">
            <w:pPr>
              <w:spacing w:line="240" w:lineRule="auto"/>
              <w:jc w:val="right"/>
              <w:rPr>
                <w:rFonts w:cs="Calibri"/>
                <w:sz w:val="16"/>
                <w:szCs w:val="16"/>
                <w:lang w:eastAsia="en-GB"/>
              </w:rPr>
            </w:pPr>
            <w:r w:rsidRPr="00EA2FEC">
              <w:rPr>
                <w:rFonts w:cs="Calibri"/>
                <w:sz w:val="16"/>
                <w:szCs w:val="16"/>
                <w:lang w:eastAsia="en-GB"/>
              </w:rPr>
              <w:t>38</w:t>
            </w:r>
          </w:p>
        </w:tc>
        <w:tc>
          <w:tcPr>
            <w:tcW w:w="960" w:type="dxa"/>
            <w:noWrap/>
            <w:hideMark/>
          </w:tcPr>
          <w:p w:rsidRPr="00EA2FEC" w:rsidR="00B52D66" w:rsidP="00FC2172" w:rsidRDefault="00B52D66" w14:paraId="79470292" w14:textId="77777777">
            <w:pPr>
              <w:spacing w:line="240" w:lineRule="auto"/>
              <w:jc w:val="right"/>
              <w:rPr>
                <w:rFonts w:cs="Calibri"/>
                <w:sz w:val="16"/>
                <w:szCs w:val="16"/>
                <w:lang w:eastAsia="en-GB"/>
              </w:rPr>
            </w:pPr>
            <w:r w:rsidRPr="00EA2FEC">
              <w:rPr>
                <w:rFonts w:cs="Calibri"/>
                <w:sz w:val="16"/>
                <w:szCs w:val="16"/>
                <w:lang w:eastAsia="en-GB"/>
              </w:rPr>
              <w:t>22</w:t>
            </w:r>
          </w:p>
        </w:tc>
        <w:tc>
          <w:tcPr>
            <w:tcW w:w="1120" w:type="dxa"/>
            <w:noWrap/>
            <w:hideMark/>
          </w:tcPr>
          <w:p w:rsidRPr="00EA2FEC" w:rsidR="00B52D66" w:rsidP="00FC2172" w:rsidRDefault="00B52D66" w14:paraId="343A8CA2" w14:textId="77777777">
            <w:pPr>
              <w:spacing w:line="240" w:lineRule="auto"/>
              <w:jc w:val="right"/>
              <w:rPr>
                <w:rFonts w:cs="Calibri"/>
                <w:sz w:val="16"/>
                <w:szCs w:val="16"/>
                <w:lang w:eastAsia="en-GB"/>
              </w:rPr>
            </w:pPr>
            <w:r w:rsidRPr="00EA2FEC">
              <w:rPr>
                <w:rFonts w:cs="Calibri"/>
                <w:sz w:val="16"/>
                <w:szCs w:val="16"/>
                <w:lang w:eastAsia="en-GB"/>
              </w:rPr>
              <w:t>28</w:t>
            </w:r>
          </w:p>
        </w:tc>
        <w:tc>
          <w:tcPr>
            <w:tcW w:w="960" w:type="dxa"/>
            <w:noWrap/>
            <w:hideMark/>
          </w:tcPr>
          <w:p w:rsidRPr="00EA2FEC" w:rsidR="00B52D66" w:rsidP="00FC2172" w:rsidRDefault="00B52D66" w14:paraId="4531E46A" w14:textId="77777777">
            <w:pPr>
              <w:spacing w:line="240" w:lineRule="auto"/>
              <w:jc w:val="right"/>
              <w:rPr>
                <w:rFonts w:cs="Calibri"/>
                <w:sz w:val="16"/>
                <w:szCs w:val="16"/>
                <w:lang w:eastAsia="en-GB"/>
              </w:rPr>
            </w:pPr>
            <w:r w:rsidRPr="00EA2FEC">
              <w:rPr>
                <w:rFonts w:cs="Calibri"/>
                <w:sz w:val="16"/>
                <w:szCs w:val="16"/>
                <w:lang w:eastAsia="en-GB"/>
              </w:rPr>
              <w:t>17</w:t>
            </w:r>
          </w:p>
        </w:tc>
        <w:tc>
          <w:tcPr>
            <w:tcW w:w="1120" w:type="dxa"/>
            <w:noWrap/>
            <w:hideMark/>
          </w:tcPr>
          <w:p w:rsidRPr="00EA2FEC" w:rsidR="00B52D66" w:rsidP="00FC2172" w:rsidRDefault="00B52D66" w14:paraId="26148DE0" w14:textId="77777777">
            <w:pPr>
              <w:spacing w:line="240" w:lineRule="auto"/>
              <w:jc w:val="right"/>
              <w:rPr>
                <w:rFonts w:cs="Calibri"/>
                <w:sz w:val="16"/>
                <w:szCs w:val="16"/>
                <w:lang w:eastAsia="en-GB"/>
              </w:rPr>
            </w:pPr>
            <w:r w:rsidRPr="00EA2FEC">
              <w:rPr>
                <w:rFonts w:cs="Calibri"/>
                <w:sz w:val="16"/>
                <w:szCs w:val="16"/>
                <w:lang w:eastAsia="en-GB"/>
              </w:rPr>
              <w:t>10</w:t>
            </w:r>
          </w:p>
        </w:tc>
        <w:tc>
          <w:tcPr>
            <w:tcW w:w="960" w:type="dxa"/>
            <w:noWrap/>
            <w:hideMark/>
          </w:tcPr>
          <w:p w:rsidRPr="00EA2FEC" w:rsidR="00B52D66" w:rsidP="00FC2172" w:rsidRDefault="00B52D66" w14:paraId="7D939C45" w14:textId="77777777">
            <w:pPr>
              <w:spacing w:line="240" w:lineRule="auto"/>
              <w:jc w:val="right"/>
              <w:rPr>
                <w:rFonts w:cs="Calibri"/>
                <w:sz w:val="16"/>
                <w:szCs w:val="16"/>
                <w:lang w:eastAsia="en-GB"/>
              </w:rPr>
            </w:pPr>
            <w:r w:rsidRPr="00EA2FEC">
              <w:rPr>
                <w:rFonts w:cs="Calibri"/>
                <w:sz w:val="16"/>
                <w:szCs w:val="16"/>
                <w:lang w:eastAsia="en-GB"/>
              </w:rPr>
              <w:t>5</w:t>
            </w:r>
          </w:p>
        </w:tc>
      </w:tr>
      <w:tr w:rsidRPr="00EA2FEC" w:rsidR="00B52D66" w:rsidTr="00FC2172" w14:paraId="46508123" w14:textId="77777777">
        <w:trPr>
          <w:trHeight w:val="290"/>
        </w:trPr>
        <w:tc>
          <w:tcPr>
            <w:tcW w:w="3020" w:type="dxa"/>
            <w:noWrap/>
            <w:hideMark/>
          </w:tcPr>
          <w:p w:rsidRPr="00EA2FEC" w:rsidR="00B52D66" w:rsidP="00FC2172" w:rsidRDefault="00B52D66" w14:paraId="5DDE3EA5" w14:textId="77777777">
            <w:pPr>
              <w:spacing w:line="240" w:lineRule="auto"/>
              <w:rPr>
                <w:rFonts w:cs="Calibri"/>
                <w:sz w:val="16"/>
                <w:szCs w:val="16"/>
                <w:lang w:eastAsia="en-GB"/>
              </w:rPr>
            </w:pPr>
            <w:r w:rsidRPr="00EA2FEC">
              <w:rPr>
                <w:rFonts w:cs="Calibri"/>
                <w:sz w:val="16"/>
                <w:szCs w:val="16"/>
                <w:lang w:eastAsia="en-GB"/>
              </w:rPr>
              <w:t>MaT</w:t>
            </w:r>
          </w:p>
        </w:tc>
        <w:tc>
          <w:tcPr>
            <w:tcW w:w="1120" w:type="dxa"/>
            <w:noWrap/>
            <w:hideMark/>
          </w:tcPr>
          <w:p w:rsidRPr="00EA2FEC" w:rsidR="00B52D66" w:rsidP="00FC2172" w:rsidRDefault="00B52D66" w14:paraId="3216332F" w14:textId="77777777">
            <w:pPr>
              <w:spacing w:line="240" w:lineRule="auto"/>
              <w:jc w:val="right"/>
              <w:rPr>
                <w:rFonts w:cs="Calibri"/>
                <w:sz w:val="16"/>
                <w:szCs w:val="16"/>
                <w:lang w:eastAsia="en-GB"/>
              </w:rPr>
            </w:pPr>
            <w:r w:rsidRPr="00EA2FEC">
              <w:rPr>
                <w:rFonts w:cs="Calibri"/>
                <w:sz w:val="16"/>
                <w:szCs w:val="16"/>
                <w:lang w:eastAsia="en-GB"/>
              </w:rPr>
              <w:t>4</w:t>
            </w:r>
          </w:p>
        </w:tc>
        <w:tc>
          <w:tcPr>
            <w:tcW w:w="960" w:type="dxa"/>
            <w:noWrap/>
            <w:hideMark/>
          </w:tcPr>
          <w:p w:rsidRPr="00EA2FEC" w:rsidR="00B52D66" w:rsidP="00FC2172" w:rsidRDefault="00B52D66" w14:paraId="18B6537D" w14:textId="77777777">
            <w:pPr>
              <w:spacing w:line="240" w:lineRule="auto"/>
              <w:jc w:val="right"/>
              <w:rPr>
                <w:rFonts w:cs="Calibri"/>
                <w:sz w:val="16"/>
                <w:szCs w:val="16"/>
                <w:lang w:eastAsia="en-GB"/>
              </w:rPr>
            </w:pPr>
            <w:r w:rsidRPr="00EA2FEC">
              <w:rPr>
                <w:rFonts w:cs="Calibri"/>
                <w:sz w:val="16"/>
                <w:szCs w:val="16"/>
                <w:lang w:eastAsia="en-GB"/>
              </w:rPr>
              <w:t>1</w:t>
            </w:r>
          </w:p>
        </w:tc>
        <w:tc>
          <w:tcPr>
            <w:tcW w:w="1120" w:type="dxa"/>
            <w:noWrap/>
            <w:hideMark/>
          </w:tcPr>
          <w:p w:rsidRPr="00EA2FEC" w:rsidR="00B52D66" w:rsidP="00FC2172" w:rsidRDefault="00B52D66" w14:paraId="25ADABD8" w14:textId="77777777">
            <w:pPr>
              <w:spacing w:line="240" w:lineRule="auto"/>
              <w:jc w:val="right"/>
              <w:rPr>
                <w:rFonts w:cs="Calibri"/>
                <w:sz w:val="16"/>
                <w:szCs w:val="16"/>
                <w:lang w:eastAsia="en-GB"/>
              </w:rPr>
            </w:pPr>
            <w:r w:rsidRPr="00EA2FEC">
              <w:rPr>
                <w:rFonts w:cs="Calibri"/>
                <w:sz w:val="16"/>
                <w:szCs w:val="16"/>
                <w:lang w:eastAsia="en-GB"/>
              </w:rPr>
              <w:t>4</w:t>
            </w:r>
          </w:p>
        </w:tc>
        <w:tc>
          <w:tcPr>
            <w:tcW w:w="960" w:type="dxa"/>
            <w:noWrap/>
            <w:hideMark/>
          </w:tcPr>
          <w:p w:rsidRPr="00EA2FEC" w:rsidR="00B52D66" w:rsidP="00FC2172" w:rsidRDefault="00B52D66" w14:paraId="12A6313F" w14:textId="77777777">
            <w:pPr>
              <w:spacing w:line="240" w:lineRule="auto"/>
              <w:jc w:val="right"/>
              <w:rPr>
                <w:rFonts w:cs="Calibri"/>
                <w:sz w:val="16"/>
                <w:szCs w:val="16"/>
                <w:lang w:eastAsia="en-GB"/>
              </w:rPr>
            </w:pPr>
            <w:r w:rsidRPr="00EA2FEC">
              <w:rPr>
                <w:rFonts w:cs="Calibri"/>
                <w:sz w:val="16"/>
                <w:szCs w:val="16"/>
                <w:lang w:eastAsia="en-GB"/>
              </w:rPr>
              <w:t>1</w:t>
            </w:r>
          </w:p>
        </w:tc>
        <w:tc>
          <w:tcPr>
            <w:tcW w:w="1120" w:type="dxa"/>
            <w:noWrap/>
            <w:hideMark/>
          </w:tcPr>
          <w:p w:rsidRPr="00EA2FEC" w:rsidR="00B52D66" w:rsidP="00FC2172" w:rsidRDefault="00B52D66" w14:paraId="0CBC0512" w14:textId="77777777">
            <w:pPr>
              <w:spacing w:line="240" w:lineRule="auto"/>
              <w:jc w:val="right"/>
              <w:rPr>
                <w:rFonts w:cs="Calibri"/>
                <w:sz w:val="16"/>
                <w:szCs w:val="16"/>
                <w:lang w:eastAsia="en-GB"/>
              </w:rPr>
            </w:pPr>
            <w:r w:rsidRPr="00EA2FEC">
              <w:rPr>
                <w:rFonts w:cs="Calibri"/>
                <w:sz w:val="16"/>
                <w:szCs w:val="16"/>
                <w:lang w:eastAsia="en-GB"/>
              </w:rPr>
              <w:t>0</w:t>
            </w:r>
          </w:p>
        </w:tc>
        <w:tc>
          <w:tcPr>
            <w:tcW w:w="960" w:type="dxa"/>
            <w:noWrap/>
            <w:hideMark/>
          </w:tcPr>
          <w:p w:rsidRPr="00EA2FEC" w:rsidR="00B52D66" w:rsidP="00FC2172" w:rsidRDefault="00B52D66" w14:paraId="241B4C72" w14:textId="77777777">
            <w:pPr>
              <w:spacing w:line="240" w:lineRule="auto"/>
              <w:jc w:val="right"/>
              <w:rPr>
                <w:rFonts w:cs="Calibri"/>
                <w:sz w:val="16"/>
                <w:szCs w:val="16"/>
                <w:lang w:eastAsia="en-GB"/>
              </w:rPr>
            </w:pPr>
            <w:r w:rsidRPr="00EA2FEC">
              <w:rPr>
                <w:rFonts w:cs="Calibri"/>
                <w:sz w:val="16"/>
                <w:szCs w:val="16"/>
                <w:lang w:eastAsia="en-GB"/>
              </w:rPr>
              <w:t>0</w:t>
            </w:r>
          </w:p>
        </w:tc>
      </w:tr>
      <w:tr w:rsidRPr="00EA2FEC" w:rsidR="00B52D66" w:rsidTr="00FC2172" w14:paraId="0BCD019A" w14:textId="77777777">
        <w:trPr>
          <w:trHeight w:val="290"/>
        </w:trPr>
        <w:tc>
          <w:tcPr>
            <w:tcW w:w="3020" w:type="dxa"/>
            <w:noWrap/>
            <w:hideMark/>
          </w:tcPr>
          <w:p w:rsidRPr="00EA2FEC" w:rsidR="00B52D66" w:rsidP="00FC2172" w:rsidRDefault="00B52D66" w14:paraId="1976FFBF" w14:textId="77777777">
            <w:pPr>
              <w:spacing w:line="240" w:lineRule="auto"/>
              <w:rPr>
                <w:rFonts w:cs="Calibri"/>
                <w:sz w:val="16"/>
                <w:szCs w:val="16"/>
                <w:lang w:eastAsia="en-GB"/>
              </w:rPr>
            </w:pPr>
            <w:r w:rsidRPr="00EA2FEC">
              <w:rPr>
                <w:rFonts w:cs="Calibri"/>
                <w:sz w:val="16"/>
                <w:szCs w:val="16"/>
                <w:lang w:eastAsia="en-GB"/>
              </w:rPr>
              <w:t>MVI</w:t>
            </w:r>
          </w:p>
        </w:tc>
        <w:tc>
          <w:tcPr>
            <w:tcW w:w="1120" w:type="dxa"/>
            <w:noWrap/>
            <w:hideMark/>
          </w:tcPr>
          <w:p w:rsidRPr="00EA2FEC" w:rsidR="00B52D66" w:rsidP="00FC2172" w:rsidRDefault="00B52D66" w14:paraId="053E08AC" w14:textId="77777777">
            <w:pPr>
              <w:spacing w:line="240" w:lineRule="auto"/>
              <w:jc w:val="right"/>
              <w:rPr>
                <w:rFonts w:cs="Calibri"/>
                <w:sz w:val="16"/>
                <w:szCs w:val="16"/>
                <w:lang w:eastAsia="en-GB"/>
              </w:rPr>
            </w:pPr>
            <w:r w:rsidRPr="00EA2FEC">
              <w:rPr>
                <w:rFonts w:cs="Calibri"/>
                <w:sz w:val="16"/>
                <w:szCs w:val="16"/>
                <w:lang w:eastAsia="en-GB"/>
              </w:rPr>
              <w:t>13</w:t>
            </w:r>
          </w:p>
        </w:tc>
        <w:tc>
          <w:tcPr>
            <w:tcW w:w="960" w:type="dxa"/>
            <w:noWrap/>
            <w:hideMark/>
          </w:tcPr>
          <w:p w:rsidRPr="00EA2FEC" w:rsidR="00B52D66" w:rsidP="00FC2172" w:rsidRDefault="00B52D66" w14:paraId="37DF707F" w14:textId="77777777">
            <w:pPr>
              <w:spacing w:line="240" w:lineRule="auto"/>
              <w:jc w:val="right"/>
              <w:rPr>
                <w:rFonts w:cs="Calibri"/>
                <w:sz w:val="16"/>
                <w:szCs w:val="16"/>
                <w:lang w:eastAsia="en-GB"/>
              </w:rPr>
            </w:pPr>
            <w:r w:rsidRPr="00EA2FEC">
              <w:rPr>
                <w:rFonts w:cs="Calibri"/>
                <w:sz w:val="16"/>
                <w:szCs w:val="16"/>
                <w:lang w:eastAsia="en-GB"/>
              </w:rPr>
              <w:t>7</w:t>
            </w:r>
          </w:p>
        </w:tc>
        <w:tc>
          <w:tcPr>
            <w:tcW w:w="1120" w:type="dxa"/>
            <w:noWrap/>
            <w:hideMark/>
          </w:tcPr>
          <w:p w:rsidRPr="00EA2FEC" w:rsidR="00B52D66" w:rsidP="00FC2172" w:rsidRDefault="00B52D66" w14:paraId="11EB92F4" w14:textId="77777777">
            <w:pPr>
              <w:spacing w:line="240" w:lineRule="auto"/>
              <w:jc w:val="right"/>
              <w:rPr>
                <w:rFonts w:cs="Calibri"/>
                <w:sz w:val="16"/>
                <w:szCs w:val="16"/>
                <w:lang w:eastAsia="en-GB"/>
              </w:rPr>
            </w:pPr>
            <w:r w:rsidRPr="00EA2FEC">
              <w:rPr>
                <w:rFonts w:cs="Calibri"/>
                <w:sz w:val="16"/>
                <w:szCs w:val="16"/>
                <w:lang w:eastAsia="en-GB"/>
              </w:rPr>
              <w:t>9</w:t>
            </w:r>
          </w:p>
        </w:tc>
        <w:tc>
          <w:tcPr>
            <w:tcW w:w="960" w:type="dxa"/>
            <w:noWrap/>
            <w:hideMark/>
          </w:tcPr>
          <w:p w:rsidRPr="00EA2FEC" w:rsidR="00B52D66" w:rsidP="00FC2172" w:rsidRDefault="00B52D66" w14:paraId="157153D0" w14:textId="77777777">
            <w:pPr>
              <w:spacing w:line="240" w:lineRule="auto"/>
              <w:jc w:val="right"/>
              <w:rPr>
                <w:rFonts w:cs="Calibri"/>
                <w:sz w:val="16"/>
                <w:szCs w:val="16"/>
                <w:lang w:eastAsia="en-GB"/>
              </w:rPr>
            </w:pPr>
            <w:r w:rsidRPr="00EA2FEC">
              <w:rPr>
                <w:rFonts w:cs="Calibri"/>
                <w:sz w:val="16"/>
                <w:szCs w:val="16"/>
                <w:lang w:eastAsia="en-GB"/>
              </w:rPr>
              <w:t>5</w:t>
            </w:r>
          </w:p>
        </w:tc>
        <w:tc>
          <w:tcPr>
            <w:tcW w:w="1120" w:type="dxa"/>
            <w:noWrap/>
            <w:hideMark/>
          </w:tcPr>
          <w:p w:rsidRPr="00EA2FEC" w:rsidR="00B52D66" w:rsidP="00FC2172" w:rsidRDefault="00B52D66" w14:paraId="37A91CBE" w14:textId="77777777">
            <w:pPr>
              <w:spacing w:line="240" w:lineRule="auto"/>
              <w:jc w:val="right"/>
              <w:rPr>
                <w:rFonts w:cs="Calibri"/>
                <w:sz w:val="16"/>
                <w:szCs w:val="16"/>
                <w:lang w:eastAsia="en-GB"/>
              </w:rPr>
            </w:pPr>
            <w:r w:rsidRPr="00EA2FEC">
              <w:rPr>
                <w:rFonts w:cs="Calibri"/>
                <w:sz w:val="16"/>
                <w:szCs w:val="16"/>
                <w:lang w:eastAsia="en-GB"/>
              </w:rPr>
              <w:t>4</w:t>
            </w:r>
          </w:p>
        </w:tc>
        <w:tc>
          <w:tcPr>
            <w:tcW w:w="960" w:type="dxa"/>
            <w:noWrap/>
            <w:hideMark/>
          </w:tcPr>
          <w:p w:rsidRPr="00EA2FEC" w:rsidR="00B52D66" w:rsidP="00FC2172" w:rsidRDefault="00B52D66" w14:paraId="6DC0781E" w14:textId="77777777">
            <w:pPr>
              <w:spacing w:line="240" w:lineRule="auto"/>
              <w:jc w:val="right"/>
              <w:rPr>
                <w:rFonts w:cs="Calibri"/>
                <w:sz w:val="16"/>
                <w:szCs w:val="16"/>
                <w:lang w:eastAsia="en-GB"/>
              </w:rPr>
            </w:pPr>
            <w:r w:rsidRPr="00EA2FEC">
              <w:rPr>
                <w:rFonts w:cs="Calibri"/>
                <w:sz w:val="16"/>
                <w:szCs w:val="16"/>
                <w:lang w:eastAsia="en-GB"/>
              </w:rPr>
              <w:t>2</w:t>
            </w:r>
          </w:p>
        </w:tc>
      </w:tr>
      <w:tr w:rsidRPr="00EA2FEC" w:rsidR="00B52D66" w:rsidTr="00FC2172" w14:paraId="43689BCD" w14:textId="77777777">
        <w:trPr>
          <w:trHeight w:val="290"/>
        </w:trPr>
        <w:tc>
          <w:tcPr>
            <w:tcW w:w="3020" w:type="dxa"/>
            <w:noWrap/>
            <w:hideMark/>
          </w:tcPr>
          <w:p w:rsidRPr="00EA2FEC" w:rsidR="00B52D66" w:rsidP="00FC2172" w:rsidRDefault="00B52D66" w14:paraId="52C3173C" w14:textId="77777777">
            <w:pPr>
              <w:spacing w:line="240" w:lineRule="auto"/>
              <w:rPr>
                <w:rFonts w:cs="Calibri"/>
                <w:sz w:val="16"/>
                <w:szCs w:val="16"/>
                <w:lang w:eastAsia="en-GB"/>
              </w:rPr>
            </w:pPr>
            <w:r w:rsidRPr="00EA2FEC">
              <w:rPr>
                <w:rFonts w:cs="Calibri"/>
                <w:sz w:val="16"/>
                <w:szCs w:val="16"/>
                <w:lang w:eastAsia="en-GB"/>
              </w:rPr>
              <w:t>M&amp;T</w:t>
            </w:r>
          </w:p>
        </w:tc>
        <w:tc>
          <w:tcPr>
            <w:tcW w:w="1120" w:type="dxa"/>
            <w:noWrap/>
            <w:hideMark/>
          </w:tcPr>
          <w:p w:rsidRPr="00EA2FEC" w:rsidR="00B52D66" w:rsidP="00FC2172" w:rsidRDefault="00B52D66" w14:paraId="215F2BAB" w14:textId="77777777">
            <w:pPr>
              <w:spacing w:line="240" w:lineRule="auto"/>
              <w:jc w:val="right"/>
              <w:rPr>
                <w:rFonts w:cs="Calibri"/>
                <w:sz w:val="16"/>
                <w:szCs w:val="16"/>
                <w:lang w:eastAsia="en-GB"/>
              </w:rPr>
            </w:pPr>
            <w:r w:rsidRPr="00EA2FEC">
              <w:rPr>
                <w:rFonts w:cs="Calibri"/>
                <w:sz w:val="16"/>
                <w:szCs w:val="16"/>
                <w:lang w:eastAsia="en-GB"/>
              </w:rPr>
              <w:t>17</w:t>
            </w:r>
          </w:p>
        </w:tc>
        <w:tc>
          <w:tcPr>
            <w:tcW w:w="960" w:type="dxa"/>
            <w:noWrap/>
            <w:hideMark/>
          </w:tcPr>
          <w:p w:rsidRPr="00EA2FEC" w:rsidR="00B52D66" w:rsidP="00FC2172" w:rsidRDefault="00B52D66" w14:paraId="5B1B14EA" w14:textId="77777777">
            <w:pPr>
              <w:spacing w:line="240" w:lineRule="auto"/>
              <w:jc w:val="right"/>
              <w:rPr>
                <w:rFonts w:cs="Calibri"/>
                <w:sz w:val="16"/>
                <w:szCs w:val="16"/>
                <w:lang w:eastAsia="en-GB"/>
              </w:rPr>
            </w:pPr>
            <w:r w:rsidRPr="00EA2FEC">
              <w:rPr>
                <w:rFonts w:cs="Calibri"/>
                <w:sz w:val="16"/>
                <w:szCs w:val="16"/>
                <w:lang w:eastAsia="en-GB"/>
              </w:rPr>
              <w:t>13</w:t>
            </w:r>
          </w:p>
        </w:tc>
        <w:tc>
          <w:tcPr>
            <w:tcW w:w="1120" w:type="dxa"/>
            <w:noWrap/>
            <w:hideMark/>
          </w:tcPr>
          <w:p w:rsidRPr="00EA2FEC" w:rsidR="00B52D66" w:rsidP="00FC2172" w:rsidRDefault="00B52D66" w14:paraId="38FE2E06" w14:textId="77777777">
            <w:pPr>
              <w:spacing w:line="240" w:lineRule="auto"/>
              <w:jc w:val="right"/>
              <w:rPr>
                <w:rFonts w:cs="Calibri"/>
                <w:sz w:val="16"/>
                <w:szCs w:val="16"/>
                <w:lang w:eastAsia="en-GB"/>
              </w:rPr>
            </w:pPr>
            <w:r w:rsidRPr="00EA2FEC">
              <w:rPr>
                <w:rFonts w:cs="Calibri"/>
                <w:sz w:val="16"/>
                <w:szCs w:val="16"/>
                <w:lang w:eastAsia="en-GB"/>
              </w:rPr>
              <w:t>13</w:t>
            </w:r>
          </w:p>
        </w:tc>
        <w:tc>
          <w:tcPr>
            <w:tcW w:w="960" w:type="dxa"/>
            <w:noWrap/>
            <w:hideMark/>
          </w:tcPr>
          <w:p w:rsidRPr="00EA2FEC" w:rsidR="00B52D66" w:rsidP="00FC2172" w:rsidRDefault="00B52D66" w14:paraId="0A386DEE" w14:textId="77777777">
            <w:pPr>
              <w:spacing w:line="240" w:lineRule="auto"/>
              <w:jc w:val="right"/>
              <w:rPr>
                <w:rFonts w:cs="Calibri"/>
                <w:sz w:val="16"/>
                <w:szCs w:val="16"/>
                <w:lang w:eastAsia="en-GB"/>
              </w:rPr>
            </w:pPr>
            <w:r w:rsidRPr="00EA2FEC">
              <w:rPr>
                <w:rFonts w:cs="Calibri"/>
                <w:sz w:val="16"/>
                <w:szCs w:val="16"/>
                <w:lang w:eastAsia="en-GB"/>
              </w:rPr>
              <w:t>9</w:t>
            </w:r>
          </w:p>
        </w:tc>
        <w:tc>
          <w:tcPr>
            <w:tcW w:w="1120" w:type="dxa"/>
            <w:noWrap/>
            <w:hideMark/>
          </w:tcPr>
          <w:p w:rsidRPr="00EA2FEC" w:rsidR="00B52D66" w:rsidP="00FC2172" w:rsidRDefault="00B52D66" w14:paraId="31DDFD75" w14:textId="77777777">
            <w:pPr>
              <w:spacing w:line="240" w:lineRule="auto"/>
              <w:jc w:val="right"/>
              <w:rPr>
                <w:rFonts w:cs="Calibri"/>
                <w:sz w:val="16"/>
                <w:szCs w:val="16"/>
                <w:lang w:eastAsia="en-GB"/>
              </w:rPr>
            </w:pPr>
            <w:r w:rsidRPr="00EA2FEC">
              <w:rPr>
                <w:rFonts w:cs="Calibri"/>
                <w:sz w:val="16"/>
                <w:szCs w:val="16"/>
                <w:lang w:eastAsia="en-GB"/>
              </w:rPr>
              <w:t>4</w:t>
            </w:r>
          </w:p>
        </w:tc>
        <w:tc>
          <w:tcPr>
            <w:tcW w:w="960" w:type="dxa"/>
            <w:noWrap/>
            <w:hideMark/>
          </w:tcPr>
          <w:p w:rsidRPr="00EA2FEC" w:rsidR="00B52D66" w:rsidP="00FC2172" w:rsidRDefault="00B52D66" w14:paraId="2C513B9C" w14:textId="77777777">
            <w:pPr>
              <w:spacing w:line="240" w:lineRule="auto"/>
              <w:jc w:val="right"/>
              <w:rPr>
                <w:rFonts w:cs="Calibri"/>
                <w:sz w:val="16"/>
                <w:szCs w:val="16"/>
                <w:lang w:eastAsia="en-GB"/>
              </w:rPr>
            </w:pPr>
            <w:r w:rsidRPr="00EA2FEC">
              <w:rPr>
                <w:rFonts w:cs="Calibri"/>
                <w:sz w:val="16"/>
                <w:szCs w:val="16"/>
                <w:lang w:eastAsia="en-GB"/>
              </w:rPr>
              <w:t>4</w:t>
            </w:r>
          </w:p>
        </w:tc>
      </w:tr>
      <w:tr w:rsidRPr="00EA2FEC" w:rsidR="00B52D66" w:rsidTr="00FC2172" w14:paraId="0306A2D0" w14:textId="77777777">
        <w:trPr>
          <w:trHeight w:val="290"/>
        </w:trPr>
        <w:tc>
          <w:tcPr>
            <w:tcW w:w="3020" w:type="dxa"/>
            <w:tcBorders>
              <w:bottom w:val="single" w:color="auto" w:sz="4" w:space="0"/>
            </w:tcBorders>
            <w:noWrap/>
            <w:hideMark/>
          </w:tcPr>
          <w:p w:rsidRPr="00EA2FEC" w:rsidR="00B52D66" w:rsidP="00FC2172" w:rsidRDefault="00B52D66" w14:paraId="1F2DCFEE" w14:textId="77777777">
            <w:pPr>
              <w:spacing w:line="240" w:lineRule="auto"/>
              <w:rPr>
                <w:rFonts w:cs="Calibri"/>
                <w:sz w:val="16"/>
                <w:szCs w:val="16"/>
                <w:lang w:eastAsia="en-GB"/>
              </w:rPr>
            </w:pPr>
            <w:r w:rsidRPr="00EA2FEC">
              <w:rPr>
                <w:rFonts w:cs="Calibri"/>
                <w:sz w:val="16"/>
                <w:szCs w:val="16"/>
                <w:lang w:eastAsia="en-GB"/>
              </w:rPr>
              <w:t>PIE</w:t>
            </w:r>
          </w:p>
        </w:tc>
        <w:tc>
          <w:tcPr>
            <w:tcW w:w="1120" w:type="dxa"/>
            <w:tcBorders>
              <w:bottom w:val="single" w:color="auto" w:sz="4" w:space="0"/>
            </w:tcBorders>
            <w:noWrap/>
            <w:hideMark/>
          </w:tcPr>
          <w:p w:rsidRPr="00EA2FEC" w:rsidR="00B52D66" w:rsidP="00FC2172" w:rsidRDefault="00B52D66" w14:paraId="3B8EA9BD" w14:textId="77777777">
            <w:pPr>
              <w:spacing w:line="240" w:lineRule="auto"/>
              <w:jc w:val="right"/>
              <w:rPr>
                <w:rFonts w:cs="Calibri"/>
                <w:sz w:val="16"/>
                <w:szCs w:val="16"/>
                <w:lang w:eastAsia="en-GB"/>
              </w:rPr>
            </w:pPr>
            <w:r w:rsidRPr="00EA2FEC">
              <w:rPr>
                <w:rFonts w:cs="Calibri"/>
                <w:sz w:val="16"/>
                <w:szCs w:val="16"/>
                <w:lang w:eastAsia="en-GB"/>
              </w:rPr>
              <w:t>44</w:t>
            </w:r>
          </w:p>
        </w:tc>
        <w:tc>
          <w:tcPr>
            <w:tcW w:w="960" w:type="dxa"/>
            <w:tcBorders>
              <w:bottom w:val="single" w:color="auto" w:sz="4" w:space="0"/>
            </w:tcBorders>
            <w:noWrap/>
            <w:hideMark/>
          </w:tcPr>
          <w:p w:rsidRPr="00EA2FEC" w:rsidR="00B52D66" w:rsidP="00FC2172" w:rsidRDefault="00B52D66" w14:paraId="6B128E0D" w14:textId="77777777">
            <w:pPr>
              <w:spacing w:line="240" w:lineRule="auto"/>
              <w:jc w:val="right"/>
              <w:rPr>
                <w:rFonts w:cs="Calibri"/>
                <w:sz w:val="16"/>
                <w:szCs w:val="16"/>
                <w:lang w:eastAsia="en-GB"/>
              </w:rPr>
            </w:pPr>
            <w:r w:rsidRPr="00EA2FEC">
              <w:rPr>
                <w:rFonts w:cs="Calibri"/>
                <w:sz w:val="16"/>
                <w:szCs w:val="16"/>
                <w:lang w:eastAsia="en-GB"/>
              </w:rPr>
              <w:t>26</w:t>
            </w:r>
          </w:p>
        </w:tc>
        <w:tc>
          <w:tcPr>
            <w:tcW w:w="1120" w:type="dxa"/>
            <w:tcBorders>
              <w:bottom w:val="single" w:color="auto" w:sz="4" w:space="0"/>
            </w:tcBorders>
            <w:noWrap/>
            <w:hideMark/>
          </w:tcPr>
          <w:p w:rsidRPr="00EA2FEC" w:rsidR="00B52D66" w:rsidP="00FC2172" w:rsidRDefault="00B52D66" w14:paraId="41E0731F" w14:textId="77777777">
            <w:pPr>
              <w:spacing w:line="240" w:lineRule="auto"/>
              <w:jc w:val="right"/>
              <w:rPr>
                <w:rFonts w:cs="Calibri"/>
                <w:sz w:val="16"/>
                <w:szCs w:val="16"/>
                <w:lang w:eastAsia="en-GB"/>
              </w:rPr>
            </w:pPr>
            <w:r w:rsidRPr="00EA2FEC">
              <w:rPr>
                <w:rFonts w:cs="Calibri"/>
                <w:sz w:val="16"/>
                <w:szCs w:val="16"/>
                <w:lang w:eastAsia="en-GB"/>
              </w:rPr>
              <w:t>27</w:t>
            </w:r>
          </w:p>
        </w:tc>
        <w:tc>
          <w:tcPr>
            <w:tcW w:w="960" w:type="dxa"/>
            <w:tcBorders>
              <w:bottom w:val="single" w:color="auto" w:sz="4" w:space="0"/>
            </w:tcBorders>
            <w:noWrap/>
            <w:hideMark/>
          </w:tcPr>
          <w:p w:rsidRPr="00EA2FEC" w:rsidR="00B52D66" w:rsidP="00FC2172" w:rsidRDefault="00B52D66" w14:paraId="5AAD4367" w14:textId="77777777">
            <w:pPr>
              <w:spacing w:line="240" w:lineRule="auto"/>
              <w:jc w:val="right"/>
              <w:rPr>
                <w:rFonts w:cs="Calibri"/>
                <w:sz w:val="16"/>
                <w:szCs w:val="16"/>
                <w:lang w:eastAsia="en-GB"/>
              </w:rPr>
            </w:pPr>
            <w:r w:rsidRPr="00EA2FEC">
              <w:rPr>
                <w:rFonts w:cs="Calibri"/>
                <w:sz w:val="16"/>
                <w:szCs w:val="16"/>
                <w:lang w:eastAsia="en-GB"/>
              </w:rPr>
              <w:t>17</w:t>
            </w:r>
          </w:p>
        </w:tc>
        <w:tc>
          <w:tcPr>
            <w:tcW w:w="1120" w:type="dxa"/>
            <w:tcBorders>
              <w:bottom w:val="single" w:color="auto" w:sz="4" w:space="0"/>
            </w:tcBorders>
            <w:noWrap/>
            <w:hideMark/>
          </w:tcPr>
          <w:p w:rsidRPr="00EA2FEC" w:rsidR="00B52D66" w:rsidP="00FC2172" w:rsidRDefault="00B52D66" w14:paraId="43FFA9C6" w14:textId="77777777">
            <w:pPr>
              <w:spacing w:line="240" w:lineRule="auto"/>
              <w:jc w:val="right"/>
              <w:rPr>
                <w:rFonts w:cs="Calibri"/>
                <w:sz w:val="16"/>
                <w:szCs w:val="16"/>
                <w:lang w:eastAsia="en-GB"/>
              </w:rPr>
            </w:pPr>
            <w:r w:rsidRPr="00EA2FEC">
              <w:rPr>
                <w:rFonts w:cs="Calibri"/>
                <w:sz w:val="16"/>
                <w:szCs w:val="16"/>
                <w:lang w:eastAsia="en-GB"/>
              </w:rPr>
              <w:t>17</w:t>
            </w:r>
          </w:p>
        </w:tc>
        <w:tc>
          <w:tcPr>
            <w:tcW w:w="960" w:type="dxa"/>
            <w:tcBorders>
              <w:bottom w:val="single" w:color="auto" w:sz="4" w:space="0"/>
            </w:tcBorders>
            <w:noWrap/>
            <w:hideMark/>
          </w:tcPr>
          <w:p w:rsidRPr="00EA2FEC" w:rsidR="00B52D66" w:rsidP="00FC2172" w:rsidRDefault="00B52D66" w14:paraId="4220E539" w14:textId="77777777">
            <w:pPr>
              <w:spacing w:line="240" w:lineRule="auto"/>
              <w:jc w:val="right"/>
              <w:rPr>
                <w:rFonts w:cs="Calibri"/>
                <w:sz w:val="16"/>
                <w:szCs w:val="16"/>
                <w:lang w:eastAsia="en-GB"/>
              </w:rPr>
            </w:pPr>
            <w:r w:rsidRPr="00EA2FEC">
              <w:rPr>
                <w:rFonts w:cs="Calibri"/>
                <w:sz w:val="16"/>
                <w:szCs w:val="16"/>
                <w:lang w:eastAsia="en-GB"/>
              </w:rPr>
              <w:t>9</w:t>
            </w:r>
          </w:p>
        </w:tc>
      </w:tr>
    </w:tbl>
    <w:p w:rsidRPr="00D26E09" w:rsidR="00B52D66" w:rsidP="00B52D66" w:rsidRDefault="00B52D66" w14:paraId="30A0B6A4" w14:textId="77777777">
      <w:pPr>
        <w:spacing w:before="60"/>
        <w:rPr>
          <w:sz w:val="16"/>
          <w:szCs w:val="16"/>
        </w:rPr>
      </w:pPr>
      <w:r w:rsidRPr="00D26E09">
        <w:rPr>
          <w:i/>
          <w:sz w:val="16"/>
          <w:szCs w:val="16"/>
        </w:rPr>
        <w:t>Bron: DUO (eigen bewerking ROA).</w:t>
      </w:r>
      <w:r w:rsidRPr="00D26E09">
        <w:rPr>
          <w:i/>
          <w:sz w:val="16"/>
          <w:szCs w:val="16"/>
        </w:rPr>
        <w:br/>
      </w:r>
      <w:r w:rsidRPr="00D26E09">
        <w:rPr>
          <w:sz w:val="16"/>
          <w:szCs w:val="16"/>
        </w:rPr>
        <w:t xml:space="preserve">Noot: De hier gepresenteerde cijfers kunnen (marginaal) van de landelijke cijfers afwijken omdat niet alle derdejaarsleerlingen een technisch profiel op een vestiging volgen dat onder een STO-regio valt. </w:t>
      </w:r>
    </w:p>
    <w:p w:rsidR="00B52D66" w:rsidP="00B52D66" w:rsidRDefault="00B52D66" w14:paraId="208B8A73" w14:textId="77777777">
      <w:pPr>
        <w:rPr>
          <w:szCs w:val="18"/>
        </w:rPr>
      </w:pPr>
    </w:p>
    <w:p w:rsidR="00B52D66" w:rsidP="00B52D66" w:rsidRDefault="00B52D66" w14:paraId="244B123B" w14:textId="0116BEAA">
      <w:pPr>
        <w:jc w:val="both"/>
        <w:rPr>
          <w:szCs w:val="18"/>
        </w:rPr>
      </w:pPr>
      <w:r>
        <w:rPr>
          <w:szCs w:val="18"/>
        </w:rPr>
        <w:t xml:space="preserve">De ontwikkeling door de jaren heen van het aandeel STO-regio’s met meer dan 1 vestiging en het aandeel STO-regio’s met meer dan 1 vestiging en minder dan 11 derdejaarsleerlingen uitgesplitst naar leerweg en profiel worden in </w:t>
      </w:r>
      <w:r w:rsidR="005E67E6">
        <w:rPr>
          <w:szCs w:val="18"/>
        </w:rPr>
        <w:t xml:space="preserve">Tabel </w:t>
      </w:r>
      <w:r w:rsidR="00346EBF">
        <w:rPr>
          <w:szCs w:val="18"/>
        </w:rPr>
        <w:t>B3</w:t>
      </w:r>
      <w:r>
        <w:rPr>
          <w:szCs w:val="18"/>
        </w:rPr>
        <w:t>.</w:t>
      </w:r>
      <w:r w:rsidR="005E67E6">
        <w:rPr>
          <w:szCs w:val="18"/>
        </w:rPr>
        <w:t>16 (zie Appendix bij Bijlage 3)</w:t>
      </w:r>
      <w:r>
        <w:rPr>
          <w:szCs w:val="18"/>
        </w:rPr>
        <w:t xml:space="preserve"> getoond. In de gl met profiel MVI en in mindere mate in de bl met profiel BWI zien we een toename in het aantal vestigingen per STO-regio maar ook een toename in het aandeel met minder dan 11 leerlingen in het schooljaar 2023/2024 ten opzichte van 2018/2019. In de kl zien we in deze vergelijkingen voor alle profielen, met uitzondering van MaT, een afname in beide parameters – dus gemiddeld minder vestigingen per STO-regio en gemiddeld meer dan 11 leerlingen. </w:t>
      </w:r>
    </w:p>
    <w:p w:rsidR="00B52D66" w:rsidP="00B52D66" w:rsidRDefault="00B52D66" w14:paraId="6F071A9A" w14:textId="77777777">
      <w:pPr>
        <w:rPr>
          <w:szCs w:val="18"/>
        </w:rPr>
      </w:pPr>
    </w:p>
    <w:p w:rsidRPr="00A45539" w:rsidR="00B52D66" w:rsidP="00B52D66" w:rsidRDefault="00B52D66" w14:paraId="7E94767C" w14:textId="77777777">
      <w:pPr>
        <w:rPr>
          <w:szCs w:val="18"/>
        </w:rPr>
      </w:pPr>
    </w:p>
    <w:p w:rsidR="00B52D66" w:rsidP="00B52D66" w:rsidRDefault="00B52D66" w14:paraId="20926CA8" w14:textId="0A0E850A">
      <w:pPr>
        <w:pStyle w:val="Kop3"/>
        <w:rPr>
          <w:szCs w:val="18"/>
        </w:rPr>
      </w:pPr>
      <w:bookmarkStart w:name="_Toc125541249" w:id="133"/>
      <w:bookmarkStart w:name="_Toc127528899" w:id="134"/>
      <w:bookmarkStart w:name="_Toc158042062" w:id="135"/>
      <w:bookmarkStart w:name="_Toc203573625" w:id="136"/>
      <w:r w:rsidRPr="00A45539">
        <w:rPr>
          <w:szCs w:val="18"/>
        </w:rPr>
        <w:t>Verandering in leerlingenaantallen: verschillen tussen de bl en kl</w:t>
      </w:r>
      <w:bookmarkEnd w:id="133"/>
      <w:bookmarkEnd w:id="134"/>
      <w:bookmarkEnd w:id="135"/>
      <w:bookmarkEnd w:id="136"/>
    </w:p>
    <w:p w:rsidRPr="00D26E09" w:rsidR="00B52D66" w:rsidP="00B52D66" w:rsidRDefault="00B52D66" w14:paraId="2C5F3B61" w14:textId="77777777">
      <w:pPr>
        <w:pStyle w:val="Plattetekst"/>
        <w:rPr>
          <w:lang w:eastAsia="en-US"/>
        </w:rPr>
      </w:pPr>
    </w:p>
    <w:p w:rsidRPr="00A45539" w:rsidR="00B52D66" w:rsidP="00B52D66" w:rsidRDefault="00B52D66" w14:paraId="5C75C39D" w14:textId="609D20F3">
      <w:pPr>
        <w:jc w:val="both"/>
        <w:rPr>
          <w:szCs w:val="18"/>
        </w:rPr>
      </w:pPr>
      <w:r w:rsidRPr="00A45539">
        <w:rPr>
          <w:szCs w:val="18"/>
        </w:rPr>
        <w:t xml:space="preserve">Figuur </w:t>
      </w:r>
      <w:r w:rsidR="00AA001D">
        <w:rPr>
          <w:szCs w:val="18"/>
        </w:rPr>
        <w:t>B3</w:t>
      </w:r>
      <w:r>
        <w:rPr>
          <w:szCs w:val="18"/>
        </w:rPr>
        <w:t>.5</w:t>
      </w:r>
      <w:r w:rsidRPr="00A45539">
        <w:rPr>
          <w:szCs w:val="18"/>
        </w:rPr>
        <w:t xml:space="preserve"> toont per leerweg de verandering in het gemiddeld aantal leerlingen per STO-regio voor het schooljaar 202</w:t>
      </w:r>
      <w:r>
        <w:rPr>
          <w:szCs w:val="18"/>
        </w:rPr>
        <w:t>3</w:t>
      </w:r>
      <w:r w:rsidRPr="00A45539">
        <w:rPr>
          <w:szCs w:val="18"/>
        </w:rPr>
        <w:t>/202</w:t>
      </w:r>
      <w:r>
        <w:rPr>
          <w:szCs w:val="18"/>
        </w:rPr>
        <w:t>4</w:t>
      </w:r>
      <w:r w:rsidRPr="00A45539">
        <w:rPr>
          <w:szCs w:val="18"/>
        </w:rPr>
        <w:t xml:space="preserve"> ten opzichte van 202</w:t>
      </w:r>
      <w:r>
        <w:rPr>
          <w:szCs w:val="18"/>
        </w:rPr>
        <w:t>2</w:t>
      </w:r>
      <w:r w:rsidRPr="00A45539">
        <w:rPr>
          <w:szCs w:val="18"/>
        </w:rPr>
        <w:t>/202</w:t>
      </w:r>
      <w:r>
        <w:rPr>
          <w:szCs w:val="18"/>
        </w:rPr>
        <w:t>3</w:t>
      </w:r>
      <w:r w:rsidRPr="00A45539">
        <w:rPr>
          <w:szCs w:val="18"/>
        </w:rPr>
        <w:t xml:space="preserve"> voor alle vijf technische profielen.</w:t>
      </w:r>
      <w:r>
        <w:rPr>
          <w:szCs w:val="18"/>
        </w:rPr>
        <w:t xml:space="preserve"> Net zoals in de voorgaande rapportage</w:t>
      </w:r>
      <w:r w:rsidRPr="00A45539">
        <w:rPr>
          <w:rStyle w:val="Voetnootmarkering"/>
          <w:szCs w:val="18"/>
        </w:rPr>
        <w:footnoteReference w:id="9"/>
      </w:r>
      <w:r w:rsidRPr="00A45539">
        <w:rPr>
          <w:szCs w:val="18"/>
        </w:rPr>
        <w:t xml:space="preserve"> laten we de veranderingen</w:t>
      </w:r>
      <w:r>
        <w:rPr>
          <w:szCs w:val="18"/>
        </w:rPr>
        <w:t xml:space="preserve"> voor de bl en kl </w:t>
      </w:r>
      <w:r w:rsidRPr="00A45539">
        <w:rPr>
          <w:szCs w:val="18"/>
        </w:rPr>
        <w:t>in één figuur voor alle vijf de techniekprofielen zien. Hierdoor kunnen de profielen beter met elkaar vergeleken worden aan de hand van vier clusters:</w:t>
      </w:r>
    </w:p>
    <w:p w:rsidRPr="00A45539" w:rsidR="00B52D66" w:rsidP="00426692" w:rsidRDefault="00B52D66" w14:paraId="2CDE53E6" w14:textId="77777777">
      <w:pPr>
        <w:pStyle w:val="Lijstalinea"/>
        <w:numPr>
          <w:ilvl w:val="0"/>
          <w:numId w:val="1"/>
        </w:numPr>
        <w:spacing w:line="312" w:lineRule="auto"/>
        <w:jc w:val="both"/>
        <w:rPr>
          <w:szCs w:val="18"/>
        </w:rPr>
      </w:pPr>
      <w:r w:rsidRPr="00A45539">
        <w:rPr>
          <w:szCs w:val="18"/>
        </w:rPr>
        <w:t>Cluster A: toename (of geen verandering) in de bl en de kl</w:t>
      </w:r>
    </w:p>
    <w:p w:rsidRPr="00A45539" w:rsidR="00B52D66" w:rsidP="00426692" w:rsidRDefault="00B52D66" w14:paraId="68456DAD" w14:textId="77777777">
      <w:pPr>
        <w:pStyle w:val="Lijstalinea"/>
        <w:numPr>
          <w:ilvl w:val="0"/>
          <w:numId w:val="1"/>
        </w:numPr>
        <w:spacing w:line="312" w:lineRule="auto"/>
        <w:jc w:val="both"/>
        <w:rPr>
          <w:szCs w:val="18"/>
        </w:rPr>
      </w:pPr>
      <w:r w:rsidRPr="00A45539">
        <w:rPr>
          <w:szCs w:val="18"/>
        </w:rPr>
        <w:t>Cluster B: afname in de bl en de kl</w:t>
      </w:r>
    </w:p>
    <w:p w:rsidRPr="00A45539" w:rsidR="00B52D66" w:rsidP="00426692" w:rsidRDefault="00B52D66" w14:paraId="4A8D7EDB" w14:textId="77777777">
      <w:pPr>
        <w:pStyle w:val="Lijstalinea"/>
        <w:numPr>
          <w:ilvl w:val="0"/>
          <w:numId w:val="1"/>
        </w:numPr>
        <w:spacing w:line="312" w:lineRule="auto"/>
        <w:jc w:val="both"/>
        <w:rPr>
          <w:szCs w:val="18"/>
        </w:rPr>
      </w:pPr>
      <w:r w:rsidRPr="00A45539">
        <w:rPr>
          <w:szCs w:val="18"/>
        </w:rPr>
        <w:t>Cluster C: toename (of geen verandering) in de bl en afname in de kl</w:t>
      </w:r>
    </w:p>
    <w:p w:rsidRPr="00A45539" w:rsidR="00B52D66" w:rsidP="00426692" w:rsidRDefault="00B52D66" w14:paraId="31487ED0" w14:textId="77777777">
      <w:pPr>
        <w:pStyle w:val="Lijstalinea"/>
        <w:numPr>
          <w:ilvl w:val="0"/>
          <w:numId w:val="1"/>
        </w:numPr>
        <w:spacing w:line="312" w:lineRule="auto"/>
        <w:jc w:val="both"/>
        <w:rPr>
          <w:szCs w:val="18"/>
        </w:rPr>
      </w:pPr>
      <w:r w:rsidRPr="00A45539">
        <w:rPr>
          <w:szCs w:val="18"/>
        </w:rPr>
        <w:t>Cluster D: afname in de bl en toename (of geen verandering) in de kl</w:t>
      </w:r>
    </w:p>
    <w:p w:rsidRPr="00A45539" w:rsidR="00B52D66" w:rsidP="00B52D66" w:rsidRDefault="00B52D66" w14:paraId="4535B094" w14:textId="77777777">
      <w:pPr>
        <w:spacing w:line="312" w:lineRule="auto"/>
        <w:rPr>
          <w:szCs w:val="18"/>
        </w:rPr>
      </w:pPr>
    </w:p>
    <w:p w:rsidRPr="00BA6E80" w:rsidR="00B52D66" w:rsidP="00B52D66" w:rsidRDefault="00B52D66" w14:paraId="37C3EE64" w14:textId="0705F607">
      <w:pPr>
        <w:jc w:val="both"/>
        <w:rPr>
          <w:szCs w:val="18"/>
        </w:rPr>
      </w:pPr>
      <w:r w:rsidRPr="00BA6E80">
        <w:rPr>
          <w:szCs w:val="18"/>
        </w:rPr>
        <w:t xml:space="preserve">Uit nadere analyse blijkt, dat de meeste STO-regio’s in cluster </w:t>
      </w:r>
      <w:r>
        <w:rPr>
          <w:szCs w:val="18"/>
        </w:rPr>
        <w:t>D</w:t>
      </w:r>
      <w:r w:rsidRPr="00BA6E80">
        <w:rPr>
          <w:szCs w:val="18"/>
        </w:rPr>
        <w:t xml:space="preserve"> (totaal </w:t>
      </w:r>
      <w:r>
        <w:rPr>
          <w:szCs w:val="18"/>
        </w:rPr>
        <w:t>62</w:t>
      </w:r>
      <w:r w:rsidRPr="00BA6E80">
        <w:rPr>
          <w:szCs w:val="18"/>
        </w:rPr>
        <w:t xml:space="preserve"> regio’s) vallen. </w:t>
      </w:r>
      <w:r>
        <w:rPr>
          <w:szCs w:val="18"/>
        </w:rPr>
        <w:t xml:space="preserve">Er vallen iets minder STO-regio’s in clusters B (totaal 56 STO-regio’s) en A (totaal 53 STO-regio’s). In cluster C vallen de minste regio’s met totaal 49 STO-regio’s. </w:t>
      </w:r>
      <w:r w:rsidRPr="00BA6E80">
        <w:rPr>
          <w:szCs w:val="18"/>
        </w:rPr>
        <w:t>De meeste STO-regio’s stijgen of dalen in 202</w:t>
      </w:r>
      <w:r>
        <w:rPr>
          <w:szCs w:val="18"/>
        </w:rPr>
        <w:t>3</w:t>
      </w:r>
      <w:r w:rsidRPr="00BA6E80">
        <w:rPr>
          <w:szCs w:val="18"/>
        </w:rPr>
        <w:t>/202</w:t>
      </w:r>
      <w:r>
        <w:rPr>
          <w:szCs w:val="18"/>
        </w:rPr>
        <w:t>4</w:t>
      </w:r>
      <w:r w:rsidRPr="00BA6E80">
        <w:rPr>
          <w:szCs w:val="18"/>
        </w:rPr>
        <w:t xml:space="preserve"> ten opzichte van 202</w:t>
      </w:r>
      <w:r>
        <w:rPr>
          <w:szCs w:val="18"/>
        </w:rPr>
        <w:t>2</w:t>
      </w:r>
      <w:r w:rsidRPr="00BA6E80">
        <w:rPr>
          <w:szCs w:val="18"/>
        </w:rPr>
        <w:t>/202</w:t>
      </w:r>
      <w:r>
        <w:rPr>
          <w:szCs w:val="18"/>
        </w:rPr>
        <w:t>3</w:t>
      </w:r>
      <w:r w:rsidRPr="00BA6E80">
        <w:rPr>
          <w:szCs w:val="18"/>
        </w:rPr>
        <w:t xml:space="preserve"> met 10 procent in het gemiddeld aantal derdejaarsleerlingen in de bl en kl. Dat wil zeggen, de meeste observaties in Figuur </w:t>
      </w:r>
      <w:r w:rsidR="00AA001D">
        <w:rPr>
          <w:szCs w:val="18"/>
        </w:rPr>
        <w:t>B3</w:t>
      </w:r>
      <w:r w:rsidRPr="00BA6E80">
        <w:rPr>
          <w:szCs w:val="18"/>
        </w:rPr>
        <w:t>.</w:t>
      </w:r>
      <w:r>
        <w:rPr>
          <w:szCs w:val="18"/>
        </w:rPr>
        <w:t>6</w:t>
      </w:r>
      <w:r w:rsidRPr="00BA6E80">
        <w:rPr>
          <w:szCs w:val="18"/>
        </w:rPr>
        <w:t xml:space="preserve"> liggen dicht bij elkaar en de relatieve veranderingen zijn vrij klein. Er zijn echter 1</w:t>
      </w:r>
      <w:r>
        <w:rPr>
          <w:szCs w:val="18"/>
        </w:rPr>
        <w:t>6</w:t>
      </w:r>
      <w:r w:rsidRPr="00BA6E80">
        <w:rPr>
          <w:szCs w:val="18"/>
        </w:rPr>
        <w:t xml:space="preserve"> observaties die buiten de</w:t>
      </w:r>
      <w:r>
        <w:rPr>
          <w:szCs w:val="18"/>
        </w:rPr>
        <w:t xml:space="preserve"> 10 procent</w:t>
      </w:r>
      <w:r w:rsidRPr="00BA6E80">
        <w:rPr>
          <w:szCs w:val="18"/>
        </w:rPr>
        <w:t xml:space="preserve"> vallen en dus tot een grotere verandering leiden ten opzichte van het voorgaande </w:t>
      </w:r>
      <w:r>
        <w:rPr>
          <w:szCs w:val="18"/>
        </w:rPr>
        <w:t>school</w:t>
      </w:r>
      <w:r w:rsidRPr="00BA6E80">
        <w:rPr>
          <w:szCs w:val="18"/>
        </w:rPr>
        <w:t>jaar. In het vervolg beschrijven we de veranderingen per profiel.</w:t>
      </w:r>
    </w:p>
    <w:p w:rsidRPr="00BA6E80" w:rsidR="00B52D66" w:rsidP="00B52D66" w:rsidRDefault="00B52D66" w14:paraId="729D36E2" w14:textId="77777777">
      <w:pPr>
        <w:jc w:val="both"/>
        <w:rPr>
          <w:i/>
          <w:szCs w:val="18"/>
        </w:rPr>
      </w:pPr>
    </w:p>
    <w:p w:rsidR="00B52D66" w:rsidP="00B52D66" w:rsidRDefault="00B52D66" w14:paraId="144F8406" w14:textId="77777777">
      <w:pPr>
        <w:jc w:val="both"/>
        <w:rPr>
          <w:szCs w:val="18"/>
        </w:rPr>
      </w:pPr>
      <w:r>
        <w:rPr>
          <w:color w:val="2E74B5" w:themeColor="accent1" w:themeShade="BF"/>
          <w:szCs w:val="18"/>
        </w:rPr>
        <w:t>BWI</w:t>
      </w:r>
      <w:r w:rsidRPr="00CC7585">
        <w:rPr>
          <w:color w:val="2E74B5" w:themeColor="accent1" w:themeShade="BF"/>
          <w:szCs w:val="18"/>
        </w:rPr>
        <w:t xml:space="preserve">, blauwe bolletjes: </w:t>
      </w:r>
      <w:r w:rsidRPr="00CC7585">
        <w:rPr>
          <w:szCs w:val="18"/>
        </w:rPr>
        <w:t xml:space="preserve">Het profiel BWI wordt voor de bl en kl respectievelijk aangeboden in 69 en 70 regio’s. Dat is twee regio’s meer voor de bl en één meer voor de kl vergeleken met schooljaar 2022/2023. Het gemiddeld aantal leerlingen steeg in 36 regio’s voor de bl en in 37 regio’s voor de kl. Daarentegen daalde het gemiddeld aantal leerlingen in </w:t>
      </w:r>
      <w:r>
        <w:rPr>
          <w:szCs w:val="18"/>
        </w:rPr>
        <w:t>33</w:t>
      </w:r>
      <w:r w:rsidRPr="00CC7585">
        <w:rPr>
          <w:szCs w:val="18"/>
        </w:rPr>
        <w:t xml:space="preserve"> regio’s voor de bl en in </w:t>
      </w:r>
      <w:r>
        <w:rPr>
          <w:szCs w:val="18"/>
        </w:rPr>
        <w:t>32</w:t>
      </w:r>
      <w:r w:rsidRPr="00CC7585">
        <w:rPr>
          <w:szCs w:val="18"/>
        </w:rPr>
        <w:t xml:space="preserve"> regio’s voor de kl. </w:t>
      </w:r>
    </w:p>
    <w:p w:rsidRPr="00E36223" w:rsidR="00B52D66" w:rsidP="00B52D66" w:rsidRDefault="00B52D66" w14:paraId="4988A0D6" w14:textId="77777777">
      <w:pPr>
        <w:jc w:val="both"/>
        <w:rPr>
          <w:szCs w:val="18"/>
          <w:highlight w:val="yellow"/>
        </w:rPr>
      </w:pPr>
    </w:p>
    <w:p w:rsidRPr="004A336F" w:rsidR="00B52D66" w:rsidP="00B52D66" w:rsidRDefault="00B52D66" w14:paraId="198F1699" w14:textId="77777777">
      <w:pPr>
        <w:jc w:val="both"/>
        <w:rPr>
          <w:szCs w:val="18"/>
        </w:rPr>
      </w:pPr>
      <w:r>
        <w:rPr>
          <w:color w:val="2E74B5" w:themeColor="accent1" w:themeShade="BF"/>
          <w:szCs w:val="18"/>
        </w:rPr>
        <w:t>MVI</w:t>
      </w:r>
      <w:r w:rsidRPr="004A336F">
        <w:rPr>
          <w:color w:val="2E74B5" w:themeColor="accent1" w:themeShade="BF"/>
          <w:szCs w:val="18"/>
        </w:rPr>
        <w:t xml:space="preserve">, oranje blokjes: </w:t>
      </w:r>
      <w:r w:rsidRPr="004A336F">
        <w:rPr>
          <w:szCs w:val="18"/>
        </w:rPr>
        <w:t xml:space="preserve">In het schooljaar 2023/2024 wordt MVI aangeboden in respectievelijk 28 en 33 regio’s voor de </w:t>
      </w:r>
      <w:r>
        <w:rPr>
          <w:szCs w:val="18"/>
        </w:rPr>
        <w:t>bl</w:t>
      </w:r>
      <w:r w:rsidRPr="004A336F">
        <w:rPr>
          <w:szCs w:val="18"/>
        </w:rPr>
        <w:t xml:space="preserve"> en </w:t>
      </w:r>
      <w:r>
        <w:rPr>
          <w:szCs w:val="18"/>
        </w:rPr>
        <w:t>kl</w:t>
      </w:r>
      <w:r w:rsidRPr="004A336F">
        <w:rPr>
          <w:szCs w:val="18"/>
        </w:rPr>
        <w:t xml:space="preserve">. In schooljaar 2022/2023 was dit twee regio’s minder voor de bl en één regio minder voor de kl. Vergeleken met het voorgaande schooljaar, is in de bl het gemiddeld aantal leerlingen in 8 regio’s toegenomen en in 19 regio’s </w:t>
      </w:r>
      <w:r w:rsidRPr="004A336F">
        <w:rPr>
          <w:szCs w:val="18"/>
        </w:rPr>
        <w:lastRenderedPageBreak/>
        <w:t xml:space="preserve">afgenomen. In de kl nam het gemiddeld aantal leerlingen toe in 12 regio’s, terwijl 15 regio’s gemiddeld minder leerlingen geregistreerd waren. </w:t>
      </w:r>
    </w:p>
    <w:p w:rsidRPr="00E36223" w:rsidR="00B52D66" w:rsidP="00B52D66" w:rsidRDefault="00B52D66" w14:paraId="2162B1CB" w14:textId="77777777">
      <w:pPr>
        <w:jc w:val="both"/>
        <w:rPr>
          <w:i/>
          <w:szCs w:val="18"/>
          <w:highlight w:val="yellow"/>
        </w:rPr>
      </w:pPr>
    </w:p>
    <w:p w:rsidRPr="00716A3D" w:rsidR="00B52D66" w:rsidP="00B52D66" w:rsidRDefault="00B52D66" w14:paraId="624B73CA" w14:textId="77777777">
      <w:pPr>
        <w:jc w:val="both"/>
        <w:rPr>
          <w:color w:val="000000" w:themeColor="text1"/>
          <w:szCs w:val="18"/>
        </w:rPr>
      </w:pPr>
      <w:r>
        <w:rPr>
          <w:color w:val="2E74B5" w:themeColor="accent1" w:themeShade="BF"/>
          <w:szCs w:val="18"/>
        </w:rPr>
        <w:t>MaT</w:t>
      </w:r>
      <w:r w:rsidRPr="00716A3D">
        <w:rPr>
          <w:color w:val="2E74B5" w:themeColor="accent1" w:themeShade="BF"/>
          <w:szCs w:val="18"/>
        </w:rPr>
        <w:t>, groene streepjes</w:t>
      </w:r>
      <w:r w:rsidRPr="00716A3D">
        <w:rPr>
          <w:color w:val="000000" w:themeColor="text1"/>
          <w:szCs w:val="18"/>
        </w:rPr>
        <w:t>: Vijf STO-regio’s bieden MaT aan in de bl en kl.</w:t>
      </w:r>
      <w:r w:rsidRPr="00716A3D">
        <w:rPr>
          <w:color w:val="2E74B5" w:themeColor="accent1" w:themeShade="BF"/>
          <w:szCs w:val="18"/>
        </w:rPr>
        <w:t xml:space="preserve"> </w:t>
      </w:r>
      <w:r w:rsidRPr="00716A3D">
        <w:rPr>
          <w:color w:val="000000" w:themeColor="text1"/>
          <w:szCs w:val="18"/>
        </w:rPr>
        <w:t>In 202</w:t>
      </w:r>
      <w:r>
        <w:rPr>
          <w:color w:val="000000" w:themeColor="text1"/>
          <w:szCs w:val="18"/>
        </w:rPr>
        <w:t>3</w:t>
      </w:r>
      <w:r w:rsidRPr="00716A3D">
        <w:rPr>
          <w:color w:val="000000" w:themeColor="text1"/>
          <w:szCs w:val="18"/>
        </w:rPr>
        <w:t>/202</w:t>
      </w:r>
      <w:r>
        <w:rPr>
          <w:color w:val="000000" w:themeColor="text1"/>
          <w:szCs w:val="18"/>
        </w:rPr>
        <w:t>4</w:t>
      </w:r>
      <w:r w:rsidRPr="00716A3D">
        <w:rPr>
          <w:color w:val="000000" w:themeColor="text1"/>
          <w:szCs w:val="18"/>
        </w:rPr>
        <w:t xml:space="preserve"> liggen twee regio’s in cluster</w:t>
      </w:r>
      <w:r>
        <w:rPr>
          <w:color w:val="000000" w:themeColor="text1"/>
          <w:szCs w:val="18"/>
        </w:rPr>
        <w:t xml:space="preserve"> B</w:t>
      </w:r>
      <w:r w:rsidRPr="00716A3D">
        <w:rPr>
          <w:color w:val="000000" w:themeColor="text1"/>
          <w:szCs w:val="18"/>
        </w:rPr>
        <w:t xml:space="preserve">, </w:t>
      </w:r>
      <w:r>
        <w:rPr>
          <w:color w:val="000000" w:themeColor="text1"/>
          <w:szCs w:val="18"/>
        </w:rPr>
        <w:t>en één</w:t>
      </w:r>
      <w:r w:rsidRPr="00716A3D">
        <w:rPr>
          <w:color w:val="000000" w:themeColor="text1"/>
          <w:szCs w:val="18"/>
        </w:rPr>
        <w:t xml:space="preserve"> regio in clusters A</w:t>
      </w:r>
      <w:r>
        <w:rPr>
          <w:color w:val="000000" w:themeColor="text1"/>
          <w:szCs w:val="18"/>
        </w:rPr>
        <w:t>, C en D</w:t>
      </w:r>
      <w:r w:rsidRPr="00716A3D">
        <w:rPr>
          <w:color w:val="000000" w:themeColor="text1"/>
          <w:szCs w:val="18"/>
        </w:rPr>
        <w:t>. Er is een stijging in</w:t>
      </w:r>
      <w:r>
        <w:rPr>
          <w:color w:val="000000" w:themeColor="text1"/>
          <w:szCs w:val="18"/>
        </w:rPr>
        <w:t xml:space="preserve"> het aantal</w:t>
      </w:r>
      <w:r w:rsidRPr="00716A3D">
        <w:rPr>
          <w:color w:val="000000" w:themeColor="text1"/>
          <w:szCs w:val="18"/>
        </w:rPr>
        <w:t xml:space="preserve"> bl-</w:t>
      </w:r>
      <w:r>
        <w:rPr>
          <w:color w:val="000000" w:themeColor="text1"/>
          <w:szCs w:val="18"/>
        </w:rPr>
        <w:t xml:space="preserve"> en kl-</w:t>
      </w:r>
      <w:r w:rsidRPr="00716A3D">
        <w:rPr>
          <w:color w:val="000000" w:themeColor="text1"/>
          <w:szCs w:val="18"/>
        </w:rPr>
        <w:t xml:space="preserve">leerlingen in </w:t>
      </w:r>
      <w:r>
        <w:rPr>
          <w:color w:val="000000" w:themeColor="text1"/>
          <w:szCs w:val="18"/>
        </w:rPr>
        <w:t>twee</w:t>
      </w:r>
      <w:r w:rsidRPr="00716A3D">
        <w:rPr>
          <w:color w:val="000000" w:themeColor="text1"/>
          <w:szCs w:val="18"/>
        </w:rPr>
        <w:t xml:space="preserve"> regio’s en een daling in de bl in </w:t>
      </w:r>
      <w:r>
        <w:rPr>
          <w:color w:val="000000" w:themeColor="text1"/>
          <w:szCs w:val="18"/>
        </w:rPr>
        <w:t>drie</w:t>
      </w:r>
      <w:r w:rsidRPr="00716A3D">
        <w:rPr>
          <w:color w:val="000000" w:themeColor="text1"/>
          <w:szCs w:val="18"/>
        </w:rPr>
        <w:t xml:space="preserve"> regio’s. </w:t>
      </w:r>
    </w:p>
    <w:p w:rsidRPr="00716A3D" w:rsidR="00B52D66" w:rsidP="00B52D66" w:rsidRDefault="00B52D66" w14:paraId="03A5EB52" w14:textId="77777777">
      <w:pPr>
        <w:jc w:val="both"/>
        <w:rPr>
          <w:i/>
          <w:szCs w:val="18"/>
        </w:rPr>
      </w:pPr>
    </w:p>
    <w:p w:rsidRPr="00893D24" w:rsidR="00B52D66" w:rsidP="00B52D66" w:rsidRDefault="00B52D66" w14:paraId="0F416197" w14:textId="77777777">
      <w:pPr>
        <w:jc w:val="both"/>
        <w:rPr>
          <w:szCs w:val="18"/>
        </w:rPr>
      </w:pPr>
      <w:r>
        <w:rPr>
          <w:color w:val="2E74B5" w:themeColor="accent1" w:themeShade="BF"/>
          <w:szCs w:val="18"/>
        </w:rPr>
        <w:t>M&amp;T</w:t>
      </w:r>
      <w:r w:rsidRPr="00AE5BA8">
        <w:rPr>
          <w:color w:val="2E74B5" w:themeColor="accent1" w:themeShade="BF"/>
          <w:szCs w:val="18"/>
        </w:rPr>
        <w:t xml:space="preserve">, grijze ruitjes: </w:t>
      </w:r>
      <w:r w:rsidRPr="00AE5BA8">
        <w:rPr>
          <w:szCs w:val="18"/>
        </w:rPr>
        <w:t xml:space="preserve">M&amp;T wordt aangeboden in 48 regio’s in de bl en in 49 regio’s in de kl. </w:t>
      </w:r>
      <w:r w:rsidRPr="00893D24">
        <w:rPr>
          <w:szCs w:val="18"/>
        </w:rPr>
        <w:t xml:space="preserve">Dit is één regio minder voor de bl en twee regio’s minder voor de kl vergeleken met voorgaand schooljaar 2022/2023. </w:t>
      </w:r>
      <w:r w:rsidRPr="006639B2">
        <w:rPr>
          <w:rStyle w:val="cf01"/>
          <w:rFonts w:ascii="Trebuchet MS" w:hAnsi="Trebuchet MS" w:eastAsiaTheme="majorEastAsia"/>
        </w:rPr>
        <w:t>Waar in de bl de wisselingen in leerlingenaantallen tussen de regio's niet tot verandering leid</w:t>
      </w:r>
      <w:r>
        <w:rPr>
          <w:rStyle w:val="cf01"/>
          <w:rFonts w:ascii="Trebuchet MS" w:hAnsi="Trebuchet MS" w:eastAsiaTheme="majorEastAsia"/>
        </w:rPr>
        <w:t>en</w:t>
      </w:r>
      <w:r w:rsidRPr="006639B2">
        <w:rPr>
          <w:rStyle w:val="cf01"/>
          <w:rFonts w:ascii="Trebuchet MS" w:hAnsi="Trebuchet MS" w:eastAsiaTheme="majorEastAsia"/>
        </w:rPr>
        <w:t xml:space="preserve">, </w:t>
      </w:r>
      <w:r>
        <w:rPr>
          <w:rStyle w:val="cf01"/>
          <w:rFonts w:ascii="Trebuchet MS" w:hAnsi="Trebuchet MS" w:eastAsiaTheme="majorEastAsia"/>
        </w:rPr>
        <w:t>stijgt</w:t>
      </w:r>
      <w:r w:rsidRPr="006639B2">
        <w:rPr>
          <w:rStyle w:val="cf01"/>
          <w:rFonts w:ascii="Trebuchet MS" w:hAnsi="Trebuchet MS" w:eastAsiaTheme="majorEastAsia"/>
        </w:rPr>
        <w:t xml:space="preserve"> het gemiddeld aantal leerlingen in de kl in 25 regio's en daalt het in 21 regio's</w:t>
      </w:r>
      <w:r w:rsidRPr="00893D24">
        <w:rPr>
          <w:szCs w:val="18"/>
        </w:rPr>
        <w:t xml:space="preserve">. </w:t>
      </w:r>
    </w:p>
    <w:p w:rsidRPr="00C9507E" w:rsidR="00B52D66" w:rsidP="00B52D66" w:rsidRDefault="00B52D66" w14:paraId="5A498531" w14:textId="77777777">
      <w:pPr>
        <w:jc w:val="both"/>
        <w:rPr>
          <w:i/>
          <w:szCs w:val="18"/>
        </w:rPr>
      </w:pPr>
    </w:p>
    <w:p w:rsidRPr="00BA6E80" w:rsidR="00B52D66" w:rsidP="00B52D66" w:rsidRDefault="00B52D66" w14:paraId="51879080" w14:textId="77777777">
      <w:pPr>
        <w:jc w:val="both"/>
        <w:rPr>
          <w:szCs w:val="18"/>
        </w:rPr>
      </w:pPr>
      <w:r>
        <w:rPr>
          <w:color w:val="2E74B5" w:themeColor="accent1" w:themeShade="BF"/>
          <w:szCs w:val="18"/>
        </w:rPr>
        <w:t>PIE</w:t>
      </w:r>
      <w:r w:rsidRPr="00C9507E">
        <w:rPr>
          <w:color w:val="2E74B5" w:themeColor="accent1" w:themeShade="BF"/>
          <w:szCs w:val="18"/>
        </w:rPr>
        <w:t xml:space="preserve">, gele driehoekjes: </w:t>
      </w:r>
      <w:r w:rsidRPr="00C9507E">
        <w:rPr>
          <w:szCs w:val="18"/>
        </w:rPr>
        <w:t>In het schooljaar 202</w:t>
      </w:r>
      <w:r>
        <w:rPr>
          <w:szCs w:val="18"/>
        </w:rPr>
        <w:t>3</w:t>
      </w:r>
      <w:r w:rsidRPr="00C9507E">
        <w:rPr>
          <w:szCs w:val="18"/>
        </w:rPr>
        <w:t>/202</w:t>
      </w:r>
      <w:r>
        <w:rPr>
          <w:szCs w:val="18"/>
        </w:rPr>
        <w:t>4</w:t>
      </w:r>
      <w:r w:rsidRPr="00C9507E">
        <w:rPr>
          <w:szCs w:val="18"/>
        </w:rPr>
        <w:t xml:space="preserve"> wordt profiel PIE in 74 regio’s in de </w:t>
      </w:r>
      <w:r>
        <w:rPr>
          <w:szCs w:val="18"/>
        </w:rPr>
        <w:t>bl en kl</w:t>
      </w:r>
      <w:r w:rsidRPr="00C9507E">
        <w:rPr>
          <w:szCs w:val="18"/>
        </w:rPr>
        <w:t xml:space="preserve"> aangeboden. Het aantal STO-regio’s dat dit profiel in de bl aanbiedt is ten opzichte van het voorgaande schooljaar</w:t>
      </w:r>
      <w:r>
        <w:rPr>
          <w:szCs w:val="18"/>
        </w:rPr>
        <w:t xml:space="preserve"> toegenomen met één regio</w:t>
      </w:r>
      <w:r w:rsidRPr="00C9507E">
        <w:rPr>
          <w:szCs w:val="18"/>
        </w:rPr>
        <w:t>. Er is een stijging in het gemiddeld aantal leerlingen in de bl in 3</w:t>
      </w:r>
      <w:r>
        <w:rPr>
          <w:szCs w:val="18"/>
        </w:rPr>
        <w:t>3</w:t>
      </w:r>
      <w:r w:rsidRPr="00C9507E">
        <w:rPr>
          <w:szCs w:val="18"/>
        </w:rPr>
        <w:t xml:space="preserve"> regio’s en in de kl in </w:t>
      </w:r>
      <w:r>
        <w:rPr>
          <w:szCs w:val="18"/>
        </w:rPr>
        <w:t>39</w:t>
      </w:r>
      <w:r w:rsidRPr="00C9507E">
        <w:rPr>
          <w:szCs w:val="18"/>
        </w:rPr>
        <w:t xml:space="preserve"> regio’s. Er is een daling in het gemiddeld aantal leerlingen in de bl in </w:t>
      </w:r>
      <w:r>
        <w:rPr>
          <w:szCs w:val="18"/>
        </w:rPr>
        <w:t>40</w:t>
      </w:r>
      <w:r w:rsidRPr="00C9507E">
        <w:rPr>
          <w:szCs w:val="18"/>
        </w:rPr>
        <w:t xml:space="preserve"> regio’s en in de kl in </w:t>
      </w:r>
      <w:r>
        <w:rPr>
          <w:szCs w:val="18"/>
        </w:rPr>
        <w:t>34</w:t>
      </w:r>
      <w:r w:rsidRPr="00C9507E">
        <w:rPr>
          <w:szCs w:val="18"/>
        </w:rPr>
        <w:t xml:space="preserve"> regio’s.</w:t>
      </w:r>
      <w:r w:rsidRPr="00BA6E80">
        <w:rPr>
          <w:szCs w:val="18"/>
        </w:rPr>
        <w:t xml:space="preserve"> </w:t>
      </w:r>
    </w:p>
    <w:p w:rsidRPr="00A45539" w:rsidR="00B52D66" w:rsidP="00B52D66" w:rsidRDefault="00B52D66" w14:paraId="58BF6753" w14:textId="77777777">
      <w:pPr>
        <w:jc w:val="both"/>
        <w:rPr>
          <w:color w:val="000000" w:themeColor="text1"/>
          <w:szCs w:val="18"/>
        </w:rPr>
      </w:pPr>
    </w:p>
    <w:p w:rsidRPr="0065314C" w:rsidR="00B52D66" w:rsidP="00B52D66" w:rsidRDefault="00B52D66" w14:paraId="41EBB96A" w14:textId="0ABC3121">
      <w:pPr>
        <w:pStyle w:val="Bijschrift"/>
      </w:pPr>
      <w:r w:rsidRPr="0065314C">
        <w:t xml:space="preserve">FIGUUR </w:t>
      </w:r>
      <w:r w:rsidR="00AA001D">
        <w:t>B3</w:t>
      </w:r>
      <w:r>
        <w:t>.5</w:t>
      </w:r>
      <w:r w:rsidRPr="0065314C">
        <w:t xml:space="preserve"> </w:t>
      </w:r>
      <w:r>
        <w:tab/>
      </w:r>
      <w:r w:rsidRPr="0065314C">
        <w:t>Procentuele verandering in het gemiddeld aantal bl- en kl-leerlingen per STO-regio en profiel, schooljaar 202</w:t>
      </w:r>
      <w:r>
        <w:t>3</w:t>
      </w:r>
      <w:r w:rsidRPr="0065314C">
        <w:t>/202</w:t>
      </w:r>
      <w:r>
        <w:t>4</w:t>
      </w:r>
      <w:r w:rsidRPr="0065314C">
        <w:t xml:space="preserve"> ten opzichte van 202</w:t>
      </w:r>
      <w:r>
        <w:t>2</w:t>
      </w:r>
      <w:r w:rsidRPr="0065314C">
        <w:t>/202</w:t>
      </w:r>
      <w:r>
        <w:t>3</w:t>
      </w:r>
    </w:p>
    <w:p w:rsidRPr="00A45539" w:rsidR="00B52D66" w:rsidP="7C716BD1" w:rsidRDefault="00B52D66" w14:paraId="0B34DE52" w14:textId="77777777">
      <w:pPr>
        <w:spacing w:before="60"/>
        <w:rPr>
          <w:color w:val="000000" w:themeColor="text1"/>
        </w:rPr>
      </w:pPr>
      <w:r>
        <w:rPr>
          <w:noProof/>
        </w:rPr>
        <w:drawing>
          <wp:inline distT="0" distB="0" distL="0" distR="0" wp14:anchorId="05D90C9C" wp14:editId="72C582F4">
            <wp:extent cx="5943600" cy="3202305"/>
            <wp:effectExtent l="0" t="0" r="0" b="17145"/>
            <wp:docPr id="4" name="Chart 4">
              <a:extLst xmlns:a="http://schemas.openxmlformats.org/drawingml/2006/main">
                <a:ext uri="{FF2B5EF4-FFF2-40B4-BE49-F238E27FC236}">
                  <a16:creationId xmlns:a16="http://schemas.microsoft.com/office/drawing/2014/main" id="{B3CC3C35-5D04-00D9-0745-432541F695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A45539">
        <w:rPr>
          <w:szCs w:val="18"/>
        </w:rPr>
        <w:br/>
      </w:r>
      <w:r w:rsidRPr="780653D5">
        <w:rPr>
          <w:i/>
          <w:iCs/>
          <w:sz w:val="16"/>
          <w:szCs w:val="16"/>
        </w:rPr>
        <w:t>Bron: DUO (eigen bewerking ROA).</w:t>
      </w:r>
    </w:p>
    <w:p w:rsidRPr="00A45539" w:rsidR="00B52D66" w:rsidP="00B52D66" w:rsidRDefault="00B52D66" w14:paraId="064195DB" w14:textId="77777777">
      <w:pPr>
        <w:rPr>
          <w:color w:val="000000" w:themeColor="text1"/>
          <w:szCs w:val="18"/>
        </w:rPr>
      </w:pPr>
    </w:p>
    <w:p w:rsidRPr="00A45539" w:rsidR="00B52D66" w:rsidP="00B52D66" w:rsidRDefault="00B52D66" w14:paraId="1D1EB087" w14:textId="77777777">
      <w:pPr>
        <w:rPr>
          <w:color w:val="000000" w:themeColor="text1"/>
          <w:szCs w:val="18"/>
        </w:rPr>
      </w:pPr>
    </w:p>
    <w:p w:rsidRPr="00125964" w:rsidR="00B52D66" w:rsidP="00B52D66" w:rsidRDefault="00B52D66" w14:paraId="3D66E6D6" w14:textId="77777777">
      <w:pPr>
        <w:pStyle w:val="Kop3"/>
      </w:pPr>
      <w:bookmarkStart w:name="_Toc125541250" w:id="137"/>
      <w:bookmarkStart w:name="_Toc127528900" w:id="138"/>
      <w:bookmarkStart w:name="_Toc158042063" w:id="139"/>
      <w:bookmarkStart w:name="_Toc203573626" w:id="140"/>
      <w:r w:rsidRPr="00215297">
        <w:rPr>
          <w:szCs w:val="18"/>
        </w:rPr>
        <w:t>Samenvatting aantal techni</w:t>
      </w:r>
      <w:r>
        <w:rPr>
          <w:szCs w:val="18"/>
        </w:rPr>
        <w:t>ek</w:t>
      </w:r>
      <w:r w:rsidRPr="00215297">
        <w:rPr>
          <w:szCs w:val="18"/>
        </w:rPr>
        <w:t>leerlingen naar profiel, STO-regio’s en vestigingen</w:t>
      </w:r>
      <w:bookmarkEnd w:id="137"/>
      <w:bookmarkEnd w:id="138"/>
      <w:bookmarkEnd w:id="139"/>
      <w:bookmarkEnd w:id="140"/>
    </w:p>
    <w:p w:rsidR="00B52D66" w:rsidP="00B52D66" w:rsidRDefault="00B52D66" w14:paraId="2FB277A2" w14:textId="77777777">
      <w:pPr>
        <w:jc w:val="both"/>
        <w:rPr>
          <w:szCs w:val="18"/>
        </w:rPr>
      </w:pPr>
    </w:p>
    <w:p w:rsidRPr="00A45539" w:rsidR="00B52D66" w:rsidP="00B52D66" w:rsidRDefault="00B52D66" w14:paraId="6CA45E29" w14:textId="77777777">
      <w:pPr>
        <w:jc w:val="both"/>
        <w:rPr>
          <w:szCs w:val="18"/>
        </w:rPr>
      </w:pPr>
      <w:r w:rsidRPr="00A45539">
        <w:rPr>
          <w:szCs w:val="18"/>
        </w:rPr>
        <w:t xml:space="preserve">Voor de organiseerbaarheid van het onderwijs worden leerlingenaantallen van belang geacht. In </w:t>
      </w:r>
      <w:r>
        <w:rPr>
          <w:szCs w:val="18"/>
        </w:rPr>
        <w:t xml:space="preserve">deze </w:t>
      </w:r>
      <w:r w:rsidRPr="00A45539">
        <w:rPr>
          <w:szCs w:val="18"/>
        </w:rPr>
        <w:t>paragraaf hebben we per leerweg het aantal techniekleerlingen per profiel en per vestiging onder de loep genomen</w:t>
      </w:r>
      <w:r>
        <w:rPr>
          <w:szCs w:val="18"/>
        </w:rPr>
        <w:t>.</w:t>
      </w:r>
      <w:r w:rsidRPr="00A45539">
        <w:rPr>
          <w:szCs w:val="18"/>
        </w:rPr>
        <w:t xml:space="preserve"> Dit doen we puur op basis van cijfers. Dit laat onverlet dat scholen in de praktijk de organiseerbaarheid op peil kunnen houden door bijvoorbeeld het combineren van leerwegen of leerjaren of het samenwerken met scholen binnen de eigen regio. </w:t>
      </w:r>
    </w:p>
    <w:p w:rsidRPr="00A45539" w:rsidR="00B52D66" w:rsidP="00B52D66" w:rsidRDefault="00B52D66" w14:paraId="78BD42B4" w14:textId="77777777">
      <w:pPr>
        <w:jc w:val="both"/>
        <w:rPr>
          <w:szCs w:val="18"/>
        </w:rPr>
      </w:pPr>
    </w:p>
    <w:p w:rsidRPr="00A45539" w:rsidR="00B52D66" w:rsidP="00B52D66" w:rsidRDefault="00B52D66" w14:paraId="0FB4DE51" w14:textId="77777777">
      <w:pPr>
        <w:jc w:val="both"/>
        <w:rPr>
          <w:szCs w:val="18"/>
        </w:rPr>
      </w:pPr>
      <w:r w:rsidRPr="00A45539">
        <w:rPr>
          <w:szCs w:val="18"/>
        </w:rPr>
        <w:lastRenderedPageBreak/>
        <w:t xml:space="preserve">Als we kijken naar de bl in alle profielen, met uitzondering van het profiel </w:t>
      </w:r>
      <w:r>
        <w:rPr>
          <w:szCs w:val="18"/>
        </w:rPr>
        <w:t>MaT</w:t>
      </w:r>
      <w:r w:rsidRPr="00A45539">
        <w:rPr>
          <w:szCs w:val="18"/>
        </w:rPr>
        <w:t xml:space="preserve">, zien we dat het gemiddeld aantal leerlingen per vestiging hooguit </w:t>
      </w:r>
      <w:r>
        <w:rPr>
          <w:szCs w:val="18"/>
        </w:rPr>
        <w:t>acht</w:t>
      </w:r>
      <w:r w:rsidRPr="00A45539">
        <w:rPr>
          <w:szCs w:val="18"/>
        </w:rPr>
        <w:t xml:space="preserve"> is. De twee grootste profielen, </w:t>
      </w:r>
      <w:r>
        <w:rPr>
          <w:szCs w:val="18"/>
        </w:rPr>
        <w:t>PIE</w:t>
      </w:r>
      <w:r w:rsidRPr="00A45539">
        <w:rPr>
          <w:szCs w:val="18"/>
        </w:rPr>
        <w:t xml:space="preserve"> en </w:t>
      </w:r>
      <w:r>
        <w:rPr>
          <w:szCs w:val="18"/>
        </w:rPr>
        <w:t>BWI</w:t>
      </w:r>
      <w:r w:rsidRPr="00A45539">
        <w:rPr>
          <w:szCs w:val="18"/>
        </w:rPr>
        <w:t xml:space="preserve">, worden </w:t>
      </w:r>
      <w:r>
        <w:rPr>
          <w:szCs w:val="18"/>
        </w:rPr>
        <w:t>gemiddeld op</w:t>
      </w:r>
      <w:r w:rsidRPr="00A45539">
        <w:rPr>
          <w:szCs w:val="18"/>
        </w:rPr>
        <w:t xml:space="preserve"> twee of meer vestigingen</w:t>
      </w:r>
      <w:r>
        <w:rPr>
          <w:szCs w:val="18"/>
        </w:rPr>
        <w:t xml:space="preserve"> per STO-regio aangeboden</w:t>
      </w:r>
      <w:r w:rsidRPr="00A45539">
        <w:rPr>
          <w:szCs w:val="18"/>
        </w:rPr>
        <w:t xml:space="preserve">. </w:t>
      </w:r>
    </w:p>
    <w:p w:rsidRPr="00A45539" w:rsidR="00B52D66" w:rsidP="00B52D66" w:rsidRDefault="00B52D66" w14:paraId="28C184B2" w14:textId="77777777">
      <w:pPr>
        <w:jc w:val="both"/>
        <w:rPr>
          <w:szCs w:val="18"/>
        </w:rPr>
      </w:pPr>
    </w:p>
    <w:p w:rsidRPr="00A45539" w:rsidR="00B52D66" w:rsidP="00B52D66" w:rsidRDefault="00B52D66" w14:paraId="230C6E24" w14:textId="77777777">
      <w:pPr>
        <w:jc w:val="both"/>
        <w:rPr>
          <w:szCs w:val="18"/>
        </w:rPr>
      </w:pPr>
      <w:r w:rsidRPr="00A45539">
        <w:rPr>
          <w:szCs w:val="18"/>
        </w:rPr>
        <w:t xml:space="preserve">In de kl ligt het gemiddeld aantal leerlingen per vestiging tussen de </w:t>
      </w:r>
      <w:r>
        <w:rPr>
          <w:szCs w:val="18"/>
        </w:rPr>
        <w:t>acht</w:t>
      </w:r>
      <w:r w:rsidRPr="00A45539">
        <w:rPr>
          <w:szCs w:val="18"/>
        </w:rPr>
        <w:t xml:space="preserve"> en 1</w:t>
      </w:r>
      <w:r>
        <w:rPr>
          <w:szCs w:val="18"/>
        </w:rPr>
        <w:t>3</w:t>
      </w:r>
      <w:r w:rsidRPr="00A45539">
        <w:rPr>
          <w:szCs w:val="18"/>
        </w:rPr>
        <w:t xml:space="preserve"> voor de profielen BWI, </w:t>
      </w:r>
      <w:r>
        <w:rPr>
          <w:szCs w:val="18"/>
        </w:rPr>
        <w:t>MaT</w:t>
      </w:r>
      <w:r w:rsidRPr="00A45539">
        <w:rPr>
          <w:szCs w:val="18"/>
        </w:rPr>
        <w:t xml:space="preserve"> en PIE. Voor de andere twee profielen, </w:t>
      </w:r>
      <w:r>
        <w:rPr>
          <w:szCs w:val="18"/>
        </w:rPr>
        <w:t>MVI</w:t>
      </w:r>
      <w:r w:rsidRPr="00A45539">
        <w:rPr>
          <w:szCs w:val="18"/>
        </w:rPr>
        <w:t xml:space="preserve"> en </w:t>
      </w:r>
      <w:r>
        <w:rPr>
          <w:szCs w:val="18"/>
        </w:rPr>
        <w:t>M&amp;T</w:t>
      </w:r>
      <w:r w:rsidRPr="00A45539">
        <w:rPr>
          <w:szCs w:val="18"/>
        </w:rPr>
        <w:t xml:space="preserve">, ligt dit gemiddelde een stuk hoger. PIE </w:t>
      </w:r>
      <w:r>
        <w:rPr>
          <w:szCs w:val="18"/>
        </w:rPr>
        <w:t>wordt in de meeste STO-regio’s</w:t>
      </w:r>
      <w:r w:rsidRPr="00A45539">
        <w:rPr>
          <w:szCs w:val="18"/>
        </w:rPr>
        <w:t xml:space="preserve"> aangeboden</w:t>
      </w:r>
      <w:r>
        <w:rPr>
          <w:szCs w:val="18"/>
        </w:rPr>
        <w:t>, vaak op meer dan één vestiging</w:t>
      </w:r>
      <w:r w:rsidRPr="00A45539">
        <w:rPr>
          <w:szCs w:val="18"/>
        </w:rPr>
        <w:t xml:space="preserve"> waarbij </w:t>
      </w:r>
      <w:r>
        <w:rPr>
          <w:szCs w:val="18"/>
        </w:rPr>
        <w:t>twee van de drie</w:t>
      </w:r>
      <w:r w:rsidRPr="00A45539">
        <w:rPr>
          <w:szCs w:val="18"/>
        </w:rPr>
        <w:t xml:space="preserve"> vestigingen </w:t>
      </w:r>
      <w:r>
        <w:rPr>
          <w:szCs w:val="18"/>
        </w:rPr>
        <w:t xml:space="preserve">dan ook </w:t>
      </w:r>
      <w:r w:rsidRPr="00A45539">
        <w:rPr>
          <w:szCs w:val="18"/>
        </w:rPr>
        <w:t xml:space="preserve">gemiddeld meer dan 11 leerlingen </w:t>
      </w:r>
      <w:r>
        <w:rPr>
          <w:szCs w:val="18"/>
        </w:rPr>
        <w:t>hebben</w:t>
      </w:r>
      <w:r w:rsidRPr="00A45539">
        <w:rPr>
          <w:szCs w:val="18"/>
        </w:rPr>
        <w:t xml:space="preserve">. </w:t>
      </w:r>
    </w:p>
    <w:p w:rsidRPr="00A45539" w:rsidR="00B52D66" w:rsidP="00B52D66" w:rsidRDefault="00B52D66" w14:paraId="2EEA2DE0" w14:textId="77777777">
      <w:pPr>
        <w:jc w:val="both"/>
        <w:rPr>
          <w:szCs w:val="18"/>
        </w:rPr>
      </w:pPr>
    </w:p>
    <w:p w:rsidRPr="00A45539" w:rsidR="00B52D66" w:rsidP="00B52D66" w:rsidRDefault="00B52D66" w14:paraId="68EEB933" w14:textId="77777777">
      <w:pPr>
        <w:jc w:val="both"/>
        <w:rPr>
          <w:szCs w:val="18"/>
        </w:rPr>
      </w:pPr>
      <w:r w:rsidRPr="00A45539">
        <w:rPr>
          <w:szCs w:val="18"/>
        </w:rPr>
        <w:t xml:space="preserve">Net zoals de </w:t>
      </w:r>
      <w:r>
        <w:rPr>
          <w:szCs w:val="18"/>
        </w:rPr>
        <w:t>k</w:t>
      </w:r>
      <w:r w:rsidRPr="00A45539">
        <w:rPr>
          <w:szCs w:val="18"/>
        </w:rPr>
        <w:t>l, kent de gl een gemiddeld aantal leerlingen per vestiging</w:t>
      </w:r>
      <w:r>
        <w:rPr>
          <w:szCs w:val="18"/>
        </w:rPr>
        <w:t xml:space="preserve"> van acht tot 13 leerlingen</w:t>
      </w:r>
      <w:r w:rsidRPr="00A45539">
        <w:rPr>
          <w:szCs w:val="18"/>
        </w:rPr>
        <w:t xml:space="preserve">. De uitzondering hierop </w:t>
      </w:r>
      <w:r>
        <w:rPr>
          <w:szCs w:val="18"/>
        </w:rPr>
        <w:t>is</w:t>
      </w:r>
      <w:r w:rsidRPr="00A45539">
        <w:rPr>
          <w:szCs w:val="18"/>
        </w:rPr>
        <w:t xml:space="preserve"> </w:t>
      </w:r>
      <w:r>
        <w:rPr>
          <w:szCs w:val="18"/>
        </w:rPr>
        <w:t>het</w:t>
      </w:r>
      <w:r w:rsidRPr="00A45539">
        <w:rPr>
          <w:szCs w:val="18"/>
        </w:rPr>
        <w:t xml:space="preserve"> profie</w:t>
      </w:r>
      <w:r>
        <w:rPr>
          <w:szCs w:val="18"/>
        </w:rPr>
        <w:t>l</w:t>
      </w:r>
      <w:r w:rsidRPr="00A45539">
        <w:rPr>
          <w:szCs w:val="18"/>
        </w:rPr>
        <w:t xml:space="preserve"> MVI (2</w:t>
      </w:r>
      <w:r>
        <w:rPr>
          <w:szCs w:val="18"/>
        </w:rPr>
        <w:t>3</w:t>
      </w:r>
      <w:r w:rsidRPr="00A45539">
        <w:rPr>
          <w:szCs w:val="18"/>
        </w:rPr>
        <w:t xml:space="preserve"> leerlingen). </w:t>
      </w:r>
      <w:r>
        <w:rPr>
          <w:szCs w:val="18"/>
        </w:rPr>
        <w:t>Dit</w:t>
      </w:r>
      <w:r w:rsidRPr="00A45539">
        <w:rPr>
          <w:szCs w:val="18"/>
        </w:rPr>
        <w:t xml:space="preserve"> profie</w:t>
      </w:r>
      <w:r>
        <w:rPr>
          <w:szCs w:val="18"/>
        </w:rPr>
        <w:t>l</w:t>
      </w:r>
      <w:r w:rsidRPr="00A45539">
        <w:rPr>
          <w:szCs w:val="18"/>
        </w:rPr>
        <w:t xml:space="preserve"> </w:t>
      </w:r>
      <w:r>
        <w:rPr>
          <w:szCs w:val="18"/>
        </w:rPr>
        <w:t xml:space="preserve">en ook MaT </w:t>
      </w:r>
      <w:r w:rsidRPr="00A45539">
        <w:rPr>
          <w:szCs w:val="18"/>
        </w:rPr>
        <w:t>word</w:t>
      </w:r>
      <w:r>
        <w:rPr>
          <w:szCs w:val="18"/>
        </w:rPr>
        <w:t>en</w:t>
      </w:r>
      <w:r w:rsidRPr="00A45539">
        <w:rPr>
          <w:szCs w:val="18"/>
        </w:rPr>
        <w:t xml:space="preserve"> </w:t>
      </w:r>
      <w:r>
        <w:rPr>
          <w:szCs w:val="18"/>
        </w:rPr>
        <w:t xml:space="preserve">weliswaar </w:t>
      </w:r>
      <w:r w:rsidRPr="00A45539">
        <w:rPr>
          <w:szCs w:val="18"/>
        </w:rPr>
        <w:t>in minder STO-regio’s aangeboden, vaak met maar één vestiging</w:t>
      </w:r>
      <w:r>
        <w:rPr>
          <w:szCs w:val="18"/>
        </w:rPr>
        <w:t>,</w:t>
      </w:r>
      <w:r w:rsidRPr="00A45539">
        <w:rPr>
          <w:szCs w:val="18"/>
        </w:rPr>
        <w:t xml:space="preserve"> maar dan met meestal grotere leerlingenaantallen per vestiging. PIE</w:t>
      </w:r>
      <w:r>
        <w:rPr>
          <w:szCs w:val="18"/>
        </w:rPr>
        <w:t xml:space="preserve"> en BWI worden in meer STO-regio’s aangeboden, vaak</w:t>
      </w:r>
      <w:r w:rsidRPr="00A45539">
        <w:rPr>
          <w:szCs w:val="18"/>
        </w:rPr>
        <w:t xml:space="preserve"> </w:t>
      </w:r>
      <w:r>
        <w:rPr>
          <w:szCs w:val="18"/>
        </w:rPr>
        <w:t xml:space="preserve">ook op maar één vestiging en dan </w:t>
      </w:r>
      <w:r w:rsidRPr="00A45539">
        <w:rPr>
          <w:szCs w:val="18"/>
        </w:rPr>
        <w:t xml:space="preserve">vaak </w:t>
      </w:r>
      <w:r>
        <w:rPr>
          <w:szCs w:val="18"/>
        </w:rPr>
        <w:t xml:space="preserve">met </w:t>
      </w:r>
      <w:r w:rsidRPr="00A45539">
        <w:rPr>
          <w:szCs w:val="18"/>
        </w:rPr>
        <w:t xml:space="preserve">minder dan 11 leerlingen. </w:t>
      </w:r>
    </w:p>
    <w:p w:rsidRPr="00A45539" w:rsidR="00B52D66" w:rsidP="00B52D66" w:rsidRDefault="00B52D66" w14:paraId="2943B6AA" w14:textId="77777777">
      <w:pPr>
        <w:jc w:val="both"/>
        <w:rPr>
          <w:szCs w:val="18"/>
        </w:rPr>
      </w:pPr>
    </w:p>
    <w:p w:rsidR="00B52D66" w:rsidP="00B52D66" w:rsidRDefault="00B52D66" w14:paraId="25C36922" w14:textId="77777777">
      <w:pPr>
        <w:jc w:val="both"/>
        <w:rPr>
          <w:szCs w:val="18"/>
        </w:rPr>
      </w:pPr>
      <w:r w:rsidRPr="00A45539">
        <w:rPr>
          <w:szCs w:val="18"/>
        </w:rPr>
        <w:t>Om de verandering van leerlingenaantallen tussen schooljaar 202</w:t>
      </w:r>
      <w:r>
        <w:rPr>
          <w:szCs w:val="18"/>
        </w:rPr>
        <w:t>2</w:t>
      </w:r>
      <w:r w:rsidRPr="00A45539">
        <w:rPr>
          <w:szCs w:val="18"/>
        </w:rPr>
        <w:t>/202</w:t>
      </w:r>
      <w:r>
        <w:rPr>
          <w:szCs w:val="18"/>
        </w:rPr>
        <w:t>3</w:t>
      </w:r>
      <w:r w:rsidRPr="00A45539">
        <w:rPr>
          <w:szCs w:val="18"/>
        </w:rPr>
        <w:t xml:space="preserve"> en 202</w:t>
      </w:r>
      <w:r>
        <w:rPr>
          <w:szCs w:val="18"/>
        </w:rPr>
        <w:t>3</w:t>
      </w:r>
      <w:r w:rsidRPr="00A45539">
        <w:rPr>
          <w:szCs w:val="18"/>
        </w:rPr>
        <w:t>/202</w:t>
      </w:r>
      <w:r>
        <w:rPr>
          <w:szCs w:val="18"/>
        </w:rPr>
        <w:t>4</w:t>
      </w:r>
      <w:r w:rsidRPr="00A45539">
        <w:rPr>
          <w:szCs w:val="18"/>
        </w:rPr>
        <w:t xml:space="preserve"> in de bl en kl te analyseren hebben we vier clusters gevormd</w:t>
      </w:r>
      <w:r w:rsidRPr="008C28F2">
        <w:rPr>
          <w:szCs w:val="18"/>
        </w:rPr>
        <w:t xml:space="preserve">. Zo zagen we </w:t>
      </w:r>
      <w:r>
        <w:rPr>
          <w:szCs w:val="18"/>
        </w:rPr>
        <w:t xml:space="preserve">bijvoorbeeld </w:t>
      </w:r>
      <w:r w:rsidRPr="008C28F2">
        <w:rPr>
          <w:szCs w:val="18"/>
        </w:rPr>
        <w:t xml:space="preserve">dat </w:t>
      </w:r>
      <w:r>
        <w:rPr>
          <w:szCs w:val="18"/>
        </w:rPr>
        <w:t xml:space="preserve">de leerlingaantallen in </w:t>
      </w:r>
      <w:r w:rsidRPr="008C28F2">
        <w:rPr>
          <w:szCs w:val="18"/>
        </w:rPr>
        <w:t xml:space="preserve">het profiel PIE </w:t>
      </w:r>
      <w:r>
        <w:rPr>
          <w:szCs w:val="18"/>
        </w:rPr>
        <w:t>en MVI</w:t>
      </w:r>
      <w:r w:rsidRPr="008C28F2">
        <w:rPr>
          <w:szCs w:val="18"/>
        </w:rPr>
        <w:t xml:space="preserve"> in de bl dal</w:t>
      </w:r>
      <w:r>
        <w:rPr>
          <w:szCs w:val="18"/>
        </w:rPr>
        <w:t>en</w:t>
      </w:r>
      <w:r w:rsidRPr="008C28F2">
        <w:rPr>
          <w:szCs w:val="18"/>
        </w:rPr>
        <w:t xml:space="preserve"> in vergelijking met de k</w:t>
      </w:r>
      <w:r>
        <w:rPr>
          <w:szCs w:val="18"/>
        </w:rPr>
        <w:t>l.</w:t>
      </w:r>
    </w:p>
    <w:p w:rsidR="00B52D66" w:rsidP="00B52D66" w:rsidRDefault="00B52D66" w14:paraId="54A4FADE" w14:textId="77777777">
      <w:pPr>
        <w:rPr>
          <w:szCs w:val="18"/>
        </w:rPr>
      </w:pPr>
    </w:p>
    <w:p w:rsidR="00B52D66" w:rsidP="00B52D66" w:rsidRDefault="00B52D66" w14:paraId="5838F55B" w14:textId="77777777">
      <w:pPr>
        <w:rPr>
          <w:szCs w:val="18"/>
        </w:rPr>
      </w:pPr>
    </w:p>
    <w:p w:rsidR="00B52D66" w:rsidP="00B52D66" w:rsidRDefault="00B52D66" w14:paraId="1C2994AE" w14:textId="77777777">
      <w:pPr>
        <w:pStyle w:val="Kop2"/>
        <w:rPr>
          <w:szCs w:val="18"/>
        </w:rPr>
      </w:pPr>
      <w:bookmarkStart w:name="_Toc125541251" w:id="141"/>
      <w:bookmarkStart w:name="_Toc127528901" w:id="142"/>
      <w:bookmarkStart w:name="_Toc158042064" w:id="143"/>
      <w:bookmarkStart w:name="_Toc203573627" w:id="144"/>
      <w:r>
        <w:rPr>
          <w:szCs w:val="18"/>
        </w:rPr>
        <w:t>Dekking</w:t>
      </w:r>
      <w:r w:rsidRPr="00A45539">
        <w:rPr>
          <w:szCs w:val="18"/>
        </w:rPr>
        <w:t xml:space="preserve"> en bereikbaarheid van het aanbod</w:t>
      </w:r>
      <w:bookmarkEnd w:id="141"/>
      <w:bookmarkEnd w:id="142"/>
      <w:bookmarkEnd w:id="143"/>
      <w:bookmarkEnd w:id="144"/>
    </w:p>
    <w:p w:rsidRPr="00D26E09" w:rsidR="00B52D66" w:rsidP="00B52D66" w:rsidRDefault="00B52D66" w14:paraId="02398AEA" w14:textId="77777777">
      <w:pPr>
        <w:rPr>
          <w:lang w:eastAsia="en-US"/>
        </w:rPr>
      </w:pPr>
    </w:p>
    <w:p w:rsidRPr="00A45539" w:rsidR="00B52D66" w:rsidP="00B52D66" w:rsidRDefault="00B52D66" w14:paraId="7492F338" w14:textId="77777777">
      <w:pPr>
        <w:jc w:val="both"/>
        <w:rPr>
          <w:szCs w:val="18"/>
        </w:rPr>
      </w:pPr>
      <w:r w:rsidRPr="00A45539">
        <w:rPr>
          <w:szCs w:val="18"/>
        </w:rPr>
        <w:t>In deze paragraaf kijken we naar de landelijke dekking van de vestigingen per techniekprofiel, de bereikbaarheid van dat aanbod voor leerlingen en de reisafstand vanaf huis naar een bepaald profielaanbod.</w:t>
      </w:r>
    </w:p>
    <w:p w:rsidRPr="00A45539" w:rsidR="00B52D66" w:rsidP="00B52D66" w:rsidRDefault="00B52D66" w14:paraId="44899EBC" w14:textId="77777777">
      <w:pPr>
        <w:jc w:val="both"/>
        <w:rPr>
          <w:szCs w:val="18"/>
        </w:rPr>
      </w:pPr>
    </w:p>
    <w:p w:rsidR="00B52D66" w:rsidP="00B52D66" w:rsidRDefault="00B52D66" w14:paraId="6E9B78B9" w14:textId="77777777">
      <w:pPr>
        <w:pStyle w:val="Kop3"/>
        <w:jc w:val="both"/>
        <w:rPr>
          <w:szCs w:val="18"/>
        </w:rPr>
      </w:pPr>
      <w:bookmarkStart w:name="_Toc125541252" w:id="145"/>
      <w:bookmarkStart w:name="_Toc127528902" w:id="146"/>
      <w:bookmarkStart w:name="_Toc158042065" w:id="147"/>
      <w:bookmarkStart w:name="_Toc203573628" w:id="148"/>
      <w:r w:rsidRPr="00A45539">
        <w:rPr>
          <w:szCs w:val="18"/>
        </w:rPr>
        <w:t>Landelijk beeld</w:t>
      </w:r>
      <w:bookmarkEnd w:id="145"/>
      <w:bookmarkEnd w:id="146"/>
      <w:bookmarkEnd w:id="147"/>
      <w:bookmarkEnd w:id="148"/>
    </w:p>
    <w:p w:rsidRPr="00D26E09" w:rsidR="00B52D66" w:rsidP="00B52D66" w:rsidRDefault="00B52D66" w14:paraId="5D7336A9" w14:textId="77777777">
      <w:pPr>
        <w:pStyle w:val="Plattetekst"/>
        <w:jc w:val="both"/>
        <w:rPr>
          <w:lang w:eastAsia="en-US"/>
        </w:rPr>
      </w:pPr>
    </w:p>
    <w:p w:rsidRPr="00A45539" w:rsidR="00B52D66" w:rsidP="00B52D66" w:rsidRDefault="00B52D66" w14:paraId="2804C923" w14:textId="70B57682">
      <w:pPr>
        <w:jc w:val="both"/>
        <w:rPr>
          <w:szCs w:val="18"/>
        </w:rPr>
      </w:pPr>
      <w:r w:rsidRPr="00A45539">
        <w:rPr>
          <w:szCs w:val="18"/>
        </w:rPr>
        <w:t xml:space="preserve">Tabel </w:t>
      </w:r>
      <w:r w:rsidR="00AA001D">
        <w:rPr>
          <w:szCs w:val="18"/>
        </w:rPr>
        <w:t>B3</w:t>
      </w:r>
      <w:r>
        <w:rPr>
          <w:szCs w:val="18"/>
        </w:rPr>
        <w:t>.5</w:t>
      </w:r>
      <w:r w:rsidRPr="00A45539">
        <w:rPr>
          <w:szCs w:val="18"/>
        </w:rPr>
        <w:t xml:space="preserve"> toont dat</w:t>
      </w:r>
      <w:r>
        <w:rPr>
          <w:szCs w:val="18"/>
        </w:rPr>
        <w:t xml:space="preserve"> </w:t>
      </w:r>
      <w:r w:rsidRPr="00A45539">
        <w:rPr>
          <w:szCs w:val="18"/>
        </w:rPr>
        <w:t>het aantal vestigingen</w:t>
      </w:r>
      <w:r>
        <w:rPr>
          <w:szCs w:val="18"/>
        </w:rPr>
        <w:t xml:space="preserve"> in STO-verband</w:t>
      </w:r>
      <w:r w:rsidRPr="00A45539">
        <w:rPr>
          <w:szCs w:val="18"/>
        </w:rPr>
        <w:t xml:space="preserve"> </w:t>
      </w:r>
      <w:r>
        <w:rPr>
          <w:szCs w:val="18"/>
        </w:rPr>
        <w:t xml:space="preserve">tussen het schooljaar 2022/2023 en 2023/2024 daalt in het profiel BWI (-2), M&amp;T (-4) en PIE (-5). Het profiel MVI krijgt vier vestigingen erbij. </w:t>
      </w:r>
      <w:r w:rsidRPr="00A45539">
        <w:rPr>
          <w:szCs w:val="18"/>
        </w:rPr>
        <w:t xml:space="preserve">Het aantal vestigingen verschilt sterk naar profiel, variërend van vijf voor </w:t>
      </w:r>
      <w:r>
        <w:rPr>
          <w:szCs w:val="18"/>
        </w:rPr>
        <w:t>MaT</w:t>
      </w:r>
      <w:r w:rsidRPr="00A45539">
        <w:rPr>
          <w:szCs w:val="18"/>
        </w:rPr>
        <w:t xml:space="preserve"> tot 21</w:t>
      </w:r>
      <w:r>
        <w:rPr>
          <w:szCs w:val="18"/>
        </w:rPr>
        <w:t>3</w:t>
      </w:r>
      <w:r w:rsidRPr="00A45539">
        <w:rPr>
          <w:szCs w:val="18"/>
        </w:rPr>
        <w:t xml:space="preserve"> voor PIE, waarbij </w:t>
      </w:r>
      <w:r>
        <w:rPr>
          <w:szCs w:val="18"/>
        </w:rPr>
        <w:t>vijf</w:t>
      </w:r>
      <w:r w:rsidRPr="00A45539">
        <w:rPr>
          <w:szCs w:val="18"/>
        </w:rPr>
        <w:t xml:space="preserve"> vestigingen van het profiel PIE buiten een STO-regio vielen. </w:t>
      </w:r>
      <w:r>
        <w:rPr>
          <w:szCs w:val="18"/>
        </w:rPr>
        <w:t xml:space="preserve">Vestigingen bieden het desbetreffende technische profiel bijna allemaal aan voor </w:t>
      </w:r>
      <w:r w:rsidRPr="00D96BB4">
        <w:rPr>
          <w:szCs w:val="18"/>
        </w:rPr>
        <w:t>de</w:t>
      </w:r>
      <w:r w:rsidRPr="00A45539">
        <w:rPr>
          <w:szCs w:val="18"/>
        </w:rPr>
        <w:t xml:space="preserve"> bl en kl, met uitzondering van </w:t>
      </w:r>
      <w:r>
        <w:rPr>
          <w:szCs w:val="18"/>
        </w:rPr>
        <w:t>MVI</w:t>
      </w:r>
      <w:r w:rsidRPr="00A45539">
        <w:rPr>
          <w:szCs w:val="18"/>
        </w:rPr>
        <w:t xml:space="preserve"> waar de bl in </w:t>
      </w:r>
      <w:r>
        <w:rPr>
          <w:szCs w:val="18"/>
        </w:rPr>
        <w:t>drie van de vier</w:t>
      </w:r>
      <w:r w:rsidRPr="00A45539">
        <w:rPr>
          <w:szCs w:val="18"/>
        </w:rPr>
        <w:t xml:space="preserve"> vestigingen wordt aangeboden. </w:t>
      </w:r>
      <w:r>
        <w:rPr>
          <w:szCs w:val="18"/>
        </w:rPr>
        <w:t>Op de vestigingen waar MaT wordt aangeboden is dat vaak voor alle drie de leerwegen.</w:t>
      </w:r>
      <w:r w:rsidRPr="00A45539">
        <w:rPr>
          <w:szCs w:val="18"/>
        </w:rPr>
        <w:t xml:space="preserve"> </w:t>
      </w:r>
      <w:r>
        <w:rPr>
          <w:szCs w:val="18"/>
        </w:rPr>
        <w:t>In d</w:t>
      </w:r>
      <w:r w:rsidRPr="00A45539">
        <w:rPr>
          <w:szCs w:val="18"/>
        </w:rPr>
        <w:t>e gl</w:t>
      </w:r>
      <w:r>
        <w:rPr>
          <w:szCs w:val="18"/>
        </w:rPr>
        <w:t xml:space="preserve"> worden technische profielen doorgaans door </w:t>
      </w:r>
      <w:r w:rsidRPr="00A45539">
        <w:rPr>
          <w:szCs w:val="18"/>
        </w:rPr>
        <w:t xml:space="preserve">aanmerkelijk minder </w:t>
      </w:r>
      <w:r>
        <w:rPr>
          <w:szCs w:val="18"/>
        </w:rPr>
        <w:t>vestigingen</w:t>
      </w:r>
      <w:r w:rsidRPr="00A45539">
        <w:rPr>
          <w:szCs w:val="18"/>
        </w:rPr>
        <w:t xml:space="preserve"> aan</w:t>
      </w:r>
      <w:r>
        <w:rPr>
          <w:szCs w:val="18"/>
        </w:rPr>
        <w:t>geboden</w:t>
      </w:r>
      <w:r w:rsidRPr="00A45539">
        <w:rPr>
          <w:szCs w:val="18"/>
        </w:rPr>
        <w:t>.</w:t>
      </w:r>
      <w:r>
        <w:rPr>
          <w:szCs w:val="18"/>
        </w:rPr>
        <w:t xml:space="preserve"> </w:t>
      </w:r>
    </w:p>
    <w:p w:rsidRPr="00A45539" w:rsidR="00B52D66" w:rsidP="00B52D66" w:rsidRDefault="00B52D66" w14:paraId="5AA51217" w14:textId="77777777">
      <w:pPr>
        <w:rPr>
          <w:szCs w:val="18"/>
        </w:rPr>
      </w:pPr>
    </w:p>
    <w:p w:rsidRPr="0065314C" w:rsidR="00B52D66" w:rsidP="00B52D66" w:rsidRDefault="00B52D66" w14:paraId="09B3D60C" w14:textId="7C9049EA">
      <w:pPr>
        <w:pStyle w:val="Bijschrift"/>
      </w:pPr>
      <w:r w:rsidRPr="0065314C">
        <w:t xml:space="preserve">TABEL </w:t>
      </w:r>
      <w:r w:rsidR="00AA001D">
        <w:t>B3</w:t>
      </w:r>
      <w:r>
        <w:t>.5</w:t>
      </w:r>
      <w:r w:rsidRPr="0065314C">
        <w:t xml:space="preserve"> </w:t>
      </w:r>
      <w:r>
        <w:tab/>
      </w:r>
      <w:r w:rsidRPr="0065314C">
        <w:t>Aantal vestigingen per profiel</w:t>
      </w:r>
      <w:r>
        <w:t xml:space="preserve"> en aandeel vestigingen per leerweg en profiel</w:t>
      </w:r>
      <w:r w:rsidRPr="0065314C">
        <w:t>, 201</w:t>
      </w:r>
      <w:r>
        <w:t>8</w:t>
      </w:r>
      <w:r w:rsidRPr="0065314C">
        <w:t>/201</w:t>
      </w:r>
      <w:r>
        <w:t>9</w:t>
      </w:r>
      <w:r w:rsidRPr="0065314C">
        <w:t xml:space="preserve"> </w:t>
      </w:r>
      <w:r>
        <w:t>–</w:t>
      </w:r>
      <w:r w:rsidRPr="0065314C">
        <w:t xml:space="preserve"> 202</w:t>
      </w:r>
      <w:r>
        <w:t>3</w:t>
      </w:r>
      <w:r w:rsidRPr="0065314C">
        <w:t>/202</w:t>
      </w:r>
      <w:r>
        <w:t>4</w:t>
      </w:r>
    </w:p>
    <w:tbl>
      <w:tblPr>
        <w:tblStyle w:val="Tabelrasterlicht"/>
        <w:tblW w:w="8400" w:type="dxa"/>
        <w:tblLook w:val="04A0" w:firstRow="1" w:lastRow="0" w:firstColumn="1" w:lastColumn="0" w:noHBand="0" w:noVBand="1"/>
      </w:tblPr>
      <w:tblGrid>
        <w:gridCol w:w="3600"/>
        <w:gridCol w:w="960"/>
        <w:gridCol w:w="960"/>
        <w:gridCol w:w="960"/>
        <w:gridCol w:w="960"/>
        <w:gridCol w:w="960"/>
      </w:tblGrid>
      <w:tr w:rsidRPr="005D1850" w:rsidR="00B52D66" w:rsidTr="00FC2172" w14:paraId="29AAD3AA" w14:textId="77777777">
        <w:trPr>
          <w:trHeight w:val="227"/>
        </w:trPr>
        <w:tc>
          <w:tcPr>
            <w:tcW w:w="3600" w:type="dxa"/>
            <w:noWrap/>
            <w:hideMark/>
          </w:tcPr>
          <w:p w:rsidRPr="005D1850" w:rsidR="00B52D66" w:rsidP="00FC2172" w:rsidRDefault="00B52D66" w14:paraId="53274E18" w14:textId="77777777">
            <w:pPr>
              <w:spacing w:line="240" w:lineRule="auto"/>
              <w:rPr>
                <w:sz w:val="16"/>
                <w:szCs w:val="16"/>
                <w:lang w:eastAsia="en-GB"/>
              </w:rPr>
            </w:pPr>
          </w:p>
        </w:tc>
        <w:tc>
          <w:tcPr>
            <w:tcW w:w="960" w:type="dxa"/>
            <w:noWrap/>
            <w:hideMark/>
          </w:tcPr>
          <w:p w:rsidRPr="005D1850" w:rsidR="00B52D66" w:rsidP="00FC2172" w:rsidRDefault="00B52D66" w14:paraId="25EBD05A" w14:textId="77777777">
            <w:pPr>
              <w:spacing w:line="240" w:lineRule="auto"/>
              <w:jc w:val="center"/>
              <w:rPr>
                <w:rFonts w:cs="Calibri"/>
                <w:sz w:val="16"/>
                <w:szCs w:val="16"/>
                <w:lang w:eastAsia="en-GB"/>
              </w:rPr>
            </w:pPr>
            <w:r w:rsidRPr="005D1850">
              <w:rPr>
                <w:rFonts w:cs="Calibri"/>
                <w:sz w:val="16"/>
                <w:szCs w:val="16"/>
                <w:lang w:eastAsia="en-GB"/>
              </w:rPr>
              <w:t>BWI</w:t>
            </w:r>
          </w:p>
        </w:tc>
        <w:tc>
          <w:tcPr>
            <w:tcW w:w="960" w:type="dxa"/>
            <w:noWrap/>
            <w:hideMark/>
          </w:tcPr>
          <w:p w:rsidRPr="005D1850" w:rsidR="00B52D66" w:rsidP="00FC2172" w:rsidRDefault="00B52D66" w14:paraId="62A4DA2B" w14:textId="77777777">
            <w:pPr>
              <w:spacing w:line="240" w:lineRule="auto"/>
              <w:jc w:val="center"/>
              <w:rPr>
                <w:rFonts w:cs="Calibri"/>
                <w:sz w:val="16"/>
                <w:szCs w:val="16"/>
                <w:lang w:eastAsia="en-GB"/>
              </w:rPr>
            </w:pPr>
            <w:r w:rsidRPr="005D1850">
              <w:rPr>
                <w:rFonts w:cs="Calibri"/>
                <w:sz w:val="16"/>
                <w:szCs w:val="16"/>
                <w:lang w:eastAsia="en-GB"/>
              </w:rPr>
              <w:t>Mat</w:t>
            </w:r>
          </w:p>
        </w:tc>
        <w:tc>
          <w:tcPr>
            <w:tcW w:w="960" w:type="dxa"/>
            <w:noWrap/>
            <w:hideMark/>
          </w:tcPr>
          <w:p w:rsidRPr="005D1850" w:rsidR="00B52D66" w:rsidP="00FC2172" w:rsidRDefault="00B52D66" w14:paraId="69529CC7" w14:textId="77777777">
            <w:pPr>
              <w:spacing w:line="240" w:lineRule="auto"/>
              <w:jc w:val="center"/>
              <w:rPr>
                <w:rFonts w:cs="Calibri"/>
                <w:sz w:val="16"/>
                <w:szCs w:val="16"/>
                <w:lang w:eastAsia="en-GB"/>
              </w:rPr>
            </w:pPr>
            <w:r w:rsidRPr="005D1850">
              <w:rPr>
                <w:rFonts w:cs="Calibri"/>
                <w:sz w:val="16"/>
                <w:szCs w:val="16"/>
                <w:lang w:eastAsia="en-GB"/>
              </w:rPr>
              <w:t>MVI</w:t>
            </w:r>
          </w:p>
        </w:tc>
        <w:tc>
          <w:tcPr>
            <w:tcW w:w="960" w:type="dxa"/>
            <w:noWrap/>
            <w:hideMark/>
          </w:tcPr>
          <w:p w:rsidRPr="005D1850" w:rsidR="00B52D66" w:rsidP="00FC2172" w:rsidRDefault="00B52D66" w14:paraId="2155737C" w14:textId="77777777">
            <w:pPr>
              <w:spacing w:line="240" w:lineRule="auto"/>
              <w:jc w:val="center"/>
              <w:rPr>
                <w:rFonts w:cs="Calibri"/>
                <w:sz w:val="16"/>
                <w:szCs w:val="16"/>
                <w:lang w:eastAsia="en-GB"/>
              </w:rPr>
            </w:pPr>
            <w:r w:rsidRPr="005D1850">
              <w:rPr>
                <w:rFonts w:cs="Calibri"/>
                <w:sz w:val="16"/>
                <w:szCs w:val="16"/>
                <w:lang w:eastAsia="en-GB"/>
              </w:rPr>
              <w:t>M&amp;T</w:t>
            </w:r>
          </w:p>
        </w:tc>
        <w:tc>
          <w:tcPr>
            <w:tcW w:w="960" w:type="dxa"/>
            <w:noWrap/>
            <w:hideMark/>
          </w:tcPr>
          <w:p w:rsidRPr="005D1850" w:rsidR="00B52D66" w:rsidP="00FC2172" w:rsidRDefault="00B52D66" w14:paraId="663C12D1" w14:textId="77777777">
            <w:pPr>
              <w:spacing w:line="240" w:lineRule="auto"/>
              <w:jc w:val="center"/>
              <w:rPr>
                <w:rFonts w:cs="Calibri"/>
                <w:sz w:val="16"/>
                <w:szCs w:val="16"/>
                <w:lang w:eastAsia="en-GB"/>
              </w:rPr>
            </w:pPr>
            <w:r w:rsidRPr="005D1850">
              <w:rPr>
                <w:rFonts w:cs="Calibri"/>
                <w:sz w:val="16"/>
                <w:szCs w:val="16"/>
                <w:lang w:eastAsia="en-GB"/>
              </w:rPr>
              <w:t>PIE</w:t>
            </w:r>
          </w:p>
        </w:tc>
      </w:tr>
      <w:tr w:rsidRPr="005D1850" w:rsidR="00B52D66" w:rsidTr="00FC2172" w14:paraId="367716CE" w14:textId="77777777">
        <w:trPr>
          <w:trHeight w:val="227"/>
        </w:trPr>
        <w:tc>
          <w:tcPr>
            <w:tcW w:w="3600" w:type="dxa"/>
            <w:noWrap/>
            <w:hideMark/>
          </w:tcPr>
          <w:p w:rsidRPr="005D1850" w:rsidR="00B52D66" w:rsidP="00FC2172" w:rsidRDefault="00B52D66" w14:paraId="1986DE47" w14:textId="77777777">
            <w:pPr>
              <w:spacing w:line="240" w:lineRule="auto"/>
              <w:rPr>
                <w:rFonts w:cs="Calibri"/>
                <w:b/>
                <w:bCs/>
                <w:sz w:val="16"/>
                <w:szCs w:val="16"/>
                <w:lang w:eastAsia="en-GB"/>
              </w:rPr>
            </w:pPr>
            <w:r w:rsidRPr="005D1850">
              <w:rPr>
                <w:rFonts w:cs="Calibri"/>
                <w:b/>
                <w:bCs/>
                <w:sz w:val="16"/>
                <w:szCs w:val="16"/>
                <w:lang w:eastAsia="en-GB"/>
              </w:rPr>
              <w:t>Totaal aantal vestigingen</w:t>
            </w:r>
          </w:p>
        </w:tc>
        <w:tc>
          <w:tcPr>
            <w:tcW w:w="960" w:type="dxa"/>
            <w:noWrap/>
            <w:hideMark/>
          </w:tcPr>
          <w:p w:rsidRPr="005D1850" w:rsidR="00B52D66" w:rsidP="00FC2172" w:rsidRDefault="00B52D66" w14:paraId="660A0223" w14:textId="77777777">
            <w:pPr>
              <w:spacing w:line="240" w:lineRule="auto"/>
              <w:rPr>
                <w:rFonts w:cs="Calibri"/>
                <w:b/>
                <w:bCs/>
                <w:sz w:val="16"/>
                <w:szCs w:val="16"/>
                <w:lang w:eastAsia="en-GB"/>
              </w:rPr>
            </w:pPr>
          </w:p>
        </w:tc>
        <w:tc>
          <w:tcPr>
            <w:tcW w:w="960" w:type="dxa"/>
            <w:noWrap/>
            <w:hideMark/>
          </w:tcPr>
          <w:p w:rsidRPr="005D1850" w:rsidR="00B52D66" w:rsidP="00FC2172" w:rsidRDefault="00B52D66" w14:paraId="2900E955" w14:textId="77777777">
            <w:pPr>
              <w:spacing w:line="240" w:lineRule="auto"/>
              <w:jc w:val="center"/>
              <w:rPr>
                <w:sz w:val="16"/>
                <w:szCs w:val="16"/>
                <w:lang w:eastAsia="en-GB"/>
              </w:rPr>
            </w:pPr>
          </w:p>
        </w:tc>
        <w:tc>
          <w:tcPr>
            <w:tcW w:w="960" w:type="dxa"/>
            <w:noWrap/>
            <w:hideMark/>
          </w:tcPr>
          <w:p w:rsidRPr="005D1850" w:rsidR="00B52D66" w:rsidP="00FC2172" w:rsidRDefault="00B52D66" w14:paraId="23043BF2" w14:textId="77777777">
            <w:pPr>
              <w:spacing w:line="240" w:lineRule="auto"/>
              <w:jc w:val="center"/>
              <w:rPr>
                <w:sz w:val="16"/>
                <w:szCs w:val="16"/>
                <w:lang w:eastAsia="en-GB"/>
              </w:rPr>
            </w:pPr>
          </w:p>
        </w:tc>
        <w:tc>
          <w:tcPr>
            <w:tcW w:w="960" w:type="dxa"/>
            <w:noWrap/>
            <w:hideMark/>
          </w:tcPr>
          <w:p w:rsidRPr="005D1850" w:rsidR="00B52D66" w:rsidP="00FC2172" w:rsidRDefault="00B52D66" w14:paraId="747C7320" w14:textId="77777777">
            <w:pPr>
              <w:spacing w:line="240" w:lineRule="auto"/>
              <w:jc w:val="center"/>
              <w:rPr>
                <w:sz w:val="16"/>
                <w:szCs w:val="16"/>
                <w:lang w:eastAsia="en-GB"/>
              </w:rPr>
            </w:pPr>
          </w:p>
        </w:tc>
        <w:tc>
          <w:tcPr>
            <w:tcW w:w="960" w:type="dxa"/>
            <w:noWrap/>
            <w:hideMark/>
          </w:tcPr>
          <w:p w:rsidRPr="005D1850" w:rsidR="00B52D66" w:rsidP="00FC2172" w:rsidRDefault="00B52D66" w14:paraId="65598603" w14:textId="77777777">
            <w:pPr>
              <w:spacing w:line="240" w:lineRule="auto"/>
              <w:jc w:val="center"/>
              <w:rPr>
                <w:sz w:val="16"/>
                <w:szCs w:val="16"/>
                <w:lang w:eastAsia="en-GB"/>
              </w:rPr>
            </w:pPr>
          </w:p>
        </w:tc>
      </w:tr>
      <w:tr w:rsidRPr="005D1850" w:rsidR="00B52D66" w:rsidTr="00FC2172" w14:paraId="30E97C53" w14:textId="77777777">
        <w:trPr>
          <w:trHeight w:val="227"/>
        </w:trPr>
        <w:tc>
          <w:tcPr>
            <w:tcW w:w="3600" w:type="dxa"/>
            <w:noWrap/>
            <w:hideMark/>
          </w:tcPr>
          <w:p w:rsidRPr="005D1850" w:rsidR="00B52D66" w:rsidP="00FC2172" w:rsidRDefault="00B52D66" w14:paraId="11B29E07" w14:textId="77777777">
            <w:pPr>
              <w:spacing w:line="240" w:lineRule="auto"/>
              <w:rPr>
                <w:rFonts w:cs="Calibri"/>
                <w:sz w:val="16"/>
                <w:szCs w:val="16"/>
                <w:lang w:eastAsia="en-GB"/>
              </w:rPr>
            </w:pPr>
            <w:r w:rsidRPr="005D1850">
              <w:rPr>
                <w:rFonts w:cs="Calibri"/>
                <w:sz w:val="16"/>
                <w:szCs w:val="16"/>
                <w:lang w:eastAsia="en-GB"/>
              </w:rPr>
              <w:t>Schooljaar 2023/2024</w:t>
            </w:r>
          </w:p>
        </w:tc>
        <w:tc>
          <w:tcPr>
            <w:tcW w:w="960" w:type="dxa"/>
            <w:noWrap/>
            <w:hideMark/>
          </w:tcPr>
          <w:p w:rsidRPr="005D1850" w:rsidR="00B52D66" w:rsidP="00FC2172" w:rsidRDefault="00B52D66" w14:paraId="0C652712" w14:textId="77777777">
            <w:pPr>
              <w:spacing w:line="240" w:lineRule="auto"/>
              <w:jc w:val="center"/>
              <w:rPr>
                <w:rFonts w:cs="Calibri"/>
                <w:sz w:val="16"/>
                <w:szCs w:val="16"/>
                <w:lang w:eastAsia="en-GB"/>
              </w:rPr>
            </w:pPr>
            <w:r w:rsidRPr="005D1850">
              <w:rPr>
                <w:rFonts w:cs="Calibri"/>
                <w:sz w:val="16"/>
                <w:szCs w:val="16"/>
                <w:lang w:eastAsia="en-GB"/>
              </w:rPr>
              <w:t>181 (5)</w:t>
            </w:r>
          </w:p>
        </w:tc>
        <w:tc>
          <w:tcPr>
            <w:tcW w:w="960" w:type="dxa"/>
            <w:noWrap/>
            <w:hideMark/>
          </w:tcPr>
          <w:p w:rsidRPr="005D1850" w:rsidR="00B52D66" w:rsidP="00FC2172" w:rsidRDefault="00B52D66" w14:paraId="1F989DAE" w14:textId="77777777">
            <w:pPr>
              <w:spacing w:line="240" w:lineRule="auto"/>
              <w:jc w:val="center"/>
              <w:rPr>
                <w:rFonts w:cs="Calibri"/>
                <w:sz w:val="16"/>
                <w:szCs w:val="16"/>
                <w:lang w:eastAsia="en-GB"/>
              </w:rPr>
            </w:pPr>
            <w:r w:rsidRPr="005D1850">
              <w:rPr>
                <w:rFonts w:cs="Calibri"/>
                <w:sz w:val="16"/>
                <w:szCs w:val="16"/>
                <w:lang w:eastAsia="en-GB"/>
              </w:rPr>
              <w:t>5</w:t>
            </w:r>
          </w:p>
        </w:tc>
        <w:tc>
          <w:tcPr>
            <w:tcW w:w="960" w:type="dxa"/>
            <w:noWrap/>
            <w:hideMark/>
          </w:tcPr>
          <w:p w:rsidRPr="005D1850" w:rsidR="00B52D66" w:rsidP="00FC2172" w:rsidRDefault="00B52D66" w14:paraId="3CE5E245" w14:textId="77777777">
            <w:pPr>
              <w:spacing w:line="240" w:lineRule="auto"/>
              <w:jc w:val="center"/>
              <w:rPr>
                <w:rFonts w:cs="Calibri"/>
                <w:sz w:val="16"/>
                <w:szCs w:val="16"/>
                <w:lang w:eastAsia="en-GB"/>
              </w:rPr>
            </w:pPr>
            <w:r w:rsidRPr="005D1850">
              <w:rPr>
                <w:rFonts w:cs="Calibri"/>
                <w:sz w:val="16"/>
                <w:szCs w:val="16"/>
                <w:lang w:eastAsia="en-GB"/>
              </w:rPr>
              <w:t>53 (3)</w:t>
            </w:r>
          </w:p>
        </w:tc>
        <w:tc>
          <w:tcPr>
            <w:tcW w:w="960" w:type="dxa"/>
            <w:noWrap/>
            <w:hideMark/>
          </w:tcPr>
          <w:p w:rsidRPr="005D1850" w:rsidR="00B52D66" w:rsidP="00FC2172" w:rsidRDefault="00B52D66" w14:paraId="5A264489" w14:textId="77777777">
            <w:pPr>
              <w:spacing w:line="240" w:lineRule="auto"/>
              <w:jc w:val="center"/>
              <w:rPr>
                <w:rFonts w:cs="Calibri"/>
                <w:sz w:val="16"/>
                <w:szCs w:val="16"/>
                <w:lang w:eastAsia="en-GB"/>
              </w:rPr>
            </w:pPr>
            <w:r w:rsidRPr="005D1850">
              <w:rPr>
                <w:rFonts w:cs="Calibri"/>
                <w:sz w:val="16"/>
                <w:szCs w:val="16"/>
                <w:lang w:eastAsia="en-GB"/>
              </w:rPr>
              <w:t>82</w:t>
            </w:r>
          </w:p>
        </w:tc>
        <w:tc>
          <w:tcPr>
            <w:tcW w:w="960" w:type="dxa"/>
            <w:noWrap/>
            <w:hideMark/>
          </w:tcPr>
          <w:p w:rsidRPr="005D1850" w:rsidR="00B52D66" w:rsidP="00FC2172" w:rsidRDefault="00B52D66" w14:paraId="092022F3" w14:textId="77777777">
            <w:pPr>
              <w:spacing w:line="240" w:lineRule="auto"/>
              <w:jc w:val="center"/>
              <w:rPr>
                <w:rFonts w:cs="Calibri"/>
                <w:sz w:val="16"/>
                <w:szCs w:val="16"/>
                <w:lang w:eastAsia="en-GB"/>
              </w:rPr>
            </w:pPr>
            <w:r w:rsidRPr="005D1850">
              <w:rPr>
                <w:rFonts w:cs="Calibri"/>
                <w:sz w:val="16"/>
                <w:szCs w:val="16"/>
                <w:lang w:eastAsia="en-GB"/>
              </w:rPr>
              <w:t>213 (5)</w:t>
            </w:r>
          </w:p>
        </w:tc>
      </w:tr>
      <w:tr w:rsidRPr="005D1850" w:rsidR="00B52D66" w:rsidTr="00FC2172" w14:paraId="18942AC1" w14:textId="77777777">
        <w:trPr>
          <w:trHeight w:val="227"/>
        </w:trPr>
        <w:tc>
          <w:tcPr>
            <w:tcW w:w="3600" w:type="dxa"/>
            <w:noWrap/>
            <w:hideMark/>
          </w:tcPr>
          <w:p w:rsidRPr="005D1850" w:rsidR="00B52D66" w:rsidP="00FC2172" w:rsidRDefault="00B52D66" w14:paraId="085350E6" w14:textId="77777777">
            <w:pPr>
              <w:spacing w:line="240" w:lineRule="auto"/>
              <w:rPr>
                <w:rFonts w:cs="Calibri"/>
                <w:sz w:val="16"/>
                <w:szCs w:val="16"/>
                <w:lang w:eastAsia="en-GB"/>
              </w:rPr>
            </w:pPr>
            <w:r w:rsidRPr="005D1850">
              <w:rPr>
                <w:rFonts w:cs="Calibri"/>
                <w:sz w:val="16"/>
                <w:szCs w:val="16"/>
                <w:lang w:eastAsia="en-GB"/>
              </w:rPr>
              <w:t>Schooljaar 2022/2023</w:t>
            </w:r>
          </w:p>
        </w:tc>
        <w:tc>
          <w:tcPr>
            <w:tcW w:w="960" w:type="dxa"/>
            <w:noWrap/>
            <w:hideMark/>
          </w:tcPr>
          <w:p w:rsidRPr="005D1850" w:rsidR="00B52D66" w:rsidP="00FC2172" w:rsidRDefault="00B52D66" w14:paraId="7F534BBC" w14:textId="77777777">
            <w:pPr>
              <w:spacing w:line="240" w:lineRule="auto"/>
              <w:jc w:val="center"/>
              <w:rPr>
                <w:rFonts w:cs="Calibri"/>
                <w:sz w:val="16"/>
                <w:szCs w:val="16"/>
                <w:lang w:eastAsia="en-GB"/>
              </w:rPr>
            </w:pPr>
            <w:r w:rsidRPr="005D1850">
              <w:rPr>
                <w:rFonts w:cs="Calibri"/>
                <w:sz w:val="16"/>
                <w:szCs w:val="16"/>
                <w:lang w:eastAsia="en-GB"/>
              </w:rPr>
              <w:t>183 (3)</w:t>
            </w:r>
          </w:p>
        </w:tc>
        <w:tc>
          <w:tcPr>
            <w:tcW w:w="960" w:type="dxa"/>
            <w:noWrap/>
            <w:hideMark/>
          </w:tcPr>
          <w:p w:rsidRPr="005D1850" w:rsidR="00B52D66" w:rsidP="00FC2172" w:rsidRDefault="00B52D66" w14:paraId="398D76BD" w14:textId="77777777">
            <w:pPr>
              <w:spacing w:line="240" w:lineRule="auto"/>
              <w:jc w:val="center"/>
              <w:rPr>
                <w:rFonts w:cs="Calibri"/>
                <w:sz w:val="16"/>
                <w:szCs w:val="16"/>
                <w:lang w:eastAsia="en-GB"/>
              </w:rPr>
            </w:pPr>
            <w:r w:rsidRPr="005D1850">
              <w:rPr>
                <w:rFonts w:cs="Calibri"/>
                <w:sz w:val="16"/>
                <w:szCs w:val="16"/>
                <w:lang w:eastAsia="en-GB"/>
              </w:rPr>
              <w:t>5</w:t>
            </w:r>
          </w:p>
        </w:tc>
        <w:tc>
          <w:tcPr>
            <w:tcW w:w="960" w:type="dxa"/>
            <w:noWrap/>
            <w:hideMark/>
          </w:tcPr>
          <w:p w:rsidRPr="005D1850" w:rsidR="00B52D66" w:rsidP="00FC2172" w:rsidRDefault="00B52D66" w14:paraId="03110BDA" w14:textId="77777777">
            <w:pPr>
              <w:spacing w:line="240" w:lineRule="auto"/>
              <w:jc w:val="center"/>
              <w:rPr>
                <w:rFonts w:cs="Calibri"/>
                <w:sz w:val="16"/>
                <w:szCs w:val="16"/>
                <w:lang w:eastAsia="en-GB"/>
              </w:rPr>
            </w:pPr>
            <w:r w:rsidRPr="005D1850">
              <w:rPr>
                <w:rFonts w:cs="Calibri"/>
                <w:sz w:val="16"/>
                <w:szCs w:val="16"/>
                <w:lang w:eastAsia="en-GB"/>
              </w:rPr>
              <w:t>49 (2)</w:t>
            </w:r>
          </w:p>
        </w:tc>
        <w:tc>
          <w:tcPr>
            <w:tcW w:w="960" w:type="dxa"/>
            <w:noWrap/>
            <w:hideMark/>
          </w:tcPr>
          <w:p w:rsidRPr="005D1850" w:rsidR="00B52D66" w:rsidP="00FC2172" w:rsidRDefault="00B52D66" w14:paraId="40005FD8" w14:textId="77777777">
            <w:pPr>
              <w:spacing w:line="240" w:lineRule="auto"/>
              <w:jc w:val="center"/>
              <w:rPr>
                <w:rFonts w:cs="Calibri"/>
                <w:sz w:val="16"/>
                <w:szCs w:val="16"/>
                <w:lang w:eastAsia="en-GB"/>
              </w:rPr>
            </w:pPr>
            <w:r w:rsidRPr="005D1850">
              <w:rPr>
                <w:rFonts w:cs="Calibri"/>
                <w:sz w:val="16"/>
                <w:szCs w:val="16"/>
                <w:lang w:eastAsia="en-GB"/>
              </w:rPr>
              <w:t>86</w:t>
            </w:r>
          </w:p>
        </w:tc>
        <w:tc>
          <w:tcPr>
            <w:tcW w:w="960" w:type="dxa"/>
            <w:noWrap/>
            <w:hideMark/>
          </w:tcPr>
          <w:p w:rsidRPr="005D1850" w:rsidR="00B52D66" w:rsidP="00FC2172" w:rsidRDefault="00B52D66" w14:paraId="6969BD68" w14:textId="77777777">
            <w:pPr>
              <w:spacing w:line="240" w:lineRule="auto"/>
              <w:jc w:val="center"/>
              <w:rPr>
                <w:rFonts w:cs="Calibri"/>
                <w:sz w:val="16"/>
                <w:szCs w:val="16"/>
                <w:lang w:eastAsia="en-GB"/>
              </w:rPr>
            </w:pPr>
            <w:r w:rsidRPr="005D1850">
              <w:rPr>
                <w:rFonts w:cs="Calibri"/>
                <w:sz w:val="16"/>
                <w:szCs w:val="16"/>
                <w:lang w:eastAsia="en-GB"/>
              </w:rPr>
              <w:t>218 (2)</w:t>
            </w:r>
          </w:p>
        </w:tc>
      </w:tr>
      <w:tr w:rsidRPr="005D1850" w:rsidR="00B52D66" w:rsidTr="00FC2172" w14:paraId="4D00BAEA" w14:textId="77777777">
        <w:trPr>
          <w:trHeight w:val="227"/>
        </w:trPr>
        <w:tc>
          <w:tcPr>
            <w:tcW w:w="3600" w:type="dxa"/>
            <w:noWrap/>
            <w:hideMark/>
          </w:tcPr>
          <w:p w:rsidRPr="005D1850" w:rsidR="00B52D66" w:rsidP="00FC2172" w:rsidRDefault="00B52D66" w14:paraId="0738FE24" w14:textId="77777777">
            <w:pPr>
              <w:spacing w:line="240" w:lineRule="auto"/>
              <w:rPr>
                <w:rFonts w:cs="Calibri"/>
                <w:sz w:val="16"/>
                <w:szCs w:val="16"/>
                <w:lang w:eastAsia="en-GB"/>
              </w:rPr>
            </w:pPr>
            <w:r w:rsidRPr="005D1850">
              <w:rPr>
                <w:rFonts w:cs="Calibri"/>
                <w:sz w:val="16"/>
                <w:szCs w:val="16"/>
                <w:lang w:eastAsia="en-GB"/>
              </w:rPr>
              <w:t>Schooljaar 2021/2022</w:t>
            </w:r>
          </w:p>
        </w:tc>
        <w:tc>
          <w:tcPr>
            <w:tcW w:w="960" w:type="dxa"/>
            <w:noWrap/>
            <w:hideMark/>
          </w:tcPr>
          <w:p w:rsidRPr="005D1850" w:rsidR="00B52D66" w:rsidP="00FC2172" w:rsidRDefault="00B52D66" w14:paraId="307A5E41" w14:textId="77777777">
            <w:pPr>
              <w:spacing w:line="240" w:lineRule="auto"/>
              <w:jc w:val="center"/>
              <w:rPr>
                <w:rFonts w:cs="Calibri"/>
                <w:sz w:val="16"/>
                <w:szCs w:val="16"/>
                <w:lang w:eastAsia="en-GB"/>
              </w:rPr>
            </w:pPr>
            <w:r w:rsidRPr="005D1850">
              <w:rPr>
                <w:rFonts w:cs="Calibri"/>
                <w:sz w:val="16"/>
                <w:szCs w:val="16"/>
                <w:lang w:eastAsia="en-GB"/>
              </w:rPr>
              <w:t>182 (3)</w:t>
            </w:r>
          </w:p>
        </w:tc>
        <w:tc>
          <w:tcPr>
            <w:tcW w:w="960" w:type="dxa"/>
            <w:noWrap/>
            <w:hideMark/>
          </w:tcPr>
          <w:p w:rsidRPr="005D1850" w:rsidR="00B52D66" w:rsidP="00FC2172" w:rsidRDefault="00B52D66" w14:paraId="617EBFC6" w14:textId="77777777">
            <w:pPr>
              <w:spacing w:line="240" w:lineRule="auto"/>
              <w:jc w:val="center"/>
              <w:rPr>
                <w:rFonts w:cs="Calibri"/>
                <w:sz w:val="16"/>
                <w:szCs w:val="16"/>
                <w:lang w:eastAsia="en-GB"/>
              </w:rPr>
            </w:pPr>
            <w:r w:rsidRPr="005D1850">
              <w:rPr>
                <w:rFonts w:cs="Calibri"/>
                <w:sz w:val="16"/>
                <w:szCs w:val="16"/>
                <w:lang w:eastAsia="en-GB"/>
              </w:rPr>
              <w:t>5</w:t>
            </w:r>
          </w:p>
        </w:tc>
        <w:tc>
          <w:tcPr>
            <w:tcW w:w="960" w:type="dxa"/>
            <w:noWrap/>
            <w:hideMark/>
          </w:tcPr>
          <w:p w:rsidRPr="005D1850" w:rsidR="00B52D66" w:rsidP="00FC2172" w:rsidRDefault="00B52D66" w14:paraId="568FF8CD" w14:textId="77777777">
            <w:pPr>
              <w:spacing w:line="240" w:lineRule="auto"/>
              <w:jc w:val="center"/>
              <w:rPr>
                <w:rFonts w:cs="Calibri"/>
                <w:sz w:val="16"/>
                <w:szCs w:val="16"/>
                <w:lang w:eastAsia="en-GB"/>
              </w:rPr>
            </w:pPr>
            <w:r w:rsidRPr="005D1850">
              <w:rPr>
                <w:rFonts w:cs="Calibri"/>
                <w:sz w:val="16"/>
                <w:szCs w:val="16"/>
                <w:lang w:eastAsia="en-GB"/>
              </w:rPr>
              <w:t>49 (2)</w:t>
            </w:r>
          </w:p>
        </w:tc>
        <w:tc>
          <w:tcPr>
            <w:tcW w:w="960" w:type="dxa"/>
            <w:noWrap/>
            <w:hideMark/>
          </w:tcPr>
          <w:p w:rsidRPr="005D1850" w:rsidR="00B52D66" w:rsidP="00FC2172" w:rsidRDefault="00B52D66" w14:paraId="6C48C38F" w14:textId="77777777">
            <w:pPr>
              <w:spacing w:line="240" w:lineRule="auto"/>
              <w:jc w:val="center"/>
              <w:rPr>
                <w:rFonts w:cs="Calibri"/>
                <w:sz w:val="16"/>
                <w:szCs w:val="16"/>
                <w:lang w:eastAsia="en-GB"/>
              </w:rPr>
            </w:pPr>
            <w:r w:rsidRPr="005D1850">
              <w:rPr>
                <w:rFonts w:cs="Calibri"/>
                <w:sz w:val="16"/>
                <w:szCs w:val="16"/>
                <w:lang w:eastAsia="en-GB"/>
              </w:rPr>
              <w:t>88</w:t>
            </w:r>
          </w:p>
        </w:tc>
        <w:tc>
          <w:tcPr>
            <w:tcW w:w="960" w:type="dxa"/>
            <w:noWrap/>
            <w:hideMark/>
          </w:tcPr>
          <w:p w:rsidRPr="005D1850" w:rsidR="00B52D66" w:rsidP="00FC2172" w:rsidRDefault="00B52D66" w14:paraId="3E834527" w14:textId="77777777">
            <w:pPr>
              <w:spacing w:line="240" w:lineRule="auto"/>
              <w:jc w:val="center"/>
              <w:rPr>
                <w:rFonts w:cs="Calibri"/>
                <w:sz w:val="16"/>
                <w:szCs w:val="16"/>
                <w:lang w:eastAsia="en-GB"/>
              </w:rPr>
            </w:pPr>
            <w:r w:rsidRPr="005D1850">
              <w:rPr>
                <w:rFonts w:cs="Calibri"/>
                <w:sz w:val="16"/>
                <w:szCs w:val="16"/>
                <w:lang w:eastAsia="en-GB"/>
              </w:rPr>
              <w:t>217 (2)</w:t>
            </w:r>
          </w:p>
        </w:tc>
      </w:tr>
      <w:tr w:rsidRPr="005D1850" w:rsidR="00B52D66" w:rsidTr="00FC2172" w14:paraId="0F90D6E1" w14:textId="77777777">
        <w:trPr>
          <w:trHeight w:val="227"/>
        </w:trPr>
        <w:tc>
          <w:tcPr>
            <w:tcW w:w="3600" w:type="dxa"/>
            <w:noWrap/>
            <w:hideMark/>
          </w:tcPr>
          <w:p w:rsidRPr="005D1850" w:rsidR="00B52D66" w:rsidP="00FC2172" w:rsidRDefault="00B52D66" w14:paraId="300F835E" w14:textId="77777777">
            <w:pPr>
              <w:spacing w:line="240" w:lineRule="auto"/>
              <w:rPr>
                <w:rFonts w:cs="Calibri"/>
                <w:sz w:val="16"/>
                <w:szCs w:val="16"/>
                <w:lang w:eastAsia="en-GB"/>
              </w:rPr>
            </w:pPr>
            <w:r w:rsidRPr="005D1850">
              <w:rPr>
                <w:rFonts w:cs="Calibri"/>
                <w:sz w:val="16"/>
                <w:szCs w:val="16"/>
                <w:lang w:eastAsia="en-GB"/>
              </w:rPr>
              <w:t>Schooljaar 2020/2021</w:t>
            </w:r>
          </w:p>
        </w:tc>
        <w:tc>
          <w:tcPr>
            <w:tcW w:w="960" w:type="dxa"/>
            <w:noWrap/>
            <w:hideMark/>
          </w:tcPr>
          <w:p w:rsidRPr="005D1850" w:rsidR="00B52D66" w:rsidP="00FC2172" w:rsidRDefault="00B52D66" w14:paraId="5E2F7740" w14:textId="77777777">
            <w:pPr>
              <w:spacing w:line="240" w:lineRule="auto"/>
              <w:jc w:val="center"/>
              <w:rPr>
                <w:rFonts w:cs="Calibri"/>
                <w:sz w:val="16"/>
                <w:szCs w:val="16"/>
                <w:lang w:eastAsia="en-GB"/>
              </w:rPr>
            </w:pPr>
            <w:r w:rsidRPr="005D1850">
              <w:rPr>
                <w:rFonts w:cs="Calibri"/>
                <w:sz w:val="16"/>
                <w:szCs w:val="16"/>
                <w:lang w:eastAsia="en-GB"/>
              </w:rPr>
              <w:t>173 (3)</w:t>
            </w:r>
          </w:p>
        </w:tc>
        <w:tc>
          <w:tcPr>
            <w:tcW w:w="960" w:type="dxa"/>
            <w:noWrap/>
            <w:hideMark/>
          </w:tcPr>
          <w:p w:rsidRPr="005D1850" w:rsidR="00B52D66" w:rsidP="00FC2172" w:rsidRDefault="00B52D66" w14:paraId="5DFEC4BD" w14:textId="77777777">
            <w:pPr>
              <w:spacing w:line="240" w:lineRule="auto"/>
              <w:jc w:val="center"/>
              <w:rPr>
                <w:rFonts w:cs="Calibri"/>
                <w:sz w:val="16"/>
                <w:szCs w:val="16"/>
                <w:lang w:eastAsia="en-GB"/>
              </w:rPr>
            </w:pPr>
            <w:r w:rsidRPr="005D1850">
              <w:rPr>
                <w:rFonts w:cs="Calibri"/>
                <w:sz w:val="16"/>
                <w:szCs w:val="16"/>
                <w:lang w:eastAsia="en-GB"/>
              </w:rPr>
              <w:t>5</w:t>
            </w:r>
          </w:p>
        </w:tc>
        <w:tc>
          <w:tcPr>
            <w:tcW w:w="960" w:type="dxa"/>
            <w:noWrap/>
            <w:hideMark/>
          </w:tcPr>
          <w:p w:rsidRPr="005D1850" w:rsidR="00B52D66" w:rsidP="00FC2172" w:rsidRDefault="00B52D66" w14:paraId="11CE757B" w14:textId="77777777">
            <w:pPr>
              <w:spacing w:line="240" w:lineRule="auto"/>
              <w:jc w:val="center"/>
              <w:rPr>
                <w:rFonts w:cs="Calibri"/>
                <w:sz w:val="16"/>
                <w:szCs w:val="16"/>
                <w:lang w:eastAsia="en-GB"/>
              </w:rPr>
            </w:pPr>
            <w:r w:rsidRPr="005D1850">
              <w:rPr>
                <w:rFonts w:cs="Calibri"/>
                <w:sz w:val="16"/>
                <w:szCs w:val="16"/>
                <w:lang w:eastAsia="en-GB"/>
              </w:rPr>
              <w:t>46 (2)</w:t>
            </w:r>
          </w:p>
        </w:tc>
        <w:tc>
          <w:tcPr>
            <w:tcW w:w="960" w:type="dxa"/>
            <w:noWrap/>
            <w:hideMark/>
          </w:tcPr>
          <w:p w:rsidRPr="005D1850" w:rsidR="00B52D66" w:rsidP="00FC2172" w:rsidRDefault="00B52D66" w14:paraId="387DBBF6" w14:textId="77777777">
            <w:pPr>
              <w:spacing w:line="240" w:lineRule="auto"/>
              <w:jc w:val="center"/>
              <w:rPr>
                <w:rFonts w:cs="Calibri"/>
                <w:sz w:val="16"/>
                <w:szCs w:val="16"/>
                <w:lang w:eastAsia="en-GB"/>
              </w:rPr>
            </w:pPr>
            <w:r w:rsidRPr="005D1850">
              <w:rPr>
                <w:rFonts w:cs="Calibri"/>
                <w:sz w:val="16"/>
                <w:szCs w:val="16"/>
                <w:lang w:eastAsia="en-GB"/>
              </w:rPr>
              <w:t>91</w:t>
            </w:r>
          </w:p>
        </w:tc>
        <w:tc>
          <w:tcPr>
            <w:tcW w:w="960" w:type="dxa"/>
            <w:noWrap/>
            <w:hideMark/>
          </w:tcPr>
          <w:p w:rsidRPr="005D1850" w:rsidR="00B52D66" w:rsidP="00FC2172" w:rsidRDefault="00B52D66" w14:paraId="4AA0A2C2" w14:textId="77777777">
            <w:pPr>
              <w:spacing w:line="240" w:lineRule="auto"/>
              <w:jc w:val="center"/>
              <w:rPr>
                <w:rFonts w:cs="Calibri"/>
                <w:sz w:val="16"/>
                <w:szCs w:val="16"/>
                <w:lang w:eastAsia="en-GB"/>
              </w:rPr>
            </w:pPr>
            <w:r w:rsidRPr="005D1850">
              <w:rPr>
                <w:rFonts w:cs="Calibri"/>
                <w:sz w:val="16"/>
                <w:szCs w:val="16"/>
                <w:lang w:eastAsia="en-GB"/>
              </w:rPr>
              <w:t>216 (2)</w:t>
            </w:r>
          </w:p>
        </w:tc>
      </w:tr>
      <w:tr w:rsidRPr="005D1850" w:rsidR="00B52D66" w:rsidTr="00FC2172" w14:paraId="3C0BB935" w14:textId="77777777">
        <w:trPr>
          <w:trHeight w:val="227"/>
        </w:trPr>
        <w:tc>
          <w:tcPr>
            <w:tcW w:w="3600" w:type="dxa"/>
            <w:noWrap/>
            <w:hideMark/>
          </w:tcPr>
          <w:p w:rsidRPr="005D1850" w:rsidR="00B52D66" w:rsidP="00FC2172" w:rsidRDefault="00B52D66" w14:paraId="42902684" w14:textId="77777777">
            <w:pPr>
              <w:spacing w:line="240" w:lineRule="auto"/>
              <w:rPr>
                <w:rFonts w:cs="Calibri"/>
                <w:sz w:val="16"/>
                <w:szCs w:val="16"/>
                <w:lang w:eastAsia="en-GB"/>
              </w:rPr>
            </w:pPr>
            <w:r w:rsidRPr="005D1850">
              <w:rPr>
                <w:rFonts w:cs="Calibri"/>
                <w:sz w:val="16"/>
                <w:szCs w:val="16"/>
                <w:lang w:eastAsia="en-GB"/>
              </w:rPr>
              <w:t>Schooljaar 2019/2020</w:t>
            </w:r>
          </w:p>
        </w:tc>
        <w:tc>
          <w:tcPr>
            <w:tcW w:w="960" w:type="dxa"/>
            <w:noWrap/>
            <w:hideMark/>
          </w:tcPr>
          <w:p w:rsidRPr="005D1850" w:rsidR="00B52D66" w:rsidP="00FC2172" w:rsidRDefault="00B52D66" w14:paraId="2F22794F" w14:textId="77777777">
            <w:pPr>
              <w:spacing w:line="240" w:lineRule="auto"/>
              <w:jc w:val="center"/>
              <w:rPr>
                <w:rFonts w:cs="Calibri"/>
                <w:sz w:val="16"/>
                <w:szCs w:val="16"/>
                <w:lang w:eastAsia="en-GB"/>
              </w:rPr>
            </w:pPr>
            <w:r w:rsidRPr="005D1850">
              <w:rPr>
                <w:rFonts w:cs="Calibri"/>
                <w:sz w:val="16"/>
                <w:szCs w:val="16"/>
                <w:lang w:eastAsia="en-GB"/>
              </w:rPr>
              <w:t>170 (3)</w:t>
            </w:r>
          </w:p>
        </w:tc>
        <w:tc>
          <w:tcPr>
            <w:tcW w:w="960" w:type="dxa"/>
            <w:noWrap/>
            <w:hideMark/>
          </w:tcPr>
          <w:p w:rsidRPr="005D1850" w:rsidR="00B52D66" w:rsidP="00FC2172" w:rsidRDefault="00B52D66" w14:paraId="58949FFE" w14:textId="77777777">
            <w:pPr>
              <w:spacing w:line="240" w:lineRule="auto"/>
              <w:jc w:val="center"/>
              <w:rPr>
                <w:rFonts w:cs="Calibri"/>
                <w:sz w:val="16"/>
                <w:szCs w:val="16"/>
                <w:lang w:eastAsia="en-GB"/>
              </w:rPr>
            </w:pPr>
            <w:r w:rsidRPr="005D1850">
              <w:rPr>
                <w:rFonts w:cs="Calibri"/>
                <w:sz w:val="16"/>
                <w:szCs w:val="16"/>
                <w:lang w:eastAsia="en-GB"/>
              </w:rPr>
              <w:t>6</w:t>
            </w:r>
          </w:p>
        </w:tc>
        <w:tc>
          <w:tcPr>
            <w:tcW w:w="960" w:type="dxa"/>
            <w:noWrap/>
            <w:hideMark/>
          </w:tcPr>
          <w:p w:rsidRPr="005D1850" w:rsidR="00B52D66" w:rsidP="00FC2172" w:rsidRDefault="00B52D66" w14:paraId="58CABA60" w14:textId="77777777">
            <w:pPr>
              <w:spacing w:line="240" w:lineRule="auto"/>
              <w:jc w:val="center"/>
              <w:rPr>
                <w:rFonts w:cs="Calibri"/>
                <w:sz w:val="16"/>
                <w:szCs w:val="16"/>
                <w:lang w:eastAsia="en-GB"/>
              </w:rPr>
            </w:pPr>
            <w:r w:rsidRPr="005D1850">
              <w:rPr>
                <w:rFonts w:cs="Calibri"/>
                <w:sz w:val="16"/>
                <w:szCs w:val="16"/>
                <w:lang w:eastAsia="en-GB"/>
              </w:rPr>
              <w:t>48 (2)</w:t>
            </w:r>
          </w:p>
        </w:tc>
        <w:tc>
          <w:tcPr>
            <w:tcW w:w="960" w:type="dxa"/>
            <w:noWrap/>
            <w:hideMark/>
          </w:tcPr>
          <w:p w:rsidRPr="005D1850" w:rsidR="00B52D66" w:rsidP="00FC2172" w:rsidRDefault="00B52D66" w14:paraId="745CCC50" w14:textId="77777777">
            <w:pPr>
              <w:spacing w:line="240" w:lineRule="auto"/>
              <w:jc w:val="center"/>
              <w:rPr>
                <w:rFonts w:cs="Calibri"/>
                <w:sz w:val="16"/>
                <w:szCs w:val="16"/>
                <w:lang w:eastAsia="en-GB"/>
              </w:rPr>
            </w:pPr>
            <w:r w:rsidRPr="005D1850">
              <w:rPr>
                <w:rFonts w:cs="Calibri"/>
                <w:sz w:val="16"/>
                <w:szCs w:val="16"/>
                <w:lang w:eastAsia="en-GB"/>
              </w:rPr>
              <w:t>92</w:t>
            </w:r>
          </w:p>
        </w:tc>
        <w:tc>
          <w:tcPr>
            <w:tcW w:w="960" w:type="dxa"/>
            <w:noWrap/>
            <w:hideMark/>
          </w:tcPr>
          <w:p w:rsidRPr="005D1850" w:rsidR="00B52D66" w:rsidP="00FC2172" w:rsidRDefault="00B52D66" w14:paraId="2717184B" w14:textId="77777777">
            <w:pPr>
              <w:spacing w:line="240" w:lineRule="auto"/>
              <w:jc w:val="center"/>
              <w:rPr>
                <w:rFonts w:cs="Calibri"/>
                <w:sz w:val="16"/>
                <w:szCs w:val="16"/>
                <w:lang w:eastAsia="en-GB"/>
              </w:rPr>
            </w:pPr>
            <w:r w:rsidRPr="005D1850">
              <w:rPr>
                <w:rFonts w:cs="Calibri"/>
                <w:sz w:val="16"/>
                <w:szCs w:val="16"/>
                <w:lang w:eastAsia="en-GB"/>
              </w:rPr>
              <w:t>214 (2)</w:t>
            </w:r>
          </w:p>
        </w:tc>
      </w:tr>
      <w:tr w:rsidRPr="005D1850" w:rsidR="00B52D66" w:rsidTr="00FC2172" w14:paraId="5EEEB6AA" w14:textId="77777777">
        <w:trPr>
          <w:trHeight w:val="227"/>
        </w:trPr>
        <w:tc>
          <w:tcPr>
            <w:tcW w:w="3600" w:type="dxa"/>
            <w:noWrap/>
            <w:hideMark/>
          </w:tcPr>
          <w:p w:rsidRPr="005D1850" w:rsidR="00B52D66" w:rsidP="00FC2172" w:rsidRDefault="00B52D66" w14:paraId="28CCF66E" w14:textId="77777777">
            <w:pPr>
              <w:spacing w:line="240" w:lineRule="auto"/>
              <w:rPr>
                <w:rFonts w:cs="Calibri"/>
                <w:sz w:val="16"/>
                <w:szCs w:val="16"/>
                <w:lang w:eastAsia="en-GB"/>
              </w:rPr>
            </w:pPr>
            <w:r w:rsidRPr="005D1850">
              <w:rPr>
                <w:rFonts w:cs="Calibri"/>
                <w:sz w:val="16"/>
                <w:szCs w:val="16"/>
                <w:lang w:eastAsia="en-GB"/>
              </w:rPr>
              <w:t>Schooljaar 2018/2019</w:t>
            </w:r>
          </w:p>
        </w:tc>
        <w:tc>
          <w:tcPr>
            <w:tcW w:w="960" w:type="dxa"/>
            <w:noWrap/>
            <w:hideMark/>
          </w:tcPr>
          <w:p w:rsidRPr="005D1850" w:rsidR="00B52D66" w:rsidP="00FC2172" w:rsidRDefault="00B52D66" w14:paraId="5A169B13" w14:textId="77777777">
            <w:pPr>
              <w:spacing w:line="240" w:lineRule="auto"/>
              <w:jc w:val="center"/>
              <w:rPr>
                <w:rFonts w:cs="Calibri"/>
                <w:sz w:val="16"/>
                <w:szCs w:val="16"/>
                <w:lang w:eastAsia="en-GB"/>
              </w:rPr>
            </w:pPr>
            <w:r w:rsidRPr="005D1850">
              <w:rPr>
                <w:rFonts w:cs="Calibri"/>
                <w:sz w:val="16"/>
                <w:szCs w:val="16"/>
                <w:lang w:eastAsia="en-GB"/>
              </w:rPr>
              <w:t>172 (3)</w:t>
            </w:r>
          </w:p>
        </w:tc>
        <w:tc>
          <w:tcPr>
            <w:tcW w:w="960" w:type="dxa"/>
            <w:noWrap/>
            <w:hideMark/>
          </w:tcPr>
          <w:p w:rsidRPr="005D1850" w:rsidR="00B52D66" w:rsidP="00FC2172" w:rsidRDefault="00B52D66" w14:paraId="3047FBD3" w14:textId="77777777">
            <w:pPr>
              <w:spacing w:line="240" w:lineRule="auto"/>
              <w:jc w:val="center"/>
              <w:rPr>
                <w:rFonts w:cs="Calibri"/>
                <w:sz w:val="16"/>
                <w:szCs w:val="16"/>
                <w:lang w:eastAsia="en-GB"/>
              </w:rPr>
            </w:pPr>
            <w:r w:rsidRPr="005D1850">
              <w:rPr>
                <w:rFonts w:cs="Calibri"/>
                <w:sz w:val="16"/>
                <w:szCs w:val="16"/>
                <w:lang w:eastAsia="en-GB"/>
              </w:rPr>
              <w:t>6</w:t>
            </w:r>
          </w:p>
        </w:tc>
        <w:tc>
          <w:tcPr>
            <w:tcW w:w="960" w:type="dxa"/>
            <w:noWrap/>
            <w:hideMark/>
          </w:tcPr>
          <w:p w:rsidRPr="005D1850" w:rsidR="00B52D66" w:rsidP="00FC2172" w:rsidRDefault="00B52D66" w14:paraId="549491E9" w14:textId="77777777">
            <w:pPr>
              <w:spacing w:line="240" w:lineRule="auto"/>
              <w:jc w:val="center"/>
              <w:rPr>
                <w:rFonts w:cs="Calibri"/>
                <w:sz w:val="16"/>
                <w:szCs w:val="16"/>
                <w:lang w:eastAsia="en-GB"/>
              </w:rPr>
            </w:pPr>
            <w:r w:rsidRPr="005D1850">
              <w:rPr>
                <w:rFonts w:cs="Calibri"/>
                <w:sz w:val="16"/>
                <w:szCs w:val="16"/>
                <w:lang w:eastAsia="en-GB"/>
              </w:rPr>
              <w:t>48</w:t>
            </w:r>
          </w:p>
        </w:tc>
        <w:tc>
          <w:tcPr>
            <w:tcW w:w="960" w:type="dxa"/>
            <w:noWrap/>
            <w:hideMark/>
          </w:tcPr>
          <w:p w:rsidRPr="005D1850" w:rsidR="00B52D66" w:rsidP="00FC2172" w:rsidRDefault="00B52D66" w14:paraId="62AE83B0" w14:textId="77777777">
            <w:pPr>
              <w:spacing w:line="240" w:lineRule="auto"/>
              <w:jc w:val="center"/>
              <w:rPr>
                <w:rFonts w:cs="Calibri"/>
                <w:sz w:val="16"/>
                <w:szCs w:val="16"/>
                <w:lang w:eastAsia="en-GB"/>
              </w:rPr>
            </w:pPr>
            <w:r w:rsidRPr="005D1850">
              <w:rPr>
                <w:rFonts w:cs="Calibri"/>
                <w:sz w:val="16"/>
                <w:szCs w:val="16"/>
                <w:lang w:eastAsia="en-GB"/>
              </w:rPr>
              <w:t>95 (1)</w:t>
            </w:r>
          </w:p>
        </w:tc>
        <w:tc>
          <w:tcPr>
            <w:tcW w:w="960" w:type="dxa"/>
            <w:noWrap/>
            <w:hideMark/>
          </w:tcPr>
          <w:p w:rsidRPr="005D1850" w:rsidR="00B52D66" w:rsidP="00FC2172" w:rsidRDefault="00B52D66" w14:paraId="5BFEF44B" w14:textId="77777777">
            <w:pPr>
              <w:spacing w:line="240" w:lineRule="auto"/>
              <w:jc w:val="center"/>
              <w:rPr>
                <w:rFonts w:cs="Calibri"/>
                <w:sz w:val="16"/>
                <w:szCs w:val="16"/>
                <w:lang w:eastAsia="en-GB"/>
              </w:rPr>
            </w:pPr>
            <w:r w:rsidRPr="005D1850">
              <w:rPr>
                <w:rFonts w:cs="Calibri"/>
                <w:sz w:val="16"/>
                <w:szCs w:val="16"/>
                <w:lang w:eastAsia="en-GB"/>
              </w:rPr>
              <w:t>213 (3)</w:t>
            </w:r>
          </w:p>
        </w:tc>
      </w:tr>
      <w:tr w:rsidRPr="005D1850" w:rsidR="00B52D66" w:rsidTr="00FC2172" w14:paraId="252F42E4" w14:textId="77777777">
        <w:trPr>
          <w:trHeight w:val="227"/>
        </w:trPr>
        <w:tc>
          <w:tcPr>
            <w:tcW w:w="6480" w:type="dxa"/>
            <w:gridSpan w:val="4"/>
            <w:noWrap/>
            <w:hideMark/>
          </w:tcPr>
          <w:p w:rsidRPr="005D1850" w:rsidR="00B52D66" w:rsidP="00FC2172" w:rsidRDefault="00B52D66" w14:paraId="06E2744C" w14:textId="77777777">
            <w:pPr>
              <w:spacing w:line="240" w:lineRule="auto"/>
              <w:rPr>
                <w:rFonts w:cs="Calibri"/>
                <w:b/>
                <w:bCs/>
                <w:sz w:val="16"/>
                <w:szCs w:val="16"/>
                <w:lang w:eastAsia="en-GB"/>
              </w:rPr>
            </w:pPr>
            <w:r w:rsidRPr="005D1850">
              <w:rPr>
                <w:rFonts w:cs="Calibri"/>
                <w:b/>
                <w:bCs/>
                <w:sz w:val="16"/>
                <w:szCs w:val="16"/>
                <w:lang w:eastAsia="en-GB"/>
              </w:rPr>
              <w:t>Aandeel vestigingen over 2023/2024 (%)</w:t>
            </w:r>
          </w:p>
        </w:tc>
        <w:tc>
          <w:tcPr>
            <w:tcW w:w="960" w:type="dxa"/>
            <w:noWrap/>
            <w:hideMark/>
          </w:tcPr>
          <w:p w:rsidRPr="005D1850" w:rsidR="00B52D66" w:rsidP="00FC2172" w:rsidRDefault="00B52D66" w14:paraId="38944799" w14:textId="77777777">
            <w:pPr>
              <w:spacing w:line="240" w:lineRule="auto"/>
              <w:jc w:val="center"/>
              <w:rPr>
                <w:rFonts w:cs="Calibri"/>
                <w:sz w:val="16"/>
                <w:szCs w:val="16"/>
                <w:lang w:eastAsia="en-GB"/>
              </w:rPr>
            </w:pPr>
            <w:r w:rsidRPr="005D1850">
              <w:rPr>
                <w:rFonts w:cs="Calibri"/>
                <w:sz w:val="16"/>
                <w:szCs w:val="16"/>
                <w:lang w:eastAsia="en-GB"/>
              </w:rPr>
              <w:t> </w:t>
            </w:r>
          </w:p>
        </w:tc>
        <w:tc>
          <w:tcPr>
            <w:tcW w:w="960" w:type="dxa"/>
            <w:noWrap/>
            <w:hideMark/>
          </w:tcPr>
          <w:p w:rsidRPr="005D1850" w:rsidR="00B52D66" w:rsidP="00FC2172" w:rsidRDefault="00B52D66" w14:paraId="2B8B9711" w14:textId="77777777">
            <w:pPr>
              <w:spacing w:line="240" w:lineRule="auto"/>
              <w:jc w:val="center"/>
              <w:rPr>
                <w:rFonts w:cs="Calibri"/>
                <w:sz w:val="16"/>
                <w:szCs w:val="16"/>
                <w:lang w:eastAsia="en-GB"/>
              </w:rPr>
            </w:pPr>
            <w:r w:rsidRPr="005D1850">
              <w:rPr>
                <w:rFonts w:cs="Calibri"/>
                <w:sz w:val="16"/>
                <w:szCs w:val="16"/>
                <w:lang w:eastAsia="en-GB"/>
              </w:rPr>
              <w:t> </w:t>
            </w:r>
          </w:p>
        </w:tc>
      </w:tr>
      <w:tr w:rsidRPr="005D1850" w:rsidR="00B52D66" w:rsidTr="00FC2172" w14:paraId="7668A1CF" w14:textId="77777777">
        <w:trPr>
          <w:trHeight w:val="227"/>
        </w:trPr>
        <w:tc>
          <w:tcPr>
            <w:tcW w:w="3600" w:type="dxa"/>
            <w:noWrap/>
            <w:hideMark/>
          </w:tcPr>
          <w:p w:rsidRPr="005D1850" w:rsidR="00B52D66" w:rsidP="00FC2172" w:rsidRDefault="00B52D66" w14:paraId="2125E4E5" w14:textId="77777777">
            <w:pPr>
              <w:spacing w:line="240" w:lineRule="auto"/>
              <w:rPr>
                <w:rFonts w:cs="Calibri"/>
                <w:sz w:val="16"/>
                <w:szCs w:val="16"/>
                <w:lang w:eastAsia="en-GB"/>
              </w:rPr>
            </w:pPr>
            <w:r>
              <w:rPr>
                <w:rFonts w:cs="Calibri"/>
                <w:sz w:val="16"/>
                <w:szCs w:val="16"/>
                <w:lang w:eastAsia="en-GB"/>
              </w:rPr>
              <w:t>bl</w:t>
            </w:r>
          </w:p>
        </w:tc>
        <w:tc>
          <w:tcPr>
            <w:tcW w:w="960" w:type="dxa"/>
            <w:noWrap/>
            <w:hideMark/>
          </w:tcPr>
          <w:p w:rsidRPr="005D1850" w:rsidR="00B52D66" w:rsidP="00FC2172" w:rsidRDefault="00B52D66" w14:paraId="45CAE448" w14:textId="77777777">
            <w:pPr>
              <w:spacing w:line="240" w:lineRule="auto"/>
              <w:jc w:val="center"/>
              <w:rPr>
                <w:rFonts w:cs="Calibri"/>
                <w:sz w:val="16"/>
                <w:szCs w:val="16"/>
                <w:lang w:eastAsia="en-GB"/>
              </w:rPr>
            </w:pPr>
            <w:r w:rsidRPr="005D1850">
              <w:rPr>
                <w:rFonts w:cs="Calibri"/>
                <w:sz w:val="16"/>
                <w:szCs w:val="16"/>
                <w:lang w:eastAsia="en-GB"/>
              </w:rPr>
              <w:t>93</w:t>
            </w:r>
          </w:p>
        </w:tc>
        <w:tc>
          <w:tcPr>
            <w:tcW w:w="960" w:type="dxa"/>
            <w:noWrap/>
            <w:hideMark/>
          </w:tcPr>
          <w:p w:rsidRPr="005D1850" w:rsidR="00B52D66" w:rsidP="00FC2172" w:rsidRDefault="00B52D66" w14:paraId="13A475C0" w14:textId="77777777">
            <w:pPr>
              <w:spacing w:line="240" w:lineRule="auto"/>
              <w:jc w:val="center"/>
              <w:rPr>
                <w:rFonts w:cs="Calibri"/>
                <w:sz w:val="16"/>
                <w:szCs w:val="16"/>
                <w:lang w:eastAsia="en-GB"/>
              </w:rPr>
            </w:pPr>
            <w:r w:rsidRPr="005D1850">
              <w:rPr>
                <w:rFonts w:cs="Calibri"/>
                <w:sz w:val="16"/>
                <w:szCs w:val="16"/>
                <w:lang w:eastAsia="en-GB"/>
              </w:rPr>
              <w:t>100</w:t>
            </w:r>
          </w:p>
        </w:tc>
        <w:tc>
          <w:tcPr>
            <w:tcW w:w="960" w:type="dxa"/>
            <w:noWrap/>
            <w:hideMark/>
          </w:tcPr>
          <w:p w:rsidRPr="005D1850" w:rsidR="00B52D66" w:rsidP="00FC2172" w:rsidRDefault="00B52D66" w14:paraId="27460731" w14:textId="77777777">
            <w:pPr>
              <w:spacing w:line="240" w:lineRule="auto"/>
              <w:jc w:val="center"/>
              <w:rPr>
                <w:rFonts w:cs="Calibri"/>
                <w:sz w:val="16"/>
                <w:szCs w:val="16"/>
                <w:lang w:eastAsia="en-GB"/>
              </w:rPr>
            </w:pPr>
            <w:r w:rsidRPr="005D1850">
              <w:rPr>
                <w:rFonts w:cs="Calibri"/>
                <w:sz w:val="16"/>
                <w:szCs w:val="16"/>
                <w:lang w:eastAsia="en-GB"/>
              </w:rPr>
              <w:t>74</w:t>
            </w:r>
          </w:p>
        </w:tc>
        <w:tc>
          <w:tcPr>
            <w:tcW w:w="960" w:type="dxa"/>
            <w:noWrap/>
            <w:hideMark/>
          </w:tcPr>
          <w:p w:rsidRPr="005D1850" w:rsidR="00B52D66" w:rsidP="00FC2172" w:rsidRDefault="00B52D66" w14:paraId="448E9E5E" w14:textId="77777777">
            <w:pPr>
              <w:spacing w:line="240" w:lineRule="auto"/>
              <w:jc w:val="center"/>
              <w:rPr>
                <w:rFonts w:cs="Calibri"/>
                <w:sz w:val="16"/>
                <w:szCs w:val="16"/>
                <w:lang w:eastAsia="en-GB"/>
              </w:rPr>
            </w:pPr>
            <w:r w:rsidRPr="005D1850">
              <w:rPr>
                <w:rFonts w:cs="Calibri"/>
                <w:sz w:val="16"/>
                <w:szCs w:val="16"/>
                <w:lang w:eastAsia="en-GB"/>
              </w:rPr>
              <w:t>98</w:t>
            </w:r>
          </w:p>
        </w:tc>
        <w:tc>
          <w:tcPr>
            <w:tcW w:w="960" w:type="dxa"/>
            <w:noWrap/>
            <w:hideMark/>
          </w:tcPr>
          <w:p w:rsidRPr="005D1850" w:rsidR="00B52D66" w:rsidP="00FC2172" w:rsidRDefault="00B52D66" w14:paraId="2E5E6580" w14:textId="77777777">
            <w:pPr>
              <w:spacing w:line="240" w:lineRule="auto"/>
              <w:jc w:val="center"/>
              <w:rPr>
                <w:rFonts w:cs="Calibri"/>
                <w:sz w:val="16"/>
                <w:szCs w:val="16"/>
                <w:lang w:eastAsia="en-GB"/>
              </w:rPr>
            </w:pPr>
            <w:r w:rsidRPr="005D1850">
              <w:rPr>
                <w:rFonts w:cs="Calibri"/>
                <w:sz w:val="16"/>
                <w:szCs w:val="16"/>
                <w:lang w:eastAsia="en-GB"/>
              </w:rPr>
              <w:t>91</w:t>
            </w:r>
          </w:p>
        </w:tc>
      </w:tr>
      <w:tr w:rsidRPr="005D1850" w:rsidR="00B52D66" w:rsidTr="00FC2172" w14:paraId="6AFF20B0" w14:textId="77777777">
        <w:trPr>
          <w:trHeight w:val="227"/>
        </w:trPr>
        <w:tc>
          <w:tcPr>
            <w:tcW w:w="3600" w:type="dxa"/>
            <w:noWrap/>
            <w:hideMark/>
          </w:tcPr>
          <w:p w:rsidRPr="005D1850" w:rsidR="00B52D66" w:rsidP="00FC2172" w:rsidRDefault="00B52D66" w14:paraId="271478E3" w14:textId="77777777">
            <w:pPr>
              <w:spacing w:line="240" w:lineRule="auto"/>
              <w:rPr>
                <w:rFonts w:cs="Calibri"/>
                <w:sz w:val="16"/>
                <w:szCs w:val="16"/>
                <w:lang w:eastAsia="en-GB"/>
              </w:rPr>
            </w:pPr>
            <w:r>
              <w:rPr>
                <w:rFonts w:cs="Calibri"/>
                <w:sz w:val="16"/>
                <w:szCs w:val="16"/>
                <w:lang w:eastAsia="en-GB"/>
              </w:rPr>
              <w:t>kl</w:t>
            </w:r>
          </w:p>
        </w:tc>
        <w:tc>
          <w:tcPr>
            <w:tcW w:w="960" w:type="dxa"/>
            <w:noWrap/>
            <w:hideMark/>
          </w:tcPr>
          <w:p w:rsidRPr="005D1850" w:rsidR="00B52D66" w:rsidP="00FC2172" w:rsidRDefault="00B52D66" w14:paraId="576E6B83" w14:textId="77777777">
            <w:pPr>
              <w:spacing w:line="240" w:lineRule="auto"/>
              <w:jc w:val="center"/>
              <w:rPr>
                <w:rFonts w:cs="Calibri"/>
                <w:sz w:val="16"/>
                <w:szCs w:val="16"/>
                <w:lang w:eastAsia="en-GB"/>
              </w:rPr>
            </w:pPr>
            <w:r w:rsidRPr="005D1850">
              <w:rPr>
                <w:rFonts w:cs="Calibri"/>
                <w:sz w:val="16"/>
                <w:szCs w:val="16"/>
                <w:lang w:eastAsia="en-GB"/>
              </w:rPr>
              <w:t>91</w:t>
            </w:r>
          </w:p>
        </w:tc>
        <w:tc>
          <w:tcPr>
            <w:tcW w:w="960" w:type="dxa"/>
            <w:noWrap/>
            <w:hideMark/>
          </w:tcPr>
          <w:p w:rsidRPr="005D1850" w:rsidR="00B52D66" w:rsidP="00FC2172" w:rsidRDefault="00B52D66" w14:paraId="421F72A2" w14:textId="77777777">
            <w:pPr>
              <w:spacing w:line="240" w:lineRule="auto"/>
              <w:jc w:val="center"/>
              <w:rPr>
                <w:rFonts w:cs="Calibri"/>
                <w:sz w:val="16"/>
                <w:szCs w:val="16"/>
                <w:lang w:eastAsia="en-GB"/>
              </w:rPr>
            </w:pPr>
            <w:r w:rsidRPr="005D1850">
              <w:rPr>
                <w:rFonts w:cs="Calibri"/>
                <w:sz w:val="16"/>
                <w:szCs w:val="16"/>
                <w:lang w:eastAsia="en-GB"/>
              </w:rPr>
              <w:t>100</w:t>
            </w:r>
          </w:p>
        </w:tc>
        <w:tc>
          <w:tcPr>
            <w:tcW w:w="960" w:type="dxa"/>
            <w:noWrap/>
            <w:hideMark/>
          </w:tcPr>
          <w:p w:rsidRPr="005D1850" w:rsidR="00B52D66" w:rsidP="00FC2172" w:rsidRDefault="00B52D66" w14:paraId="4B7D75DC" w14:textId="77777777">
            <w:pPr>
              <w:spacing w:line="240" w:lineRule="auto"/>
              <w:jc w:val="center"/>
              <w:rPr>
                <w:rFonts w:cs="Calibri"/>
                <w:sz w:val="16"/>
                <w:szCs w:val="16"/>
                <w:lang w:eastAsia="en-GB"/>
              </w:rPr>
            </w:pPr>
            <w:r w:rsidRPr="005D1850">
              <w:rPr>
                <w:rFonts w:cs="Calibri"/>
                <w:sz w:val="16"/>
                <w:szCs w:val="16"/>
                <w:lang w:eastAsia="en-GB"/>
              </w:rPr>
              <w:t>91</w:t>
            </w:r>
          </w:p>
        </w:tc>
        <w:tc>
          <w:tcPr>
            <w:tcW w:w="960" w:type="dxa"/>
            <w:noWrap/>
            <w:hideMark/>
          </w:tcPr>
          <w:p w:rsidRPr="005D1850" w:rsidR="00B52D66" w:rsidP="00FC2172" w:rsidRDefault="00B52D66" w14:paraId="271F5DED" w14:textId="77777777">
            <w:pPr>
              <w:spacing w:line="240" w:lineRule="auto"/>
              <w:jc w:val="center"/>
              <w:rPr>
                <w:rFonts w:cs="Calibri"/>
                <w:sz w:val="16"/>
                <w:szCs w:val="16"/>
                <w:lang w:eastAsia="en-GB"/>
              </w:rPr>
            </w:pPr>
            <w:r w:rsidRPr="005D1850">
              <w:rPr>
                <w:rFonts w:cs="Calibri"/>
                <w:sz w:val="16"/>
                <w:szCs w:val="16"/>
                <w:lang w:eastAsia="en-GB"/>
              </w:rPr>
              <w:t>96</w:t>
            </w:r>
          </w:p>
        </w:tc>
        <w:tc>
          <w:tcPr>
            <w:tcW w:w="960" w:type="dxa"/>
            <w:noWrap/>
            <w:hideMark/>
          </w:tcPr>
          <w:p w:rsidRPr="005D1850" w:rsidR="00B52D66" w:rsidP="00FC2172" w:rsidRDefault="00B52D66" w14:paraId="7963213D" w14:textId="77777777">
            <w:pPr>
              <w:spacing w:line="240" w:lineRule="auto"/>
              <w:jc w:val="center"/>
              <w:rPr>
                <w:rFonts w:cs="Calibri"/>
                <w:sz w:val="16"/>
                <w:szCs w:val="16"/>
                <w:lang w:eastAsia="en-GB"/>
              </w:rPr>
            </w:pPr>
            <w:r w:rsidRPr="005D1850">
              <w:rPr>
                <w:rFonts w:cs="Calibri"/>
                <w:sz w:val="16"/>
                <w:szCs w:val="16"/>
                <w:lang w:eastAsia="en-GB"/>
              </w:rPr>
              <w:t>94</w:t>
            </w:r>
          </w:p>
        </w:tc>
      </w:tr>
      <w:tr w:rsidRPr="005D1850" w:rsidR="00B52D66" w:rsidTr="00FC2172" w14:paraId="0AAC4BF2" w14:textId="77777777">
        <w:trPr>
          <w:trHeight w:val="227"/>
        </w:trPr>
        <w:tc>
          <w:tcPr>
            <w:tcW w:w="3600" w:type="dxa"/>
            <w:noWrap/>
            <w:hideMark/>
          </w:tcPr>
          <w:p w:rsidRPr="005D1850" w:rsidR="00B52D66" w:rsidP="00FC2172" w:rsidRDefault="00B52D66" w14:paraId="5895DFC5" w14:textId="77777777">
            <w:pPr>
              <w:spacing w:line="240" w:lineRule="auto"/>
              <w:rPr>
                <w:rFonts w:cs="Calibri"/>
                <w:sz w:val="16"/>
                <w:szCs w:val="16"/>
                <w:lang w:eastAsia="en-GB"/>
              </w:rPr>
            </w:pPr>
            <w:r>
              <w:rPr>
                <w:rFonts w:cs="Calibri"/>
                <w:sz w:val="16"/>
                <w:szCs w:val="16"/>
                <w:lang w:eastAsia="en-GB"/>
              </w:rPr>
              <w:t>gl</w:t>
            </w:r>
          </w:p>
        </w:tc>
        <w:tc>
          <w:tcPr>
            <w:tcW w:w="960" w:type="dxa"/>
            <w:noWrap/>
            <w:hideMark/>
          </w:tcPr>
          <w:p w:rsidRPr="005D1850" w:rsidR="00B52D66" w:rsidP="00FC2172" w:rsidRDefault="00B52D66" w14:paraId="08B66EB3" w14:textId="77777777">
            <w:pPr>
              <w:spacing w:line="240" w:lineRule="auto"/>
              <w:jc w:val="center"/>
              <w:rPr>
                <w:rFonts w:cs="Calibri"/>
                <w:sz w:val="16"/>
                <w:szCs w:val="16"/>
                <w:lang w:eastAsia="en-GB"/>
              </w:rPr>
            </w:pPr>
            <w:r w:rsidRPr="005D1850">
              <w:rPr>
                <w:rFonts w:cs="Calibri"/>
                <w:sz w:val="16"/>
                <w:szCs w:val="16"/>
                <w:lang w:eastAsia="en-GB"/>
              </w:rPr>
              <w:t>29</w:t>
            </w:r>
          </w:p>
        </w:tc>
        <w:tc>
          <w:tcPr>
            <w:tcW w:w="960" w:type="dxa"/>
            <w:noWrap/>
            <w:hideMark/>
          </w:tcPr>
          <w:p w:rsidRPr="005D1850" w:rsidR="00B52D66" w:rsidP="00FC2172" w:rsidRDefault="00B52D66" w14:paraId="59C16C3E" w14:textId="77777777">
            <w:pPr>
              <w:spacing w:line="240" w:lineRule="auto"/>
              <w:jc w:val="center"/>
              <w:rPr>
                <w:rFonts w:cs="Calibri"/>
                <w:sz w:val="16"/>
                <w:szCs w:val="16"/>
                <w:lang w:eastAsia="en-GB"/>
              </w:rPr>
            </w:pPr>
            <w:r w:rsidRPr="005D1850">
              <w:rPr>
                <w:rFonts w:cs="Calibri"/>
                <w:sz w:val="16"/>
                <w:szCs w:val="16"/>
                <w:lang w:eastAsia="en-GB"/>
              </w:rPr>
              <w:t>80</w:t>
            </w:r>
          </w:p>
        </w:tc>
        <w:tc>
          <w:tcPr>
            <w:tcW w:w="960" w:type="dxa"/>
            <w:noWrap/>
            <w:hideMark/>
          </w:tcPr>
          <w:p w:rsidRPr="005D1850" w:rsidR="00B52D66" w:rsidP="00FC2172" w:rsidRDefault="00B52D66" w14:paraId="6C626E99" w14:textId="77777777">
            <w:pPr>
              <w:spacing w:line="240" w:lineRule="auto"/>
              <w:jc w:val="center"/>
              <w:rPr>
                <w:rFonts w:cs="Calibri"/>
                <w:sz w:val="16"/>
                <w:szCs w:val="16"/>
                <w:lang w:eastAsia="en-GB"/>
              </w:rPr>
            </w:pPr>
            <w:r w:rsidRPr="005D1850">
              <w:rPr>
                <w:rFonts w:cs="Calibri"/>
                <w:sz w:val="16"/>
                <w:szCs w:val="16"/>
                <w:lang w:eastAsia="en-GB"/>
              </w:rPr>
              <w:t>42</w:t>
            </w:r>
          </w:p>
        </w:tc>
        <w:tc>
          <w:tcPr>
            <w:tcW w:w="960" w:type="dxa"/>
            <w:noWrap/>
            <w:hideMark/>
          </w:tcPr>
          <w:p w:rsidRPr="005D1850" w:rsidR="00B52D66" w:rsidP="00FC2172" w:rsidRDefault="00B52D66" w14:paraId="1739C8E3" w14:textId="77777777">
            <w:pPr>
              <w:spacing w:line="240" w:lineRule="auto"/>
              <w:jc w:val="center"/>
              <w:rPr>
                <w:rFonts w:cs="Calibri"/>
                <w:sz w:val="16"/>
                <w:szCs w:val="16"/>
                <w:lang w:eastAsia="en-GB"/>
              </w:rPr>
            </w:pPr>
            <w:r w:rsidRPr="005D1850">
              <w:rPr>
                <w:rFonts w:cs="Calibri"/>
                <w:sz w:val="16"/>
                <w:szCs w:val="16"/>
                <w:lang w:eastAsia="en-GB"/>
              </w:rPr>
              <w:t>27</w:t>
            </w:r>
          </w:p>
        </w:tc>
        <w:tc>
          <w:tcPr>
            <w:tcW w:w="960" w:type="dxa"/>
            <w:noWrap/>
            <w:hideMark/>
          </w:tcPr>
          <w:p w:rsidRPr="005D1850" w:rsidR="00B52D66" w:rsidP="00FC2172" w:rsidRDefault="00B52D66" w14:paraId="1EDC761F" w14:textId="77777777">
            <w:pPr>
              <w:spacing w:line="240" w:lineRule="auto"/>
              <w:jc w:val="center"/>
              <w:rPr>
                <w:rFonts w:cs="Calibri"/>
                <w:sz w:val="16"/>
                <w:szCs w:val="16"/>
                <w:lang w:eastAsia="en-GB"/>
              </w:rPr>
            </w:pPr>
            <w:r w:rsidRPr="005D1850">
              <w:rPr>
                <w:rFonts w:cs="Calibri"/>
                <w:sz w:val="16"/>
                <w:szCs w:val="16"/>
                <w:lang w:eastAsia="en-GB"/>
              </w:rPr>
              <w:t>32</w:t>
            </w:r>
          </w:p>
        </w:tc>
      </w:tr>
    </w:tbl>
    <w:p w:rsidRPr="00A45539" w:rsidR="00B52D66" w:rsidP="00B52D66" w:rsidRDefault="00B52D66" w14:paraId="0EEA3DBC" w14:textId="77777777">
      <w:pPr>
        <w:spacing w:before="60"/>
        <w:rPr>
          <w:i/>
          <w:szCs w:val="18"/>
        </w:rPr>
      </w:pPr>
      <w:r w:rsidRPr="00A45539">
        <w:rPr>
          <w:i/>
          <w:szCs w:val="18"/>
        </w:rPr>
        <w:lastRenderedPageBreak/>
        <w:t>Bron: DUO (eigen bewerking ROA).</w:t>
      </w:r>
      <w:r w:rsidRPr="00A45539">
        <w:rPr>
          <w:i/>
          <w:szCs w:val="18"/>
        </w:rPr>
        <w:br/>
        <w:t>Noot: Tussen haakjes het aantal vestigingen per profiel buiten een STO-</w:t>
      </w:r>
      <w:r>
        <w:rPr>
          <w:i/>
          <w:szCs w:val="18"/>
        </w:rPr>
        <w:t>verband</w:t>
      </w:r>
      <w:r w:rsidRPr="00A45539">
        <w:rPr>
          <w:i/>
          <w:szCs w:val="18"/>
        </w:rPr>
        <w:t>.</w:t>
      </w:r>
    </w:p>
    <w:p w:rsidRPr="00215297" w:rsidR="00B52D66" w:rsidP="00B52D66" w:rsidRDefault="00B52D66" w14:paraId="4B4F1F53" w14:textId="77777777">
      <w:pPr>
        <w:rPr>
          <w:szCs w:val="18"/>
        </w:rPr>
      </w:pPr>
    </w:p>
    <w:p w:rsidRPr="00215297" w:rsidR="00B52D66" w:rsidP="00B52D66" w:rsidRDefault="00B52D66" w14:paraId="35719EAD" w14:textId="77777777">
      <w:pPr>
        <w:rPr>
          <w:szCs w:val="18"/>
        </w:rPr>
      </w:pPr>
      <w:r>
        <w:rPr>
          <w:szCs w:val="18"/>
        </w:rPr>
        <w:t>Vergeleken met het schooljaar 2018/2019 zien we een stijging in het aantal vestigingen in het profiel BWI (+9) en MVI (+5) en een afname in het aantal vestigingen in M&amp;T (-13). In totaal bieden 272 van de 562 vestigingen in de beroepsgerichte leerwegen een techniek-profiel aan in het schooljaar 2023/2024. In het schooljaar 2018/2019 waren dat 269 van de in totaal 570 vestigingen.</w:t>
      </w:r>
    </w:p>
    <w:p w:rsidRPr="00215297" w:rsidR="00B52D66" w:rsidP="00B52D66" w:rsidRDefault="00B52D66" w14:paraId="62E11F6C" w14:textId="77777777">
      <w:pPr>
        <w:rPr>
          <w:szCs w:val="18"/>
        </w:rPr>
      </w:pPr>
    </w:p>
    <w:p w:rsidR="00B52D66" w:rsidP="00B52D66" w:rsidRDefault="00B52D66" w14:paraId="717F647F" w14:textId="77777777">
      <w:pPr>
        <w:pStyle w:val="Kop3"/>
        <w:rPr>
          <w:szCs w:val="18"/>
        </w:rPr>
      </w:pPr>
      <w:bookmarkStart w:name="_Toc125541253" w:id="149"/>
      <w:bookmarkStart w:name="_Toc127528903" w:id="150"/>
      <w:bookmarkStart w:name="_Toc158042066" w:id="151"/>
      <w:bookmarkStart w:name="_Toc203573629" w:id="152"/>
      <w:r w:rsidRPr="00A45539">
        <w:rPr>
          <w:szCs w:val="18"/>
        </w:rPr>
        <w:t>Hoe dekkend zijn STO-regio’s?</w:t>
      </w:r>
      <w:bookmarkEnd w:id="149"/>
      <w:bookmarkEnd w:id="150"/>
      <w:bookmarkEnd w:id="151"/>
      <w:bookmarkEnd w:id="152"/>
    </w:p>
    <w:p w:rsidRPr="00D96BB4" w:rsidR="00B52D66" w:rsidP="00B52D66" w:rsidRDefault="00B52D66" w14:paraId="3F3F5C6A" w14:textId="77777777"/>
    <w:p w:rsidRPr="00A45539" w:rsidR="00B52D66" w:rsidP="00B52D66" w:rsidRDefault="00B52D66" w14:paraId="7CC92725" w14:textId="46709D67">
      <w:pPr>
        <w:jc w:val="both"/>
        <w:rPr>
          <w:szCs w:val="18"/>
        </w:rPr>
      </w:pPr>
      <w:r w:rsidRPr="00A45539">
        <w:rPr>
          <w:szCs w:val="18"/>
        </w:rPr>
        <w:t xml:space="preserve">Figuur </w:t>
      </w:r>
      <w:r w:rsidR="00C36ED1">
        <w:rPr>
          <w:szCs w:val="18"/>
        </w:rPr>
        <w:t>B3</w:t>
      </w:r>
      <w:r>
        <w:rPr>
          <w:szCs w:val="18"/>
        </w:rPr>
        <w:t>.6</w:t>
      </w:r>
      <w:r w:rsidRPr="00A45539">
        <w:rPr>
          <w:szCs w:val="18"/>
        </w:rPr>
        <w:t xml:space="preserve"> toont hoe dekkend het aanbod van technische en niet-technische profielen</w:t>
      </w:r>
      <w:r>
        <w:rPr>
          <w:szCs w:val="18"/>
        </w:rPr>
        <w:t xml:space="preserve"> naar leerwegen</w:t>
      </w:r>
      <w:r w:rsidRPr="00A45539">
        <w:rPr>
          <w:szCs w:val="18"/>
        </w:rPr>
        <w:t xml:space="preserve"> in STO-regio’s is. Voor alle profielen geldt dat er niet veel verschil is in profielaanbod tussen bl en kl. Techniekprofielen in de gl worden in STO-regio’s echter minder vaak aangeboden. De profielen </w:t>
      </w:r>
      <w:r>
        <w:rPr>
          <w:szCs w:val="18"/>
        </w:rPr>
        <w:t>BWI</w:t>
      </w:r>
      <w:r w:rsidRPr="00A45539">
        <w:rPr>
          <w:szCs w:val="18"/>
        </w:rPr>
        <w:t xml:space="preserve">, </w:t>
      </w:r>
      <w:r>
        <w:rPr>
          <w:szCs w:val="18"/>
        </w:rPr>
        <w:t>PIE</w:t>
      </w:r>
      <w:r w:rsidRPr="00A45539">
        <w:rPr>
          <w:szCs w:val="18"/>
        </w:rPr>
        <w:t xml:space="preserve"> en Z&amp;W worden het meest aangeboden: </w:t>
      </w:r>
      <w:r>
        <w:rPr>
          <w:szCs w:val="18"/>
        </w:rPr>
        <w:t>90</w:t>
      </w:r>
      <w:r w:rsidRPr="00A45539">
        <w:rPr>
          <w:szCs w:val="18"/>
        </w:rPr>
        <w:t xml:space="preserve"> procent of meer STO-regio’s bieden deze profielen aan in zowel de bl als kl.</w:t>
      </w:r>
      <w:r>
        <w:rPr>
          <w:szCs w:val="18"/>
        </w:rPr>
        <w:t xml:space="preserve"> De niet-technische profielen D&amp;P en E&amp;O worden ook vaak aangeboden in de bl en kl: ruim 80 procent van de STO-regio’s biedt deze profielen aan.</w:t>
      </w:r>
      <w:r w:rsidRPr="00A45539">
        <w:rPr>
          <w:szCs w:val="18"/>
        </w:rPr>
        <w:t xml:space="preserve"> </w:t>
      </w:r>
      <w:r>
        <w:rPr>
          <w:szCs w:val="18"/>
        </w:rPr>
        <w:t>M&amp;T</w:t>
      </w:r>
      <w:r w:rsidRPr="00A45539">
        <w:rPr>
          <w:szCs w:val="18"/>
        </w:rPr>
        <w:t xml:space="preserve"> is ook in bijna 70 procent van de STO-regio’s vertegenwoordigd in de bl en kl. Daarentegen worden de profielen </w:t>
      </w:r>
      <w:r>
        <w:rPr>
          <w:szCs w:val="18"/>
        </w:rPr>
        <w:t>MaT</w:t>
      </w:r>
      <w:r w:rsidRPr="00A45539">
        <w:rPr>
          <w:szCs w:val="18"/>
        </w:rPr>
        <w:t xml:space="preserve"> en </w:t>
      </w:r>
      <w:r>
        <w:rPr>
          <w:szCs w:val="18"/>
        </w:rPr>
        <w:t>MVI</w:t>
      </w:r>
      <w:r w:rsidRPr="00A45539">
        <w:rPr>
          <w:szCs w:val="18"/>
        </w:rPr>
        <w:t xml:space="preserve"> het minst frequent in STO-regio’s aangeboden, waardoor leerlingen die deze programma’s willen volgen dit naar alle waarschijnlijkheid niet in hun eigen STO-regio kunnen doen. </w:t>
      </w:r>
    </w:p>
    <w:p w:rsidRPr="00A45539" w:rsidR="00B52D66" w:rsidP="00B52D66" w:rsidRDefault="00B52D66" w14:paraId="4BEFB213" w14:textId="77777777">
      <w:pPr>
        <w:rPr>
          <w:szCs w:val="18"/>
        </w:rPr>
      </w:pPr>
    </w:p>
    <w:p w:rsidRPr="0065314C" w:rsidR="00B52D66" w:rsidP="00B52D66" w:rsidRDefault="00B52D66" w14:paraId="458F51A7" w14:textId="69535AF2">
      <w:pPr>
        <w:pStyle w:val="Bijschrift"/>
      </w:pPr>
      <w:r w:rsidRPr="0065314C">
        <w:t xml:space="preserve">FIGUUR </w:t>
      </w:r>
      <w:r w:rsidR="00C36ED1">
        <w:t>B3</w:t>
      </w:r>
      <w:r>
        <w:t>.6</w:t>
      </w:r>
      <w:r w:rsidRPr="0065314C">
        <w:t xml:space="preserve"> </w:t>
      </w:r>
      <w:r>
        <w:tab/>
      </w:r>
      <w:r w:rsidRPr="0065314C">
        <w:t>Aandeel STO-regio’s dat profiel binnen leerweg aanbiedt, schooljaar 202</w:t>
      </w:r>
      <w:r>
        <w:t>3</w:t>
      </w:r>
      <w:r w:rsidRPr="0065314C">
        <w:t>/202</w:t>
      </w:r>
      <w:r>
        <w:t>4</w:t>
      </w:r>
      <w:r w:rsidRPr="0065314C">
        <w:t xml:space="preserve"> </w:t>
      </w:r>
    </w:p>
    <w:p w:rsidRPr="00A45539" w:rsidR="00B52D66" w:rsidP="780653D5" w:rsidRDefault="00B52D66" w14:paraId="263C49D6" w14:textId="77777777">
      <w:pPr>
        <w:spacing w:before="60"/>
        <w:rPr>
          <w:i/>
          <w:iCs/>
        </w:rPr>
      </w:pPr>
      <w:r>
        <w:rPr>
          <w:noProof/>
        </w:rPr>
        <w:drawing>
          <wp:inline distT="0" distB="0" distL="0" distR="0" wp14:anchorId="1E3DB305" wp14:editId="40097B57">
            <wp:extent cx="5838825" cy="2743200"/>
            <wp:effectExtent l="0" t="0" r="9525" b="0"/>
            <wp:docPr id="6" name="Chart 6">
              <a:extLst xmlns:a="http://schemas.openxmlformats.org/drawingml/2006/main">
                <a:ext uri="{FF2B5EF4-FFF2-40B4-BE49-F238E27FC236}">
                  <a16:creationId xmlns:a16="http://schemas.microsoft.com/office/drawing/2014/main" id="{633EC0C0-1433-B5D9-E6D7-344F7723B0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A45539">
        <w:rPr>
          <w:szCs w:val="18"/>
        </w:rPr>
        <w:br/>
      </w:r>
      <w:r w:rsidRPr="780653D5">
        <w:rPr>
          <w:i/>
          <w:iCs/>
          <w:sz w:val="16"/>
          <w:szCs w:val="16"/>
        </w:rPr>
        <w:t>Bron: DUO (eigen bewerking ROA)</w:t>
      </w:r>
      <w:r w:rsidRPr="780653D5">
        <w:rPr>
          <w:i/>
          <w:iCs/>
        </w:rPr>
        <w:t>.</w:t>
      </w:r>
    </w:p>
    <w:p w:rsidR="00B52D66" w:rsidP="00B52D66" w:rsidRDefault="00B52D66" w14:paraId="71E96C3C" w14:textId="77777777">
      <w:pPr>
        <w:rPr>
          <w:szCs w:val="18"/>
        </w:rPr>
      </w:pPr>
    </w:p>
    <w:p w:rsidR="00B52D66" w:rsidP="00B52D66" w:rsidRDefault="00B52D66" w14:paraId="22EA1D4E" w14:textId="2D20D803">
      <w:pPr>
        <w:rPr>
          <w:szCs w:val="18"/>
        </w:rPr>
      </w:pPr>
      <w:r>
        <w:rPr>
          <w:szCs w:val="18"/>
        </w:rPr>
        <w:t xml:space="preserve">Ten opzichte van schooljaar 2018/2019 zien we in 2023/2024 dat het aanbod aan technische profielen in de bl redelijk stabiel blijft met uitzondering van een afname in M&amp;T. Door de jaren heen zien we in de kl en gl een toename in de profielen BWI en MVI en een afname in M&amp;T. Alleen in de gl is er ook een toename in het profiel PIE (zie </w:t>
      </w:r>
      <w:r w:rsidR="00C36ED1">
        <w:rPr>
          <w:szCs w:val="18"/>
        </w:rPr>
        <w:t xml:space="preserve">Appendix bij </w:t>
      </w:r>
      <w:r>
        <w:rPr>
          <w:szCs w:val="18"/>
        </w:rPr>
        <w:t xml:space="preserve">Bijlage </w:t>
      </w:r>
      <w:r w:rsidR="00C36ED1">
        <w:rPr>
          <w:szCs w:val="18"/>
        </w:rPr>
        <w:t>3</w:t>
      </w:r>
      <w:r w:rsidR="00A445DC">
        <w:rPr>
          <w:szCs w:val="18"/>
        </w:rPr>
        <w:t>, Figuur</w:t>
      </w:r>
      <w:r>
        <w:rPr>
          <w:szCs w:val="18"/>
        </w:rPr>
        <w:t xml:space="preserve"> </w:t>
      </w:r>
      <w:r w:rsidR="00C36ED1">
        <w:rPr>
          <w:szCs w:val="18"/>
        </w:rPr>
        <w:t>B3</w:t>
      </w:r>
      <w:r>
        <w:rPr>
          <w:szCs w:val="18"/>
        </w:rPr>
        <w:t>.</w:t>
      </w:r>
      <w:r w:rsidR="00A445DC">
        <w:rPr>
          <w:szCs w:val="18"/>
        </w:rPr>
        <w:t>12</w:t>
      </w:r>
      <w:r>
        <w:rPr>
          <w:szCs w:val="18"/>
        </w:rPr>
        <w:t>).</w:t>
      </w:r>
    </w:p>
    <w:p w:rsidR="00B52D66" w:rsidP="00B52D66" w:rsidRDefault="00B52D66" w14:paraId="0A72F535" w14:textId="77777777">
      <w:pPr>
        <w:rPr>
          <w:szCs w:val="18"/>
        </w:rPr>
      </w:pPr>
    </w:p>
    <w:p w:rsidR="00B52D66" w:rsidP="00B52D66" w:rsidRDefault="00B52D66" w14:paraId="7735AABF" w14:textId="600BBE69">
      <w:pPr>
        <w:jc w:val="both"/>
        <w:rPr>
          <w:szCs w:val="18"/>
        </w:rPr>
      </w:pPr>
      <w:r w:rsidRPr="00A45539">
        <w:rPr>
          <w:szCs w:val="18"/>
        </w:rPr>
        <w:t xml:space="preserve">Figuur </w:t>
      </w:r>
      <w:r w:rsidR="00C36ED1">
        <w:rPr>
          <w:szCs w:val="18"/>
        </w:rPr>
        <w:t>B3</w:t>
      </w:r>
      <w:r>
        <w:rPr>
          <w:szCs w:val="18"/>
        </w:rPr>
        <w:t>.7</w:t>
      </w:r>
      <w:r w:rsidRPr="00A45539">
        <w:rPr>
          <w:szCs w:val="18"/>
        </w:rPr>
        <w:t xml:space="preserve"> geeft </w:t>
      </w:r>
      <w:r>
        <w:rPr>
          <w:szCs w:val="18"/>
        </w:rPr>
        <w:t>inzicht in de</w:t>
      </w:r>
      <w:r w:rsidRPr="00A45539">
        <w:rPr>
          <w:szCs w:val="18"/>
        </w:rPr>
        <w:t xml:space="preserve"> keuze aan technische profielen en leerwegen </w:t>
      </w:r>
      <w:r>
        <w:rPr>
          <w:szCs w:val="18"/>
        </w:rPr>
        <w:t xml:space="preserve">die </w:t>
      </w:r>
      <w:r w:rsidRPr="00A45539">
        <w:rPr>
          <w:szCs w:val="18"/>
        </w:rPr>
        <w:t xml:space="preserve">leerlingen in STO-regio’s hebben. In de bl en kl biedt iets minder dan de helft van de STO-regio’s drie van de vijf techniekprofielen aan. </w:t>
      </w:r>
      <w:r>
        <w:rPr>
          <w:szCs w:val="18"/>
        </w:rPr>
        <w:t xml:space="preserve">Ongeveer </w:t>
      </w:r>
      <w:r w:rsidRPr="00A45539">
        <w:rPr>
          <w:szCs w:val="18"/>
        </w:rPr>
        <w:t xml:space="preserve">een kwart van de regio’s in de bl en de kl biedt vier profielen aan. In de gl </w:t>
      </w:r>
      <w:r>
        <w:rPr>
          <w:szCs w:val="18"/>
        </w:rPr>
        <w:t xml:space="preserve">biedt 32 procent van de STO-regio’s </w:t>
      </w:r>
      <w:r w:rsidRPr="00A45539">
        <w:rPr>
          <w:szCs w:val="18"/>
        </w:rPr>
        <w:t>geen technische profielen aan</w:t>
      </w:r>
      <w:r>
        <w:rPr>
          <w:szCs w:val="18"/>
        </w:rPr>
        <w:t xml:space="preserve">, </w:t>
      </w:r>
      <w:r w:rsidRPr="00A45539">
        <w:rPr>
          <w:szCs w:val="18"/>
        </w:rPr>
        <w:t>1</w:t>
      </w:r>
      <w:r>
        <w:rPr>
          <w:szCs w:val="18"/>
        </w:rPr>
        <w:t>5</w:t>
      </w:r>
      <w:r w:rsidRPr="00A45539">
        <w:rPr>
          <w:szCs w:val="18"/>
        </w:rPr>
        <w:t xml:space="preserve"> procent maar </w:t>
      </w:r>
      <w:r>
        <w:rPr>
          <w:szCs w:val="18"/>
        </w:rPr>
        <w:t>éé</w:t>
      </w:r>
      <w:r w:rsidRPr="00A45539">
        <w:rPr>
          <w:szCs w:val="18"/>
        </w:rPr>
        <w:t xml:space="preserve">n en de overige regio’s bieden twee tot vier van de vijf techniekprofielen aan. </w:t>
      </w:r>
    </w:p>
    <w:p w:rsidR="00B52D66" w:rsidP="00B52D66" w:rsidRDefault="00B52D66" w14:paraId="60E45FF0" w14:textId="77777777">
      <w:pPr>
        <w:jc w:val="both"/>
        <w:rPr>
          <w:szCs w:val="18"/>
        </w:rPr>
      </w:pPr>
    </w:p>
    <w:p w:rsidR="00B52D66" w:rsidP="00B52D66" w:rsidRDefault="00B52D66" w14:paraId="34417273" w14:textId="3D949B62">
      <w:pPr>
        <w:pStyle w:val="Bijschrift"/>
      </w:pPr>
      <w:r w:rsidRPr="0065314C">
        <w:t xml:space="preserve">FIGUUR </w:t>
      </w:r>
      <w:r w:rsidR="00C36ED1">
        <w:t>B3</w:t>
      </w:r>
      <w:r>
        <w:t>.7</w:t>
      </w:r>
      <w:r w:rsidRPr="0065314C">
        <w:t xml:space="preserve"> </w:t>
      </w:r>
      <w:r>
        <w:tab/>
      </w:r>
      <w:r w:rsidRPr="0065314C">
        <w:t>Aandeel technische profielen aangeboden in STO-regio’s, per leerweg, schooljaar 202</w:t>
      </w:r>
      <w:r>
        <w:t>3</w:t>
      </w:r>
      <w:r w:rsidRPr="0065314C">
        <w:t>/202</w:t>
      </w:r>
      <w:r>
        <w:t>4</w:t>
      </w:r>
      <w:r w:rsidRPr="0065314C">
        <w:t xml:space="preserve"> </w:t>
      </w:r>
    </w:p>
    <w:p w:rsidRPr="00A45539" w:rsidR="00B52D66" w:rsidP="780653D5" w:rsidRDefault="00B52D66" w14:paraId="4DD06DB5" w14:textId="77777777">
      <w:pPr>
        <w:rPr>
          <w:i/>
          <w:iCs/>
        </w:rPr>
      </w:pPr>
      <w:r w:rsidRPr="003A20CA">
        <w:rPr>
          <w:noProof/>
        </w:rPr>
        <w:lastRenderedPageBreak/>
        <w:t xml:space="preserve"> </w:t>
      </w:r>
      <w:r>
        <w:rPr>
          <w:noProof/>
        </w:rPr>
        <w:drawing>
          <wp:inline distT="0" distB="0" distL="0" distR="0" wp14:anchorId="46CD9F1B" wp14:editId="595DBB3B">
            <wp:extent cx="5072332" cy="3234905"/>
            <wp:effectExtent l="0" t="0" r="14605" b="3810"/>
            <wp:docPr id="10" name="Chart 10">
              <a:extLst xmlns:a="http://schemas.openxmlformats.org/drawingml/2006/main">
                <a:ext uri="{FF2B5EF4-FFF2-40B4-BE49-F238E27FC236}">
                  <a16:creationId xmlns:a16="http://schemas.microsoft.com/office/drawing/2014/main" id="{81FB8A1C-FFC4-45F7-AFAA-4829B47962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i/>
          <w:sz w:val="16"/>
          <w:szCs w:val="16"/>
        </w:rPr>
        <w:br/>
      </w:r>
      <w:r w:rsidRPr="780653D5">
        <w:rPr>
          <w:i/>
          <w:iCs/>
          <w:sz w:val="16"/>
          <w:szCs w:val="16"/>
        </w:rPr>
        <w:t xml:space="preserve">Bron: DUO (eigen bewerking ROA). </w:t>
      </w:r>
    </w:p>
    <w:p w:rsidR="00B52D66" w:rsidP="00B52D66" w:rsidRDefault="00B52D66" w14:paraId="500DA0FA" w14:textId="77777777">
      <w:pPr>
        <w:rPr>
          <w:szCs w:val="18"/>
        </w:rPr>
      </w:pPr>
    </w:p>
    <w:p w:rsidRPr="00A45539" w:rsidR="00B52D66" w:rsidP="00B52D66" w:rsidRDefault="00B52D66" w14:paraId="35E58A10" w14:textId="77777777">
      <w:pPr>
        <w:rPr>
          <w:szCs w:val="18"/>
        </w:rPr>
      </w:pPr>
    </w:p>
    <w:p w:rsidR="00B52D66" w:rsidP="00B52D66" w:rsidRDefault="00B52D66" w14:paraId="41EE493A" w14:textId="77777777">
      <w:pPr>
        <w:pStyle w:val="Kop3"/>
        <w:rPr>
          <w:szCs w:val="18"/>
        </w:rPr>
      </w:pPr>
      <w:bookmarkStart w:name="_Toc125541254" w:id="153"/>
      <w:bookmarkStart w:name="_Toc127528904" w:id="154"/>
      <w:bookmarkStart w:name="_Toc158042067" w:id="155"/>
      <w:bookmarkStart w:name="_Toc203573630" w:id="156"/>
      <w:r w:rsidRPr="00A45539">
        <w:rPr>
          <w:szCs w:val="18"/>
        </w:rPr>
        <w:t>Techniekaanbod binnen 10 kilometer van huis</w:t>
      </w:r>
      <w:bookmarkEnd w:id="153"/>
      <w:bookmarkEnd w:id="154"/>
      <w:bookmarkEnd w:id="155"/>
      <w:bookmarkEnd w:id="156"/>
    </w:p>
    <w:p w:rsidRPr="00D96BB4" w:rsidR="00B52D66" w:rsidP="00B52D66" w:rsidRDefault="00B52D66" w14:paraId="6D7BFF7F" w14:textId="77777777">
      <w:pPr>
        <w:pStyle w:val="Geenafstand"/>
      </w:pPr>
    </w:p>
    <w:p w:rsidRPr="00A45539" w:rsidR="00B52D66" w:rsidP="00B52D66" w:rsidRDefault="00B52D66" w14:paraId="4905ABA3" w14:textId="0919E542">
      <w:pPr>
        <w:jc w:val="both"/>
        <w:rPr>
          <w:szCs w:val="18"/>
        </w:rPr>
      </w:pPr>
      <w:r w:rsidRPr="00A45539">
        <w:rPr>
          <w:szCs w:val="18"/>
        </w:rPr>
        <w:t xml:space="preserve">Los van hoeveel profielen er worden aangeboden, is de fysieke bereikbaarheid van het aanbod van belang. Tabel </w:t>
      </w:r>
      <w:r w:rsidR="00C36ED1">
        <w:rPr>
          <w:szCs w:val="18"/>
        </w:rPr>
        <w:t>B3</w:t>
      </w:r>
      <w:r>
        <w:rPr>
          <w:szCs w:val="18"/>
        </w:rPr>
        <w:t>.6</w:t>
      </w:r>
      <w:r w:rsidRPr="00A45539">
        <w:rPr>
          <w:szCs w:val="18"/>
        </w:rPr>
        <w:t xml:space="preserve"> toont het aanbod van profielen nabij het thuisadres van leerlingen. Daarbij gaan we – </w:t>
      </w:r>
      <w:r>
        <w:rPr>
          <w:szCs w:val="18"/>
        </w:rPr>
        <w:t>net zoals bij</w:t>
      </w:r>
      <w:r w:rsidRPr="00A45539">
        <w:rPr>
          <w:szCs w:val="18"/>
        </w:rPr>
        <w:t xml:space="preserve"> de </w:t>
      </w:r>
      <w:r>
        <w:rPr>
          <w:szCs w:val="18"/>
        </w:rPr>
        <w:t xml:space="preserve">voorgaande </w:t>
      </w:r>
      <w:r w:rsidRPr="00A45539">
        <w:rPr>
          <w:szCs w:val="18"/>
        </w:rPr>
        <w:t>Monitorrapport</w:t>
      </w:r>
      <w:r>
        <w:rPr>
          <w:szCs w:val="18"/>
        </w:rPr>
        <w:t>en</w:t>
      </w:r>
      <w:r w:rsidRPr="00A45539">
        <w:rPr>
          <w:szCs w:val="18"/>
        </w:rPr>
        <w:t xml:space="preserve"> – uit van een maximale reisafstand per leerling van 10 km in vogelvlucht.</w:t>
      </w:r>
      <w:r>
        <w:rPr>
          <w:rStyle w:val="Voetnootmarkering"/>
          <w:szCs w:val="18"/>
        </w:rPr>
        <w:footnoteReference w:id="10"/>
      </w:r>
      <w:r w:rsidRPr="00A45539">
        <w:rPr>
          <w:szCs w:val="18"/>
        </w:rPr>
        <w:t xml:space="preserve"> Zowel techniekprofielen als ook niet-techniekprofielen zijn in de bl en kl meestal binnen 10 km van het thuisadres bereikbaar. Daarentegen liggen de techniekprofielen in de gl nog vaker op een afstand groter dan 10 km</w:t>
      </w:r>
      <w:r>
        <w:rPr>
          <w:szCs w:val="18"/>
        </w:rPr>
        <w:t>.</w:t>
      </w:r>
    </w:p>
    <w:p w:rsidRPr="00A45539" w:rsidR="00B52D66" w:rsidP="00B52D66" w:rsidRDefault="00B52D66" w14:paraId="799679D5" w14:textId="77777777">
      <w:pPr>
        <w:jc w:val="both"/>
        <w:rPr>
          <w:i/>
          <w:szCs w:val="18"/>
        </w:rPr>
      </w:pPr>
    </w:p>
    <w:p w:rsidRPr="00A45539" w:rsidR="00B52D66" w:rsidP="00B52D66" w:rsidRDefault="00B52D66" w14:paraId="1CCCD69E" w14:textId="77777777">
      <w:pPr>
        <w:pStyle w:val="Kop4"/>
        <w:spacing w:before="0"/>
        <w:jc w:val="both"/>
        <w:rPr>
          <w:rFonts w:ascii="Trebuchet MS" w:hAnsi="Trebuchet MS"/>
          <w:szCs w:val="18"/>
        </w:rPr>
      </w:pPr>
      <w:r w:rsidRPr="00A45539">
        <w:rPr>
          <w:rFonts w:ascii="Trebuchet MS" w:hAnsi="Trebuchet MS"/>
          <w:szCs w:val="18"/>
        </w:rPr>
        <w:t>Bereikbaarheid per profiel</w:t>
      </w:r>
    </w:p>
    <w:p w:rsidRPr="00A45539" w:rsidR="00B52D66" w:rsidP="00B52D66" w:rsidRDefault="00B52D66" w14:paraId="79523726" w14:textId="417CC29C">
      <w:pPr>
        <w:jc w:val="both"/>
        <w:rPr>
          <w:szCs w:val="18"/>
        </w:rPr>
      </w:pPr>
      <w:r w:rsidRPr="00A45539">
        <w:rPr>
          <w:szCs w:val="18"/>
        </w:rPr>
        <w:t xml:space="preserve">In Tabel </w:t>
      </w:r>
      <w:r w:rsidR="00C36ED1">
        <w:rPr>
          <w:szCs w:val="18"/>
        </w:rPr>
        <w:t>B3</w:t>
      </w:r>
      <w:r>
        <w:rPr>
          <w:szCs w:val="18"/>
        </w:rPr>
        <w:t>.6</w:t>
      </w:r>
      <w:r w:rsidRPr="00A45539">
        <w:rPr>
          <w:szCs w:val="18"/>
        </w:rPr>
        <w:t xml:space="preserve"> zien we per profiel het aandeel derdejaarsleerlingen dat de opleiding binnen 10 km van huis volgt. De twee grootste profielen, PIE en BWI, zijn het meest toegankelijk voor de bl en kl. Ongeveer 90 procent van de leerlingen volgt dit binnen een straal van 10 km. Voor het grote merendeel van M&amp;T-leerlingen (</w:t>
      </w:r>
      <w:r>
        <w:rPr>
          <w:szCs w:val="18"/>
        </w:rPr>
        <w:t>65 tot 70</w:t>
      </w:r>
      <w:r w:rsidRPr="00A45539">
        <w:rPr>
          <w:szCs w:val="18"/>
        </w:rPr>
        <w:t xml:space="preserve"> procent) geldt deze straal ook en voor MVI-leerlingen geldt dit voor ongeveer de helft van de leerlingen. Omdat MaT maar in vijf regio’s wordt aangeboden, is er maar een heel klein aandeel leerlingen dat dit profiel kan volgen binnen een straal van 10 km. Gl-leerlingen moeten over het algemeen verder reizen dan bl of kl leerlingen. De bereikbaarheid voor BWI</w:t>
      </w:r>
      <w:r>
        <w:rPr>
          <w:szCs w:val="18"/>
        </w:rPr>
        <w:t xml:space="preserve"> </w:t>
      </w:r>
      <w:r w:rsidRPr="00A45539">
        <w:rPr>
          <w:szCs w:val="18"/>
        </w:rPr>
        <w:t xml:space="preserve">en </w:t>
      </w:r>
      <w:r>
        <w:rPr>
          <w:szCs w:val="18"/>
        </w:rPr>
        <w:t>M&amp;T</w:t>
      </w:r>
      <w:r w:rsidRPr="00A45539">
        <w:rPr>
          <w:szCs w:val="18"/>
        </w:rPr>
        <w:t xml:space="preserve"> is in de gl ten opzichte van 202</w:t>
      </w:r>
      <w:r>
        <w:rPr>
          <w:szCs w:val="18"/>
        </w:rPr>
        <w:t>1</w:t>
      </w:r>
      <w:r w:rsidRPr="00A45539">
        <w:rPr>
          <w:szCs w:val="18"/>
        </w:rPr>
        <w:t>/202</w:t>
      </w:r>
      <w:r>
        <w:rPr>
          <w:szCs w:val="18"/>
        </w:rPr>
        <w:t>2</w:t>
      </w:r>
      <w:r w:rsidRPr="00A45539">
        <w:rPr>
          <w:szCs w:val="18"/>
        </w:rPr>
        <w:t xml:space="preserve"> licht </w:t>
      </w:r>
      <w:r>
        <w:rPr>
          <w:szCs w:val="18"/>
        </w:rPr>
        <w:t>afgenomen, terwijl het voor MVI juist lichtelijk is toegenomen</w:t>
      </w:r>
      <w:r w:rsidRPr="00A45539">
        <w:rPr>
          <w:szCs w:val="18"/>
        </w:rPr>
        <w:t>. Met uitzondering van MaT, volgt in 202</w:t>
      </w:r>
      <w:r>
        <w:rPr>
          <w:szCs w:val="18"/>
        </w:rPr>
        <w:t>3</w:t>
      </w:r>
      <w:r w:rsidRPr="00A45539">
        <w:rPr>
          <w:szCs w:val="18"/>
        </w:rPr>
        <w:t>/202</w:t>
      </w:r>
      <w:r>
        <w:rPr>
          <w:szCs w:val="18"/>
        </w:rPr>
        <w:t>4</w:t>
      </w:r>
      <w:r w:rsidRPr="00A45539">
        <w:rPr>
          <w:szCs w:val="18"/>
        </w:rPr>
        <w:t xml:space="preserve"> </w:t>
      </w:r>
      <w:r>
        <w:rPr>
          <w:szCs w:val="18"/>
        </w:rPr>
        <w:t>24</w:t>
      </w:r>
      <w:r w:rsidRPr="00A45539">
        <w:rPr>
          <w:szCs w:val="18"/>
        </w:rPr>
        <w:t xml:space="preserve"> tot 58 procent van de </w:t>
      </w:r>
      <w:r>
        <w:rPr>
          <w:szCs w:val="18"/>
        </w:rPr>
        <w:t>gl-</w:t>
      </w:r>
      <w:r w:rsidRPr="00A45539">
        <w:rPr>
          <w:szCs w:val="18"/>
        </w:rPr>
        <w:t xml:space="preserve">leerlingen een </w:t>
      </w:r>
      <w:r>
        <w:rPr>
          <w:szCs w:val="18"/>
        </w:rPr>
        <w:t xml:space="preserve">technisch </w:t>
      </w:r>
      <w:r w:rsidRPr="00A45539">
        <w:rPr>
          <w:szCs w:val="18"/>
        </w:rPr>
        <w:t>profiel binnen een straal van 10 km.</w:t>
      </w:r>
    </w:p>
    <w:p w:rsidRPr="00A45539" w:rsidR="00B52D66" w:rsidP="00B52D66" w:rsidRDefault="00B52D66" w14:paraId="621A9F25" w14:textId="77777777">
      <w:pPr>
        <w:jc w:val="both"/>
        <w:rPr>
          <w:szCs w:val="18"/>
        </w:rPr>
      </w:pPr>
    </w:p>
    <w:p w:rsidRPr="00A45539" w:rsidR="00B52D66" w:rsidP="00B52D66" w:rsidRDefault="00B52D66" w14:paraId="32582F7A" w14:textId="77777777">
      <w:pPr>
        <w:jc w:val="both"/>
        <w:rPr>
          <w:szCs w:val="18"/>
        </w:rPr>
      </w:pPr>
      <w:r w:rsidRPr="00A45539">
        <w:rPr>
          <w:szCs w:val="18"/>
        </w:rPr>
        <w:t xml:space="preserve">Wanneer we een vergelijking maken met niet-technische profielen zien we dat deze voor meer dan 70 procent van de leerlingen in de bl en kl binnen 10 kilometer van hun thuisadres liggen. De nabijheid van Z&amp;W is het hoogst met 97 procent. Ook voor de gl zijn </w:t>
      </w:r>
      <w:r>
        <w:rPr>
          <w:szCs w:val="18"/>
        </w:rPr>
        <w:t xml:space="preserve">4 van de 5 </w:t>
      </w:r>
      <w:r w:rsidRPr="00A45539">
        <w:rPr>
          <w:szCs w:val="18"/>
        </w:rPr>
        <w:t>niet-techni</w:t>
      </w:r>
      <w:r>
        <w:rPr>
          <w:szCs w:val="18"/>
        </w:rPr>
        <w:t xml:space="preserve">sche </w:t>
      </w:r>
      <w:r w:rsidRPr="00A45539">
        <w:rPr>
          <w:szCs w:val="18"/>
        </w:rPr>
        <w:t xml:space="preserve">profielen voor meer dan de helft van de leerlingen binnen </w:t>
      </w:r>
      <w:r w:rsidRPr="00A45539">
        <w:rPr>
          <w:szCs w:val="18"/>
        </w:rPr>
        <w:lastRenderedPageBreak/>
        <w:t>10 kilometer beschikbaar. Het relatief minst bereikbare niet-technische profiel, HBR, is nog altijd voor bijna een derde van de leerlingen binnen 10 km te volgen.</w:t>
      </w:r>
    </w:p>
    <w:p w:rsidR="00B52D66" w:rsidP="00B52D66" w:rsidRDefault="00B52D66" w14:paraId="7C221769" w14:textId="77777777">
      <w:pPr>
        <w:jc w:val="both"/>
        <w:rPr>
          <w:szCs w:val="18"/>
        </w:rPr>
      </w:pPr>
    </w:p>
    <w:p w:rsidRPr="0065314C" w:rsidR="00B52D66" w:rsidP="00B52D66" w:rsidRDefault="00B52D66" w14:paraId="42E90AE9" w14:textId="6A42A5E6">
      <w:pPr>
        <w:pStyle w:val="Bijschrift"/>
        <w:jc w:val="both"/>
      </w:pPr>
      <w:r w:rsidRPr="0065314C">
        <w:t xml:space="preserve">TABEL </w:t>
      </w:r>
      <w:r w:rsidR="00C36ED1">
        <w:t>B3</w:t>
      </w:r>
      <w:r>
        <w:t>.6</w:t>
      </w:r>
      <w:r>
        <w:tab/>
      </w:r>
      <w:r w:rsidRPr="0065314C">
        <w:t xml:space="preserve"> Aandeel derdejaarsleerlingen binnen 10 km van thuisadres, per leerweg en profiel, schooljaar 202</w:t>
      </w:r>
      <w:r>
        <w:t>3</w:t>
      </w:r>
      <w:r w:rsidRPr="0065314C">
        <w:t>/202</w:t>
      </w:r>
      <w:r>
        <w:t>4</w:t>
      </w:r>
    </w:p>
    <w:tbl>
      <w:tblPr>
        <w:tblStyle w:val="Tabelrasterlicht"/>
        <w:tblW w:w="7285" w:type="dxa"/>
        <w:tblLook w:val="04A0" w:firstRow="1" w:lastRow="0" w:firstColumn="1" w:lastColumn="0" w:noHBand="0" w:noVBand="1"/>
      </w:tblPr>
      <w:tblGrid>
        <w:gridCol w:w="2451"/>
        <w:gridCol w:w="1612"/>
        <w:gridCol w:w="1611"/>
        <w:gridCol w:w="1611"/>
      </w:tblGrid>
      <w:tr w:rsidRPr="006C7195" w:rsidR="00B52D66" w:rsidTr="00FC2172" w14:paraId="09D49F7D" w14:textId="77777777">
        <w:trPr>
          <w:trHeight w:val="227"/>
        </w:trPr>
        <w:tc>
          <w:tcPr>
            <w:tcW w:w="2451" w:type="dxa"/>
            <w:noWrap/>
            <w:hideMark/>
          </w:tcPr>
          <w:p w:rsidRPr="00C96DF9" w:rsidR="00B52D66" w:rsidP="00FC2172" w:rsidRDefault="00B52D66" w14:paraId="0154588D" w14:textId="77777777">
            <w:pPr>
              <w:spacing w:line="240" w:lineRule="auto"/>
              <w:rPr>
                <w:rFonts w:cs="Calibri"/>
                <w:b/>
                <w:bCs/>
                <w:sz w:val="16"/>
                <w:szCs w:val="16"/>
                <w:lang w:eastAsia="en-GB"/>
              </w:rPr>
            </w:pPr>
            <w:r w:rsidRPr="00C96DF9">
              <w:rPr>
                <w:rFonts w:cs="Calibri"/>
                <w:b/>
                <w:bCs/>
                <w:sz w:val="16"/>
                <w:szCs w:val="16"/>
                <w:lang w:eastAsia="en-GB"/>
              </w:rPr>
              <w:t> </w:t>
            </w:r>
          </w:p>
        </w:tc>
        <w:tc>
          <w:tcPr>
            <w:tcW w:w="1612" w:type="dxa"/>
            <w:noWrap/>
            <w:hideMark/>
          </w:tcPr>
          <w:p w:rsidRPr="006C7195" w:rsidR="00B52D66" w:rsidP="00FC2172" w:rsidRDefault="00B52D66" w14:paraId="1BD5CCC7" w14:textId="77777777">
            <w:pPr>
              <w:spacing w:line="240" w:lineRule="auto"/>
              <w:jc w:val="center"/>
              <w:rPr>
                <w:rFonts w:cs="Calibri"/>
                <w:b/>
                <w:bCs/>
                <w:sz w:val="16"/>
                <w:szCs w:val="16"/>
                <w:lang w:val="en-GB" w:eastAsia="en-GB"/>
              </w:rPr>
            </w:pPr>
            <w:r w:rsidRPr="006C7195">
              <w:rPr>
                <w:rFonts w:cs="Calibri"/>
                <w:b/>
                <w:bCs/>
                <w:sz w:val="16"/>
                <w:szCs w:val="16"/>
                <w:lang w:val="en-GB" w:eastAsia="en-GB"/>
              </w:rPr>
              <w:t>bl</w:t>
            </w:r>
          </w:p>
        </w:tc>
        <w:tc>
          <w:tcPr>
            <w:tcW w:w="1611" w:type="dxa"/>
            <w:noWrap/>
            <w:hideMark/>
          </w:tcPr>
          <w:p w:rsidRPr="006C7195" w:rsidR="00B52D66" w:rsidP="00FC2172" w:rsidRDefault="00B52D66" w14:paraId="741DA091" w14:textId="77777777">
            <w:pPr>
              <w:spacing w:line="240" w:lineRule="auto"/>
              <w:jc w:val="center"/>
              <w:rPr>
                <w:rFonts w:cs="Calibri"/>
                <w:b/>
                <w:bCs/>
                <w:sz w:val="16"/>
                <w:szCs w:val="16"/>
                <w:lang w:val="en-GB" w:eastAsia="en-GB"/>
              </w:rPr>
            </w:pPr>
            <w:r w:rsidRPr="006C7195">
              <w:rPr>
                <w:rFonts w:cs="Calibri"/>
                <w:b/>
                <w:bCs/>
                <w:sz w:val="16"/>
                <w:szCs w:val="16"/>
                <w:lang w:val="en-GB" w:eastAsia="en-GB"/>
              </w:rPr>
              <w:t>kl</w:t>
            </w:r>
          </w:p>
        </w:tc>
        <w:tc>
          <w:tcPr>
            <w:tcW w:w="1611" w:type="dxa"/>
            <w:noWrap/>
            <w:hideMark/>
          </w:tcPr>
          <w:p w:rsidRPr="006C7195" w:rsidR="00B52D66" w:rsidP="00FC2172" w:rsidRDefault="00B52D66" w14:paraId="2FA5E1CF" w14:textId="77777777">
            <w:pPr>
              <w:spacing w:line="240" w:lineRule="auto"/>
              <w:jc w:val="center"/>
              <w:rPr>
                <w:rFonts w:cs="Calibri"/>
                <w:b/>
                <w:bCs/>
                <w:sz w:val="16"/>
                <w:szCs w:val="16"/>
                <w:lang w:val="en-GB" w:eastAsia="en-GB"/>
              </w:rPr>
            </w:pPr>
            <w:r w:rsidRPr="006C7195">
              <w:rPr>
                <w:rFonts w:cs="Calibri"/>
                <w:b/>
                <w:bCs/>
                <w:sz w:val="16"/>
                <w:szCs w:val="16"/>
                <w:lang w:val="en-GB" w:eastAsia="en-GB"/>
              </w:rPr>
              <w:t>gl</w:t>
            </w:r>
          </w:p>
        </w:tc>
      </w:tr>
      <w:tr w:rsidRPr="006C7195" w:rsidR="00B52D66" w:rsidTr="00FC2172" w14:paraId="34F987B3" w14:textId="77777777">
        <w:trPr>
          <w:trHeight w:val="227"/>
        </w:trPr>
        <w:tc>
          <w:tcPr>
            <w:tcW w:w="2451" w:type="dxa"/>
            <w:noWrap/>
            <w:hideMark/>
          </w:tcPr>
          <w:p w:rsidRPr="006C7195" w:rsidR="00B52D66" w:rsidP="00FC2172" w:rsidRDefault="00B52D66" w14:paraId="3CF7375B" w14:textId="77777777">
            <w:pPr>
              <w:spacing w:line="240" w:lineRule="auto"/>
              <w:rPr>
                <w:rFonts w:cs="Calibri"/>
                <w:b/>
                <w:bCs/>
                <w:sz w:val="16"/>
                <w:szCs w:val="16"/>
                <w:lang w:val="en-GB" w:eastAsia="en-GB"/>
              </w:rPr>
            </w:pPr>
            <w:r w:rsidRPr="006C7195">
              <w:rPr>
                <w:rFonts w:cs="Calibri"/>
                <w:b/>
                <w:bCs/>
                <w:sz w:val="16"/>
                <w:szCs w:val="16"/>
                <w:lang w:val="en-GB" w:eastAsia="en-GB"/>
              </w:rPr>
              <w:t>Techniek</w:t>
            </w:r>
          </w:p>
        </w:tc>
        <w:tc>
          <w:tcPr>
            <w:tcW w:w="1612" w:type="dxa"/>
            <w:noWrap/>
            <w:hideMark/>
          </w:tcPr>
          <w:p w:rsidRPr="006C7195" w:rsidR="00B52D66" w:rsidP="00FC2172" w:rsidRDefault="00B52D66" w14:paraId="731379B1" w14:textId="77777777">
            <w:pPr>
              <w:spacing w:line="240" w:lineRule="auto"/>
              <w:rPr>
                <w:rFonts w:cs="Calibri"/>
                <w:b/>
                <w:bCs/>
                <w:sz w:val="16"/>
                <w:szCs w:val="16"/>
                <w:lang w:val="en-GB" w:eastAsia="en-GB"/>
              </w:rPr>
            </w:pPr>
          </w:p>
        </w:tc>
        <w:tc>
          <w:tcPr>
            <w:tcW w:w="1611" w:type="dxa"/>
            <w:noWrap/>
            <w:hideMark/>
          </w:tcPr>
          <w:p w:rsidRPr="006C7195" w:rsidR="00B52D66" w:rsidP="00FC2172" w:rsidRDefault="00B52D66" w14:paraId="4D30811F" w14:textId="77777777">
            <w:pPr>
              <w:spacing w:line="240" w:lineRule="auto"/>
              <w:rPr>
                <w:sz w:val="16"/>
                <w:szCs w:val="16"/>
                <w:lang w:val="en-GB" w:eastAsia="en-GB"/>
              </w:rPr>
            </w:pPr>
          </w:p>
        </w:tc>
        <w:tc>
          <w:tcPr>
            <w:tcW w:w="1611" w:type="dxa"/>
            <w:noWrap/>
            <w:hideMark/>
          </w:tcPr>
          <w:p w:rsidRPr="006C7195" w:rsidR="00B52D66" w:rsidP="00FC2172" w:rsidRDefault="00B52D66" w14:paraId="58D66BFC" w14:textId="77777777">
            <w:pPr>
              <w:spacing w:line="240" w:lineRule="auto"/>
              <w:rPr>
                <w:sz w:val="16"/>
                <w:szCs w:val="16"/>
                <w:lang w:val="en-GB" w:eastAsia="en-GB"/>
              </w:rPr>
            </w:pPr>
          </w:p>
        </w:tc>
      </w:tr>
      <w:tr w:rsidRPr="006C7195" w:rsidR="00B52D66" w:rsidTr="00FC2172" w14:paraId="02484789" w14:textId="77777777">
        <w:trPr>
          <w:trHeight w:val="227"/>
        </w:trPr>
        <w:tc>
          <w:tcPr>
            <w:tcW w:w="2451" w:type="dxa"/>
            <w:noWrap/>
            <w:hideMark/>
          </w:tcPr>
          <w:p w:rsidRPr="006C7195" w:rsidR="00B52D66" w:rsidP="00FC2172" w:rsidRDefault="00B52D66" w14:paraId="63D7C01B" w14:textId="77777777">
            <w:pPr>
              <w:spacing w:line="240" w:lineRule="auto"/>
              <w:rPr>
                <w:rFonts w:cs="Calibri"/>
                <w:sz w:val="16"/>
                <w:szCs w:val="16"/>
                <w:lang w:val="en-GB" w:eastAsia="en-GB"/>
              </w:rPr>
            </w:pPr>
            <w:r w:rsidRPr="006C7195">
              <w:rPr>
                <w:rFonts w:cs="Calibri"/>
                <w:sz w:val="16"/>
                <w:szCs w:val="16"/>
                <w:lang w:val="en-GB" w:eastAsia="en-GB"/>
              </w:rPr>
              <w:t>BWI</w:t>
            </w:r>
          </w:p>
        </w:tc>
        <w:tc>
          <w:tcPr>
            <w:tcW w:w="1612" w:type="dxa"/>
            <w:noWrap/>
            <w:hideMark/>
          </w:tcPr>
          <w:p w:rsidRPr="006C7195" w:rsidR="00B52D66" w:rsidP="00FC2172" w:rsidRDefault="00B52D66" w14:paraId="66F1C318" w14:textId="77777777">
            <w:pPr>
              <w:spacing w:line="240" w:lineRule="auto"/>
              <w:jc w:val="center"/>
              <w:rPr>
                <w:rFonts w:cs="Calibri"/>
                <w:sz w:val="16"/>
                <w:szCs w:val="16"/>
                <w:lang w:val="en-GB" w:eastAsia="en-GB"/>
              </w:rPr>
            </w:pPr>
            <w:r w:rsidRPr="006C7195">
              <w:rPr>
                <w:rFonts w:cs="Calibri"/>
                <w:sz w:val="16"/>
                <w:szCs w:val="16"/>
                <w:lang w:val="en-GB" w:eastAsia="en-GB"/>
              </w:rPr>
              <w:t>87,0</w:t>
            </w:r>
          </w:p>
        </w:tc>
        <w:tc>
          <w:tcPr>
            <w:tcW w:w="1611" w:type="dxa"/>
            <w:noWrap/>
            <w:hideMark/>
          </w:tcPr>
          <w:p w:rsidRPr="006C7195" w:rsidR="00B52D66" w:rsidP="00FC2172" w:rsidRDefault="00B52D66" w14:paraId="63D65026" w14:textId="77777777">
            <w:pPr>
              <w:spacing w:line="240" w:lineRule="auto"/>
              <w:jc w:val="center"/>
              <w:rPr>
                <w:rFonts w:cs="Calibri"/>
                <w:sz w:val="16"/>
                <w:szCs w:val="16"/>
                <w:lang w:val="en-GB" w:eastAsia="en-GB"/>
              </w:rPr>
            </w:pPr>
            <w:r w:rsidRPr="006C7195">
              <w:rPr>
                <w:rFonts w:cs="Calibri"/>
                <w:sz w:val="16"/>
                <w:szCs w:val="16"/>
                <w:lang w:val="en-GB" w:eastAsia="en-GB"/>
              </w:rPr>
              <w:t>87,2</w:t>
            </w:r>
          </w:p>
        </w:tc>
        <w:tc>
          <w:tcPr>
            <w:tcW w:w="1611" w:type="dxa"/>
            <w:noWrap/>
            <w:hideMark/>
          </w:tcPr>
          <w:p w:rsidRPr="006C7195" w:rsidR="00B52D66" w:rsidP="00FC2172" w:rsidRDefault="00B52D66" w14:paraId="2FCDB93E" w14:textId="77777777">
            <w:pPr>
              <w:spacing w:line="240" w:lineRule="auto"/>
              <w:jc w:val="center"/>
              <w:rPr>
                <w:rFonts w:cs="Calibri"/>
                <w:sz w:val="16"/>
                <w:szCs w:val="16"/>
                <w:lang w:val="en-GB" w:eastAsia="en-GB"/>
              </w:rPr>
            </w:pPr>
            <w:r w:rsidRPr="006C7195">
              <w:rPr>
                <w:rFonts w:cs="Calibri"/>
                <w:sz w:val="16"/>
                <w:szCs w:val="16"/>
                <w:lang w:val="en-GB" w:eastAsia="en-GB"/>
              </w:rPr>
              <w:t>48,1</w:t>
            </w:r>
          </w:p>
        </w:tc>
      </w:tr>
      <w:tr w:rsidRPr="006C7195" w:rsidR="00B52D66" w:rsidTr="00FC2172" w14:paraId="658BDBCE" w14:textId="77777777">
        <w:trPr>
          <w:trHeight w:val="227"/>
        </w:trPr>
        <w:tc>
          <w:tcPr>
            <w:tcW w:w="2451" w:type="dxa"/>
            <w:noWrap/>
            <w:hideMark/>
          </w:tcPr>
          <w:p w:rsidRPr="006C7195" w:rsidR="00B52D66" w:rsidP="00FC2172" w:rsidRDefault="00B52D66" w14:paraId="29ECF53D" w14:textId="77777777">
            <w:pPr>
              <w:spacing w:line="240" w:lineRule="auto"/>
              <w:rPr>
                <w:rFonts w:cs="Calibri"/>
                <w:sz w:val="16"/>
                <w:szCs w:val="16"/>
                <w:lang w:val="en-GB" w:eastAsia="en-GB"/>
              </w:rPr>
            </w:pPr>
            <w:r w:rsidRPr="006C7195">
              <w:rPr>
                <w:rFonts w:cs="Calibri"/>
                <w:sz w:val="16"/>
                <w:szCs w:val="16"/>
                <w:lang w:val="en-GB" w:eastAsia="en-GB"/>
              </w:rPr>
              <w:t>MaT</w:t>
            </w:r>
          </w:p>
        </w:tc>
        <w:tc>
          <w:tcPr>
            <w:tcW w:w="1612" w:type="dxa"/>
            <w:noWrap/>
            <w:hideMark/>
          </w:tcPr>
          <w:p w:rsidRPr="006C7195" w:rsidR="00B52D66" w:rsidP="00FC2172" w:rsidRDefault="00B52D66" w14:paraId="0288EDEC" w14:textId="77777777">
            <w:pPr>
              <w:spacing w:line="240" w:lineRule="auto"/>
              <w:jc w:val="center"/>
              <w:rPr>
                <w:rFonts w:cs="Calibri"/>
                <w:sz w:val="16"/>
                <w:szCs w:val="16"/>
                <w:lang w:val="en-GB" w:eastAsia="en-GB"/>
              </w:rPr>
            </w:pPr>
            <w:r w:rsidRPr="006C7195">
              <w:rPr>
                <w:rFonts w:cs="Calibri"/>
                <w:sz w:val="16"/>
                <w:szCs w:val="16"/>
                <w:lang w:val="en-GB" w:eastAsia="en-GB"/>
              </w:rPr>
              <w:t>8,8</w:t>
            </w:r>
          </w:p>
        </w:tc>
        <w:tc>
          <w:tcPr>
            <w:tcW w:w="1611" w:type="dxa"/>
            <w:noWrap/>
            <w:hideMark/>
          </w:tcPr>
          <w:p w:rsidRPr="006C7195" w:rsidR="00B52D66" w:rsidP="00FC2172" w:rsidRDefault="00B52D66" w14:paraId="5A1C2929" w14:textId="77777777">
            <w:pPr>
              <w:spacing w:line="240" w:lineRule="auto"/>
              <w:jc w:val="center"/>
              <w:rPr>
                <w:rFonts w:cs="Calibri"/>
                <w:sz w:val="16"/>
                <w:szCs w:val="16"/>
                <w:lang w:val="en-GB" w:eastAsia="en-GB"/>
              </w:rPr>
            </w:pPr>
            <w:r w:rsidRPr="006C7195">
              <w:rPr>
                <w:rFonts w:cs="Calibri"/>
                <w:sz w:val="16"/>
                <w:szCs w:val="16"/>
                <w:lang w:val="en-GB" w:eastAsia="en-GB"/>
              </w:rPr>
              <w:t>8,8</w:t>
            </w:r>
          </w:p>
        </w:tc>
        <w:tc>
          <w:tcPr>
            <w:tcW w:w="1611" w:type="dxa"/>
            <w:noWrap/>
            <w:hideMark/>
          </w:tcPr>
          <w:p w:rsidRPr="006C7195" w:rsidR="00B52D66" w:rsidP="00FC2172" w:rsidRDefault="00B52D66" w14:paraId="0563ED1B" w14:textId="77777777">
            <w:pPr>
              <w:spacing w:line="240" w:lineRule="auto"/>
              <w:jc w:val="center"/>
              <w:rPr>
                <w:rFonts w:cs="Calibri"/>
                <w:sz w:val="16"/>
                <w:szCs w:val="16"/>
                <w:lang w:val="en-GB" w:eastAsia="en-GB"/>
              </w:rPr>
            </w:pPr>
            <w:r w:rsidRPr="006C7195">
              <w:rPr>
                <w:rFonts w:cs="Calibri"/>
                <w:sz w:val="16"/>
                <w:szCs w:val="16"/>
                <w:lang w:val="en-GB" w:eastAsia="en-GB"/>
              </w:rPr>
              <w:t>8,4</w:t>
            </w:r>
          </w:p>
        </w:tc>
      </w:tr>
      <w:tr w:rsidRPr="006C7195" w:rsidR="00B52D66" w:rsidTr="00FC2172" w14:paraId="680D1530" w14:textId="77777777">
        <w:trPr>
          <w:trHeight w:val="227"/>
        </w:trPr>
        <w:tc>
          <w:tcPr>
            <w:tcW w:w="2451" w:type="dxa"/>
            <w:noWrap/>
            <w:hideMark/>
          </w:tcPr>
          <w:p w:rsidRPr="006C7195" w:rsidR="00B52D66" w:rsidP="00FC2172" w:rsidRDefault="00B52D66" w14:paraId="417C541D" w14:textId="77777777">
            <w:pPr>
              <w:spacing w:line="240" w:lineRule="auto"/>
              <w:rPr>
                <w:rFonts w:cs="Calibri"/>
                <w:sz w:val="16"/>
                <w:szCs w:val="16"/>
                <w:lang w:val="en-GB" w:eastAsia="en-GB"/>
              </w:rPr>
            </w:pPr>
            <w:r w:rsidRPr="006C7195">
              <w:rPr>
                <w:rFonts w:cs="Calibri"/>
                <w:sz w:val="16"/>
                <w:szCs w:val="16"/>
                <w:lang w:val="en-GB" w:eastAsia="en-GB"/>
              </w:rPr>
              <w:t>MVI</w:t>
            </w:r>
          </w:p>
        </w:tc>
        <w:tc>
          <w:tcPr>
            <w:tcW w:w="1612" w:type="dxa"/>
            <w:noWrap/>
            <w:hideMark/>
          </w:tcPr>
          <w:p w:rsidRPr="006C7195" w:rsidR="00B52D66" w:rsidP="00FC2172" w:rsidRDefault="00B52D66" w14:paraId="59B3B40D" w14:textId="77777777">
            <w:pPr>
              <w:spacing w:line="240" w:lineRule="auto"/>
              <w:jc w:val="center"/>
              <w:rPr>
                <w:rFonts w:cs="Calibri"/>
                <w:sz w:val="16"/>
                <w:szCs w:val="16"/>
                <w:lang w:val="en-GB" w:eastAsia="en-GB"/>
              </w:rPr>
            </w:pPr>
            <w:r w:rsidRPr="006C7195">
              <w:rPr>
                <w:rFonts w:cs="Calibri"/>
                <w:sz w:val="16"/>
                <w:szCs w:val="16"/>
                <w:lang w:val="en-GB" w:eastAsia="en-GB"/>
              </w:rPr>
              <w:t>46,0</w:t>
            </w:r>
          </w:p>
        </w:tc>
        <w:tc>
          <w:tcPr>
            <w:tcW w:w="1611" w:type="dxa"/>
            <w:noWrap/>
            <w:hideMark/>
          </w:tcPr>
          <w:p w:rsidRPr="006C7195" w:rsidR="00B52D66" w:rsidP="00FC2172" w:rsidRDefault="00B52D66" w14:paraId="5E0F368E" w14:textId="77777777">
            <w:pPr>
              <w:spacing w:line="240" w:lineRule="auto"/>
              <w:jc w:val="center"/>
              <w:rPr>
                <w:rFonts w:cs="Calibri"/>
                <w:sz w:val="16"/>
                <w:szCs w:val="16"/>
                <w:lang w:val="en-GB" w:eastAsia="en-GB"/>
              </w:rPr>
            </w:pPr>
            <w:r w:rsidRPr="006C7195">
              <w:rPr>
                <w:rFonts w:cs="Calibri"/>
                <w:sz w:val="16"/>
                <w:szCs w:val="16"/>
                <w:lang w:val="en-GB" w:eastAsia="en-GB"/>
              </w:rPr>
              <w:t>51,2</w:t>
            </w:r>
          </w:p>
        </w:tc>
        <w:tc>
          <w:tcPr>
            <w:tcW w:w="1611" w:type="dxa"/>
            <w:noWrap/>
            <w:hideMark/>
          </w:tcPr>
          <w:p w:rsidRPr="006C7195" w:rsidR="00B52D66" w:rsidP="00FC2172" w:rsidRDefault="00B52D66" w14:paraId="08ACCBA4" w14:textId="77777777">
            <w:pPr>
              <w:spacing w:line="240" w:lineRule="auto"/>
              <w:jc w:val="center"/>
              <w:rPr>
                <w:rFonts w:cs="Calibri"/>
                <w:sz w:val="16"/>
                <w:szCs w:val="16"/>
                <w:lang w:val="en-GB" w:eastAsia="en-GB"/>
              </w:rPr>
            </w:pPr>
            <w:r w:rsidRPr="006C7195">
              <w:rPr>
                <w:rFonts w:cs="Calibri"/>
                <w:sz w:val="16"/>
                <w:szCs w:val="16"/>
                <w:lang w:val="en-GB" w:eastAsia="en-GB"/>
              </w:rPr>
              <w:t>34,5</w:t>
            </w:r>
          </w:p>
        </w:tc>
      </w:tr>
      <w:tr w:rsidRPr="006C7195" w:rsidR="00B52D66" w:rsidTr="00FC2172" w14:paraId="0E1762D0" w14:textId="77777777">
        <w:trPr>
          <w:trHeight w:val="227"/>
        </w:trPr>
        <w:tc>
          <w:tcPr>
            <w:tcW w:w="2451" w:type="dxa"/>
            <w:noWrap/>
            <w:hideMark/>
          </w:tcPr>
          <w:p w:rsidRPr="006C7195" w:rsidR="00B52D66" w:rsidP="00FC2172" w:rsidRDefault="00B52D66" w14:paraId="58F2BEA2" w14:textId="77777777">
            <w:pPr>
              <w:spacing w:line="240" w:lineRule="auto"/>
              <w:rPr>
                <w:rFonts w:cs="Calibri"/>
                <w:sz w:val="16"/>
                <w:szCs w:val="16"/>
                <w:lang w:val="en-GB" w:eastAsia="en-GB"/>
              </w:rPr>
            </w:pPr>
            <w:r w:rsidRPr="006C7195">
              <w:rPr>
                <w:rFonts w:cs="Calibri"/>
                <w:sz w:val="16"/>
                <w:szCs w:val="16"/>
                <w:lang w:val="en-GB" w:eastAsia="en-GB"/>
              </w:rPr>
              <w:t>M&amp;T</w:t>
            </w:r>
          </w:p>
        </w:tc>
        <w:tc>
          <w:tcPr>
            <w:tcW w:w="1612" w:type="dxa"/>
            <w:noWrap/>
            <w:hideMark/>
          </w:tcPr>
          <w:p w:rsidRPr="006C7195" w:rsidR="00B52D66" w:rsidP="00FC2172" w:rsidRDefault="00B52D66" w14:paraId="738831C7" w14:textId="77777777">
            <w:pPr>
              <w:spacing w:line="240" w:lineRule="auto"/>
              <w:jc w:val="center"/>
              <w:rPr>
                <w:rFonts w:cs="Calibri"/>
                <w:sz w:val="16"/>
                <w:szCs w:val="16"/>
                <w:lang w:val="en-GB" w:eastAsia="en-GB"/>
              </w:rPr>
            </w:pPr>
            <w:r w:rsidRPr="006C7195">
              <w:rPr>
                <w:rFonts w:cs="Calibri"/>
                <w:sz w:val="16"/>
                <w:szCs w:val="16"/>
                <w:lang w:val="en-GB" w:eastAsia="en-GB"/>
              </w:rPr>
              <w:t>65,6</w:t>
            </w:r>
          </w:p>
        </w:tc>
        <w:tc>
          <w:tcPr>
            <w:tcW w:w="1611" w:type="dxa"/>
            <w:noWrap/>
            <w:hideMark/>
          </w:tcPr>
          <w:p w:rsidRPr="006C7195" w:rsidR="00B52D66" w:rsidP="00FC2172" w:rsidRDefault="00B52D66" w14:paraId="4AEA92D5" w14:textId="77777777">
            <w:pPr>
              <w:spacing w:line="240" w:lineRule="auto"/>
              <w:jc w:val="center"/>
              <w:rPr>
                <w:rFonts w:cs="Calibri"/>
                <w:sz w:val="16"/>
                <w:szCs w:val="16"/>
                <w:lang w:val="en-GB" w:eastAsia="en-GB"/>
              </w:rPr>
            </w:pPr>
            <w:r w:rsidRPr="006C7195">
              <w:rPr>
                <w:rFonts w:cs="Calibri"/>
                <w:sz w:val="16"/>
                <w:szCs w:val="16"/>
                <w:lang w:val="en-GB" w:eastAsia="en-GB"/>
              </w:rPr>
              <w:t>68,1</w:t>
            </w:r>
          </w:p>
        </w:tc>
        <w:tc>
          <w:tcPr>
            <w:tcW w:w="1611" w:type="dxa"/>
            <w:noWrap/>
            <w:hideMark/>
          </w:tcPr>
          <w:p w:rsidRPr="006C7195" w:rsidR="00B52D66" w:rsidP="00FC2172" w:rsidRDefault="00B52D66" w14:paraId="240FD2D1" w14:textId="77777777">
            <w:pPr>
              <w:spacing w:line="240" w:lineRule="auto"/>
              <w:jc w:val="center"/>
              <w:rPr>
                <w:rFonts w:cs="Calibri"/>
                <w:sz w:val="16"/>
                <w:szCs w:val="16"/>
                <w:lang w:val="en-GB" w:eastAsia="en-GB"/>
              </w:rPr>
            </w:pPr>
            <w:r w:rsidRPr="006C7195">
              <w:rPr>
                <w:rFonts w:cs="Calibri"/>
                <w:sz w:val="16"/>
                <w:szCs w:val="16"/>
                <w:lang w:val="en-GB" w:eastAsia="en-GB"/>
              </w:rPr>
              <w:t>24,3</w:t>
            </w:r>
          </w:p>
        </w:tc>
      </w:tr>
      <w:tr w:rsidRPr="006C7195" w:rsidR="00B52D66" w:rsidTr="00FC2172" w14:paraId="65BAAC12" w14:textId="77777777">
        <w:trPr>
          <w:trHeight w:val="227"/>
        </w:trPr>
        <w:tc>
          <w:tcPr>
            <w:tcW w:w="2451" w:type="dxa"/>
            <w:noWrap/>
            <w:hideMark/>
          </w:tcPr>
          <w:p w:rsidRPr="006C7195" w:rsidR="00B52D66" w:rsidP="00FC2172" w:rsidRDefault="00B52D66" w14:paraId="32367298" w14:textId="77777777">
            <w:pPr>
              <w:spacing w:line="240" w:lineRule="auto"/>
              <w:rPr>
                <w:rFonts w:cs="Calibri"/>
                <w:sz w:val="16"/>
                <w:szCs w:val="16"/>
                <w:lang w:val="en-GB" w:eastAsia="en-GB"/>
              </w:rPr>
            </w:pPr>
            <w:r w:rsidRPr="006C7195">
              <w:rPr>
                <w:rFonts w:cs="Calibri"/>
                <w:sz w:val="16"/>
                <w:szCs w:val="16"/>
                <w:lang w:val="en-GB" w:eastAsia="en-GB"/>
              </w:rPr>
              <w:t>PIE</w:t>
            </w:r>
          </w:p>
        </w:tc>
        <w:tc>
          <w:tcPr>
            <w:tcW w:w="1612" w:type="dxa"/>
            <w:noWrap/>
            <w:hideMark/>
          </w:tcPr>
          <w:p w:rsidRPr="006C7195" w:rsidR="00B52D66" w:rsidP="00FC2172" w:rsidRDefault="00B52D66" w14:paraId="6DD7116D" w14:textId="77777777">
            <w:pPr>
              <w:spacing w:line="240" w:lineRule="auto"/>
              <w:jc w:val="center"/>
              <w:rPr>
                <w:rFonts w:cs="Calibri"/>
                <w:sz w:val="16"/>
                <w:szCs w:val="16"/>
                <w:lang w:val="en-GB" w:eastAsia="en-GB"/>
              </w:rPr>
            </w:pPr>
            <w:r w:rsidRPr="006C7195">
              <w:rPr>
                <w:rFonts w:cs="Calibri"/>
                <w:sz w:val="16"/>
                <w:szCs w:val="16"/>
                <w:lang w:val="en-GB" w:eastAsia="en-GB"/>
              </w:rPr>
              <w:t>91,3</w:t>
            </w:r>
          </w:p>
        </w:tc>
        <w:tc>
          <w:tcPr>
            <w:tcW w:w="1611" w:type="dxa"/>
            <w:noWrap/>
            <w:hideMark/>
          </w:tcPr>
          <w:p w:rsidRPr="006C7195" w:rsidR="00B52D66" w:rsidP="00FC2172" w:rsidRDefault="00B52D66" w14:paraId="6EC46520" w14:textId="77777777">
            <w:pPr>
              <w:spacing w:line="240" w:lineRule="auto"/>
              <w:jc w:val="center"/>
              <w:rPr>
                <w:rFonts w:cs="Calibri"/>
                <w:sz w:val="16"/>
                <w:szCs w:val="16"/>
                <w:lang w:val="en-GB" w:eastAsia="en-GB"/>
              </w:rPr>
            </w:pPr>
            <w:r w:rsidRPr="006C7195">
              <w:rPr>
                <w:rFonts w:cs="Calibri"/>
                <w:sz w:val="16"/>
                <w:szCs w:val="16"/>
                <w:lang w:val="en-GB" w:eastAsia="en-GB"/>
              </w:rPr>
              <w:t>91,7</w:t>
            </w:r>
          </w:p>
        </w:tc>
        <w:tc>
          <w:tcPr>
            <w:tcW w:w="1611" w:type="dxa"/>
            <w:noWrap/>
            <w:hideMark/>
          </w:tcPr>
          <w:p w:rsidRPr="006C7195" w:rsidR="00B52D66" w:rsidP="00FC2172" w:rsidRDefault="00B52D66" w14:paraId="7F68776E" w14:textId="77777777">
            <w:pPr>
              <w:spacing w:line="240" w:lineRule="auto"/>
              <w:jc w:val="center"/>
              <w:rPr>
                <w:rFonts w:cs="Calibri"/>
                <w:sz w:val="16"/>
                <w:szCs w:val="16"/>
                <w:lang w:val="en-GB" w:eastAsia="en-GB"/>
              </w:rPr>
            </w:pPr>
            <w:r w:rsidRPr="006C7195">
              <w:rPr>
                <w:rFonts w:cs="Calibri"/>
                <w:sz w:val="16"/>
                <w:szCs w:val="16"/>
                <w:lang w:val="en-GB" w:eastAsia="en-GB"/>
              </w:rPr>
              <w:t>58,3</w:t>
            </w:r>
          </w:p>
        </w:tc>
      </w:tr>
      <w:tr w:rsidRPr="006C7195" w:rsidR="00B52D66" w:rsidTr="00FC2172" w14:paraId="66058B94" w14:textId="77777777">
        <w:trPr>
          <w:trHeight w:val="227"/>
        </w:trPr>
        <w:tc>
          <w:tcPr>
            <w:tcW w:w="4063" w:type="dxa"/>
            <w:gridSpan w:val="2"/>
            <w:noWrap/>
            <w:hideMark/>
          </w:tcPr>
          <w:p w:rsidRPr="006C7195" w:rsidR="00B52D66" w:rsidP="00FC2172" w:rsidRDefault="00B52D66" w14:paraId="45682B25" w14:textId="77777777">
            <w:pPr>
              <w:spacing w:line="240" w:lineRule="auto"/>
              <w:rPr>
                <w:rFonts w:cs="Calibri"/>
                <w:b/>
                <w:bCs/>
                <w:sz w:val="16"/>
                <w:szCs w:val="16"/>
                <w:lang w:val="en-GB" w:eastAsia="en-GB"/>
              </w:rPr>
            </w:pPr>
            <w:r w:rsidRPr="006C7195">
              <w:rPr>
                <w:rFonts w:cs="Calibri"/>
                <w:b/>
                <w:bCs/>
                <w:sz w:val="16"/>
                <w:szCs w:val="16"/>
                <w:lang w:val="en-GB" w:eastAsia="en-GB"/>
              </w:rPr>
              <w:t>Niet-techniek</w:t>
            </w:r>
          </w:p>
        </w:tc>
        <w:tc>
          <w:tcPr>
            <w:tcW w:w="1611" w:type="dxa"/>
            <w:noWrap/>
            <w:hideMark/>
          </w:tcPr>
          <w:p w:rsidRPr="006C7195" w:rsidR="00B52D66" w:rsidP="00FC2172" w:rsidRDefault="00B52D66" w14:paraId="484C06E7" w14:textId="77777777">
            <w:pPr>
              <w:spacing w:line="240" w:lineRule="auto"/>
              <w:jc w:val="center"/>
              <w:rPr>
                <w:rFonts w:cs="Calibri"/>
                <w:sz w:val="16"/>
                <w:szCs w:val="16"/>
                <w:lang w:val="en-GB" w:eastAsia="en-GB"/>
              </w:rPr>
            </w:pPr>
          </w:p>
        </w:tc>
        <w:tc>
          <w:tcPr>
            <w:tcW w:w="1611" w:type="dxa"/>
            <w:noWrap/>
            <w:hideMark/>
          </w:tcPr>
          <w:p w:rsidRPr="006C7195" w:rsidR="00B52D66" w:rsidP="00FC2172" w:rsidRDefault="00B52D66" w14:paraId="27B1AB4E" w14:textId="77777777">
            <w:pPr>
              <w:spacing w:line="240" w:lineRule="auto"/>
              <w:jc w:val="center"/>
              <w:rPr>
                <w:rFonts w:cs="Calibri"/>
                <w:sz w:val="16"/>
                <w:szCs w:val="16"/>
                <w:lang w:val="en-GB" w:eastAsia="en-GB"/>
              </w:rPr>
            </w:pPr>
          </w:p>
        </w:tc>
      </w:tr>
      <w:tr w:rsidRPr="006C7195" w:rsidR="00B52D66" w:rsidTr="00FC2172" w14:paraId="09303768" w14:textId="77777777">
        <w:trPr>
          <w:trHeight w:val="227"/>
        </w:trPr>
        <w:tc>
          <w:tcPr>
            <w:tcW w:w="2451" w:type="dxa"/>
            <w:noWrap/>
            <w:hideMark/>
          </w:tcPr>
          <w:p w:rsidRPr="006C7195" w:rsidR="00B52D66" w:rsidP="00FC2172" w:rsidRDefault="00B52D66" w14:paraId="7DC8881A" w14:textId="77777777">
            <w:pPr>
              <w:spacing w:line="240" w:lineRule="auto"/>
              <w:rPr>
                <w:rFonts w:cs="Calibri"/>
                <w:sz w:val="16"/>
                <w:szCs w:val="16"/>
                <w:lang w:val="en-GB" w:eastAsia="en-GB"/>
              </w:rPr>
            </w:pPr>
            <w:r w:rsidRPr="006C7195">
              <w:rPr>
                <w:rFonts w:cs="Calibri"/>
                <w:sz w:val="16"/>
                <w:szCs w:val="16"/>
                <w:lang w:val="en-GB" w:eastAsia="en-GB"/>
              </w:rPr>
              <w:t>D&amp;P</w:t>
            </w:r>
          </w:p>
        </w:tc>
        <w:tc>
          <w:tcPr>
            <w:tcW w:w="1612" w:type="dxa"/>
            <w:noWrap/>
            <w:hideMark/>
          </w:tcPr>
          <w:p w:rsidRPr="006C7195" w:rsidR="00B52D66" w:rsidP="00FC2172" w:rsidRDefault="00B52D66" w14:paraId="111A3766" w14:textId="77777777">
            <w:pPr>
              <w:spacing w:line="240" w:lineRule="auto"/>
              <w:jc w:val="center"/>
              <w:rPr>
                <w:rFonts w:cs="Calibri"/>
                <w:sz w:val="16"/>
                <w:szCs w:val="16"/>
                <w:lang w:val="en-GB" w:eastAsia="en-GB"/>
              </w:rPr>
            </w:pPr>
            <w:r w:rsidRPr="006C7195">
              <w:rPr>
                <w:rFonts w:cs="Calibri"/>
                <w:sz w:val="16"/>
                <w:szCs w:val="16"/>
                <w:lang w:val="en-GB" w:eastAsia="en-GB"/>
              </w:rPr>
              <w:t>87,2</w:t>
            </w:r>
          </w:p>
        </w:tc>
        <w:tc>
          <w:tcPr>
            <w:tcW w:w="1611" w:type="dxa"/>
            <w:noWrap/>
            <w:hideMark/>
          </w:tcPr>
          <w:p w:rsidRPr="006C7195" w:rsidR="00B52D66" w:rsidP="00FC2172" w:rsidRDefault="00B52D66" w14:paraId="35CBF18A" w14:textId="77777777">
            <w:pPr>
              <w:spacing w:line="240" w:lineRule="auto"/>
              <w:jc w:val="center"/>
              <w:rPr>
                <w:rFonts w:cs="Calibri"/>
                <w:sz w:val="16"/>
                <w:szCs w:val="16"/>
                <w:lang w:val="en-GB" w:eastAsia="en-GB"/>
              </w:rPr>
            </w:pPr>
            <w:r w:rsidRPr="006C7195">
              <w:rPr>
                <w:rFonts w:cs="Calibri"/>
                <w:sz w:val="16"/>
                <w:szCs w:val="16"/>
                <w:lang w:val="en-GB" w:eastAsia="en-GB"/>
              </w:rPr>
              <w:t>88,1</w:t>
            </w:r>
          </w:p>
        </w:tc>
        <w:tc>
          <w:tcPr>
            <w:tcW w:w="1611" w:type="dxa"/>
            <w:noWrap/>
            <w:hideMark/>
          </w:tcPr>
          <w:p w:rsidRPr="006C7195" w:rsidR="00B52D66" w:rsidP="00FC2172" w:rsidRDefault="00B52D66" w14:paraId="6BFDF86C" w14:textId="77777777">
            <w:pPr>
              <w:spacing w:line="240" w:lineRule="auto"/>
              <w:jc w:val="center"/>
              <w:rPr>
                <w:rFonts w:cs="Calibri"/>
                <w:sz w:val="16"/>
                <w:szCs w:val="16"/>
                <w:lang w:val="en-GB" w:eastAsia="en-GB"/>
              </w:rPr>
            </w:pPr>
            <w:r w:rsidRPr="006C7195">
              <w:rPr>
                <w:rFonts w:cs="Calibri"/>
                <w:sz w:val="16"/>
                <w:szCs w:val="16"/>
                <w:lang w:val="en-GB" w:eastAsia="en-GB"/>
              </w:rPr>
              <w:t>78,6</w:t>
            </w:r>
          </w:p>
        </w:tc>
      </w:tr>
      <w:tr w:rsidRPr="006C7195" w:rsidR="00B52D66" w:rsidTr="00FC2172" w14:paraId="52CC20F4" w14:textId="77777777">
        <w:trPr>
          <w:trHeight w:val="227"/>
        </w:trPr>
        <w:tc>
          <w:tcPr>
            <w:tcW w:w="2451" w:type="dxa"/>
            <w:noWrap/>
            <w:hideMark/>
          </w:tcPr>
          <w:p w:rsidRPr="006C7195" w:rsidR="00B52D66" w:rsidP="00FC2172" w:rsidRDefault="00B52D66" w14:paraId="19CA411D" w14:textId="77777777">
            <w:pPr>
              <w:spacing w:line="240" w:lineRule="auto"/>
              <w:rPr>
                <w:rFonts w:cs="Calibri"/>
                <w:sz w:val="16"/>
                <w:szCs w:val="16"/>
                <w:lang w:val="en-GB" w:eastAsia="en-GB"/>
              </w:rPr>
            </w:pPr>
            <w:r w:rsidRPr="006C7195">
              <w:rPr>
                <w:rFonts w:cs="Calibri"/>
                <w:sz w:val="16"/>
                <w:szCs w:val="16"/>
                <w:lang w:val="en-GB" w:eastAsia="en-GB"/>
              </w:rPr>
              <w:t>E&amp;O</w:t>
            </w:r>
          </w:p>
        </w:tc>
        <w:tc>
          <w:tcPr>
            <w:tcW w:w="1612" w:type="dxa"/>
            <w:noWrap/>
            <w:hideMark/>
          </w:tcPr>
          <w:p w:rsidRPr="006C7195" w:rsidR="00B52D66" w:rsidP="00FC2172" w:rsidRDefault="00B52D66" w14:paraId="7F30AF14" w14:textId="77777777">
            <w:pPr>
              <w:spacing w:line="240" w:lineRule="auto"/>
              <w:jc w:val="center"/>
              <w:rPr>
                <w:rFonts w:cs="Calibri"/>
                <w:sz w:val="16"/>
                <w:szCs w:val="16"/>
                <w:lang w:val="en-GB" w:eastAsia="en-GB"/>
              </w:rPr>
            </w:pPr>
            <w:r w:rsidRPr="006C7195">
              <w:rPr>
                <w:rFonts w:cs="Calibri"/>
                <w:sz w:val="16"/>
                <w:szCs w:val="16"/>
                <w:lang w:val="en-GB" w:eastAsia="en-GB"/>
              </w:rPr>
              <w:t>83,1</w:t>
            </w:r>
          </w:p>
        </w:tc>
        <w:tc>
          <w:tcPr>
            <w:tcW w:w="1611" w:type="dxa"/>
            <w:noWrap/>
            <w:hideMark/>
          </w:tcPr>
          <w:p w:rsidRPr="006C7195" w:rsidR="00B52D66" w:rsidP="00FC2172" w:rsidRDefault="00B52D66" w14:paraId="09B97F4A" w14:textId="77777777">
            <w:pPr>
              <w:spacing w:line="240" w:lineRule="auto"/>
              <w:jc w:val="center"/>
              <w:rPr>
                <w:rFonts w:cs="Calibri"/>
                <w:sz w:val="16"/>
                <w:szCs w:val="16"/>
                <w:lang w:val="en-GB" w:eastAsia="en-GB"/>
              </w:rPr>
            </w:pPr>
            <w:r w:rsidRPr="006C7195">
              <w:rPr>
                <w:rFonts w:cs="Calibri"/>
                <w:sz w:val="16"/>
                <w:szCs w:val="16"/>
                <w:lang w:val="en-GB" w:eastAsia="en-GB"/>
              </w:rPr>
              <w:t>83,0</w:t>
            </w:r>
          </w:p>
        </w:tc>
        <w:tc>
          <w:tcPr>
            <w:tcW w:w="1611" w:type="dxa"/>
            <w:noWrap/>
            <w:hideMark/>
          </w:tcPr>
          <w:p w:rsidRPr="006C7195" w:rsidR="00B52D66" w:rsidP="00FC2172" w:rsidRDefault="00B52D66" w14:paraId="2C54F873" w14:textId="77777777">
            <w:pPr>
              <w:spacing w:line="240" w:lineRule="auto"/>
              <w:jc w:val="center"/>
              <w:rPr>
                <w:rFonts w:cs="Calibri"/>
                <w:sz w:val="16"/>
                <w:szCs w:val="16"/>
                <w:lang w:val="en-GB" w:eastAsia="en-GB"/>
              </w:rPr>
            </w:pPr>
            <w:r w:rsidRPr="006C7195">
              <w:rPr>
                <w:rFonts w:cs="Calibri"/>
                <w:sz w:val="16"/>
                <w:szCs w:val="16"/>
                <w:lang w:val="en-GB" w:eastAsia="en-GB"/>
              </w:rPr>
              <w:t>56,5</w:t>
            </w:r>
          </w:p>
        </w:tc>
      </w:tr>
      <w:tr w:rsidRPr="006C7195" w:rsidR="00B52D66" w:rsidTr="00FC2172" w14:paraId="49C40D17" w14:textId="77777777">
        <w:trPr>
          <w:trHeight w:val="227"/>
        </w:trPr>
        <w:tc>
          <w:tcPr>
            <w:tcW w:w="2451" w:type="dxa"/>
            <w:noWrap/>
            <w:hideMark/>
          </w:tcPr>
          <w:p w:rsidRPr="006C7195" w:rsidR="00B52D66" w:rsidP="00FC2172" w:rsidRDefault="00B52D66" w14:paraId="7C190DEC" w14:textId="77777777">
            <w:pPr>
              <w:spacing w:line="240" w:lineRule="auto"/>
              <w:rPr>
                <w:rFonts w:cs="Calibri"/>
                <w:sz w:val="16"/>
                <w:szCs w:val="16"/>
                <w:lang w:val="en-GB" w:eastAsia="en-GB"/>
              </w:rPr>
            </w:pPr>
            <w:r w:rsidRPr="006C7195">
              <w:rPr>
                <w:rFonts w:cs="Calibri"/>
                <w:sz w:val="16"/>
                <w:szCs w:val="16"/>
                <w:lang w:val="en-GB" w:eastAsia="en-GB"/>
              </w:rPr>
              <w:t>Groen</w:t>
            </w:r>
          </w:p>
        </w:tc>
        <w:tc>
          <w:tcPr>
            <w:tcW w:w="1612" w:type="dxa"/>
            <w:noWrap/>
            <w:hideMark/>
          </w:tcPr>
          <w:p w:rsidRPr="006C7195" w:rsidR="00B52D66" w:rsidP="00FC2172" w:rsidRDefault="00B52D66" w14:paraId="68381C68" w14:textId="77777777">
            <w:pPr>
              <w:spacing w:line="240" w:lineRule="auto"/>
              <w:jc w:val="center"/>
              <w:rPr>
                <w:rFonts w:cs="Calibri"/>
                <w:sz w:val="16"/>
                <w:szCs w:val="16"/>
                <w:lang w:val="en-GB" w:eastAsia="en-GB"/>
              </w:rPr>
            </w:pPr>
            <w:r w:rsidRPr="006C7195">
              <w:rPr>
                <w:rFonts w:cs="Calibri"/>
                <w:sz w:val="16"/>
                <w:szCs w:val="16"/>
                <w:lang w:val="en-GB" w:eastAsia="en-GB"/>
              </w:rPr>
              <w:t>77,0</w:t>
            </w:r>
          </w:p>
        </w:tc>
        <w:tc>
          <w:tcPr>
            <w:tcW w:w="1611" w:type="dxa"/>
            <w:noWrap/>
            <w:hideMark/>
          </w:tcPr>
          <w:p w:rsidRPr="006C7195" w:rsidR="00B52D66" w:rsidP="00FC2172" w:rsidRDefault="00B52D66" w14:paraId="4BA69D6B" w14:textId="77777777">
            <w:pPr>
              <w:spacing w:line="240" w:lineRule="auto"/>
              <w:jc w:val="center"/>
              <w:rPr>
                <w:rFonts w:cs="Calibri"/>
                <w:sz w:val="16"/>
                <w:szCs w:val="16"/>
                <w:lang w:val="en-GB" w:eastAsia="en-GB"/>
              </w:rPr>
            </w:pPr>
            <w:r w:rsidRPr="006C7195">
              <w:rPr>
                <w:rFonts w:cs="Calibri"/>
                <w:sz w:val="16"/>
                <w:szCs w:val="16"/>
                <w:lang w:val="en-GB" w:eastAsia="en-GB"/>
              </w:rPr>
              <w:t>76,5</w:t>
            </w:r>
          </w:p>
        </w:tc>
        <w:tc>
          <w:tcPr>
            <w:tcW w:w="1611" w:type="dxa"/>
            <w:noWrap/>
            <w:hideMark/>
          </w:tcPr>
          <w:p w:rsidRPr="006C7195" w:rsidR="00B52D66" w:rsidP="00FC2172" w:rsidRDefault="00B52D66" w14:paraId="51F1F154" w14:textId="77777777">
            <w:pPr>
              <w:spacing w:line="240" w:lineRule="auto"/>
              <w:jc w:val="center"/>
              <w:rPr>
                <w:rFonts w:cs="Calibri"/>
                <w:sz w:val="16"/>
                <w:szCs w:val="16"/>
                <w:lang w:val="en-GB" w:eastAsia="en-GB"/>
              </w:rPr>
            </w:pPr>
            <w:r w:rsidRPr="006C7195">
              <w:rPr>
                <w:rFonts w:cs="Calibri"/>
                <w:sz w:val="16"/>
                <w:szCs w:val="16"/>
                <w:lang w:val="en-GB" w:eastAsia="en-GB"/>
              </w:rPr>
              <w:t>70,2</w:t>
            </w:r>
          </w:p>
        </w:tc>
      </w:tr>
      <w:tr w:rsidRPr="006C7195" w:rsidR="00B52D66" w:rsidTr="00FC2172" w14:paraId="4A5104D1" w14:textId="77777777">
        <w:trPr>
          <w:trHeight w:val="227"/>
        </w:trPr>
        <w:tc>
          <w:tcPr>
            <w:tcW w:w="2451" w:type="dxa"/>
            <w:noWrap/>
            <w:hideMark/>
          </w:tcPr>
          <w:p w:rsidRPr="006C7195" w:rsidR="00B52D66" w:rsidP="00FC2172" w:rsidRDefault="00B52D66" w14:paraId="01370293" w14:textId="77777777">
            <w:pPr>
              <w:spacing w:line="240" w:lineRule="auto"/>
              <w:rPr>
                <w:rFonts w:cs="Calibri"/>
                <w:sz w:val="16"/>
                <w:szCs w:val="16"/>
                <w:lang w:val="en-GB" w:eastAsia="en-GB"/>
              </w:rPr>
            </w:pPr>
            <w:r w:rsidRPr="006C7195">
              <w:rPr>
                <w:rFonts w:cs="Calibri"/>
                <w:sz w:val="16"/>
                <w:szCs w:val="16"/>
                <w:lang w:val="en-GB" w:eastAsia="en-GB"/>
              </w:rPr>
              <w:t>HBR</w:t>
            </w:r>
          </w:p>
        </w:tc>
        <w:tc>
          <w:tcPr>
            <w:tcW w:w="1612" w:type="dxa"/>
            <w:noWrap/>
            <w:hideMark/>
          </w:tcPr>
          <w:p w:rsidRPr="006C7195" w:rsidR="00B52D66" w:rsidP="00FC2172" w:rsidRDefault="00B52D66" w14:paraId="366A855D" w14:textId="77777777">
            <w:pPr>
              <w:spacing w:line="240" w:lineRule="auto"/>
              <w:jc w:val="center"/>
              <w:rPr>
                <w:rFonts w:cs="Calibri"/>
                <w:sz w:val="16"/>
                <w:szCs w:val="16"/>
                <w:lang w:val="en-GB" w:eastAsia="en-GB"/>
              </w:rPr>
            </w:pPr>
            <w:r w:rsidRPr="006C7195">
              <w:rPr>
                <w:rFonts w:cs="Calibri"/>
                <w:sz w:val="16"/>
                <w:szCs w:val="16"/>
                <w:lang w:val="en-GB" w:eastAsia="en-GB"/>
              </w:rPr>
              <w:t>73,1</w:t>
            </w:r>
          </w:p>
        </w:tc>
        <w:tc>
          <w:tcPr>
            <w:tcW w:w="1611" w:type="dxa"/>
            <w:noWrap/>
            <w:hideMark/>
          </w:tcPr>
          <w:p w:rsidRPr="006C7195" w:rsidR="00B52D66" w:rsidP="00FC2172" w:rsidRDefault="00B52D66" w14:paraId="2F8B10F6" w14:textId="77777777">
            <w:pPr>
              <w:spacing w:line="240" w:lineRule="auto"/>
              <w:jc w:val="center"/>
              <w:rPr>
                <w:rFonts w:cs="Calibri"/>
                <w:sz w:val="16"/>
                <w:szCs w:val="16"/>
                <w:lang w:val="en-GB" w:eastAsia="en-GB"/>
              </w:rPr>
            </w:pPr>
            <w:r w:rsidRPr="006C7195">
              <w:rPr>
                <w:rFonts w:cs="Calibri"/>
                <w:sz w:val="16"/>
                <w:szCs w:val="16"/>
                <w:lang w:val="en-GB" w:eastAsia="en-GB"/>
              </w:rPr>
              <w:t>73,5</w:t>
            </w:r>
          </w:p>
        </w:tc>
        <w:tc>
          <w:tcPr>
            <w:tcW w:w="1611" w:type="dxa"/>
            <w:noWrap/>
            <w:hideMark/>
          </w:tcPr>
          <w:p w:rsidRPr="006C7195" w:rsidR="00B52D66" w:rsidP="00FC2172" w:rsidRDefault="00B52D66" w14:paraId="051679F3" w14:textId="77777777">
            <w:pPr>
              <w:spacing w:line="240" w:lineRule="auto"/>
              <w:jc w:val="center"/>
              <w:rPr>
                <w:rFonts w:cs="Calibri"/>
                <w:sz w:val="16"/>
                <w:szCs w:val="16"/>
                <w:lang w:val="en-GB" w:eastAsia="en-GB"/>
              </w:rPr>
            </w:pPr>
            <w:r w:rsidRPr="006C7195">
              <w:rPr>
                <w:rFonts w:cs="Calibri"/>
                <w:sz w:val="16"/>
                <w:szCs w:val="16"/>
                <w:lang w:val="en-GB" w:eastAsia="en-GB"/>
              </w:rPr>
              <w:t>30,7</w:t>
            </w:r>
          </w:p>
        </w:tc>
      </w:tr>
      <w:tr w:rsidRPr="006C7195" w:rsidR="00B52D66" w:rsidTr="00FC2172" w14:paraId="5A117115" w14:textId="77777777">
        <w:trPr>
          <w:trHeight w:val="227"/>
        </w:trPr>
        <w:tc>
          <w:tcPr>
            <w:tcW w:w="2451" w:type="dxa"/>
            <w:noWrap/>
            <w:hideMark/>
          </w:tcPr>
          <w:p w:rsidRPr="006C7195" w:rsidR="00B52D66" w:rsidP="00FC2172" w:rsidRDefault="00B52D66" w14:paraId="21329FD8" w14:textId="77777777">
            <w:pPr>
              <w:spacing w:line="240" w:lineRule="auto"/>
              <w:rPr>
                <w:rFonts w:cs="Calibri"/>
                <w:sz w:val="16"/>
                <w:szCs w:val="16"/>
                <w:lang w:val="en-GB" w:eastAsia="en-GB"/>
              </w:rPr>
            </w:pPr>
            <w:r w:rsidRPr="006C7195">
              <w:rPr>
                <w:rFonts w:cs="Calibri"/>
                <w:sz w:val="16"/>
                <w:szCs w:val="16"/>
                <w:lang w:val="en-GB" w:eastAsia="en-GB"/>
              </w:rPr>
              <w:t>Z&amp;W</w:t>
            </w:r>
          </w:p>
        </w:tc>
        <w:tc>
          <w:tcPr>
            <w:tcW w:w="1612" w:type="dxa"/>
            <w:noWrap/>
            <w:hideMark/>
          </w:tcPr>
          <w:p w:rsidRPr="006C7195" w:rsidR="00B52D66" w:rsidP="00FC2172" w:rsidRDefault="00B52D66" w14:paraId="2E2AD3BF" w14:textId="77777777">
            <w:pPr>
              <w:spacing w:line="240" w:lineRule="auto"/>
              <w:jc w:val="center"/>
              <w:rPr>
                <w:rFonts w:cs="Calibri"/>
                <w:sz w:val="16"/>
                <w:szCs w:val="16"/>
                <w:lang w:val="en-GB" w:eastAsia="en-GB"/>
              </w:rPr>
            </w:pPr>
            <w:r w:rsidRPr="006C7195">
              <w:rPr>
                <w:rFonts w:cs="Calibri"/>
                <w:sz w:val="16"/>
                <w:szCs w:val="16"/>
                <w:lang w:val="en-GB" w:eastAsia="en-GB"/>
              </w:rPr>
              <w:t>96,8</w:t>
            </w:r>
          </w:p>
        </w:tc>
        <w:tc>
          <w:tcPr>
            <w:tcW w:w="1611" w:type="dxa"/>
            <w:noWrap/>
            <w:hideMark/>
          </w:tcPr>
          <w:p w:rsidRPr="006C7195" w:rsidR="00B52D66" w:rsidP="00FC2172" w:rsidRDefault="00B52D66" w14:paraId="3C0A1BA8" w14:textId="77777777">
            <w:pPr>
              <w:spacing w:line="240" w:lineRule="auto"/>
              <w:jc w:val="center"/>
              <w:rPr>
                <w:rFonts w:cs="Calibri"/>
                <w:sz w:val="16"/>
                <w:szCs w:val="16"/>
                <w:lang w:val="en-GB" w:eastAsia="en-GB"/>
              </w:rPr>
            </w:pPr>
            <w:r w:rsidRPr="006C7195">
              <w:rPr>
                <w:rFonts w:cs="Calibri"/>
                <w:sz w:val="16"/>
                <w:szCs w:val="16"/>
                <w:lang w:val="en-GB" w:eastAsia="en-GB"/>
              </w:rPr>
              <w:t>96,7</w:t>
            </w:r>
          </w:p>
        </w:tc>
        <w:tc>
          <w:tcPr>
            <w:tcW w:w="1611" w:type="dxa"/>
            <w:noWrap/>
            <w:hideMark/>
          </w:tcPr>
          <w:p w:rsidRPr="006C7195" w:rsidR="00B52D66" w:rsidP="00FC2172" w:rsidRDefault="00B52D66" w14:paraId="6AD3CAA1" w14:textId="77777777">
            <w:pPr>
              <w:spacing w:line="240" w:lineRule="auto"/>
              <w:jc w:val="center"/>
              <w:rPr>
                <w:rFonts w:cs="Calibri"/>
                <w:sz w:val="16"/>
                <w:szCs w:val="16"/>
                <w:lang w:val="en-GB" w:eastAsia="en-GB"/>
              </w:rPr>
            </w:pPr>
            <w:r w:rsidRPr="006C7195">
              <w:rPr>
                <w:rFonts w:cs="Calibri"/>
                <w:sz w:val="16"/>
                <w:szCs w:val="16"/>
                <w:lang w:val="en-GB" w:eastAsia="en-GB"/>
              </w:rPr>
              <w:t>71,2</w:t>
            </w:r>
          </w:p>
        </w:tc>
      </w:tr>
    </w:tbl>
    <w:p w:rsidRPr="00D26E09" w:rsidR="00B52D66" w:rsidP="00B52D66" w:rsidRDefault="00B52D66" w14:paraId="6A2C105D" w14:textId="77777777">
      <w:pPr>
        <w:spacing w:before="60"/>
        <w:rPr>
          <w:i/>
          <w:sz w:val="16"/>
          <w:szCs w:val="16"/>
        </w:rPr>
      </w:pPr>
      <w:r w:rsidRPr="00D26E09">
        <w:rPr>
          <w:i/>
          <w:sz w:val="16"/>
          <w:szCs w:val="16"/>
        </w:rPr>
        <w:t>Bron: DUO (eigen bewerking ROA).</w:t>
      </w:r>
    </w:p>
    <w:p w:rsidR="00B52D66" w:rsidP="00B52D66" w:rsidRDefault="00B52D66" w14:paraId="377CA28B" w14:textId="77777777">
      <w:pPr>
        <w:rPr>
          <w:szCs w:val="18"/>
        </w:rPr>
      </w:pPr>
    </w:p>
    <w:p w:rsidR="00B52D66" w:rsidP="00B52D66" w:rsidRDefault="00B52D66" w14:paraId="43747168" w14:textId="77777777">
      <w:pPr>
        <w:jc w:val="both"/>
        <w:rPr>
          <w:szCs w:val="18"/>
        </w:rPr>
      </w:pPr>
      <w:r>
        <w:rPr>
          <w:szCs w:val="18"/>
        </w:rPr>
        <w:t>Vergeleken met het schooljaar 2019/2020</w:t>
      </w:r>
      <w:r>
        <w:rPr>
          <w:rStyle w:val="Voetnootmarkering"/>
          <w:szCs w:val="18"/>
        </w:rPr>
        <w:footnoteReference w:id="11"/>
      </w:r>
      <w:r>
        <w:rPr>
          <w:szCs w:val="18"/>
        </w:rPr>
        <w:t xml:space="preserve"> is het profielaanbod in de gl bereikbaarder geworden in het schooljaar 2023/2024 voor derdejaarsleerlingen, met name in de niet-technische profielen Z&amp;W en HBR en in de technische profielen BWI, MVI en PIE. Om precies te</w:t>
      </w:r>
      <w:r>
        <w:t xml:space="preserve"> zijn zien we een stijging in het profiel MVI met 6 procentpunten en de daling in M&amp;T met 4 procentpunten.</w:t>
      </w:r>
    </w:p>
    <w:p w:rsidR="00B52D66" w:rsidP="00B52D66" w:rsidRDefault="00B52D66" w14:paraId="652F847C" w14:textId="77777777">
      <w:pPr>
        <w:spacing w:after="160" w:line="259" w:lineRule="auto"/>
        <w:rPr>
          <w:rFonts w:eastAsiaTheme="majorEastAsia" w:cstheme="majorBidi"/>
          <w:b/>
          <w:color w:val="1D509A"/>
          <w:szCs w:val="18"/>
          <w:lang w:eastAsia="en-US"/>
        </w:rPr>
      </w:pPr>
      <w:bookmarkStart w:name="_Toc125541255" w:id="157"/>
      <w:bookmarkStart w:name="_Toc127528905" w:id="158"/>
    </w:p>
    <w:p w:rsidRPr="000230E5" w:rsidR="00B52D66" w:rsidP="00B52D66" w:rsidRDefault="00B52D66" w14:paraId="6AFA83DA" w14:textId="77777777">
      <w:pPr>
        <w:pStyle w:val="Kop3"/>
      </w:pPr>
      <w:bookmarkStart w:name="_Toc158042068" w:id="159"/>
      <w:bookmarkStart w:name="_Toc203573631" w:id="160"/>
      <w:r w:rsidRPr="00A45539">
        <w:rPr>
          <w:szCs w:val="18"/>
        </w:rPr>
        <w:t xml:space="preserve">Samenvatting </w:t>
      </w:r>
      <w:r>
        <w:rPr>
          <w:szCs w:val="18"/>
        </w:rPr>
        <w:t>dekking</w:t>
      </w:r>
      <w:r w:rsidRPr="00A45539">
        <w:rPr>
          <w:szCs w:val="18"/>
        </w:rPr>
        <w:t xml:space="preserve"> en bereikbaarheid</w:t>
      </w:r>
      <w:bookmarkEnd w:id="157"/>
      <w:bookmarkEnd w:id="158"/>
      <w:bookmarkEnd w:id="159"/>
      <w:r>
        <w:rPr>
          <w:szCs w:val="18"/>
        </w:rPr>
        <w:t xml:space="preserve"> van aanbod</w:t>
      </w:r>
      <w:bookmarkEnd w:id="160"/>
    </w:p>
    <w:p w:rsidR="00B52D66" w:rsidP="00B52D66" w:rsidRDefault="00B52D66" w14:paraId="27A1373C" w14:textId="77777777">
      <w:pPr>
        <w:jc w:val="both"/>
        <w:rPr>
          <w:szCs w:val="18"/>
        </w:rPr>
      </w:pPr>
    </w:p>
    <w:p w:rsidRPr="00A45539" w:rsidR="00B52D66" w:rsidP="00B52D66" w:rsidRDefault="00B52D66" w14:paraId="6ED0C825" w14:textId="77777777">
      <w:pPr>
        <w:jc w:val="both"/>
        <w:rPr>
          <w:szCs w:val="18"/>
        </w:rPr>
      </w:pPr>
      <w:r w:rsidRPr="00A45539">
        <w:rPr>
          <w:szCs w:val="18"/>
        </w:rPr>
        <w:t>In deze paragraaf analyseerden we de technische profielen met het oog op aanbod en bereikbaarheid op landelijk niveau en op het niveau van</w:t>
      </w:r>
      <w:r>
        <w:rPr>
          <w:szCs w:val="18"/>
        </w:rPr>
        <w:t xml:space="preserve"> de</w:t>
      </w:r>
      <w:r w:rsidRPr="00A45539">
        <w:rPr>
          <w:szCs w:val="18"/>
        </w:rPr>
        <w:t xml:space="preserve"> STO-regio. In het schooljaar 202</w:t>
      </w:r>
      <w:r>
        <w:rPr>
          <w:szCs w:val="18"/>
        </w:rPr>
        <w:t>3</w:t>
      </w:r>
      <w:r w:rsidRPr="00A45539">
        <w:rPr>
          <w:szCs w:val="18"/>
        </w:rPr>
        <w:t>/202</w:t>
      </w:r>
      <w:r>
        <w:rPr>
          <w:szCs w:val="18"/>
        </w:rPr>
        <w:t>4</w:t>
      </w:r>
      <w:r w:rsidRPr="00A45539">
        <w:rPr>
          <w:szCs w:val="18"/>
        </w:rPr>
        <w:t xml:space="preserve"> </w:t>
      </w:r>
      <w:r>
        <w:rPr>
          <w:szCs w:val="18"/>
        </w:rPr>
        <w:t>is het aantal</w:t>
      </w:r>
      <w:r w:rsidRPr="00A45539">
        <w:rPr>
          <w:szCs w:val="18"/>
        </w:rPr>
        <w:t xml:space="preserve"> vestigingen </w:t>
      </w:r>
      <w:r>
        <w:rPr>
          <w:szCs w:val="18"/>
        </w:rPr>
        <w:t>dat</w:t>
      </w:r>
      <w:r w:rsidRPr="00A45539">
        <w:rPr>
          <w:szCs w:val="18"/>
        </w:rPr>
        <w:t xml:space="preserve"> technische profielen aanbied</w:t>
      </w:r>
      <w:r>
        <w:rPr>
          <w:szCs w:val="18"/>
        </w:rPr>
        <w:t>t lichtelijk gedaald</w:t>
      </w:r>
      <w:r w:rsidRPr="00A45539">
        <w:rPr>
          <w:szCs w:val="18"/>
        </w:rPr>
        <w:t>.</w:t>
      </w:r>
      <w:r>
        <w:rPr>
          <w:szCs w:val="18"/>
        </w:rPr>
        <w:t xml:space="preserve"> De twee</w:t>
      </w:r>
      <w:r w:rsidRPr="00A45539">
        <w:rPr>
          <w:szCs w:val="18"/>
        </w:rPr>
        <w:t xml:space="preserve"> grootste profiel</w:t>
      </w:r>
      <w:r>
        <w:rPr>
          <w:szCs w:val="18"/>
        </w:rPr>
        <w:t>en</w:t>
      </w:r>
      <w:r w:rsidRPr="00A45539">
        <w:rPr>
          <w:szCs w:val="18"/>
        </w:rPr>
        <w:t xml:space="preserve"> </w:t>
      </w:r>
      <w:r>
        <w:rPr>
          <w:szCs w:val="18"/>
        </w:rPr>
        <w:t xml:space="preserve">PIE en BWI </w:t>
      </w:r>
      <w:r w:rsidRPr="00A45539">
        <w:rPr>
          <w:szCs w:val="18"/>
        </w:rPr>
        <w:t>word</w:t>
      </w:r>
      <w:r>
        <w:rPr>
          <w:szCs w:val="18"/>
        </w:rPr>
        <w:t>en</w:t>
      </w:r>
      <w:r w:rsidRPr="00A45539">
        <w:rPr>
          <w:szCs w:val="18"/>
        </w:rPr>
        <w:t xml:space="preserve"> in 202</w:t>
      </w:r>
      <w:r>
        <w:rPr>
          <w:szCs w:val="18"/>
        </w:rPr>
        <w:t>3</w:t>
      </w:r>
      <w:r w:rsidRPr="00A45539">
        <w:rPr>
          <w:szCs w:val="18"/>
        </w:rPr>
        <w:t>/202</w:t>
      </w:r>
      <w:r>
        <w:rPr>
          <w:szCs w:val="18"/>
        </w:rPr>
        <w:t>4</w:t>
      </w:r>
      <w:r w:rsidRPr="00A45539">
        <w:rPr>
          <w:szCs w:val="18"/>
        </w:rPr>
        <w:t xml:space="preserve"> </w:t>
      </w:r>
      <w:r>
        <w:rPr>
          <w:szCs w:val="18"/>
        </w:rPr>
        <w:t>op, respectievelijk,</w:t>
      </w:r>
      <w:r w:rsidRPr="00A45539">
        <w:rPr>
          <w:szCs w:val="18"/>
        </w:rPr>
        <w:t xml:space="preserve"> 21</w:t>
      </w:r>
      <w:r>
        <w:rPr>
          <w:szCs w:val="18"/>
        </w:rPr>
        <w:t xml:space="preserve">3 en 181 </w:t>
      </w:r>
      <w:r w:rsidRPr="00A45539">
        <w:rPr>
          <w:szCs w:val="18"/>
        </w:rPr>
        <w:t xml:space="preserve">vestigingen aangeboden. </w:t>
      </w:r>
      <w:r>
        <w:t xml:space="preserve">Deze twee profielen zijn op meer dan 90 procent van de vestigingen beschikbaar in de bl en kl, maar op slechts circa 30 procent in de gl. </w:t>
      </w:r>
      <w:r w:rsidRPr="00A45539">
        <w:rPr>
          <w:szCs w:val="18"/>
        </w:rPr>
        <w:t xml:space="preserve">Een soortgelijke verdeling zien we ook in de profielen </w:t>
      </w:r>
      <w:r>
        <w:rPr>
          <w:szCs w:val="18"/>
        </w:rPr>
        <w:t>M&amp;T</w:t>
      </w:r>
      <w:r w:rsidRPr="00A45539">
        <w:rPr>
          <w:szCs w:val="18"/>
        </w:rPr>
        <w:t xml:space="preserve"> en </w:t>
      </w:r>
      <w:r>
        <w:rPr>
          <w:szCs w:val="18"/>
        </w:rPr>
        <w:t>MVI</w:t>
      </w:r>
      <w:r w:rsidRPr="00A45539">
        <w:rPr>
          <w:szCs w:val="18"/>
        </w:rPr>
        <w:t xml:space="preserve"> (uitgezonderd bl-vestigingen voor het profiel MVI met 7</w:t>
      </w:r>
      <w:r>
        <w:rPr>
          <w:szCs w:val="18"/>
        </w:rPr>
        <w:t>4</w:t>
      </w:r>
      <w:r w:rsidRPr="00A45539">
        <w:rPr>
          <w:szCs w:val="18"/>
        </w:rPr>
        <w:t xml:space="preserve"> procent). Het </w:t>
      </w:r>
      <w:r w:rsidRPr="0072181D">
        <w:rPr>
          <w:szCs w:val="18"/>
        </w:rPr>
        <w:t>profiel MaT wordt daarentegen</w:t>
      </w:r>
      <w:r>
        <w:rPr>
          <w:szCs w:val="18"/>
        </w:rPr>
        <w:t xml:space="preserve"> landelijk</w:t>
      </w:r>
      <w:r w:rsidRPr="0072181D">
        <w:rPr>
          <w:szCs w:val="18"/>
        </w:rPr>
        <w:t xml:space="preserve"> in vijf vestigingen aangeboden, </w:t>
      </w:r>
      <w:r w:rsidRPr="00B366EE">
        <w:rPr>
          <w:szCs w:val="18"/>
        </w:rPr>
        <w:t>maar d</w:t>
      </w:r>
      <w:r>
        <w:rPr>
          <w:szCs w:val="18"/>
        </w:rPr>
        <w:t>aar</w:t>
      </w:r>
      <w:r w:rsidRPr="00B366EE">
        <w:rPr>
          <w:szCs w:val="18"/>
        </w:rPr>
        <w:t xml:space="preserve"> is het aanbod redelijk dekkend voor alle drie de leerwegen.</w:t>
      </w:r>
      <w:r w:rsidRPr="0072181D">
        <w:rPr>
          <w:szCs w:val="18"/>
        </w:rPr>
        <w:t xml:space="preserve"> Vier op de vijf vestigingen biedt dat profiel ook voor de gl aan.</w:t>
      </w:r>
      <w:r w:rsidRPr="00A45539">
        <w:rPr>
          <w:szCs w:val="18"/>
        </w:rPr>
        <w:t xml:space="preserve"> </w:t>
      </w:r>
    </w:p>
    <w:p w:rsidRPr="00A45539" w:rsidR="00B52D66" w:rsidP="00B52D66" w:rsidRDefault="00B52D66" w14:paraId="5A9B1AFE" w14:textId="77777777">
      <w:pPr>
        <w:jc w:val="both"/>
        <w:rPr>
          <w:szCs w:val="18"/>
        </w:rPr>
      </w:pPr>
    </w:p>
    <w:p w:rsidRPr="00A45539" w:rsidR="00B52D66" w:rsidP="00B52D66" w:rsidRDefault="00B52D66" w14:paraId="0B675D51" w14:textId="77777777">
      <w:pPr>
        <w:jc w:val="both"/>
        <w:rPr>
          <w:szCs w:val="18"/>
        </w:rPr>
      </w:pPr>
      <w:r>
        <w:t xml:space="preserve">Zowel technische als niet-technische profielen in bl en kl komen doorgaans in ongeveer evenveel STO-regio’s voor. </w:t>
      </w:r>
      <w:r w:rsidRPr="00A45539">
        <w:rPr>
          <w:szCs w:val="18"/>
        </w:rPr>
        <w:t>Bijna de helft van de STO-regio’s biedt drie techniekprofielen aan en ongeveer een kwart vier profielen. Voor de gl is de keuze</w:t>
      </w:r>
      <w:r>
        <w:rPr>
          <w:szCs w:val="18"/>
        </w:rPr>
        <w:t xml:space="preserve"> aan techniekprofielen</w:t>
      </w:r>
      <w:r w:rsidRPr="00A45539">
        <w:rPr>
          <w:szCs w:val="18"/>
        </w:rPr>
        <w:t xml:space="preserve"> een stuk minder: 3</w:t>
      </w:r>
      <w:r>
        <w:rPr>
          <w:szCs w:val="18"/>
        </w:rPr>
        <w:t>2</w:t>
      </w:r>
      <w:r w:rsidRPr="00A45539">
        <w:rPr>
          <w:szCs w:val="18"/>
        </w:rPr>
        <w:t xml:space="preserve"> procent van de STO-regio’s heeft geen, 1</w:t>
      </w:r>
      <w:r>
        <w:rPr>
          <w:szCs w:val="18"/>
        </w:rPr>
        <w:t>5</w:t>
      </w:r>
      <w:r w:rsidRPr="00A45539">
        <w:rPr>
          <w:szCs w:val="18"/>
        </w:rPr>
        <w:t xml:space="preserve"> procent één,</w:t>
      </w:r>
      <w:r>
        <w:rPr>
          <w:szCs w:val="18"/>
        </w:rPr>
        <w:t xml:space="preserve"> 28 procent</w:t>
      </w:r>
      <w:r w:rsidRPr="00A45539">
        <w:rPr>
          <w:szCs w:val="18"/>
        </w:rPr>
        <w:t xml:space="preserve"> twee en 2</w:t>
      </w:r>
      <w:r>
        <w:rPr>
          <w:szCs w:val="18"/>
        </w:rPr>
        <w:t>1</w:t>
      </w:r>
      <w:r w:rsidRPr="00A45539">
        <w:rPr>
          <w:szCs w:val="18"/>
        </w:rPr>
        <w:t xml:space="preserve"> procent drie gl-techniekprofielen. Ten opzichte van </w:t>
      </w:r>
      <w:r>
        <w:rPr>
          <w:szCs w:val="18"/>
        </w:rPr>
        <w:t xml:space="preserve">de vorige rapportage (schooljaar 2021/2022) </w:t>
      </w:r>
      <w:r w:rsidRPr="00A45539">
        <w:rPr>
          <w:szCs w:val="18"/>
        </w:rPr>
        <w:t>is de situatie niet noemenswaardig veranderd.</w:t>
      </w:r>
    </w:p>
    <w:p w:rsidRPr="00A45539" w:rsidR="00B52D66" w:rsidP="00B52D66" w:rsidRDefault="00B52D66" w14:paraId="17739424" w14:textId="77777777">
      <w:pPr>
        <w:jc w:val="both"/>
        <w:rPr>
          <w:szCs w:val="18"/>
        </w:rPr>
      </w:pPr>
    </w:p>
    <w:p w:rsidR="00B52D66" w:rsidP="00B52D66" w:rsidRDefault="00B52D66" w14:paraId="4806E6E5" w14:textId="77777777">
      <w:pPr>
        <w:jc w:val="both"/>
        <w:rPr>
          <w:szCs w:val="18"/>
        </w:rPr>
      </w:pPr>
      <w:r w:rsidRPr="00A45539">
        <w:rPr>
          <w:szCs w:val="18"/>
        </w:rPr>
        <w:t xml:space="preserve">De grootste technische profielen binnen de bl en kl, PIE en BWI, </w:t>
      </w:r>
      <w:r>
        <w:rPr>
          <w:szCs w:val="18"/>
        </w:rPr>
        <w:t>hebben de hoogste bereikbaarheid</w:t>
      </w:r>
      <w:r w:rsidRPr="00A45539">
        <w:rPr>
          <w:szCs w:val="18"/>
        </w:rPr>
        <w:t xml:space="preserve">. Ongeveer 90 procent van de leerlingen kan deze volgen binnen een straal van 10 km. Twee profielen zijn relatief minder bereikbaar: M&amp;T (voor bijna 70 procent binnen een straal van 10 km bereikbaar) en MaT. Doordat techniekprofielen in de gl minder vaak worden aangeboden is het voor gl-leerlingen niet vanzelfsprekend dat zij techniekprofielen in </w:t>
      </w:r>
      <w:r w:rsidRPr="00A45539">
        <w:rPr>
          <w:szCs w:val="18"/>
        </w:rPr>
        <w:lastRenderedPageBreak/>
        <w:t xml:space="preserve">hun eigen STO-regio kunnen volgen. </w:t>
      </w:r>
      <w:r>
        <w:rPr>
          <w:szCs w:val="18"/>
        </w:rPr>
        <w:t xml:space="preserve">De toegankelijkheid voor de gl is ten opzichte van de vorige rapportage (schooljaar 2021/2022) niet veranderd. </w:t>
      </w:r>
    </w:p>
    <w:p w:rsidR="00B52D66" w:rsidP="00B52D66" w:rsidRDefault="00B52D66" w14:paraId="4BD4B369" w14:textId="77777777">
      <w:pPr>
        <w:rPr>
          <w:szCs w:val="18"/>
        </w:rPr>
      </w:pPr>
    </w:p>
    <w:p w:rsidRPr="00A45539" w:rsidR="00B52D66" w:rsidP="00B52D66" w:rsidRDefault="00B52D66" w14:paraId="39F3A347" w14:textId="77777777">
      <w:pPr>
        <w:rPr>
          <w:szCs w:val="18"/>
        </w:rPr>
      </w:pPr>
    </w:p>
    <w:p w:rsidRPr="00215297" w:rsidR="00B52D66" w:rsidP="00B52D66" w:rsidRDefault="00B52D66" w14:paraId="52CBB65B" w14:textId="77777777">
      <w:pPr>
        <w:pStyle w:val="Kop2"/>
        <w:rPr>
          <w:szCs w:val="18"/>
        </w:rPr>
      </w:pPr>
      <w:bookmarkStart w:name="_Toc125541256" w:id="161"/>
      <w:bookmarkStart w:name="_Toc127528906" w:id="162"/>
      <w:bookmarkStart w:name="_Toc158042069" w:id="163"/>
      <w:bookmarkStart w:name="_Toc203573632" w:id="164"/>
      <w:r w:rsidRPr="00215297">
        <w:rPr>
          <w:szCs w:val="18"/>
        </w:rPr>
        <w:t>Keuzevakken</w:t>
      </w:r>
      <w:bookmarkEnd w:id="161"/>
      <w:bookmarkEnd w:id="162"/>
      <w:bookmarkEnd w:id="163"/>
      <w:bookmarkEnd w:id="164"/>
    </w:p>
    <w:p w:rsidRPr="000230E5" w:rsidR="00B52D66" w:rsidP="00B52D66" w:rsidRDefault="00B52D66" w14:paraId="6C1F998C" w14:textId="77777777">
      <w:pPr>
        <w:rPr>
          <w:lang w:eastAsia="en-US"/>
        </w:rPr>
      </w:pPr>
    </w:p>
    <w:p w:rsidRPr="00A45539" w:rsidR="00B52D66" w:rsidP="00B52D66" w:rsidRDefault="00B52D66" w14:paraId="13527D8F" w14:textId="77777777">
      <w:pPr>
        <w:jc w:val="both"/>
        <w:rPr>
          <w:szCs w:val="18"/>
        </w:rPr>
      </w:pPr>
      <w:r>
        <w:rPr>
          <w:szCs w:val="18"/>
        </w:rPr>
        <w:t>Hoe vaak worden</w:t>
      </w:r>
      <w:r w:rsidRPr="00624F76">
        <w:rPr>
          <w:szCs w:val="18"/>
        </w:rPr>
        <w:t xml:space="preserve"> </w:t>
      </w:r>
      <w:r>
        <w:rPr>
          <w:szCs w:val="18"/>
        </w:rPr>
        <w:t>technische</w:t>
      </w:r>
      <w:r w:rsidRPr="00624F76">
        <w:rPr>
          <w:szCs w:val="18"/>
        </w:rPr>
        <w:t xml:space="preserve"> keuzevakken niet alleen door leerlingen van </w:t>
      </w:r>
      <w:r>
        <w:rPr>
          <w:szCs w:val="18"/>
        </w:rPr>
        <w:t>het bijbehorend technisch</w:t>
      </w:r>
      <w:r w:rsidRPr="00624F76">
        <w:rPr>
          <w:szCs w:val="18"/>
        </w:rPr>
        <w:t xml:space="preserve"> profiel gekozen maar ook door leerlingen van andere profielen?</w:t>
      </w:r>
      <w:r w:rsidRPr="00B366EE">
        <w:rPr>
          <w:szCs w:val="18"/>
        </w:rPr>
        <w:t xml:space="preserve"> </w:t>
      </w:r>
      <w:r>
        <w:rPr>
          <w:szCs w:val="18"/>
        </w:rPr>
        <w:t xml:space="preserve">Naast </w:t>
      </w:r>
      <w:r w:rsidRPr="00B366EE">
        <w:rPr>
          <w:szCs w:val="18"/>
        </w:rPr>
        <w:t xml:space="preserve">de verplichte modules </w:t>
      </w:r>
      <w:r>
        <w:rPr>
          <w:szCs w:val="18"/>
        </w:rPr>
        <w:t xml:space="preserve">in het eigen profiel </w:t>
      </w:r>
      <w:r w:rsidRPr="00B366EE">
        <w:rPr>
          <w:szCs w:val="18"/>
        </w:rPr>
        <w:t>zijn er ook</w:t>
      </w:r>
      <w:r>
        <w:rPr>
          <w:szCs w:val="18"/>
        </w:rPr>
        <w:t xml:space="preserve"> -afhankelijk van hoe een school dat inricht -</w:t>
      </w:r>
      <w:r w:rsidRPr="00B366EE">
        <w:rPr>
          <w:szCs w:val="18"/>
        </w:rPr>
        <w:t xml:space="preserve"> vrij te kiezen keuzevakken waarin leerlingen van beroepsgerichte leerwegen zich verder kunnen verdiepen of verbreden. In het derde of vierde leerjaar van het vmbo worden in de gekozen beroepsgerichte keuzevakken examens afgelegd. Als regel geldt dat leerlingen in de bl en de kl minstens vier keuzevakken dienen te volgen. Voor leerlingen in de gl zijn dat minstens twee keuzevakken. De hiernavolgende analyses hebben we uitgevoerd op basis van leerlingen die in het schooljaar 2022/2023 in het vierde leerjaar ingeschreven staan en examen in een keuzevak hebben gedaan. Beroepsgerichte keuzevakken kunnen namelijk pas geregistreerd worden zodra de leerling eindexamen heeft gedaan. In tegenstelling tot eerdere rapportages nemen we in deze analyses ook </w:t>
      </w:r>
      <w:r>
        <w:rPr>
          <w:szCs w:val="18"/>
        </w:rPr>
        <w:t>profiel</w:t>
      </w:r>
      <w:r w:rsidRPr="00B366EE">
        <w:rPr>
          <w:szCs w:val="18"/>
        </w:rPr>
        <w:t xml:space="preserve">modules mee, aangezien deze ook gekozen kunnen worden door leerlingen van andere profielen. Dit hoofdstuk is hierdoor niet met andere rapportages in dezelfde reeks vergelijkbaar. In de </w:t>
      </w:r>
      <w:r>
        <w:rPr>
          <w:szCs w:val="18"/>
        </w:rPr>
        <w:t>bijlage</w:t>
      </w:r>
      <w:r w:rsidRPr="00B366EE">
        <w:rPr>
          <w:szCs w:val="18"/>
        </w:rPr>
        <w:t xml:space="preserve"> laten we de ontwikkeling van de belangrijkste parameters zien tussen 2019/2020 en 2022/2023.</w:t>
      </w:r>
    </w:p>
    <w:p w:rsidR="00B52D66" w:rsidP="00B52D66" w:rsidRDefault="00B52D66" w14:paraId="5EA7876D" w14:textId="77777777">
      <w:pPr>
        <w:rPr>
          <w:szCs w:val="18"/>
        </w:rPr>
      </w:pPr>
    </w:p>
    <w:p w:rsidRPr="0063093C" w:rsidR="00B52D66" w:rsidRDefault="00B52D66" w14:paraId="5C034E71" w14:textId="067AB91B">
      <w:pPr>
        <w:jc w:val="both"/>
        <w:rPr>
          <w:highlight w:val="yellow"/>
        </w:rPr>
      </w:pPr>
      <w:r>
        <w:t xml:space="preserve">In totaal werden in het schooljaar 2022/2023 in 150 verschillende keuzevakken eindexamencijfers geregistreerd (schooljaar 2019/2020: 140 keuzevakken) en 38 profielmodules verdeeld over de tien profielen in de beroepsgerichte leerwegen. In de vijf technische profielen betreft het 90 verschillende keuzevakken in het schooljaar 2022/2023 - vijf meer vergeleken met 2019/2020 – en 18 </w:t>
      </w:r>
      <w:r w:rsidR="522D2088">
        <w:t>profiel</w:t>
      </w:r>
      <w:r>
        <w:t xml:space="preserve">modules. </w:t>
      </w:r>
    </w:p>
    <w:p w:rsidRPr="0063093C" w:rsidR="00B52D66" w:rsidP="00B52D66" w:rsidRDefault="00B52D66" w14:paraId="05E529D5" w14:textId="77777777">
      <w:pPr>
        <w:jc w:val="both"/>
        <w:rPr>
          <w:szCs w:val="18"/>
          <w:highlight w:val="yellow"/>
        </w:rPr>
      </w:pPr>
    </w:p>
    <w:p w:rsidRPr="00F5755A" w:rsidR="00B52D66" w:rsidP="00B52D66" w:rsidRDefault="00B52D66" w14:paraId="43828F9E" w14:textId="19E3507C">
      <w:pPr>
        <w:jc w:val="both"/>
        <w:rPr>
          <w:szCs w:val="18"/>
        </w:rPr>
      </w:pPr>
      <w:r w:rsidRPr="00647B40">
        <w:rPr>
          <w:szCs w:val="18"/>
        </w:rPr>
        <w:t xml:space="preserve">In het schooljaar 2022/2023 werden </w:t>
      </w:r>
      <w:r>
        <w:rPr>
          <w:szCs w:val="18"/>
        </w:rPr>
        <w:t xml:space="preserve">er zo’n 174.000 </w:t>
      </w:r>
      <w:r w:rsidRPr="00647B40">
        <w:rPr>
          <w:szCs w:val="18"/>
        </w:rPr>
        <w:t xml:space="preserve">schoolexamens afgelegd in een </w:t>
      </w:r>
      <w:r w:rsidRPr="00215297">
        <w:rPr>
          <w:szCs w:val="18"/>
        </w:rPr>
        <w:t xml:space="preserve">beroepsgericht keuzevak </w:t>
      </w:r>
      <w:r w:rsidRPr="003C465E">
        <w:rPr>
          <w:szCs w:val="18"/>
        </w:rPr>
        <w:t xml:space="preserve">of </w:t>
      </w:r>
      <w:r>
        <w:rPr>
          <w:szCs w:val="18"/>
        </w:rPr>
        <w:t>profiel</w:t>
      </w:r>
      <w:r w:rsidRPr="003C465E">
        <w:rPr>
          <w:szCs w:val="18"/>
        </w:rPr>
        <w:t>module</w:t>
      </w:r>
      <w:r>
        <w:rPr>
          <w:szCs w:val="18"/>
        </w:rPr>
        <w:t>,</w:t>
      </w:r>
      <w:r w:rsidRPr="00647B40">
        <w:rPr>
          <w:szCs w:val="18"/>
        </w:rPr>
        <w:t xml:space="preserve"> </w:t>
      </w:r>
      <w:r>
        <w:rPr>
          <w:szCs w:val="18"/>
        </w:rPr>
        <w:t xml:space="preserve">6.000 minder </w:t>
      </w:r>
      <w:r w:rsidRPr="00647B40">
        <w:rPr>
          <w:szCs w:val="18"/>
        </w:rPr>
        <w:t xml:space="preserve">dan in </w:t>
      </w:r>
      <w:r>
        <w:rPr>
          <w:szCs w:val="18"/>
        </w:rPr>
        <w:t>het schooljaar</w:t>
      </w:r>
      <w:r w:rsidRPr="00647B40">
        <w:rPr>
          <w:szCs w:val="18"/>
        </w:rPr>
        <w:t xml:space="preserve"> </w:t>
      </w:r>
      <w:r w:rsidRPr="00624F76">
        <w:rPr>
          <w:szCs w:val="18"/>
        </w:rPr>
        <w:t>2021/2022</w:t>
      </w:r>
      <w:r w:rsidRPr="005543DA">
        <w:rPr>
          <w:szCs w:val="18"/>
        </w:rPr>
        <w:t>.</w:t>
      </w:r>
      <w:r w:rsidRPr="00F5755A">
        <w:rPr>
          <w:szCs w:val="18"/>
        </w:rPr>
        <w:t xml:space="preserve"> </w:t>
      </w:r>
      <w:r w:rsidRPr="00624F76">
        <w:rPr>
          <w:szCs w:val="18"/>
        </w:rPr>
        <w:t>Nadere analyse wijst uit dat ook het aantal vierdejaarsleerlingen in deze periode afnam.</w:t>
      </w:r>
      <w:r w:rsidRPr="00F5755A">
        <w:rPr>
          <w:szCs w:val="18"/>
        </w:rPr>
        <w:t xml:space="preserve"> Tabel </w:t>
      </w:r>
      <w:r w:rsidR="004F4EC3">
        <w:rPr>
          <w:szCs w:val="18"/>
        </w:rPr>
        <w:t>B3</w:t>
      </w:r>
      <w:r w:rsidRPr="00F5755A">
        <w:rPr>
          <w:szCs w:val="18"/>
        </w:rPr>
        <w:t>.</w:t>
      </w:r>
      <w:r>
        <w:rPr>
          <w:szCs w:val="18"/>
        </w:rPr>
        <w:t>7</w:t>
      </w:r>
      <w:r w:rsidRPr="00F5755A">
        <w:rPr>
          <w:szCs w:val="18"/>
        </w:rPr>
        <w:t xml:space="preserve"> laat het aantal examens zien </w:t>
      </w:r>
      <w:r>
        <w:rPr>
          <w:szCs w:val="18"/>
        </w:rPr>
        <w:t>voor de vijf technische profielen</w:t>
      </w:r>
      <w:r w:rsidRPr="00F5755A">
        <w:rPr>
          <w:szCs w:val="18"/>
        </w:rPr>
        <w:t>. De gehele tabel gaat over 2022/2023, met uitzondering van de schuingedrukte totaalkolom</w:t>
      </w:r>
      <w:r>
        <w:rPr>
          <w:szCs w:val="18"/>
        </w:rPr>
        <w:t>,</w:t>
      </w:r>
      <w:r w:rsidRPr="00F5755A">
        <w:rPr>
          <w:szCs w:val="18"/>
        </w:rPr>
        <w:t xml:space="preserve"> die de situatie in 2021/2022 weergeeft. In 2022/2023 zijn er zo’n 4</w:t>
      </w:r>
      <w:r>
        <w:rPr>
          <w:szCs w:val="18"/>
        </w:rPr>
        <w:t>9 duizend</w:t>
      </w:r>
      <w:r w:rsidRPr="00F5755A">
        <w:rPr>
          <w:szCs w:val="18"/>
        </w:rPr>
        <w:t xml:space="preserve"> examens afgelegd in keuzevakken</w:t>
      </w:r>
      <w:r>
        <w:rPr>
          <w:szCs w:val="18"/>
        </w:rPr>
        <w:t xml:space="preserve"> of profielmodules</w:t>
      </w:r>
      <w:r w:rsidRPr="00F5755A">
        <w:rPr>
          <w:szCs w:val="18"/>
        </w:rPr>
        <w:t xml:space="preserve"> </w:t>
      </w:r>
      <w:r>
        <w:rPr>
          <w:szCs w:val="18"/>
        </w:rPr>
        <w:t>behorend bij</w:t>
      </w:r>
      <w:r w:rsidRPr="00F5755A">
        <w:rPr>
          <w:szCs w:val="18"/>
        </w:rPr>
        <w:t xml:space="preserve"> de vijf technische profielen. Van alle afgelegde examens heeft ruim </w:t>
      </w:r>
      <w:r>
        <w:rPr>
          <w:szCs w:val="18"/>
        </w:rPr>
        <w:t>éé</w:t>
      </w:r>
      <w:r w:rsidRPr="00F5755A">
        <w:rPr>
          <w:szCs w:val="18"/>
        </w:rPr>
        <w:t>n op de vier (28,</w:t>
      </w:r>
      <w:r>
        <w:rPr>
          <w:szCs w:val="18"/>
        </w:rPr>
        <w:t>2</w:t>
      </w:r>
      <w:r w:rsidRPr="00F5755A">
        <w:rPr>
          <w:szCs w:val="18"/>
        </w:rPr>
        <w:t xml:space="preserve"> procent) betrekking op technische keuzevakken</w:t>
      </w:r>
      <w:r>
        <w:rPr>
          <w:szCs w:val="18"/>
        </w:rPr>
        <w:t xml:space="preserve">. </w:t>
      </w:r>
      <w:r w:rsidRPr="00F5755A">
        <w:rPr>
          <w:szCs w:val="18"/>
        </w:rPr>
        <w:t>Van deze ruim 4</w:t>
      </w:r>
      <w:r>
        <w:rPr>
          <w:szCs w:val="18"/>
        </w:rPr>
        <w:t>9</w:t>
      </w:r>
      <w:r w:rsidRPr="00F5755A">
        <w:rPr>
          <w:szCs w:val="18"/>
        </w:rPr>
        <w:t xml:space="preserve"> duizend examens in technische keuzevakken werd </w:t>
      </w:r>
      <w:r>
        <w:rPr>
          <w:szCs w:val="18"/>
        </w:rPr>
        <w:t>69,0</w:t>
      </w:r>
      <w:r w:rsidRPr="00F5755A">
        <w:rPr>
          <w:szCs w:val="18"/>
        </w:rPr>
        <w:t xml:space="preserve"> procent</w:t>
      </w:r>
      <w:r w:rsidRPr="00F5755A">
        <w:rPr>
          <w:rStyle w:val="Voetnootmarkering"/>
          <w:szCs w:val="18"/>
        </w:rPr>
        <w:footnoteReference w:id="12"/>
      </w:r>
      <w:r w:rsidRPr="00F5755A">
        <w:rPr>
          <w:szCs w:val="18"/>
        </w:rPr>
        <w:t xml:space="preserve"> afgelegd door techniekleerlingen. Dat betekent dat ongeveer</w:t>
      </w:r>
      <w:r>
        <w:rPr>
          <w:szCs w:val="18"/>
        </w:rPr>
        <w:t xml:space="preserve"> drie op de tien </w:t>
      </w:r>
      <w:r w:rsidRPr="00F5755A">
        <w:rPr>
          <w:szCs w:val="18"/>
        </w:rPr>
        <w:t>van deze examens is afgelegd door leerlingen die geen van de vijf techniekprofielen volgen</w:t>
      </w:r>
      <w:r w:rsidRPr="00876E07">
        <w:rPr>
          <w:szCs w:val="18"/>
        </w:rPr>
        <w:t>. Wan</w:t>
      </w:r>
      <w:r w:rsidRPr="00F5755A">
        <w:rPr>
          <w:szCs w:val="18"/>
        </w:rPr>
        <w:t xml:space="preserve">neer niet-techniekleerlingen een technisch keuzevak </w:t>
      </w:r>
      <w:r>
        <w:rPr>
          <w:szCs w:val="18"/>
        </w:rPr>
        <w:t xml:space="preserve">of profielmodule </w:t>
      </w:r>
      <w:r w:rsidRPr="00F5755A">
        <w:rPr>
          <w:szCs w:val="18"/>
        </w:rPr>
        <w:t>kiezen, kiezen ze vooral keuzevakken</w:t>
      </w:r>
      <w:r>
        <w:rPr>
          <w:szCs w:val="18"/>
        </w:rPr>
        <w:t xml:space="preserve"> </w:t>
      </w:r>
      <w:r w:rsidRPr="00624F76">
        <w:rPr>
          <w:szCs w:val="18"/>
        </w:rPr>
        <w:t xml:space="preserve">of </w:t>
      </w:r>
      <w:r>
        <w:rPr>
          <w:szCs w:val="18"/>
        </w:rPr>
        <w:t>profiel</w:t>
      </w:r>
      <w:r w:rsidRPr="00624F76">
        <w:rPr>
          <w:szCs w:val="18"/>
        </w:rPr>
        <w:t>modules</w:t>
      </w:r>
      <w:r w:rsidRPr="00F5755A">
        <w:rPr>
          <w:szCs w:val="18"/>
        </w:rPr>
        <w:t xml:space="preserve"> </w:t>
      </w:r>
      <w:r>
        <w:rPr>
          <w:szCs w:val="18"/>
        </w:rPr>
        <w:t>behorend bij</w:t>
      </w:r>
      <w:r w:rsidRPr="00F5755A">
        <w:rPr>
          <w:szCs w:val="18"/>
        </w:rPr>
        <w:t xml:space="preserve"> het profiel MVI (7.</w:t>
      </w:r>
      <w:r>
        <w:rPr>
          <w:szCs w:val="18"/>
        </w:rPr>
        <w:t>872</w:t>
      </w:r>
      <w:r w:rsidRPr="00F5755A">
        <w:rPr>
          <w:szCs w:val="18"/>
        </w:rPr>
        <w:t xml:space="preserve"> examens), BWI (</w:t>
      </w:r>
      <w:r>
        <w:rPr>
          <w:szCs w:val="18"/>
        </w:rPr>
        <w:t>3.373</w:t>
      </w:r>
      <w:r w:rsidRPr="00F5755A">
        <w:rPr>
          <w:szCs w:val="18"/>
        </w:rPr>
        <w:t xml:space="preserve"> examens) en PIE (</w:t>
      </w:r>
      <w:r>
        <w:rPr>
          <w:szCs w:val="18"/>
        </w:rPr>
        <w:t>2.877</w:t>
      </w:r>
      <w:r w:rsidRPr="00F5755A">
        <w:rPr>
          <w:szCs w:val="18"/>
        </w:rPr>
        <w:t xml:space="preserve"> examens). De keuzevakken</w:t>
      </w:r>
      <w:r>
        <w:rPr>
          <w:szCs w:val="18"/>
        </w:rPr>
        <w:t xml:space="preserve"> en profielmodules</w:t>
      </w:r>
      <w:r w:rsidRPr="00F5755A">
        <w:rPr>
          <w:szCs w:val="18"/>
        </w:rPr>
        <w:t xml:space="preserve"> van </w:t>
      </w:r>
      <w:r>
        <w:rPr>
          <w:szCs w:val="18"/>
        </w:rPr>
        <w:t>de</w:t>
      </w:r>
      <w:r w:rsidRPr="00F5755A">
        <w:rPr>
          <w:szCs w:val="18"/>
        </w:rPr>
        <w:t xml:space="preserve"> profiel</w:t>
      </w:r>
      <w:r>
        <w:rPr>
          <w:szCs w:val="18"/>
        </w:rPr>
        <w:t>en</w:t>
      </w:r>
      <w:r w:rsidRPr="00F5755A">
        <w:rPr>
          <w:szCs w:val="18"/>
        </w:rPr>
        <w:t xml:space="preserve"> MaT en PIE werden in grote mate door leerlingen van hetzelfde profiel gekozen, namelijk </w:t>
      </w:r>
      <w:r>
        <w:rPr>
          <w:szCs w:val="18"/>
        </w:rPr>
        <w:t>meer dan 75</w:t>
      </w:r>
      <w:r w:rsidRPr="00F5755A">
        <w:rPr>
          <w:szCs w:val="18"/>
        </w:rPr>
        <w:t xml:space="preserve"> procent. MVI-keuzevakken worden daarentegen het minste afgelegd door leerlingen van hetzelfde profiel (3</w:t>
      </w:r>
      <w:r>
        <w:rPr>
          <w:szCs w:val="18"/>
        </w:rPr>
        <w:t>1,6</w:t>
      </w:r>
      <w:r w:rsidRPr="00F5755A">
        <w:rPr>
          <w:szCs w:val="18"/>
        </w:rPr>
        <w:t xml:space="preserve"> procent).</w:t>
      </w:r>
    </w:p>
    <w:p w:rsidRPr="0063093C" w:rsidR="00B52D66" w:rsidP="00B52D66" w:rsidRDefault="00B52D66" w14:paraId="02CC85EE" w14:textId="77777777">
      <w:pPr>
        <w:jc w:val="both"/>
        <w:rPr>
          <w:szCs w:val="18"/>
          <w:highlight w:val="yellow"/>
        </w:rPr>
      </w:pPr>
    </w:p>
    <w:p w:rsidRPr="00A45539" w:rsidR="00B52D66" w:rsidP="00B52D66" w:rsidRDefault="00B52D66" w14:paraId="7B3AB3A7" w14:textId="77777777">
      <w:pPr>
        <w:jc w:val="both"/>
        <w:rPr>
          <w:szCs w:val="18"/>
        </w:rPr>
      </w:pPr>
      <w:r w:rsidRPr="00215297">
        <w:rPr>
          <w:szCs w:val="18"/>
        </w:rPr>
        <w:t xml:space="preserve">Vergeleken met het voorgaande jaar is er vooral een afname te zien in het aantal afgelegde examens in technische keuzevakken of </w:t>
      </w:r>
      <w:r>
        <w:rPr>
          <w:szCs w:val="18"/>
        </w:rPr>
        <w:t>profiel</w:t>
      </w:r>
      <w:r w:rsidRPr="00215297">
        <w:rPr>
          <w:szCs w:val="18"/>
        </w:rPr>
        <w:t xml:space="preserve">modules, waar het aantal examens is afgenomen met bijna </w:t>
      </w:r>
      <w:r>
        <w:rPr>
          <w:szCs w:val="18"/>
        </w:rPr>
        <w:t>twee</w:t>
      </w:r>
      <w:r w:rsidRPr="00215297">
        <w:rPr>
          <w:szCs w:val="18"/>
        </w:rPr>
        <w:t>duizend examens.</w:t>
      </w:r>
      <w:r w:rsidRPr="00C8682F">
        <w:rPr>
          <w:szCs w:val="18"/>
        </w:rPr>
        <w:t xml:space="preserve"> De</w:t>
      </w:r>
      <w:r w:rsidRPr="00AA5A82">
        <w:rPr>
          <w:szCs w:val="18"/>
        </w:rPr>
        <w:t xml:space="preserve"> afname in het aantal afgelegde examens</w:t>
      </w:r>
      <w:r>
        <w:rPr>
          <w:szCs w:val="18"/>
        </w:rPr>
        <w:t xml:space="preserve"> in keuzevakken in het profiel M&amp;T</w:t>
      </w:r>
      <w:r w:rsidRPr="00AA5A82">
        <w:rPr>
          <w:szCs w:val="18"/>
        </w:rPr>
        <w:t xml:space="preserve"> verklaart</w:t>
      </w:r>
      <w:r>
        <w:rPr>
          <w:szCs w:val="18"/>
        </w:rPr>
        <w:t xml:space="preserve"> hier ongeveer een-derde van</w:t>
      </w:r>
      <w:r w:rsidRPr="00AA5A82">
        <w:rPr>
          <w:szCs w:val="18"/>
        </w:rPr>
        <w:t>: in 202</w:t>
      </w:r>
      <w:r>
        <w:rPr>
          <w:szCs w:val="18"/>
        </w:rPr>
        <w:t>2</w:t>
      </w:r>
      <w:r w:rsidRPr="00AA5A82">
        <w:rPr>
          <w:szCs w:val="18"/>
        </w:rPr>
        <w:t>/202</w:t>
      </w:r>
      <w:r>
        <w:rPr>
          <w:szCs w:val="18"/>
        </w:rPr>
        <w:t>3</w:t>
      </w:r>
      <w:r w:rsidRPr="00AA5A82">
        <w:rPr>
          <w:szCs w:val="18"/>
        </w:rPr>
        <w:t xml:space="preserve"> werden er </w:t>
      </w:r>
      <w:r>
        <w:rPr>
          <w:szCs w:val="18"/>
        </w:rPr>
        <w:t>ruim</w:t>
      </w:r>
      <w:r w:rsidRPr="00AA5A82">
        <w:rPr>
          <w:szCs w:val="18"/>
        </w:rPr>
        <w:t xml:space="preserve"> </w:t>
      </w:r>
      <w:r>
        <w:rPr>
          <w:szCs w:val="18"/>
        </w:rPr>
        <w:t>600</w:t>
      </w:r>
      <w:r w:rsidRPr="00AA5A82">
        <w:rPr>
          <w:szCs w:val="18"/>
        </w:rPr>
        <w:t xml:space="preserve"> minder examens afgelegd dan in 20</w:t>
      </w:r>
      <w:r>
        <w:rPr>
          <w:szCs w:val="18"/>
        </w:rPr>
        <w:t>21</w:t>
      </w:r>
      <w:r w:rsidRPr="00AA5A82">
        <w:rPr>
          <w:szCs w:val="18"/>
        </w:rPr>
        <w:t>/202</w:t>
      </w:r>
      <w:r>
        <w:rPr>
          <w:szCs w:val="18"/>
        </w:rPr>
        <w:t>2</w:t>
      </w:r>
      <w:r w:rsidRPr="00AA5A82">
        <w:rPr>
          <w:szCs w:val="18"/>
        </w:rPr>
        <w:t>.</w:t>
      </w:r>
      <w:r>
        <w:rPr>
          <w:szCs w:val="18"/>
        </w:rPr>
        <w:t xml:space="preserve"> Het aantal examens in keuzevakken in het profiel PIE is ten opzichte van 2021/2022 met 500 afgenomen. </w:t>
      </w:r>
    </w:p>
    <w:p w:rsidR="00B52D66" w:rsidP="00B52D66" w:rsidRDefault="00B52D66" w14:paraId="160B16B8" w14:textId="77777777">
      <w:pPr>
        <w:rPr>
          <w:szCs w:val="18"/>
        </w:rPr>
      </w:pPr>
    </w:p>
    <w:p w:rsidR="00B52D66" w:rsidP="00B52D66" w:rsidRDefault="00B52D66" w14:paraId="42733D6D" w14:textId="4093560D">
      <w:pPr>
        <w:pStyle w:val="Bijschrift"/>
      </w:pPr>
      <w:r w:rsidRPr="0065314C">
        <w:t xml:space="preserve">TABEL </w:t>
      </w:r>
      <w:r w:rsidR="004F4EC3">
        <w:t>B3</w:t>
      </w:r>
      <w:r>
        <w:t>.7</w:t>
      </w:r>
      <w:r w:rsidRPr="0065314C">
        <w:t xml:space="preserve"> </w:t>
      </w:r>
      <w:r>
        <w:tab/>
      </w:r>
      <w:r w:rsidRPr="0065314C">
        <w:t>Keuzevakken: Aantal examens in keuzevakken</w:t>
      </w:r>
      <w:r>
        <w:t xml:space="preserve"> en profielmodules</w:t>
      </w:r>
      <w:r w:rsidRPr="0065314C">
        <w:t xml:space="preserve"> aangeboden door techniekprofielen, naar aanbiedend profiel </w:t>
      </w:r>
    </w:p>
    <w:tbl>
      <w:tblPr>
        <w:tblStyle w:val="Tabelrasterlicht"/>
        <w:tblW w:w="9360" w:type="dxa"/>
        <w:tblLayout w:type="fixed"/>
        <w:tblLook w:val="04A0" w:firstRow="1" w:lastRow="0" w:firstColumn="1" w:lastColumn="0" w:noHBand="0" w:noVBand="1"/>
      </w:tblPr>
      <w:tblGrid>
        <w:gridCol w:w="846"/>
        <w:gridCol w:w="992"/>
        <w:gridCol w:w="992"/>
        <w:gridCol w:w="1276"/>
        <w:gridCol w:w="1559"/>
        <w:gridCol w:w="1560"/>
        <w:gridCol w:w="2135"/>
      </w:tblGrid>
      <w:tr w:rsidRPr="003F033F" w:rsidR="00B52D66" w:rsidTr="00FC2172" w14:paraId="425EADB2" w14:textId="77777777">
        <w:trPr>
          <w:trHeight w:val="360"/>
        </w:trPr>
        <w:tc>
          <w:tcPr>
            <w:tcW w:w="846" w:type="dxa"/>
            <w:noWrap/>
            <w:hideMark/>
          </w:tcPr>
          <w:p w:rsidRPr="003F033F" w:rsidR="00B52D66" w:rsidP="00FC2172" w:rsidRDefault="00B52D66" w14:paraId="5A085B5C" w14:textId="77777777">
            <w:pPr>
              <w:spacing w:line="240" w:lineRule="auto"/>
              <w:rPr>
                <w:rFonts w:cs="Calibri"/>
                <w:sz w:val="16"/>
                <w:szCs w:val="16"/>
                <w:lang w:eastAsia="en-GB"/>
              </w:rPr>
            </w:pPr>
            <w:r w:rsidRPr="003F033F">
              <w:rPr>
                <w:rFonts w:cs="Calibri"/>
                <w:sz w:val="16"/>
                <w:szCs w:val="16"/>
                <w:lang w:eastAsia="en-GB"/>
              </w:rPr>
              <w:t> </w:t>
            </w:r>
          </w:p>
        </w:tc>
        <w:tc>
          <w:tcPr>
            <w:tcW w:w="6379" w:type="dxa"/>
            <w:gridSpan w:val="5"/>
            <w:noWrap/>
            <w:hideMark/>
          </w:tcPr>
          <w:p w:rsidRPr="003F033F" w:rsidR="00B52D66" w:rsidP="00FC2172" w:rsidRDefault="00B52D66" w14:paraId="0DA5AD52" w14:textId="77777777">
            <w:pPr>
              <w:spacing w:line="240" w:lineRule="auto"/>
              <w:jc w:val="center"/>
              <w:rPr>
                <w:rFonts w:cs="Calibri"/>
                <w:sz w:val="16"/>
                <w:szCs w:val="16"/>
                <w:lang w:eastAsia="en-GB"/>
              </w:rPr>
            </w:pPr>
            <w:r w:rsidRPr="003F033F">
              <w:rPr>
                <w:rFonts w:cs="Calibri"/>
                <w:sz w:val="16"/>
                <w:szCs w:val="16"/>
                <w:lang w:eastAsia="en-GB"/>
              </w:rPr>
              <w:t xml:space="preserve">Aantal afgelegde examens in keuzevakken en </w:t>
            </w:r>
            <w:r>
              <w:rPr>
                <w:rFonts w:cs="Calibri"/>
                <w:sz w:val="16"/>
                <w:szCs w:val="16"/>
                <w:lang w:eastAsia="en-GB"/>
              </w:rPr>
              <w:t>profiel</w:t>
            </w:r>
            <w:r w:rsidRPr="003F033F">
              <w:rPr>
                <w:rFonts w:cs="Calibri"/>
                <w:sz w:val="16"/>
                <w:szCs w:val="16"/>
                <w:lang w:eastAsia="en-GB"/>
              </w:rPr>
              <w:t xml:space="preserve">modules </w:t>
            </w:r>
            <w:r>
              <w:rPr>
                <w:rFonts w:cs="Calibri"/>
                <w:sz w:val="16"/>
                <w:szCs w:val="16"/>
                <w:lang w:eastAsia="en-GB"/>
              </w:rPr>
              <w:t>behorend bij</w:t>
            </w:r>
            <w:r w:rsidRPr="003F033F">
              <w:rPr>
                <w:rFonts w:cs="Calibri"/>
                <w:sz w:val="16"/>
                <w:szCs w:val="16"/>
                <w:lang w:eastAsia="en-GB"/>
              </w:rPr>
              <w:t xml:space="preserve"> techni</w:t>
            </w:r>
            <w:r>
              <w:rPr>
                <w:rFonts w:cs="Calibri"/>
                <w:sz w:val="16"/>
                <w:szCs w:val="16"/>
                <w:lang w:eastAsia="en-GB"/>
              </w:rPr>
              <w:t>sche</w:t>
            </w:r>
            <w:r w:rsidRPr="003F033F">
              <w:rPr>
                <w:rFonts w:cs="Calibri"/>
                <w:sz w:val="16"/>
                <w:szCs w:val="16"/>
                <w:lang w:eastAsia="en-GB"/>
              </w:rPr>
              <w:t xml:space="preserve"> profielen</w:t>
            </w:r>
          </w:p>
        </w:tc>
        <w:tc>
          <w:tcPr>
            <w:tcW w:w="2135" w:type="dxa"/>
            <w:hideMark/>
          </w:tcPr>
          <w:p w:rsidRPr="003F033F" w:rsidR="00B52D66" w:rsidP="00FC2172" w:rsidRDefault="00B52D66" w14:paraId="27F6CE8D" w14:textId="77777777">
            <w:pPr>
              <w:spacing w:line="240" w:lineRule="auto"/>
              <w:jc w:val="center"/>
              <w:rPr>
                <w:rFonts w:cs="Calibri"/>
                <w:sz w:val="16"/>
                <w:szCs w:val="16"/>
                <w:lang w:eastAsia="en-GB"/>
              </w:rPr>
            </w:pPr>
            <w:r w:rsidRPr="003F033F">
              <w:rPr>
                <w:rFonts w:cs="Calibri"/>
                <w:sz w:val="16"/>
                <w:szCs w:val="16"/>
                <w:lang w:eastAsia="en-GB"/>
              </w:rPr>
              <w:t> </w:t>
            </w:r>
          </w:p>
        </w:tc>
      </w:tr>
      <w:tr w:rsidRPr="003F033F" w:rsidR="00B52D66" w:rsidTr="00FC2172" w14:paraId="5F5A0EE9" w14:textId="77777777">
        <w:trPr>
          <w:trHeight w:val="807"/>
        </w:trPr>
        <w:tc>
          <w:tcPr>
            <w:tcW w:w="846" w:type="dxa"/>
            <w:noWrap/>
            <w:hideMark/>
          </w:tcPr>
          <w:p w:rsidRPr="003F033F" w:rsidR="00B52D66" w:rsidP="00FC2172" w:rsidRDefault="00B52D66" w14:paraId="453A6187" w14:textId="77777777">
            <w:pPr>
              <w:spacing w:line="240" w:lineRule="auto"/>
              <w:rPr>
                <w:rFonts w:cs="Calibri"/>
                <w:sz w:val="16"/>
                <w:szCs w:val="16"/>
                <w:lang w:eastAsia="en-GB"/>
              </w:rPr>
            </w:pPr>
            <w:r w:rsidRPr="003F033F">
              <w:rPr>
                <w:rFonts w:cs="Calibri"/>
                <w:sz w:val="16"/>
                <w:szCs w:val="16"/>
                <w:lang w:eastAsia="en-GB"/>
              </w:rPr>
              <w:lastRenderedPageBreak/>
              <w:t> </w:t>
            </w:r>
          </w:p>
        </w:tc>
        <w:tc>
          <w:tcPr>
            <w:tcW w:w="992" w:type="dxa"/>
            <w:vAlign w:val="bottom"/>
            <w:hideMark/>
          </w:tcPr>
          <w:p w:rsidRPr="003F033F" w:rsidR="00B52D66" w:rsidP="00FC2172" w:rsidRDefault="00B52D66" w14:paraId="6BBC460A" w14:textId="77777777">
            <w:pPr>
              <w:spacing w:line="240" w:lineRule="auto"/>
              <w:jc w:val="center"/>
              <w:rPr>
                <w:rFonts w:cs="Calibri"/>
                <w:i/>
                <w:iCs/>
                <w:sz w:val="16"/>
                <w:szCs w:val="16"/>
                <w:lang w:val="en-GB" w:eastAsia="en-GB"/>
              </w:rPr>
            </w:pPr>
            <w:r w:rsidRPr="003F033F">
              <w:rPr>
                <w:rFonts w:cs="Calibri"/>
                <w:i/>
                <w:iCs/>
                <w:sz w:val="16"/>
                <w:szCs w:val="16"/>
                <w:lang w:val="en-GB" w:eastAsia="en-GB"/>
              </w:rPr>
              <w:t>Totaal 2021/2022</w:t>
            </w:r>
          </w:p>
        </w:tc>
        <w:tc>
          <w:tcPr>
            <w:tcW w:w="992" w:type="dxa"/>
            <w:vAlign w:val="bottom"/>
            <w:hideMark/>
          </w:tcPr>
          <w:p w:rsidRPr="003F033F" w:rsidR="00B52D66" w:rsidP="00FC2172" w:rsidRDefault="00B52D66" w14:paraId="30D7F135" w14:textId="77777777">
            <w:pPr>
              <w:spacing w:line="240" w:lineRule="auto"/>
              <w:jc w:val="center"/>
              <w:rPr>
                <w:rFonts w:cs="Calibri"/>
                <w:sz w:val="16"/>
                <w:szCs w:val="16"/>
                <w:lang w:val="en-GB" w:eastAsia="en-GB"/>
              </w:rPr>
            </w:pPr>
            <w:r w:rsidRPr="003F033F">
              <w:rPr>
                <w:rFonts w:cs="Calibri"/>
                <w:sz w:val="16"/>
                <w:szCs w:val="16"/>
                <w:lang w:val="en-GB" w:eastAsia="en-GB"/>
              </w:rPr>
              <w:t>Totaal 2022/2023</w:t>
            </w:r>
          </w:p>
        </w:tc>
        <w:tc>
          <w:tcPr>
            <w:tcW w:w="1276" w:type="dxa"/>
            <w:vAlign w:val="bottom"/>
            <w:hideMark/>
          </w:tcPr>
          <w:p w:rsidRPr="003F033F" w:rsidR="00B52D66" w:rsidP="00FC2172" w:rsidRDefault="00B52D66" w14:paraId="674D5698" w14:textId="77777777">
            <w:pPr>
              <w:spacing w:line="240" w:lineRule="auto"/>
              <w:jc w:val="center"/>
              <w:rPr>
                <w:rFonts w:cs="Calibri"/>
                <w:sz w:val="16"/>
                <w:szCs w:val="16"/>
                <w:lang w:eastAsia="en-GB"/>
              </w:rPr>
            </w:pPr>
            <w:r w:rsidRPr="003F033F">
              <w:rPr>
                <w:rFonts w:cs="Calibri"/>
                <w:sz w:val="16"/>
                <w:szCs w:val="16"/>
                <w:lang w:eastAsia="en-GB"/>
              </w:rPr>
              <w:t>Afgelegd door leerlingen van techni</w:t>
            </w:r>
            <w:r>
              <w:rPr>
                <w:rFonts w:cs="Calibri"/>
                <w:sz w:val="16"/>
                <w:szCs w:val="16"/>
                <w:lang w:eastAsia="en-GB"/>
              </w:rPr>
              <w:t>sche</w:t>
            </w:r>
            <w:r w:rsidRPr="003F033F">
              <w:rPr>
                <w:rFonts w:cs="Calibri"/>
                <w:sz w:val="16"/>
                <w:szCs w:val="16"/>
                <w:lang w:eastAsia="en-GB"/>
              </w:rPr>
              <w:t xml:space="preserve"> profielen</w:t>
            </w:r>
          </w:p>
        </w:tc>
        <w:tc>
          <w:tcPr>
            <w:tcW w:w="1559" w:type="dxa"/>
            <w:vAlign w:val="bottom"/>
            <w:hideMark/>
          </w:tcPr>
          <w:p w:rsidRPr="003F033F" w:rsidR="00B52D66" w:rsidP="00FC2172" w:rsidRDefault="00B52D66" w14:paraId="1CFFE4FB" w14:textId="77777777">
            <w:pPr>
              <w:spacing w:line="240" w:lineRule="auto"/>
              <w:jc w:val="center"/>
              <w:rPr>
                <w:rFonts w:cs="Calibri"/>
                <w:sz w:val="16"/>
                <w:szCs w:val="16"/>
                <w:lang w:eastAsia="en-GB"/>
              </w:rPr>
            </w:pPr>
            <w:r w:rsidRPr="003F033F">
              <w:rPr>
                <w:rFonts w:cs="Calibri"/>
                <w:sz w:val="16"/>
                <w:szCs w:val="16"/>
                <w:lang w:eastAsia="en-GB"/>
              </w:rPr>
              <w:t>Afgelegd door leerlingen van niet-techni</w:t>
            </w:r>
            <w:r>
              <w:rPr>
                <w:rFonts w:cs="Calibri"/>
                <w:sz w:val="16"/>
                <w:szCs w:val="16"/>
                <w:lang w:eastAsia="en-GB"/>
              </w:rPr>
              <w:t>sche</w:t>
            </w:r>
            <w:r w:rsidRPr="003F033F">
              <w:rPr>
                <w:rFonts w:cs="Calibri"/>
                <w:sz w:val="16"/>
                <w:szCs w:val="16"/>
                <w:lang w:eastAsia="en-GB"/>
              </w:rPr>
              <w:t xml:space="preserve"> profielen</w:t>
            </w:r>
          </w:p>
        </w:tc>
        <w:tc>
          <w:tcPr>
            <w:tcW w:w="1560" w:type="dxa"/>
            <w:vAlign w:val="bottom"/>
            <w:hideMark/>
          </w:tcPr>
          <w:p w:rsidRPr="003F033F" w:rsidR="00B52D66" w:rsidP="00FC2172" w:rsidRDefault="00B52D66" w14:paraId="200029E8" w14:textId="77777777">
            <w:pPr>
              <w:spacing w:line="240" w:lineRule="auto"/>
              <w:jc w:val="center"/>
              <w:rPr>
                <w:rFonts w:cs="Calibri"/>
                <w:sz w:val="16"/>
                <w:szCs w:val="16"/>
                <w:lang w:eastAsia="en-GB"/>
              </w:rPr>
            </w:pPr>
            <w:r w:rsidRPr="003F033F">
              <w:rPr>
                <w:rFonts w:cs="Calibri"/>
                <w:sz w:val="16"/>
                <w:szCs w:val="16"/>
                <w:lang w:eastAsia="en-GB"/>
              </w:rPr>
              <w:t>Afgelegd door techniek-leerlingen binnen eigen profiel</w:t>
            </w:r>
          </w:p>
        </w:tc>
        <w:tc>
          <w:tcPr>
            <w:tcW w:w="2135" w:type="dxa"/>
            <w:vAlign w:val="bottom"/>
            <w:hideMark/>
          </w:tcPr>
          <w:p w:rsidRPr="003F033F" w:rsidR="00B52D66" w:rsidP="00FC2172" w:rsidRDefault="00B52D66" w14:paraId="41547004" w14:textId="77777777">
            <w:pPr>
              <w:spacing w:line="240" w:lineRule="auto"/>
              <w:jc w:val="center"/>
              <w:rPr>
                <w:rFonts w:cs="Calibri"/>
                <w:sz w:val="16"/>
                <w:szCs w:val="16"/>
                <w:lang w:eastAsia="en-GB"/>
              </w:rPr>
            </w:pPr>
            <w:r w:rsidRPr="003F033F">
              <w:rPr>
                <w:rFonts w:cs="Calibri"/>
                <w:sz w:val="16"/>
                <w:szCs w:val="16"/>
                <w:lang w:eastAsia="en-GB"/>
              </w:rPr>
              <w:t>Aandeel van totaal dat is afgelegd door techniek-leerlingen binnen eigen profiel</w:t>
            </w:r>
          </w:p>
        </w:tc>
      </w:tr>
      <w:tr w:rsidRPr="003F033F" w:rsidR="00B52D66" w:rsidTr="00FC2172" w14:paraId="6AE3F574" w14:textId="77777777">
        <w:trPr>
          <w:trHeight w:val="290"/>
        </w:trPr>
        <w:tc>
          <w:tcPr>
            <w:tcW w:w="846" w:type="dxa"/>
            <w:noWrap/>
            <w:hideMark/>
          </w:tcPr>
          <w:p w:rsidRPr="003F033F" w:rsidR="00B52D66" w:rsidP="00FC2172" w:rsidRDefault="00B52D66" w14:paraId="1CFAE919" w14:textId="77777777">
            <w:pPr>
              <w:spacing w:line="240" w:lineRule="auto"/>
              <w:rPr>
                <w:rFonts w:cs="Calibri"/>
                <w:sz w:val="16"/>
                <w:szCs w:val="16"/>
                <w:lang w:val="en-GB" w:eastAsia="en-GB"/>
              </w:rPr>
            </w:pPr>
            <w:r w:rsidRPr="003F033F">
              <w:rPr>
                <w:rFonts w:cs="Calibri"/>
                <w:sz w:val="16"/>
                <w:szCs w:val="16"/>
                <w:lang w:val="en-GB" w:eastAsia="en-GB"/>
              </w:rPr>
              <w:t>BWI</w:t>
            </w:r>
          </w:p>
        </w:tc>
        <w:tc>
          <w:tcPr>
            <w:tcW w:w="992" w:type="dxa"/>
            <w:noWrap/>
            <w:hideMark/>
          </w:tcPr>
          <w:p w:rsidRPr="003F033F" w:rsidR="00B52D66" w:rsidP="00FC2172" w:rsidRDefault="00B52D66" w14:paraId="60CD1F80" w14:textId="77777777">
            <w:pPr>
              <w:spacing w:line="240" w:lineRule="auto"/>
              <w:jc w:val="right"/>
              <w:rPr>
                <w:rFonts w:cs="Calibri"/>
                <w:i/>
                <w:iCs/>
                <w:sz w:val="16"/>
                <w:szCs w:val="16"/>
                <w:lang w:val="en-GB" w:eastAsia="en-GB"/>
              </w:rPr>
            </w:pPr>
            <w:r w:rsidRPr="003F033F">
              <w:rPr>
                <w:rFonts w:cs="Calibri"/>
                <w:i/>
                <w:iCs/>
                <w:sz w:val="16"/>
                <w:szCs w:val="16"/>
                <w:lang w:val="en-GB" w:eastAsia="en-GB"/>
              </w:rPr>
              <w:t>14</w:t>
            </w:r>
            <w:r>
              <w:rPr>
                <w:rFonts w:cs="Calibri"/>
                <w:i/>
                <w:iCs/>
                <w:sz w:val="16"/>
                <w:szCs w:val="16"/>
                <w:lang w:val="en-GB" w:eastAsia="en-GB"/>
              </w:rPr>
              <w:t>.</w:t>
            </w:r>
            <w:r w:rsidRPr="003F033F">
              <w:rPr>
                <w:rFonts w:cs="Calibri"/>
                <w:i/>
                <w:iCs/>
                <w:sz w:val="16"/>
                <w:szCs w:val="16"/>
                <w:lang w:val="en-GB" w:eastAsia="en-GB"/>
              </w:rPr>
              <w:t>480</w:t>
            </w:r>
          </w:p>
        </w:tc>
        <w:tc>
          <w:tcPr>
            <w:tcW w:w="992" w:type="dxa"/>
            <w:noWrap/>
            <w:hideMark/>
          </w:tcPr>
          <w:p w:rsidRPr="003F033F" w:rsidR="00B52D66" w:rsidP="00FC2172" w:rsidRDefault="00B52D66" w14:paraId="383E4CEA" w14:textId="77777777">
            <w:pPr>
              <w:spacing w:line="240" w:lineRule="auto"/>
              <w:jc w:val="right"/>
              <w:rPr>
                <w:rFonts w:cs="Calibri"/>
                <w:sz w:val="16"/>
                <w:szCs w:val="16"/>
                <w:lang w:val="en-GB" w:eastAsia="en-GB"/>
              </w:rPr>
            </w:pPr>
            <w:r w:rsidRPr="003F033F">
              <w:rPr>
                <w:rFonts w:cs="Calibri"/>
                <w:sz w:val="16"/>
                <w:szCs w:val="16"/>
                <w:lang w:val="en-GB" w:eastAsia="en-GB"/>
              </w:rPr>
              <w:t>14</w:t>
            </w:r>
            <w:r>
              <w:rPr>
                <w:rFonts w:cs="Calibri"/>
                <w:sz w:val="16"/>
                <w:szCs w:val="16"/>
                <w:lang w:val="en-GB" w:eastAsia="en-GB"/>
              </w:rPr>
              <w:t>.</w:t>
            </w:r>
            <w:r w:rsidRPr="003F033F">
              <w:rPr>
                <w:rFonts w:cs="Calibri"/>
                <w:sz w:val="16"/>
                <w:szCs w:val="16"/>
                <w:lang w:val="en-GB" w:eastAsia="en-GB"/>
              </w:rPr>
              <w:t>191</w:t>
            </w:r>
          </w:p>
        </w:tc>
        <w:tc>
          <w:tcPr>
            <w:tcW w:w="1276" w:type="dxa"/>
            <w:noWrap/>
            <w:hideMark/>
          </w:tcPr>
          <w:p w:rsidRPr="003F033F" w:rsidR="00B52D66" w:rsidP="00FC2172" w:rsidRDefault="00B52D66" w14:paraId="49197790" w14:textId="77777777">
            <w:pPr>
              <w:spacing w:line="240" w:lineRule="auto"/>
              <w:jc w:val="right"/>
              <w:rPr>
                <w:rFonts w:cs="Calibri"/>
                <w:sz w:val="16"/>
                <w:szCs w:val="16"/>
                <w:lang w:val="en-GB" w:eastAsia="en-GB"/>
              </w:rPr>
            </w:pPr>
            <w:r w:rsidRPr="003F033F">
              <w:rPr>
                <w:rFonts w:cs="Calibri"/>
                <w:sz w:val="16"/>
                <w:szCs w:val="16"/>
                <w:lang w:val="en-GB" w:eastAsia="en-GB"/>
              </w:rPr>
              <w:t>10</w:t>
            </w:r>
            <w:r>
              <w:rPr>
                <w:rFonts w:cs="Calibri"/>
                <w:sz w:val="16"/>
                <w:szCs w:val="16"/>
                <w:lang w:val="en-GB" w:eastAsia="en-GB"/>
              </w:rPr>
              <w:t>.</w:t>
            </w:r>
            <w:r w:rsidRPr="003F033F">
              <w:rPr>
                <w:rFonts w:cs="Calibri"/>
                <w:sz w:val="16"/>
                <w:szCs w:val="16"/>
                <w:lang w:val="en-GB" w:eastAsia="en-GB"/>
              </w:rPr>
              <w:t>818</w:t>
            </w:r>
          </w:p>
        </w:tc>
        <w:tc>
          <w:tcPr>
            <w:tcW w:w="1559" w:type="dxa"/>
            <w:noWrap/>
            <w:hideMark/>
          </w:tcPr>
          <w:p w:rsidRPr="003F033F" w:rsidR="00B52D66" w:rsidP="00FC2172" w:rsidRDefault="00B52D66" w14:paraId="710C9EE2" w14:textId="77777777">
            <w:pPr>
              <w:spacing w:line="240" w:lineRule="auto"/>
              <w:jc w:val="right"/>
              <w:rPr>
                <w:rFonts w:cs="Calibri"/>
                <w:sz w:val="16"/>
                <w:szCs w:val="16"/>
                <w:lang w:val="en-GB" w:eastAsia="en-GB"/>
              </w:rPr>
            </w:pPr>
            <w:r w:rsidRPr="003F033F">
              <w:rPr>
                <w:rFonts w:cs="Calibri"/>
                <w:sz w:val="16"/>
                <w:szCs w:val="16"/>
                <w:lang w:val="en-GB" w:eastAsia="en-GB"/>
              </w:rPr>
              <w:t>3</w:t>
            </w:r>
            <w:r>
              <w:rPr>
                <w:rFonts w:cs="Calibri"/>
                <w:sz w:val="16"/>
                <w:szCs w:val="16"/>
                <w:lang w:val="en-GB" w:eastAsia="en-GB"/>
              </w:rPr>
              <w:t>.</w:t>
            </w:r>
            <w:r w:rsidRPr="003F033F">
              <w:rPr>
                <w:rFonts w:cs="Calibri"/>
                <w:sz w:val="16"/>
                <w:szCs w:val="16"/>
                <w:lang w:val="en-GB" w:eastAsia="en-GB"/>
              </w:rPr>
              <w:t>373</w:t>
            </w:r>
          </w:p>
        </w:tc>
        <w:tc>
          <w:tcPr>
            <w:tcW w:w="1560" w:type="dxa"/>
            <w:noWrap/>
            <w:hideMark/>
          </w:tcPr>
          <w:p w:rsidRPr="003F033F" w:rsidR="00B52D66" w:rsidP="00FC2172" w:rsidRDefault="00B52D66" w14:paraId="0C384090" w14:textId="77777777">
            <w:pPr>
              <w:spacing w:line="240" w:lineRule="auto"/>
              <w:jc w:val="right"/>
              <w:rPr>
                <w:rFonts w:cs="Calibri"/>
                <w:sz w:val="16"/>
                <w:szCs w:val="16"/>
                <w:lang w:val="en-GB" w:eastAsia="en-GB"/>
              </w:rPr>
            </w:pPr>
            <w:r w:rsidRPr="003F033F">
              <w:rPr>
                <w:rFonts w:cs="Calibri"/>
                <w:sz w:val="16"/>
                <w:szCs w:val="16"/>
                <w:lang w:val="en-GB" w:eastAsia="en-GB"/>
              </w:rPr>
              <w:t>9</w:t>
            </w:r>
            <w:r>
              <w:rPr>
                <w:rFonts w:cs="Calibri"/>
                <w:sz w:val="16"/>
                <w:szCs w:val="16"/>
                <w:lang w:val="en-GB" w:eastAsia="en-GB"/>
              </w:rPr>
              <w:t>.</w:t>
            </w:r>
            <w:r w:rsidRPr="003F033F">
              <w:rPr>
                <w:rFonts w:cs="Calibri"/>
                <w:sz w:val="16"/>
                <w:szCs w:val="16"/>
                <w:lang w:val="en-GB" w:eastAsia="en-GB"/>
              </w:rPr>
              <w:t>651</w:t>
            </w:r>
          </w:p>
        </w:tc>
        <w:tc>
          <w:tcPr>
            <w:tcW w:w="2135" w:type="dxa"/>
            <w:noWrap/>
            <w:hideMark/>
          </w:tcPr>
          <w:p w:rsidRPr="003F033F" w:rsidR="00B52D66" w:rsidP="00FC2172" w:rsidRDefault="00B52D66" w14:paraId="65117C8C" w14:textId="77777777">
            <w:pPr>
              <w:spacing w:line="240" w:lineRule="auto"/>
              <w:jc w:val="right"/>
              <w:rPr>
                <w:rFonts w:cs="Calibri"/>
                <w:sz w:val="16"/>
                <w:szCs w:val="16"/>
                <w:lang w:val="en-GB" w:eastAsia="en-GB"/>
              </w:rPr>
            </w:pPr>
            <w:r w:rsidRPr="003F033F">
              <w:rPr>
                <w:rFonts w:cs="Calibri"/>
                <w:sz w:val="16"/>
                <w:szCs w:val="16"/>
                <w:lang w:val="en-GB" w:eastAsia="en-GB"/>
              </w:rPr>
              <w:t>68</w:t>
            </w:r>
            <w:r>
              <w:rPr>
                <w:rFonts w:cs="Calibri"/>
                <w:sz w:val="16"/>
                <w:szCs w:val="16"/>
                <w:lang w:val="en-GB" w:eastAsia="en-GB"/>
              </w:rPr>
              <w:t>,0</w:t>
            </w:r>
          </w:p>
        </w:tc>
      </w:tr>
      <w:tr w:rsidRPr="003F033F" w:rsidR="00B52D66" w:rsidTr="00FC2172" w14:paraId="1D0831E4" w14:textId="77777777">
        <w:trPr>
          <w:trHeight w:val="290"/>
        </w:trPr>
        <w:tc>
          <w:tcPr>
            <w:tcW w:w="846" w:type="dxa"/>
            <w:noWrap/>
            <w:hideMark/>
          </w:tcPr>
          <w:p w:rsidRPr="003F033F" w:rsidR="00B52D66" w:rsidP="00FC2172" w:rsidRDefault="00B52D66" w14:paraId="464C40E0" w14:textId="77777777">
            <w:pPr>
              <w:spacing w:line="240" w:lineRule="auto"/>
              <w:rPr>
                <w:rFonts w:cs="Calibri"/>
                <w:sz w:val="16"/>
                <w:szCs w:val="16"/>
                <w:lang w:val="en-GB" w:eastAsia="en-GB"/>
              </w:rPr>
            </w:pPr>
            <w:r w:rsidRPr="003F033F">
              <w:rPr>
                <w:rFonts w:cs="Calibri"/>
                <w:sz w:val="16"/>
                <w:szCs w:val="16"/>
                <w:lang w:val="en-GB" w:eastAsia="en-GB"/>
              </w:rPr>
              <w:t>MaT</w:t>
            </w:r>
          </w:p>
        </w:tc>
        <w:tc>
          <w:tcPr>
            <w:tcW w:w="992" w:type="dxa"/>
            <w:noWrap/>
            <w:hideMark/>
          </w:tcPr>
          <w:p w:rsidRPr="003F033F" w:rsidR="00B52D66" w:rsidP="00FC2172" w:rsidRDefault="00B52D66" w14:paraId="7661B434" w14:textId="77777777">
            <w:pPr>
              <w:spacing w:line="240" w:lineRule="auto"/>
              <w:jc w:val="right"/>
              <w:rPr>
                <w:rFonts w:cs="Calibri"/>
                <w:i/>
                <w:iCs/>
                <w:sz w:val="16"/>
                <w:szCs w:val="16"/>
                <w:lang w:val="en-GB" w:eastAsia="en-GB"/>
              </w:rPr>
            </w:pPr>
            <w:r w:rsidRPr="003F033F">
              <w:rPr>
                <w:rFonts w:cs="Calibri"/>
                <w:i/>
                <w:iCs/>
                <w:sz w:val="16"/>
                <w:szCs w:val="16"/>
                <w:lang w:val="en-GB" w:eastAsia="en-GB"/>
              </w:rPr>
              <w:t>982</w:t>
            </w:r>
          </w:p>
        </w:tc>
        <w:tc>
          <w:tcPr>
            <w:tcW w:w="992" w:type="dxa"/>
            <w:noWrap/>
            <w:hideMark/>
          </w:tcPr>
          <w:p w:rsidRPr="003F033F" w:rsidR="00B52D66" w:rsidP="00FC2172" w:rsidRDefault="00B52D66" w14:paraId="1D4B1F23" w14:textId="77777777">
            <w:pPr>
              <w:spacing w:line="240" w:lineRule="auto"/>
              <w:jc w:val="right"/>
              <w:rPr>
                <w:rFonts w:cs="Calibri"/>
                <w:sz w:val="16"/>
                <w:szCs w:val="16"/>
                <w:lang w:val="en-GB" w:eastAsia="en-GB"/>
              </w:rPr>
            </w:pPr>
            <w:r w:rsidRPr="003F033F">
              <w:rPr>
                <w:rFonts w:cs="Calibri"/>
                <w:sz w:val="16"/>
                <w:szCs w:val="16"/>
                <w:lang w:val="en-GB" w:eastAsia="en-GB"/>
              </w:rPr>
              <w:t>812</w:t>
            </w:r>
          </w:p>
        </w:tc>
        <w:tc>
          <w:tcPr>
            <w:tcW w:w="1276" w:type="dxa"/>
            <w:noWrap/>
            <w:hideMark/>
          </w:tcPr>
          <w:p w:rsidRPr="003F033F" w:rsidR="00B52D66" w:rsidP="00FC2172" w:rsidRDefault="00B52D66" w14:paraId="65F63916" w14:textId="77777777">
            <w:pPr>
              <w:spacing w:line="240" w:lineRule="auto"/>
              <w:jc w:val="right"/>
              <w:rPr>
                <w:rFonts w:cs="Calibri"/>
                <w:sz w:val="16"/>
                <w:szCs w:val="16"/>
                <w:lang w:val="en-GB" w:eastAsia="en-GB"/>
              </w:rPr>
            </w:pPr>
            <w:r w:rsidRPr="003F033F">
              <w:rPr>
                <w:rFonts w:cs="Calibri"/>
                <w:sz w:val="16"/>
                <w:szCs w:val="16"/>
                <w:lang w:val="en-GB" w:eastAsia="en-GB"/>
              </w:rPr>
              <w:t>745</w:t>
            </w:r>
          </w:p>
        </w:tc>
        <w:tc>
          <w:tcPr>
            <w:tcW w:w="1559" w:type="dxa"/>
            <w:noWrap/>
            <w:hideMark/>
          </w:tcPr>
          <w:p w:rsidRPr="003F033F" w:rsidR="00B52D66" w:rsidP="00FC2172" w:rsidRDefault="00B52D66" w14:paraId="31F8E3C0" w14:textId="77777777">
            <w:pPr>
              <w:spacing w:line="240" w:lineRule="auto"/>
              <w:jc w:val="right"/>
              <w:rPr>
                <w:rFonts w:cs="Calibri"/>
                <w:sz w:val="16"/>
                <w:szCs w:val="16"/>
                <w:lang w:val="en-GB" w:eastAsia="en-GB"/>
              </w:rPr>
            </w:pPr>
            <w:r w:rsidRPr="003F033F">
              <w:rPr>
                <w:rFonts w:cs="Calibri"/>
                <w:sz w:val="16"/>
                <w:szCs w:val="16"/>
                <w:lang w:val="en-GB" w:eastAsia="en-GB"/>
              </w:rPr>
              <w:t>67</w:t>
            </w:r>
          </w:p>
        </w:tc>
        <w:tc>
          <w:tcPr>
            <w:tcW w:w="1560" w:type="dxa"/>
            <w:noWrap/>
            <w:hideMark/>
          </w:tcPr>
          <w:p w:rsidRPr="003F033F" w:rsidR="00B52D66" w:rsidP="00FC2172" w:rsidRDefault="00B52D66" w14:paraId="3445FFA9" w14:textId="77777777">
            <w:pPr>
              <w:spacing w:line="240" w:lineRule="auto"/>
              <w:jc w:val="right"/>
              <w:rPr>
                <w:rFonts w:cs="Calibri"/>
                <w:sz w:val="16"/>
                <w:szCs w:val="16"/>
                <w:lang w:val="en-GB" w:eastAsia="en-GB"/>
              </w:rPr>
            </w:pPr>
            <w:r w:rsidRPr="003F033F">
              <w:rPr>
                <w:rFonts w:cs="Calibri"/>
                <w:sz w:val="16"/>
                <w:szCs w:val="16"/>
                <w:lang w:val="en-GB" w:eastAsia="en-GB"/>
              </w:rPr>
              <w:t>695</w:t>
            </w:r>
          </w:p>
        </w:tc>
        <w:tc>
          <w:tcPr>
            <w:tcW w:w="2135" w:type="dxa"/>
            <w:noWrap/>
            <w:hideMark/>
          </w:tcPr>
          <w:p w:rsidRPr="003F033F" w:rsidR="00B52D66" w:rsidP="00FC2172" w:rsidRDefault="00B52D66" w14:paraId="7C6DD819" w14:textId="77777777">
            <w:pPr>
              <w:spacing w:line="240" w:lineRule="auto"/>
              <w:jc w:val="right"/>
              <w:rPr>
                <w:rFonts w:cs="Calibri"/>
                <w:sz w:val="16"/>
                <w:szCs w:val="16"/>
                <w:lang w:val="en-GB" w:eastAsia="en-GB"/>
              </w:rPr>
            </w:pPr>
            <w:r w:rsidRPr="003F033F">
              <w:rPr>
                <w:rFonts w:cs="Calibri"/>
                <w:sz w:val="16"/>
                <w:szCs w:val="16"/>
                <w:lang w:val="en-GB" w:eastAsia="en-GB"/>
              </w:rPr>
              <w:t>8</w:t>
            </w:r>
            <w:r>
              <w:rPr>
                <w:rFonts w:cs="Calibri"/>
                <w:sz w:val="16"/>
                <w:szCs w:val="16"/>
                <w:lang w:val="en-GB" w:eastAsia="en-GB"/>
              </w:rPr>
              <w:t>5,6</w:t>
            </w:r>
          </w:p>
        </w:tc>
      </w:tr>
      <w:tr w:rsidRPr="003F033F" w:rsidR="00B52D66" w:rsidTr="00FC2172" w14:paraId="1F2B2CD1" w14:textId="77777777">
        <w:trPr>
          <w:trHeight w:val="290"/>
        </w:trPr>
        <w:tc>
          <w:tcPr>
            <w:tcW w:w="846" w:type="dxa"/>
            <w:noWrap/>
            <w:hideMark/>
          </w:tcPr>
          <w:p w:rsidRPr="003F033F" w:rsidR="00B52D66" w:rsidP="00FC2172" w:rsidRDefault="00B52D66" w14:paraId="5E6EC694" w14:textId="77777777">
            <w:pPr>
              <w:spacing w:line="240" w:lineRule="auto"/>
              <w:rPr>
                <w:rFonts w:cs="Calibri"/>
                <w:sz w:val="16"/>
                <w:szCs w:val="16"/>
                <w:lang w:val="en-GB" w:eastAsia="en-GB"/>
              </w:rPr>
            </w:pPr>
            <w:r w:rsidRPr="003F033F">
              <w:rPr>
                <w:rFonts w:cs="Calibri"/>
                <w:sz w:val="16"/>
                <w:szCs w:val="16"/>
                <w:lang w:val="en-GB" w:eastAsia="en-GB"/>
              </w:rPr>
              <w:t>MVI</w:t>
            </w:r>
          </w:p>
        </w:tc>
        <w:tc>
          <w:tcPr>
            <w:tcW w:w="992" w:type="dxa"/>
            <w:noWrap/>
            <w:hideMark/>
          </w:tcPr>
          <w:p w:rsidRPr="003F033F" w:rsidR="00B52D66" w:rsidP="00FC2172" w:rsidRDefault="00B52D66" w14:paraId="5AC4F1EF" w14:textId="77777777">
            <w:pPr>
              <w:spacing w:line="240" w:lineRule="auto"/>
              <w:jc w:val="right"/>
              <w:rPr>
                <w:rFonts w:cs="Calibri"/>
                <w:i/>
                <w:iCs/>
                <w:sz w:val="16"/>
                <w:szCs w:val="16"/>
                <w:lang w:val="en-GB" w:eastAsia="en-GB"/>
              </w:rPr>
            </w:pPr>
            <w:r w:rsidRPr="003F033F">
              <w:rPr>
                <w:rFonts w:cs="Calibri"/>
                <w:i/>
                <w:iCs/>
                <w:sz w:val="16"/>
                <w:szCs w:val="16"/>
                <w:lang w:val="en-GB" w:eastAsia="en-GB"/>
              </w:rPr>
              <w:t>12</w:t>
            </w:r>
            <w:r>
              <w:rPr>
                <w:rFonts w:cs="Calibri"/>
                <w:i/>
                <w:iCs/>
                <w:sz w:val="16"/>
                <w:szCs w:val="16"/>
                <w:lang w:val="en-GB" w:eastAsia="en-GB"/>
              </w:rPr>
              <w:t>.</w:t>
            </w:r>
            <w:r w:rsidRPr="003F033F">
              <w:rPr>
                <w:rFonts w:cs="Calibri"/>
                <w:i/>
                <w:iCs/>
                <w:sz w:val="16"/>
                <w:szCs w:val="16"/>
                <w:lang w:val="en-GB" w:eastAsia="en-GB"/>
              </w:rPr>
              <w:t>822</w:t>
            </w:r>
          </w:p>
        </w:tc>
        <w:tc>
          <w:tcPr>
            <w:tcW w:w="992" w:type="dxa"/>
            <w:noWrap/>
            <w:hideMark/>
          </w:tcPr>
          <w:p w:rsidRPr="003F033F" w:rsidR="00B52D66" w:rsidP="00FC2172" w:rsidRDefault="00B52D66" w14:paraId="50823351" w14:textId="77777777">
            <w:pPr>
              <w:spacing w:line="240" w:lineRule="auto"/>
              <w:jc w:val="right"/>
              <w:rPr>
                <w:rFonts w:cs="Calibri"/>
                <w:sz w:val="16"/>
                <w:szCs w:val="16"/>
                <w:lang w:val="en-GB" w:eastAsia="en-GB"/>
              </w:rPr>
            </w:pPr>
            <w:r w:rsidRPr="003F033F">
              <w:rPr>
                <w:rFonts w:cs="Calibri"/>
                <w:sz w:val="16"/>
                <w:szCs w:val="16"/>
                <w:lang w:val="en-GB" w:eastAsia="en-GB"/>
              </w:rPr>
              <w:t>12</w:t>
            </w:r>
            <w:r>
              <w:rPr>
                <w:rFonts w:cs="Calibri"/>
                <w:sz w:val="16"/>
                <w:szCs w:val="16"/>
                <w:lang w:val="en-GB" w:eastAsia="en-GB"/>
              </w:rPr>
              <w:t>.</w:t>
            </w:r>
            <w:r w:rsidRPr="003F033F">
              <w:rPr>
                <w:rFonts w:cs="Calibri"/>
                <w:sz w:val="16"/>
                <w:szCs w:val="16"/>
                <w:lang w:val="en-GB" w:eastAsia="en-GB"/>
              </w:rPr>
              <w:t>446</w:t>
            </w:r>
          </w:p>
        </w:tc>
        <w:tc>
          <w:tcPr>
            <w:tcW w:w="1276" w:type="dxa"/>
            <w:noWrap/>
            <w:hideMark/>
          </w:tcPr>
          <w:p w:rsidRPr="003F033F" w:rsidR="00B52D66" w:rsidP="00FC2172" w:rsidRDefault="00B52D66" w14:paraId="2DF78DEF" w14:textId="77777777">
            <w:pPr>
              <w:spacing w:line="240" w:lineRule="auto"/>
              <w:jc w:val="right"/>
              <w:rPr>
                <w:rFonts w:cs="Calibri"/>
                <w:sz w:val="16"/>
                <w:szCs w:val="16"/>
                <w:lang w:val="en-GB" w:eastAsia="en-GB"/>
              </w:rPr>
            </w:pPr>
            <w:r w:rsidRPr="003F033F">
              <w:rPr>
                <w:rFonts w:cs="Calibri"/>
                <w:sz w:val="16"/>
                <w:szCs w:val="16"/>
                <w:lang w:val="en-GB" w:eastAsia="en-GB"/>
              </w:rPr>
              <w:t>4</w:t>
            </w:r>
            <w:r>
              <w:rPr>
                <w:rFonts w:cs="Calibri"/>
                <w:sz w:val="16"/>
                <w:szCs w:val="16"/>
                <w:lang w:val="en-GB" w:eastAsia="en-GB"/>
              </w:rPr>
              <w:t>.</w:t>
            </w:r>
            <w:r w:rsidRPr="003F033F">
              <w:rPr>
                <w:rFonts w:cs="Calibri"/>
                <w:sz w:val="16"/>
                <w:szCs w:val="16"/>
                <w:lang w:val="en-GB" w:eastAsia="en-GB"/>
              </w:rPr>
              <w:t>574</w:t>
            </w:r>
          </w:p>
        </w:tc>
        <w:tc>
          <w:tcPr>
            <w:tcW w:w="1559" w:type="dxa"/>
            <w:noWrap/>
            <w:hideMark/>
          </w:tcPr>
          <w:p w:rsidRPr="003F033F" w:rsidR="00B52D66" w:rsidP="00FC2172" w:rsidRDefault="00B52D66" w14:paraId="0D0CC5B2" w14:textId="77777777">
            <w:pPr>
              <w:spacing w:line="240" w:lineRule="auto"/>
              <w:jc w:val="right"/>
              <w:rPr>
                <w:rFonts w:cs="Calibri"/>
                <w:sz w:val="16"/>
                <w:szCs w:val="16"/>
                <w:lang w:val="en-GB" w:eastAsia="en-GB"/>
              </w:rPr>
            </w:pPr>
            <w:r w:rsidRPr="003F033F">
              <w:rPr>
                <w:rFonts w:cs="Calibri"/>
                <w:sz w:val="16"/>
                <w:szCs w:val="16"/>
                <w:lang w:val="en-GB" w:eastAsia="en-GB"/>
              </w:rPr>
              <w:t>7</w:t>
            </w:r>
            <w:r>
              <w:rPr>
                <w:rFonts w:cs="Calibri"/>
                <w:sz w:val="16"/>
                <w:szCs w:val="16"/>
                <w:lang w:val="en-GB" w:eastAsia="en-GB"/>
              </w:rPr>
              <w:t>.</w:t>
            </w:r>
            <w:r w:rsidRPr="003F033F">
              <w:rPr>
                <w:rFonts w:cs="Calibri"/>
                <w:sz w:val="16"/>
                <w:szCs w:val="16"/>
                <w:lang w:val="en-GB" w:eastAsia="en-GB"/>
              </w:rPr>
              <w:t>872</w:t>
            </w:r>
          </w:p>
        </w:tc>
        <w:tc>
          <w:tcPr>
            <w:tcW w:w="1560" w:type="dxa"/>
            <w:noWrap/>
            <w:hideMark/>
          </w:tcPr>
          <w:p w:rsidRPr="003F033F" w:rsidR="00B52D66" w:rsidP="00FC2172" w:rsidRDefault="00B52D66" w14:paraId="3E08F629" w14:textId="77777777">
            <w:pPr>
              <w:spacing w:line="240" w:lineRule="auto"/>
              <w:jc w:val="right"/>
              <w:rPr>
                <w:rFonts w:cs="Calibri"/>
                <w:sz w:val="16"/>
                <w:szCs w:val="16"/>
                <w:lang w:val="en-GB" w:eastAsia="en-GB"/>
              </w:rPr>
            </w:pPr>
            <w:r w:rsidRPr="003F033F">
              <w:rPr>
                <w:rFonts w:cs="Calibri"/>
                <w:sz w:val="16"/>
                <w:szCs w:val="16"/>
                <w:lang w:val="en-GB" w:eastAsia="en-GB"/>
              </w:rPr>
              <w:t>3</w:t>
            </w:r>
            <w:r>
              <w:rPr>
                <w:rFonts w:cs="Calibri"/>
                <w:sz w:val="16"/>
                <w:szCs w:val="16"/>
                <w:lang w:val="en-GB" w:eastAsia="en-GB"/>
              </w:rPr>
              <w:t>.</w:t>
            </w:r>
            <w:r w:rsidRPr="003F033F">
              <w:rPr>
                <w:rFonts w:cs="Calibri"/>
                <w:sz w:val="16"/>
                <w:szCs w:val="16"/>
                <w:lang w:val="en-GB" w:eastAsia="en-GB"/>
              </w:rPr>
              <w:t>932</w:t>
            </w:r>
          </w:p>
        </w:tc>
        <w:tc>
          <w:tcPr>
            <w:tcW w:w="2135" w:type="dxa"/>
            <w:noWrap/>
            <w:hideMark/>
          </w:tcPr>
          <w:p w:rsidRPr="003F033F" w:rsidR="00B52D66" w:rsidP="00FC2172" w:rsidRDefault="00B52D66" w14:paraId="78D85B15" w14:textId="77777777">
            <w:pPr>
              <w:spacing w:line="240" w:lineRule="auto"/>
              <w:jc w:val="right"/>
              <w:rPr>
                <w:rFonts w:cs="Calibri"/>
                <w:sz w:val="16"/>
                <w:szCs w:val="16"/>
                <w:lang w:val="en-GB" w:eastAsia="en-GB"/>
              </w:rPr>
            </w:pPr>
            <w:r w:rsidRPr="003F033F">
              <w:rPr>
                <w:rFonts w:cs="Calibri"/>
                <w:sz w:val="16"/>
                <w:szCs w:val="16"/>
                <w:lang w:val="en-GB" w:eastAsia="en-GB"/>
              </w:rPr>
              <w:t>3</w:t>
            </w:r>
            <w:r>
              <w:rPr>
                <w:rFonts w:cs="Calibri"/>
                <w:sz w:val="16"/>
                <w:szCs w:val="16"/>
                <w:lang w:val="en-GB" w:eastAsia="en-GB"/>
              </w:rPr>
              <w:t>1,6</w:t>
            </w:r>
          </w:p>
        </w:tc>
      </w:tr>
      <w:tr w:rsidRPr="003F033F" w:rsidR="00B52D66" w:rsidTr="00FC2172" w14:paraId="7703AA03" w14:textId="77777777">
        <w:trPr>
          <w:trHeight w:val="290"/>
        </w:trPr>
        <w:tc>
          <w:tcPr>
            <w:tcW w:w="846" w:type="dxa"/>
            <w:noWrap/>
            <w:hideMark/>
          </w:tcPr>
          <w:p w:rsidRPr="003F033F" w:rsidR="00B52D66" w:rsidP="00FC2172" w:rsidRDefault="00B52D66" w14:paraId="56630EE3" w14:textId="77777777">
            <w:pPr>
              <w:spacing w:line="240" w:lineRule="auto"/>
              <w:rPr>
                <w:rFonts w:cs="Calibri"/>
                <w:sz w:val="16"/>
                <w:szCs w:val="16"/>
                <w:lang w:val="en-GB" w:eastAsia="en-GB"/>
              </w:rPr>
            </w:pPr>
            <w:r w:rsidRPr="003F033F">
              <w:rPr>
                <w:rFonts w:cs="Calibri"/>
                <w:sz w:val="16"/>
                <w:szCs w:val="16"/>
                <w:lang w:val="en-GB" w:eastAsia="en-GB"/>
              </w:rPr>
              <w:t>M&amp;T</w:t>
            </w:r>
          </w:p>
        </w:tc>
        <w:tc>
          <w:tcPr>
            <w:tcW w:w="992" w:type="dxa"/>
            <w:noWrap/>
            <w:hideMark/>
          </w:tcPr>
          <w:p w:rsidRPr="003F033F" w:rsidR="00B52D66" w:rsidP="00FC2172" w:rsidRDefault="00B52D66" w14:paraId="313F06D0" w14:textId="77777777">
            <w:pPr>
              <w:spacing w:line="240" w:lineRule="auto"/>
              <w:jc w:val="right"/>
              <w:rPr>
                <w:rFonts w:cs="Calibri"/>
                <w:i/>
                <w:iCs/>
                <w:sz w:val="16"/>
                <w:szCs w:val="16"/>
                <w:lang w:val="en-GB" w:eastAsia="en-GB"/>
              </w:rPr>
            </w:pPr>
            <w:r w:rsidRPr="003F033F">
              <w:rPr>
                <w:rFonts w:cs="Calibri"/>
                <w:i/>
                <w:iCs/>
                <w:sz w:val="16"/>
                <w:szCs w:val="16"/>
                <w:lang w:val="en-GB" w:eastAsia="en-GB"/>
              </w:rPr>
              <w:t>6</w:t>
            </w:r>
            <w:r>
              <w:rPr>
                <w:rFonts w:cs="Calibri"/>
                <w:i/>
                <w:iCs/>
                <w:sz w:val="16"/>
                <w:szCs w:val="16"/>
                <w:lang w:val="en-GB" w:eastAsia="en-GB"/>
              </w:rPr>
              <w:t>.</w:t>
            </w:r>
            <w:r w:rsidRPr="003F033F">
              <w:rPr>
                <w:rFonts w:cs="Calibri"/>
                <w:i/>
                <w:iCs/>
                <w:sz w:val="16"/>
                <w:szCs w:val="16"/>
                <w:lang w:val="en-GB" w:eastAsia="en-GB"/>
              </w:rPr>
              <w:t>486</w:t>
            </w:r>
          </w:p>
        </w:tc>
        <w:tc>
          <w:tcPr>
            <w:tcW w:w="992" w:type="dxa"/>
            <w:noWrap/>
            <w:hideMark/>
          </w:tcPr>
          <w:p w:rsidRPr="003F033F" w:rsidR="00B52D66" w:rsidP="00FC2172" w:rsidRDefault="00B52D66" w14:paraId="59F52610" w14:textId="77777777">
            <w:pPr>
              <w:spacing w:line="240" w:lineRule="auto"/>
              <w:jc w:val="right"/>
              <w:rPr>
                <w:rFonts w:cs="Calibri"/>
                <w:sz w:val="16"/>
                <w:szCs w:val="16"/>
                <w:lang w:val="en-GB" w:eastAsia="en-GB"/>
              </w:rPr>
            </w:pPr>
            <w:r w:rsidRPr="003F033F">
              <w:rPr>
                <w:rFonts w:cs="Calibri"/>
                <w:sz w:val="16"/>
                <w:szCs w:val="16"/>
                <w:lang w:val="en-GB" w:eastAsia="en-GB"/>
              </w:rPr>
              <w:t>5</w:t>
            </w:r>
            <w:r>
              <w:rPr>
                <w:rFonts w:cs="Calibri"/>
                <w:sz w:val="16"/>
                <w:szCs w:val="16"/>
                <w:lang w:val="en-GB" w:eastAsia="en-GB"/>
              </w:rPr>
              <w:t>.</w:t>
            </w:r>
            <w:r w:rsidRPr="003F033F">
              <w:rPr>
                <w:rFonts w:cs="Calibri"/>
                <w:sz w:val="16"/>
                <w:szCs w:val="16"/>
                <w:lang w:val="en-GB" w:eastAsia="en-GB"/>
              </w:rPr>
              <w:t>851</w:t>
            </w:r>
          </w:p>
        </w:tc>
        <w:tc>
          <w:tcPr>
            <w:tcW w:w="1276" w:type="dxa"/>
            <w:noWrap/>
            <w:hideMark/>
          </w:tcPr>
          <w:p w:rsidRPr="003F033F" w:rsidR="00B52D66" w:rsidP="00FC2172" w:rsidRDefault="00B52D66" w14:paraId="2CC21F1C" w14:textId="77777777">
            <w:pPr>
              <w:spacing w:line="240" w:lineRule="auto"/>
              <w:jc w:val="right"/>
              <w:rPr>
                <w:rFonts w:cs="Calibri"/>
                <w:sz w:val="16"/>
                <w:szCs w:val="16"/>
                <w:lang w:val="en-GB" w:eastAsia="en-GB"/>
              </w:rPr>
            </w:pPr>
            <w:r w:rsidRPr="003F033F">
              <w:rPr>
                <w:rFonts w:cs="Calibri"/>
                <w:sz w:val="16"/>
                <w:szCs w:val="16"/>
                <w:lang w:val="en-GB" w:eastAsia="en-GB"/>
              </w:rPr>
              <w:t>4</w:t>
            </w:r>
            <w:r>
              <w:rPr>
                <w:rFonts w:cs="Calibri"/>
                <w:sz w:val="16"/>
                <w:szCs w:val="16"/>
                <w:lang w:val="en-GB" w:eastAsia="en-GB"/>
              </w:rPr>
              <w:t>.</w:t>
            </w:r>
            <w:r w:rsidRPr="003F033F">
              <w:rPr>
                <w:rFonts w:cs="Calibri"/>
                <w:sz w:val="16"/>
                <w:szCs w:val="16"/>
                <w:lang w:val="en-GB" w:eastAsia="en-GB"/>
              </w:rPr>
              <w:t>846</w:t>
            </w:r>
          </w:p>
        </w:tc>
        <w:tc>
          <w:tcPr>
            <w:tcW w:w="1559" w:type="dxa"/>
            <w:noWrap/>
            <w:hideMark/>
          </w:tcPr>
          <w:p w:rsidRPr="003F033F" w:rsidR="00B52D66" w:rsidP="00FC2172" w:rsidRDefault="00B52D66" w14:paraId="2E305335" w14:textId="77777777">
            <w:pPr>
              <w:spacing w:line="240" w:lineRule="auto"/>
              <w:jc w:val="right"/>
              <w:rPr>
                <w:rFonts w:cs="Calibri"/>
                <w:sz w:val="16"/>
                <w:szCs w:val="16"/>
                <w:lang w:val="en-GB" w:eastAsia="en-GB"/>
              </w:rPr>
            </w:pPr>
            <w:r w:rsidRPr="003F033F">
              <w:rPr>
                <w:rFonts w:cs="Calibri"/>
                <w:sz w:val="16"/>
                <w:szCs w:val="16"/>
                <w:lang w:val="en-GB" w:eastAsia="en-GB"/>
              </w:rPr>
              <w:t>1</w:t>
            </w:r>
            <w:r>
              <w:rPr>
                <w:rFonts w:cs="Calibri"/>
                <w:sz w:val="16"/>
                <w:szCs w:val="16"/>
                <w:lang w:val="en-GB" w:eastAsia="en-GB"/>
              </w:rPr>
              <w:t>.</w:t>
            </w:r>
            <w:r w:rsidRPr="003F033F">
              <w:rPr>
                <w:rFonts w:cs="Calibri"/>
                <w:sz w:val="16"/>
                <w:szCs w:val="16"/>
                <w:lang w:val="en-GB" w:eastAsia="en-GB"/>
              </w:rPr>
              <w:t>005</w:t>
            </w:r>
          </w:p>
        </w:tc>
        <w:tc>
          <w:tcPr>
            <w:tcW w:w="1560" w:type="dxa"/>
            <w:noWrap/>
            <w:hideMark/>
          </w:tcPr>
          <w:p w:rsidRPr="003F033F" w:rsidR="00B52D66" w:rsidP="00FC2172" w:rsidRDefault="00B52D66" w14:paraId="0EF4F086" w14:textId="77777777">
            <w:pPr>
              <w:spacing w:line="240" w:lineRule="auto"/>
              <w:jc w:val="right"/>
              <w:rPr>
                <w:rFonts w:cs="Calibri"/>
                <w:sz w:val="16"/>
                <w:szCs w:val="16"/>
                <w:lang w:val="en-GB" w:eastAsia="en-GB"/>
              </w:rPr>
            </w:pPr>
            <w:r w:rsidRPr="003F033F">
              <w:rPr>
                <w:rFonts w:cs="Calibri"/>
                <w:sz w:val="16"/>
                <w:szCs w:val="16"/>
                <w:lang w:val="en-GB" w:eastAsia="en-GB"/>
              </w:rPr>
              <w:t>4</w:t>
            </w:r>
            <w:r>
              <w:rPr>
                <w:rFonts w:cs="Calibri"/>
                <w:sz w:val="16"/>
                <w:szCs w:val="16"/>
                <w:lang w:val="en-GB" w:eastAsia="en-GB"/>
              </w:rPr>
              <w:t>.</w:t>
            </w:r>
            <w:r w:rsidRPr="003F033F">
              <w:rPr>
                <w:rFonts w:cs="Calibri"/>
                <w:sz w:val="16"/>
                <w:szCs w:val="16"/>
                <w:lang w:val="en-GB" w:eastAsia="en-GB"/>
              </w:rPr>
              <w:t>066</w:t>
            </w:r>
          </w:p>
        </w:tc>
        <w:tc>
          <w:tcPr>
            <w:tcW w:w="2135" w:type="dxa"/>
            <w:noWrap/>
            <w:hideMark/>
          </w:tcPr>
          <w:p w:rsidRPr="003F033F" w:rsidR="00B52D66" w:rsidP="00FC2172" w:rsidRDefault="00B52D66" w14:paraId="65BBF71B" w14:textId="77777777">
            <w:pPr>
              <w:spacing w:line="240" w:lineRule="auto"/>
              <w:jc w:val="right"/>
              <w:rPr>
                <w:rFonts w:cs="Calibri"/>
                <w:sz w:val="16"/>
                <w:szCs w:val="16"/>
                <w:lang w:val="en-GB" w:eastAsia="en-GB"/>
              </w:rPr>
            </w:pPr>
            <w:r w:rsidRPr="003F033F">
              <w:rPr>
                <w:rFonts w:cs="Calibri"/>
                <w:sz w:val="16"/>
                <w:szCs w:val="16"/>
                <w:lang w:val="en-GB" w:eastAsia="en-GB"/>
              </w:rPr>
              <w:t>69</w:t>
            </w:r>
            <w:r>
              <w:rPr>
                <w:rFonts w:cs="Calibri"/>
                <w:sz w:val="16"/>
                <w:szCs w:val="16"/>
                <w:lang w:val="en-GB" w:eastAsia="en-GB"/>
              </w:rPr>
              <w:t>,5</w:t>
            </w:r>
          </w:p>
        </w:tc>
      </w:tr>
      <w:tr w:rsidRPr="003F033F" w:rsidR="00B52D66" w:rsidTr="00FC2172" w14:paraId="2B05D1B5" w14:textId="77777777">
        <w:trPr>
          <w:trHeight w:val="290"/>
        </w:trPr>
        <w:tc>
          <w:tcPr>
            <w:tcW w:w="846" w:type="dxa"/>
            <w:noWrap/>
            <w:hideMark/>
          </w:tcPr>
          <w:p w:rsidRPr="003F033F" w:rsidR="00B52D66" w:rsidP="00FC2172" w:rsidRDefault="00B52D66" w14:paraId="629E21CF" w14:textId="77777777">
            <w:pPr>
              <w:spacing w:line="240" w:lineRule="auto"/>
              <w:rPr>
                <w:rFonts w:cs="Calibri"/>
                <w:sz w:val="16"/>
                <w:szCs w:val="16"/>
                <w:lang w:val="en-GB" w:eastAsia="en-GB"/>
              </w:rPr>
            </w:pPr>
            <w:r w:rsidRPr="003F033F">
              <w:rPr>
                <w:rFonts w:cs="Calibri"/>
                <w:sz w:val="16"/>
                <w:szCs w:val="16"/>
                <w:lang w:val="en-GB" w:eastAsia="en-GB"/>
              </w:rPr>
              <w:t>PIE</w:t>
            </w:r>
          </w:p>
        </w:tc>
        <w:tc>
          <w:tcPr>
            <w:tcW w:w="992" w:type="dxa"/>
            <w:noWrap/>
            <w:hideMark/>
          </w:tcPr>
          <w:p w:rsidRPr="003F033F" w:rsidR="00B52D66" w:rsidP="00FC2172" w:rsidRDefault="00B52D66" w14:paraId="6783F19E" w14:textId="77777777">
            <w:pPr>
              <w:spacing w:line="240" w:lineRule="auto"/>
              <w:jc w:val="right"/>
              <w:rPr>
                <w:rFonts w:cs="Calibri"/>
                <w:i/>
                <w:iCs/>
                <w:sz w:val="16"/>
                <w:szCs w:val="16"/>
                <w:lang w:val="en-GB" w:eastAsia="en-GB"/>
              </w:rPr>
            </w:pPr>
            <w:r w:rsidRPr="003F033F">
              <w:rPr>
                <w:rFonts w:cs="Calibri"/>
                <w:i/>
                <w:iCs/>
                <w:sz w:val="16"/>
                <w:szCs w:val="16"/>
                <w:lang w:val="en-GB" w:eastAsia="en-GB"/>
              </w:rPr>
              <w:t>16</w:t>
            </w:r>
            <w:r>
              <w:rPr>
                <w:rFonts w:cs="Calibri"/>
                <w:i/>
                <w:iCs/>
                <w:sz w:val="16"/>
                <w:szCs w:val="16"/>
                <w:lang w:val="en-GB" w:eastAsia="en-GB"/>
              </w:rPr>
              <w:t>.</w:t>
            </w:r>
            <w:r w:rsidRPr="003F033F">
              <w:rPr>
                <w:rFonts w:cs="Calibri"/>
                <w:i/>
                <w:iCs/>
                <w:sz w:val="16"/>
                <w:szCs w:val="16"/>
                <w:lang w:val="en-GB" w:eastAsia="en-GB"/>
              </w:rPr>
              <w:t>271</w:t>
            </w:r>
          </w:p>
        </w:tc>
        <w:tc>
          <w:tcPr>
            <w:tcW w:w="992" w:type="dxa"/>
            <w:noWrap/>
            <w:hideMark/>
          </w:tcPr>
          <w:p w:rsidRPr="003F033F" w:rsidR="00B52D66" w:rsidP="00FC2172" w:rsidRDefault="00B52D66" w14:paraId="4BD9180F" w14:textId="77777777">
            <w:pPr>
              <w:spacing w:line="240" w:lineRule="auto"/>
              <w:jc w:val="right"/>
              <w:rPr>
                <w:rFonts w:cs="Calibri"/>
                <w:sz w:val="16"/>
                <w:szCs w:val="16"/>
                <w:lang w:val="en-GB" w:eastAsia="en-GB"/>
              </w:rPr>
            </w:pPr>
            <w:r w:rsidRPr="003F033F">
              <w:rPr>
                <w:rFonts w:cs="Calibri"/>
                <w:sz w:val="16"/>
                <w:szCs w:val="16"/>
                <w:lang w:val="en-GB" w:eastAsia="en-GB"/>
              </w:rPr>
              <w:t>15</w:t>
            </w:r>
            <w:r>
              <w:rPr>
                <w:rFonts w:cs="Calibri"/>
                <w:sz w:val="16"/>
                <w:szCs w:val="16"/>
                <w:lang w:val="en-GB" w:eastAsia="en-GB"/>
              </w:rPr>
              <w:t>.</w:t>
            </w:r>
            <w:r w:rsidRPr="003F033F">
              <w:rPr>
                <w:rFonts w:cs="Calibri"/>
                <w:sz w:val="16"/>
                <w:szCs w:val="16"/>
                <w:lang w:val="en-GB" w:eastAsia="en-GB"/>
              </w:rPr>
              <w:t>770</w:t>
            </w:r>
          </w:p>
        </w:tc>
        <w:tc>
          <w:tcPr>
            <w:tcW w:w="1276" w:type="dxa"/>
            <w:noWrap/>
            <w:hideMark/>
          </w:tcPr>
          <w:p w:rsidRPr="003F033F" w:rsidR="00B52D66" w:rsidP="00FC2172" w:rsidRDefault="00B52D66" w14:paraId="627CD33C" w14:textId="77777777">
            <w:pPr>
              <w:spacing w:line="240" w:lineRule="auto"/>
              <w:jc w:val="right"/>
              <w:rPr>
                <w:rFonts w:cs="Calibri"/>
                <w:sz w:val="16"/>
                <w:szCs w:val="16"/>
                <w:lang w:val="en-GB" w:eastAsia="en-GB"/>
              </w:rPr>
            </w:pPr>
            <w:r w:rsidRPr="003F033F">
              <w:rPr>
                <w:rFonts w:cs="Calibri"/>
                <w:sz w:val="16"/>
                <w:szCs w:val="16"/>
                <w:lang w:val="en-GB" w:eastAsia="en-GB"/>
              </w:rPr>
              <w:t>12</w:t>
            </w:r>
            <w:r>
              <w:rPr>
                <w:rFonts w:cs="Calibri"/>
                <w:sz w:val="16"/>
                <w:szCs w:val="16"/>
                <w:lang w:val="en-GB" w:eastAsia="en-GB"/>
              </w:rPr>
              <w:t>.</w:t>
            </w:r>
            <w:r w:rsidRPr="003F033F">
              <w:rPr>
                <w:rFonts w:cs="Calibri"/>
                <w:sz w:val="16"/>
                <w:szCs w:val="16"/>
                <w:lang w:val="en-GB" w:eastAsia="en-GB"/>
              </w:rPr>
              <w:t>893</w:t>
            </w:r>
          </w:p>
        </w:tc>
        <w:tc>
          <w:tcPr>
            <w:tcW w:w="1559" w:type="dxa"/>
            <w:noWrap/>
            <w:hideMark/>
          </w:tcPr>
          <w:p w:rsidRPr="003F033F" w:rsidR="00B52D66" w:rsidP="00FC2172" w:rsidRDefault="00B52D66" w14:paraId="69C09231" w14:textId="77777777">
            <w:pPr>
              <w:spacing w:line="240" w:lineRule="auto"/>
              <w:jc w:val="right"/>
              <w:rPr>
                <w:rFonts w:cs="Calibri"/>
                <w:sz w:val="16"/>
                <w:szCs w:val="16"/>
                <w:lang w:val="en-GB" w:eastAsia="en-GB"/>
              </w:rPr>
            </w:pPr>
            <w:r w:rsidRPr="003F033F">
              <w:rPr>
                <w:rFonts w:cs="Calibri"/>
                <w:sz w:val="16"/>
                <w:szCs w:val="16"/>
                <w:lang w:val="en-GB" w:eastAsia="en-GB"/>
              </w:rPr>
              <w:t>2</w:t>
            </w:r>
            <w:r>
              <w:rPr>
                <w:rFonts w:cs="Calibri"/>
                <w:sz w:val="16"/>
                <w:szCs w:val="16"/>
                <w:lang w:val="en-GB" w:eastAsia="en-GB"/>
              </w:rPr>
              <w:t>.</w:t>
            </w:r>
            <w:r w:rsidRPr="003F033F">
              <w:rPr>
                <w:rFonts w:cs="Calibri"/>
                <w:sz w:val="16"/>
                <w:szCs w:val="16"/>
                <w:lang w:val="en-GB" w:eastAsia="en-GB"/>
              </w:rPr>
              <w:t>877</w:t>
            </w:r>
          </w:p>
        </w:tc>
        <w:tc>
          <w:tcPr>
            <w:tcW w:w="1560" w:type="dxa"/>
            <w:noWrap/>
            <w:hideMark/>
          </w:tcPr>
          <w:p w:rsidRPr="003F033F" w:rsidR="00B52D66" w:rsidP="00FC2172" w:rsidRDefault="00B52D66" w14:paraId="1BB54323" w14:textId="77777777">
            <w:pPr>
              <w:spacing w:line="240" w:lineRule="auto"/>
              <w:jc w:val="right"/>
              <w:rPr>
                <w:rFonts w:cs="Calibri"/>
                <w:sz w:val="16"/>
                <w:szCs w:val="16"/>
                <w:lang w:val="en-GB" w:eastAsia="en-GB"/>
              </w:rPr>
            </w:pPr>
            <w:r w:rsidRPr="003F033F">
              <w:rPr>
                <w:rFonts w:cs="Calibri"/>
                <w:sz w:val="16"/>
                <w:szCs w:val="16"/>
                <w:lang w:val="en-GB" w:eastAsia="en-GB"/>
              </w:rPr>
              <w:t>11</w:t>
            </w:r>
            <w:r>
              <w:rPr>
                <w:rFonts w:cs="Calibri"/>
                <w:sz w:val="16"/>
                <w:szCs w:val="16"/>
                <w:lang w:val="en-GB" w:eastAsia="en-GB"/>
              </w:rPr>
              <w:t>.</w:t>
            </w:r>
            <w:r w:rsidRPr="003F033F">
              <w:rPr>
                <w:rFonts w:cs="Calibri"/>
                <w:sz w:val="16"/>
                <w:szCs w:val="16"/>
                <w:lang w:val="en-GB" w:eastAsia="en-GB"/>
              </w:rPr>
              <w:t>852</w:t>
            </w:r>
          </w:p>
        </w:tc>
        <w:tc>
          <w:tcPr>
            <w:tcW w:w="2135" w:type="dxa"/>
            <w:noWrap/>
            <w:hideMark/>
          </w:tcPr>
          <w:p w:rsidRPr="003F033F" w:rsidR="00B52D66" w:rsidP="00FC2172" w:rsidRDefault="00B52D66" w14:paraId="13DD4752" w14:textId="77777777">
            <w:pPr>
              <w:spacing w:line="240" w:lineRule="auto"/>
              <w:jc w:val="right"/>
              <w:rPr>
                <w:rFonts w:cs="Calibri"/>
                <w:sz w:val="16"/>
                <w:szCs w:val="16"/>
                <w:lang w:val="en-GB" w:eastAsia="en-GB"/>
              </w:rPr>
            </w:pPr>
            <w:r w:rsidRPr="003F033F">
              <w:rPr>
                <w:rFonts w:cs="Calibri"/>
                <w:sz w:val="16"/>
                <w:szCs w:val="16"/>
                <w:lang w:val="en-GB" w:eastAsia="en-GB"/>
              </w:rPr>
              <w:t>75</w:t>
            </w:r>
            <w:r>
              <w:rPr>
                <w:rFonts w:cs="Calibri"/>
                <w:sz w:val="16"/>
                <w:szCs w:val="16"/>
                <w:lang w:val="en-GB" w:eastAsia="en-GB"/>
              </w:rPr>
              <w:t>,2</w:t>
            </w:r>
          </w:p>
        </w:tc>
      </w:tr>
      <w:tr w:rsidRPr="003F033F" w:rsidR="00B52D66" w:rsidTr="00FC2172" w14:paraId="37071196" w14:textId="77777777">
        <w:trPr>
          <w:trHeight w:val="290"/>
        </w:trPr>
        <w:tc>
          <w:tcPr>
            <w:tcW w:w="846" w:type="dxa"/>
            <w:noWrap/>
            <w:vAlign w:val="center"/>
            <w:hideMark/>
          </w:tcPr>
          <w:p w:rsidRPr="003F033F" w:rsidR="00B52D66" w:rsidP="00FC2172" w:rsidRDefault="00B52D66" w14:paraId="194ADA15" w14:textId="77777777">
            <w:pPr>
              <w:spacing w:line="240" w:lineRule="auto"/>
              <w:rPr>
                <w:rFonts w:cs="Calibri"/>
                <w:b/>
                <w:bCs/>
                <w:sz w:val="16"/>
                <w:szCs w:val="16"/>
                <w:lang w:val="en-GB" w:eastAsia="en-GB"/>
              </w:rPr>
            </w:pPr>
            <w:r w:rsidRPr="003F033F">
              <w:rPr>
                <w:rFonts w:cs="Calibri"/>
                <w:b/>
                <w:bCs/>
                <w:sz w:val="16"/>
                <w:szCs w:val="16"/>
                <w:lang w:val="en-GB" w:eastAsia="en-GB"/>
              </w:rPr>
              <w:t>Tota</w:t>
            </w:r>
            <w:r>
              <w:rPr>
                <w:rFonts w:cs="Calibri"/>
                <w:b/>
                <w:bCs/>
                <w:sz w:val="16"/>
                <w:szCs w:val="16"/>
                <w:lang w:val="en-GB" w:eastAsia="en-GB"/>
              </w:rPr>
              <w:t>a</w:t>
            </w:r>
            <w:r w:rsidRPr="003F033F">
              <w:rPr>
                <w:rFonts w:cs="Calibri"/>
                <w:b/>
                <w:bCs/>
                <w:sz w:val="16"/>
                <w:szCs w:val="16"/>
                <w:lang w:val="en-GB" w:eastAsia="en-GB"/>
              </w:rPr>
              <w:t>l</w:t>
            </w:r>
          </w:p>
        </w:tc>
        <w:tc>
          <w:tcPr>
            <w:tcW w:w="992" w:type="dxa"/>
            <w:noWrap/>
            <w:hideMark/>
          </w:tcPr>
          <w:p w:rsidRPr="003F033F" w:rsidR="00B52D66" w:rsidP="00FC2172" w:rsidRDefault="00B52D66" w14:paraId="679D1C7C" w14:textId="77777777">
            <w:pPr>
              <w:spacing w:line="240" w:lineRule="auto"/>
              <w:rPr>
                <w:rFonts w:cs="Calibri"/>
                <w:b/>
                <w:bCs/>
                <w:i/>
                <w:iCs/>
                <w:sz w:val="16"/>
                <w:szCs w:val="16"/>
                <w:lang w:val="en-GB" w:eastAsia="en-GB"/>
              </w:rPr>
            </w:pPr>
            <w:r w:rsidRPr="003F033F">
              <w:rPr>
                <w:rFonts w:cs="Calibri"/>
                <w:b/>
                <w:bCs/>
                <w:i/>
                <w:iCs/>
                <w:sz w:val="16"/>
                <w:szCs w:val="16"/>
                <w:lang w:val="en-GB" w:eastAsia="en-GB"/>
              </w:rPr>
              <w:t xml:space="preserve">    </w:t>
            </w:r>
            <w:r w:rsidRPr="00301757">
              <w:rPr>
                <w:rFonts w:cs="Calibri"/>
                <w:b/>
                <w:bCs/>
                <w:i/>
                <w:iCs/>
                <w:sz w:val="16"/>
                <w:szCs w:val="16"/>
                <w:lang w:val="en-GB" w:eastAsia="en-GB"/>
              </w:rPr>
              <w:t xml:space="preserve">  </w:t>
            </w:r>
            <w:r w:rsidRPr="003F033F">
              <w:rPr>
                <w:rFonts w:cs="Calibri"/>
                <w:b/>
                <w:bCs/>
                <w:i/>
                <w:iCs/>
                <w:sz w:val="16"/>
                <w:szCs w:val="16"/>
                <w:lang w:val="en-GB" w:eastAsia="en-GB"/>
              </w:rPr>
              <w:t>51.041</w:t>
            </w:r>
          </w:p>
        </w:tc>
        <w:tc>
          <w:tcPr>
            <w:tcW w:w="992" w:type="dxa"/>
            <w:noWrap/>
            <w:hideMark/>
          </w:tcPr>
          <w:p w:rsidRPr="003F033F" w:rsidR="00B52D66" w:rsidP="00FC2172" w:rsidRDefault="00B52D66" w14:paraId="115ABE7B" w14:textId="77777777">
            <w:pPr>
              <w:spacing w:line="240" w:lineRule="auto"/>
              <w:rPr>
                <w:rFonts w:cs="Calibri"/>
                <w:b/>
                <w:bCs/>
                <w:sz w:val="16"/>
                <w:szCs w:val="16"/>
                <w:lang w:val="en-GB" w:eastAsia="en-GB"/>
              </w:rPr>
            </w:pPr>
            <w:r w:rsidRPr="003F033F">
              <w:rPr>
                <w:rFonts w:cs="Calibri"/>
                <w:b/>
                <w:bCs/>
                <w:sz w:val="16"/>
                <w:szCs w:val="16"/>
                <w:lang w:val="en-GB" w:eastAsia="en-GB"/>
              </w:rPr>
              <w:t xml:space="preserve">      49.070</w:t>
            </w:r>
          </w:p>
        </w:tc>
        <w:tc>
          <w:tcPr>
            <w:tcW w:w="1276" w:type="dxa"/>
            <w:noWrap/>
            <w:hideMark/>
          </w:tcPr>
          <w:p w:rsidRPr="003F033F" w:rsidR="00B52D66" w:rsidP="00FC2172" w:rsidRDefault="00B52D66" w14:paraId="614A2AB5" w14:textId="77777777">
            <w:pPr>
              <w:spacing w:line="240" w:lineRule="auto"/>
              <w:jc w:val="right"/>
              <w:rPr>
                <w:rFonts w:cs="Calibri"/>
                <w:b/>
                <w:bCs/>
                <w:sz w:val="16"/>
                <w:szCs w:val="16"/>
                <w:lang w:val="en-GB" w:eastAsia="en-GB"/>
              </w:rPr>
            </w:pPr>
            <w:r w:rsidRPr="003F033F">
              <w:rPr>
                <w:rFonts w:cs="Calibri"/>
                <w:b/>
                <w:bCs/>
                <w:sz w:val="16"/>
                <w:szCs w:val="16"/>
                <w:lang w:val="en-GB" w:eastAsia="en-GB"/>
              </w:rPr>
              <w:t xml:space="preserve">           33.876 </w:t>
            </w:r>
          </w:p>
        </w:tc>
        <w:tc>
          <w:tcPr>
            <w:tcW w:w="1559" w:type="dxa"/>
            <w:noWrap/>
            <w:hideMark/>
          </w:tcPr>
          <w:p w:rsidRPr="003F033F" w:rsidR="00B52D66" w:rsidP="00FC2172" w:rsidRDefault="00B52D66" w14:paraId="75553A2B" w14:textId="77777777">
            <w:pPr>
              <w:spacing w:line="240" w:lineRule="auto"/>
              <w:jc w:val="right"/>
              <w:rPr>
                <w:rFonts w:cs="Calibri"/>
                <w:b/>
                <w:bCs/>
                <w:sz w:val="16"/>
                <w:szCs w:val="16"/>
                <w:lang w:val="en-GB" w:eastAsia="en-GB"/>
              </w:rPr>
            </w:pPr>
            <w:r w:rsidRPr="003F033F">
              <w:rPr>
                <w:rFonts w:cs="Calibri"/>
                <w:b/>
                <w:bCs/>
                <w:sz w:val="16"/>
                <w:szCs w:val="16"/>
                <w:lang w:val="en-GB" w:eastAsia="en-GB"/>
              </w:rPr>
              <w:t xml:space="preserve">                15.194 </w:t>
            </w:r>
          </w:p>
        </w:tc>
        <w:tc>
          <w:tcPr>
            <w:tcW w:w="1560" w:type="dxa"/>
            <w:noWrap/>
            <w:hideMark/>
          </w:tcPr>
          <w:p w:rsidRPr="003F033F" w:rsidR="00B52D66" w:rsidP="00FC2172" w:rsidRDefault="00B52D66" w14:paraId="61A56A59" w14:textId="77777777">
            <w:pPr>
              <w:spacing w:line="240" w:lineRule="auto"/>
              <w:rPr>
                <w:rFonts w:cs="Calibri"/>
                <w:b/>
                <w:bCs/>
                <w:sz w:val="16"/>
                <w:szCs w:val="16"/>
                <w:lang w:val="en-GB" w:eastAsia="en-GB"/>
              </w:rPr>
            </w:pPr>
            <w:r w:rsidRPr="003F033F">
              <w:rPr>
                <w:rFonts w:cs="Calibri"/>
                <w:b/>
                <w:bCs/>
                <w:sz w:val="16"/>
                <w:szCs w:val="16"/>
                <w:lang w:val="en-GB" w:eastAsia="en-GB"/>
              </w:rPr>
              <w:t xml:space="preserve">                  30.196 </w:t>
            </w:r>
          </w:p>
        </w:tc>
        <w:tc>
          <w:tcPr>
            <w:tcW w:w="2135" w:type="dxa"/>
            <w:noWrap/>
            <w:hideMark/>
          </w:tcPr>
          <w:p w:rsidRPr="003F033F" w:rsidR="00B52D66" w:rsidP="00FC2172" w:rsidRDefault="00B52D66" w14:paraId="21EDB35F" w14:textId="77777777">
            <w:pPr>
              <w:spacing w:line="240" w:lineRule="auto"/>
              <w:jc w:val="right"/>
              <w:rPr>
                <w:rFonts w:cs="Calibri"/>
                <w:b/>
                <w:bCs/>
                <w:sz w:val="16"/>
                <w:szCs w:val="16"/>
                <w:lang w:val="en-GB" w:eastAsia="en-GB"/>
              </w:rPr>
            </w:pPr>
            <w:r w:rsidRPr="003F033F">
              <w:rPr>
                <w:rFonts w:cs="Calibri"/>
                <w:b/>
                <w:bCs/>
                <w:sz w:val="16"/>
                <w:szCs w:val="16"/>
                <w:lang w:val="en-GB" w:eastAsia="en-GB"/>
              </w:rPr>
              <w:t>61,5</w:t>
            </w:r>
          </w:p>
        </w:tc>
      </w:tr>
    </w:tbl>
    <w:p w:rsidRPr="0065314C" w:rsidR="00B52D66" w:rsidP="00B52D66" w:rsidRDefault="00B52D66" w14:paraId="253A8BAC" w14:textId="77777777">
      <w:pPr>
        <w:spacing w:before="60"/>
        <w:rPr>
          <w:sz w:val="16"/>
          <w:szCs w:val="16"/>
        </w:rPr>
      </w:pPr>
      <w:r w:rsidRPr="0065314C">
        <w:rPr>
          <w:i/>
          <w:sz w:val="16"/>
          <w:szCs w:val="16"/>
        </w:rPr>
        <w:t>Bron: DUO (eigen bewerking ROA).</w:t>
      </w:r>
    </w:p>
    <w:p w:rsidR="00B52D66" w:rsidP="00B52D66" w:rsidRDefault="00B52D66" w14:paraId="520D19B4" w14:textId="77777777">
      <w:pPr>
        <w:rPr>
          <w:szCs w:val="18"/>
        </w:rPr>
      </w:pPr>
    </w:p>
    <w:p w:rsidR="00B52D66" w:rsidP="00B52D66" w:rsidRDefault="00B52D66" w14:paraId="5B9FEE86" w14:textId="07D24F88">
      <w:pPr>
        <w:jc w:val="both"/>
        <w:rPr>
          <w:iCs/>
          <w:szCs w:val="18"/>
        </w:rPr>
      </w:pPr>
      <w:r>
        <w:rPr>
          <w:iCs/>
          <w:szCs w:val="18"/>
        </w:rPr>
        <w:t xml:space="preserve">Uit </w:t>
      </w:r>
      <w:r w:rsidR="00121FDF">
        <w:rPr>
          <w:iCs/>
          <w:szCs w:val="18"/>
        </w:rPr>
        <w:t xml:space="preserve">Tabel </w:t>
      </w:r>
      <w:r w:rsidR="004F4EC3">
        <w:rPr>
          <w:iCs/>
          <w:szCs w:val="18"/>
        </w:rPr>
        <w:t>B3</w:t>
      </w:r>
      <w:r w:rsidRPr="00507FCA">
        <w:rPr>
          <w:iCs/>
          <w:szCs w:val="18"/>
        </w:rPr>
        <w:t>.</w:t>
      </w:r>
      <w:r w:rsidR="00121FDF">
        <w:rPr>
          <w:iCs/>
          <w:szCs w:val="18"/>
        </w:rPr>
        <w:t>17 in de Appendix bij Bijlage 3</w:t>
      </w:r>
      <w:r w:rsidRPr="00507FCA">
        <w:rPr>
          <w:iCs/>
          <w:szCs w:val="18"/>
        </w:rPr>
        <w:t xml:space="preserve"> ko</w:t>
      </w:r>
      <w:r>
        <w:rPr>
          <w:iCs/>
          <w:szCs w:val="18"/>
        </w:rPr>
        <w:t>mt naar voren dat het aandeel examens in keuzevakken en profielmodules afgelegd door techniekleerlingen ten opzichte van niet-techniekleerlingen door de tijd hooguit met 5 procentpunten veranderde. In de profielen MVI en PIE nam het aandeel examens afgelegd door niet-techniekleerlingen met 3 procentpunten toe in het schooljaar 2022/2023 ten opzichte van 2019/2020. In het profiel MaT steeg het aandeel examens afgelegd door techniekleerlingen in deze periode met 5 procentpunten, van 86 naar 92 procent.</w:t>
      </w:r>
    </w:p>
    <w:p w:rsidR="00B52D66" w:rsidP="00B52D66" w:rsidRDefault="00B52D66" w14:paraId="218E663F" w14:textId="77777777">
      <w:pPr>
        <w:rPr>
          <w:szCs w:val="18"/>
        </w:rPr>
      </w:pPr>
    </w:p>
    <w:p w:rsidRPr="00A45539" w:rsidR="00B52D66" w:rsidP="00B52D66" w:rsidRDefault="00B52D66" w14:paraId="6EF53103" w14:textId="2A41BAEC">
      <w:pPr>
        <w:jc w:val="both"/>
        <w:rPr>
          <w:szCs w:val="18"/>
        </w:rPr>
      </w:pPr>
      <w:r w:rsidRPr="00A45539">
        <w:rPr>
          <w:szCs w:val="18"/>
        </w:rPr>
        <w:t xml:space="preserve">Tabel </w:t>
      </w:r>
      <w:r w:rsidR="004F4EC3">
        <w:rPr>
          <w:szCs w:val="18"/>
        </w:rPr>
        <w:t>B3</w:t>
      </w:r>
      <w:r>
        <w:rPr>
          <w:szCs w:val="18"/>
        </w:rPr>
        <w:t>.8</w:t>
      </w:r>
      <w:r w:rsidRPr="00A45539">
        <w:rPr>
          <w:szCs w:val="18"/>
        </w:rPr>
        <w:t xml:space="preserve"> toont het aantal afgelegde examens door techniekleerlingen, in zowel technische als niet-technische keuzevakken</w:t>
      </w:r>
      <w:r>
        <w:rPr>
          <w:szCs w:val="18"/>
        </w:rPr>
        <w:t xml:space="preserve"> en profielmodules</w:t>
      </w:r>
      <w:r w:rsidRPr="00A45539">
        <w:rPr>
          <w:szCs w:val="18"/>
        </w:rPr>
        <w:t xml:space="preserve">. Van de in totaal </w:t>
      </w:r>
      <w:r>
        <w:rPr>
          <w:szCs w:val="18"/>
        </w:rPr>
        <w:t xml:space="preserve">37.000 </w:t>
      </w:r>
      <w:r w:rsidRPr="00A45539">
        <w:rPr>
          <w:szCs w:val="18"/>
        </w:rPr>
        <w:t>examens in het schooljaar 202</w:t>
      </w:r>
      <w:r>
        <w:rPr>
          <w:szCs w:val="18"/>
        </w:rPr>
        <w:t>2</w:t>
      </w:r>
      <w:r w:rsidRPr="00A45539">
        <w:rPr>
          <w:szCs w:val="18"/>
        </w:rPr>
        <w:t>/202</w:t>
      </w:r>
      <w:r>
        <w:rPr>
          <w:szCs w:val="18"/>
        </w:rPr>
        <w:t>3</w:t>
      </w:r>
      <w:r w:rsidRPr="00A45539">
        <w:rPr>
          <w:szCs w:val="18"/>
        </w:rPr>
        <w:t xml:space="preserve"> werden er </w:t>
      </w:r>
      <w:r>
        <w:rPr>
          <w:szCs w:val="18"/>
        </w:rPr>
        <w:t>33.900</w:t>
      </w:r>
      <w:r w:rsidRPr="00A45539">
        <w:rPr>
          <w:szCs w:val="18"/>
        </w:rPr>
        <w:t xml:space="preserve"> afgelegd in keuzevakken </w:t>
      </w:r>
      <w:r>
        <w:rPr>
          <w:szCs w:val="18"/>
        </w:rPr>
        <w:t xml:space="preserve">behorend bij de technische profielen </w:t>
      </w:r>
      <w:r w:rsidRPr="00A45539">
        <w:rPr>
          <w:szCs w:val="18"/>
        </w:rPr>
        <w:t xml:space="preserve">en </w:t>
      </w:r>
      <w:r>
        <w:rPr>
          <w:szCs w:val="18"/>
        </w:rPr>
        <w:t>ruim 3.300</w:t>
      </w:r>
      <w:r w:rsidRPr="00A45539">
        <w:rPr>
          <w:szCs w:val="18"/>
        </w:rPr>
        <w:t xml:space="preserve"> in keuzevakken</w:t>
      </w:r>
      <w:r>
        <w:rPr>
          <w:szCs w:val="18"/>
        </w:rPr>
        <w:t xml:space="preserve"> behorend bij de </w:t>
      </w:r>
      <w:r w:rsidRPr="00A45539">
        <w:rPr>
          <w:szCs w:val="18"/>
        </w:rPr>
        <w:t>niet-technische</w:t>
      </w:r>
      <w:r>
        <w:rPr>
          <w:szCs w:val="18"/>
        </w:rPr>
        <w:t xml:space="preserve"> profielen</w:t>
      </w:r>
      <w:r w:rsidRPr="00A45539">
        <w:rPr>
          <w:szCs w:val="18"/>
        </w:rPr>
        <w:t xml:space="preserve">. </w:t>
      </w:r>
      <w:r>
        <w:rPr>
          <w:szCs w:val="18"/>
        </w:rPr>
        <w:t>Meer dan 30.000</w:t>
      </w:r>
      <w:r w:rsidRPr="00A45539">
        <w:rPr>
          <w:szCs w:val="18"/>
        </w:rPr>
        <w:t xml:space="preserve"> van de examens afgelegd door techniekleerlingen waren binnen het eigen profiel. MVI-</w:t>
      </w:r>
      <w:r>
        <w:rPr>
          <w:szCs w:val="18"/>
        </w:rPr>
        <w:t xml:space="preserve"> en PIE-</w:t>
      </w:r>
      <w:r w:rsidRPr="00A45539">
        <w:rPr>
          <w:szCs w:val="18"/>
        </w:rPr>
        <w:t>leerlingen kiezen het minst voor vakken binnen hun eigen profiel, met</w:t>
      </w:r>
      <w:r>
        <w:rPr>
          <w:szCs w:val="18"/>
        </w:rPr>
        <w:t xml:space="preserve"> zo’n</w:t>
      </w:r>
      <w:r w:rsidRPr="00A45539">
        <w:rPr>
          <w:szCs w:val="18"/>
        </w:rPr>
        <w:t xml:space="preserve"> </w:t>
      </w:r>
      <w:r>
        <w:rPr>
          <w:szCs w:val="18"/>
        </w:rPr>
        <w:t>78</w:t>
      </w:r>
      <w:r w:rsidRPr="00A45539">
        <w:rPr>
          <w:szCs w:val="18"/>
        </w:rPr>
        <w:t xml:space="preserve"> procent. MaT-leerlingen kiezen het meest voor keuzevakken </w:t>
      </w:r>
      <w:r>
        <w:rPr>
          <w:szCs w:val="18"/>
        </w:rPr>
        <w:t xml:space="preserve">of profielmodules </w:t>
      </w:r>
      <w:r w:rsidRPr="00A45539">
        <w:rPr>
          <w:szCs w:val="18"/>
        </w:rPr>
        <w:t xml:space="preserve">binnen hun eigen profiel, namelijk </w:t>
      </w:r>
      <w:r>
        <w:rPr>
          <w:szCs w:val="18"/>
        </w:rPr>
        <w:t>89</w:t>
      </w:r>
      <w:r w:rsidRPr="00A45539">
        <w:rPr>
          <w:szCs w:val="18"/>
        </w:rPr>
        <w:t xml:space="preserve"> procent. Kijken we naar de examens die techniekleerlingen aflegden in keuzevakken</w:t>
      </w:r>
      <w:r>
        <w:rPr>
          <w:szCs w:val="18"/>
        </w:rPr>
        <w:t xml:space="preserve"> en profielmodules</w:t>
      </w:r>
      <w:r w:rsidRPr="00A45539">
        <w:rPr>
          <w:szCs w:val="18"/>
        </w:rPr>
        <w:t xml:space="preserve"> buiten de techni</w:t>
      </w:r>
      <w:r>
        <w:rPr>
          <w:szCs w:val="18"/>
        </w:rPr>
        <w:t>sche profielen</w:t>
      </w:r>
      <w:r w:rsidRPr="00A45539">
        <w:rPr>
          <w:szCs w:val="18"/>
        </w:rPr>
        <w:t xml:space="preserve">, dan zien we dat leerlingen in PIE </w:t>
      </w:r>
      <w:r>
        <w:rPr>
          <w:szCs w:val="18"/>
        </w:rPr>
        <w:t>1.200</w:t>
      </w:r>
      <w:r w:rsidRPr="00A45539">
        <w:rPr>
          <w:szCs w:val="18"/>
        </w:rPr>
        <w:t xml:space="preserve"> examens aflegden in </w:t>
      </w:r>
      <w:r>
        <w:rPr>
          <w:szCs w:val="18"/>
        </w:rPr>
        <w:t xml:space="preserve">keuzevakken en profielmodules aangeboden door </w:t>
      </w:r>
      <w:r w:rsidRPr="00A45539">
        <w:rPr>
          <w:szCs w:val="18"/>
        </w:rPr>
        <w:t xml:space="preserve">niet-technische </w:t>
      </w:r>
      <w:r>
        <w:rPr>
          <w:szCs w:val="18"/>
        </w:rPr>
        <w:t>profielen</w:t>
      </w:r>
      <w:r w:rsidRPr="00A45539">
        <w:rPr>
          <w:szCs w:val="18"/>
        </w:rPr>
        <w:t xml:space="preserve"> (ofwel </w:t>
      </w:r>
      <w:r>
        <w:rPr>
          <w:szCs w:val="18"/>
        </w:rPr>
        <w:t xml:space="preserve">8 </w:t>
      </w:r>
      <w:r w:rsidRPr="00A45539">
        <w:rPr>
          <w:szCs w:val="18"/>
        </w:rPr>
        <w:t xml:space="preserve">procent van het totaal aantal examens in keuzevakken </w:t>
      </w:r>
      <w:r>
        <w:rPr>
          <w:szCs w:val="18"/>
        </w:rPr>
        <w:t xml:space="preserve">en profielmodules </w:t>
      </w:r>
      <w:r w:rsidRPr="00A45539">
        <w:rPr>
          <w:szCs w:val="18"/>
        </w:rPr>
        <w:t>afgelegd door PIE-leerlingen) en MVI-leerlingen 8</w:t>
      </w:r>
      <w:r>
        <w:rPr>
          <w:szCs w:val="18"/>
        </w:rPr>
        <w:t>6</w:t>
      </w:r>
      <w:r w:rsidRPr="00A45539">
        <w:rPr>
          <w:szCs w:val="18"/>
        </w:rPr>
        <w:t>0 (17 procent van het totaal aantal examens in keuzevakken</w:t>
      </w:r>
      <w:r>
        <w:rPr>
          <w:szCs w:val="18"/>
        </w:rPr>
        <w:t xml:space="preserve"> of profielmodules</w:t>
      </w:r>
      <w:r w:rsidRPr="00A45539">
        <w:rPr>
          <w:szCs w:val="18"/>
        </w:rPr>
        <w:t xml:space="preserve"> afgelegd door MVI-leerlingen).  </w:t>
      </w:r>
    </w:p>
    <w:p w:rsidR="00B52D66" w:rsidP="00B52D66" w:rsidRDefault="00B52D66" w14:paraId="4F662DC9" w14:textId="77777777">
      <w:pPr>
        <w:jc w:val="both"/>
        <w:rPr>
          <w:szCs w:val="18"/>
        </w:rPr>
      </w:pPr>
    </w:p>
    <w:p w:rsidR="00B52D66" w:rsidP="00B52D66" w:rsidRDefault="00B52D66" w14:paraId="1DF74EDD" w14:textId="36ACB126">
      <w:pPr>
        <w:pStyle w:val="Bijschrift"/>
      </w:pPr>
      <w:r w:rsidRPr="0065314C">
        <w:t xml:space="preserve">TABEL </w:t>
      </w:r>
      <w:r w:rsidR="004F4EC3">
        <w:t>B3</w:t>
      </w:r>
      <w:r>
        <w:t>.8</w:t>
      </w:r>
      <w:r w:rsidRPr="0065314C">
        <w:t xml:space="preserve"> </w:t>
      </w:r>
      <w:r>
        <w:tab/>
      </w:r>
      <w:r w:rsidRPr="0065314C">
        <w:t>Keuzevakken: Aantal examens in keuzevakken</w:t>
      </w:r>
      <w:r>
        <w:t xml:space="preserve"> en profielmodules</w:t>
      </w:r>
      <w:r w:rsidRPr="0065314C">
        <w:t xml:space="preserve"> afgelegd door leerlingen in techniekprofielen, naar profiel van inschrijving </w:t>
      </w:r>
    </w:p>
    <w:tbl>
      <w:tblPr>
        <w:tblStyle w:val="Tabelrasterlicht"/>
        <w:tblW w:w="9360" w:type="dxa"/>
        <w:tblLayout w:type="fixed"/>
        <w:tblLook w:val="04A0" w:firstRow="1" w:lastRow="0" w:firstColumn="1" w:lastColumn="0" w:noHBand="0" w:noVBand="1"/>
      </w:tblPr>
      <w:tblGrid>
        <w:gridCol w:w="781"/>
        <w:gridCol w:w="1057"/>
        <w:gridCol w:w="1134"/>
        <w:gridCol w:w="1134"/>
        <w:gridCol w:w="1061"/>
        <w:gridCol w:w="1065"/>
        <w:gridCol w:w="993"/>
        <w:gridCol w:w="1134"/>
        <w:gridCol w:w="1001"/>
      </w:tblGrid>
      <w:tr w:rsidRPr="00DC7C2F" w:rsidR="00B52D66" w:rsidTr="00FC2172" w14:paraId="598C008C" w14:textId="77777777">
        <w:trPr>
          <w:trHeight w:val="290"/>
        </w:trPr>
        <w:tc>
          <w:tcPr>
            <w:tcW w:w="781" w:type="dxa"/>
            <w:noWrap/>
            <w:hideMark/>
          </w:tcPr>
          <w:p w:rsidRPr="00DC7C2F" w:rsidR="00B52D66" w:rsidP="00FC2172" w:rsidRDefault="00B52D66" w14:paraId="33993BC5" w14:textId="77777777">
            <w:pPr>
              <w:spacing w:line="240" w:lineRule="auto"/>
              <w:rPr>
                <w:rFonts w:cs="Calibri"/>
                <w:sz w:val="16"/>
                <w:szCs w:val="16"/>
                <w:lang w:eastAsia="en-GB"/>
              </w:rPr>
            </w:pPr>
            <w:r w:rsidRPr="00DC7C2F">
              <w:rPr>
                <w:rFonts w:cs="Calibri"/>
                <w:sz w:val="16"/>
                <w:szCs w:val="16"/>
                <w:lang w:eastAsia="en-GB"/>
              </w:rPr>
              <w:t> </w:t>
            </w:r>
          </w:p>
        </w:tc>
        <w:tc>
          <w:tcPr>
            <w:tcW w:w="7578" w:type="dxa"/>
            <w:gridSpan w:val="7"/>
            <w:hideMark/>
          </w:tcPr>
          <w:p w:rsidRPr="00DC7C2F" w:rsidR="00B52D66" w:rsidP="00FC2172" w:rsidRDefault="00B52D66" w14:paraId="1896B2FC" w14:textId="77777777">
            <w:pPr>
              <w:spacing w:line="240" w:lineRule="auto"/>
              <w:jc w:val="center"/>
              <w:rPr>
                <w:rFonts w:cs="Calibri"/>
                <w:sz w:val="16"/>
                <w:szCs w:val="16"/>
                <w:lang w:eastAsia="en-GB"/>
              </w:rPr>
            </w:pPr>
            <w:r w:rsidRPr="00DC7C2F">
              <w:rPr>
                <w:rFonts w:cs="Calibri"/>
                <w:sz w:val="16"/>
                <w:szCs w:val="16"/>
                <w:lang w:eastAsia="en-GB"/>
              </w:rPr>
              <w:t>Aantal examens in keuzevakken en profielmodules afgelegd door techniek leerlingen</w:t>
            </w:r>
          </w:p>
        </w:tc>
        <w:tc>
          <w:tcPr>
            <w:tcW w:w="1001" w:type="dxa"/>
            <w:hideMark/>
          </w:tcPr>
          <w:p w:rsidRPr="00DC7C2F" w:rsidR="00B52D66" w:rsidP="00FC2172" w:rsidRDefault="00B52D66" w14:paraId="685D2CC9" w14:textId="77777777">
            <w:pPr>
              <w:spacing w:line="240" w:lineRule="auto"/>
              <w:jc w:val="center"/>
              <w:rPr>
                <w:rFonts w:cs="Calibri"/>
                <w:sz w:val="16"/>
                <w:szCs w:val="16"/>
                <w:lang w:eastAsia="en-GB"/>
              </w:rPr>
            </w:pPr>
            <w:r w:rsidRPr="00DC7C2F">
              <w:rPr>
                <w:rFonts w:cs="Calibri"/>
                <w:sz w:val="16"/>
                <w:szCs w:val="16"/>
                <w:lang w:eastAsia="en-GB"/>
              </w:rPr>
              <w:t> </w:t>
            </w:r>
          </w:p>
        </w:tc>
      </w:tr>
      <w:tr w:rsidRPr="00DC7C2F" w:rsidR="00B52D66" w:rsidTr="00FC2172" w14:paraId="3B27AE27" w14:textId="77777777">
        <w:trPr>
          <w:trHeight w:val="1160"/>
        </w:trPr>
        <w:tc>
          <w:tcPr>
            <w:tcW w:w="781" w:type="dxa"/>
            <w:noWrap/>
            <w:hideMark/>
          </w:tcPr>
          <w:p w:rsidRPr="00DC7C2F" w:rsidR="00B52D66" w:rsidP="00FC2172" w:rsidRDefault="00B52D66" w14:paraId="6AFDD96B" w14:textId="77777777">
            <w:pPr>
              <w:spacing w:line="240" w:lineRule="auto"/>
              <w:rPr>
                <w:rFonts w:cs="Calibri"/>
                <w:sz w:val="16"/>
                <w:szCs w:val="16"/>
                <w:lang w:eastAsia="en-GB"/>
              </w:rPr>
            </w:pPr>
            <w:r w:rsidRPr="00DC7C2F">
              <w:rPr>
                <w:rFonts w:cs="Calibri"/>
                <w:sz w:val="16"/>
                <w:szCs w:val="16"/>
                <w:lang w:eastAsia="en-GB"/>
              </w:rPr>
              <w:t> </w:t>
            </w:r>
          </w:p>
        </w:tc>
        <w:tc>
          <w:tcPr>
            <w:tcW w:w="1057" w:type="dxa"/>
            <w:vAlign w:val="bottom"/>
            <w:hideMark/>
          </w:tcPr>
          <w:p w:rsidRPr="00DC7C2F" w:rsidR="00B52D66" w:rsidP="00FC2172" w:rsidRDefault="00B52D66" w14:paraId="278AC08E" w14:textId="77777777">
            <w:pPr>
              <w:spacing w:line="240" w:lineRule="auto"/>
              <w:jc w:val="center"/>
              <w:rPr>
                <w:rFonts w:cs="Calibri"/>
                <w:i/>
                <w:iCs/>
                <w:sz w:val="16"/>
                <w:szCs w:val="16"/>
                <w:lang w:val="en-GB" w:eastAsia="en-GB"/>
              </w:rPr>
            </w:pPr>
            <w:r w:rsidRPr="00DC7C2F">
              <w:rPr>
                <w:rFonts w:cs="Calibri"/>
                <w:i/>
                <w:iCs/>
                <w:sz w:val="16"/>
                <w:szCs w:val="16"/>
                <w:lang w:val="en-GB" w:eastAsia="en-GB"/>
              </w:rPr>
              <w:t>Totaal 2021/2022</w:t>
            </w:r>
          </w:p>
        </w:tc>
        <w:tc>
          <w:tcPr>
            <w:tcW w:w="1134" w:type="dxa"/>
            <w:vAlign w:val="bottom"/>
            <w:hideMark/>
          </w:tcPr>
          <w:p w:rsidRPr="00DC7C2F" w:rsidR="00B52D66" w:rsidP="00FC2172" w:rsidRDefault="00B52D66" w14:paraId="1109C39B" w14:textId="77777777">
            <w:pPr>
              <w:spacing w:line="240" w:lineRule="auto"/>
              <w:jc w:val="center"/>
              <w:rPr>
                <w:rFonts w:cs="Calibri"/>
                <w:sz w:val="16"/>
                <w:szCs w:val="16"/>
                <w:lang w:val="en-GB" w:eastAsia="en-GB"/>
              </w:rPr>
            </w:pPr>
            <w:r w:rsidRPr="00DC7C2F">
              <w:rPr>
                <w:rFonts w:cs="Calibri"/>
                <w:sz w:val="16"/>
                <w:szCs w:val="16"/>
                <w:lang w:val="en-GB" w:eastAsia="en-GB"/>
              </w:rPr>
              <w:t>Totaal 2022/2023</w:t>
            </w:r>
          </w:p>
        </w:tc>
        <w:tc>
          <w:tcPr>
            <w:tcW w:w="2195" w:type="dxa"/>
            <w:gridSpan w:val="2"/>
            <w:vAlign w:val="bottom"/>
            <w:hideMark/>
          </w:tcPr>
          <w:p w:rsidRPr="00DC7C2F" w:rsidR="00B52D66" w:rsidP="00FC2172" w:rsidRDefault="00B52D66" w14:paraId="3EA1D7BE" w14:textId="77777777">
            <w:pPr>
              <w:spacing w:line="240" w:lineRule="auto"/>
              <w:jc w:val="center"/>
              <w:rPr>
                <w:rFonts w:cs="Calibri"/>
                <w:sz w:val="16"/>
                <w:szCs w:val="16"/>
                <w:lang w:val="en-GB" w:eastAsia="en-GB"/>
              </w:rPr>
            </w:pPr>
            <w:r w:rsidRPr="00DC7C2F">
              <w:rPr>
                <w:rFonts w:cs="Calibri"/>
                <w:sz w:val="16"/>
                <w:szCs w:val="16"/>
                <w:lang w:val="en-GB" w:eastAsia="en-GB"/>
              </w:rPr>
              <w:t>Afgelegd in technische keuzevakken</w:t>
            </w:r>
          </w:p>
        </w:tc>
        <w:tc>
          <w:tcPr>
            <w:tcW w:w="2058" w:type="dxa"/>
            <w:gridSpan w:val="2"/>
            <w:vAlign w:val="bottom"/>
            <w:hideMark/>
          </w:tcPr>
          <w:p w:rsidRPr="00DC7C2F" w:rsidR="00B52D66" w:rsidP="00FC2172" w:rsidRDefault="00B52D66" w14:paraId="61DE63F8" w14:textId="77777777">
            <w:pPr>
              <w:spacing w:line="240" w:lineRule="auto"/>
              <w:jc w:val="center"/>
              <w:rPr>
                <w:rFonts w:cs="Calibri"/>
                <w:sz w:val="16"/>
                <w:szCs w:val="16"/>
                <w:lang w:eastAsia="en-GB"/>
              </w:rPr>
            </w:pPr>
            <w:r w:rsidRPr="00DC7C2F">
              <w:rPr>
                <w:rFonts w:cs="Calibri"/>
                <w:sz w:val="16"/>
                <w:szCs w:val="16"/>
                <w:lang w:eastAsia="en-GB"/>
              </w:rPr>
              <w:t xml:space="preserve">Afgelegd in </w:t>
            </w:r>
            <w:r w:rsidRPr="00DC7C2F">
              <w:rPr>
                <w:rFonts w:cs="Calibri"/>
                <w:sz w:val="16"/>
                <w:szCs w:val="16"/>
                <w:lang w:eastAsia="en-GB"/>
              </w:rPr>
              <w:br/>
              <w:t>niet-technische keuzevakken</w:t>
            </w:r>
          </w:p>
        </w:tc>
        <w:tc>
          <w:tcPr>
            <w:tcW w:w="1134" w:type="dxa"/>
            <w:vAlign w:val="bottom"/>
            <w:hideMark/>
          </w:tcPr>
          <w:p w:rsidRPr="00DC7C2F" w:rsidR="00B52D66" w:rsidP="00FC2172" w:rsidRDefault="00B52D66" w14:paraId="2BAE1A08" w14:textId="77777777">
            <w:pPr>
              <w:spacing w:line="240" w:lineRule="auto"/>
              <w:jc w:val="center"/>
              <w:rPr>
                <w:rFonts w:cs="Calibri"/>
                <w:sz w:val="16"/>
                <w:szCs w:val="16"/>
                <w:lang w:val="en-GB" w:eastAsia="en-GB"/>
              </w:rPr>
            </w:pPr>
            <w:r w:rsidRPr="00DC7C2F">
              <w:rPr>
                <w:rFonts w:cs="Calibri"/>
                <w:sz w:val="16"/>
                <w:szCs w:val="16"/>
                <w:lang w:val="en-GB" w:eastAsia="en-GB"/>
              </w:rPr>
              <w:t>Afgelegd binnen eigen profiel</w:t>
            </w:r>
          </w:p>
        </w:tc>
        <w:tc>
          <w:tcPr>
            <w:tcW w:w="1001" w:type="dxa"/>
            <w:vAlign w:val="bottom"/>
            <w:hideMark/>
          </w:tcPr>
          <w:p w:rsidRPr="00DC7C2F" w:rsidR="00B52D66" w:rsidP="00FC2172" w:rsidRDefault="00B52D66" w14:paraId="51295ED3" w14:textId="77777777">
            <w:pPr>
              <w:spacing w:line="240" w:lineRule="auto"/>
              <w:jc w:val="center"/>
              <w:rPr>
                <w:rFonts w:cs="Calibri"/>
                <w:sz w:val="16"/>
                <w:szCs w:val="16"/>
                <w:lang w:eastAsia="en-GB"/>
              </w:rPr>
            </w:pPr>
            <w:r w:rsidRPr="00DC7C2F">
              <w:rPr>
                <w:rFonts w:cs="Calibri"/>
                <w:sz w:val="16"/>
                <w:szCs w:val="16"/>
                <w:lang w:eastAsia="en-GB"/>
              </w:rPr>
              <w:t>Aandeel van totaal dat is afgelegd binnen eigen profiel</w:t>
            </w:r>
          </w:p>
        </w:tc>
      </w:tr>
      <w:tr w:rsidRPr="00DC7C2F" w:rsidR="00B52D66" w:rsidTr="00FC2172" w14:paraId="7F2FEAA4" w14:textId="77777777">
        <w:trPr>
          <w:trHeight w:val="290"/>
        </w:trPr>
        <w:tc>
          <w:tcPr>
            <w:tcW w:w="781" w:type="dxa"/>
            <w:noWrap/>
            <w:hideMark/>
          </w:tcPr>
          <w:p w:rsidRPr="00DC7C2F" w:rsidR="00B52D66" w:rsidP="00FC2172" w:rsidRDefault="00B52D66" w14:paraId="7C50DE6A" w14:textId="77777777">
            <w:pPr>
              <w:spacing w:line="240" w:lineRule="auto"/>
              <w:rPr>
                <w:rFonts w:cs="Calibri"/>
                <w:sz w:val="16"/>
                <w:szCs w:val="16"/>
                <w:lang w:val="en-GB" w:eastAsia="en-GB"/>
              </w:rPr>
            </w:pPr>
            <w:r w:rsidRPr="00DC7C2F">
              <w:rPr>
                <w:rFonts w:cs="Calibri"/>
                <w:sz w:val="16"/>
                <w:szCs w:val="16"/>
                <w:lang w:val="en-GB" w:eastAsia="en-GB"/>
              </w:rPr>
              <w:t>BWI</w:t>
            </w:r>
          </w:p>
        </w:tc>
        <w:tc>
          <w:tcPr>
            <w:tcW w:w="1057" w:type="dxa"/>
            <w:noWrap/>
            <w:vAlign w:val="bottom"/>
            <w:hideMark/>
          </w:tcPr>
          <w:p w:rsidRPr="00DC7C2F" w:rsidR="00B52D66" w:rsidP="00FC2172" w:rsidRDefault="00B52D66" w14:paraId="457176F4" w14:textId="77777777">
            <w:pPr>
              <w:spacing w:line="240" w:lineRule="auto"/>
              <w:jc w:val="right"/>
              <w:rPr>
                <w:rFonts w:cs="Calibri"/>
                <w:i/>
                <w:iCs/>
                <w:sz w:val="16"/>
                <w:szCs w:val="16"/>
                <w:lang w:val="en-GB" w:eastAsia="en-GB"/>
              </w:rPr>
            </w:pPr>
            <w:r w:rsidRPr="00A55317">
              <w:rPr>
                <w:rFonts w:cs="Calibri"/>
                <w:i/>
                <w:iCs/>
                <w:sz w:val="16"/>
                <w:szCs w:val="16"/>
              </w:rPr>
              <w:t xml:space="preserve">11.948 </w:t>
            </w:r>
          </w:p>
        </w:tc>
        <w:tc>
          <w:tcPr>
            <w:tcW w:w="1134" w:type="dxa"/>
            <w:noWrap/>
            <w:vAlign w:val="bottom"/>
            <w:hideMark/>
          </w:tcPr>
          <w:p w:rsidRPr="00DC7C2F" w:rsidR="00B52D66" w:rsidP="00FC2172" w:rsidRDefault="00B52D66" w14:paraId="2CED3E97" w14:textId="77777777">
            <w:pPr>
              <w:spacing w:line="240" w:lineRule="auto"/>
              <w:jc w:val="right"/>
              <w:rPr>
                <w:rFonts w:cs="Calibri"/>
                <w:sz w:val="16"/>
                <w:szCs w:val="16"/>
                <w:lang w:val="en-GB" w:eastAsia="en-GB"/>
              </w:rPr>
            </w:pPr>
            <w:r w:rsidRPr="00A55317">
              <w:rPr>
                <w:rFonts w:cs="Calibri"/>
                <w:sz w:val="16"/>
                <w:szCs w:val="16"/>
              </w:rPr>
              <w:t xml:space="preserve">     11.486 </w:t>
            </w:r>
          </w:p>
        </w:tc>
        <w:tc>
          <w:tcPr>
            <w:tcW w:w="1134" w:type="dxa"/>
            <w:noWrap/>
            <w:vAlign w:val="bottom"/>
            <w:hideMark/>
          </w:tcPr>
          <w:p w:rsidRPr="00DC7C2F" w:rsidR="00B52D66" w:rsidP="00FC2172" w:rsidRDefault="00B52D66" w14:paraId="2486F96E" w14:textId="77777777">
            <w:pPr>
              <w:spacing w:line="240" w:lineRule="auto"/>
              <w:jc w:val="right"/>
              <w:rPr>
                <w:rFonts w:cs="Calibri"/>
                <w:sz w:val="16"/>
                <w:szCs w:val="16"/>
                <w:lang w:val="en-GB" w:eastAsia="en-GB"/>
              </w:rPr>
            </w:pPr>
            <w:r w:rsidRPr="00A55317">
              <w:rPr>
                <w:rFonts w:cs="Calibri"/>
                <w:sz w:val="16"/>
                <w:szCs w:val="16"/>
              </w:rPr>
              <w:t xml:space="preserve">    10.600 </w:t>
            </w:r>
          </w:p>
        </w:tc>
        <w:tc>
          <w:tcPr>
            <w:tcW w:w="1061" w:type="dxa"/>
            <w:noWrap/>
            <w:vAlign w:val="bottom"/>
            <w:hideMark/>
          </w:tcPr>
          <w:p w:rsidRPr="00DC7C2F" w:rsidR="00B52D66" w:rsidP="00FC2172" w:rsidRDefault="00B52D66" w14:paraId="691BAAE1" w14:textId="77777777">
            <w:pPr>
              <w:spacing w:line="240" w:lineRule="auto"/>
              <w:jc w:val="right"/>
              <w:rPr>
                <w:rFonts w:cs="Calibri"/>
                <w:sz w:val="16"/>
                <w:szCs w:val="16"/>
                <w:lang w:val="en-GB" w:eastAsia="en-GB"/>
              </w:rPr>
            </w:pPr>
            <w:r w:rsidRPr="00A55317">
              <w:rPr>
                <w:rFonts w:cs="Calibri"/>
                <w:sz w:val="16"/>
                <w:szCs w:val="16"/>
              </w:rPr>
              <w:t xml:space="preserve">    92,3%</w:t>
            </w:r>
          </w:p>
        </w:tc>
        <w:tc>
          <w:tcPr>
            <w:tcW w:w="1065" w:type="dxa"/>
            <w:noWrap/>
            <w:vAlign w:val="bottom"/>
            <w:hideMark/>
          </w:tcPr>
          <w:p w:rsidRPr="00DC7C2F" w:rsidR="00B52D66" w:rsidP="00FC2172" w:rsidRDefault="00B52D66" w14:paraId="6577633C" w14:textId="77777777">
            <w:pPr>
              <w:spacing w:line="240" w:lineRule="auto"/>
              <w:jc w:val="right"/>
              <w:rPr>
                <w:rFonts w:cs="Calibri"/>
                <w:sz w:val="16"/>
                <w:szCs w:val="16"/>
                <w:lang w:val="en-GB" w:eastAsia="en-GB"/>
              </w:rPr>
            </w:pPr>
            <w:r w:rsidRPr="00A55317">
              <w:rPr>
                <w:rFonts w:cs="Calibri"/>
                <w:sz w:val="16"/>
                <w:szCs w:val="16"/>
              </w:rPr>
              <w:t xml:space="preserve">     886 </w:t>
            </w:r>
          </w:p>
        </w:tc>
        <w:tc>
          <w:tcPr>
            <w:tcW w:w="993" w:type="dxa"/>
            <w:noWrap/>
            <w:vAlign w:val="bottom"/>
            <w:hideMark/>
          </w:tcPr>
          <w:p w:rsidRPr="00DC7C2F" w:rsidR="00B52D66" w:rsidP="00FC2172" w:rsidRDefault="00B52D66" w14:paraId="3026EB69" w14:textId="77777777">
            <w:pPr>
              <w:spacing w:line="240" w:lineRule="auto"/>
              <w:jc w:val="right"/>
              <w:rPr>
                <w:rFonts w:cs="Calibri"/>
                <w:sz w:val="16"/>
                <w:szCs w:val="16"/>
                <w:lang w:val="en-GB" w:eastAsia="en-GB"/>
              </w:rPr>
            </w:pPr>
            <w:r w:rsidRPr="00A55317">
              <w:rPr>
                <w:rFonts w:cs="Calibri"/>
                <w:sz w:val="16"/>
                <w:szCs w:val="16"/>
              </w:rPr>
              <w:t xml:space="preserve">       7,7%</w:t>
            </w:r>
          </w:p>
        </w:tc>
        <w:tc>
          <w:tcPr>
            <w:tcW w:w="1134" w:type="dxa"/>
            <w:noWrap/>
            <w:vAlign w:val="bottom"/>
            <w:hideMark/>
          </w:tcPr>
          <w:p w:rsidRPr="00DC7C2F" w:rsidR="00B52D66" w:rsidP="00FC2172" w:rsidRDefault="00B52D66" w14:paraId="6021E339" w14:textId="77777777">
            <w:pPr>
              <w:spacing w:line="240" w:lineRule="auto"/>
              <w:jc w:val="right"/>
              <w:rPr>
                <w:rFonts w:cs="Calibri"/>
                <w:sz w:val="16"/>
                <w:szCs w:val="16"/>
                <w:lang w:val="en-GB" w:eastAsia="en-GB"/>
              </w:rPr>
            </w:pPr>
            <w:r w:rsidRPr="00A55317">
              <w:rPr>
                <w:rFonts w:cs="Calibri"/>
                <w:sz w:val="16"/>
                <w:szCs w:val="16"/>
              </w:rPr>
              <w:t xml:space="preserve">    9.651 </w:t>
            </w:r>
          </w:p>
        </w:tc>
        <w:tc>
          <w:tcPr>
            <w:tcW w:w="1001" w:type="dxa"/>
            <w:noWrap/>
            <w:vAlign w:val="bottom"/>
            <w:hideMark/>
          </w:tcPr>
          <w:p w:rsidRPr="00DC7C2F" w:rsidR="00B52D66" w:rsidP="00FC2172" w:rsidRDefault="00B52D66" w14:paraId="0F16F7DF" w14:textId="77777777">
            <w:pPr>
              <w:spacing w:line="240" w:lineRule="auto"/>
              <w:jc w:val="right"/>
              <w:rPr>
                <w:rFonts w:cs="Calibri"/>
                <w:sz w:val="16"/>
                <w:szCs w:val="16"/>
                <w:lang w:val="en-GB" w:eastAsia="en-GB"/>
              </w:rPr>
            </w:pPr>
            <w:r w:rsidRPr="00A55317">
              <w:rPr>
                <w:rFonts w:cs="Calibri"/>
                <w:sz w:val="16"/>
                <w:szCs w:val="16"/>
              </w:rPr>
              <w:t xml:space="preserve"> 84,0 </w:t>
            </w:r>
          </w:p>
        </w:tc>
      </w:tr>
      <w:tr w:rsidRPr="00DC7C2F" w:rsidR="00B52D66" w:rsidTr="00FC2172" w14:paraId="6448573B" w14:textId="77777777">
        <w:trPr>
          <w:trHeight w:val="290"/>
        </w:trPr>
        <w:tc>
          <w:tcPr>
            <w:tcW w:w="781" w:type="dxa"/>
            <w:noWrap/>
            <w:hideMark/>
          </w:tcPr>
          <w:p w:rsidRPr="00DC7C2F" w:rsidR="00B52D66" w:rsidP="00FC2172" w:rsidRDefault="00B52D66" w14:paraId="6C49A477" w14:textId="77777777">
            <w:pPr>
              <w:spacing w:line="240" w:lineRule="auto"/>
              <w:rPr>
                <w:rFonts w:cs="Calibri"/>
                <w:sz w:val="16"/>
                <w:szCs w:val="16"/>
                <w:lang w:val="en-GB" w:eastAsia="en-GB"/>
              </w:rPr>
            </w:pPr>
            <w:r w:rsidRPr="00DC7C2F">
              <w:rPr>
                <w:rFonts w:cs="Calibri"/>
                <w:sz w:val="16"/>
                <w:szCs w:val="16"/>
                <w:lang w:val="en-GB" w:eastAsia="en-GB"/>
              </w:rPr>
              <w:t>MaT</w:t>
            </w:r>
          </w:p>
        </w:tc>
        <w:tc>
          <w:tcPr>
            <w:tcW w:w="1057" w:type="dxa"/>
            <w:noWrap/>
            <w:vAlign w:val="bottom"/>
            <w:hideMark/>
          </w:tcPr>
          <w:p w:rsidRPr="00DC7C2F" w:rsidR="00B52D66" w:rsidP="00FC2172" w:rsidRDefault="00B52D66" w14:paraId="6037520E" w14:textId="77777777">
            <w:pPr>
              <w:spacing w:line="240" w:lineRule="auto"/>
              <w:jc w:val="right"/>
              <w:rPr>
                <w:rFonts w:cs="Calibri"/>
                <w:i/>
                <w:iCs/>
                <w:sz w:val="16"/>
                <w:szCs w:val="16"/>
                <w:lang w:val="en-GB" w:eastAsia="en-GB"/>
              </w:rPr>
            </w:pPr>
            <w:r w:rsidRPr="00A55317">
              <w:rPr>
                <w:rFonts w:cs="Calibri"/>
                <w:i/>
                <w:iCs/>
                <w:sz w:val="16"/>
                <w:szCs w:val="16"/>
              </w:rPr>
              <w:t xml:space="preserve">     980 </w:t>
            </w:r>
          </w:p>
        </w:tc>
        <w:tc>
          <w:tcPr>
            <w:tcW w:w="1134" w:type="dxa"/>
            <w:noWrap/>
            <w:vAlign w:val="bottom"/>
            <w:hideMark/>
          </w:tcPr>
          <w:p w:rsidRPr="00DC7C2F" w:rsidR="00B52D66" w:rsidP="00FC2172" w:rsidRDefault="00B52D66" w14:paraId="4553C16C" w14:textId="77777777">
            <w:pPr>
              <w:spacing w:line="240" w:lineRule="auto"/>
              <w:jc w:val="right"/>
              <w:rPr>
                <w:rFonts w:cs="Calibri"/>
                <w:sz w:val="16"/>
                <w:szCs w:val="16"/>
                <w:lang w:val="en-GB" w:eastAsia="en-GB"/>
              </w:rPr>
            </w:pPr>
            <w:r w:rsidRPr="00A55317">
              <w:rPr>
                <w:rFonts w:cs="Calibri"/>
                <w:sz w:val="16"/>
                <w:szCs w:val="16"/>
              </w:rPr>
              <w:t xml:space="preserve">      780 </w:t>
            </w:r>
          </w:p>
        </w:tc>
        <w:tc>
          <w:tcPr>
            <w:tcW w:w="1134" w:type="dxa"/>
            <w:noWrap/>
            <w:vAlign w:val="bottom"/>
            <w:hideMark/>
          </w:tcPr>
          <w:p w:rsidRPr="00DC7C2F" w:rsidR="00B52D66" w:rsidP="00FC2172" w:rsidRDefault="00B52D66" w14:paraId="39301A03" w14:textId="77777777">
            <w:pPr>
              <w:spacing w:line="240" w:lineRule="auto"/>
              <w:jc w:val="right"/>
              <w:rPr>
                <w:rFonts w:cs="Calibri"/>
                <w:sz w:val="16"/>
                <w:szCs w:val="16"/>
                <w:lang w:val="en-GB" w:eastAsia="en-GB"/>
              </w:rPr>
            </w:pPr>
            <w:r w:rsidRPr="00A55317">
              <w:rPr>
                <w:rFonts w:cs="Calibri"/>
                <w:sz w:val="16"/>
                <w:szCs w:val="16"/>
              </w:rPr>
              <w:t xml:space="preserve">    753 </w:t>
            </w:r>
          </w:p>
        </w:tc>
        <w:tc>
          <w:tcPr>
            <w:tcW w:w="1061" w:type="dxa"/>
            <w:noWrap/>
            <w:vAlign w:val="bottom"/>
            <w:hideMark/>
          </w:tcPr>
          <w:p w:rsidRPr="00DC7C2F" w:rsidR="00B52D66" w:rsidP="00FC2172" w:rsidRDefault="00B52D66" w14:paraId="0562AD66" w14:textId="77777777">
            <w:pPr>
              <w:spacing w:line="240" w:lineRule="auto"/>
              <w:jc w:val="right"/>
              <w:rPr>
                <w:rFonts w:cs="Calibri"/>
                <w:sz w:val="16"/>
                <w:szCs w:val="16"/>
                <w:lang w:val="en-GB" w:eastAsia="en-GB"/>
              </w:rPr>
            </w:pPr>
            <w:r w:rsidRPr="00A55317">
              <w:rPr>
                <w:rFonts w:cs="Calibri"/>
                <w:sz w:val="16"/>
                <w:szCs w:val="16"/>
              </w:rPr>
              <w:t xml:space="preserve">   96,5%</w:t>
            </w:r>
          </w:p>
        </w:tc>
        <w:tc>
          <w:tcPr>
            <w:tcW w:w="1065" w:type="dxa"/>
            <w:noWrap/>
            <w:vAlign w:val="bottom"/>
            <w:hideMark/>
          </w:tcPr>
          <w:p w:rsidRPr="00DC7C2F" w:rsidR="00B52D66" w:rsidP="00FC2172" w:rsidRDefault="00B52D66" w14:paraId="35A2E065" w14:textId="77777777">
            <w:pPr>
              <w:spacing w:line="240" w:lineRule="auto"/>
              <w:jc w:val="right"/>
              <w:rPr>
                <w:rFonts w:cs="Calibri"/>
                <w:sz w:val="16"/>
                <w:szCs w:val="16"/>
                <w:lang w:val="en-GB" w:eastAsia="en-GB"/>
              </w:rPr>
            </w:pPr>
            <w:r w:rsidRPr="00A55317">
              <w:rPr>
                <w:rFonts w:cs="Calibri"/>
                <w:sz w:val="16"/>
                <w:szCs w:val="16"/>
              </w:rPr>
              <w:t xml:space="preserve">        27 </w:t>
            </w:r>
          </w:p>
        </w:tc>
        <w:tc>
          <w:tcPr>
            <w:tcW w:w="993" w:type="dxa"/>
            <w:noWrap/>
            <w:vAlign w:val="bottom"/>
            <w:hideMark/>
          </w:tcPr>
          <w:p w:rsidRPr="00DC7C2F" w:rsidR="00B52D66" w:rsidP="00FC2172" w:rsidRDefault="00B52D66" w14:paraId="44876153" w14:textId="77777777">
            <w:pPr>
              <w:spacing w:line="240" w:lineRule="auto"/>
              <w:jc w:val="right"/>
              <w:rPr>
                <w:rFonts w:cs="Calibri"/>
                <w:sz w:val="16"/>
                <w:szCs w:val="16"/>
                <w:lang w:val="en-GB" w:eastAsia="en-GB"/>
              </w:rPr>
            </w:pPr>
            <w:r w:rsidRPr="00A55317">
              <w:rPr>
                <w:rFonts w:cs="Calibri"/>
                <w:sz w:val="16"/>
                <w:szCs w:val="16"/>
              </w:rPr>
              <w:t xml:space="preserve">    3,5%</w:t>
            </w:r>
          </w:p>
        </w:tc>
        <w:tc>
          <w:tcPr>
            <w:tcW w:w="1134" w:type="dxa"/>
            <w:noWrap/>
            <w:vAlign w:val="bottom"/>
            <w:hideMark/>
          </w:tcPr>
          <w:p w:rsidRPr="00DC7C2F" w:rsidR="00B52D66" w:rsidP="00FC2172" w:rsidRDefault="00B52D66" w14:paraId="18AD96CE" w14:textId="77777777">
            <w:pPr>
              <w:spacing w:line="240" w:lineRule="auto"/>
              <w:jc w:val="right"/>
              <w:rPr>
                <w:rFonts w:cs="Calibri"/>
                <w:sz w:val="16"/>
                <w:szCs w:val="16"/>
                <w:lang w:val="en-GB" w:eastAsia="en-GB"/>
              </w:rPr>
            </w:pPr>
            <w:r w:rsidRPr="00A55317">
              <w:rPr>
                <w:rFonts w:cs="Calibri"/>
                <w:sz w:val="16"/>
                <w:szCs w:val="16"/>
              </w:rPr>
              <w:t xml:space="preserve">     695 </w:t>
            </w:r>
          </w:p>
        </w:tc>
        <w:tc>
          <w:tcPr>
            <w:tcW w:w="1001" w:type="dxa"/>
            <w:noWrap/>
            <w:vAlign w:val="bottom"/>
            <w:hideMark/>
          </w:tcPr>
          <w:p w:rsidRPr="00DC7C2F" w:rsidR="00B52D66" w:rsidP="00FC2172" w:rsidRDefault="00B52D66" w14:paraId="567F14A8" w14:textId="77777777">
            <w:pPr>
              <w:spacing w:line="240" w:lineRule="auto"/>
              <w:jc w:val="right"/>
              <w:rPr>
                <w:rFonts w:cs="Calibri"/>
                <w:sz w:val="16"/>
                <w:szCs w:val="16"/>
                <w:lang w:val="en-GB" w:eastAsia="en-GB"/>
              </w:rPr>
            </w:pPr>
            <w:r w:rsidRPr="00A55317">
              <w:rPr>
                <w:rFonts w:cs="Calibri"/>
                <w:sz w:val="16"/>
                <w:szCs w:val="16"/>
              </w:rPr>
              <w:t xml:space="preserve">   89,1 </w:t>
            </w:r>
          </w:p>
        </w:tc>
      </w:tr>
      <w:tr w:rsidRPr="00DC7C2F" w:rsidR="00B52D66" w:rsidTr="00FC2172" w14:paraId="4574ABB8" w14:textId="77777777">
        <w:trPr>
          <w:trHeight w:val="290"/>
        </w:trPr>
        <w:tc>
          <w:tcPr>
            <w:tcW w:w="781" w:type="dxa"/>
            <w:noWrap/>
            <w:hideMark/>
          </w:tcPr>
          <w:p w:rsidRPr="00DC7C2F" w:rsidR="00B52D66" w:rsidP="00FC2172" w:rsidRDefault="00B52D66" w14:paraId="46476958" w14:textId="77777777">
            <w:pPr>
              <w:spacing w:line="240" w:lineRule="auto"/>
              <w:rPr>
                <w:rFonts w:cs="Calibri"/>
                <w:sz w:val="16"/>
                <w:szCs w:val="16"/>
                <w:lang w:val="en-GB" w:eastAsia="en-GB"/>
              </w:rPr>
            </w:pPr>
            <w:r w:rsidRPr="00DC7C2F">
              <w:rPr>
                <w:rFonts w:cs="Calibri"/>
                <w:sz w:val="16"/>
                <w:szCs w:val="16"/>
                <w:lang w:val="en-GB" w:eastAsia="en-GB"/>
              </w:rPr>
              <w:t>MVI</w:t>
            </w:r>
          </w:p>
        </w:tc>
        <w:tc>
          <w:tcPr>
            <w:tcW w:w="1057" w:type="dxa"/>
            <w:noWrap/>
            <w:vAlign w:val="bottom"/>
            <w:hideMark/>
          </w:tcPr>
          <w:p w:rsidRPr="00DC7C2F" w:rsidR="00B52D66" w:rsidP="00FC2172" w:rsidRDefault="00B52D66" w14:paraId="3CA138EC" w14:textId="77777777">
            <w:pPr>
              <w:spacing w:line="240" w:lineRule="auto"/>
              <w:jc w:val="right"/>
              <w:rPr>
                <w:rFonts w:cs="Calibri"/>
                <w:i/>
                <w:iCs/>
                <w:sz w:val="16"/>
                <w:szCs w:val="16"/>
                <w:lang w:val="en-GB" w:eastAsia="en-GB"/>
              </w:rPr>
            </w:pPr>
            <w:r w:rsidRPr="00A55317">
              <w:rPr>
                <w:rFonts w:cs="Calibri"/>
                <w:i/>
                <w:iCs/>
                <w:sz w:val="16"/>
                <w:szCs w:val="16"/>
              </w:rPr>
              <w:t xml:space="preserve">    4.979 </w:t>
            </w:r>
          </w:p>
        </w:tc>
        <w:tc>
          <w:tcPr>
            <w:tcW w:w="1134" w:type="dxa"/>
            <w:noWrap/>
            <w:vAlign w:val="bottom"/>
            <w:hideMark/>
          </w:tcPr>
          <w:p w:rsidRPr="00DC7C2F" w:rsidR="00B52D66" w:rsidP="00FC2172" w:rsidRDefault="00B52D66" w14:paraId="10119B6A" w14:textId="77777777">
            <w:pPr>
              <w:spacing w:line="240" w:lineRule="auto"/>
              <w:jc w:val="right"/>
              <w:rPr>
                <w:rFonts w:cs="Calibri"/>
                <w:sz w:val="16"/>
                <w:szCs w:val="16"/>
                <w:lang w:val="en-GB" w:eastAsia="en-GB"/>
              </w:rPr>
            </w:pPr>
            <w:r w:rsidRPr="00A55317">
              <w:rPr>
                <w:rFonts w:cs="Calibri"/>
                <w:sz w:val="16"/>
                <w:szCs w:val="16"/>
              </w:rPr>
              <w:t xml:space="preserve">      5.016 </w:t>
            </w:r>
          </w:p>
        </w:tc>
        <w:tc>
          <w:tcPr>
            <w:tcW w:w="1134" w:type="dxa"/>
            <w:noWrap/>
            <w:vAlign w:val="bottom"/>
            <w:hideMark/>
          </w:tcPr>
          <w:p w:rsidRPr="00DC7C2F" w:rsidR="00B52D66" w:rsidP="00FC2172" w:rsidRDefault="00B52D66" w14:paraId="0E83F7A5" w14:textId="77777777">
            <w:pPr>
              <w:spacing w:line="240" w:lineRule="auto"/>
              <w:jc w:val="right"/>
              <w:rPr>
                <w:rFonts w:cs="Calibri"/>
                <w:sz w:val="16"/>
                <w:szCs w:val="16"/>
                <w:lang w:val="en-GB" w:eastAsia="en-GB"/>
              </w:rPr>
            </w:pPr>
            <w:r w:rsidRPr="00A55317">
              <w:rPr>
                <w:rFonts w:cs="Calibri"/>
                <w:sz w:val="16"/>
                <w:szCs w:val="16"/>
              </w:rPr>
              <w:t xml:space="preserve">    4.156 </w:t>
            </w:r>
          </w:p>
        </w:tc>
        <w:tc>
          <w:tcPr>
            <w:tcW w:w="1061" w:type="dxa"/>
            <w:noWrap/>
            <w:vAlign w:val="bottom"/>
            <w:hideMark/>
          </w:tcPr>
          <w:p w:rsidRPr="00DC7C2F" w:rsidR="00B52D66" w:rsidP="00FC2172" w:rsidRDefault="00B52D66" w14:paraId="77C02903" w14:textId="77777777">
            <w:pPr>
              <w:spacing w:line="240" w:lineRule="auto"/>
              <w:jc w:val="right"/>
              <w:rPr>
                <w:rFonts w:cs="Calibri"/>
                <w:sz w:val="16"/>
                <w:szCs w:val="16"/>
                <w:lang w:val="en-GB" w:eastAsia="en-GB"/>
              </w:rPr>
            </w:pPr>
            <w:r w:rsidRPr="00A55317">
              <w:rPr>
                <w:rFonts w:cs="Calibri"/>
                <w:sz w:val="16"/>
                <w:szCs w:val="16"/>
              </w:rPr>
              <w:t xml:space="preserve"> 82,9%</w:t>
            </w:r>
          </w:p>
        </w:tc>
        <w:tc>
          <w:tcPr>
            <w:tcW w:w="1065" w:type="dxa"/>
            <w:noWrap/>
            <w:vAlign w:val="bottom"/>
            <w:hideMark/>
          </w:tcPr>
          <w:p w:rsidRPr="00DC7C2F" w:rsidR="00B52D66" w:rsidP="00FC2172" w:rsidRDefault="00B52D66" w14:paraId="21F26183" w14:textId="77777777">
            <w:pPr>
              <w:spacing w:line="240" w:lineRule="auto"/>
              <w:jc w:val="right"/>
              <w:rPr>
                <w:rFonts w:cs="Calibri"/>
                <w:sz w:val="16"/>
                <w:szCs w:val="16"/>
                <w:lang w:val="en-GB" w:eastAsia="en-GB"/>
              </w:rPr>
            </w:pPr>
            <w:r w:rsidRPr="00A55317">
              <w:rPr>
                <w:rFonts w:cs="Calibri"/>
                <w:sz w:val="16"/>
                <w:szCs w:val="16"/>
              </w:rPr>
              <w:t xml:space="preserve">      860 </w:t>
            </w:r>
          </w:p>
        </w:tc>
        <w:tc>
          <w:tcPr>
            <w:tcW w:w="993" w:type="dxa"/>
            <w:noWrap/>
            <w:vAlign w:val="bottom"/>
            <w:hideMark/>
          </w:tcPr>
          <w:p w:rsidRPr="00DC7C2F" w:rsidR="00B52D66" w:rsidP="00FC2172" w:rsidRDefault="00B52D66" w14:paraId="6A939729" w14:textId="77777777">
            <w:pPr>
              <w:spacing w:line="240" w:lineRule="auto"/>
              <w:jc w:val="right"/>
              <w:rPr>
                <w:rFonts w:cs="Calibri"/>
                <w:sz w:val="16"/>
                <w:szCs w:val="16"/>
                <w:lang w:val="en-GB" w:eastAsia="en-GB"/>
              </w:rPr>
            </w:pPr>
            <w:r w:rsidRPr="00A55317">
              <w:rPr>
                <w:rFonts w:cs="Calibri"/>
                <w:sz w:val="16"/>
                <w:szCs w:val="16"/>
              </w:rPr>
              <w:t xml:space="preserve"> 17,1%</w:t>
            </w:r>
          </w:p>
        </w:tc>
        <w:tc>
          <w:tcPr>
            <w:tcW w:w="1134" w:type="dxa"/>
            <w:noWrap/>
            <w:vAlign w:val="bottom"/>
            <w:hideMark/>
          </w:tcPr>
          <w:p w:rsidRPr="00DC7C2F" w:rsidR="00B52D66" w:rsidP="00FC2172" w:rsidRDefault="00B52D66" w14:paraId="3B1ADF0E" w14:textId="77777777">
            <w:pPr>
              <w:spacing w:line="240" w:lineRule="auto"/>
              <w:jc w:val="right"/>
              <w:rPr>
                <w:rFonts w:cs="Calibri"/>
                <w:sz w:val="16"/>
                <w:szCs w:val="16"/>
                <w:lang w:val="en-GB" w:eastAsia="en-GB"/>
              </w:rPr>
            </w:pPr>
            <w:r w:rsidRPr="00A55317">
              <w:rPr>
                <w:rFonts w:cs="Calibri"/>
                <w:sz w:val="16"/>
                <w:szCs w:val="16"/>
              </w:rPr>
              <w:t xml:space="preserve">    3.932 </w:t>
            </w:r>
          </w:p>
        </w:tc>
        <w:tc>
          <w:tcPr>
            <w:tcW w:w="1001" w:type="dxa"/>
            <w:noWrap/>
            <w:vAlign w:val="bottom"/>
            <w:hideMark/>
          </w:tcPr>
          <w:p w:rsidRPr="00DC7C2F" w:rsidR="00B52D66" w:rsidP="00FC2172" w:rsidRDefault="00B52D66" w14:paraId="10EBE9CA" w14:textId="77777777">
            <w:pPr>
              <w:spacing w:line="240" w:lineRule="auto"/>
              <w:jc w:val="right"/>
              <w:rPr>
                <w:rFonts w:cs="Calibri"/>
                <w:sz w:val="16"/>
                <w:szCs w:val="16"/>
                <w:lang w:val="en-GB" w:eastAsia="en-GB"/>
              </w:rPr>
            </w:pPr>
            <w:r w:rsidRPr="00A55317">
              <w:rPr>
                <w:rFonts w:cs="Calibri"/>
                <w:sz w:val="16"/>
                <w:szCs w:val="16"/>
              </w:rPr>
              <w:t xml:space="preserve">78,4 </w:t>
            </w:r>
          </w:p>
        </w:tc>
      </w:tr>
      <w:tr w:rsidRPr="00DC7C2F" w:rsidR="00B52D66" w:rsidTr="00FC2172" w14:paraId="4C5479F8" w14:textId="77777777">
        <w:trPr>
          <w:trHeight w:val="290"/>
        </w:trPr>
        <w:tc>
          <w:tcPr>
            <w:tcW w:w="781" w:type="dxa"/>
            <w:noWrap/>
            <w:hideMark/>
          </w:tcPr>
          <w:p w:rsidRPr="00DC7C2F" w:rsidR="00B52D66" w:rsidP="00FC2172" w:rsidRDefault="00B52D66" w14:paraId="27EC9AAC" w14:textId="77777777">
            <w:pPr>
              <w:spacing w:line="240" w:lineRule="auto"/>
              <w:rPr>
                <w:rFonts w:cs="Calibri"/>
                <w:sz w:val="16"/>
                <w:szCs w:val="16"/>
                <w:lang w:val="en-GB" w:eastAsia="en-GB"/>
              </w:rPr>
            </w:pPr>
            <w:r w:rsidRPr="00DC7C2F">
              <w:rPr>
                <w:rFonts w:cs="Calibri"/>
                <w:sz w:val="16"/>
                <w:szCs w:val="16"/>
                <w:lang w:val="en-GB" w:eastAsia="en-GB"/>
              </w:rPr>
              <w:t>M&amp;T</w:t>
            </w:r>
          </w:p>
        </w:tc>
        <w:tc>
          <w:tcPr>
            <w:tcW w:w="1057" w:type="dxa"/>
            <w:noWrap/>
            <w:vAlign w:val="bottom"/>
            <w:hideMark/>
          </w:tcPr>
          <w:p w:rsidRPr="00DC7C2F" w:rsidR="00B52D66" w:rsidP="00FC2172" w:rsidRDefault="00B52D66" w14:paraId="3AF67062" w14:textId="77777777">
            <w:pPr>
              <w:spacing w:line="240" w:lineRule="auto"/>
              <w:jc w:val="right"/>
              <w:rPr>
                <w:rFonts w:cs="Calibri"/>
                <w:i/>
                <w:iCs/>
                <w:sz w:val="16"/>
                <w:szCs w:val="16"/>
                <w:lang w:val="en-GB" w:eastAsia="en-GB"/>
              </w:rPr>
            </w:pPr>
            <w:r w:rsidRPr="00A55317">
              <w:rPr>
                <w:rFonts w:cs="Calibri"/>
                <w:i/>
                <w:iCs/>
                <w:sz w:val="16"/>
                <w:szCs w:val="16"/>
              </w:rPr>
              <w:t xml:space="preserve">    5.416 </w:t>
            </w:r>
          </w:p>
        </w:tc>
        <w:tc>
          <w:tcPr>
            <w:tcW w:w="1134" w:type="dxa"/>
            <w:noWrap/>
            <w:vAlign w:val="bottom"/>
            <w:hideMark/>
          </w:tcPr>
          <w:p w:rsidRPr="00DC7C2F" w:rsidR="00B52D66" w:rsidP="00FC2172" w:rsidRDefault="00B52D66" w14:paraId="1B422669" w14:textId="77777777">
            <w:pPr>
              <w:spacing w:line="240" w:lineRule="auto"/>
              <w:jc w:val="right"/>
              <w:rPr>
                <w:rFonts w:cs="Calibri"/>
                <w:sz w:val="16"/>
                <w:szCs w:val="16"/>
                <w:lang w:val="en-GB" w:eastAsia="en-GB"/>
              </w:rPr>
            </w:pPr>
            <w:r w:rsidRPr="00A55317">
              <w:rPr>
                <w:rFonts w:cs="Calibri"/>
                <w:sz w:val="16"/>
                <w:szCs w:val="16"/>
              </w:rPr>
              <w:t xml:space="preserve">    4.898 </w:t>
            </w:r>
          </w:p>
        </w:tc>
        <w:tc>
          <w:tcPr>
            <w:tcW w:w="1134" w:type="dxa"/>
            <w:noWrap/>
            <w:vAlign w:val="bottom"/>
            <w:hideMark/>
          </w:tcPr>
          <w:p w:rsidRPr="00DC7C2F" w:rsidR="00B52D66" w:rsidP="00FC2172" w:rsidRDefault="00B52D66" w14:paraId="53C85692" w14:textId="77777777">
            <w:pPr>
              <w:spacing w:line="240" w:lineRule="auto"/>
              <w:jc w:val="right"/>
              <w:rPr>
                <w:rFonts w:cs="Calibri"/>
                <w:sz w:val="16"/>
                <w:szCs w:val="16"/>
                <w:lang w:val="en-GB" w:eastAsia="en-GB"/>
              </w:rPr>
            </w:pPr>
            <w:r w:rsidRPr="00A55317">
              <w:rPr>
                <w:rFonts w:cs="Calibri"/>
                <w:sz w:val="16"/>
                <w:szCs w:val="16"/>
              </w:rPr>
              <w:t xml:space="preserve">  4.552 </w:t>
            </w:r>
          </w:p>
        </w:tc>
        <w:tc>
          <w:tcPr>
            <w:tcW w:w="1061" w:type="dxa"/>
            <w:noWrap/>
            <w:vAlign w:val="bottom"/>
            <w:hideMark/>
          </w:tcPr>
          <w:p w:rsidRPr="00DC7C2F" w:rsidR="00B52D66" w:rsidP="00FC2172" w:rsidRDefault="00B52D66" w14:paraId="47AE035E" w14:textId="77777777">
            <w:pPr>
              <w:spacing w:line="240" w:lineRule="auto"/>
              <w:jc w:val="right"/>
              <w:rPr>
                <w:rFonts w:cs="Calibri"/>
                <w:sz w:val="16"/>
                <w:szCs w:val="16"/>
                <w:lang w:val="en-GB" w:eastAsia="en-GB"/>
              </w:rPr>
            </w:pPr>
            <w:r w:rsidRPr="00A55317">
              <w:rPr>
                <w:rFonts w:cs="Calibri"/>
                <w:sz w:val="16"/>
                <w:szCs w:val="16"/>
              </w:rPr>
              <w:t xml:space="preserve"> 92,9%</w:t>
            </w:r>
          </w:p>
        </w:tc>
        <w:tc>
          <w:tcPr>
            <w:tcW w:w="1065" w:type="dxa"/>
            <w:noWrap/>
            <w:vAlign w:val="bottom"/>
            <w:hideMark/>
          </w:tcPr>
          <w:p w:rsidRPr="00DC7C2F" w:rsidR="00B52D66" w:rsidP="00FC2172" w:rsidRDefault="00B52D66" w14:paraId="79C40F4D" w14:textId="77777777">
            <w:pPr>
              <w:spacing w:line="240" w:lineRule="auto"/>
              <w:jc w:val="right"/>
              <w:rPr>
                <w:rFonts w:cs="Calibri"/>
                <w:sz w:val="16"/>
                <w:szCs w:val="16"/>
                <w:lang w:val="en-GB" w:eastAsia="en-GB"/>
              </w:rPr>
            </w:pPr>
            <w:r w:rsidRPr="00A55317">
              <w:rPr>
                <w:rFonts w:cs="Calibri"/>
                <w:sz w:val="16"/>
                <w:szCs w:val="16"/>
              </w:rPr>
              <w:t xml:space="preserve">     346 </w:t>
            </w:r>
          </w:p>
        </w:tc>
        <w:tc>
          <w:tcPr>
            <w:tcW w:w="993" w:type="dxa"/>
            <w:noWrap/>
            <w:vAlign w:val="bottom"/>
            <w:hideMark/>
          </w:tcPr>
          <w:p w:rsidRPr="00DC7C2F" w:rsidR="00B52D66" w:rsidP="00FC2172" w:rsidRDefault="00B52D66" w14:paraId="718BFB39" w14:textId="77777777">
            <w:pPr>
              <w:spacing w:line="240" w:lineRule="auto"/>
              <w:jc w:val="right"/>
              <w:rPr>
                <w:rFonts w:cs="Calibri"/>
                <w:sz w:val="16"/>
                <w:szCs w:val="16"/>
                <w:lang w:val="en-GB" w:eastAsia="en-GB"/>
              </w:rPr>
            </w:pPr>
            <w:r w:rsidRPr="00A55317">
              <w:rPr>
                <w:rFonts w:cs="Calibri"/>
                <w:sz w:val="16"/>
                <w:szCs w:val="16"/>
              </w:rPr>
              <w:t xml:space="preserve">    7,1%</w:t>
            </w:r>
          </w:p>
        </w:tc>
        <w:tc>
          <w:tcPr>
            <w:tcW w:w="1134" w:type="dxa"/>
            <w:noWrap/>
            <w:vAlign w:val="bottom"/>
            <w:hideMark/>
          </w:tcPr>
          <w:p w:rsidRPr="00DC7C2F" w:rsidR="00B52D66" w:rsidP="00FC2172" w:rsidRDefault="00B52D66" w14:paraId="2231BC76" w14:textId="77777777">
            <w:pPr>
              <w:spacing w:line="240" w:lineRule="auto"/>
              <w:jc w:val="right"/>
              <w:rPr>
                <w:rFonts w:cs="Calibri"/>
                <w:sz w:val="16"/>
                <w:szCs w:val="16"/>
                <w:lang w:val="en-GB" w:eastAsia="en-GB"/>
              </w:rPr>
            </w:pPr>
            <w:r w:rsidRPr="00A55317">
              <w:rPr>
                <w:rFonts w:cs="Calibri"/>
                <w:sz w:val="16"/>
                <w:szCs w:val="16"/>
              </w:rPr>
              <w:t xml:space="preserve">   4.066 </w:t>
            </w:r>
          </w:p>
        </w:tc>
        <w:tc>
          <w:tcPr>
            <w:tcW w:w="1001" w:type="dxa"/>
            <w:noWrap/>
            <w:vAlign w:val="bottom"/>
            <w:hideMark/>
          </w:tcPr>
          <w:p w:rsidRPr="00DC7C2F" w:rsidR="00B52D66" w:rsidP="00FC2172" w:rsidRDefault="00B52D66" w14:paraId="6917ACFE" w14:textId="77777777">
            <w:pPr>
              <w:spacing w:line="240" w:lineRule="auto"/>
              <w:jc w:val="right"/>
              <w:rPr>
                <w:rFonts w:cs="Calibri"/>
                <w:sz w:val="16"/>
                <w:szCs w:val="16"/>
                <w:lang w:val="en-GB" w:eastAsia="en-GB"/>
              </w:rPr>
            </w:pPr>
            <w:r w:rsidRPr="00A55317">
              <w:rPr>
                <w:rFonts w:cs="Calibri"/>
                <w:sz w:val="16"/>
                <w:szCs w:val="16"/>
              </w:rPr>
              <w:t xml:space="preserve">  83,0 </w:t>
            </w:r>
          </w:p>
        </w:tc>
      </w:tr>
      <w:tr w:rsidRPr="00DC7C2F" w:rsidR="00B52D66" w:rsidTr="00FC2172" w14:paraId="33A29684" w14:textId="77777777">
        <w:trPr>
          <w:trHeight w:val="290"/>
        </w:trPr>
        <w:tc>
          <w:tcPr>
            <w:tcW w:w="781" w:type="dxa"/>
            <w:tcBorders>
              <w:bottom w:val="single" w:color="BFBFBF" w:themeColor="background1" w:themeShade="BF" w:sz="4" w:space="0"/>
            </w:tcBorders>
            <w:noWrap/>
            <w:hideMark/>
          </w:tcPr>
          <w:p w:rsidRPr="00DC7C2F" w:rsidR="00B52D66" w:rsidP="00FC2172" w:rsidRDefault="00B52D66" w14:paraId="5FD7F5EF" w14:textId="77777777">
            <w:pPr>
              <w:spacing w:line="240" w:lineRule="auto"/>
              <w:rPr>
                <w:rFonts w:cs="Calibri"/>
                <w:sz w:val="16"/>
                <w:szCs w:val="16"/>
                <w:lang w:val="en-GB" w:eastAsia="en-GB"/>
              </w:rPr>
            </w:pPr>
            <w:r w:rsidRPr="00DC7C2F">
              <w:rPr>
                <w:rFonts w:cs="Calibri"/>
                <w:sz w:val="16"/>
                <w:szCs w:val="16"/>
                <w:lang w:val="en-GB" w:eastAsia="en-GB"/>
              </w:rPr>
              <w:t>PIE</w:t>
            </w:r>
          </w:p>
        </w:tc>
        <w:tc>
          <w:tcPr>
            <w:tcW w:w="1057" w:type="dxa"/>
            <w:tcBorders>
              <w:bottom w:val="single" w:color="BFBFBF" w:themeColor="background1" w:themeShade="BF" w:sz="4" w:space="0"/>
            </w:tcBorders>
            <w:noWrap/>
            <w:vAlign w:val="bottom"/>
            <w:hideMark/>
          </w:tcPr>
          <w:p w:rsidRPr="00DC7C2F" w:rsidR="00B52D66" w:rsidP="00FC2172" w:rsidRDefault="00B52D66" w14:paraId="7B02BFAA" w14:textId="77777777">
            <w:pPr>
              <w:spacing w:line="240" w:lineRule="auto"/>
              <w:jc w:val="right"/>
              <w:rPr>
                <w:rFonts w:cs="Calibri"/>
                <w:i/>
                <w:iCs/>
                <w:sz w:val="16"/>
                <w:szCs w:val="16"/>
                <w:lang w:val="en-GB" w:eastAsia="en-GB"/>
              </w:rPr>
            </w:pPr>
            <w:r w:rsidRPr="00A55317">
              <w:rPr>
                <w:rFonts w:cs="Calibri"/>
                <w:i/>
                <w:iCs/>
                <w:sz w:val="16"/>
                <w:szCs w:val="16"/>
              </w:rPr>
              <w:t xml:space="preserve">   15.835 </w:t>
            </w:r>
          </w:p>
        </w:tc>
        <w:tc>
          <w:tcPr>
            <w:tcW w:w="1134" w:type="dxa"/>
            <w:tcBorders>
              <w:bottom w:val="single" w:color="BFBFBF" w:themeColor="background1" w:themeShade="BF" w:sz="4" w:space="0"/>
            </w:tcBorders>
            <w:noWrap/>
            <w:vAlign w:val="bottom"/>
            <w:hideMark/>
          </w:tcPr>
          <w:p w:rsidRPr="00DC7C2F" w:rsidR="00B52D66" w:rsidP="00FC2172" w:rsidRDefault="00B52D66" w14:paraId="337FE7E7" w14:textId="77777777">
            <w:pPr>
              <w:spacing w:line="240" w:lineRule="auto"/>
              <w:jc w:val="right"/>
              <w:rPr>
                <w:rFonts w:cs="Calibri"/>
                <w:sz w:val="16"/>
                <w:szCs w:val="16"/>
                <w:lang w:val="en-GB" w:eastAsia="en-GB"/>
              </w:rPr>
            </w:pPr>
            <w:r w:rsidRPr="00A55317">
              <w:rPr>
                <w:rFonts w:cs="Calibri"/>
                <w:sz w:val="16"/>
                <w:szCs w:val="16"/>
              </w:rPr>
              <w:t xml:space="preserve"> 15.037 </w:t>
            </w:r>
          </w:p>
        </w:tc>
        <w:tc>
          <w:tcPr>
            <w:tcW w:w="1134" w:type="dxa"/>
            <w:tcBorders>
              <w:bottom w:val="single" w:color="BFBFBF" w:themeColor="background1" w:themeShade="BF" w:sz="4" w:space="0"/>
            </w:tcBorders>
            <w:noWrap/>
            <w:vAlign w:val="bottom"/>
            <w:hideMark/>
          </w:tcPr>
          <w:p w:rsidRPr="00DC7C2F" w:rsidR="00B52D66" w:rsidP="00FC2172" w:rsidRDefault="00B52D66" w14:paraId="4CF0483B" w14:textId="77777777">
            <w:pPr>
              <w:spacing w:line="240" w:lineRule="auto"/>
              <w:jc w:val="right"/>
              <w:rPr>
                <w:rFonts w:cs="Calibri"/>
                <w:sz w:val="16"/>
                <w:szCs w:val="16"/>
                <w:lang w:val="en-GB" w:eastAsia="en-GB"/>
              </w:rPr>
            </w:pPr>
            <w:r w:rsidRPr="00A55317">
              <w:rPr>
                <w:rFonts w:cs="Calibri"/>
                <w:sz w:val="16"/>
                <w:szCs w:val="16"/>
              </w:rPr>
              <w:t xml:space="preserve">   13.815 </w:t>
            </w:r>
          </w:p>
        </w:tc>
        <w:tc>
          <w:tcPr>
            <w:tcW w:w="1061" w:type="dxa"/>
            <w:tcBorders>
              <w:bottom w:val="single" w:color="BFBFBF" w:themeColor="background1" w:themeShade="BF" w:sz="4" w:space="0"/>
            </w:tcBorders>
            <w:noWrap/>
            <w:vAlign w:val="bottom"/>
            <w:hideMark/>
          </w:tcPr>
          <w:p w:rsidRPr="00DC7C2F" w:rsidR="00B52D66" w:rsidP="00FC2172" w:rsidRDefault="00B52D66" w14:paraId="390FEBEE" w14:textId="77777777">
            <w:pPr>
              <w:spacing w:line="240" w:lineRule="auto"/>
              <w:jc w:val="right"/>
              <w:rPr>
                <w:rFonts w:cs="Calibri"/>
                <w:sz w:val="16"/>
                <w:szCs w:val="16"/>
                <w:lang w:val="en-GB" w:eastAsia="en-GB"/>
              </w:rPr>
            </w:pPr>
            <w:r w:rsidRPr="00A55317">
              <w:rPr>
                <w:rFonts w:cs="Calibri"/>
                <w:sz w:val="16"/>
                <w:szCs w:val="16"/>
              </w:rPr>
              <w:t xml:space="preserve">     91,9%</w:t>
            </w:r>
          </w:p>
        </w:tc>
        <w:tc>
          <w:tcPr>
            <w:tcW w:w="1065" w:type="dxa"/>
            <w:tcBorders>
              <w:bottom w:val="single" w:color="BFBFBF" w:themeColor="background1" w:themeShade="BF" w:sz="4" w:space="0"/>
            </w:tcBorders>
            <w:noWrap/>
            <w:vAlign w:val="bottom"/>
            <w:hideMark/>
          </w:tcPr>
          <w:p w:rsidRPr="00DC7C2F" w:rsidR="00B52D66" w:rsidP="00FC2172" w:rsidRDefault="00B52D66" w14:paraId="32DAE3E7" w14:textId="77777777">
            <w:pPr>
              <w:spacing w:line="240" w:lineRule="auto"/>
              <w:jc w:val="right"/>
              <w:rPr>
                <w:rFonts w:cs="Calibri"/>
                <w:sz w:val="16"/>
                <w:szCs w:val="16"/>
                <w:lang w:val="en-GB" w:eastAsia="en-GB"/>
              </w:rPr>
            </w:pPr>
            <w:r w:rsidRPr="00A55317">
              <w:rPr>
                <w:rFonts w:cs="Calibri"/>
                <w:sz w:val="16"/>
                <w:szCs w:val="16"/>
              </w:rPr>
              <w:t xml:space="preserve">   1.222 </w:t>
            </w:r>
          </w:p>
        </w:tc>
        <w:tc>
          <w:tcPr>
            <w:tcW w:w="993" w:type="dxa"/>
            <w:tcBorders>
              <w:bottom w:val="single" w:color="BFBFBF" w:themeColor="background1" w:themeShade="BF" w:sz="4" w:space="0"/>
            </w:tcBorders>
            <w:noWrap/>
            <w:vAlign w:val="bottom"/>
            <w:hideMark/>
          </w:tcPr>
          <w:p w:rsidRPr="00DC7C2F" w:rsidR="00B52D66" w:rsidP="00FC2172" w:rsidRDefault="00B52D66" w14:paraId="1265D19D" w14:textId="77777777">
            <w:pPr>
              <w:spacing w:line="240" w:lineRule="auto"/>
              <w:jc w:val="right"/>
              <w:rPr>
                <w:rFonts w:cs="Calibri"/>
                <w:sz w:val="16"/>
                <w:szCs w:val="16"/>
                <w:lang w:val="en-GB" w:eastAsia="en-GB"/>
              </w:rPr>
            </w:pPr>
            <w:r w:rsidRPr="00A55317">
              <w:rPr>
                <w:rFonts w:cs="Calibri"/>
                <w:sz w:val="16"/>
                <w:szCs w:val="16"/>
              </w:rPr>
              <w:t xml:space="preserve">     8,1%</w:t>
            </w:r>
          </w:p>
        </w:tc>
        <w:tc>
          <w:tcPr>
            <w:tcW w:w="1134" w:type="dxa"/>
            <w:tcBorders>
              <w:bottom w:val="single" w:color="BFBFBF" w:themeColor="background1" w:themeShade="BF" w:sz="4" w:space="0"/>
            </w:tcBorders>
            <w:noWrap/>
            <w:vAlign w:val="bottom"/>
            <w:hideMark/>
          </w:tcPr>
          <w:p w:rsidRPr="00DC7C2F" w:rsidR="00B52D66" w:rsidP="00FC2172" w:rsidRDefault="00B52D66" w14:paraId="67272C74" w14:textId="77777777">
            <w:pPr>
              <w:spacing w:line="240" w:lineRule="auto"/>
              <w:jc w:val="right"/>
              <w:rPr>
                <w:rFonts w:cs="Calibri"/>
                <w:sz w:val="16"/>
                <w:szCs w:val="16"/>
                <w:lang w:val="en-GB" w:eastAsia="en-GB"/>
              </w:rPr>
            </w:pPr>
            <w:r w:rsidRPr="00A55317">
              <w:rPr>
                <w:rFonts w:cs="Calibri"/>
                <w:sz w:val="16"/>
                <w:szCs w:val="16"/>
              </w:rPr>
              <w:t xml:space="preserve">    11.852 </w:t>
            </w:r>
          </w:p>
        </w:tc>
        <w:tc>
          <w:tcPr>
            <w:tcW w:w="1001" w:type="dxa"/>
            <w:tcBorders>
              <w:bottom w:val="single" w:color="BFBFBF" w:themeColor="background1" w:themeShade="BF" w:sz="4" w:space="0"/>
            </w:tcBorders>
            <w:noWrap/>
            <w:vAlign w:val="bottom"/>
            <w:hideMark/>
          </w:tcPr>
          <w:p w:rsidRPr="00DC7C2F" w:rsidR="00B52D66" w:rsidP="00FC2172" w:rsidRDefault="00B52D66" w14:paraId="64E155B9" w14:textId="77777777">
            <w:pPr>
              <w:spacing w:line="240" w:lineRule="auto"/>
              <w:jc w:val="right"/>
              <w:rPr>
                <w:rFonts w:cs="Calibri"/>
                <w:sz w:val="16"/>
                <w:szCs w:val="16"/>
                <w:lang w:val="en-GB" w:eastAsia="en-GB"/>
              </w:rPr>
            </w:pPr>
            <w:r w:rsidRPr="00A55317">
              <w:rPr>
                <w:rFonts w:cs="Calibri"/>
                <w:sz w:val="16"/>
                <w:szCs w:val="16"/>
              </w:rPr>
              <w:t xml:space="preserve">   78,8 </w:t>
            </w:r>
          </w:p>
        </w:tc>
      </w:tr>
      <w:tr w:rsidRPr="00DC7C2F" w:rsidR="00B52D66" w:rsidTr="00FC2172" w14:paraId="74DFE381" w14:textId="77777777">
        <w:trPr>
          <w:trHeight w:val="290"/>
        </w:trPr>
        <w:tc>
          <w:tcPr>
            <w:tcW w:w="781" w:type="dxa"/>
            <w:tcBorders>
              <w:bottom w:val="single" w:color="auto" w:sz="4" w:space="0"/>
            </w:tcBorders>
            <w:noWrap/>
            <w:hideMark/>
          </w:tcPr>
          <w:p w:rsidRPr="00DC7C2F" w:rsidR="00B52D66" w:rsidP="00FC2172" w:rsidRDefault="00B52D66" w14:paraId="7F75068A" w14:textId="77777777">
            <w:pPr>
              <w:spacing w:line="240" w:lineRule="auto"/>
              <w:rPr>
                <w:rFonts w:cs="Calibri"/>
                <w:b/>
                <w:bCs/>
                <w:sz w:val="16"/>
                <w:szCs w:val="16"/>
                <w:lang w:val="en-GB" w:eastAsia="en-GB"/>
              </w:rPr>
            </w:pPr>
            <w:r w:rsidRPr="00DC7C2F">
              <w:rPr>
                <w:rFonts w:cs="Calibri"/>
                <w:b/>
                <w:bCs/>
                <w:sz w:val="16"/>
                <w:szCs w:val="16"/>
                <w:lang w:val="en-GB" w:eastAsia="en-GB"/>
              </w:rPr>
              <w:t>Tota</w:t>
            </w:r>
            <w:r>
              <w:rPr>
                <w:rFonts w:cs="Calibri"/>
                <w:b/>
                <w:bCs/>
                <w:sz w:val="16"/>
                <w:szCs w:val="16"/>
                <w:lang w:val="en-GB" w:eastAsia="en-GB"/>
              </w:rPr>
              <w:t>a</w:t>
            </w:r>
            <w:r w:rsidRPr="00DC7C2F">
              <w:rPr>
                <w:rFonts w:cs="Calibri"/>
                <w:b/>
                <w:bCs/>
                <w:sz w:val="16"/>
                <w:szCs w:val="16"/>
                <w:lang w:val="en-GB" w:eastAsia="en-GB"/>
              </w:rPr>
              <w:t>l</w:t>
            </w:r>
          </w:p>
        </w:tc>
        <w:tc>
          <w:tcPr>
            <w:tcW w:w="1057" w:type="dxa"/>
            <w:tcBorders>
              <w:bottom w:val="single" w:color="auto" w:sz="4" w:space="0"/>
            </w:tcBorders>
            <w:noWrap/>
            <w:hideMark/>
          </w:tcPr>
          <w:p w:rsidRPr="00DC7C2F" w:rsidR="00B52D66" w:rsidP="00FC2172" w:rsidRDefault="00B52D66" w14:paraId="4788CC00" w14:textId="77777777">
            <w:pPr>
              <w:spacing w:line="240" w:lineRule="auto"/>
              <w:jc w:val="right"/>
              <w:rPr>
                <w:rFonts w:cs="Calibri"/>
                <w:b/>
                <w:bCs/>
                <w:i/>
                <w:iCs/>
                <w:sz w:val="16"/>
                <w:szCs w:val="16"/>
                <w:lang w:val="en-GB" w:eastAsia="en-GB"/>
              </w:rPr>
            </w:pPr>
            <w:r w:rsidRPr="00A55317">
              <w:rPr>
                <w:rFonts w:cs="Calibri"/>
                <w:b/>
                <w:bCs/>
                <w:i/>
                <w:iCs/>
                <w:sz w:val="16"/>
                <w:szCs w:val="16"/>
              </w:rPr>
              <w:t xml:space="preserve"> 39.158 </w:t>
            </w:r>
          </w:p>
        </w:tc>
        <w:tc>
          <w:tcPr>
            <w:tcW w:w="1134" w:type="dxa"/>
            <w:tcBorders>
              <w:bottom w:val="single" w:color="auto" w:sz="4" w:space="0"/>
            </w:tcBorders>
            <w:noWrap/>
            <w:hideMark/>
          </w:tcPr>
          <w:p w:rsidRPr="00DC7C2F" w:rsidR="00B52D66" w:rsidP="00FC2172" w:rsidRDefault="00B52D66" w14:paraId="6606FD2E" w14:textId="77777777">
            <w:pPr>
              <w:spacing w:line="240" w:lineRule="auto"/>
              <w:jc w:val="right"/>
              <w:rPr>
                <w:rFonts w:cs="Calibri"/>
                <w:b/>
                <w:bCs/>
                <w:sz w:val="16"/>
                <w:szCs w:val="16"/>
                <w:lang w:val="en-GB" w:eastAsia="en-GB"/>
              </w:rPr>
            </w:pPr>
            <w:r w:rsidRPr="00A55317">
              <w:rPr>
                <w:rFonts w:cs="Calibri"/>
                <w:b/>
                <w:bCs/>
                <w:sz w:val="16"/>
                <w:szCs w:val="16"/>
              </w:rPr>
              <w:t xml:space="preserve"> 37.217 </w:t>
            </w:r>
          </w:p>
        </w:tc>
        <w:tc>
          <w:tcPr>
            <w:tcW w:w="1134" w:type="dxa"/>
            <w:tcBorders>
              <w:bottom w:val="single" w:color="auto" w:sz="4" w:space="0"/>
            </w:tcBorders>
            <w:noWrap/>
            <w:hideMark/>
          </w:tcPr>
          <w:p w:rsidRPr="00DC7C2F" w:rsidR="00B52D66" w:rsidP="00FC2172" w:rsidRDefault="00B52D66" w14:paraId="352BBE1B" w14:textId="77777777">
            <w:pPr>
              <w:spacing w:line="240" w:lineRule="auto"/>
              <w:jc w:val="right"/>
              <w:rPr>
                <w:rFonts w:cs="Calibri"/>
                <w:b/>
                <w:bCs/>
                <w:sz w:val="16"/>
                <w:szCs w:val="16"/>
                <w:lang w:val="en-GB" w:eastAsia="en-GB"/>
              </w:rPr>
            </w:pPr>
            <w:r w:rsidRPr="00A55317">
              <w:rPr>
                <w:rFonts w:cs="Calibri"/>
                <w:b/>
                <w:bCs/>
                <w:sz w:val="16"/>
                <w:szCs w:val="16"/>
              </w:rPr>
              <w:t xml:space="preserve"> 33.876 </w:t>
            </w:r>
          </w:p>
        </w:tc>
        <w:tc>
          <w:tcPr>
            <w:tcW w:w="1061" w:type="dxa"/>
            <w:tcBorders>
              <w:bottom w:val="single" w:color="auto" w:sz="4" w:space="0"/>
            </w:tcBorders>
            <w:noWrap/>
            <w:hideMark/>
          </w:tcPr>
          <w:p w:rsidRPr="00DC7C2F" w:rsidR="00B52D66" w:rsidP="00FC2172" w:rsidRDefault="00B52D66" w14:paraId="6A28D6F7" w14:textId="77777777">
            <w:pPr>
              <w:spacing w:line="240" w:lineRule="auto"/>
              <w:jc w:val="right"/>
              <w:rPr>
                <w:rFonts w:cs="Calibri"/>
                <w:b/>
                <w:bCs/>
                <w:sz w:val="16"/>
                <w:szCs w:val="16"/>
                <w:lang w:val="en-GB" w:eastAsia="en-GB"/>
              </w:rPr>
            </w:pPr>
            <w:r w:rsidRPr="00A55317">
              <w:rPr>
                <w:rFonts w:cs="Calibri"/>
                <w:b/>
                <w:bCs/>
                <w:sz w:val="16"/>
                <w:szCs w:val="16"/>
              </w:rPr>
              <w:t>91,0%</w:t>
            </w:r>
          </w:p>
        </w:tc>
        <w:tc>
          <w:tcPr>
            <w:tcW w:w="1065" w:type="dxa"/>
            <w:tcBorders>
              <w:bottom w:val="single" w:color="auto" w:sz="4" w:space="0"/>
            </w:tcBorders>
            <w:noWrap/>
            <w:hideMark/>
          </w:tcPr>
          <w:p w:rsidRPr="00DC7C2F" w:rsidR="00B52D66" w:rsidP="00FC2172" w:rsidRDefault="00B52D66" w14:paraId="3BCBB4AC" w14:textId="77777777">
            <w:pPr>
              <w:spacing w:line="240" w:lineRule="auto"/>
              <w:jc w:val="right"/>
              <w:rPr>
                <w:rFonts w:cs="Calibri"/>
                <w:b/>
                <w:bCs/>
                <w:sz w:val="16"/>
                <w:szCs w:val="16"/>
                <w:lang w:val="en-GB" w:eastAsia="en-GB"/>
              </w:rPr>
            </w:pPr>
            <w:r w:rsidRPr="00A55317">
              <w:rPr>
                <w:rFonts w:cs="Calibri"/>
                <w:b/>
                <w:bCs/>
                <w:sz w:val="16"/>
                <w:szCs w:val="16"/>
              </w:rPr>
              <w:t xml:space="preserve"> 3.341 </w:t>
            </w:r>
          </w:p>
        </w:tc>
        <w:tc>
          <w:tcPr>
            <w:tcW w:w="993" w:type="dxa"/>
            <w:tcBorders>
              <w:bottom w:val="single" w:color="auto" w:sz="4" w:space="0"/>
            </w:tcBorders>
            <w:noWrap/>
            <w:hideMark/>
          </w:tcPr>
          <w:p w:rsidRPr="00DC7C2F" w:rsidR="00B52D66" w:rsidP="00FC2172" w:rsidRDefault="00B52D66" w14:paraId="10DEF664" w14:textId="77777777">
            <w:pPr>
              <w:spacing w:line="240" w:lineRule="auto"/>
              <w:jc w:val="right"/>
              <w:rPr>
                <w:rFonts w:cs="Calibri"/>
                <w:b/>
                <w:bCs/>
                <w:sz w:val="16"/>
                <w:szCs w:val="16"/>
                <w:lang w:val="en-GB" w:eastAsia="en-GB"/>
              </w:rPr>
            </w:pPr>
            <w:r w:rsidRPr="00A55317">
              <w:rPr>
                <w:rFonts w:cs="Calibri"/>
                <w:b/>
                <w:bCs/>
                <w:sz w:val="16"/>
                <w:szCs w:val="16"/>
              </w:rPr>
              <w:t>9,0%</w:t>
            </w:r>
          </w:p>
        </w:tc>
        <w:tc>
          <w:tcPr>
            <w:tcW w:w="1134" w:type="dxa"/>
            <w:tcBorders>
              <w:bottom w:val="single" w:color="auto" w:sz="4" w:space="0"/>
            </w:tcBorders>
            <w:noWrap/>
            <w:hideMark/>
          </w:tcPr>
          <w:p w:rsidRPr="00DC7C2F" w:rsidR="00B52D66" w:rsidP="00FC2172" w:rsidRDefault="00B52D66" w14:paraId="549F0DE1" w14:textId="77777777">
            <w:pPr>
              <w:spacing w:line="240" w:lineRule="auto"/>
              <w:jc w:val="right"/>
              <w:rPr>
                <w:rFonts w:cs="Calibri"/>
                <w:b/>
                <w:bCs/>
                <w:sz w:val="16"/>
                <w:szCs w:val="16"/>
                <w:lang w:val="en-GB" w:eastAsia="en-GB"/>
              </w:rPr>
            </w:pPr>
            <w:r w:rsidRPr="00A55317">
              <w:rPr>
                <w:rFonts w:cs="Calibri"/>
                <w:b/>
                <w:bCs/>
                <w:sz w:val="16"/>
                <w:szCs w:val="16"/>
              </w:rPr>
              <w:t xml:space="preserve"> 30.196 </w:t>
            </w:r>
          </w:p>
        </w:tc>
        <w:tc>
          <w:tcPr>
            <w:tcW w:w="1001" w:type="dxa"/>
            <w:tcBorders>
              <w:bottom w:val="single" w:color="auto" w:sz="4" w:space="0"/>
            </w:tcBorders>
            <w:noWrap/>
            <w:hideMark/>
          </w:tcPr>
          <w:p w:rsidRPr="00DC7C2F" w:rsidR="00B52D66" w:rsidP="00FC2172" w:rsidRDefault="00B52D66" w14:paraId="74E44960" w14:textId="77777777">
            <w:pPr>
              <w:spacing w:line="240" w:lineRule="auto"/>
              <w:jc w:val="right"/>
              <w:rPr>
                <w:rFonts w:cs="Calibri"/>
                <w:b/>
                <w:bCs/>
                <w:sz w:val="16"/>
                <w:szCs w:val="16"/>
                <w:lang w:val="en-GB" w:eastAsia="en-GB"/>
              </w:rPr>
            </w:pPr>
            <w:r w:rsidRPr="00A55317">
              <w:rPr>
                <w:rFonts w:cs="Calibri"/>
                <w:b/>
                <w:bCs/>
                <w:sz w:val="16"/>
                <w:szCs w:val="16"/>
              </w:rPr>
              <w:t>81,1</w:t>
            </w:r>
          </w:p>
        </w:tc>
      </w:tr>
    </w:tbl>
    <w:p w:rsidRPr="00F87C57" w:rsidR="00B52D66" w:rsidP="00B52D66" w:rsidRDefault="00B52D66" w14:paraId="4C27C0FA" w14:textId="77777777">
      <w:pPr>
        <w:spacing w:before="60"/>
        <w:rPr>
          <w:sz w:val="16"/>
          <w:szCs w:val="16"/>
        </w:rPr>
      </w:pPr>
      <w:r w:rsidRPr="00F87C57">
        <w:rPr>
          <w:i/>
          <w:sz w:val="16"/>
          <w:szCs w:val="16"/>
        </w:rPr>
        <w:lastRenderedPageBreak/>
        <w:t>Bron: DUO (eigen bewerking ROA).</w:t>
      </w:r>
      <w:r w:rsidRPr="00F87C57">
        <w:rPr>
          <w:i/>
          <w:sz w:val="16"/>
          <w:szCs w:val="16"/>
        </w:rPr>
        <w:br/>
      </w:r>
      <w:r w:rsidRPr="00F87C57">
        <w:rPr>
          <w:sz w:val="16"/>
          <w:szCs w:val="16"/>
        </w:rPr>
        <w:t>Noot: Percenteringen op basis van het totaal van 202</w:t>
      </w:r>
      <w:r>
        <w:rPr>
          <w:sz w:val="16"/>
          <w:szCs w:val="16"/>
        </w:rPr>
        <w:t>2</w:t>
      </w:r>
      <w:r w:rsidRPr="00F87C57">
        <w:rPr>
          <w:sz w:val="16"/>
          <w:szCs w:val="16"/>
        </w:rPr>
        <w:t>/202</w:t>
      </w:r>
      <w:r>
        <w:rPr>
          <w:sz w:val="16"/>
          <w:szCs w:val="16"/>
        </w:rPr>
        <w:t>3</w:t>
      </w:r>
      <w:r w:rsidRPr="00F87C57">
        <w:rPr>
          <w:sz w:val="16"/>
          <w:szCs w:val="16"/>
        </w:rPr>
        <w:t>.</w:t>
      </w:r>
    </w:p>
    <w:p w:rsidR="00B52D66" w:rsidP="00B52D66" w:rsidRDefault="00B52D66" w14:paraId="2C230D10" w14:textId="77777777">
      <w:pPr>
        <w:rPr>
          <w:iCs/>
          <w:szCs w:val="18"/>
        </w:rPr>
      </w:pPr>
    </w:p>
    <w:p w:rsidR="00B52D66" w:rsidP="00B52D66" w:rsidRDefault="00B52D66" w14:paraId="57B8FB46" w14:textId="77777777">
      <w:pPr>
        <w:rPr>
          <w:iCs/>
          <w:szCs w:val="18"/>
        </w:rPr>
      </w:pPr>
    </w:p>
    <w:p w:rsidR="00B52D66" w:rsidP="00B52D66" w:rsidRDefault="00B52D66" w14:paraId="6E8C8BD0" w14:textId="77777777">
      <w:pPr>
        <w:pStyle w:val="Kop3"/>
        <w:rPr>
          <w:szCs w:val="18"/>
        </w:rPr>
      </w:pPr>
      <w:bookmarkStart w:name="_Toc125541257" w:id="165"/>
      <w:bookmarkStart w:name="_Toc127528907" w:id="166"/>
      <w:bookmarkStart w:name="_Toc158042070" w:id="167"/>
      <w:bookmarkStart w:name="_Toc203573633" w:id="168"/>
      <w:r w:rsidRPr="00A45539">
        <w:rPr>
          <w:szCs w:val="18"/>
        </w:rPr>
        <w:t>Keuzevakken behorend bij eigen profiel</w:t>
      </w:r>
      <w:bookmarkEnd w:id="165"/>
      <w:bookmarkEnd w:id="166"/>
      <w:bookmarkEnd w:id="167"/>
      <w:bookmarkEnd w:id="168"/>
    </w:p>
    <w:p w:rsidRPr="00D96BB4" w:rsidR="00B52D66" w:rsidP="00B52D66" w:rsidRDefault="00B52D66" w14:paraId="20DC8D2C" w14:textId="77777777">
      <w:pPr>
        <w:pStyle w:val="Geenafstand"/>
      </w:pPr>
    </w:p>
    <w:p w:rsidRPr="00A45539" w:rsidR="00B52D66" w:rsidP="00B52D66" w:rsidRDefault="00B52D66" w14:paraId="482085F5" w14:textId="77777777">
      <w:pPr>
        <w:jc w:val="both"/>
        <w:rPr>
          <w:szCs w:val="18"/>
        </w:rPr>
      </w:pPr>
      <w:r w:rsidRPr="00A45539">
        <w:rPr>
          <w:szCs w:val="18"/>
        </w:rPr>
        <w:t>In deze paragraaf bespreken we voor ieder techniekprofiel voor welke keuzevakken examens afgelegd zijn door leerlingen in het eigen profiel in het schooljaar 202</w:t>
      </w:r>
      <w:r>
        <w:rPr>
          <w:szCs w:val="18"/>
        </w:rPr>
        <w:t>2</w:t>
      </w:r>
      <w:r w:rsidRPr="00A45539">
        <w:rPr>
          <w:szCs w:val="18"/>
        </w:rPr>
        <w:t>/202</w:t>
      </w:r>
      <w:r>
        <w:rPr>
          <w:szCs w:val="18"/>
        </w:rPr>
        <w:t>3</w:t>
      </w:r>
      <w:r w:rsidRPr="00A45539">
        <w:rPr>
          <w:szCs w:val="18"/>
        </w:rPr>
        <w:t xml:space="preserve">. Deze detailinformatie over keuzevakken </w:t>
      </w:r>
      <w:r>
        <w:rPr>
          <w:szCs w:val="18"/>
        </w:rPr>
        <w:t>wordt</w:t>
      </w:r>
      <w:r w:rsidRPr="00A45539">
        <w:rPr>
          <w:szCs w:val="18"/>
        </w:rPr>
        <w:t xml:space="preserve"> niet</w:t>
      </w:r>
      <w:r>
        <w:rPr>
          <w:szCs w:val="18"/>
        </w:rPr>
        <w:t xml:space="preserve"> weergegeven</w:t>
      </w:r>
      <w:r w:rsidRPr="00A45539">
        <w:rPr>
          <w:szCs w:val="18"/>
        </w:rPr>
        <w:t xml:space="preserve"> in een tabel.</w:t>
      </w:r>
    </w:p>
    <w:p w:rsidRPr="00A45539" w:rsidR="00B52D66" w:rsidP="00B52D66" w:rsidRDefault="00B52D66" w14:paraId="22BFF1F4" w14:textId="77777777">
      <w:pPr>
        <w:jc w:val="both"/>
        <w:rPr>
          <w:szCs w:val="18"/>
        </w:rPr>
      </w:pPr>
    </w:p>
    <w:p w:rsidRPr="00C34646" w:rsidR="00B52D66" w:rsidP="00B52D66" w:rsidRDefault="00B52D66" w14:paraId="38B1F156" w14:textId="77777777">
      <w:pPr>
        <w:jc w:val="both"/>
        <w:rPr>
          <w:i/>
          <w:szCs w:val="18"/>
        </w:rPr>
      </w:pPr>
      <w:r>
        <w:rPr>
          <w:b/>
          <w:szCs w:val="18"/>
        </w:rPr>
        <w:t>BWI</w:t>
      </w:r>
      <w:r w:rsidRPr="00A45539">
        <w:rPr>
          <w:b/>
          <w:szCs w:val="18"/>
        </w:rPr>
        <w:t>:</w:t>
      </w:r>
      <w:r w:rsidRPr="00A45539">
        <w:rPr>
          <w:szCs w:val="18"/>
        </w:rPr>
        <w:t xml:space="preserve"> In totaal zijn door BWI-leerlingen in de verschillende leerwegen 9.</w:t>
      </w:r>
      <w:r>
        <w:rPr>
          <w:szCs w:val="18"/>
        </w:rPr>
        <w:t>500</w:t>
      </w:r>
      <w:r w:rsidRPr="00A45539">
        <w:rPr>
          <w:szCs w:val="18"/>
        </w:rPr>
        <w:t xml:space="preserve"> examens </w:t>
      </w:r>
      <w:r w:rsidRPr="00C34646">
        <w:rPr>
          <w:szCs w:val="18"/>
        </w:rPr>
        <w:t xml:space="preserve">afgelegd in het schooljaar 2022/2023. In de kl zijn dit iets meer dan 5.100 examens; in de bl 3.700 en in de gl 660. Binnen het profiel werden examens afgelegd in 24 keuzevakken. Van het totaal heeft het keuzevak </w:t>
      </w:r>
      <w:r w:rsidRPr="00C34646">
        <w:rPr>
          <w:i/>
          <w:szCs w:val="18"/>
        </w:rPr>
        <w:t>Meubelmaken</w:t>
      </w:r>
      <w:r w:rsidRPr="00C34646">
        <w:rPr>
          <w:szCs w:val="18"/>
        </w:rPr>
        <w:t xml:space="preserve"> het grootste aandeel van 20 procent. De keuzevakken </w:t>
      </w:r>
      <w:r w:rsidRPr="00C34646">
        <w:rPr>
          <w:i/>
          <w:szCs w:val="18"/>
        </w:rPr>
        <w:t xml:space="preserve">Interieurontwerp en –design </w:t>
      </w:r>
      <w:r w:rsidRPr="00C34646">
        <w:rPr>
          <w:szCs w:val="18"/>
        </w:rPr>
        <w:t>(</w:t>
      </w:r>
      <w:r>
        <w:rPr>
          <w:szCs w:val="18"/>
        </w:rPr>
        <w:t>12,7</w:t>
      </w:r>
      <w:r w:rsidRPr="00C34646">
        <w:rPr>
          <w:szCs w:val="18"/>
        </w:rPr>
        <w:t xml:space="preserve"> procent), en </w:t>
      </w:r>
      <w:r w:rsidRPr="00C34646">
        <w:rPr>
          <w:i/>
          <w:szCs w:val="18"/>
        </w:rPr>
        <w:t xml:space="preserve">Daken en kapconstructies van hout </w:t>
      </w:r>
      <w:r w:rsidRPr="00C34646">
        <w:rPr>
          <w:szCs w:val="18"/>
        </w:rPr>
        <w:t>(</w:t>
      </w:r>
      <w:r>
        <w:rPr>
          <w:szCs w:val="18"/>
        </w:rPr>
        <w:t>9,8</w:t>
      </w:r>
      <w:r w:rsidRPr="00C34646">
        <w:rPr>
          <w:szCs w:val="18"/>
        </w:rPr>
        <w:t xml:space="preserve"> procent)</w:t>
      </w:r>
      <w:r>
        <w:rPr>
          <w:szCs w:val="18"/>
        </w:rPr>
        <w:t>,</w:t>
      </w:r>
      <w:r w:rsidRPr="00C34646">
        <w:rPr>
          <w:i/>
          <w:szCs w:val="18"/>
        </w:rPr>
        <w:t xml:space="preserve"> Interieurbouw, stand en betimmeringen </w:t>
      </w:r>
      <w:r w:rsidRPr="00C34646">
        <w:rPr>
          <w:szCs w:val="18"/>
        </w:rPr>
        <w:t>(</w:t>
      </w:r>
      <w:r>
        <w:rPr>
          <w:szCs w:val="18"/>
        </w:rPr>
        <w:t>9,5</w:t>
      </w:r>
      <w:r w:rsidRPr="00C34646">
        <w:rPr>
          <w:szCs w:val="18"/>
        </w:rPr>
        <w:t xml:space="preserve"> procent)</w:t>
      </w:r>
      <w:r>
        <w:rPr>
          <w:szCs w:val="18"/>
        </w:rPr>
        <w:t xml:space="preserve"> en </w:t>
      </w:r>
      <w:r w:rsidRPr="00C34646">
        <w:rPr>
          <w:i/>
          <w:szCs w:val="18"/>
        </w:rPr>
        <w:t xml:space="preserve">Gevelopeningen </w:t>
      </w:r>
      <w:r w:rsidRPr="00C34646">
        <w:rPr>
          <w:szCs w:val="18"/>
        </w:rPr>
        <w:t>(</w:t>
      </w:r>
      <w:r>
        <w:rPr>
          <w:szCs w:val="18"/>
        </w:rPr>
        <w:t>9,1</w:t>
      </w:r>
      <w:r w:rsidRPr="00C34646">
        <w:rPr>
          <w:szCs w:val="18"/>
        </w:rPr>
        <w:t xml:space="preserve"> procent)</w:t>
      </w:r>
      <w:r w:rsidRPr="00C34646">
        <w:rPr>
          <w:i/>
          <w:szCs w:val="18"/>
        </w:rPr>
        <w:t xml:space="preserve"> </w:t>
      </w:r>
      <w:r w:rsidRPr="00C34646">
        <w:rPr>
          <w:szCs w:val="18"/>
        </w:rPr>
        <w:t xml:space="preserve">worden ook vaak gevolgd door BWI-leerlingen. </w:t>
      </w:r>
      <w:r>
        <w:rPr>
          <w:szCs w:val="18"/>
        </w:rPr>
        <w:t>Elf</w:t>
      </w:r>
      <w:r w:rsidRPr="00C34646">
        <w:rPr>
          <w:szCs w:val="18"/>
        </w:rPr>
        <w:t xml:space="preserve"> keuzevakken hebben een aandeel van minder dan 1 procent, ofwel minder dan 100 examens per keuzevak. De minste examens worden afgelegd </w:t>
      </w:r>
      <w:r>
        <w:rPr>
          <w:szCs w:val="18"/>
        </w:rPr>
        <w:t>in</w:t>
      </w:r>
      <w:r w:rsidRPr="00C34646">
        <w:rPr>
          <w:szCs w:val="18"/>
        </w:rPr>
        <w:t xml:space="preserve"> de </w:t>
      </w:r>
      <w:r>
        <w:rPr>
          <w:szCs w:val="18"/>
        </w:rPr>
        <w:t>keuze</w:t>
      </w:r>
      <w:r w:rsidRPr="00C34646">
        <w:rPr>
          <w:szCs w:val="18"/>
        </w:rPr>
        <w:t xml:space="preserve">vakken </w:t>
      </w:r>
      <w:r w:rsidRPr="00C34646">
        <w:rPr>
          <w:i/>
          <w:szCs w:val="18"/>
        </w:rPr>
        <w:t>Vloeren</w:t>
      </w:r>
      <w:r>
        <w:rPr>
          <w:i/>
          <w:szCs w:val="18"/>
        </w:rPr>
        <w:t>,</w:t>
      </w:r>
      <w:r w:rsidRPr="00C34646">
        <w:rPr>
          <w:i/>
          <w:szCs w:val="18"/>
        </w:rPr>
        <w:t xml:space="preserve"> </w:t>
      </w:r>
      <w:r>
        <w:rPr>
          <w:i/>
          <w:iCs/>
          <w:szCs w:val="18"/>
        </w:rPr>
        <w:t>Schilderen en spuiten op kunststof en metalen</w:t>
      </w:r>
      <w:r w:rsidRPr="00C34646">
        <w:rPr>
          <w:szCs w:val="18"/>
        </w:rPr>
        <w:t xml:space="preserve"> en </w:t>
      </w:r>
      <w:r w:rsidRPr="00C34646">
        <w:rPr>
          <w:i/>
          <w:szCs w:val="18"/>
        </w:rPr>
        <w:t>Glaszetting</w:t>
      </w:r>
      <w:r w:rsidRPr="00C34646">
        <w:rPr>
          <w:szCs w:val="18"/>
        </w:rPr>
        <w:t>.</w:t>
      </w:r>
      <w:r w:rsidRPr="00A45539">
        <w:rPr>
          <w:szCs w:val="18"/>
        </w:rPr>
        <w:t xml:space="preserve"> </w:t>
      </w:r>
    </w:p>
    <w:p w:rsidRPr="00A45539" w:rsidR="00B52D66" w:rsidP="00B52D66" w:rsidRDefault="00B52D66" w14:paraId="1D8445F6" w14:textId="77777777">
      <w:pPr>
        <w:jc w:val="both"/>
        <w:rPr>
          <w:szCs w:val="18"/>
        </w:rPr>
      </w:pPr>
    </w:p>
    <w:p w:rsidRPr="002A62DF" w:rsidR="00B52D66" w:rsidP="00B52D66" w:rsidRDefault="00B52D66" w14:paraId="767CC069" w14:textId="77777777">
      <w:pPr>
        <w:jc w:val="both"/>
        <w:rPr>
          <w:iCs/>
          <w:szCs w:val="18"/>
        </w:rPr>
      </w:pPr>
      <w:r>
        <w:rPr>
          <w:b/>
          <w:szCs w:val="18"/>
        </w:rPr>
        <w:t>MaT</w:t>
      </w:r>
      <w:r w:rsidRPr="008A749D">
        <w:rPr>
          <w:b/>
          <w:szCs w:val="18"/>
        </w:rPr>
        <w:t>:</w:t>
      </w:r>
      <w:r w:rsidRPr="008A749D">
        <w:rPr>
          <w:szCs w:val="18"/>
        </w:rPr>
        <w:t xml:space="preserve"> In 202</w:t>
      </w:r>
      <w:r>
        <w:rPr>
          <w:szCs w:val="18"/>
        </w:rPr>
        <w:t>2</w:t>
      </w:r>
      <w:r w:rsidRPr="008A749D">
        <w:rPr>
          <w:szCs w:val="18"/>
        </w:rPr>
        <w:t>/202</w:t>
      </w:r>
      <w:r>
        <w:rPr>
          <w:szCs w:val="18"/>
        </w:rPr>
        <w:t>3</w:t>
      </w:r>
      <w:r w:rsidRPr="008A749D">
        <w:rPr>
          <w:szCs w:val="18"/>
        </w:rPr>
        <w:t xml:space="preserve"> leg</w:t>
      </w:r>
      <w:r>
        <w:rPr>
          <w:szCs w:val="18"/>
        </w:rPr>
        <w:t>g</w:t>
      </w:r>
      <w:r w:rsidRPr="008A749D">
        <w:rPr>
          <w:szCs w:val="18"/>
        </w:rPr>
        <w:t xml:space="preserve">en MaT-leerlingen </w:t>
      </w:r>
      <w:r>
        <w:rPr>
          <w:szCs w:val="18"/>
        </w:rPr>
        <w:t>673</w:t>
      </w:r>
      <w:r w:rsidRPr="008A749D">
        <w:rPr>
          <w:szCs w:val="18"/>
        </w:rPr>
        <w:t xml:space="preserve"> examens af in MaT-keuzevakken. Hiervan zijn 1</w:t>
      </w:r>
      <w:r>
        <w:rPr>
          <w:szCs w:val="18"/>
        </w:rPr>
        <w:t>89</w:t>
      </w:r>
      <w:r w:rsidRPr="008A749D">
        <w:rPr>
          <w:szCs w:val="18"/>
        </w:rPr>
        <w:t xml:space="preserve"> examens afgelegd door leerlingen in de bl, 3</w:t>
      </w:r>
      <w:r>
        <w:rPr>
          <w:szCs w:val="18"/>
        </w:rPr>
        <w:t>05</w:t>
      </w:r>
      <w:r w:rsidRPr="008A749D">
        <w:rPr>
          <w:szCs w:val="18"/>
        </w:rPr>
        <w:t xml:space="preserve"> in de kl en </w:t>
      </w:r>
      <w:r>
        <w:rPr>
          <w:szCs w:val="18"/>
        </w:rPr>
        <w:t>179</w:t>
      </w:r>
      <w:r w:rsidRPr="008A749D">
        <w:rPr>
          <w:szCs w:val="18"/>
        </w:rPr>
        <w:t xml:space="preserve"> in de gl. </w:t>
      </w:r>
      <w:r w:rsidRPr="002A62DF">
        <w:rPr>
          <w:szCs w:val="18"/>
        </w:rPr>
        <w:t xml:space="preserve">Van de 16 keuzevakken waarin examens zijn afgelegd, is het grootste aandeel afgelegd in het keuzevak </w:t>
      </w:r>
      <w:r w:rsidRPr="00031649">
        <w:rPr>
          <w:i/>
          <w:szCs w:val="18"/>
        </w:rPr>
        <w:t>Stuwadoor</w:t>
      </w:r>
      <w:r w:rsidRPr="002A62DF">
        <w:rPr>
          <w:i/>
          <w:szCs w:val="18"/>
        </w:rPr>
        <w:t xml:space="preserve"> en vorkheftruck</w:t>
      </w:r>
      <w:r w:rsidRPr="002A62DF">
        <w:rPr>
          <w:szCs w:val="18"/>
        </w:rPr>
        <w:t xml:space="preserve"> (11,1 procent). Vier andere keuzevakken hebben een aandeel van 9,1 procent (</w:t>
      </w:r>
      <w:r w:rsidRPr="002A62DF">
        <w:rPr>
          <w:i/>
          <w:szCs w:val="18"/>
        </w:rPr>
        <w:t xml:space="preserve">Navigatie, Ladingsbehandeling aan boord, Werken en leven aan boord </w:t>
      </w:r>
      <w:r w:rsidRPr="002A62DF">
        <w:rPr>
          <w:iCs/>
          <w:szCs w:val="18"/>
        </w:rPr>
        <w:t>en</w:t>
      </w:r>
      <w:r w:rsidRPr="002A62DF">
        <w:rPr>
          <w:i/>
          <w:szCs w:val="18"/>
        </w:rPr>
        <w:t xml:space="preserve"> Scheepskennis</w:t>
      </w:r>
      <w:r>
        <w:rPr>
          <w:iCs/>
          <w:szCs w:val="18"/>
        </w:rPr>
        <w:t>) en drie keuzevakken hebben een aandeel van 8,6 procent (</w:t>
      </w:r>
      <w:r w:rsidRPr="002A62DF">
        <w:rPr>
          <w:i/>
          <w:szCs w:val="18"/>
        </w:rPr>
        <w:t>Opslag en overslag in de haven</w:t>
      </w:r>
      <w:r>
        <w:rPr>
          <w:i/>
          <w:szCs w:val="18"/>
        </w:rPr>
        <w:t xml:space="preserve">, </w:t>
      </w:r>
      <w:r w:rsidRPr="002A62DF">
        <w:rPr>
          <w:i/>
          <w:szCs w:val="18"/>
        </w:rPr>
        <w:t>Dienstverlening in de haven</w:t>
      </w:r>
      <w:r>
        <w:rPr>
          <w:i/>
          <w:szCs w:val="18"/>
        </w:rPr>
        <w:t xml:space="preserve"> </w:t>
      </w:r>
      <w:r>
        <w:rPr>
          <w:iCs/>
          <w:szCs w:val="18"/>
        </w:rPr>
        <w:t xml:space="preserve">en </w:t>
      </w:r>
      <w:r w:rsidRPr="002A62DF">
        <w:rPr>
          <w:i/>
          <w:szCs w:val="18"/>
        </w:rPr>
        <w:t>Ladingsadministratie in de haven</w:t>
      </w:r>
      <w:r>
        <w:rPr>
          <w:iCs/>
          <w:szCs w:val="18"/>
        </w:rPr>
        <w:t xml:space="preserve">). </w:t>
      </w:r>
      <w:r>
        <w:rPr>
          <w:szCs w:val="18"/>
        </w:rPr>
        <w:t>In acht</w:t>
      </w:r>
      <w:r w:rsidRPr="002A62DF">
        <w:rPr>
          <w:szCs w:val="18"/>
        </w:rPr>
        <w:t xml:space="preserve"> keuzevakken </w:t>
      </w:r>
      <w:r>
        <w:rPr>
          <w:szCs w:val="18"/>
        </w:rPr>
        <w:t>werden</w:t>
      </w:r>
      <w:r w:rsidRPr="002A62DF">
        <w:rPr>
          <w:szCs w:val="18"/>
        </w:rPr>
        <w:t xml:space="preserve"> minder dan </w:t>
      </w:r>
      <w:r>
        <w:rPr>
          <w:szCs w:val="18"/>
        </w:rPr>
        <w:t xml:space="preserve">35 </w:t>
      </w:r>
      <w:r w:rsidRPr="002A62DF">
        <w:rPr>
          <w:szCs w:val="18"/>
        </w:rPr>
        <w:t>examens per keuzevak af</w:t>
      </w:r>
      <w:r>
        <w:rPr>
          <w:szCs w:val="18"/>
        </w:rPr>
        <w:t>genomen</w:t>
      </w:r>
      <w:r w:rsidRPr="002A62DF">
        <w:rPr>
          <w:szCs w:val="18"/>
        </w:rPr>
        <w:t xml:space="preserve">.  </w:t>
      </w:r>
    </w:p>
    <w:p w:rsidRPr="00962AA4" w:rsidR="00B52D66" w:rsidP="00B52D66" w:rsidRDefault="00B52D66" w14:paraId="2AEE7861" w14:textId="77777777">
      <w:pPr>
        <w:jc w:val="both"/>
        <w:rPr>
          <w:szCs w:val="18"/>
          <w:highlight w:val="yellow"/>
        </w:rPr>
      </w:pPr>
    </w:p>
    <w:p w:rsidRPr="001779C3" w:rsidR="00B52D66" w:rsidP="00B52D66" w:rsidRDefault="00B52D66" w14:paraId="198CDB03" w14:textId="77777777">
      <w:pPr>
        <w:jc w:val="both"/>
        <w:rPr>
          <w:szCs w:val="18"/>
        </w:rPr>
      </w:pPr>
      <w:r>
        <w:rPr>
          <w:b/>
          <w:szCs w:val="18"/>
        </w:rPr>
        <w:t>MVI</w:t>
      </w:r>
      <w:r w:rsidRPr="008A749D">
        <w:rPr>
          <w:b/>
          <w:szCs w:val="18"/>
        </w:rPr>
        <w:t>:</w:t>
      </w:r>
      <w:r w:rsidRPr="008A749D">
        <w:rPr>
          <w:szCs w:val="18"/>
        </w:rPr>
        <w:t xml:space="preserve"> Het merendeel van de in totaal 3.</w:t>
      </w:r>
      <w:r>
        <w:rPr>
          <w:szCs w:val="18"/>
        </w:rPr>
        <w:t>662</w:t>
      </w:r>
      <w:r w:rsidRPr="008A749D">
        <w:rPr>
          <w:szCs w:val="18"/>
        </w:rPr>
        <w:t xml:space="preserve"> examens in de MVI-keuzevakken wordt door MVI-leerlingen in de kl afgelegd (2.</w:t>
      </w:r>
      <w:r>
        <w:rPr>
          <w:szCs w:val="18"/>
        </w:rPr>
        <w:t>207</w:t>
      </w:r>
      <w:r w:rsidRPr="008A749D">
        <w:rPr>
          <w:szCs w:val="18"/>
        </w:rPr>
        <w:t>). In de bl zijn dit 7</w:t>
      </w:r>
      <w:r>
        <w:rPr>
          <w:szCs w:val="18"/>
        </w:rPr>
        <w:t>11</w:t>
      </w:r>
      <w:r w:rsidRPr="008A749D">
        <w:rPr>
          <w:szCs w:val="18"/>
        </w:rPr>
        <w:t xml:space="preserve"> en </w:t>
      </w:r>
      <w:r>
        <w:rPr>
          <w:szCs w:val="18"/>
        </w:rPr>
        <w:t>723</w:t>
      </w:r>
      <w:r w:rsidRPr="008A749D">
        <w:rPr>
          <w:szCs w:val="18"/>
        </w:rPr>
        <w:t xml:space="preserve"> in de gl. </w:t>
      </w:r>
      <w:r w:rsidRPr="001779C3">
        <w:rPr>
          <w:szCs w:val="18"/>
        </w:rPr>
        <w:t xml:space="preserve">Examens in het keuzevak </w:t>
      </w:r>
      <w:r w:rsidRPr="001779C3">
        <w:rPr>
          <w:i/>
          <w:szCs w:val="18"/>
        </w:rPr>
        <w:t>Fotografie</w:t>
      </w:r>
      <w:r w:rsidRPr="001779C3">
        <w:rPr>
          <w:szCs w:val="18"/>
        </w:rPr>
        <w:t xml:space="preserve"> werden het meeste afgelegd met een aandeel van 1</w:t>
      </w:r>
      <w:r>
        <w:rPr>
          <w:szCs w:val="18"/>
        </w:rPr>
        <w:t>7,6</w:t>
      </w:r>
      <w:r w:rsidRPr="001779C3">
        <w:rPr>
          <w:szCs w:val="18"/>
        </w:rPr>
        <w:t xml:space="preserve"> procent (</w:t>
      </w:r>
      <w:r>
        <w:rPr>
          <w:szCs w:val="18"/>
        </w:rPr>
        <w:t>645</w:t>
      </w:r>
      <w:r w:rsidRPr="001779C3">
        <w:rPr>
          <w:szCs w:val="18"/>
        </w:rPr>
        <w:t xml:space="preserve"> examens). </w:t>
      </w:r>
      <w:r>
        <w:rPr>
          <w:szCs w:val="18"/>
        </w:rPr>
        <w:t xml:space="preserve">Daarna volgen </w:t>
      </w:r>
      <w:r>
        <w:rPr>
          <w:i/>
          <w:iCs/>
          <w:szCs w:val="18"/>
        </w:rPr>
        <w:t>Sign</w:t>
      </w:r>
      <w:r>
        <w:rPr>
          <w:szCs w:val="18"/>
        </w:rPr>
        <w:t xml:space="preserve"> (14,8 procent), </w:t>
      </w:r>
      <w:r>
        <w:rPr>
          <w:i/>
          <w:iCs/>
          <w:szCs w:val="18"/>
        </w:rPr>
        <w:t xml:space="preserve">Vormgeving en typografie </w:t>
      </w:r>
      <w:r>
        <w:rPr>
          <w:szCs w:val="18"/>
        </w:rPr>
        <w:t xml:space="preserve">(14,5 procent), </w:t>
      </w:r>
      <w:r>
        <w:rPr>
          <w:i/>
          <w:iCs/>
          <w:szCs w:val="18"/>
        </w:rPr>
        <w:t xml:space="preserve">3D-vormgeving en -realisatie </w:t>
      </w:r>
      <w:r>
        <w:rPr>
          <w:szCs w:val="18"/>
        </w:rPr>
        <w:t xml:space="preserve">(11,4 procent) en </w:t>
      </w:r>
      <w:r>
        <w:rPr>
          <w:i/>
          <w:iCs/>
          <w:szCs w:val="18"/>
        </w:rPr>
        <w:t>Game-design</w:t>
      </w:r>
      <w:r>
        <w:rPr>
          <w:szCs w:val="18"/>
        </w:rPr>
        <w:t xml:space="preserve"> (11,0 procent). </w:t>
      </w:r>
      <w:r w:rsidRPr="00031649">
        <w:rPr>
          <w:szCs w:val="18"/>
        </w:rPr>
        <w:t>Een aandeel van 3 procent of kleiner</w:t>
      </w:r>
      <w:r w:rsidRPr="00031649">
        <w:rPr>
          <w:i/>
          <w:szCs w:val="18"/>
        </w:rPr>
        <w:t xml:space="preserve"> </w:t>
      </w:r>
      <w:r w:rsidRPr="00031649">
        <w:rPr>
          <w:szCs w:val="18"/>
        </w:rPr>
        <w:t>hebben</w:t>
      </w:r>
      <w:r w:rsidRPr="00031649">
        <w:rPr>
          <w:i/>
          <w:szCs w:val="18"/>
        </w:rPr>
        <w:t xml:space="preserve"> Netwerkbeheer, Digitale beveiliging,</w:t>
      </w:r>
      <w:r w:rsidRPr="00031649">
        <w:rPr>
          <w:szCs w:val="18"/>
        </w:rPr>
        <w:t xml:space="preserve"> en </w:t>
      </w:r>
      <w:r w:rsidRPr="00031649">
        <w:rPr>
          <w:i/>
          <w:iCs/>
          <w:szCs w:val="18"/>
        </w:rPr>
        <w:t>Licht,</w:t>
      </w:r>
      <w:r w:rsidRPr="00031649">
        <w:rPr>
          <w:i/>
          <w:szCs w:val="18"/>
        </w:rPr>
        <w:t xml:space="preserve"> geluid en decor</w:t>
      </w:r>
      <w:r>
        <w:rPr>
          <w:i/>
          <w:szCs w:val="18"/>
        </w:rPr>
        <w:t xml:space="preserve"> </w:t>
      </w:r>
      <w:r>
        <w:rPr>
          <w:iCs/>
          <w:szCs w:val="18"/>
        </w:rPr>
        <w:t>gevolgd</w:t>
      </w:r>
      <w:r w:rsidRPr="00031649">
        <w:rPr>
          <w:szCs w:val="18"/>
        </w:rPr>
        <w:t>.</w:t>
      </w:r>
      <w:r w:rsidRPr="001779C3">
        <w:rPr>
          <w:szCs w:val="18"/>
        </w:rPr>
        <w:t xml:space="preserve"> </w:t>
      </w:r>
    </w:p>
    <w:p w:rsidRPr="00962AA4" w:rsidR="00B52D66" w:rsidP="00B52D66" w:rsidRDefault="00B52D66" w14:paraId="4BBAB74A" w14:textId="77777777">
      <w:pPr>
        <w:jc w:val="both"/>
        <w:rPr>
          <w:szCs w:val="18"/>
          <w:highlight w:val="yellow"/>
        </w:rPr>
      </w:pPr>
    </w:p>
    <w:p w:rsidRPr="00225F91" w:rsidR="00B52D66" w:rsidP="00B52D66" w:rsidRDefault="00B52D66" w14:paraId="55166A5F" w14:textId="77777777">
      <w:pPr>
        <w:jc w:val="both"/>
        <w:rPr>
          <w:szCs w:val="18"/>
        </w:rPr>
      </w:pPr>
      <w:r>
        <w:rPr>
          <w:b/>
          <w:szCs w:val="18"/>
        </w:rPr>
        <w:t>M&amp;T</w:t>
      </w:r>
      <w:r w:rsidRPr="008A749D">
        <w:rPr>
          <w:b/>
          <w:szCs w:val="18"/>
        </w:rPr>
        <w:t>:</w:t>
      </w:r>
      <w:r w:rsidRPr="008A749D">
        <w:rPr>
          <w:szCs w:val="18"/>
        </w:rPr>
        <w:t xml:space="preserve"> M&amp;T-leerlingen hebben </w:t>
      </w:r>
      <w:r>
        <w:rPr>
          <w:szCs w:val="18"/>
        </w:rPr>
        <w:t>vierduizend</w:t>
      </w:r>
      <w:r w:rsidRPr="008A749D">
        <w:rPr>
          <w:szCs w:val="18"/>
        </w:rPr>
        <w:t xml:space="preserve"> examens afgelegd in vakken bijhorend bij hun profiel. </w:t>
      </w:r>
      <w:r>
        <w:rPr>
          <w:szCs w:val="18"/>
        </w:rPr>
        <w:t>Hiervan</w:t>
      </w:r>
      <w:r w:rsidRPr="008A749D">
        <w:rPr>
          <w:szCs w:val="18"/>
        </w:rPr>
        <w:t xml:space="preserve"> worden iets meer dan 1.</w:t>
      </w:r>
      <w:r>
        <w:rPr>
          <w:szCs w:val="18"/>
        </w:rPr>
        <w:t>600</w:t>
      </w:r>
      <w:r w:rsidRPr="008A749D">
        <w:rPr>
          <w:szCs w:val="18"/>
        </w:rPr>
        <w:t xml:space="preserve"> examens in de bl en 2.</w:t>
      </w:r>
      <w:r>
        <w:rPr>
          <w:szCs w:val="18"/>
        </w:rPr>
        <w:t>200</w:t>
      </w:r>
      <w:r w:rsidRPr="008A749D">
        <w:rPr>
          <w:szCs w:val="18"/>
        </w:rPr>
        <w:t xml:space="preserve"> examens in de kl afgelegd. In de gl gaat het om veel minder examens, namelijk 1</w:t>
      </w:r>
      <w:r>
        <w:rPr>
          <w:szCs w:val="18"/>
        </w:rPr>
        <w:t>74</w:t>
      </w:r>
      <w:r w:rsidRPr="008A749D">
        <w:rPr>
          <w:szCs w:val="18"/>
        </w:rPr>
        <w:t xml:space="preserve"> examens. </w:t>
      </w:r>
      <w:r>
        <w:rPr>
          <w:szCs w:val="18"/>
        </w:rPr>
        <w:t xml:space="preserve">Bijna een kwart van de examens is afgelegd </w:t>
      </w:r>
      <w:r w:rsidRPr="00225F91">
        <w:rPr>
          <w:szCs w:val="18"/>
        </w:rPr>
        <w:t xml:space="preserve">de keuzevakken </w:t>
      </w:r>
      <w:r w:rsidRPr="00225F91">
        <w:rPr>
          <w:i/>
          <w:szCs w:val="18"/>
        </w:rPr>
        <w:t xml:space="preserve">Aandrijf- en Remsystemen </w:t>
      </w:r>
      <w:r w:rsidRPr="00225F91">
        <w:rPr>
          <w:szCs w:val="18"/>
        </w:rPr>
        <w:t xml:space="preserve">en </w:t>
      </w:r>
      <w:r w:rsidRPr="00225F91">
        <w:rPr>
          <w:i/>
          <w:szCs w:val="18"/>
        </w:rPr>
        <w:t>Motorsy</w:t>
      </w:r>
      <w:r>
        <w:rPr>
          <w:i/>
          <w:szCs w:val="18"/>
        </w:rPr>
        <w:t>s</w:t>
      </w:r>
      <w:r w:rsidRPr="00225F91">
        <w:rPr>
          <w:i/>
          <w:szCs w:val="18"/>
        </w:rPr>
        <w:t>temen</w:t>
      </w:r>
      <w:r w:rsidRPr="00225F91">
        <w:rPr>
          <w:szCs w:val="18"/>
        </w:rPr>
        <w:t xml:space="preserve"> (2</w:t>
      </w:r>
      <w:r>
        <w:rPr>
          <w:szCs w:val="18"/>
        </w:rPr>
        <w:t>4,0</w:t>
      </w:r>
      <w:r w:rsidRPr="00225F91">
        <w:rPr>
          <w:szCs w:val="18"/>
        </w:rPr>
        <w:t xml:space="preserve"> en </w:t>
      </w:r>
      <w:r>
        <w:rPr>
          <w:szCs w:val="18"/>
        </w:rPr>
        <w:t>23,8</w:t>
      </w:r>
      <w:r w:rsidRPr="00225F91">
        <w:rPr>
          <w:szCs w:val="18"/>
        </w:rPr>
        <w:t xml:space="preserve"> procent, respectievelijk). De drie meest afgelegde keuzevakken tellen op tot een aandeel van </w:t>
      </w:r>
      <w:r>
        <w:rPr>
          <w:szCs w:val="18"/>
        </w:rPr>
        <w:t>66</w:t>
      </w:r>
      <w:r w:rsidRPr="00225F91">
        <w:rPr>
          <w:szCs w:val="18"/>
        </w:rPr>
        <w:t xml:space="preserve"> procent; </w:t>
      </w:r>
      <w:r w:rsidRPr="00225F91">
        <w:rPr>
          <w:i/>
          <w:szCs w:val="18"/>
        </w:rPr>
        <w:t>Elektronica</w:t>
      </w:r>
      <w:r w:rsidRPr="00225F91">
        <w:rPr>
          <w:szCs w:val="18"/>
        </w:rPr>
        <w:t xml:space="preserve"> heeft een aandeel van </w:t>
      </w:r>
      <w:r>
        <w:rPr>
          <w:szCs w:val="18"/>
        </w:rPr>
        <w:t xml:space="preserve">18,3 </w:t>
      </w:r>
      <w:r w:rsidRPr="00225F91">
        <w:rPr>
          <w:szCs w:val="18"/>
        </w:rPr>
        <w:t>procent. De resterende 3</w:t>
      </w:r>
      <w:r>
        <w:rPr>
          <w:szCs w:val="18"/>
        </w:rPr>
        <w:t>4</w:t>
      </w:r>
      <w:r w:rsidRPr="00225F91">
        <w:rPr>
          <w:szCs w:val="18"/>
        </w:rPr>
        <w:t xml:space="preserve"> procent is over </w:t>
      </w:r>
      <w:r>
        <w:rPr>
          <w:szCs w:val="18"/>
        </w:rPr>
        <w:t>tien</w:t>
      </w:r>
      <w:r w:rsidRPr="00225F91">
        <w:rPr>
          <w:szCs w:val="18"/>
        </w:rPr>
        <w:t xml:space="preserve"> keuzevakken verdeeld, waarbij het bij de keuzevakken </w:t>
      </w:r>
      <w:r w:rsidRPr="00225F91">
        <w:rPr>
          <w:i/>
          <w:szCs w:val="18"/>
        </w:rPr>
        <w:t>Carrosseriebouw</w:t>
      </w:r>
      <w:r>
        <w:rPr>
          <w:i/>
          <w:szCs w:val="18"/>
        </w:rPr>
        <w:t>,</w:t>
      </w:r>
      <w:r w:rsidRPr="00225F91">
        <w:rPr>
          <w:szCs w:val="18"/>
        </w:rPr>
        <w:t xml:space="preserve"> </w:t>
      </w:r>
      <w:r w:rsidRPr="00225F91">
        <w:rPr>
          <w:i/>
          <w:szCs w:val="18"/>
        </w:rPr>
        <w:t xml:space="preserve">Verbrandingsmotoren </w:t>
      </w:r>
      <w:r w:rsidRPr="00225F91">
        <w:rPr>
          <w:szCs w:val="18"/>
        </w:rPr>
        <w:t>en</w:t>
      </w:r>
      <w:r>
        <w:rPr>
          <w:szCs w:val="18"/>
        </w:rPr>
        <w:t xml:space="preserve"> </w:t>
      </w:r>
      <w:r>
        <w:rPr>
          <w:i/>
          <w:iCs/>
          <w:szCs w:val="18"/>
        </w:rPr>
        <w:t>Bedrijfswagens</w:t>
      </w:r>
      <w:r w:rsidRPr="00225F91">
        <w:rPr>
          <w:szCs w:val="18"/>
        </w:rPr>
        <w:t xml:space="preserve"> om 100 </w:t>
      </w:r>
      <w:r>
        <w:rPr>
          <w:szCs w:val="18"/>
        </w:rPr>
        <w:t xml:space="preserve">of minder </w:t>
      </w:r>
      <w:r w:rsidRPr="00225F91">
        <w:rPr>
          <w:szCs w:val="18"/>
        </w:rPr>
        <w:t>examens gaat.</w:t>
      </w:r>
    </w:p>
    <w:p w:rsidRPr="00962AA4" w:rsidR="00B52D66" w:rsidP="00B52D66" w:rsidRDefault="00B52D66" w14:paraId="57FBAC35" w14:textId="77777777">
      <w:pPr>
        <w:jc w:val="both"/>
        <w:rPr>
          <w:szCs w:val="18"/>
          <w:highlight w:val="yellow"/>
        </w:rPr>
      </w:pPr>
    </w:p>
    <w:p w:rsidR="00B52D66" w:rsidP="00B52D66" w:rsidRDefault="00B52D66" w14:paraId="6D0A4418" w14:textId="77777777">
      <w:pPr>
        <w:jc w:val="both"/>
        <w:rPr>
          <w:szCs w:val="18"/>
        </w:rPr>
      </w:pPr>
      <w:r>
        <w:rPr>
          <w:b/>
          <w:szCs w:val="18"/>
        </w:rPr>
        <w:t>PIE</w:t>
      </w:r>
      <w:r w:rsidRPr="008A749D">
        <w:rPr>
          <w:b/>
          <w:szCs w:val="18"/>
        </w:rPr>
        <w:t>:</w:t>
      </w:r>
      <w:r w:rsidRPr="008A749D">
        <w:rPr>
          <w:szCs w:val="18"/>
        </w:rPr>
        <w:t xml:space="preserve"> De meeste examens worden door PIE-leerlingen in keuzevakken gedaan die aan het profiel PIE gelinkt zijn; in totaal 1</w:t>
      </w:r>
      <w:r>
        <w:rPr>
          <w:szCs w:val="18"/>
        </w:rPr>
        <w:t>1.714</w:t>
      </w:r>
      <w:r w:rsidRPr="008A749D">
        <w:rPr>
          <w:szCs w:val="18"/>
        </w:rPr>
        <w:t xml:space="preserve">. In de kl gaat het om </w:t>
      </w:r>
      <w:r>
        <w:rPr>
          <w:szCs w:val="18"/>
        </w:rPr>
        <w:t>bijna zevenduizend</w:t>
      </w:r>
      <w:r w:rsidRPr="008A749D">
        <w:rPr>
          <w:szCs w:val="18"/>
        </w:rPr>
        <w:t xml:space="preserve"> examens, in de bl om </w:t>
      </w:r>
      <w:r>
        <w:rPr>
          <w:szCs w:val="18"/>
        </w:rPr>
        <w:t>vierduizend</w:t>
      </w:r>
      <w:r w:rsidRPr="008A749D">
        <w:rPr>
          <w:szCs w:val="18"/>
        </w:rPr>
        <w:t xml:space="preserve"> en in de gl om </w:t>
      </w:r>
      <w:r w:rsidRPr="00C15A32">
        <w:rPr>
          <w:szCs w:val="18"/>
        </w:rPr>
        <w:t xml:space="preserve">681. In het schooljaar 2022/2023 werden examens in 23 verschillende keuzevakken gedaan. De top zes keuzevakken hebben een aandeel van bijna 70 procent; het gaat om tussen de </w:t>
      </w:r>
      <w:r>
        <w:rPr>
          <w:szCs w:val="18"/>
        </w:rPr>
        <w:t>duizend</w:t>
      </w:r>
      <w:r w:rsidRPr="00C15A32">
        <w:rPr>
          <w:szCs w:val="18"/>
        </w:rPr>
        <w:t xml:space="preserve"> en </w:t>
      </w:r>
      <w:r>
        <w:rPr>
          <w:szCs w:val="18"/>
        </w:rPr>
        <w:t>tweeduizend</w:t>
      </w:r>
      <w:r w:rsidRPr="00C15A32">
        <w:rPr>
          <w:szCs w:val="18"/>
        </w:rPr>
        <w:t xml:space="preserve"> examens per keuzevak</w:t>
      </w:r>
      <w:r w:rsidRPr="00974446">
        <w:rPr>
          <w:szCs w:val="18"/>
        </w:rPr>
        <w:t xml:space="preserve">. Dit zijn </w:t>
      </w:r>
      <w:r w:rsidRPr="00974446">
        <w:rPr>
          <w:i/>
          <w:szCs w:val="18"/>
        </w:rPr>
        <w:t xml:space="preserve">Plaat- en constructiewerk </w:t>
      </w:r>
      <w:r w:rsidRPr="00974446">
        <w:rPr>
          <w:szCs w:val="18"/>
        </w:rPr>
        <w:t xml:space="preserve">(met het grootste aandeel van 17,0 procent), </w:t>
      </w:r>
      <w:r w:rsidRPr="00974446">
        <w:rPr>
          <w:i/>
          <w:szCs w:val="18"/>
        </w:rPr>
        <w:t>Booglasprocessen</w:t>
      </w:r>
      <w:r w:rsidRPr="00974446">
        <w:rPr>
          <w:szCs w:val="18"/>
        </w:rPr>
        <w:t xml:space="preserve"> (12,5 procent), </w:t>
      </w:r>
      <w:r w:rsidRPr="00974446">
        <w:rPr>
          <w:i/>
          <w:szCs w:val="18"/>
        </w:rPr>
        <w:t>Utiliteitsinstallaties</w:t>
      </w:r>
      <w:r w:rsidRPr="00974446">
        <w:rPr>
          <w:szCs w:val="18"/>
        </w:rPr>
        <w:t xml:space="preserve"> (11,5 procent) en </w:t>
      </w:r>
      <w:r w:rsidRPr="006C31B5">
        <w:rPr>
          <w:i/>
          <w:szCs w:val="18"/>
        </w:rPr>
        <w:t>Verspaningstechnieken</w:t>
      </w:r>
      <w:r w:rsidRPr="00974446">
        <w:rPr>
          <w:szCs w:val="18"/>
        </w:rPr>
        <w:t xml:space="preserve"> (10,1 procent), en met minder dan 10 procent de keuzevakken </w:t>
      </w:r>
      <w:r w:rsidRPr="00974446">
        <w:rPr>
          <w:i/>
          <w:szCs w:val="18"/>
        </w:rPr>
        <w:t xml:space="preserve">Woon- en kantoortechnologie </w:t>
      </w:r>
      <w:r w:rsidRPr="00974446">
        <w:rPr>
          <w:szCs w:val="18"/>
        </w:rPr>
        <w:t>(9,1 procent)</w:t>
      </w:r>
      <w:r w:rsidRPr="00974446">
        <w:rPr>
          <w:i/>
          <w:szCs w:val="18"/>
        </w:rPr>
        <w:t xml:space="preserve"> </w:t>
      </w:r>
      <w:r w:rsidRPr="00974446">
        <w:rPr>
          <w:szCs w:val="18"/>
        </w:rPr>
        <w:t>en</w:t>
      </w:r>
      <w:r w:rsidRPr="00974446">
        <w:rPr>
          <w:i/>
          <w:szCs w:val="18"/>
        </w:rPr>
        <w:t xml:space="preserve"> Drinkwater en sanitair</w:t>
      </w:r>
      <w:r w:rsidRPr="00974446">
        <w:rPr>
          <w:szCs w:val="18"/>
        </w:rPr>
        <w:t xml:space="preserve"> (8,7 procent). Vier keuzevakken hebben een aandeel van tezamen 2 procent, waarvan </w:t>
      </w:r>
      <w:r w:rsidRPr="00974446">
        <w:rPr>
          <w:i/>
          <w:szCs w:val="18"/>
        </w:rPr>
        <w:t>Machinebouw – Verspanen</w:t>
      </w:r>
      <w:r w:rsidRPr="00974446">
        <w:rPr>
          <w:szCs w:val="18"/>
        </w:rPr>
        <w:t xml:space="preserve"> het kleinste aandeel heeft.</w:t>
      </w:r>
    </w:p>
    <w:p w:rsidRPr="00A45539" w:rsidR="00B52D66" w:rsidP="00B52D66" w:rsidRDefault="00B52D66" w14:paraId="3DE33A90" w14:textId="77777777">
      <w:pPr>
        <w:jc w:val="both"/>
        <w:rPr>
          <w:szCs w:val="18"/>
        </w:rPr>
      </w:pPr>
    </w:p>
    <w:p w:rsidR="00B52D66" w:rsidP="00B52D66" w:rsidRDefault="00B52D66" w14:paraId="514A8B3D" w14:textId="77777777">
      <w:pPr>
        <w:pStyle w:val="Kop3"/>
        <w:rPr>
          <w:szCs w:val="18"/>
        </w:rPr>
      </w:pPr>
      <w:bookmarkStart w:name="_Toc125541258" w:id="169"/>
      <w:bookmarkStart w:name="_Toc127528908" w:id="170"/>
      <w:bookmarkStart w:name="_Toc158042071" w:id="171"/>
      <w:bookmarkStart w:name="_Toc203573634" w:id="172"/>
      <w:r w:rsidRPr="00A45539">
        <w:rPr>
          <w:szCs w:val="18"/>
        </w:rPr>
        <w:t>Keuzevakken buiten eigen profiel</w:t>
      </w:r>
      <w:bookmarkEnd w:id="169"/>
      <w:bookmarkEnd w:id="170"/>
      <w:bookmarkEnd w:id="171"/>
      <w:bookmarkEnd w:id="172"/>
    </w:p>
    <w:p w:rsidRPr="0065314C" w:rsidR="00B52D66" w:rsidP="00B52D66" w:rsidRDefault="00B52D66" w14:paraId="33CC96B3" w14:textId="77777777">
      <w:pPr>
        <w:pStyle w:val="Geenafstand"/>
        <w:rPr>
          <w:lang w:eastAsia="en-US"/>
        </w:rPr>
      </w:pPr>
    </w:p>
    <w:p w:rsidRPr="00A45539" w:rsidR="00B52D66" w:rsidP="00B52D66" w:rsidRDefault="00B52D66" w14:paraId="4ABE2E50" w14:textId="1A14C83D">
      <w:pPr>
        <w:jc w:val="both"/>
        <w:rPr>
          <w:szCs w:val="18"/>
        </w:rPr>
      </w:pPr>
      <w:r w:rsidRPr="00974446">
        <w:rPr>
          <w:szCs w:val="18"/>
        </w:rPr>
        <w:lastRenderedPageBreak/>
        <w:t>Leerlingen kunnen ook examens afleggen in keuzevakken</w:t>
      </w:r>
      <w:r>
        <w:rPr>
          <w:szCs w:val="18"/>
        </w:rPr>
        <w:t xml:space="preserve"> of profielmodules</w:t>
      </w:r>
      <w:r w:rsidRPr="00974446">
        <w:rPr>
          <w:szCs w:val="18"/>
        </w:rPr>
        <w:t xml:space="preserve"> buiten het eigen profiel. Dit biedt de mogelijkheid voor leerlingen </w:t>
      </w:r>
      <w:r>
        <w:rPr>
          <w:szCs w:val="18"/>
        </w:rPr>
        <w:t>in</w:t>
      </w:r>
      <w:r w:rsidRPr="00974446">
        <w:rPr>
          <w:szCs w:val="18"/>
        </w:rPr>
        <w:t xml:space="preserve"> een niet-technisch profiel om een technisch keuzevak te volgen en vice versa. Tabel </w:t>
      </w:r>
      <w:r w:rsidR="004F4EC3">
        <w:rPr>
          <w:szCs w:val="18"/>
        </w:rPr>
        <w:t>B3</w:t>
      </w:r>
      <w:r w:rsidRPr="00974446">
        <w:rPr>
          <w:szCs w:val="18"/>
        </w:rPr>
        <w:t>.</w:t>
      </w:r>
      <w:r>
        <w:rPr>
          <w:szCs w:val="18"/>
        </w:rPr>
        <w:t>9</w:t>
      </w:r>
      <w:r w:rsidRPr="00974446">
        <w:rPr>
          <w:szCs w:val="18"/>
        </w:rPr>
        <w:t xml:space="preserve"> toont de door leerlingen middels examen </w:t>
      </w:r>
      <w:r w:rsidRPr="00F240A8">
        <w:rPr>
          <w:szCs w:val="18"/>
        </w:rPr>
        <w:t xml:space="preserve">afgesloten keuzevakken en </w:t>
      </w:r>
      <w:r>
        <w:rPr>
          <w:szCs w:val="18"/>
        </w:rPr>
        <w:t>profiel</w:t>
      </w:r>
      <w:r w:rsidRPr="00F240A8">
        <w:rPr>
          <w:szCs w:val="18"/>
        </w:rPr>
        <w:t>modules per profiel, naar oor</w:t>
      </w:r>
      <w:r w:rsidRPr="00974446">
        <w:rPr>
          <w:szCs w:val="18"/>
        </w:rPr>
        <w:t>sprong van het profiel waaruit het keuzevak afkomstig is</w:t>
      </w:r>
      <w:r w:rsidRPr="00F240A8">
        <w:rPr>
          <w:szCs w:val="18"/>
        </w:rPr>
        <w:t xml:space="preserve">. Leerlingen uit alle profielen, behalve D&amp;P, volgen de meeste </w:t>
      </w:r>
      <w:r>
        <w:rPr>
          <w:szCs w:val="18"/>
        </w:rPr>
        <w:t>keuze</w:t>
      </w:r>
      <w:r w:rsidRPr="00F240A8">
        <w:rPr>
          <w:szCs w:val="18"/>
        </w:rPr>
        <w:t xml:space="preserve">vakken </w:t>
      </w:r>
      <w:r>
        <w:rPr>
          <w:szCs w:val="18"/>
        </w:rPr>
        <w:t xml:space="preserve">en profielmodules </w:t>
      </w:r>
      <w:r w:rsidRPr="00F240A8">
        <w:rPr>
          <w:szCs w:val="18"/>
        </w:rPr>
        <w:t>die horen bij hun eigen profiel. Voor de techniekprofielen ligt dit aandeel tussen de 78 en 89 procent, terwijl dit iets lager ligt, rond de 6</w:t>
      </w:r>
      <w:r>
        <w:rPr>
          <w:szCs w:val="18"/>
        </w:rPr>
        <w:t>3</w:t>
      </w:r>
      <w:r w:rsidRPr="00F240A8">
        <w:rPr>
          <w:szCs w:val="18"/>
        </w:rPr>
        <w:t xml:space="preserve"> tot 8</w:t>
      </w:r>
      <w:r>
        <w:rPr>
          <w:szCs w:val="18"/>
        </w:rPr>
        <w:t>6</w:t>
      </w:r>
      <w:r w:rsidRPr="00F240A8">
        <w:rPr>
          <w:szCs w:val="18"/>
        </w:rPr>
        <w:t xml:space="preserve"> procent, voor vier van de vijf niet-technische profielen. </w:t>
      </w:r>
      <w:r>
        <w:rPr>
          <w:szCs w:val="18"/>
        </w:rPr>
        <w:t>L</w:t>
      </w:r>
      <w:r w:rsidRPr="00F240A8">
        <w:rPr>
          <w:szCs w:val="18"/>
        </w:rPr>
        <w:t xml:space="preserve">eerlingen in het profiel D&amp;P </w:t>
      </w:r>
      <w:r>
        <w:rPr>
          <w:szCs w:val="18"/>
        </w:rPr>
        <w:t xml:space="preserve">leggen </w:t>
      </w:r>
      <w:r w:rsidRPr="00F240A8">
        <w:rPr>
          <w:szCs w:val="18"/>
        </w:rPr>
        <w:t>het vaakst examen af</w:t>
      </w:r>
      <w:r>
        <w:rPr>
          <w:szCs w:val="18"/>
        </w:rPr>
        <w:t xml:space="preserve"> </w:t>
      </w:r>
      <w:r w:rsidRPr="00F240A8">
        <w:rPr>
          <w:szCs w:val="18"/>
        </w:rPr>
        <w:t xml:space="preserve">in keuzevakken </w:t>
      </w:r>
      <w:r>
        <w:rPr>
          <w:szCs w:val="18"/>
        </w:rPr>
        <w:t xml:space="preserve">en profielmodules </w:t>
      </w:r>
      <w:r w:rsidRPr="00F240A8">
        <w:rPr>
          <w:szCs w:val="18"/>
        </w:rPr>
        <w:t xml:space="preserve">buiten hun eigen profiel. </w:t>
      </w:r>
      <w:r w:rsidRPr="00F158A5">
        <w:rPr>
          <w:szCs w:val="18"/>
        </w:rPr>
        <w:t>De meeste uitwisseling is met Z&amp;W (2</w:t>
      </w:r>
      <w:r>
        <w:rPr>
          <w:szCs w:val="18"/>
        </w:rPr>
        <w:t>5</w:t>
      </w:r>
      <w:r w:rsidRPr="00F158A5">
        <w:rPr>
          <w:szCs w:val="18"/>
        </w:rPr>
        <w:t xml:space="preserve"> procent), E&amp;O (1</w:t>
      </w:r>
      <w:r>
        <w:rPr>
          <w:szCs w:val="18"/>
        </w:rPr>
        <w:t>8</w:t>
      </w:r>
      <w:r w:rsidRPr="00F158A5">
        <w:rPr>
          <w:szCs w:val="18"/>
        </w:rPr>
        <w:t xml:space="preserve"> procent), HBR (12 procent) en met het techniekprofiel MVI (1</w:t>
      </w:r>
      <w:r>
        <w:rPr>
          <w:szCs w:val="18"/>
        </w:rPr>
        <w:t>1</w:t>
      </w:r>
      <w:r w:rsidRPr="00F158A5">
        <w:rPr>
          <w:szCs w:val="18"/>
        </w:rPr>
        <w:t xml:space="preserve"> procent). In iets mindere mate worden ook examens in keuzevakken van de profielen BWI (5 procent) en PIE (4 procent) afgelegd. MVI-leerlingen leggen de meeste examens af in keuzevakken en </w:t>
      </w:r>
      <w:r>
        <w:rPr>
          <w:szCs w:val="18"/>
        </w:rPr>
        <w:t>profiel</w:t>
      </w:r>
      <w:r w:rsidRPr="00F158A5">
        <w:rPr>
          <w:szCs w:val="18"/>
        </w:rPr>
        <w:t>modules buiten hun eigen profiel en buiten de techniek in vergelijking met de andere techniekprofielen</w:t>
      </w:r>
      <w:r>
        <w:rPr>
          <w:szCs w:val="18"/>
        </w:rPr>
        <w:t xml:space="preserve">, zoals </w:t>
      </w:r>
      <w:r w:rsidRPr="00F158A5">
        <w:rPr>
          <w:szCs w:val="18"/>
        </w:rPr>
        <w:t xml:space="preserve">examen in keuzevakken en </w:t>
      </w:r>
      <w:r>
        <w:rPr>
          <w:szCs w:val="18"/>
        </w:rPr>
        <w:t>profiel</w:t>
      </w:r>
      <w:r w:rsidRPr="00F158A5">
        <w:rPr>
          <w:szCs w:val="18"/>
        </w:rPr>
        <w:t>modules uit het profiel E&amp;O (7 procent) en uit het profiel D&amp;P (4 procent).</w:t>
      </w:r>
    </w:p>
    <w:p w:rsidRPr="00A45539" w:rsidR="00B52D66" w:rsidP="00B52D66" w:rsidRDefault="00B52D66" w14:paraId="7D03925E" w14:textId="77777777">
      <w:pPr>
        <w:spacing w:line="240" w:lineRule="auto"/>
        <w:rPr>
          <w:szCs w:val="18"/>
        </w:rPr>
      </w:pPr>
    </w:p>
    <w:p w:rsidR="00B52D66" w:rsidP="00B52D66" w:rsidRDefault="00B52D66" w14:paraId="0D132227" w14:textId="2A527FF0">
      <w:pPr>
        <w:pStyle w:val="Bijschrift"/>
        <w:ind w:left="0" w:firstLine="0"/>
      </w:pPr>
      <w:r w:rsidRPr="0065314C">
        <w:t xml:space="preserve">TABEL </w:t>
      </w:r>
      <w:r w:rsidR="004F4EC3">
        <w:t>B3</w:t>
      </w:r>
      <w:r>
        <w:t>.9</w:t>
      </w:r>
      <w:r w:rsidRPr="0065314C">
        <w:t xml:space="preserve"> </w:t>
      </w:r>
      <w:r>
        <w:tab/>
      </w:r>
      <w:r w:rsidRPr="0065314C">
        <w:t>Verdeling van examens in keuzevakken</w:t>
      </w:r>
      <w:r>
        <w:t xml:space="preserve"> en profielmodules</w:t>
      </w:r>
      <w:r w:rsidRPr="0065314C">
        <w:t xml:space="preserve"> per profiel (%), schooljaar 202</w:t>
      </w:r>
      <w:r>
        <w:t>2</w:t>
      </w:r>
      <w:r w:rsidRPr="0065314C">
        <w:t>/202</w:t>
      </w:r>
      <w:r>
        <w:t>3</w:t>
      </w:r>
    </w:p>
    <w:tbl>
      <w:tblPr>
        <w:tblStyle w:val="Tabelrasterlicht"/>
        <w:tblW w:w="9360" w:type="dxa"/>
        <w:tblLayout w:type="fixed"/>
        <w:tblLook w:val="04A0" w:firstRow="1" w:lastRow="0" w:firstColumn="1" w:lastColumn="0" w:noHBand="0" w:noVBand="1"/>
      </w:tblPr>
      <w:tblGrid>
        <w:gridCol w:w="3095"/>
        <w:gridCol w:w="627"/>
        <w:gridCol w:w="627"/>
        <w:gridCol w:w="627"/>
        <w:gridCol w:w="627"/>
        <w:gridCol w:w="627"/>
        <w:gridCol w:w="627"/>
        <w:gridCol w:w="627"/>
        <w:gridCol w:w="647"/>
        <w:gridCol w:w="608"/>
        <w:gridCol w:w="621"/>
      </w:tblGrid>
      <w:tr w:rsidRPr="008E5EDC" w:rsidR="00B52D66" w:rsidTr="00FC2172" w14:paraId="539FF681" w14:textId="77777777">
        <w:trPr>
          <w:trHeight w:val="290"/>
        </w:trPr>
        <w:tc>
          <w:tcPr>
            <w:tcW w:w="3095" w:type="dxa"/>
            <w:tcBorders>
              <w:top w:val="single" w:color="auto" w:sz="4" w:space="0"/>
              <w:bottom w:val="single" w:color="auto" w:sz="4" w:space="0"/>
            </w:tcBorders>
            <w:noWrap/>
            <w:hideMark/>
          </w:tcPr>
          <w:p w:rsidRPr="00C12C6F" w:rsidR="00B52D66" w:rsidP="00FC2172" w:rsidRDefault="00B52D66" w14:paraId="3211EB57" w14:textId="77777777">
            <w:pPr>
              <w:spacing w:line="240" w:lineRule="auto"/>
              <w:rPr>
                <w:rFonts w:cs="Calibri"/>
                <w:sz w:val="16"/>
                <w:szCs w:val="16"/>
                <w:lang w:eastAsia="en-GB"/>
              </w:rPr>
            </w:pPr>
            <w:r w:rsidRPr="00C12C6F">
              <w:rPr>
                <w:rFonts w:cs="Calibri"/>
                <w:sz w:val="16"/>
                <w:szCs w:val="16"/>
                <w:lang w:eastAsia="en-GB"/>
              </w:rPr>
              <w:t xml:space="preserve">Examens afgelegd door lln van profiel </w:t>
            </w:r>
            <w:r w:rsidRPr="00C12C6F">
              <w:rPr>
                <w:rFonts w:ascii="Calibri" w:hAnsi="Calibri" w:cs="Calibri"/>
                <w:sz w:val="16"/>
                <w:szCs w:val="16"/>
                <w:lang w:eastAsia="en-GB"/>
              </w:rPr>
              <w:t>→</w:t>
            </w:r>
          </w:p>
          <w:p w:rsidRPr="00C12C6F" w:rsidR="00B52D66" w:rsidP="00FC2172" w:rsidRDefault="00B52D66" w14:paraId="747E32C8" w14:textId="77777777">
            <w:pPr>
              <w:spacing w:line="240" w:lineRule="auto"/>
              <w:rPr>
                <w:rFonts w:cs="Calibri"/>
                <w:sz w:val="16"/>
                <w:szCs w:val="16"/>
                <w:lang w:eastAsia="en-GB"/>
              </w:rPr>
            </w:pPr>
          </w:p>
          <w:p w:rsidRPr="00C12C6F" w:rsidR="00B52D66" w:rsidP="00FC2172" w:rsidRDefault="00B52D66" w14:paraId="286F1C1E" w14:textId="77777777">
            <w:pPr>
              <w:spacing w:line="240" w:lineRule="auto"/>
              <w:rPr>
                <w:rFonts w:cs="Calibri"/>
                <w:sz w:val="16"/>
                <w:szCs w:val="16"/>
                <w:lang w:eastAsia="en-GB"/>
              </w:rPr>
            </w:pPr>
            <w:r w:rsidRPr="00C12C6F">
              <w:rPr>
                <w:rFonts w:ascii="Calibri" w:hAnsi="Calibri" w:cs="Calibri"/>
                <w:sz w:val="16"/>
                <w:szCs w:val="16"/>
                <w:lang w:eastAsia="en-GB"/>
              </w:rPr>
              <w:t>↓</w:t>
            </w:r>
            <w:r w:rsidRPr="00C12C6F">
              <w:rPr>
                <w:rFonts w:cs="Calibri"/>
                <w:sz w:val="16"/>
                <w:szCs w:val="16"/>
                <w:lang w:eastAsia="en-GB"/>
              </w:rPr>
              <w:t>In keuzevakken en profielmodules aangeboden door</w:t>
            </w:r>
          </w:p>
        </w:tc>
        <w:tc>
          <w:tcPr>
            <w:tcW w:w="627" w:type="dxa"/>
            <w:tcBorders>
              <w:top w:val="single" w:color="auto" w:sz="4" w:space="0"/>
              <w:bottom w:val="single" w:color="auto" w:sz="4" w:space="0"/>
            </w:tcBorders>
            <w:noWrap/>
            <w:hideMark/>
          </w:tcPr>
          <w:p w:rsidRPr="00C12C6F" w:rsidR="00B52D66" w:rsidP="00FC2172" w:rsidRDefault="00B52D66" w14:paraId="49966F4F" w14:textId="77777777">
            <w:pPr>
              <w:spacing w:line="240" w:lineRule="auto"/>
              <w:rPr>
                <w:rFonts w:cs="Calibri"/>
                <w:sz w:val="16"/>
                <w:szCs w:val="16"/>
                <w:lang w:val="en-GB" w:eastAsia="en-GB"/>
              </w:rPr>
            </w:pPr>
            <w:r w:rsidRPr="00C12C6F">
              <w:rPr>
                <w:rFonts w:cs="Calibri"/>
                <w:sz w:val="16"/>
                <w:szCs w:val="16"/>
                <w:lang w:val="en-GB" w:eastAsia="en-GB"/>
              </w:rPr>
              <w:t>BWI</w:t>
            </w:r>
          </w:p>
        </w:tc>
        <w:tc>
          <w:tcPr>
            <w:tcW w:w="627" w:type="dxa"/>
            <w:tcBorders>
              <w:top w:val="single" w:color="auto" w:sz="4" w:space="0"/>
              <w:bottom w:val="single" w:color="auto" w:sz="4" w:space="0"/>
            </w:tcBorders>
            <w:noWrap/>
            <w:hideMark/>
          </w:tcPr>
          <w:p w:rsidRPr="00C12C6F" w:rsidR="00B52D66" w:rsidP="00FC2172" w:rsidRDefault="00B52D66" w14:paraId="2B38FD52" w14:textId="77777777">
            <w:pPr>
              <w:spacing w:line="240" w:lineRule="auto"/>
              <w:rPr>
                <w:rFonts w:cs="Calibri"/>
                <w:sz w:val="16"/>
                <w:szCs w:val="16"/>
                <w:lang w:val="en-GB" w:eastAsia="en-GB"/>
              </w:rPr>
            </w:pPr>
            <w:r w:rsidRPr="00C12C6F">
              <w:rPr>
                <w:rFonts w:cs="Calibri"/>
                <w:sz w:val="16"/>
                <w:szCs w:val="16"/>
                <w:lang w:val="en-GB" w:eastAsia="en-GB"/>
              </w:rPr>
              <w:t>MaT</w:t>
            </w:r>
          </w:p>
        </w:tc>
        <w:tc>
          <w:tcPr>
            <w:tcW w:w="627" w:type="dxa"/>
            <w:tcBorders>
              <w:top w:val="single" w:color="auto" w:sz="4" w:space="0"/>
              <w:bottom w:val="single" w:color="auto" w:sz="4" w:space="0"/>
            </w:tcBorders>
            <w:noWrap/>
            <w:hideMark/>
          </w:tcPr>
          <w:p w:rsidRPr="00C12C6F" w:rsidR="00B52D66" w:rsidP="00FC2172" w:rsidRDefault="00B52D66" w14:paraId="445B018A" w14:textId="77777777">
            <w:pPr>
              <w:spacing w:line="240" w:lineRule="auto"/>
              <w:rPr>
                <w:rFonts w:cs="Calibri"/>
                <w:sz w:val="16"/>
                <w:szCs w:val="16"/>
                <w:lang w:val="en-GB" w:eastAsia="en-GB"/>
              </w:rPr>
            </w:pPr>
            <w:r w:rsidRPr="00C12C6F">
              <w:rPr>
                <w:rFonts w:cs="Calibri"/>
                <w:sz w:val="16"/>
                <w:szCs w:val="16"/>
                <w:lang w:val="en-GB" w:eastAsia="en-GB"/>
              </w:rPr>
              <w:t>MVI</w:t>
            </w:r>
          </w:p>
        </w:tc>
        <w:tc>
          <w:tcPr>
            <w:tcW w:w="627" w:type="dxa"/>
            <w:tcBorders>
              <w:top w:val="single" w:color="auto" w:sz="4" w:space="0"/>
              <w:bottom w:val="single" w:color="auto" w:sz="4" w:space="0"/>
            </w:tcBorders>
            <w:noWrap/>
            <w:hideMark/>
          </w:tcPr>
          <w:p w:rsidRPr="00C12C6F" w:rsidR="00B52D66" w:rsidP="00FC2172" w:rsidRDefault="00B52D66" w14:paraId="7256E14C" w14:textId="77777777">
            <w:pPr>
              <w:spacing w:line="240" w:lineRule="auto"/>
              <w:rPr>
                <w:rFonts w:cs="Calibri"/>
                <w:sz w:val="16"/>
                <w:szCs w:val="16"/>
                <w:lang w:val="en-GB" w:eastAsia="en-GB"/>
              </w:rPr>
            </w:pPr>
            <w:r w:rsidRPr="00C12C6F">
              <w:rPr>
                <w:rFonts w:cs="Calibri"/>
                <w:sz w:val="16"/>
                <w:szCs w:val="16"/>
                <w:lang w:val="en-GB" w:eastAsia="en-GB"/>
              </w:rPr>
              <w:t>M&amp;T</w:t>
            </w:r>
          </w:p>
        </w:tc>
        <w:tc>
          <w:tcPr>
            <w:tcW w:w="627" w:type="dxa"/>
            <w:tcBorders>
              <w:top w:val="single" w:color="auto" w:sz="4" w:space="0"/>
              <w:bottom w:val="single" w:color="auto" w:sz="4" w:space="0"/>
            </w:tcBorders>
            <w:noWrap/>
            <w:hideMark/>
          </w:tcPr>
          <w:p w:rsidRPr="00C12C6F" w:rsidR="00B52D66" w:rsidP="00FC2172" w:rsidRDefault="00B52D66" w14:paraId="0A0E1C78" w14:textId="77777777">
            <w:pPr>
              <w:spacing w:line="240" w:lineRule="auto"/>
              <w:rPr>
                <w:rFonts w:cs="Calibri"/>
                <w:sz w:val="16"/>
                <w:szCs w:val="16"/>
                <w:lang w:val="en-GB" w:eastAsia="en-GB"/>
              </w:rPr>
            </w:pPr>
            <w:r w:rsidRPr="00C12C6F">
              <w:rPr>
                <w:rFonts w:cs="Calibri"/>
                <w:sz w:val="16"/>
                <w:szCs w:val="16"/>
                <w:lang w:val="en-GB" w:eastAsia="en-GB"/>
              </w:rPr>
              <w:t>PIE</w:t>
            </w:r>
          </w:p>
        </w:tc>
        <w:tc>
          <w:tcPr>
            <w:tcW w:w="627" w:type="dxa"/>
            <w:tcBorders>
              <w:top w:val="single" w:color="auto" w:sz="4" w:space="0"/>
              <w:bottom w:val="single" w:color="auto" w:sz="4" w:space="0"/>
            </w:tcBorders>
            <w:noWrap/>
            <w:hideMark/>
          </w:tcPr>
          <w:p w:rsidRPr="00C12C6F" w:rsidR="00B52D66" w:rsidP="00FC2172" w:rsidRDefault="00B52D66" w14:paraId="5A66E4CF" w14:textId="77777777">
            <w:pPr>
              <w:spacing w:line="240" w:lineRule="auto"/>
              <w:rPr>
                <w:rFonts w:cs="Calibri"/>
                <w:sz w:val="16"/>
                <w:szCs w:val="16"/>
                <w:lang w:val="en-GB" w:eastAsia="en-GB"/>
              </w:rPr>
            </w:pPr>
            <w:r w:rsidRPr="00C12C6F">
              <w:rPr>
                <w:rFonts w:cs="Calibri"/>
                <w:sz w:val="16"/>
                <w:szCs w:val="16"/>
                <w:lang w:val="en-GB" w:eastAsia="en-GB"/>
              </w:rPr>
              <w:t>D&amp;P</w:t>
            </w:r>
          </w:p>
        </w:tc>
        <w:tc>
          <w:tcPr>
            <w:tcW w:w="627" w:type="dxa"/>
            <w:tcBorders>
              <w:top w:val="single" w:color="auto" w:sz="4" w:space="0"/>
              <w:bottom w:val="single" w:color="auto" w:sz="4" w:space="0"/>
            </w:tcBorders>
            <w:noWrap/>
            <w:hideMark/>
          </w:tcPr>
          <w:p w:rsidRPr="00C12C6F" w:rsidR="00B52D66" w:rsidP="00FC2172" w:rsidRDefault="00B52D66" w14:paraId="3864C266" w14:textId="77777777">
            <w:pPr>
              <w:spacing w:line="240" w:lineRule="auto"/>
              <w:rPr>
                <w:rFonts w:cs="Calibri"/>
                <w:sz w:val="16"/>
                <w:szCs w:val="16"/>
                <w:lang w:val="en-GB" w:eastAsia="en-GB"/>
              </w:rPr>
            </w:pPr>
            <w:r w:rsidRPr="00C12C6F">
              <w:rPr>
                <w:rFonts w:cs="Calibri"/>
                <w:sz w:val="16"/>
                <w:szCs w:val="16"/>
                <w:lang w:val="en-GB" w:eastAsia="en-GB"/>
              </w:rPr>
              <w:t>E&amp;O</w:t>
            </w:r>
          </w:p>
        </w:tc>
        <w:tc>
          <w:tcPr>
            <w:tcW w:w="647" w:type="dxa"/>
            <w:tcBorders>
              <w:top w:val="single" w:color="auto" w:sz="4" w:space="0"/>
              <w:bottom w:val="single" w:color="auto" w:sz="4" w:space="0"/>
            </w:tcBorders>
            <w:noWrap/>
            <w:hideMark/>
          </w:tcPr>
          <w:p w:rsidRPr="00C12C6F" w:rsidR="00B52D66" w:rsidP="00FC2172" w:rsidRDefault="00B52D66" w14:paraId="0C829DCC" w14:textId="77777777">
            <w:pPr>
              <w:spacing w:line="240" w:lineRule="auto"/>
              <w:rPr>
                <w:rFonts w:cs="Calibri"/>
                <w:sz w:val="16"/>
                <w:szCs w:val="16"/>
                <w:lang w:val="en-GB" w:eastAsia="en-GB"/>
              </w:rPr>
            </w:pPr>
            <w:r w:rsidRPr="00C12C6F">
              <w:rPr>
                <w:rFonts w:cs="Calibri"/>
                <w:sz w:val="16"/>
                <w:szCs w:val="16"/>
                <w:lang w:val="en-GB" w:eastAsia="en-GB"/>
              </w:rPr>
              <w:t>Groen</w:t>
            </w:r>
          </w:p>
        </w:tc>
        <w:tc>
          <w:tcPr>
            <w:tcW w:w="608" w:type="dxa"/>
            <w:tcBorders>
              <w:top w:val="single" w:color="auto" w:sz="4" w:space="0"/>
              <w:bottom w:val="single" w:color="auto" w:sz="4" w:space="0"/>
            </w:tcBorders>
            <w:noWrap/>
            <w:hideMark/>
          </w:tcPr>
          <w:p w:rsidRPr="00C12C6F" w:rsidR="00B52D66" w:rsidP="00FC2172" w:rsidRDefault="00B52D66" w14:paraId="09EC4D51" w14:textId="77777777">
            <w:pPr>
              <w:spacing w:line="240" w:lineRule="auto"/>
              <w:rPr>
                <w:rFonts w:cs="Calibri"/>
                <w:sz w:val="16"/>
                <w:szCs w:val="16"/>
                <w:lang w:val="en-GB" w:eastAsia="en-GB"/>
              </w:rPr>
            </w:pPr>
            <w:r w:rsidRPr="00C12C6F">
              <w:rPr>
                <w:rFonts w:cs="Calibri"/>
                <w:sz w:val="16"/>
                <w:szCs w:val="16"/>
                <w:lang w:val="en-GB" w:eastAsia="en-GB"/>
              </w:rPr>
              <w:t>HBR</w:t>
            </w:r>
          </w:p>
        </w:tc>
        <w:tc>
          <w:tcPr>
            <w:tcW w:w="621" w:type="dxa"/>
            <w:tcBorders>
              <w:top w:val="single" w:color="auto" w:sz="4" w:space="0"/>
              <w:bottom w:val="single" w:color="auto" w:sz="4" w:space="0"/>
            </w:tcBorders>
            <w:noWrap/>
            <w:hideMark/>
          </w:tcPr>
          <w:p w:rsidRPr="00C12C6F" w:rsidR="00B52D66" w:rsidP="00FC2172" w:rsidRDefault="00B52D66" w14:paraId="495EC45D" w14:textId="77777777">
            <w:pPr>
              <w:spacing w:line="240" w:lineRule="auto"/>
              <w:rPr>
                <w:rFonts w:cs="Calibri"/>
                <w:sz w:val="16"/>
                <w:szCs w:val="16"/>
                <w:lang w:val="en-GB" w:eastAsia="en-GB"/>
              </w:rPr>
            </w:pPr>
            <w:r w:rsidRPr="00C12C6F">
              <w:rPr>
                <w:rFonts w:cs="Calibri"/>
                <w:sz w:val="16"/>
                <w:szCs w:val="16"/>
                <w:lang w:val="en-GB" w:eastAsia="en-GB"/>
              </w:rPr>
              <w:t>Z&amp;W</w:t>
            </w:r>
          </w:p>
        </w:tc>
      </w:tr>
      <w:tr w:rsidRPr="008E5EDC" w:rsidR="00B52D66" w:rsidTr="00FC2172" w14:paraId="0EF508D9" w14:textId="77777777">
        <w:trPr>
          <w:trHeight w:val="290"/>
        </w:trPr>
        <w:tc>
          <w:tcPr>
            <w:tcW w:w="3095" w:type="dxa"/>
            <w:tcBorders>
              <w:top w:val="single" w:color="auto" w:sz="4" w:space="0"/>
            </w:tcBorders>
            <w:noWrap/>
            <w:hideMark/>
          </w:tcPr>
          <w:p w:rsidRPr="00C12C6F" w:rsidR="00B52D66" w:rsidP="00FC2172" w:rsidRDefault="00B52D66" w14:paraId="3AC0A115" w14:textId="77777777">
            <w:pPr>
              <w:spacing w:line="240" w:lineRule="auto"/>
              <w:rPr>
                <w:rFonts w:cs="Calibri"/>
                <w:sz w:val="16"/>
                <w:szCs w:val="16"/>
                <w:lang w:eastAsia="en-GB"/>
              </w:rPr>
            </w:pPr>
            <w:r w:rsidRPr="00C12C6F">
              <w:rPr>
                <w:rFonts w:cs="Calibri"/>
                <w:sz w:val="16"/>
                <w:szCs w:val="16"/>
                <w:lang w:eastAsia="en-GB"/>
              </w:rPr>
              <w:t>BWI</w:t>
            </w:r>
          </w:p>
        </w:tc>
        <w:tc>
          <w:tcPr>
            <w:tcW w:w="627" w:type="dxa"/>
            <w:tcBorders>
              <w:top w:val="single" w:color="auto" w:sz="4" w:space="0"/>
            </w:tcBorders>
            <w:shd w:val="clear" w:color="auto" w:fill="D9D9D9" w:themeFill="background1" w:themeFillShade="D9"/>
            <w:noWrap/>
            <w:hideMark/>
          </w:tcPr>
          <w:p w:rsidRPr="00C12C6F" w:rsidR="00B52D66" w:rsidP="00FC2172" w:rsidRDefault="00B52D66" w14:paraId="0AF083E4" w14:textId="77777777">
            <w:pPr>
              <w:spacing w:line="240" w:lineRule="auto"/>
              <w:jc w:val="right"/>
              <w:rPr>
                <w:rFonts w:cs="Calibri"/>
                <w:color w:val="000000"/>
                <w:sz w:val="16"/>
                <w:szCs w:val="16"/>
                <w:lang w:val="en-GB" w:eastAsia="en-GB"/>
              </w:rPr>
            </w:pPr>
            <w:r w:rsidRPr="008E5EDC">
              <w:rPr>
                <w:rFonts w:cs="Calibri"/>
                <w:sz w:val="16"/>
                <w:szCs w:val="16"/>
              </w:rPr>
              <w:t>84</w:t>
            </w:r>
          </w:p>
        </w:tc>
        <w:tc>
          <w:tcPr>
            <w:tcW w:w="627" w:type="dxa"/>
            <w:tcBorders>
              <w:top w:val="single" w:color="auto" w:sz="4" w:space="0"/>
            </w:tcBorders>
            <w:noWrap/>
            <w:hideMark/>
          </w:tcPr>
          <w:p w:rsidRPr="00C12C6F" w:rsidR="00B52D66" w:rsidP="00FC2172" w:rsidRDefault="00B52D66" w14:paraId="48006C76" w14:textId="77777777">
            <w:pPr>
              <w:spacing w:line="240" w:lineRule="auto"/>
              <w:jc w:val="right"/>
              <w:rPr>
                <w:rFonts w:cs="Calibri"/>
                <w:sz w:val="16"/>
                <w:szCs w:val="16"/>
                <w:lang w:val="en-GB" w:eastAsia="en-GB"/>
              </w:rPr>
            </w:pPr>
            <w:r w:rsidRPr="008E5EDC">
              <w:rPr>
                <w:rFonts w:cs="Calibri"/>
                <w:sz w:val="16"/>
                <w:szCs w:val="16"/>
              </w:rPr>
              <w:t> </w:t>
            </w:r>
          </w:p>
        </w:tc>
        <w:tc>
          <w:tcPr>
            <w:tcW w:w="627" w:type="dxa"/>
            <w:tcBorders>
              <w:top w:val="single" w:color="auto" w:sz="4" w:space="0"/>
            </w:tcBorders>
            <w:noWrap/>
            <w:hideMark/>
          </w:tcPr>
          <w:p w:rsidRPr="00C12C6F" w:rsidR="00B52D66" w:rsidP="00FC2172" w:rsidRDefault="00B52D66" w14:paraId="534DD244" w14:textId="77777777">
            <w:pPr>
              <w:spacing w:line="240" w:lineRule="auto"/>
              <w:jc w:val="right"/>
              <w:rPr>
                <w:rFonts w:cs="Calibri"/>
                <w:sz w:val="16"/>
                <w:szCs w:val="16"/>
                <w:lang w:val="en-GB" w:eastAsia="en-GB"/>
              </w:rPr>
            </w:pPr>
            <w:r w:rsidRPr="008E5EDC">
              <w:rPr>
                <w:rFonts w:cs="Calibri"/>
                <w:sz w:val="16"/>
                <w:szCs w:val="16"/>
              </w:rPr>
              <w:t>3</w:t>
            </w:r>
          </w:p>
        </w:tc>
        <w:tc>
          <w:tcPr>
            <w:tcW w:w="627" w:type="dxa"/>
            <w:tcBorders>
              <w:top w:val="single" w:color="auto" w:sz="4" w:space="0"/>
            </w:tcBorders>
            <w:noWrap/>
            <w:hideMark/>
          </w:tcPr>
          <w:p w:rsidRPr="00C12C6F" w:rsidR="00B52D66" w:rsidP="00FC2172" w:rsidRDefault="00B52D66" w14:paraId="6B886E04" w14:textId="77777777">
            <w:pPr>
              <w:spacing w:line="240" w:lineRule="auto"/>
              <w:jc w:val="right"/>
              <w:rPr>
                <w:rFonts w:cs="Calibri"/>
                <w:sz w:val="16"/>
                <w:szCs w:val="16"/>
                <w:lang w:val="en-GB" w:eastAsia="en-GB"/>
              </w:rPr>
            </w:pPr>
            <w:r w:rsidRPr="008E5EDC">
              <w:rPr>
                <w:rFonts w:cs="Calibri"/>
                <w:sz w:val="16"/>
                <w:szCs w:val="16"/>
              </w:rPr>
              <w:t>2</w:t>
            </w:r>
          </w:p>
        </w:tc>
        <w:tc>
          <w:tcPr>
            <w:tcW w:w="627" w:type="dxa"/>
            <w:tcBorders>
              <w:top w:val="single" w:color="auto" w:sz="4" w:space="0"/>
            </w:tcBorders>
            <w:noWrap/>
            <w:hideMark/>
          </w:tcPr>
          <w:p w:rsidRPr="00C12C6F" w:rsidR="00B52D66" w:rsidP="00FC2172" w:rsidRDefault="00B52D66" w14:paraId="6BF17E32" w14:textId="77777777">
            <w:pPr>
              <w:spacing w:line="240" w:lineRule="auto"/>
              <w:jc w:val="right"/>
              <w:rPr>
                <w:rFonts w:cs="Calibri"/>
                <w:sz w:val="16"/>
                <w:szCs w:val="16"/>
                <w:lang w:val="en-GB" w:eastAsia="en-GB"/>
              </w:rPr>
            </w:pPr>
            <w:r w:rsidRPr="008E5EDC">
              <w:rPr>
                <w:rFonts w:cs="Calibri"/>
                <w:sz w:val="16"/>
                <w:szCs w:val="16"/>
              </w:rPr>
              <w:t>6</w:t>
            </w:r>
          </w:p>
        </w:tc>
        <w:tc>
          <w:tcPr>
            <w:tcW w:w="627" w:type="dxa"/>
            <w:tcBorders>
              <w:top w:val="single" w:color="auto" w:sz="4" w:space="0"/>
            </w:tcBorders>
            <w:noWrap/>
            <w:hideMark/>
          </w:tcPr>
          <w:p w:rsidRPr="00C12C6F" w:rsidR="00B52D66" w:rsidP="00FC2172" w:rsidRDefault="00B52D66" w14:paraId="2A832FFD" w14:textId="77777777">
            <w:pPr>
              <w:spacing w:line="240" w:lineRule="auto"/>
              <w:jc w:val="right"/>
              <w:rPr>
                <w:rFonts w:cs="Calibri"/>
                <w:sz w:val="16"/>
                <w:szCs w:val="16"/>
                <w:lang w:val="en-GB" w:eastAsia="en-GB"/>
              </w:rPr>
            </w:pPr>
            <w:r w:rsidRPr="008E5EDC">
              <w:rPr>
                <w:rFonts w:cs="Calibri"/>
                <w:sz w:val="16"/>
                <w:szCs w:val="16"/>
              </w:rPr>
              <w:t>5</w:t>
            </w:r>
          </w:p>
        </w:tc>
        <w:tc>
          <w:tcPr>
            <w:tcW w:w="627" w:type="dxa"/>
            <w:tcBorders>
              <w:top w:val="single" w:color="auto" w:sz="4" w:space="0"/>
            </w:tcBorders>
            <w:noWrap/>
            <w:hideMark/>
          </w:tcPr>
          <w:p w:rsidRPr="00C12C6F" w:rsidR="00B52D66" w:rsidP="00FC2172" w:rsidRDefault="00B52D66" w14:paraId="05D4BF13" w14:textId="77777777">
            <w:pPr>
              <w:spacing w:line="240" w:lineRule="auto"/>
              <w:jc w:val="right"/>
              <w:rPr>
                <w:rFonts w:cs="Calibri"/>
                <w:sz w:val="16"/>
                <w:szCs w:val="16"/>
                <w:lang w:val="en-GB" w:eastAsia="en-GB"/>
              </w:rPr>
            </w:pPr>
            <w:r w:rsidRPr="008E5EDC">
              <w:rPr>
                <w:rFonts w:cs="Calibri"/>
                <w:sz w:val="16"/>
                <w:szCs w:val="16"/>
              </w:rPr>
              <w:t>1</w:t>
            </w:r>
          </w:p>
        </w:tc>
        <w:tc>
          <w:tcPr>
            <w:tcW w:w="647" w:type="dxa"/>
            <w:tcBorders>
              <w:top w:val="single" w:color="auto" w:sz="4" w:space="0"/>
            </w:tcBorders>
            <w:noWrap/>
            <w:hideMark/>
          </w:tcPr>
          <w:p w:rsidRPr="00C12C6F" w:rsidR="00B52D66" w:rsidP="00FC2172" w:rsidRDefault="00B52D66" w14:paraId="4DB2FE4A" w14:textId="77777777">
            <w:pPr>
              <w:spacing w:line="240" w:lineRule="auto"/>
              <w:jc w:val="right"/>
              <w:rPr>
                <w:rFonts w:cs="Calibri"/>
                <w:sz w:val="16"/>
                <w:szCs w:val="16"/>
                <w:lang w:val="en-GB" w:eastAsia="en-GB"/>
              </w:rPr>
            </w:pPr>
            <w:r w:rsidRPr="008E5EDC">
              <w:rPr>
                <w:rFonts w:cs="Calibri"/>
                <w:sz w:val="16"/>
                <w:szCs w:val="16"/>
              </w:rPr>
              <w:t>2</w:t>
            </w:r>
          </w:p>
        </w:tc>
        <w:tc>
          <w:tcPr>
            <w:tcW w:w="608" w:type="dxa"/>
            <w:tcBorders>
              <w:top w:val="single" w:color="auto" w:sz="4" w:space="0"/>
            </w:tcBorders>
            <w:noWrap/>
            <w:hideMark/>
          </w:tcPr>
          <w:p w:rsidRPr="00C12C6F" w:rsidR="00B52D66" w:rsidP="00FC2172" w:rsidRDefault="00B52D66" w14:paraId="66D2342C" w14:textId="77777777">
            <w:pPr>
              <w:spacing w:line="240" w:lineRule="auto"/>
              <w:jc w:val="right"/>
              <w:rPr>
                <w:rFonts w:cs="Calibri"/>
                <w:sz w:val="16"/>
                <w:szCs w:val="16"/>
                <w:lang w:val="en-GB" w:eastAsia="en-GB"/>
              </w:rPr>
            </w:pPr>
            <w:r w:rsidRPr="008E5EDC">
              <w:rPr>
                <w:rFonts w:cs="Calibri"/>
                <w:sz w:val="16"/>
                <w:szCs w:val="16"/>
              </w:rPr>
              <w:t>1</w:t>
            </w:r>
          </w:p>
        </w:tc>
        <w:tc>
          <w:tcPr>
            <w:tcW w:w="621" w:type="dxa"/>
            <w:tcBorders>
              <w:top w:val="single" w:color="auto" w:sz="4" w:space="0"/>
            </w:tcBorders>
            <w:noWrap/>
            <w:hideMark/>
          </w:tcPr>
          <w:p w:rsidRPr="00C12C6F" w:rsidR="00B52D66" w:rsidP="00FC2172" w:rsidRDefault="00B52D66" w14:paraId="29286D47" w14:textId="77777777">
            <w:pPr>
              <w:spacing w:line="240" w:lineRule="auto"/>
              <w:jc w:val="right"/>
              <w:rPr>
                <w:rFonts w:cs="Calibri"/>
                <w:sz w:val="16"/>
                <w:szCs w:val="16"/>
                <w:lang w:val="en-GB" w:eastAsia="en-GB"/>
              </w:rPr>
            </w:pPr>
            <w:r w:rsidRPr="008E5EDC">
              <w:rPr>
                <w:rFonts w:cs="Calibri"/>
                <w:sz w:val="16"/>
                <w:szCs w:val="16"/>
              </w:rPr>
              <w:t>1</w:t>
            </w:r>
          </w:p>
        </w:tc>
      </w:tr>
      <w:tr w:rsidRPr="008E5EDC" w:rsidR="00B52D66" w:rsidTr="00FC2172" w14:paraId="6FBC3F18" w14:textId="77777777">
        <w:trPr>
          <w:trHeight w:val="290"/>
        </w:trPr>
        <w:tc>
          <w:tcPr>
            <w:tcW w:w="3095" w:type="dxa"/>
            <w:noWrap/>
            <w:hideMark/>
          </w:tcPr>
          <w:p w:rsidRPr="00C12C6F" w:rsidR="00B52D66" w:rsidP="00FC2172" w:rsidRDefault="00B52D66" w14:paraId="69612E51" w14:textId="77777777">
            <w:pPr>
              <w:spacing w:line="240" w:lineRule="auto"/>
              <w:rPr>
                <w:rFonts w:cs="Calibri"/>
                <w:sz w:val="16"/>
                <w:szCs w:val="16"/>
                <w:lang w:val="en-GB" w:eastAsia="en-GB"/>
              </w:rPr>
            </w:pPr>
            <w:r w:rsidRPr="00C12C6F">
              <w:rPr>
                <w:rFonts w:cs="Calibri"/>
                <w:sz w:val="16"/>
                <w:szCs w:val="16"/>
                <w:lang w:val="en-GB" w:eastAsia="en-GB"/>
              </w:rPr>
              <w:t>MaT</w:t>
            </w:r>
          </w:p>
        </w:tc>
        <w:tc>
          <w:tcPr>
            <w:tcW w:w="627" w:type="dxa"/>
            <w:noWrap/>
            <w:hideMark/>
          </w:tcPr>
          <w:p w:rsidRPr="00C12C6F" w:rsidR="00B52D66" w:rsidP="00FC2172" w:rsidRDefault="00B52D66" w14:paraId="503AD030" w14:textId="77777777">
            <w:pPr>
              <w:spacing w:line="240" w:lineRule="auto"/>
              <w:jc w:val="right"/>
              <w:rPr>
                <w:rFonts w:cs="Calibri"/>
                <w:sz w:val="16"/>
                <w:szCs w:val="16"/>
                <w:lang w:val="en-GB" w:eastAsia="en-GB"/>
              </w:rPr>
            </w:pPr>
            <w:r w:rsidRPr="008E5EDC">
              <w:rPr>
                <w:rFonts w:cs="Calibri"/>
                <w:sz w:val="16"/>
                <w:szCs w:val="16"/>
              </w:rPr>
              <w:t>0</w:t>
            </w:r>
          </w:p>
        </w:tc>
        <w:tc>
          <w:tcPr>
            <w:tcW w:w="627" w:type="dxa"/>
            <w:shd w:val="clear" w:color="auto" w:fill="D9D9D9" w:themeFill="background1" w:themeFillShade="D9"/>
            <w:noWrap/>
            <w:hideMark/>
          </w:tcPr>
          <w:p w:rsidRPr="00C12C6F" w:rsidR="00B52D66" w:rsidP="00FC2172" w:rsidRDefault="00B52D66" w14:paraId="7B519774" w14:textId="77777777">
            <w:pPr>
              <w:spacing w:line="240" w:lineRule="auto"/>
              <w:jc w:val="right"/>
              <w:rPr>
                <w:rFonts w:cs="Calibri"/>
                <w:color w:val="000000"/>
                <w:sz w:val="16"/>
                <w:szCs w:val="16"/>
                <w:lang w:val="en-GB" w:eastAsia="en-GB"/>
              </w:rPr>
            </w:pPr>
            <w:r w:rsidRPr="008E5EDC">
              <w:rPr>
                <w:rFonts w:cs="Calibri"/>
                <w:sz w:val="16"/>
                <w:szCs w:val="16"/>
              </w:rPr>
              <w:t>89</w:t>
            </w:r>
          </w:p>
        </w:tc>
        <w:tc>
          <w:tcPr>
            <w:tcW w:w="627" w:type="dxa"/>
            <w:noWrap/>
            <w:hideMark/>
          </w:tcPr>
          <w:p w:rsidRPr="00C12C6F" w:rsidR="00B52D66" w:rsidP="00FC2172" w:rsidRDefault="00B52D66" w14:paraId="042C2B10" w14:textId="77777777">
            <w:pPr>
              <w:spacing w:line="240" w:lineRule="auto"/>
              <w:jc w:val="right"/>
              <w:rPr>
                <w:rFonts w:cs="Calibri"/>
                <w:sz w:val="16"/>
                <w:szCs w:val="16"/>
                <w:lang w:val="en-GB" w:eastAsia="en-GB"/>
              </w:rPr>
            </w:pPr>
            <w:r w:rsidRPr="008E5EDC">
              <w:rPr>
                <w:rFonts w:cs="Calibri"/>
                <w:sz w:val="16"/>
                <w:szCs w:val="16"/>
              </w:rPr>
              <w:t> </w:t>
            </w:r>
          </w:p>
        </w:tc>
        <w:tc>
          <w:tcPr>
            <w:tcW w:w="627" w:type="dxa"/>
            <w:noWrap/>
            <w:hideMark/>
          </w:tcPr>
          <w:p w:rsidRPr="00C12C6F" w:rsidR="00B52D66" w:rsidP="00FC2172" w:rsidRDefault="00B52D66" w14:paraId="2D7CCA46" w14:textId="77777777">
            <w:pPr>
              <w:spacing w:line="240" w:lineRule="auto"/>
              <w:jc w:val="right"/>
              <w:rPr>
                <w:rFonts w:cs="Calibri"/>
                <w:sz w:val="16"/>
                <w:szCs w:val="16"/>
                <w:lang w:val="en-GB" w:eastAsia="en-GB"/>
              </w:rPr>
            </w:pPr>
            <w:r w:rsidRPr="008E5EDC">
              <w:rPr>
                <w:rFonts w:cs="Calibri"/>
                <w:sz w:val="16"/>
                <w:szCs w:val="16"/>
              </w:rPr>
              <w:t>0</w:t>
            </w:r>
          </w:p>
        </w:tc>
        <w:tc>
          <w:tcPr>
            <w:tcW w:w="627" w:type="dxa"/>
            <w:noWrap/>
            <w:hideMark/>
          </w:tcPr>
          <w:p w:rsidRPr="00C12C6F" w:rsidR="00B52D66" w:rsidP="00FC2172" w:rsidRDefault="00B52D66" w14:paraId="2768A185" w14:textId="77777777">
            <w:pPr>
              <w:spacing w:line="240" w:lineRule="auto"/>
              <w:jc w:val="right"/>
              <w:rPr>
                <w:rFonts w:cs="Calibri"/>
                <w:sz w:val="16"/>
                <w:szCs w:val="16"/>
                <w:lang w:val="en-GB" w:eastAsia="en-GB"/>
              </w:rPr>
            </w:pPr>
            <w:r w:rsidRPr="008E5EDC">
              <w:rPr>
                <w:rFonts w:cs="Calibri"/>
                <w:sz w:val="16"/>
                <w:szCs w:val="16"/>
              </w:rPr>
              <w:t>0</w:t>
            </w:r>
          </w:p>
        </w:tc>
        <w:tc>
          <w:tcPr>
            <w:tcW w:w="627" w:type="dxa"/>
            <w:noWrap/>
            <w:hideMark/>
          </w:tcPr>
          <w:p w:rsidRPr="00C12C6F" w:rsidR="00B52D66" w:rsidP="00FC2172" w:rsidRDefault="00B52D66" w14:paraId="740926BB" w14:textId="77777777">
            <w:pPr>
              <w:spacing w:line="240" w:lineRule="auto"/>
              <w:jc w:val="right"/>
              <w:rPr>
                <w:rFonts w:cs="Calibri"/>
                <w:sz w:val="16"/>
                <w:szCs w:val="16"/>
                <w:lang w:val="en-GB" w:eastAsia="en-GB"/>
              </w:rPr>
            </w:pPr>
            <w:r w:rsidRPr="008E5EDC">
              <w:rPr>
                <w:rFonts w:cs="Calibri"/>
                <w:sz w:val="16"/>
                <w:szCs w:val="16"/>
              </w:rPr>
              <w:t>0</w:t>
            </w:r>
          </w:p>
        </w:tc>
        <w:tc>
          <w:tcPr>
            <w:tcW w:w="627" w:type="dxa"/>
            <w:noWrap/>
            <w:hideMark/>
          </w:tcPr>
          <w:p w:rsidRPr="00C12C6F" w:rsidR="00B52D66" w:rsidP="00FC2172" w:rsidRDefault="00B52D66" w14:paraId="1E1FD5B6" w14:textId="77777777">
            <w:pPr>
              <w:spacing w:line="240" w:lineRule="auto"/>
              <w:jc w:val="right"/>
              <w:rPr>
                <w:rFonts w:cs="Calibri"/>
                <w:sz w:val="16"/>
                <w:szCs w:val="16"/>
                <w:lang w:val="en-GB" w:eastAsia="en-GB"/>
              </w:rPr>
            </w:pPr>
            <w:r w:rsidRPr="008E5EDC">
              <w:rPr>
                <w:rFonts w:cs="Calibri"/>
                <w:sz w:val="16"/>
                <w:szCs w:val="16"/>
              </w:rPr>
              <w:t> </w:t>
            </w:r>
          </w:p>
        </w:tc>
        <w:tc>
          <w:tcPr>
            <w:tcW w:w="647" w:type="dxa"/>
            <w:noWrap/>
            <w:hideMark/>
          </w:tcPr>
          <w:p w:rsidRPr="00C12C6F" w:rsidR="00B52D66" w:rsidP="00FC2172" w:rsidRDefault="00B52D66" w14:paraId="465671AC" w14:textId="77777777">
            <w:pPr>
              <w:spacing w:line="240" w:lineRule="auto"/>
              <w:jc w:val="right"/>
              <w:rPr>
                <w:rFonts w:cs="Calibri"/>
                <w:sz w:val="16"/>
                <w:szCs w:val="16"/>
                <w:lang w:val="en-GB" w:eastAsia="en-GB"/>
              </w:rPr>
            </w:pPr>
            <w:r w:rsidRPr="008E5EDC">
              <w:rPr>
                <w:rFonts w:cs="Calibri"/>
                <w:sz w:val="16"/>
                <w:szCs w:val="16"/>
              </w:rPr>
              <w:t> </w:t>
            </w:r>
          </w:p>
        </w:tc>
        <w:tc>
          <w:tcPr>
            <w:tcW w:w="608" w:type="dxa"/>
            <w:noWrap/>
            <w:hideMark/>
          </w:tcPr>
          <w:p w:rsidRPr="00C12C6F" w:rsidR="00B52D66" w:rsidP="00FC2172" w:rsidRDefault="00B52D66" w14:paraId="7D53A30E" w14:textId="77777777">
            <w:pPr>
              <w:spacing w:line="240" w:lineRule="auto"/>
              <w:jc w:val="right"/>
              <w:rPr>
                <w:rFonts w:cs="Calibri"/>
                <w:sz w:val="16"/>
                <w:szCs w:val="16"/>
                <w:lang w:val="en-GB" w:eastAsia="en-GB"/>
              </w:rPr>
            </w:pPr>
            <w:r w:rsidRPr="008E5EDC">
              <w:rPr>
                <w:rFonts w:cs="Calibri"/>
                <w:sz w:val="16"/>
                <w:szCs w:val="16"/>
              </w:rPr>
              <w:t>0</w:t>
            </w:r>
          </w:p>
        </w:tc>
        <w:tc>
          <w:tcPr>
            <w:tcW w:w="621" w:type="dxa"/>
            <w:noWrap/>
            <w:hideMark/>
          </w:tcPr>
          <w:p w:rsidRPr="00C12C6F" w:rsidR="00B52D66" w:rsidP="00FC2172" w:rsidRDefault="00B52D66" w14:paraId="0CA34C8C" w14:textId="77777777">
            <w:pPr>
              <w:spacing w:line="240" w:lineRule="auto"/>
              <w:jc w:val="right"/>
              <w:rPr>
                <w:rFonts w:cs="Calibri"/>
                <w:sz w:val="16"/>
                <w:szCs w:val="16"/>
                <w:lang w:val="en-GB" w:eastAsia="en-GB"/>
              </w:rPr>
            </w:pPr>
            <w:r w:rsidRPr="008E5EDC">
              <w:rPr>
                <w:rFonts w:cs="Calibri"/>
                <w:sz w:val="16"/>
                <w:szCs w:val="16"/>
              </w:rPr>
              <w:t>0</w:t>
            </w:r>
          </w:p>
        </w:tc>
      </w:tr>
      <w:tr w:rsidRPr="008E5EDC" w:rsidR="00B52D66" w:rsidTr="00FC2172" w14:paraId="5264C7D3" w14:textId="77777777">
        <w:trPr>
          <w:trHeight w:val="290"/>
        </w:trPr>
        <w:tc>
          <w:tcPr>
            <w:tcW w:w="3095" w:type="dxa"/>
            <w:noWrap/>
            <w:hideMark/>
          </w:tcPr>
          <w:p w:rsidRPr="00C12C6F" w:rsidR="00B52D66" w:rsidP="00FC2172" w:rsidRDefault="00B52D66" w14:paraId="23CD6A51" w14:textId="77777777">
            <w:pPr>
              <w:spacing w:line="240" w:lineRule="auto"/>
              <w:rPr>
                <w:rFonts w:cs="Calibri"/>
                <w:sz w:val="16"/>
                <w:szCs w:val="16"/>
                <w:lang w:eastAsia="en-GB"/>
              </w:rPr>
            </w:pPr>
            <w:r w:rsidRPr="00C12C6F">
              <w:rPr>
                <w:rFonts w:cs="Calibri"/>
                <w:sz w:val="16"/>
                <w:szCs w:val="16"/>
                <w:lang w:eastAsia="en-GB"/>
              </w:rPr>
              <w:t>MVI</w:t>
            </w:r>
          </w:p>
        </w:tc>
        <w:tc>
          <w:tcPr>
            <w:tcW w:w="627" w:type="dxa"/>
            <w:noWrap/>
            <w:hideMark/>
          </w:tcPr>
          <w:p w:rsidRPr="00C12C6F" w:rsidR="00B52D66" w:rsidP="00FC2172" w:rsidRDefault="00B52D66" w14:paraId="1A745CCD" w14:textId="77777777">
            <w:pPr>
              <w:spacing w:line="240" w:lineRule="auto"/>
              <w:jc w:val="right"/>
              <w:rPr>
                <w:rFonts w:cs="Calibri"/>
                <w:sz w:val="16"/>
                <w:szCs w:val="16"/>
                <w:lang w:val="en-GB" w:eastAsia="en-GB"/>
              </w:rPr>
            </w:pPr>
            <w:r w:rsidRPr="008E5EDC">
              <w:rPr>
                <w:rFonts w:cs="Calibri"/>
                <w:sz w:val="16"/>
                <w:szCs w:val="16"/>
              </w:rPr>
              <w:t>2</w:t>
            </w:r>
          </w:p>
        </w:tc>
        <w:tc>
          <w:tcPr>
            <w:tcW w:w="627" w:type="dxa"/>
            <w:noWrap/>
            <w:hideMark/>
          </w:tcPr>
          <w:p w:rsidRPr="00C12C6F" w:rsidR="00B52D66" w:rsidP="00FC2172" w:rsidRDefault="00B52D66" w14:paraId="7D18E0DD" w14:textId="77777777">
            <w:pPr>
              <w:spacing w:line="240" w:lineRule="auto"/>
              <w:jc w:val="right"/>
              <w:rPr>
                <w:rFonts w:cs="Calibri"/>
                <w:sz w:val="16"/>
                <w:szCs w:val="16"/>
                <w:lang w:val="en-GB" w:eastAsia="en-GB"/>
              </w:rPr>
            </w:pPr>
            <w:r w:rsidRPr="008E5EDC">
              <w:rPr>
                <w:rFonts w:cs="Calibri"/>
                <w:sz w:val="16"/>
                <w:szCs w:val="16"/>
              </w:rPr>
              <w:t>1</w:t>
            </w:r>
          </w:p>
        </w:tc>
        <w:tc>
          <w:tcPr>
            <w:tcW w:w="627" w:type="dxa"/>
            <w:shd w:val="clear" w:color="auto" w:fill="D9D9D9" w:themeFill="background1" w:themeFillShade="D9"/>
            <w:noWrap/>
            <w:hideMark/>
          </w:tcPr>
          <w:p w:rsidRPr="00C12C6F" w:rsidR="00B52D66" w:rsidP="00FC2172" w:rsidRDefault="00B52D66" w14:paraId="3E77678F" w14:textId="77777777">
            <w:pPr>
              <w:spacing w:line="240" w:lineRule="auto"/>
              <w:jc w:val="right"/>
              <w:rPr>
                <w:rFonts w:cs="Calibri"/>
                <w:color w:val="000000"/>
                <w:sz w:val="16"/>
                <w:szCs w:val="16"/>
                <w:lang w:val="en-GB" w:eastAsia="en-GB"/>
              </w:rPr>
            </w:pPr>
            <w:r w:rsidRPr="008E5EDC">
              <w:rPr>
                <w:rFonts w:cs="Calibri"/>
                <w:sz w:val="16"/>
                <w:szCs w:val="16"/>
              </w:rPr>
              <w:t>78</w:t>
            </w:r>
          </w:p>
        </w:tc>
        <w:tc>
          <w:tcPr>
            <w:tcW w:w="627" w:type="dxa"/>
            <w:noWrap/>
            <w:hideMark/>
          </w:tcPr>
          <w:p w:rsidRPr="00C12C6F" w:rsidR="00B52D66" w:rsidP="00FC2172" w:rsidRDefault="00B52D66" w14:paraId="05CCBABC" w14:textId="77777777">
            <w:pPr>
              <w:spacing w:line="240" w:lineRule="auto"/>
              <w:jc w:val="right"/>
              <w:rPr>
                <w:rFonts w:cs="Calibri"/>
                <w:sz w:val="16"/>
                <w:szCs w:val="16"/>
                <w:lang w:val="en-GB" w:eastAsia="en-GB"/>
              </w:rPr>
            </w:pPr>
            <w:r w:rsidRPr="008E5EDC">
              <w:rPr>
                <w:rFonts w:cs="Calibri"/>
                <w:sz w:val="16"/>
                <w:szCs w:val="16"/>
              </w:rPr>
              <w:t>1</w:t>
            </w:r>
          </w:p>
        </w:tc>
        <w:tc>
          <w:tcPr>
            <w:tcW w:w="627" w:type="dxa"/>
            <w:noWrap/>
            <w:hideMark/>
          </w:tcPr>
          <w:p w:rsidRPr="00C12C6F" w:rsidR="00B52D66" w:rsidP="00FC2172" w:rsidRDefault="00B52D66" w14:paraId="1A247359" w14:textId="77777777">
            <w:pPr>
              <w:spacing w:line="240" w:lineRule="auto"/>
              <w:jc w:val="right"/>
              <w:rPr>
                <w:rFonts w:cs="Calibri"/>
                <w:sz w:val="16"/>
                <w:szCs w:val="16"/>
                <w:lang w:val="en-GB" w:eastAsia="en-GB"/>
              </w:rPr>
            </w:pPr>
            <w:r w:rsidRPr="008E5EDC">
              <w:rPr>
                <w:rFonts w:cs="Calibri"/>
                <w:sz w:val="16"/>
                <w:szCs w:val="16"/>
              </w:rPr>
              <w:t>2</w:t>
            </w:r>
          </w:p>
        </w:tc>
        <w:tc>
          <w:tcPr>
            <w:tcW w:w="627" w:type="dxa"/>
            <w:noWrap/>
            <w:hideMark/>
          </w:tcPr>
          <w:p w:rsidRPr="00C12C6F" w:rsidR="00B52D66" w:rsidP="00FC2172" w:rsidRDefault="00B52D66" w14:paraId="0369E7E4" w14:textId="77777777">
            <w:pPr>
              <w:spacing w:line="240" w:lineRule="auto"/>
              <w:jc w:val="right"/>
              <w:rPr>
                <w:rFonts w:cs="Calibri"/>
                <w:sz w:val="16"/>
                <w:szCs w:val="16"/>
                <w:lang w:val="en-GB" w:eastAsia="en-GB"/>
              </w:rPr>
            </w:pPr>
            <w:r w:rsidRPr="008E5EDC">
              <w:rPr>
                <w:rFonts w:cs="Calibri"/>
                <w:sz w:val="16"/>
                <w:szCs w:val="16"/>
              </w:rPr>
              <w:t>11</w:t>
            </w:r>
          </w:p>
        </w:tc>
        <w:tc>
          <w:tcPr>
            <w:tcW w:w="627" w:type="dxa"/>
            <w:noWrap/>
            <w:hideMark/>
          </w:tcPr>
          <w:p w:rsidRPr="00C12C6F" w:rsidR="00B52D66" w:rsidP="00FC2172" w:rsidRDefault="00B52D66" w14:paraId="10F1BF0B" w14:textId="77777777">
            <w:pPr>
              <w:spacing w:line="240" w:lineRule="auto"/>
              <w:jc w:val="right"/>
              <w:rPr>
                <w:rFonts w:cs="Calibri"/>
                <w:sz w:val="16"/>
                <w:szCs w:val="16"/>
                <w:lang w:val="en-GB" w:eastAsia="en-GB"/>
              </w:rPr>
            </w:pPr>
            <w:r w:rsidRPr="008E5EDC">
              <w:rPr>
                <w:rFonts w:cs="Calibri"/>
                <w:sz w:val="16"/>
                <w:szCs w:val="16"/>
              </w:rPr>
              <w:t>4</w:t>
            </w:r>
          </w:p>
        </w:tc>
        <w:tc>
          <w:tcPr>
            <w:tcW w:w="647" w:type="dxa"/>
            <w:noWrap/>
            <w:hideMark/>
          </w:tcPr>
          <w:p w:rsidRPr="00C12C6F" w:rsidR="00B52D66" w:rsidP="00FC2172" w:rsidRDefault="00B52D66" w14:paraId="253AB8BA" w14:textId="77777777">
            <w:pPr>
              <w:spacing w:line="240" w:lineRule="auto"/>
              <w:jc w:val="right"/>
              <w:rPr>
                <w:rFonts w:cs="Calibri"/>
                <w:sz w:val="16"/>
                <w:szCs w:val="16"/>
                <w:lang w:val="en-GB" w:eastAsia="en-GB"/>
              </w:rPr>
            </w:pPr>
            <w:r w:rsidRPr="008E5EDC">
              <w:rPr>
                <w:rFonts w:cs="Calibri"/>
                <w:sz w:val="16"/>
                <w:szCs w:val="16"/>
              </w:rPr>
              <w:t>4</w:t>
            </w:r>
          </w:p>
        </w:tc>
        <w:tc>
          <w:tcPr>
            <w:tcW w:w="608" w:type="dxa"/>
            <w:noWrap/>
            <w:hideMark/>
          </w:tcPr>
          <w:p w:rsidRPr="00C12C6F" w:rsidR="00B52D66" w:rsidP="00FC2172" w:rsidRDefault="00B52D66" w14:paraId="58CD8618" w14:textId="77777777">
            <w:pPr>
              <w:spacing w:line="240" w:lineRule="auto"/>
              <w:jc w:val="right"/>
              <w:rPr>
                <w:rFonts w:cs="Calibri"/>
                <w:sz w:val="16"/>
                <w:szCs w:val="16"/>
                <w:lang w:val="en-GB" w:eastAsia="en-GB"/>
              </w:rPr>
            </w:pPr>
            <w:r w:rsidRPr="008E5EDC">
              <w:rPr>
                <w:rFonts w:cs="Calibri"/>
                <w:sz w:val="16"/>
                <w:szCs w:val="16"/>
              </w:rPr>
              <w:t>1</w:t>
            </w:r>
          </w:p>
        </w:tc>
        <w:tc>
          <w:tcPr>
            <w:tcW w:w="621" w:type="dxa"/>
            <w:noWrap/>
            <w:hideMark/>
          </w:tcPr>
          <w:p w:rsidRPr="00C12C6F" w:rsidR="00B52D66" w:rsidP="00FC2172" w:rsidRDefault="00B52D66" w14:paraId="5F9E2E58" w14:textId="77777777">
            <w:pPr>
              <w:spacing w:line="240" w:lineRule="auto"/>
              <w:jc w:val="right"/>
              <w:rPr>
                <w:rFonts w:cs="Calibri"/>
                <w:sz w:val="16"/>
                <w:szCs w:val="16"/>
                <w:lang w:val="en-GB" w:eastAsia="en-GB"/>
              </w:rPr>
            </w:pPr>
            <w:r w:rsidRPr="008E5EDC">
              <w:rPr>
                <w:rFonts w:cs="Calibri"/>
                <w:sz w:val="16"/>
                <w:szCs w:val="16"/>
              </w:rPr>
              <w:t>2</w:t>
            </w:r>
          </w:p>
        </w:tc>
      </w:tr>
      <w:tr w:rsidRPr="008E5EDC" w:rsidR="00B52D66" w:rsidTr="00FC2172" w14:paraId="5619E4C1" w14:textId="77777777">
        <w:trPr>
          <w:trHeight w:val="290"/>
        </w:trPr>
        <w:tc>
          <w:tcPr>
            <w:tcW w:w="3095" w:type="dxa"/>
            <w:noWrap/>
            <w:hideMark/>
          </w:tcPr>
          <w:p w:rsidRPr="00C12C6F" w:rsidR="00B52D66" w:rsidP="00FC2172" w:rsidRDefault="00B52D66" w14:paraId="7F52CC08" w14:textId="77777777">
            <w:pPr>
              <w:spacing w:line="240" w:lineRule="auto"/>
              <w:rPr>
                <w:rFonts w:cs="Calibri"/>
                <w:sz w:val="16"/>
                <w:szCs w:val="16"/>
                <w:lang w:eastAsia="en-GB"/>
              </w:rPr>
            </w:pPr>
            <w:r w:rsidRPr="00C12C6F">
              <w:rPr>
                <w:rFonts w:cs="Calibri"/>
                <w:sz w:val="16"/>
                <w:szCs w:val="16"/>
                <w:lang w:eastAsia="en-GB"/>
              </w:rPr>
              <w:t>M&amp;T</w:t>
            </w:r>
          </w:p>
        </w:tc>
        <w:tc>
          <w:tcPr>
            <w:tcW w:w="627" w:type="dxa"/>
            <w:noWrap/>
            <w:hideMark/>
          </w:tcPr>
          <w:p w:rsidRPr="00C12C6F" w:rsidR="00B52D66" w:rsidP="00FC2172" w:rsidRDefault="00B52D66" w14:paraId="266A3BB4" w14:textId="77777777">
            <w:pPr>
              <w:spacing w:line="240" w:lineRule="auto"/>
              <w:jc w:val="right"/>
              <w:rPr>
                <w:rFonts w:cs="Calibri"/>
                <w:sz w:val="16"/>
                <w:szCs w:val="16"/>
                <w:lang w:val="en-GB" w:eastAsia="en-GB"/>
              </w:rPr>
            </w:pPr>
            <w:r w:rsidRPr="008E5EDC">
              <w:rPr>
                <w:rFonts w:cs="Calibri"/>
                <w:sz w:val="16"/>
                <w:szCs w:val="16"/>
              </w:rPr>
              <w:t>1</w:t>
            </w:r>
          </w:p>
        </w:tc>
        <w:tc>
          <w:tcPr>
            <w:tcW w:w="627" w:type="dxa"/>
            <w:noWrap/>
            <w:hideMark/>
          </w:tcPr>
          <w:p w:rsidRPr="00C12C6F" w:rsidR="00B52D66" w:rsidP="00FC2172" w:rsidRDefault="00B52D66" w14:paraId="54813857" w14:textId="77777777">
            <w:pPr>
              <w:spacing w:line="240" w:lineRule="auto"/>
              <w:jc w:val="right"/>
              <w:rPr>
                <w:rFonts w:cs="Calibri"/>
                <w:sz w:val="16"/>
                <w:szCs w:val="16"/>
                <w:lang w:val="en-GB" w:eastAsia="en-GB"/>
              </w:rPr>
            </w:pPr>
            <w:r w:rsidRPr="008E5EDC">
              <w:rPr>
                <w:rFonts w:cs="Calibri"/>
                <w:sz w:val="16"/>
                <w:szCs w:val="16"/>
              </w:rPr>
              <w:t>7</w:t>
            </w:r>
          </w:p>
        </w:tc>
        <w:tc>
          <w:tcPr>
            <w:tcW w:w="627" w:type="dxa"/>
            <w:noWrap/>
            <w:hideMark/>
          </w:tcPr>
          <w:p w:rsidRPr="00C12C6F" w:rsidR="00B52D66" w:rsidP="00FC2172" w:rsidRDefault="00B52D66" w14:paraId="7C5B342C" w14:textId="77777777">
            <w:pPr>
              <w:spacing w:line="240" w:lineRule="auto"/>
              <w:jc w:val="right"/>
              <w:rPr>
                <w:rFonts w:cs="Calibri"/>
                <w:sz w:val="16"/>
                <w:szCs w:val="16"/>
                <w:lang w:val="en-GB" w:eastAsia="en-GB"/>
              </w:rPr>
            </w:pPr>
            <w:r w:rsidRPr="008E5EDC">
              <w:rPr>
                <w:rFonts w:cs="Calibri"/>
                <w:sz w:val="16"/>
                <w:szCs w:val="16"/>
              </w:rPr>
              <w:t>0</w:t>
            </w:r>
          </w:p>
        </w:tc>
        <w:tc>
          <w:tcPr>
            <w:tcW w:w="627" w:type="dxa"/>
            <w:shd w:val="clear" w:color="auto" w:fill="D9D9D9" w:themeFill="background1" w:themeFillShade="D9"/>
            <w:noWrap/>
            <w:hideMark/>
          </w:tcPr>
          <w:p w:rsidRPr="00C12C6F" w:rsidR="00B52D66" w:rsidP="00FC2172" w:rsidRDefault="00B52D66" w14:paraId="51ED82A1" w14:textId="77777777">
            <w:pPr>
              <w:spacing w:line="240" w:lineRule="auto"/>
              <w:jc w:val="right"/>
              <w:rPr>
                <w:rFonts w:cs="Calibri"/>
                <w:color w:val="000000"/>
                <w:sz w:val="16"/>
                <w:szCs w:val="16"/>
                <w:lang w:val="en-GB" w:eastAsia="en-GB"/>
              </w:rPr>
            </w:pPr>
            <w:r w:rsidRPr="008E5EDC">
              <w:rPr>
                <w:rFonts w:cs="Calibri"/>
                <w:sz w:val="16"/>
                <w:szCs w:val="16"/>
              </w:rPr>
              <w:t>83</w:t>
            </w:r>
          </w:p>
        </w:tc>
        <w:tc>
          <w:tcPr>
            <w:tcW w:w="627" w:type="dxa"/>
            <w:noWrap/>
            <w:hideMark/>
          </w:tcPr>
          <w:p w:rsidRPr="00C12C6F" w:rsidR="00B52D66" w:rsidP="00FC2172" w:rsidRDefault="00B52D66" w14:paraId="1FB94411" w14:textId="77777777">
            <w:pPr>
              <w:spacing w:line="240" w:lineRule="auto"/>
              <w:jc w:val="right"/>
              <w:rPr>
                <w:rFonts w:cs="Calibri"/>
                <w:sz w:val="16"/>
                <w:szCs w:val="16"/>
                <w:lang w:val="en-GB" w:eastAsia="en-GB"/>
              </w:rPr>
            </w:pPr>
            <w:r w:rsidRPr="008E5EDC">
              <w:rPr>
                <w:rFonts w:cs="Calibri"/>
                <w:sz w:val="16"/>
                <w:szCs w:val="16"/>
              </w:rPr>
              <w:t>4</w:t>
            </w:r>
          </w:p>
        </w:tc>
        <w:tc>
          <w:tcPr>
            <w:tcW w:w="627" w:type="dxa"/>
            <w:noWrap/>
            <w:hideMark/>
          </w:tcPr>
          <w:p w:rsidRPr="00C12C6F" w:rsidR="00B52D66" w:rsidP="00FC2172" w:rsidRDefault="00B52D66" w14:paraId="2174F108" w14:textId="77777777">
            <w:pPr>
              <w:spacing w:line="240" w:lineRule="auto"/>
              <w:jc w:val="right"/>
              <w:rPr>
                <w:rFonts w:cs="Calibri"/>
                <w:sz w:val="16"/>
                <w:szCs w:val="16"/>
                <w:lang w:val="en-GB" w:eastAsia="en-GB"/>
              </w:rPr>
            </w:pPr>
            <w:r w:rsidRPr="008E5EDC">
              <w:rPr>
                <w:rFonts w:cs="Calibri"/>
                <w:sz w:val="16"/>
                <w:szCs w:val="16"/>
              </w:rPr>
              <w:t>1</w:t>
            </w:r>
          </w:p>
        </w:tc>
        <w:tc>
          <w:tcPr>
            <w:tcW w:w="627" w:type="dxa"/>
            <w:noWrap/>
            <w:hideMark/>
          </w:tcPr>
          <w:p w:rsidRPr="00C12C6F" w:rsidR="00B52D66" w:rsidP="00FC2172" w:rsidRDefault="00B52D66" w14:paraId="1E4F83DE" w14:textId="77777777">
            <w:pPr>
              <w:spacing w:line="240" w:lineRule="auto"/>
              <w:jc w:val="right"/>
              <w:rPr>
                <w:rFonts w:cs="Calibri"/>
                <w:sz w:val="16"/>
                <w:szCs w:val="16"/>
                <w:lang w:val="en-GB" w:eastAsia="en-GB"/>
              </w:rPr>
            </w:pPr>
            <w:r w:rsidRPr="008E5EDC">
              <w:rPr>
                <w:rFonts w:cs="Calibri"/>
                <w:sz w:val="16"/>
                <w:szCs w:val="16"/>
              </w:rPr>
              <w:t>1</w:t>
            </w:r>
          </w:p>
        </w:tc>
        <w:tc>
          <w:tcPr>
            <w:tcW w:w="647" w:type="dxa"/>
            <w:noWrap/>
            <w:hideMark/>
          </w:tcPr>
          <w:p w:rsidRPr="00C12C6F" w:rsidR="00B52D66" w:rsidP="00FC2172" w:rsidRDefault="00B52D66" w14:paraId="6B82ABD2" w14:textId="77777777">
            <w:pPr>
              <w:spacing w:line="240" w:lineRule="auto"/>
              <w:jc w:val="right"/>
              <w:rPr>
                <w:rFonts w:cs="Calibri"/>
                <w:sz w:val="16"/>
                <w:szCs w:val="16"/>
                <w:lang w:val="en-GB" w:eastAsia="en-GB"/>
              </w:rPr>
            </w:pPr>
            <w:r w:rsidRPr="008E5EDC">
              <w:rPr>
                <w:rFonts w:cs="Calibri"/>
                <w:sz w:val="16"/>
                <w:szCs w:val="16"/>
              </w:rPr>
              <w:t>1</w:t>
            </w:r>
          </w:p>
        </w:tc>
        <w:tc>
          <w:tcPr>
            <w:tcW w:w="608" w:type="dxa"/>
            <w:noWrap/>
            <w:hideMark/>
          </w:tcPr>
          <w:p w:rsidRPr="00C12C6F" w:rsidR="00B52D66" w:rsidP="00FC2172" w:rsidRDefault="00B52D66" w14:paraId="0F067EC5" w14:textId="77777777">
            <w:pPr>
              <w:spacing w:line="240" w:lineRule="auto"/>
              <w:jc w:val="right"/>
              <w:rPr>
                <w:rFonts w:cs="Calibri"/>
                <w:sz w:val="16"/>
                <w:szCs w:val="16"/>
                <w:lang w:val="en-GB" w:eastAsia="en-GB"/>
              </w:rPr>
            </w:pPr>
            <w:r w:rsidRPr="008E5EDC">
              <w:rPr>
                <w:rFonts w:cs="Calibri"/>
                <w:sz w:val="16"/>
                <w:szCs w:val="16"/>
              </w:rPr>
              <w:t>0</w:t>
            </w:r>
          </w:p>
        </w:tc>
        <w:tc>
          <w:tcPr>
            <w:tcW w:w="621" w:type="dxa"/>
            <w:noWrap/>
            <w:hideMark/>
          </w:tcPr>
          <w:p w:rsidRPr="00C12C6F" w:rsidR="00B52D66" w:rsidP="00FC2172" w:rsidRDefault="00B52D66" w14:paraId="0739F934" w14:textId="77777777">
            <w:pPr>
              <w:spacing w:line="240" w:lineRule="auto"/>
              <w:jc w:val="right"/>
              <w:rPr>
                <w:rFonts w:cs="Calibri"/>
                <w:sz w:val="16"/>
                <w:szCs w:val="16"/>
                <w:lang w:val="en-GB" w:eastAsia="en-GB"/>
              </w:rPr>
            </w:pPr>
            <w:r w:rsidRPr="008E5EDC">
              <w:rPr>
                <w:rFonts w:cs="Calibri"/>
                <w:sz w:val="16"/>
                <w:szCs w:val="16"/>
              </w:rPr>
              <w:t>0</w:t>
            </w:r>
          </w:p>
        </w:tc>
      </w:tr>
      <w:tr w:rsidRPr="008E5EDC" w:rsidR="00B52D66" w:rsidTr="00FC2172" w14:paraId="27B706A8" w14:textId="77777777">
        <w:trPr>
          <w:trHeight w:val="290"/>
        </w:trPr>
        <w:tc>
          <w:tcPr>
            <w:tcW w:w="3095" w:type="dxa"/>
            <w:noWrap/>
            <w:hideMark/>
          </w:tcPr>
          <w:p w:rsidRPr="00C12C6F" w:rsidR="00B52D66" w:rsidP="00FC2172" w:rsidRDefault="00B52D66" w14:paraId="3A69A80A" w14:textId="77777777">
            <w:pPr>
              <w:spacing w:line="240" w:lineRule="auto"/>
              <w:rPr>
                <w:rFonts w:cs="Calibri"/>
                <w:sz w:val="16"/>
                <w:szCs w:val="16"/>
                <w:lang w:eastAsia="en-GB"/>
              </w:rPr>
            </w:pPr>
            <w:r w:rsidRPr="00C12C6F">
              <w:rPr>
                <w:rFonts w:cs="Calibri"/>
                <w:sz w:val="16"/>
                <w:szCs w:val="16"/>
                <w:lang w:eastAsia="en-GB"/>
              </w:rPr>
              <w:t>PIE</w:t>
            </w:r>
          </w:p>
        </w:tc>
        <w:tc>
          <w:tcPr>
            <w:tcW w:w="627" w:type="dxa"/>
            <w:noWrap/>
            <w:hideMark/>
          </w:tcPr>
          <w:p w:rsidRPr="00C12C6F" w:rsidR="00B52D66" w:rsidP="00FC2172" w:rsidRDefault="00B52D66" w14:paraId="02605F01" w14:textId="77777777">
            <w:pPr>
              <w:spacing w:line="240" w:lineRule="auto"/>
              <w:jc w:val="right"/>
              <w:rPr>
                <w:rFonts w:cs="Calibri"/>
                <w:sz w:val="16"/>
                <w:szCs w:val="16"/>
                <w:lang w:val="en-GB" w:eastAsia="en-GB"/>
              </w:rPr>
            </w:pPr>
            <w:r w:rsidRPr="008E5EDC">
              <w:rPr>
                <w:rFonts w:cs="Calibri"/>
                <w:sz w:val="16"/>
                <w:szCs w:val="16"/>
              </w:rPr>
              <w:t>5</w:t>
            </w:r>
          </w:p>
        </w:tc>
        <w:tc>
          <w:tcPr>
            <w:tcW w:w="627" w:type="dxa"/>
            <w:noWrap/>
            <w:hideMark/>
          </w:tcPr>
          <w:p w:rsidRPr="00C12C6F" w:rsidR="00B52D66" w:rsidP="00FC2172" w:rsidRDefault="00B52D66" w14:paraId="462954E6" w14:textId="77777777">
            <w:pPr>
              <w:spacing w:line="240" w:lineRule="auto"/>
              <w:jc w:val="right"/>
              <w:rPr>
                <w:rFonts w:cs="Calibri"/>
                <w:sz w:val="16"/>
                <w:szCs w:val="16"/>
                <w:lang w:val="en-GB" w:eastAsia="en-GB"/>
              </w:rPr>
            </w:pPr>
            <w:r w:rsidRPr="008E5EDC">
              <w:rPr>
                <w:rFonts w:cs="Calibri"/>
                <w:sz w:val="16"/>
                <w:szCs w:val="16"/>
              </w:rPr>
              <w:t> </w:t>
            </w:r>
          </w:p>
        </w:tc>
        <w:tc>
          <w:tcPr>
            <w:tcW w:w="627" w:type="dxa"/>
            <w:noWrap/>
            <w:hideMark/>
          </w:tcPr>
          <w:p w:rsidRPr="00C12C6F" w:rsidR="00B52D66" w:rsidP="00FC2172" w:rsidRDefault="00B52D66" w14:paraId="3AAAC37D" w14:textId="77777777">
            <w:pPr>
              <w:spacing w:line="240" w:lineRule="auto"/>
              <w:jc w:val="right"/>
              <w:rPr>
                <w:rFonts w:cs="Calibri"/>
                <w:sz w:val="16"/>
                <w:szCs w:val="16"/>
                <w:lang w:val="en-GB" w:eastAsia="en-GB"/>
              </w:rPr>
            </w:pPr>
            <w:r w:rsidRPr="008E5EDC">
              <w:rPr>
                <w:rFonts w:cs="Calibri"/>
                <w:sz w:val="16"/>
                <w:szCs w:val="16"/>
              </w:rPr>
              <w:t>2</w:t>
            </w:r>
          </w:p>
        </w:tc>
        <w:tc>
          <w:tcPr>
            <w:tcW w:w="627" w:type="dxa"/>
            <w:noWrap/>
            <w:hideMark/>
          </w:tcPr>
          <w:p w:rsidRPr="00C12C6F" w:rsidR="00B52D66" w:rsidP="00FC2172" w:rsidRDefault="00B52D66" w14:paraId="441A6B46" w14:textId="77777777">
            <w:pPr>
              <w:spacing w:line="240" w:lineRule="auto"/>
              <w:jc w:val="right"/>
              <w:rPr>
                <w:rFonts w:cs="Calibri"/>
                <w:sz w:val="16"/>
                <w:szCs w:val="16"/>
                <w:lang w:val="en-GB" w:eastAsia="en-GB"/>
              </w:rPr>
            </w:pPr>
            <w:r w:rsidRPr="008E5EDC">
              <w:rPr>
                <w:rFonts w:cs="Calibri"/>
                <w:sz w:val="16"/>
                <w:szCs w:val="16"/>
              </w:rPr>
              <w:t>7</w:t>
            </w:r>
          </w:p>
        </w:tc>
        <w:tc>
          <w:tcPr>
            <w:tcW w:w="627" w:type="dxa"/>
            <w:shd w:val="clear" w:color="auto" w:fill="D9D9D9" w:themeFill="background1" w:themeFillShade="D9"/>
            <w:noWrap/>
            <w:hideMark/>
          </w:tcPr>
          <w:p w:rsidRPr="00C12C6F" w:rsidR="00B52D66" w:rsidP="00FC2172" w:rsidRDefault="00B52D66" w14:paraId="4492469A" w14:textId="77777777">
            <w:pPr>
              <w:spacing w:line="240" w:lineRule="auto"/>
              <w:jc w:val="right"/>
              <w:rPr>
                <w:rFonts w:cs="Calibri"/>
                <w:color w:val="000000"/>
                <w:sz w:val="16"/>
                <w:szCs w:val="16"/>
                <w:lang w:val="en-GB" w:eastAsia="en-GB"/>
              </w:rPr>
            </w:pPr>
            <w:r w:rsidRPr="008E5EDC">
              <w:rPr>
                <w:rFonts w:cs="Calibri"/>
                <w:sz w:val="16"/>
                <w:szCs w:val="16"/>
              </w:rPr>
              <w:t>79</w:t>
            </w:r>
          </w:p>
        </w:tc>
        <w:tc>
          <w:tcPr>
            <w:tcW w:w="627" w:type="dxa"/>
            <w:noWrap/>
            <w:hideMark/>
          </w:tcPr>
          <w:p w:rsidRPr="00C12C6F" w:rsidR="00B52D66" w:rsidP="00FC2172" w:rsidRDefault="00B52D66" w14:paraId="3AAB6A8C" w14:textId="77777777">
            <w:pPr>
              <w:spacing w:line="240" w:lineRule="auto"/>
              <w:jc w:val="right"/>
              <w:rPr>
                <w:rFonts w:cs="Calibri"/>
                <w:sz w:val="16"/>
                <w:szCs w:val="16"/>
                <w:lang w:val="en-GB" w:eastAsia="en-GB"/>
              </w:rPr>
            </w:pPr>
            <w:r w:rsidRPr="008E5EDC">
              <w:rPr>
                <w:rFonts w:cs="Calibri"/>
                <w:sz w:val="16"/>
                <w:szCs w:val="16"/>
              </w:rPr>
              <w:t>4</w:t>
            </w:r>
          </w:p>
        </w:tc>
        <w:tc>
          <w:tcPr>
            <w:tcW w:w="627" w:type="dxa"/>
            <w:noWrap/>
            <w:hideMark/>
          </w:tcPr>
          <w:p w:rsidRPr="00C12C6F" w:rsidR="00B52D66" w:rsidP="00FC2172" w:rsidRDefault="00B52D66" w14:paraId="5D234636" w14:textId="77777777">
            <w:pPr>
              <w:spacing w:line="240" w:lineRule="auto"/>
              <w:jc w:val="right"/>
              <w:rPr>
                <w:rFonts w:cs="Calibri"/>
                <w:sz w:val="16"/>
                <w:szCs w:val="16"/>
                <w:lang w:val="en-GB" w:eastAsia="en-GB"/>
              </w:rPr>
            </w:pPr>
            <w:r w:rsidRPr="008E5EDC">
              <w:rPr>
                <w:rFonts w:cs="Calibri"/>
                <w:sz w:val="16"/>
                <w:szCs w:val="16"/>
              </w:rPr>
              <w:t>1</w:t>
            </w:r>
          </w:p>
        </w:tc>
        <w:tc>
          <w:tcPr>
            <w:tcW w:w="647" w:type="dxa"/>
            <w:noWrap/>
            <w:hideMark/>
          </w:tcPr>
          <w:p w:rsidRPr="00C12C6F" w:rsidR="00B52D66" w:rsidP="00FC2172" w:rsidRDefault="00B52D66" w14:paraId="2D497F27" w14:textId="77777777">
            <w:pPr>
              <w:spacing w:line="240" w:lineRule="auto"/>
              <w:jc w:val="right"/>
              <w:rPr>
                <w:rFonts w:cs="Calibri"/>
                <w:sz w:val="16"/>
                <w:szCs w:val="16"/>
                <w:lang w:val="en-GB" w:eastAsia="en-GB"/>
              </w:rPr>
            </w:pPr>
            <w:r w:rsidRPr="008E5EDC">
              <w:rPr>
                <w:rFonts w:cs="Calibri"/>
                <w:sz w:val="16"/>
                <w:szCs w:val="16"/>
              </w:rPr>
              <w:t>3</w:t>
            </w:r>
          </w:p>
        </w:tc>
        <w:tc>
          <w:tcPr>
            <w:tcW w:w="608" w:type="dxa"/>
            <w:noWrap/>
            <w:hideMark/>
          </w:tcPr>
          <w:p w:rsidRPr="00C12C6F" w:rsidR="00B52D66" w:rsidP="00FC2172" w:rsidRDefault="00B52D66" w14:paraId="779FC678" w14:textId="77777777">
            <w:pPr>
              <w:spacing w:line="240" w:lineRule="auto"/>
              <w:jc w:val="right"/>
              <w:rPr>
                <w:rFonts w:cs="Calibri"/>
                <w:sz w:val="16"/>
                <w:szCs w:val="16"/>
                <w:lang w:val="en-GB" w:eastAsia="en-GB"/>
              </w:rPr>
            </w:pPr>
            <w:r w:rsidRPr="008E5EDC">
              <w:rPr>
                <w:rFonts w:cs="Calibri"/>
                <w:sz w:val="16"/>
                <w:szCs w:val="16"/>
              </w:rPr>
              <w:t>0</w:t>
            </w:r>
          </w:p>
        </w:tc>
        <w:tc>
          <w:tcPr>
            <w:tcW w:w="621" w:type="dxa"/>
            <w:noWrap/>
            <w:hideMark/>
          </w:tcPr>
          <w:p w:rsidRPr="00C12C6F" w:rsidR="00B52D66" w:rsidP="00FC2172" w:rsidRDefault="00B52D66" w14:paraId="478DD87D" w14:textId="77777777">
            <w:pPr>
              <w:spacing w:line="240" w:lineRule="auto"/>
              <w:jc w:val="right"/>
              <w:rPr>
                <w:rFonts w:cs="Calibri"/>
                <w:sz w:val="16"/>
                <w:szCs w:val="16"/>
                <w:lang w:val="en-GB" w:eastAsia="en-GB"/>
              </w:rPr>
            </w:pPr>
            <w:r w:rsidRPr="008E5EDC">
              <w:rPr>
                <w:rFonts w:cs="Calibri"/>
                <w:sz w:val="16"/>
                <w:szCs w:val="16"/>
              </w:rPr>
              <w:t>0</w:t>
            </w:r>
          </w:p>
        </w:tc>
      </w:tr>
      <w:tr w:rsidRPr="008E5EDC" w:rsidR="00B52D66" w:rsidTr="00FC2172" w14:paraId="49AE0271" w14:textId="77777777">
        <w:trPr>
          <w:trHeight w:val="290"/>
        </w:trPr>
        <w:tc>
          <w:tcPr>
            <w:tcW w:w="3095" w:type="dxa"/>
            <w:noWrap/>
            <w:hideMark/>
          </w:tcPr>
          <w:p w:rsidRPr="00C12C6F" w:rsidR="00B52D66" w:rsidP="00FC2172" w:rsidRDefault="00B52D66" w14:paraId="33872D4E" w14:textId="77777777">
            <w:pPr>
              <w:spacing w:line="240" w:lineRule="auto"/>
              <w:rPr>
                <w:rFonts w:cs="Calibri"/>
                <w:sz w:val="16"/>
                <w:szCs w:val="16"/>
                <w:lang w:eastAsia="en-GB"/>
              </w:rPr>
            </w:pPr>
            <w:r w:rsidRPr="00C12C6F">
              <w:rPr>
                <w:rFonts w:cs="Calibri"/>
                <w:sz w:val="16"/>
                <w:szCs w:val="16"/>
                <w:lang w:eastAsia="en-GB"/>
              </w:rPr>
              <w:t>D&amp;P</w:t>
            </w:r>
          </w:p>
        </w:tc>
        <w:tc>
          <w:tcPr>
            <w:tcW w:w="627" w:type="dxa"/>
            <w:noWrap/>
            <w:hideMark/>
          </w:tcPr>
          <w:p w:rsidRPr="00C12C6F" w:rsidR="00B52D66" w:rsidP="00FC2172" w:rsidRDefault="00B52D66" w14:paraId="63E1CDBE" w14:textId="77777777">
            <w:pPr>
              <w:spacing w:line="240" w:lineRule="auto"/>
              <w:jc w:val="right"/>
              <w:rPr>
                <w:rFonts w:cs="Calibri"/>
                <w:sz w:val="16"/>
                <w:szCs w:val="16"/>
                <w:lang w:val="en-GB" w:eastAsia="en-GB"/>
              </w:rPr>
            </w:pPr>
            <w:r w:rsidRPr="008E5EDC">
              <w:rPr>
                <w:rFonts w:cs="Calibri"/>
                <w:sz w:val="16"/>
                <w:szCs w:val="16"/>
              </w:rPr>
              <w:t>2</w:t>
            </w:r>
          </w:p>
        </w:tc>
        <w:tc>
          <w:tcPr>
            <w:tcW w:w="627" w:type="dxa"/>
            <w:noWrap/>
            <w:hideMark/>
          </w:tcPr>
          <w:p w:rsidRPr="00C12C6F" w:rsidR="00B52D66" w:rsidP="00FC2172" w:rsidRDefault="00B52D66" w14:paraId="689EEC01" w14:textId="77777777">
            <w:pPr>
              <w:spacing w:line="240" w:lineRule="auto"/>
              <w:jc w:val="right"/>
              <w:rPr>
                <w:rFonts w:cs="Calibri"/>
                <w:sz w:val="16"/>
                <w:szCs w:val="16"/>
                <w:lang w:val="en-GB" w:eastAsia="en-GB"/>
              </w:rPr>
            </w:pPr>
            <w:r w:rsidRPr="008E5EDC">
              <w:rPr>
                <w:rFonts w:cs="Calibri"/>
                <w:sz w:val="16"/>
                <w:szCs w:val="16"/>
              </w:rPr>
              <w:t>2</w:t>
            </w:r>
          </w:p>
        </w:tc>
        <w:tc>
          <w:tcPr>
            <w:tcW w:w="627" w:type="dxa"/>
            <w:noWrap/>
            <w:hideMark/>
          </w:tcPr>
          <w:p w:rsidRPr="00C12C6F" w:rsidR="00B52D66" w:rsidP="00FC2172" w:rsidRDefault="00B52D66" w14:paraId="33D0D77A" w14:textId="77777777">
            <w:pPr>
              <w:spacing w:line="240" w:lineRule="auto"/>
              <w:jc w:val="right"/>
              <w:rPr>
                <w:rFonts w:cs="Calibri"/>
                <w:sz w:val="16"/>
                <w:szCs w:val="16"/>
                <w:lang w:val="en-GB" w:eastAsia="en-GB"/>
              </w:rPr>
            </w:pPr>
            <w:r w:rsidRPr="008E5EDC">
              <w:rPr>
                <w:rFonts w:cs="Calibri"/>
                <w:sz w:val="16"/>
                <w:szCs w:val="16"/>
              </w:rPr>
              <w:t>4</w:t>
            </w:r>
          </w:p>
        </w:tc>
        <w:tc>
          <w:tcPr>
            <w:tcW w:w="627" w:type="dxa"/>
            <w:noWrap/>
            <w:hideMark/>
          </w:tcPr>
          <w:p w:rsidRPr="00C12C6F" w:rsidR="00B52D66" w:rsidP="00FC2172" w:rsidRDefault="00B52D66" w14:paraId="6DE7397C" w14:textId="77777777">
            <w:pPr>
              <w:spacing w:line="240" w:lineRule="auto"/>
              <w:jc w:val="right"/>
              <w:rPr>
                <w:rFonts w:cs="Calibri"/>
                <w:sz w:val="16"/>
                <w:szCs w:val="16"/>
                <w:lang w:val="en-GB" w:eastAsia="en-GB"/>
              </w:rPr>
            </w:pPr>
            <w:r w:rsidRPr="008E5EDC">
              <w:rPr>
                <w:rFonts w:cs="Calibri"/>
                <w:sz w:val="16"/>
                <w:szCs w:val="16"/>
              </w:rPr>
              <w:t>2</w:t>
            </w:r>
          </w:p>
        </w:tc>
        <w:tc>
          <w:tcPr>
            <w:tcW w:w="627" w:type="dxa"/>
            <w:noWrap/>
            <w:hideMark/>
          </w:tcPr>
          <w:p w:rsidRPr="00C12C6F" w:rsidR="00B52D66" w:rsidP="00FC2172" w:rsidRDefault="00B52D66" w14:paraId="5A9545E7" w14:textId="77777777">
            <w:pPr>
              <w:spacing w:line="240" w:lineRule="auto"/>
              <w:jc w:val="right"/>
              <w:rPr>
                <w:rFonts w:cs="Calibri"/>
                <w:sz w:val="16"/>
                <w:szCs w:val="16"/>
                <w:lang w:val="en-GB" w:eastAsia="en-GB"/>
              </w:rPr>
            </w:pPr>
            <w:r w:rsidRPr="008E5EDC">
              <w:rPr>
                <w:rFonts w:cs="Calibri"/>
                <w:sz w:val="16"/>
                <w:szCs w:val="16"/>
              </w:rPr>
              <w:t>4</w:t>
            </w:r>
          </w:p>
        </w:tc>
        <w:tc>
          <w:tcPr>
            <w:tcW w:w="627" w:type="dxa"/>
            <w:shd w:val="clear" w:color="auto" w:fill="D9D9D9" w:themeFill="background1" w:themeFillShade="D9"/>
            <w:noWrap/>
            <w:hideMark/>
          </w:tcPr>
          <w:p w:rsidRPr="00C12C6F" w:rsidR="00B52D66" w:rsidP="00FC2172" w:rsidRDefault="00B52D66" w14:paraId="2BA79280" w14:textId="77777777">
            <w:pPr>
              <w:spacing w:line="240" w:lineRule="auto"/>
              <w:jc w:val="right"/>
              <w:rPr>
                <w:rFonts w:cs="Calibri"/>
                <w:color w:val="000000"/>
                <w:sz w:val="16"/>
                <w:szCs w:val="16"/>
                <w:lang w:val="en-GB" w:eastAsia="en-GB"/>
              </w:rPr>
            </w:pPr>
            <w:r w:rsidRPr="008E5EDC">
              <w:rPr>
                <w:rFonts w:cs="Calibri"/>
                <w:sz w:val="16"/>
                <w:szCs w:val="16"/>
              </w:rPr>
              <w:t>21</w:t>
            </w:r>
          </w:p>
        </w:tc>
        <w:tc>
          <w:tcPr>
            <w:tcW w:w="627" w:type="dxa"/>
            <w:noWrap/>
            <w:hideMark/>
          </w:tcPr>
          <w:p w:rsidRPr="00C12C6F" w:rsidR="00B52D66" w:rsidP="00FC2172" w:rsidRDefault="00B52D66" w14:paraId="56ABFB56" w14:textId="77777777">
            <w:pPr>
              <w:spacing w:line="240" w:lineRule="auto"/>
              <w:jc w:val="right"/>
              <w:rPr>
                <w:rFonts w:cs="Calibri"/>
                <w:sz w:val="16"/>
                <w:szCs w:val="16"/>
                <w:lang w:val="en-GB" w:eastAsia="en-GB"/>
              </w:rPr>
            </w:pPr>
            <w:r w:rsidRPr="008E5EDC">
              <w:rPr>
                <w:rFonts w:cs="Calibri"/>
                <w:sz w:val="16"/>
                <w:szCs w:val="16"/>
              </w:rPr>
              <w:t>7</w:t>
            </w:r>
          </w:p>
        </w:tc>
        <w:tc>
          <w:tcPr>
            <w:tcW w:w="647" w:type="dxa"/>
            <w:noWrap/>
            <w:hideMark/>
          </w:tcPr>
          <w:p w:rsidRPr="00C12C6F" w:rsidR="00B52D66" w:rsidP="00FC2172" w:rsidRDefault="00B52D66" w14:paraId="1ED5ECFC" w14:textId="77777777">
            <w:pPr>
              <w:spacing w:line="240" w:lineRule="auto"/>
              <w:jc w:val="right"/>
              <w:rPr>
                <w:rFonts w:cs="Calibri"/>
                <w:sz w:val="16"/>
                <w:szCs w:val="16"/>
                <w:lang w:val="en-GB" w:eastAsia="en-GB"/>
              </w:rPr>
            </w:pPr>
            <w:r w:rsidRPr="008E5EDC">
              <w:rPr>
                <w:rFonts w:cs="Calibri"/>
                <w:sz w:val="16"/>
                <w:szCs w:val="16"/>
              </w:rPr>
              <w:t>6</w:t>
            </w:r>
          </w:p>
        </w:tc>
        <w:tc>
          <w:tcPr>
            <w:tcW w:w="608" w:type="dxa"/>
            <w:noWrap/>
            <w:hideMark/>
          </w:tcPr>
          <w:p w:rsidRPr="00C12C6F" w:rsidR="00B52D66" w:rsidP="00FC2172" w:rsidRDefault="00B52D66" w14:paraId="0FF131C1" w14:textId="77777777">
            <w:pPr>
              <w:spacing w:line="240" w:lineRule="auto"/>
              <w:jc w:val="right"/>
              <w:rPr>
                <w:rFonts w:cs="Calibri"/>
                <w:sz w:val="16"/>
                <w:szCs w:val="16"/>
                <w:lang w:val="en-GB" w:eastAsia="en-GB"/>
              </w:rPr>
            </w:pPr>
            <w:r w:rsidRPr="008E5EDC">
              <w:rPr>
                <w:rFonts w:cs="Calibri"/>
                <w:sz w:val="16"/>
                <w:szCs w:val="16"/>
              </w:rPr>
              <w:t>2</w:t>
            </w:r>
          </w:p>
        </w:tc>
        <w:tc>
          <w:tcPr>
            <w:tcW w:w="621" w:type="dxa"/>
            <w:noWrap/>
            <w:hideMark/>
          </w:tcPr>
          <w:p w:rsidRPr="00C12C6F" w:rsidR="00B52D66" w:rsidP="00FC2172" w:rsidRDefault="00B52D66" w14:paraId="330E610D" w14:textId="77777777">
            <w:pPr>
              <w:spacing w:line="240" w:lineRule="auto"/>
              <w:jc w:val="right"/>
              <w:rPr>
                <w:rFonts w:cs="Calibri"/>
                <w:sz w:val="16"/>
                <w:szCs w:val="16"/>
                <w:lang w:val="en-GB" w:eastAsia="en-GB"/>
              </w:rPr>
            </w:pPr>
            <w:r w:rsidRPr="008E5EDC">
              <w:rPr>
                <w:rFonts w:cs="Calibri"/>
                <w:sz w:val="16"/>
                <w:szCs w:val="16"/>
              </w:rPr>
              <w:t>5</w:t>
            </w:r>
          </w:p>
        </w:tc>
      </w:tr>
      <w:tr w:rsidRPr="008E5EDC" w:rsidR="00B52D66" w:rsidTr="00FC2172" w14:paraId="5D28D099" w14:textId="77777777">
        <w:trPr>
          <w:trHeight w:val="290"/>
        </w:trPr>
        <w:tc>
          <w:tcPr>
            <w:tcW w:w="3095" w:type="dxa"/>
            <w:noWrap/>
            <w:hideMark/>
          </w:tcPr>
          <w:p w:rsidRPr="00C12C6F" w:rsidR="00B52D66" w:rsidP="00FC2172" w:rsidRDefault="00B52D66" w14:paraId="33A09745" w14:textId="77777777">
            <w:pPr>
              <w:spacing w:line="240" w:lineRule="auto"/>
              <w:rPr>
                <w:rFonts w:cs="Calibri"/>
                <w:sz w:val="16"/>
                <w:szCs w:val="16"/>
                <w:lang w:eastAsia="en-GB"/>
              </w:rPr>
            </w:pPr>
            <w:r w:rsidRPr="00C12C6F">
              <w:rPr>
                <w:rFonts w:cs="Calibri"/>
                <w:sz w:val="16"/>
                <w:szCs w:val="16"/>
                <w:lang w:eastAsia="en-GB"/>
              </w:rPr>
              <w:t>E&amp;O</w:t>
            </w:r>
          </w:p>
        </w:tc>
        <w:tc>
          <w:tcPr>
            <w:tcW w:w="627" w:type="dxa"/>
            <w:noWrap/>
            <w:hideMark/>
          </w:tcPr>
          <w:p w:rsidRPr="00C12C6F" w:rsidR="00B52D66" w:rsidP="00FC2172" w:rsidRDefault="00B52D66" w14:paraId="32D81353" w14:textId="77777777">
            <w:pPr>
              <w:spacing w:line="240" w:lineRule="auto"/>
              <w:jc w:val="right"/>
              <w:rPr>
                <w:rFonts w:cs="Calibri"/>
                <w:sz w:val="16"/>
                <w:szCs w:val="16"/>
                <w:lang w:val="en-GB" w:eastAsia="en-GB"/>
              </w:rPr>
            </w:pPr>
            <w:r w:rsidRPr="008E5EDC">
              <w:rPr>
                <w:rFonts w:cs="Calibri"/>
                <w:sz w:val="16"/>
                <w:szCs w:val="16"/>
              </w:rPr>
              <w:t>2</w:t>
            </w:r>
          </w:p>
        </w:tc>
        <w:tc>
          <w:tcPr>
            <w:tcW w:w="627" w:type="dxa"/>
            <w:noWrap/>
            <w:hideMark/>
          </w:tcPr>
          <w:p w:rsidRPr="00C12C6F" w:rsidR="00B52D66" w:rsidP="00FC2172" w:rsidRDefault="00B52D66" w14:paraId="266A2827" w14:textId="77777777">
            <w:pPr>
              <w:spacing w:line="240" w:lineRule="auto"/>
              <w:jc w:val="right"/>
              <w:rPr>
                <w:rFonts w:cs="Calibri"/>
                <w:sz w:val="16"/>
                <w:szCs w:val="16"/>
                <w:lang w:val="en-GB" w:eastAsia="en-GB"/>
              </w:rPr>
            </w:pPr>
            <w:r w:rsidRPr="008E5EDC">
              <w:rPr>
                <w:rFonts w:cs="Calibri"/>
                <w:sz w:val="16"/>
                <w:szCs w:val="16"/>
              </w:rPr>
              <w:t>0</w:t>
            </w:r>
          </w:p>
        </w:tc>
        <w:tc>
          <w:tcPr>
            <w:tcW w:w="627" w:type="dxa"/>
            <w:noWrap/>
            <w:hideMark/>
          </w:tcPr>
          <w:p w:rsidRPr="00C12C6F" w:rsidR="00B52D66" w:rsidP="00FC2172" w:rsidRDefault="00B52D66" w14:paraId="51932134" w14:textId="77777777">
            <w:pPr>
              <w:spacing w:line="240" w:lineRule="auto"/>
              <w:jc w:val="right"/>
              <w:rPr>
                <w:rFonts w:cs="Calibri"/>
                <w:sz w:val="16"/>
                <w:szCs w:val="16"/>
                <w:lang w:val="en-GB" w:eastAsia="en-GB"/>
              </w:rPr>
            </w:pPr>
            <w:r w:rsidRPr="008E5EDC">
              <w:rPr>
                <w:rFonts w:cs="Calibri"/>
                <w:sz w:val="16"/>
                <w:szCs w:val="16"/>
              </w:rPr>
              <w:t>7</w:t>
            </w:r>
          </w:p>
        </w:tc>
        <w:tc>
          <w:tcPr>
            <w:tcW w:w="627" w:type="dxa"/>
            <w:noWrap/>
            <w:hideMark/>
          </w:tcPr>
          <w:p w:rsidRPr="00C12C6F" w:rsidR="00B52D66" w:rsidP="00FC2172" w:rsidRDefault="00B52D66" w14:paraId="146DBB35" w14:textId="77777777">
            <w:pPr>
              <w:spacing w:line="240" w:lineRule="auto"/>
              <w:jc w:val="right"/>
              <w:rPr>
                <w:rFonts w:cs="Calibri"/>
                <w:sz w:val="16"/>
                <w:szCs w:val="16"/>
                <w:lang w:val="en-GB" w:eastAsia="en-GB"/>
              </w:rPr>
            </w:pPr>
            <w:r w:rsidRPr="008E5EDC">
              <w:rPr>
                <w:rFonts w:cs="Calibri"/>
                <w:sz w:val="16"/>
                <w:szCs w:val="16"/>
              </w:rPr>
              <w:t>2</w:t>
            </w:r>
          </w:p>
        </w:tc>
        <w:tc>
          <w:tcPr>
            <w:tcW w:w="627" w:type="dxa"/>
            <w:noWrap/>
            <w:hideMark/>
          </w:tcPr>
          <w:p w:rsidRPr="00C12C6F" w:rsidR="00B52D66" w:rsidP="00FC2172" w:rsidRDefault="00B52D66" w14:paraId="50B3A8A2" w14:textId="77777777">
            <w:pPr>
              <w:spacing w:line="240" w:lineRule="auto"/>
              <w:jc w:val="right"/>
              <w:rPr>
                <w:rFonts w:cs="Calibri"/>
                <w:sz w:val="16"/>
                <w:szCs w:val="16"/>
                <w:lang w:val="en-GB" w:eastAsia="en-GB"/>
              </w:rPr>
            </w:pPr>
            <w:r w:rsidRPr="008E5EDC">
              <w:rPr>
                <w:rFonts w:cs="Calibri"/>
                <w:sz w:val="16"/>
                <w:szCs w:val="16"/>
              </w:rPr>
              <w:t>2</w:t>
            </w:r>
          </w:p>
        </w:tc>
        <w:tc>
          <w:tcPr>
            <w:tcW w:w="627" w:type="dxa"/>
            <w:noWrap/>
            <w:hideMark/>
          </w:tcPr>
          <w:p w:rsidRPr="00C12C6F" w:rsidR="00B52D66" w:rsidP="00FC2172" w:rsidRDefault="00B52D66" w14:paraId="17593A87" w14:textId="77777777">
            <w:pPr>
              <w:spacing w:line="240" w:lineRule="auto"/>
              <w:jc w:val="right"/>
              <w:rPr>
                <w:rFonts w:cs="Calibri"/>
                <w:sz w:val="16"/>
                <w:szCs w:val="16"/>
                <w:lang w:val="en-GB" w:eastAsia="en-GB"/>
              </w:rPr>
            </w:pPr>
            <w:r w:rsidRPr="008E5EDC">
              <w:rPr>
                <w:rFonts w:cs="Calibri"/>
                <w:sz w:val="16"/>
                <w:szCs w:val="16"/>
              </w:rPr>
              <w:t>18</w:t>
            </w:r>
          </w:p>
        </w:tc>
        <w:tc>
          <w:tcPr>
            <w:tcW w:w="627" w:type="dxa"/>
            <w:shd w:val="clear" w:color="auto" w:fill="D9D9D9" w:themeFill="background1" w:themeFillShade="D9"/>
            <w:noWrap/>
            <w:hideMark/>
          </w:tcPr>
          <w:p w:rsidRPr="00C12C6F" w:rsidR="00B52D66" w:rsidP="00FC2172" w:rsidRDefault="00B52D66" w14:paraId="55270131" w14:textId="77777777">
            <w:pPr>
              <w:spacing w:line="240" w:lineRule="auto"/>
              <w:jc w:val="right"/>
              <w:rPr>
                <w:rFonts w:cs="Calibri"/>
                <w:color w:val="000000"/>
                <w:sz w:val="16"/>
                <w:szCs w:val="16"/>
                <w:lang w:val="en-GB" w:eastAsia="en-GB"/>
              </w:rPr>
            </w:pPr>
            <w:r w:rsidRPr="008E5EDC">
              <w:rPr>
                <w:rFonts w:cs="Calibri"/>
                <w:sz w:val="16"/>
                <w:szCs w:val="16"/>
              </w:rPr>
              <w:t>70</w:t>
            </w:r>
          </w:p>
        </w:tc>
        <w:tc>
          <w:tcPr>
            <w:tcW w:w="647" w:type="dxa"/>
            <w:noWrap/>
            <w:hideMark/>
          </w:tcPr>
          <w:p w:rsidRPr="00C12C6F" w:rsidR="00B52D66" w:rsidP="00FC2172" w:rsidRDefault="00B52D66" w14:paraId="54659ED3" w14:textId="77777777">
            <w:pPr>
              <w:spacing w:line="240" w:lineRule="auto"/>
              <w:jc w:val="right"/>
              <w:rPr>
                <w:rFonts w:cs="Calibri"/>
                <w:sz w:val="16"/>
                <w:szCs w:val="16"/>
                <w:lang w:val="en-GB" w:eastAsia="en-GB"/>
              </w:rPr>
            </w:pPr>
            <w:r w:rsidRPr="008E5EDC">
              <w:rPr>
                <w:rFonts w:cs="Calibri"/>
                <w:sz w:val="16"/>
                <w:szCs w:val="16"/>
              </w:rPr>
              <w:t>7</w:t>
            </w:r>
          </w:p>
        </w:tc>
        <w:tc>
          <w:tcPr>
            <w:tcW w:w="608" w:type="dxa"/>
            <w:noWrap/>
            <w:hideMark/>
          </w:tcPr>
          <w:p w:rsidRPr="00C12C6F" w:rsidR="00B52D66" w:rsidP="00FC2172" w:rsidRDefault="00B52D66" w14:paraId="598ADF50" w14:textId="77777777">
            <w:pPr>
              <w:spacing w:line="240" w:lineRule="auto"/>
              <w:jc w:val="right"/>
              <w:rPr>
                <w:rFonts w:cs="Calibri"/>
                <w:sz w:val="16"/>
                <w:szCs w:val="16"/>
                <w:lang w:val="en-GB" w:eastAsia="en-GB"/>
              </w:rPr>
            </w:pPr>
            <w:r w:rsidRPr="008E5EDC">
              <w:rPr>
                <w:rFonts w:cs="Calibri"/>
                <w:sz w:val="16"/>
                <w:szCs w:val="16"/>
              </w:rPr>
              <w:t>3</w:t>
            </w:r>
          </w:p>
        </w:tc>
        <w:tc>
          <w:tcPr>
            <w:tcW w:w="621" w:type="dxa"/>
            <w:noWrap/>
            <w:hideMark/>
          </w:tcPr>
          <w:p w:rsidRPr="00C12C6F" w:rsidR="00B52D66" w:rsidP="00FC2172" w:rsidRDefault="00B52D66" w14:paraId="3FA5F806" w14:textId="77777777">
            <w:pPr>
              <w:spacing w:line="240" w:lineRule="auto"/>
              <w:jc w:val="right"/>
              <w:rPr>
                <w:rFonts w:cs="Calibri"/>
                <w:sz w:val="16"/>
                <w:szCs w:val="16"/>
                <w:lang w:val="en-GB" w:eastAsia="en-GB"/>
              </w:rPr>
            </w:pPr>
            <w:r w:rsidRPr="008E5EDC">
              <w:rPr>
                <w:rFonts w:cs="Calibri"/>
                <w:sz w:val="16"/>
                <w:szCs w:val="16"/>
              </w:rPr>
              <w:t>7</w:t>
            </w:r>
          </w:p>
        </w:tc>
      </w:tr>
      <w:tr w:rsidRPr="008E5EDC" w:rsidR="00B52D66" w:rsidTr="00FC2172" w14:paraId="46B62C9C" w14:textId="77777777">
        <w:trPr>
          <w:trHeight w:val="290"/>
        </w:trPr>
        <w:tc>
          <w:tcPr>
            <w:tcW w:w="3095" w:type="dxa"/>
            <w:noWrap/>
            <w:hideMark/>
          </w:tcPr>
          <w:p w:rsidRPr="00C12C6F" w:rsidR="00B52D66" w:rsidP="00FC2172" w:rsidRDefault="00B52D66" w14:paraId="01D7764C" w14:textId="77777777">
            <w:pPr>
              <w:spacing w:line="240" w:lineRule="auto"/>
              <w:rPr>
                <w:rFonts w:cs="Calibri"/>
                <w:sz w:val="16"/>
                <w:szCs w:val="16"/>
                <w:lang w:val="en-GB" w:eastAsia="en-GB"/>
              </w:rPr>
            </w:pPr>
            <w:r w:rsidRPr="00C12C6F">
              <w:rPr>
                <w:rFonts w:cs="Calibri"/>
                <w:sz w:val="16"/>
                <w:szCs w:val="16"/>
                <w:lang w:val="en-GB" w:eastAsia="en-GB"/>
              </w:rPr>
              <w:t>Groen</w:t>
            </w:r>
          </w:p>
        </w:tc>
        <w:tc>
          <w:tcPr>
            <w:tcW w:w="627" w:type="dxa"/>
            <w:noWrap/>
            <w:hideMark/>
          </w:tcPr>
          <w:p w:rsidRPr="00C12C6F" w:rsidR="00B52D66" w:rsidP="00FC2172" w:rsidRDefault="00B52D66" w14:paraId="41E1E6A0" w14:textId="77777777">
            <w:pPr>
              <w:spacing w:line="240" w:lineRule="auto"/>
              <w:jc w:val="right"/>
              <w:rPr>
                <w:rFonts w:cs="Calibri"/>
                <w:sz w:val="16"/>
                <w:szCs w:val="16"/>
                <w:lang w:val="en-GB" w:eastAsia="en-GB"/>
              </w:rPr>
            </w:pPr>
            <w:r w:rsidRPr="008E5EDC">
              <w:rPr>
                <w:rFonts w:cs="Calibri"/>
                <w:sz w:val="16"/>
                <w:szCs w:val="16"/>
              </w:rPr>
              <w:t>1</w:t>
            </w:r>
          </w:p>
        </w:tc>
        <w:tc>
          <w:tcPr>
            <w:tcW w:w="627" w:type="dxa"/>
            <w:noWrap/>
            <w:hideMark/>
          </w:tcPr>
          <w:p w:rsidRPr="00C12C6F" w:rsidR="00B52D66" w:rsidP="00FC2172" w:rsidRDefault="00B52D66" w14:paraId="125957A1" w14:textId="77777777">
            <w:pPr>
              <w:spacing w:line="240" w:lineRule="auto"/>
              <w:jc w:val="right"/>
              <w:rPr>
                <w:rFonts w:cs="Calibri"/>
                <w:sz w:val="16"/>
                <w:szCs w:val="16"/>
                <w:lang w:val="en-GB" w:eastAsia="en-GB"/>
              </w:rPr>
            </w:pPr>
            <w:r w:rsidRPr="008E5EDC">
              <w:rPr>
                <w:rFonts w:cs="Calibri"/>
                <w:sz w:val="16"/>
                <w:szCs w:val="16"/>
              </w:rPr>
              <w:t> </w:t>
            </w:r>
          </w:p>
        </w:tc>
        <w:tc>
          <w:tcPr>
            <w:tcW w:w="627" w:type="dxa"/>
            <w:noWrap/>
            <w:hideMark/>
          </w:tcPr>
          <w:p w:rsidRPr="00C12C6F" w:rsidR="00B52D66" w:rsidP="00FC2172" w:rsidRDefault="00B52D66" w14:paraId="08837B42" w14:textId="77777777">
            <w:pPr>
              <w:spacing w:line="240" w:lineRule="auto"/>
              <w:jc w:val="right"/>
              <w:rPr>
                <w:rFonts w:cs="Calibri"/>
                <w:sz w:val="16"/>
                <w:szCs w:val="16"/>
                <w:lang w:val="en-GB" w:eastAsia="en-GB"/>
              </w:rPr>
            </w:pPr>
            <w:r w:rsidRPr="008E5EDC">
              <w:rPr>
                <w:rFonts w:cs="Calibri"/>
                <w:sz w:val="16"/>
                <w:szCs w:val="16"/>
              </w:rPr>
              <w:t>0</w:t>
            </w:r>
          </w:p>
        </w:tc>
        <w:tc>
          <w:tcPr>
            <w:tcW w:w="627" w:type="dxa"/>
            <w:noWrap/>
            <w:hideMark/>
          </w:tcPr>
          <w:p w:rsidRPr="00C12C6F" w:rsidR="00B52D66" w:rsidP="00FC2172" w:rsidRDefault="00B52D66" w14:paraId="371C3632" w14:textId="77777777">
            <w:pPr>
              <w:spacing w:line="240" w:lineRule="auto"/>
              <w:jc w:val="right"/>
              <w:rPr>
                <w:rFonts w:cs="Calibri"/>
                <w:sz w:val="16"/>
                <w:szCs w:val="16"/>
                <w:lang w:val="en-GB" w:eastAsia="en-GB"/>
              </w:rPr>
            </w:pPr>
            <w:r w:rsidRPr="008E5EDC">
              <w:rPr>
                <w:rFonts w:cs="Calibri"/>
                <w:sz w:val="16"/>
                <w:szCs w:val="16"/>
              </w:rPr>
              <w:t>1</w:t>
            </w:r>
          </w:p>
        </w:tc>
        <w:tc>
          <w:tcPr>
            <w:tcW w:w="627" w:type="dxa"/>
            <w:noWrap/>
            <w:hideMark/>
          </w:tcPr>
          <w:p w:rsidRPr="00C12C6F" w:rsidR="00B52D66" w:rsidP="00FC2172" w:rsidRDefault="00B52D66" w14:paraId="5057DDE0" w14:textId="77777777">
            <w:pPr>
              <w:spacing w:line="240" w:lineRule="auto"/>
              <w:jc w:val="right"/>
              <w:rPr>
                <w:rFonts w:cs="Calibri"/>
                <w:sz w:val="16"/>
                <w:szCs w:val="16"/>
                <w:lang w:val="en-GB" w:eastAsia="en-GB"/>
              </w:rPr>
            </w:pPr>
            <w:r w:rsidRPr="008E5EDC">
              <w:rPr>
                <w:rFonts w:cs="Calibri"/>
                <w:sz w:val="16"/>
                <w:szCs w:val="16"/>
              </w:rPr>
              <w:t>0</w:t>
            </w:r>
          </w:p>
        </w:tc>
        <w:tc>
          <w:tcPr>
            <w:tcW w:w="627" w:type="dxa"/>
            <w:noWrap/>
            <w:hideMark/>
          </w:tcPr>
          <w:p w:rsidRPr="00C12C6F" w:rsidR="00B52D66" w:rsidP="00FC2172" w:rsidRDefault="00B52D66" w14:paraId="55E7BFAD" w14:textId="77777777">
            <w:pPr>
              <w:spacing w:line="240" w:lineRule="auto"/>
              <w:jc w:val="right"/>
              <w:rPr>
                <w:rFonts w:cs="Calibri"/>
                <w:sz w:val="16"/>
                <w:szCs w:val="16"/>
                <w:lang w:val="en-GB" w:eastAsia="en-GB"/>
              </w:rPr>
            </w:pPr>
            <w:r w:rsidRPr="008E5EDC">
              <w:rPr>
                <w:rFonts w:cs="Calibri"/>
                <w:sz w:val="16"/>
                <w:szCs w:val="16"/>
              </w:rPr>
              <w:t>3</w:t>
            </w:r>
          </w:p>
        </w:tc>
        <w:tc>
          <w:tcPr>
            <w:tcW w:w="627" w:type="dxa"/>
            <w:noWrap/>
            <w:hideMark/>
          </w:tcPr>
          <w:p w:rsidRPr="00C12C6F" w:rsidR="00B52D66" w:rsidP="00FC2172" w:rsidRDefault="00B52D66" w14:paraId="36B13FDE" w14:textId="77777777">
            <w:pPr>
              <w:spacing w:line="240" w:lineRule="auto"/>
              <w:jc w:val="right"/>
              <w:rPr>
                <w:rFonts w:cs="Calibri"/>
                <w:sz w:val="16"/>
                <w:szCs w:val="16"/>
                <w:lang w:val="en-GB" w:eastAsia="en-GB"/>
              </w:rPr>
            </w:pPr>
            <w:r w:rsidRPr="008E5EDC">
              <w:rPr>
                <w:rFonts w:cs="Calibri"/>
                <w:sz w:val="16"/>
                <w:szCs w:val="16"/>
              </w:rPr>
              <w:t>0</w:t>
            </w:r>
          </w:p>
        </w:tc>
        <w:tc>
          <w:tcPr>
            <w:tcW w:w="647" w:type="dxa"/>
            <w:shd w:val="clear" w:color="auto" w:fill="D9D9D9" w:themeFill="background1" w:themeFillShade="D9"/>
            <w:noWrap/>
            <w:hideMark/>
          </w:tcPr>
          <w:p w:rsidRPr="00C12C6F" w:rsidR="00B52D66" w:rsidP="00FC2172" w:rsidRDefault="00B52D66" w14:paraId="48EBF054" w14:textId="77777777">
            <w:pPr>
              <w:spacing w:line="240" w:lineRule="auto"/>
              <w:jc w:val="right"/>
              <w:rPr>
                <w:rFonts w:cs="Calibri"/>
                <w:color w:val="000000"/>
                <w:sz w:val="16"/>
                <w:szCs w:val="16"/>
                <w:lang w:val="en-GB" w:eastAsia="en-GB"/>
              </w:rPr>
            </w:pPr>
            <w:r w:rsidRPr="008E5EDC">
              <w:rPr>
                <w:rFonts w:cs="Calibri"/>
                <w:sz w:val="16"/>
                <w:szCs w:val="16"/>
              </w:rPr>
              <w:t>63</w:t>
            </w:r>
          </w:p>
        </w:tc>
        <w:tc>
          <w:tcPr>
            <w:tcW w:w="608" w:type="dxa"/>
            <w:noWrap/>
            <w:hideMark/>
          </w:tcPr>
          <w:p w:rsidRPr="00C12C6F" w:rsidR="00B52D66" w:rsidP="00FC2172" w:rsidRDefault="00B52D66" w14:paraId="1E6FA7B3" w14:textId="77777777">
            <w:pPr>
              <w:spacing w:line="240" w:lineRule="auto"/>
              <w:jc w:val="right"/>
              <w:rPr>
                <w:rFonts w:cs="Calibri"/>
                <w:sz w:val="16"/>
                <w:szCs w:val="16"/>
                <w:lang w:val="en-GB" w:eastAsia="en-GB"/>
              </w:rPr>
            </w:pPr>
            <w:r w:rsidRPr="008E5EDC">
              <w:rPr>
                <w:rFonts w:cs="Calibri"/>
                <w:sz w:val="16"/>
                <w:szCs w:val="16"/>
              </w:rPr>
              <w:t>0</w:t>
            </w:r>
          </w:p>
        </w:tc>
        <w:tc>
          <w:tcPr>
            <w:tcW w:w="621" w:type="dxa"/>
            <w:noWrap/>
            <w:hideMark/>
          </w:tcPr>
          <w:p w:rsidRPr="00C12C6F" w:rsidR="00B52D66" w:rsidP="00FC2172" w:rsidRDefault="00B52D66" w14:paraId="3C81480F" w14:textId="77777777">
            <w:pPr>
              <w:spacing w:line="240" w:lineRule="auto"/>
              <w:jc w:val="right"/>
              <w:rPr>
                <w:rFonts w:cs="Calibri"/>
                <w:sz w:val="16"/>
                <w:szCs w:val="16"/>
                <w:lang w:val="en-GB" w:eastAsia="en-GB"/>
              </w:rPr>
            </w:pPr>
            <w:r w:rsidRPr="008E5EDC">
              <w:rPr>
                <w:rFonts w:cs="Calibri"/>
                <w:sz w:val="16"/>
                <w:szCs w:val="16"/>
              </w:rPr>
              <w:t>1</w:t>
            </w:r>
          </w:p>
        </w:tc>
      </w:tr>
      <w:tr w:rsidRPr="008E5EDC" w:rsidR="00B52D66" w:rsidTr="00FC2172" w14:paraId="5DD92B55" w14:textId="77777777">
        <w:trPr>
          <w:trHeight w:val="290"/>
        </w:trPr>
        <w:tc>
          <w:tcPr>
            <w:tcW w:w="3095" w:type="dxa"/>
            <w:tcBorders>
              <w:bottom w:val="single" w:color="BFBFBF" w:themeColor="background1" w:themeShade="BF" w:sz="4" w:space="0"/>
            </w:tcBorders>
            <w:noWrap/>
            <w:hideMark/>
          </w:tcPr>
          <w:p w:rsidRPr="00C12C6F" w:rsidR="00B52D66" w:rsidP="00FC2172" w:rsidRDefault="00B52D66" w14:paraId="55DA293F" w14:textId="77777777">
            <w:pPr>
              <w:spacing w:line="240" w:lineRule="auto"/>
              <w:rPr>
                <w:rFonts w:cs="Calibri"/>
                <w:sz w:val="16"/>
                <w:szCs w:val="16"/>
                <w:lang w:eastAsia="en-GB"/>
              </w:rPr>
            </w:pPr>
            <w:r w:rsidRPr="00C12C6F">
              <w:rPr>
                <w:rFonts w:cs="Calibri"/>
                <w:sz w:val="16"/>
                <w:szCs w:val="16"/>
                <w:lang w:eastAsia="en-GB"/>
              </w:rPr>
              <w:t>HBR</w:t>
            </w:r>
          </w:p>
        </w:tc>
        <w:tc>
          <w:tcPr>
            <w:tcW w:w="627" w:type="dxa"/>
            <w:tcBorders>
              <w:bottom w:val="single" w:color="BFBFBF" w:themeColor="background1" w:themeShade="BF" w:sz="4" w:space="0"/>
            </w:tcBorders>
            <w:noWrap/>
            <w:hideMark/>
          </w:tcPr>
          <w:p w:rsidRPr="00C12C6F" w:rsidR="00B52D66" w:rsidP="00FC2172" w:rsidRDefault="00B52D66" w14:paraId="2D6D4827" w14:textId="77777777">
            <w:pPr>
              <w:spacing w:line="240" w:lineRule="auto"/>
              <w:jc w:val="right"/>
              <w:rPr>
                <w:rFonts w:cs="Calibri"/>
                <w:sz w:val="16"/>
                <w:szCs w:val="16"/>
                <w:lang w:val="en-GB" w:eastAsia="en-GB"/>
              </w:rPr>
            </w:pPr>
            <w:r w:rsidRPr="008E5EDC">
              <w:rPr>
                <w:rFonts w:cs="Calibri"/>
                <w:sz w:val="16"/>
                <w:szCs w:val="16"/>
              </w:rPr>
              <w:t>2</w:t>
            </w:r>
          </w:p>
        </w:tc>
        <w:tc>
          <w:tcPr>
            <w:tcW w:w="627" w:type="dxa"/>
            <w:tcBorders>
              <w:bottom w:val="single" w:color="BFBFBF" w:themeColor="background1" w:themeShade="BF" w:sz="4" w:space="0"/>
            </w:tcBorders>
            <w:noWrap/>
            <w:hideMark/>
          </w:tcPr>
          <w:p w:rsidRPr="00C12C6F" w:rsidR="00B52D66" w:rsidP="00FC2172" w:rsidRDefault="00B52D66" w14:paraId="5475DA15" w14:textId="77777777">
            <w:pPr>
              <w:spacing w:line="240" w:lineRule="auto"/>
              <w:jc w:val="right"/>
              <w:rPr>
                <w:rFonts w:cs="Calibri"/>
                <w:sz w:val="16"/>
                <w:szCs w:val="16"/>
                <w:lang w:val="en-GB" w:eastAsia="en-GB"/>
              </w:rPr>
            </w:pPr>
            <w:r w:rsidRPr="008E5EDC">
              <w:rPr>
                <w:rFonts w:cs="Calibri"/>
                <w:sz w:val="16"/>
                <w:szCs w:val="16"/>
              </w:rPr>
              <w:t>1</w:t>
            </w:r>
          </w:p>
        </w:tc>
        <w:tc>
          <w:tcPr>
            <w:tcW w:w="627" w:type="dxa"/>
            <w:tcBorders>
              <w:bottom w:val="single" w:color="BFBFBF" w:themeColor="background1" w:themeShade="BF" w:sz="4" w:space="0"/>
            </w:tcBorders>
            <w:noWrap/>
            <w:hideMark/>
          </w:tcPr>
          <w:p w:rsidRPr="00C12C6F" w:rsidR="00B52D66" w:rsidP="00FC2172" w:rsidRDefault="00B52D66" w14:paraId="483C3045" w14:textId="77777777">
            <w:pPr>
              <w:spacing w:line="240" w:lineRule="auto"/>
              <w:jc w:val="right"/>
              <w:rPr>
                <w:rFonts w:cs="Calibri"/>
                <w:sz w:val="16"/>
                <w:szCs w:val="16"/>
                <w:lang w:val="en-GB" w:eastAsia="en-GB"/>
              </w:rPr>
            </w:pPr>
            <w:r w:rsidRPr="008E5EDC">
              <w:rPr>
                <w:rFonts w:cs="Calibri"/>
                <w:sz w:val="16"/>
                <w:szCs w:val="16"/>
              </w:rPr>
              <w:t>3</w:t>
            </w:r>
          </w:p>
        </w:tc>
        <w:tc>
          <w:tcPr>
            <w:tcW w:w="627" w:type="dxa"/>
            <w:tcBorders>
              <w:bottom w:val="single" w:color="BFBFBF" w:themeColor="background1" w:themeShade="BF" w:sz="4" w:space="0"/>
            </w:tcBorders>
            <w:noWrap/>
            <w:hideMark/>
          </w:tcPr>
          <w:p w:rsidRPr="00C12C6F" w:rsidR="00B52D66" w:rsidP="00FC2172" w:rsidRDefault="00B52D66" w14:paraId="48149C56" w14:textId="77777777">
            <w:pPr>
              <w:spacing w:line="240" w:lineRule="auto"/>
              <w:jc w:val="right"/>
              <w:rPr>
                <w:rFonts w:cs="Calibri"/>
                <w:sz w:val="16"/>
                <w:szCs w:val="16"/>
                <w:lang w:val="en-GB" w:eastAsia="en-GB"/>
              </w:rPr>
            </w:pPr>
            <w:r w:rsidRPr="008E5EDC">
              <w:rPr>
                <w:rFonts w:cs="Calibri"/>
                <w:sz w:val="16"/>
                <w:szCs w:val="16"/>
              </w:rPr>
              <w:t>1</w:t>
            </w:r>
          </w:p>
        </w:tc>
        <w:tc>
          <w:tcPr>
            <w:tcW w:w="627" w:type="dxa"/>
            <w:tcBorders>
              <w:bottom w:val="single" w:color="BFBFBF" w:themeColor="background1" w:themeShade="BF" w:sz="4" w:space="0"/>
            </w:tcBorders>
            <w:noWrap/>
            <w:hideMark/>
          </w:tcPr>
          <w:p w:rsidRPr="00C12C6F" w:rsidR="00B52D66" w:rsidP="00FC2172" w:rsidRDefault="00B52D66" w14:paraId="59BE5DD7" w14:textId="77777777">
            <w:pPr>
              <w:spacing w:line="240" w:lineRule="auto"/>
              <w:jc w:val="right"/>
              <w:rPr>
                <w:rFonts w:cs="Calibri"/>
                <w:sz w:val="16"/>
                <w:szCs w:val="16"/>
                <w:lang w:val="en-GB" w:eastAsia="en-GB"/>
              </w:rPr>
            </w:pPr>
            <w:r w:rsidRPr="008E5EDC">
              <w:rPr>
                <w:rFonts w:cs="Calibri"/>
                <w:sz w:val="16"/>
                <w:szCs w:val="16"/>
              </w:rPr>
              <w:t>1</w:t>
            </w:r>
          </w:p>
        </w:tc>
        <w:tc>
          <w:tcPr>
            <w:tcW w:w="627" w:type="dxa"/>
            <w:tcBorders>
              <w:bottom w:val="single" w:color="BFBFBF" w:themeColor="background1" w:themeShade="BF" w:sz="4" w:space="0"/>
            </w:tcBorders>
            <w:noWrap/>
            <w:hideMark/>
          </w:tcPr>
          <w:p w:rsidRPr="00C12C6F" w:rsidR="00B52D66" w:rsidP="00FC2172" w:rsidRDefault="00B52D66" w14:paraId="7722EFB2" w14:textId="77777777">
            <w:pPr>
              <w:spacing w:line="240" w:lineRule="auto"/>
              <w:jc w:val="right"/>
              <w:rPr>
                <w:rFonts w:cs="Calibri"/>
                <w:sz w:val="16"/>
                <w:szCs w:val="16"/>
                <w:lang w:val="en-GB" w:eastAsia="en-GB"/>
              </w:rPr>
            </w:pPr>
            <w:r w:rsidRPr="008E5EDC">
              <w:rPr>
                <w:rFonts w:cs="Calibri"/>
                <w:sz w:val="16"/>
                <w:szCs w:val="16"/>
              </w:rPr>
              <w:t>12</w:t>
            </w:r>
          </w:p>
        </w:tc>
        <w:tc>
          <w:tcPr>
            <w:tcW w:w="627" w:type="dxa"/>
            <w:tcBorders>
              <w:bottom w:val="single" w:color="BFBFBF" w:themeColor="background1" w:themeShade="BF" w:sz="4" w:space="0"/>
            </w:tcBorders>
            <w:noWrap/>
            <w:hideMark/>
          </w:tcPr>
          <w:p w:rsidRPr="00C12C6F" w:rsidR="00B52D66" w:rsidP="00FC2172" w:rsidRDefault="00B52D66" w14:paraId="125283C4" w14:textId="77777777">
            <w:pPr>
              <w:spacing w:line="240" w:lineRule="auto"/>
              <w:jc w:val="right"/>
              <w:rPr>
                <w:rFonts w:cs="Calibri"/>
                <w:sz w:val="16"/>
                <w:szCs w:val="16"/>
                <w:lang w:val="en-GB" w:eastAsia="en-GB"/>
              </w:rPr>
            </w:pPr>
            <w:r w:rsidRPr="008E5EDC">
              <w:rPr>
                <w:rFonts w:cs="Calibri"/>
                <w:sz w:val="16"/>
                <w:szCs w:val="16"/>
              </w:rPr>
              <w:t>7</w:t>
            </w:r>
          </w:p>
        </w:tc>
        <w:tc>
          <w:tcPr>
            <w:tcW w:w="647" w:type="dxa"/>
            <w:tcBorders>
              <w:bottom w:val="single" w:color="BFBFBF" w:themeColor="background1" w:themeShade="BF" w:sz="4" w:space="0"/>
            </w:tcBorders>
            <w:noWrap/>
            <w:hideMark/>
          </w:tcPr>
          <w:p w:rsidRPr="00C12C6F" w:rsidR="00B52D66" w:rsidP="00FC2172" w:rsidRDefault="00B52D66" w14:paraId="0295B2AD" w14:textId="77777777">
            <w:pPr>
              <w:spacing w:line="240" w:lineRule="auto"/>
              <w:jc w:val="right"/>
              <w:rPr>
                <w:rFonts w:cs="Calibri"/>
                <w:sz w:val="16"/>
                <w:szCs w:val="16"/>
                <w:lang w:val="en-GB" w:eastAsia="en-GB"/>
              </w:rPr>
            </w:pPr>
            <w:r w:rsidRPr="008E5EDC">
              <w:rPr>
                <w:rFonts w:cs="Calibri"/>
                <w:sz w:val="16"/>
                <w:szCs w:val="16"/>
              </w:rPr>
              <w:t>7</w:t>
            </w:r>
          </w:p>
        </w:tc>
        <w:tc>
          <w:tcPr>
            <w:tcW w:w="608" w:type="dxa"/>
            <w:tcBorders>
              <w:bottom w:val="single" w:color="BFBFBF" w:themeColor="background1" w:themeShade="BF" w:sz="4" w:space="0"/>
            </w:tcBorders>
            <w:shd w:val="clear" w:color="auto" w:fill="D9D9D9" w:themeFill="background1" w:themeFillShade="D9"/>
            <w:noWrap/>
            <w:hideMark/>
          </w:tcPr>
          <w:p w:rsidRPr="00C12C6F" w:rsidR="00B52D66" w:rsidP="00FC2172" w:rsidRDefault="00B52D66" w14:paraId="43F43A5D" w14:textId="77777777">
            <w:pPr>
              <w:spacing w:line="240" w:lineRule="auto"/>
              <w:jc w:val="right"/>
              <w:rPr>
                <w:rFonts w:cs="Calibri"/>
                <w:color w:val="000000"/>
                <w:sz w:val="16"/>
                <w:szCs w:val="16"/>
                <w:lang w:val="en-GB" w:eastAsia="en-GB"/>
              </w:rPr>
            </w:pPr>
            <w:r w:rsidRPr="008E5EDC">
              <w:rPr>
                <w:rFonts w:cs="Calibri"/>
                <w:sz w:val="16"/>
                <w:szCs w:val="16"/>
              </w:rPr>
              <w:t>86</w:t>
            </w:r>
          </w:p>
        </w:tc>
        <w:tc>
          <w:tcPr>
            <w:tcW w:w="621" w:type="dxa"/>
            <w:tcBorders>
              <w:bottom w:val="single" w:color="BFBFBF" w:themeColor="background1" w:themeShade="BF" w:sz="4" w:space="0"/>
            </w:tcBorders>
            <w:noWrap/>
            <w:hideMark/>
          </w:tcPr>
          <w:p w:rsidRPr="00C12C6F" w:rsidR="00B52D66" w:rsidP="00FC2172" w:rsidRDefault="00B52D66" w14:paraId="0B6FDF60" w14:textId="77777777">
            <w:pPr>
              <w:spacing w:line="240" w:lineRule="auto"/>
              <w:jc w:val="right"/>
              <w:rPr>
                <w:rFonts w:cs="Calibri"/>
                <w:sz w:val="16"/>
                <w:szCs w:val="16"/>
                <w:lang w:val="en-GB" w:eastAsia="en-GB"/>
              </w:rPr>
            </w:pPr>
            <w:r w:rsidRPr="008E5EDC">
              <w:rPr>
                <w:rFonts w:cs="Calibri"/>
                <w:sz w:val="16"/>
                <w:szCs w:val="16"/>
              </w:rPr>
              <w:t>13</w:t>
            </w:r>
          </w:p>
        </w:tc>
      </w:tr>
      <w:tr w:rsidRPr="008E5EDC" w:rsidR="00B52D66" w:rsidTr="00FC2172" w14:paraId="31DBA62E" w14:textId="77777777">
        <w:trPr>
          <w:trHeight w:val="290"/>
        </w:trPr>
        <w:tc>
          <w:tcPr>
            <w:tcW w:w="3095" w:type="dxa"/>
            <w:tcBorders>
              <w:bottom w:val="single" w:color="auto" w:sz="4" w:space="0"/>
            </w:tcBorders>
            <w:noWrap/>
            <w:hideMark/>
          </w:tcPr>
          <w:p w:rsidRPr="00C12C6F" w:rsidR="00B52D66" w:rsidP="00FC2172" w:rsidRDefault="00B52D66" w14:paraId="6F604454" w14:textId="77777777">
            <w:pPr>
              <w:spacing w:line="240" w:lineRule="auto"/>
              <w:rPr>
                <w:rFonts w:cs="Calibri"/>
                <w:sz w:val="16"/>
                <w:szCs w:val="16"/>
                <w:lang w:eastAsia="en-GB"/>
              </w:rPr>
            </w:pPr>
            <w:r w:rsidRPr="00C12C6F">
              <w:rPr>
                <w:rFonts w:cs="Calibri"/>
                <w:sz w:val="16"/>
                <w:szCs w:val="16"/>
                <w:lang w:eastAsia="en-GB"/>
              </w:rPr>
              <w:t>Z&amp;W</w:t>
            </w:r>
          </w:p>
        </w:tc>
        <w:tc>
          <w:tcPr>
            <w:tcW w:w="627" w:type="dxa"/>
            <w:tcBorders>
              <w:bottom w:val="single" w:color="auto" w:sz="4" w:space="0"/>
            </w:tcBorders>
            <w:noWrap/>
            <w:hideMark/>
          </w:tcPr>
          <w:p w:rsidRPr="00C12C6F" w:rsidR="00B52D66" w:rsidP="00FC2172" w:rsidRDefault="00B52D66" w14:paraId="5B2A2C4C" w14:textId="77777777">
            <w:pPr>
              <w:spacing w:line="240" w:lineRule="auto"/>
              <w:jc w:val="right"/>
              <w:rPr>
                <w:rFonts w:cs="Calibri"/>
                <w:sz w:val="16"/>
                <w:szCs w:val="16"/>
                <w:lang w:val="en-GB" w:eastAsia="en-GB"/>
              </w:rPr>
            </w:pPr>
            <w:r w:rsidRPr="008E5EDC">
              <w:rPr>
                <w:rFonts w:cs="Calibri"/>
                <w:sz w:val="16"/>
                <w:szCs w:val="16"/>
              </w:rPr>
              <w:t>2</w:t>
            </w:r>
          </w:p>
        </w:tc>
        <w:tc>
          <w:tcPr>
            <w:tcW w:w="627" w:type="dxa"/>
            <w:tcBorders>
              <w:bottom w:val="single" w:color="auto" w:sz="4" w:space="0"/>
            </w:tcBorders>
            <w:noWrap/>
            <w:hideMark/>
          </w:tcPr>
          <w:p w:rsidRPr="00C12C6F" w:rsidR="00B52D66" w:rsidP="00FC2172" w:rsidRDefault="00B52D66" w14:paraId="7BF23B18" w14:textId="77777777">
            <w:pPr>
              <w:spacing w:line="240" w:lineRule="auto"/>
              <w:jc w:val="right"/>
              <w:rPr>
                <w:rFonts w:cs="Calibri"/>
                <w:sz w:val="16"/>
                <w:szCs w:val="16"/>
                <w:lang w:val="en-GB" w:eastAsia="en-GB"/>
              </w:rPr>
            </w:pPr>
            <w:r w:rsidRPr="008E5EDC">
              <w:rPr>
                <w:rFonts w:cs="Calibri"/>
                <w:sz w:val="16"/>
                <w:szCs w:val="16"/>
              </w:rPr>
              <w:t> </w:t>
            </w:r>
          </w:p>
        </w:tc>
        <w:tc>
          <w:tcPr>
            <w:tcW w:w="627" w:type="dxa"/>
            <w:tcBorders>
              <w:bottom w:val="single" w:color="auto" w:sz="4" w:space="0"/>
            </w:tcBorders>
            <w:noWrap/>
            <w:hideMark/>
          </w:tcPr>
          <w:p w:rsidRPr="00C12C6F" w:rsidR="00B52D66" w:rsidP="00FC2172" w:rsidRDefault="00B52D66" w14:paraId="16D1FF9B" w14:textId="77777777">
            <w:pPr>
              <w:spacing w:line="240" w:lineRule="auto"/>
              <w:jc w:val="right"/>
              <w:rPr>
                <w:rFonts w:cs="Calibri"/>
                <w:sz w:val="16"/>
                <w:szCs w:val="16"/>
                <w:lang w:val="en-GB" w:eastAsia="en-GB"/>
              </w:rPr>
            </w:pPr>
            <w:r w:rsidRPr="008E5EDC">
              <w:rPr>
                <w:rFonts w:cs="Calibri"/>
                <w:sz w:val="16"/>
                <w:szCs w:val="16"/>
              </w:rPr>
              <w:t>3</w:t>
            </w:r>
          </w:p>
        </w:tc>
        <w:tc>
          <w:tcPr>
            <w:tcW w:w="627" w:type="dxa"/>
            <w:tcBorders>
              <w:bottom w:val="single" w:color="auto" w:sz="4" w:space="0"/>
            </w:tcBorders>
            <w:noWrap/>
            <w:hideMark/>
          </w:tcPr>
          <w:p w:rsidRPr="00C12C6F" w:rsidR="00B52D66" w:rsidP="00FC2172" w:rsidRDefault="00B52D66" w14:paraId="1147A8C4" w14:textId="77777777">
            <w:pPr>
              <w:spacing w:line="240" w:lineRule="auto"/>
              <w:jc w:val="right"/>
              <w:rPr>
                <w:rFonts w:cs="Calibri"/>
                <w:sz w:val="16"/>
                <w:szCs w:val="16"/>
                <w:lang w:val="en-GB" w:eastAsia="en-GB"/>
              </w:rPr>
            </w:pPr>
            <w:r w:rsidRPr="008E5EDC">
              <w:rPr>
                <w:rFonts w:cs="Calibri"/>
                <w:sz w:val="16"/>
                <w:szCs w:val="16"/>
              </w:rPr>
              <w:t>2</w:t>
            </w:r>
          </w:p>
        </w:tc>
        <w:tc>
          <w:tcPr>
            <w:tcW w:w="627" w:type="dxa"/>
            <w:tcBorders>
              <w:bottom w:val="single" w:color="auto" w:sz="4" w:space="0"/>
            </w:tcBorders>
            <w:noWrap/>
            <w:hideMark/>
          </w:tcPr>
          <w:p w:rsidRPr="00C12C6F" w:rsidR="00B52D66" w:rsidP="00FC2172" w:rsidRDefault="00B52D66" w14:paraId="05221750" w14:textId="77777777">
            <w:pPr>
              <w:spacing w:line="240" w:lineRule="auto"/>
              <w:jc w:val="right"/>
              <w:rPr>
                <w:rFonts w:cs="Calibri"/>
                <w:sz w:val="16"/>
                <w:szCs w:val="16"/>
                <w:lang w:val="en-GB" w:eastAsia="en-GB"/>
              </w:rPr>
            </w:pPr>
            <w:r w:rsidRPr="008E5EDC">
              <w:rPr>
                <w:rFonts w:cs="Calibri"/>
                <w:sz w:val="16"/>
                <w:szCs w:val="16"/>
              </w:rPr>
              <w:t>1</w:t>
            </w:r>
          </w:p>
        </w:tc>
        <w:tc>
          <w:tcPr>
            <w:tcW w:w="627" w:type="dxa"/>
            <w:tcBorders>
              <w:bottom w:val="single" w:color="auto" w:sz="4" w:space="0"/>
            </w:tcBorders>
            <w:noWrap/>
            <w:hideMark/>
          </w:tcPr>
          <w:p w:rsidRPr="00C12C6F" w:rsidR="00B52D66" w:rsidP="00FC2172" w:rsidRDefault="00B52D66" w14:paraId="07E4FCB5" w14:textId="77777777">
            <w:pPr>
              <w:spacing w:line="240" w:lineRule="auto"/>
              <w:jc w:val="right"/>
              <w:rPr>
                <w:rFonts w:cs="Calibri"/>
                <w:sz w:val="16"/>
                <w:szCs w:val="16"/>
                <w:lang w:val="en-GB" w:eastAsia="en-GB"/>
              </w:rPr>
            </w:pPr>
            <w:r w:rsidRPr="008E5EDC">
              <w:rPr>
                <w:rFonts w:cs="Calibri"/>
                <w:sz w:val="16"/>
                <w:szCs w:val="16"/>
              </w:rPr>
              <w:t>25</w:t>
            </w:r>
          </w:p>
        </w:tc>
        <w:tc>
          <w:tcPr>
            <w:tcW w:w="627" w:type="dxa"/>
            <w:tcBorders>
              <w:bottom w:val="single" w:color="auto" w:sz="4" w:space="0"/>
            </w:tcBorders>
            <w:noWrap/>
            <w:hideMark/>
          </w:tcPr>
          <w:p w:rsidRPr="00C12C6F" w:rsidR="00B52D66" w:rsidP="00FC2172" w:rsidRDefault="00B52D66" w14:paraId="76BF5868" w14:textId="77777777">
            <w:pPr>
              <w:spacing w:line="240" w:lineRule="auto"/>
              <w:jc w:val="right"/>
              <w:rPr>
                <w:rFonts w:cs="Calibri"/>
                <w:sz w:val="16"/>
                <w:szCs w:val="16"/>
                <w:lang w:val="en-GB" w:eastAsia="en-GB"/>
              </w:rPr>
            </w:pPr>
            <w:r w:rsidRPr="008E5EDC">
              <w:rPr>
                <w:rFonts w:cs="Calibri"/>
                <w:sz w:val="16"/>
                <w:szCs w:val="16"/>
              </w:rPr>
              <w:t>8</w:t>
            </w:r>
          </w:p>
        </w:tc>
        <w:tc>
          <w:tcPr>
            <w:tcW w:w="647" w:type="dxa"/>
            <w:tcBorders>
              <w:bottom w:val="single" w:color="auto" w:sz="4" w:space="0"/>
            </w:tcBorders>
            <w:noWrap/>
            <w:hideMark/>
          </w:tcPr>
          <w:p w:rsidRPr="00C12C6F" w:rsidR="00B52D66" w:rsidP="00FC2172" w:rsidRDefault="00B52D66" w14:paraId="25AF97E0" w14:textId="77777777">
            <w:pPr>
              <w:spacing w:line="240" w:lineRule="auto"/>
              <w:jc w:val="right"/>
              <w:rPr>
                <w:rFonts w:cs="Calibri"/>
                <w:sz w:val="16"/>
                <w:szCs w:val="16"/>
                <w:lang w:val="en-GB" w:eastAsia="en-GB"/>
              </w:rPr>
            </w:pPr>
            <w:r w:rsidRPr="008E5EDC">
              <w:rPr>
                <w:rFonts w:cs="Calibri"/>
                <w:sz w:val="16"/>
                <w:szCs w:val="16"/>
              </w:rPr>
              <w:t>7</w:t>
            </w:r>
          </w:p>
        </w:tc>
        <w:tc>
          <w:tcPr>
            <w:tcW w:w="608" w:type="dxa"/>
            <w:tcBorders>
              <w:bottom w:val="single" w:color="auto" w:sz="4" w:space="0"/>
            </w:tcBorders>
            <w:noWrap/>
            <w:hideMark/>
          </w:tcPr>
          <w:p w:rsidRPr="00C12C6F" w:rsidR="00B52D66" w:rsidP="00FC2172" w:rsidRDefault="00B52D66" w14:paraId="5C623D39" w14:textId="77777777">
            <w:pPr>
              <w:spacing w:line="240" w:lineRule="auto"/>
              <w:jc w:val="right"/>
              <w:rPr>
                <w:rFonts w:cs="Calibri"/>
                <w:sz w:val="16"/>
                <w:szCs w:val="16"/>
                <w:lang w:val="en-GB" w:eastAsia="en-GB"/>
              </w:rPr>
            </w:pPr>
            <w:r w:rsidRPr="008E5EDC">
              <w:rPr>
                <w:rFonts w:cs="Calibri"/>
                <w:sz w:val="16"/>
                <w:szCs w:val="16"/>
              </w:rPr>
              <w:t>6</w:t>
            </w:r>
          </w:p>
        </w:tc>
        <w:tc>
          <w:tcPr>
            <w:tcW w:w="621" w:type="dxa"/>
            <w:tcBorders>
              <w:bottom w:val="single" w:color="auto" w:sz="4" w:space="0"/>
            </w:tcBorders>
            <w:shd w:val="clear" w:color="auto" w:fill="D9D9D9" w:themeFill="background1" w:themeFillShade="D9"/>
            <w:noWrap/>
            <w:hideMark/>
          </w:tcPr>
          <w:p w:rsidRPr="00C12C6F" w:rsidR="00B52D66" w:rsidP="00FC2172" w:rsidRDefault="00B52D66" w14:paraId="3FD38D2C" w14:textId="77777777">
            <w:pPr>
              <w:spacing w:line="240" w:lineRule="auto"/>
              <w:jc w:val="right"/>
              <w:rPr>
                <w:rFonts w:cs="Calibri"/>
                <w:color w:val="000000"/>
                <w:sz w:val="16"/>
                <w:szCs w:val="16"/>
                <w:lang w:val="en-GB" w:eastAsia="en-GB"/>
              </w:rPr>
            </w:pPr>
            <w:r w:rsidRPr="008E5EDC">
              <w:rPr>
                <w:rFonts w:cs="Calibri"/>
                <w:sz w:val="16"/>
                <w:szCs w:val="16"/>
              </w:rPr>
              <w:t>71</w:t>
            </w:r>
          </w:p>
        </w:tc>
      </w:tr>
    </w:tbl>
    <w:p w:rsidRPr="00F87C57" w:rsidR="00B52D66" w:rsidP="00B52D66" w:rsidRDefault="00B52D66" w14:paraId="5282FA57" w14:textId="77777777">
      <w:pPr>
        <w:spacing w:before="60" w:line="312" w:lineRule="auto"/>
        <w:rPr>
          <w:i/>
          <w:sz w:val="16"/>
          <w:szCs w:val="16"/>
        </w:rPr>
      </w:pPr>
      <w:r w:rsidRPr="00F87C57">
        <w:rPr>
          <w:i/>
          <w:sz w:val="16"/>
          <w:szCs w:val="16"/>
        </w:rPr>
        <w:t>Bron: DUO (eigen bewerking ROA).</w:t>
      </w:r>
    </w:p>
    <w:p w:rsidR="00B52D66" w:rsidP="00B52D66" w:rsidRDefault="00B52D66" w14:paraId="05CACE53" w14:textId="77777777">
      <w:pPr>
        <w:spacing w:line="312" w:lineRule="auto"/>
        <w:rPr>
          <w:sz w:val="16"/>
          <w:szCs w:val="16"/>
        </w:rPr>
      </w:pPr>
      <w:r w:rsidRPr="00F87C57">
        <w:rPr>
          <w:sz w:val="16"/>
          <w:szCs w:val="16"/>
        </w:rPr>
        <w:t xml:space="preserve">Noot: blanco cellen geven weer dat er geen kruisverbanden zijn; cellen gevuld met 0 laten zien dat er kruisverbanden bestaan maar qua omvang </w:t>
      </w:r>
      <w:r>
        <w:rPr>
          <w:sz w:val="16"/>
          <w:szCs w:val="16"/>
        </w:rPr>
        <w:t>minder dan 1 procent bedragen</w:t>
      </w:r>
      <w:r w:rsidRPr="00F87C57">
        <w:rPr>
          <w:sz w:val="16"/>
          <w:szCs w:val="16"/>
        </w:rPr>
        <w:t>.</w:t>
      </w:r>
    </w:p>
    <w:p w:rsidR="00B52D66" w:rsidP="00B52D66" w:rsidRDefault="00B52D66" w14:paraId="5059FD26" w14:textId="77777777">
      <w:pPr>
        <w:jc w:val="both"/>
        <w:rPr>
          <w:szCs w:val="18"/>
          <w:highlight w:val="yellow"/>
        </w:rPr>
      </w:pPr>
    </w:p>
    <w:p w:rsidRPr="00A45539" w:rsidR="00B52D66" w:rsidP="00B52D66" w:rsidRDefault="00B52D66" w14:paraId="27518115" w14:textId="77777777">
      <w:pPr>
        <w:jc w:val="both"/>
        <w:rPr>
          <w:szCs w:val="18"/>
        </w:rPr>
      </w:pPr>
      <w:r w:rsidRPr="00A55317">
        <w:rPr>
          <w:szCs w:val="18"/>
        </w:rPr>
        <w:t>Tot slot zetten we per technisch profiel uiteen in welke niet-technische keuzevakken en profielmodules het vaakst examens door techniekleerlingen afgelegd worden en in welke technische keuzevakken en profielmodules het vaakst door niet-techniekleerlingen.</w:t>
      </w:r>
      <w:r w:rsidRPr="00974446">
        <w:rPr>
          <w:szCs w:val="18"/>
        </w:rPr>
        <w:t xml:space="preserve"> Dit doen we op basis van het aantal afgelegde examens van keuzevakken </w:t>
      </w:r>
      <w:r>
        <w:rPr>
          <w:szCs w:val="18"/>
        </w:rPr>
        <w:t xml:space="preserve">en profielmodules </w:t>
      </w:r>
      <w:r w:rsidRPr="00974446">
        <w:rPr>
          <w:szCs w:val="18"/>
        </w:rPr>
        <w:t>in het schooljaar 2022/2023. Hier</w:t>
      </w:r>
      <w:r>
        <w:rPr>
          <w:szCs w:val="18"/>
        </w:rPr>
        <w:t>voor</w:t>
      </w:r>
      <w:r w:rsidRPr="00974446">
        <w:rPr>
          <w:szCs w:val="18"/>
        </w:rPr>
        <w:t xml:space="preserve"> is geen tabel </w:t>
      </w:r>
      <w:r>
        <w:rPr>
          <w:szCs w:val="18"/>
        </w:rPr>
        <w:t>beschikbaar</w:t>
      </w:r>
      <w:r w:rsidRPr="00974446">
        <w:rPr>
          <w:szCs w:val="18"/>
        </w:rPr>
        <w:t>.</w:t>
      </w:r>
    </w:p>
    <w:p w:rsidRPr="00A45539" w:rsidR="00B52D66" w:rsidP="00B52D66" w:rsidRDefault="00B52D66" w14:paraId="7CD1DA24" w14:textId="77777777">
      <w:pPr>
        <w:jc w:val="both"/>
        <w:rPr>
          <w:szCs w:val="18"/>
        </w:rPr>
      </w:pPr>
    </w:p>
    <w:p w:rsidRPr="00624F76" w:rsidR="00B52D66" w:rsidP="00B52D66" w:rsidRDefault="00B52D66" w14:paraId="19AA9D47" w14:textId="3A02E15F">
      <w:pPr>
        <w:jc w:val="both"/>
        <w:rPr>
          <w:szCs w:val="18"/>
        </w:rPr>
      </w:pPr>
      <w:r>
        <w:rPr>
          <w:b/>
          <w:szCs w:val="18"/>
        </w:rPr>
        <w:t>BWI</w:t>
      </w:r>
      <w:r w:rsidRPr="000E1A79">
        <w:rPr>
          <w:b/>
          <w:szCs w:val="18"/>
        </w:rPr>
        <w:t>:</w:t>
      </w:r>
      <w:r w:rsidRPr="000E1A79">
        <w:rPr>
          <w:szCs w:val="18"/>
        </w:rPr>
        <w:t xml:space="preserve"> Leerlingen van het profiel BWI leg</w:t>
      </w:r>
      <w:r>
        <w:rPr>
          <w:szCs w:val="18"/>
        </w:rPr>
        <w:t>g</w:t>
      </w:r>
      <w:r w:rsidRPr="000E1A79">
        <w:rPr>
          <w:szCs w:val="18"/>
        </w:rPr>
        <w:t xml:space="preserve">en vooral examens af </w:t>
      </w:r>
      <w:r>
        <w:rPr>
          <w:szCs w:val="18"/>
        </w:rPr>
        <w:t>in</w:t>
      </w:r>
      <w:r w:rsidRPr="000E1A79">
        <w:rPr>
          <w:szCs w:val="18"/>
        </w:rPr>
        <w:t xml:space="preserve"> het keuzevak</w:t>
      </w:r>
      <w:r w:rsidRPr="000E1A79">
        <w:rPr>
          <w:i/>
          <w:szCs w:val="18"/>
        </w:rPr>
        <w:t xml:space="preserve"> Ondernemen</w:t>
      </w:r>
      <w:r w:rsidRPr="000E1A79">
        <w:rPr>
          <w:szCs w:val="18"/>
        </w:rPr>
        <w:t xml:space="preserve"> uit het profiel </w:t>
      </w:r>
      <w:r>
        <w:rPr>
          <w:szCs w:val="18"/>
        </w:rPr>
        <w:t xml:space="preserve">E&amp;O en </w:t>
      </w:r>
      <w:r w:rsidRPr="000E1A79">
        <w:rPr>
          <w:i/>
          <w:szCs w:val="18"/>
        </w:rPr>
        <w:t xml:space="preserve">Ondersteuning bij sport- en bewegingsactiviteiten </w:t>
      </w:r>
      <w:r w:rsidRPr="000E1A79">
        <w:rPr>
          <w:szCs w:val="18"/>
        </w:rPr>
        <w:t xml:space="preserve">uit het profiel </w:t>
      </w:r>
      <w:r>
        <w:rPr>
          <w:szCs w:val="18"/>
        </w:rPr>
        <w:t>Z&amp;W</w:t>
      </w:r>
      <w:r w:rsidRPr="000E1A79">
        <w:rPr>
          <w:szCs w:val="18"/>
        </w:rPr>
        <w:t xml:space="preserve">. </w:t>
      </w:r>
      <w:r w:rsidRPr="006258C0">
        <w:rPr>
          <w:szCs w:val="18"/>
        </w:rPr>
        <w:t xml:space="preserve">Het gaat dan om respectievelijk 126 en 103 examens. </w:t>
      </w:r>
      <w:r>
        <w:rPr>
          <w:szCs w:val="18"/>
        </w:rPr>
        <w:t xml:space="preserve">In het profiel D&amp;P zijn het met name de keuzevakken </w:t>
      </w:r>
      <w:r>
        <w:rPr>
          <w:i/>
          <w:iCs/>
          <w:szCs w:val="18"/>
        </w:rPr>
        <w:t xml:space="preserve">Een product maken en verbeteren </w:t>
      </w:r>
      <w:r>
        <w:rPr>
          <w:szCs w:val="18"/>
        </w:rPr>
        <w:t xml:space="preserve">en </w:t>
      </w:r>
      <w:r>
        <w:rPr>
          <w:i/>
          <w:iCs/>
          <w:szCs w:val="18"/>
        </w:rPr>
        <w:t>Multimediale producten maken</w:t>
      </w:r>
      <w:r>
        <w:rPr>
          <w:szCs w:val="18"/>
        </w:rPr>
        <w:t xml:space="preserve">, uit het profiel HBR gaat het om het keuzevak </w:t>
      </w:r>
      <w:r w:rsidRPr="00624F76">
        <w:rPr>
          <w:i/>
          <w:iCs/>
          <w:szCs w:val="18"/>
        </w:rPr>
        <w:t>De keuken</w:t>
      </w:r>
      <w:r w:rsidRPr="008E7ECC">
        <w:rPr>
          <w:i/>
          <w:iCs/>
          <w:szCs w:val="18"/>
        </w:rPr>
        <w:t>.</w:t>
      </w:r>
      <w:r w:rsidRPr="00624F76">
        <w:rPr>
          <w:i/>
          <w:iCs/>
          <w:szCs w:val="18"/>
        </w:rPr>
        <w:t xml:space="preserve"> </w:t>
      </w:r>
    </w:p>
    <w:p w:rsidRPr="00624F76" w:rsidR="00B52D66" w:rsidP="00B52D66" w:rsidRDefault="00B52D66" w14:paraId="41606C8F" w14:textId="77777777">
      <w:pPr>
        <w:jc w:val="both"/>
        <w:rPr>
          <w:szCs w:val="18"/>
        </w:rPr>
      </w:pPr>
    </w:p>
    <w:p w:rsidR="00B52D66" w:rsidP="00B52D66" w:rsidRDefault="00B52D66" w14:paraId="2B317388" w14:textId="77777777">
      <w:pPr>
        <w:jc w:val="both"/>
        <w:rPr>
          <w:szCs w:val="18"/>
        </w:rPr>
      </w:pPr>
      <w:r>
        <w:rPr>
          <w:szCs w:val="18"/>
        </w:rPr>
        <w:t>N</w:t>
      </w:r>
      <w:r w:rsidRPr="00A15009">
        <w:rPr>
          <w:szCs w:val="18"/>
        </w:rPr>
        <w:t>iet-</w:t>
      </w:r>
      <w:r>
        <w:rPr>
          <w:szCs w:val="18"/>
        </w:rPr>
        <w:t>techniek</w:t>
      </w:r>
      <w:r w:rsidRPr="00A15009">
        <w:rPr>
          <w:szCs w:val="18"/>
        </w:rPr>
        <w:t>leerlingen</w:t>
      </w:r>
      <w:r>
        <w:rPr>
          <w:szCs w:val="18"/>
        </w:rPr>
        <w:t xml:space="preserve"> leggen 2.400 examens af in de keuzevakken behorend bij BWI, </w:t>
      </w:r>
      <w:r w:rsidRPr="00215297">
        <w:rPr>
          <w:szCs w:val="18"/>
        </w:rPr>
        <w:t xml:space="preserve">ofwel 19,6 procent van de examens </w:t>
      </w:r>
      <w:r>
        <w:rPr>
          <w:szCs w:val="18"/>
        </w:rPr>
        <w:t>voor</w:t>
      </w:r>
      <w:r w:rsidRPr="00215297">
        <w:rPr>
          <w:szCs w:val="18"/>
        </w:rPr>
        <w:t xml:space="preserve"> technische keuzevakken </w:t>
      </w:r>
      <w:r>
        <w:rPr>
          <w:szCs w:val="18"/>
        </w:rPr>
        <w:t>is afgelegd door</w:t>
      </w:r>
      <w:r w:rsidRPr="00215297">
        <w:rPr>
          <w:szCs w:val="18"/>
        </w:rPr>
        <w:t xml:space="preserve"> niet-</w:t>
      </w:r>
      <w:r>
        <w:rPr>
          <w:szCs w:val="18"/>
        </w:rPr>
        <w:t>techniek</w:t>
      </w:r>
      <w:r w:rsidRPr="00215297">
        <w:rPr>
          <w:szCs w:val="18"/>
        </w:rPr>
        <w:t>leerlingen.</w:t>
      </w:r>
      <w:r w:rsidRPr="00A15009">
        <w:rPr>
          <w:szCs w:val="18"/>
        </w:rPr>
        <w:t xml:space="preserve"> De grootste uitwisseling was met leerlingen van het niet-technische profiel D&amp;P</w:t>
      </w:r>
      <w:r>
        <w:rPr>
          <w:szCs w:val="18"/>
        </w:rPr>
        <w:t xml:space="preserve"> in de </w:t>
      </w:r>
      <w:r w:rsidRPr="00A15009">
        <w:rPr>
          <w:szCs w:val="18"/>
        </w:rPr>
        <w:t xml:space="preserve">keuzevakken </w:t>
      </w:r>
      <w:r w:rsidRPr="00A15009">
        <w:rPr>
          <w:i/>
          <w:szCs w:val="18"/>
        </w:rPr>
        <w:t>Interieurontwerp en –design</w:t>
      </w:r>
      <w:r w:rsidRPr="00A15009">
        <w:rPr>
          <w:szCs w:val="18"/>
        </w:rPr>
        <w:t xml:space="preserve"> (met 551 afgelegde examens) en </w:t>
      </w:r>
      <w:r w:rsidRPr="00A15009">
        <w:rPr>
          <w:i/>
          <w:szCs w:val="18"/>
        </w:rPr>
        <w:t>Meubelmaken</w:t>
      </w:r>
      <w:r w:rsidRPr="00A15009">
        <w:rPr>
          <w:szCs w:val="18"/>
        </w:rPr>
        <w:t xml:space="preserve"> (met 421 examens)</w:t>
      </w:r>
      <w:r>
        <w:rPr>
          <w:szCs w:val="18"/>
        </w:rPr>
        <w:t xml:space="preserve"> en in de modules </w:t>
      </w:r>
      <w:r w:rsidRPr="00A55317">
        <w:rPr>
          <w:i/>
          <w:iCs/>
          <w:szCs w:val="18"/>
        </w:rPr>
        <w:t xml:space="preserve">Hout- en meubelverbindingen </w:t>
      </w:r>
      <w:r w:rsidRPr="00FA0EA1">
        <w:rPr>
          <w:szCs w:val="18"/>
        </w:rPr>
        <w:t>en</w:t>
      </w:r>
      <w:r w:rsidRPr="00A55317">
        <w:rPr>
          <w:i/>
          <w:iCs/>
          <w:szCs w:val="18"/>
        </w:rPr>
        <w:t xml:space="preserve"> Design en </w:t>
      </w:r>
      <w:r w:rsidRPr="00A55317">
        <w:rPr>
          <w:i/>
          <w:iCs/>
          <w:szCs w:val="18"/>
        </w:rPr>
        <w:lastRenderedPageBreak/>
        <w:t>decoratie</w:t>
      </w:r>
      <w:r w:rsidRPr="00A15009">
        <w:rPr>
          <w:szCs w:val="18"/>
        </w:rPr>
        <w:t xml:space="preserve">. </w:t>
      </w:r>
      <w:r>
        <w:rPr>
          <w:szCs w:val="18"/>
        </w:rPr>
        <w:t xml:space="preserve">Noemenswaardig is ook dat examens in </w:t>
      </w:r>
      <w:r w:rsidRPr="00A15009">
        <w:rPr>
          <w:i/>
          <w:szCs w:val="18"/>
        </w:rPr>
        <w:t>Interieurontwerp en –design</w:t>
      </w:r>
      <w:r w:rsidRPr="00A15009">
        <w:rPr>
          <w:szCs w:val="18"/>
        </w:rPr>
        <w:t xml:space="preserve"> </w:t>
      </w:r>
      <w:r>
        <w:rPr>
          <w:szCs w:val="18"/>
        </w:rPr>
        <w:t xml:space="preserve">relatief vaak ook </w:t>
      </w:r>
      <w:r w:rsidRPr="00A15009">
        <w:rPr>
          <w:szCs w:val="18"/>
        </w:rPr>
        <w:t xml:space="preserve">door leerlingen van het profiel </w:t>
      </w:r>
      <w:r>
        <w:rPr>
          <w:szCs w:val="18"/>
        </w:rPr>
        <w:t>Z&amp;W</w:t>
      </w:r>
      <w:r w:rsidRPr="00A15009">
        <w:rPr>
          <w:szCs w:val="18"/>
        </w:rPr>
        <w:t xml:space="preserve"> (276 examens) </w:t>
      </w:r>
      <w:r>
        <w:rPr>
          <w:szCs w:val="18"/>
        </w:rPr>
        <w:t>en</w:t>
      </w:r>
      <w:r w:rsidRPr="00A15009">
        <w:rPr>
          <w:szCs w:val="18"/>
        </w:rPr>
        <w:t xml:space="preserve"> </w:t>
      </w:r>
      <w:r>
        <w:rPr>
          <w:szCs w:val="18"/>
        </w:rPr>
        <w:t>E&amp;O</w:t>
      </w:r>
      <w:r w:rsidRPr="00A15009">
        <w:rPr>
          <w:szCs w:val="18"/>
        </w:rPr>
        <w:t xml:space="preserve"> (64 examens)</w:t>
      </w:r>
      <w:r>
        <w:rPr>
          <w:szCs w:val="18"/>
        </w:rPr>
        <w:t xml:space="preserve"> afgelegd worden</w:t>
      </w:r>
      <w:r w:rsidRPr="00A15009">
        <w:rPr>
          <w:szCs w:val="18"/>
        </w:rPr>
        <w:t>.</w:t>
      </w:r>
    </w:p>
    <w:p w:rsidR="00B52D66" w:rsidP="00B52D66" w:rsidRDefault="00B52D66" w14:paraId="2329EA1F" w14:textId="77777777">
      <w:pPr>
        <w:jc w:val="both"/>
        <w:rPr>
          <w:szCs w:val="18"/>
        </w:rPr>
      </w:pPr>
    </w:p>
    <w:p w:rsidR="00B52D66" w:rsidP="00B52D66" w:rsidRDefault="00B52D66" w14:paraId="1A076634" w14:textId="020B5299">
      <w:pPr>
        <w:jc w:val="both"/>
        <w:rPr>
          <w:szCs w:val="18"/>
        </w:rPr>
      </w:pPr>
      <w:r>
        <w:rPr>
          <w:b/>
          <w:szCs w:val="18"/>
        </w:rPr>
        <w:t>MaT</w:t>
      </w:r>
      <w:r w:rsidRPr="00B85EA4">
        <w:rPr>
          <w:b/>
          <w:szCs w:val="18"/>
        </w:rPr>
        <w:t>:</w:t>
      </w:r>
      <w:r w:rsidRPr="00B85EA4">
        <w:rPr>
          <w:szCs w:val="18"/>
        </w:rPr>
        <w:t xml:space="preserve"> Zoals reeds in Tabel </w:t>
      </w:r>
      <w:r w:rsidR="00121FDF">
        <w:rPr>
          <w:szCs w:val="18"/>
        </w:rPr>
        <w:t>B3</w:t>
      </w:r>
      <w:r w:rsidRPr="00B85EA4">
        <w:rPr>
          <w:szCs w:val="18"/>
        </w:rPr>
        <w:t xml:space="preserve">.8 en </w:t>
      </w:r>
      <w:r w:rsidR="00121FDF">
        <w:rPr>
          <w:szCs w:val="18"/>
        </w:rPr>
        <w:t>B3</w:t>
      </w:r>
      <w:r w:rsidRPr="00B85EA4">
        <w:rPr>
          <w:szCs w:val="18"/>
        </w:rPr>
        <w:t>.9 naar voren kwam, leggen</w:t>
      </w:r>
      <w:r w:rsidRPr="006258C0">
        <w:rPr>
          <w:szCs w:val="18"/>
        </w:rPr>
        <w:t xml:space="preserve"> MaT-leerlingen de meeste examens af binnen hun eigen profiel. Het aantal examens afgelegd in vakken buiten de techniek is vandaar ook heel klein. Dat wil zeggen, MaT is het meest homogene profiel. MaT-leerlingen </w:t>
      </w:r>
      <w:r>
        <w:rPr>
          <w:szCs w:val="18"/>
        </w:rPr>
        <w:t xml:space="preserve">leggen </w:t>
      </w:r>
      <w:r w:rsidRPr="006258C0">
        <w:rPr>
          <w:szCs w:val="18"/>
        </w:rPr>
        <w:t xml:space="preserve">in 2022/2023 </w:t>
      </w:r>
      <w:r>
        <w:rPr>
          <w:szCs w:val="18"/>
        </w:rPr>
        <w:t xml:space="preserve">examens af in keuzevakken van het profiel D&amp;P </w:t>
      </w:r>
      <w:r>
        <w:rPr>
          <w:i/>
          <w:iCs/>
          <w:szCs w:val="18"/>
        </w:rPr>
        <w:t xml:space="preserve">Geüniformeerde dienstverlening en veiligheid </w:t>
      </w:r>
      <w:r w:rsidRPr="00624F76">
        <w:rPr>
          <w:szCs w:val="18"/>
        </w:rPr>
        <w:t>(12 examens</w:t>
      </w:r>
      <w:r w:rsidRPr="002E596F">
        <w:rPr>
          <w:szCs w:val="18"/>
        </w:rPr>
        <w:t>),</w:t>
      </w:r>
      <w:r w:rsidRPr="002E596F">
        <w:rPr>
          <w:i/>
          <w:iCs/>
          <w:szCs w:val="18"/>
        </w:rPr>
        <w:t xml:space="preserve"> </w:t>
      </w:r>
      <w:r w:rsidRPr="002E596F">
        <w:rPr>
          <w:szCs w:val="18"/>
        </w:rPr>
        <w:t xml:space="preserve">in </w:t>
      </w:r>
      <w:r w:rsidRPr="002E596F">
        <w:rPr>
          <w:i/>
          <w:szCs w:val="18"/>
        </w:rPr>
        <w:t>Robotica</w:t>
      </w:r>
      <w:r w:rsidRPr="00A55317">
        <w:rPr>
          <w:rStyle w:val="Voetnootmarkering"/>
          <w:i/>
          <w:szCs w:val="18"/>
        </w:rPr>
        <w:footnoteReference w:id="13"/>
      </w:r>
      <w:r w:rsidRPr="002E596F">
        <w:rPr>
          <w:szCs w:val="18"/>
        </w:rPr>
        <w:t xml:space="preserve"> en</w:t>
      </w:r>
      <w:r w:rsidRPr="002E596F">
        <w:rPr>
          <w:i/>
          <w:iCs/>
          <w:szCs w:val="18"/>
        </w:rPr>
        <w:t xml:space="preserve"> </w:t>
      </w:r>
      <w:r w:rsidRPr="002E596F">
        <w:rPr>
          <w:szCs w:val="18"/>
        </w:rPr>
        <w:t>in</w:t>
      </w:r>
      <w:r w:rsidRPr="006258C0">
        <w:rPr>
          <w:szCs w:val="18"/>
        </w:rPr>
        <w:t xml:space="preserve"> </w:t>
      </w:r>
      <w:r w:rsidRPr="006258C0">
        <w:rPr>
          <w:i/>
          <w:szCs w:val="18"/>
        </w:rPr>
        <w:t>De bijzondere</w:t>
      </w:r>
      <w:r>
        <w:rPr>
          <w:i/>
          <w:szCs w:val="18"/>
        </w:rPr>
        <w:t xml:space="preserve"> keuken</w:t>
      </w:r>
      <w:r>
        <w:rPr>
          <w:iCs/>
          <w:szCs w:val="18"/>
        </w:rPr>
        <w:t xml:space="preserve"> (8 examens) van het profiel HBR</w:t>
      </w:r>
      <w:r w:rsidRPr="006258C0">
        <w:rPr>
          <w:szCs w:val="18"/>
        </w:rPr>
        <w:t xml:space="preserve">. </w:t>
      </w:r>
      <w:r>
        <w:rPr>
          <w:szCs w:val="18"/>
        </w:rPr>
        <w:t xml:space="preserve">Er zijn in totaal 65 examens afgelegd in MaT-keuzevakken door niet-techniek leerlingen. De grote meerderheid door leerlingen van het profiel D&amp;P (58 examens) en dan in de keuzevakken </w:t>
      </w:r>
      <w:r>
        <w:rPr>
          <w:i/>
          <w:iCs/>
          <w:szCs w:val="18"/>
        </w:rPr>
        <w:t xml:space="preserve">Stukadoor en vorkheftruck </w:t>
      </w:r>
      <w:r>
        <w:rPr>
          <w:szCs w:val="18"/>
        </w:rPr>
        <w:t xml:space="preserve">(20 examens) en </w:t>
      </w:r>
      <w:r>
        <w:rPr>
          <w:i/>
          <w:iCs/>
          <w:szCs w:val="18"/>
        </w:rPr>
        <w:t>Maritieme mechanische installaties</w:t>
      </w:r>
      <w:r>
        <w:rPr>
          <w:szCs w:val="18"/>
        </w:rPr>
        <w:t xml:space="preserve"> (20 examens). </w:t>
      </w:r>
    </w:p>
    <w:p w:rsidR="00B52D66" w:rsidP="00B52D66" w:rsidRDefault="00B52D66" w14:paraId="28E8A28C" w14:textId="77777777">
      <w:pPr>
        <w:jc w:val="both"/>
        <w:rPr>
          <w:szCs w:val="18"/>
        </w:rPr>
      </w:pPr>
    </w:p>
    <w:p w:rsidR="00B52D66" w:rsidP="00B52D66" w:rsidRDefault="00B52D66" w14:paraId="7FB09D89" w14:textId="77777777">
      <w:pPr>
        <w:jc w:val="both"/>
        <w:rPr>
          <w:szCs w:val="18"/>
        </w:rPr>
      </w:pPr>
      <w:r w:rsidRPr="00624F76">
        <w:rPr>
          <w:b/>
          <w:bCs/>
          <w:szCs w:val="18"/>
        </w:rPr>
        <w:t>MVI</w:t>
      </w:r>
      <w:r w:rsidRPr="00FE01D8">
        <w:rPr>
          <w:b/>
          <w:bCs/>
          <w:szCs w:val="18"/>
        </w:rPr>
        <w:t>:</w:t>
      </w:r>
      <w:r w:rsidRPr="006258C0">
        <w:rPr>
          <w:szCs w:val="18"/>
        </w:rPr>
        <w:t xml:space="preserve"> In tegenstelling tot MaT-leerlingen, leggen MVI-leerlingen het vaakst </w:t>
      </w:r>
      <w:r>
        <w:rPr>
          <w:szCs w:val="18"/>
        </w:rPr>
        <w:t xml:space="preserve">een </w:t>
      </w:r>
      <w:r w:rsidRPr="006258C0">
        <w:rPr>
          <w:szCs w:val="18"/>
        </w:rPr>
        <w:t xml:space="preserve">examen af in keuzevakken in andere profielen, met name uit </w:t>
      </w:r>
      <w:r>
        <w:rPr>
          <w:szCs w:val="18"/>
        </w:rPr>
        <w:t>E&amp;O</w:t>
      </w:r>
      <w:r w:rsidRPr="006258C0">
        <w:rPr>
          <w:szCs w:val="18"/>
        </w:rPr>
        <w:t xml:space="preserve"> (</w:t>
      </w:r>
      <w:r>
        <w:rPr>
          <w:szCs w:val="18"/>
        </w:rPr>
        <w:t>in</w:t>
      </w:r>
      <w:r w:rsidRPr="006258C0">
        <w:rPr>
          <w:szCs w:val="18"/>
        </w:rPr>
        <w:t xml:space="preserve"> </w:t>
      </w:r>
      <w:r>
        <w:rPr>
          <w:szCs w:val="18"/>
        </w:rPr>
        <w:t>d</w:t>
      </w:r>
      <w:r w:rsidRPr="006258C0">
        <w:rPr>
          <w:szCs w:val="18"/>
        </w:rPr>
        <w:t xml:space="preserve">e keuzevakken </w:t>
      </w:r>
      <w:r w:rsidRPr="006258C0">
        <w:rPr>
          <w:i/>
          <w:szCs w:val="18"/>
        </w:rPr>
        <w:t xml:space="preserve">Ondernemen </w:t>
      </w:r>
      <w:r w:rsidRPr="006258C0">
        <w:rPr>
          <w:szCs w:val="18"/>
        </w:rPr>
        <w:t xml:space="preserve">(123 examens), </w:t>
      </w:r>
      <w:r w:rsidRPr="006258C0">
        <w:rPr>
          <w:i/>
          <w:szCs w:val="18"/>
        </w:rPr>
        <w:t xml:space="preserve">Webshop </w:t>
      </w:r>
      <w:r w:rsidRPr="006258C0">
        <w:rPr>
          <w:szCs w:val="18"/>
        </w:rPr>
        <w:t>(82</w:t>
      </w:r>
      <w:r>
        <w:rPr>
          <w:szCs w:val="18"/>
        </w:rPr>
        <w:t xml:space="preserve"> examens</w:t>
      </w:r>
      <w:r w:rsidRPr="006258C0">
        <w:rPr>
          <w:szCs w:val="18"/>
        </w:rPr>
        <w:t xml:space="preserve">) en </w:t>
      </w:r>
      <w:r w:rsidRPr="006258C0">
        <w:rPr>
          <w:i/>
          <w:szCs w:val="18"/>
        </w:rPr>
        <w:t>Presentatie en styling</w:t>
      </w:r>
      <w:r w:rsidRPr="006258C0">
        <w:rPr>
          <w:szCs w:val="18"/>
        </w:rPr>
        <w:t xml:space="preserve"> (72</w:t>
      </w:r>
      <w:r>
        <w:rPr>
          <w:szCs w:val="18"/>
        </w:rPr>
        <w:t xml:space="preserve"> examens</w:t>
      </w:r>
      <w:r w:rsidRPr="006258C0">
        <w:rPr>
          <w:szCs w:val="18"/>
        </w:rPr>
        <w:t>)</w:t>
      </w:r>
      <w:r>
        <w:rPr>
          <w:szCs w:val="18"/>
        </w:rPr>
        <w:t xml:space="preserve"> en het profielmodule </w:t>
      </w:r>
      <w:r w:rsidRPr="00624F76">
        <w:rPr>
          <w:i/>
          <w:iCs/>
          <w:szCs w:val="18"/>
        </w:rPr>
        <w:t>Commercieel</w:t>
      </w:r>
      <w:r>
        <w:rPr>
          <w:i/>
          <w:iCs/>
          <w:szCs w:val="18"/>
        </w:rPr>
        <w:t xml:space="preserve"> (12 examens))</w:t>
      </w:r>
      <w:r w:rsidRPr="006258C0">
        <w:rPr>
          <w:szCs w:val="18"/>
        </w:rPr>
        <w:t xml:space="preserve">. MVI-leerlingen leggen een kwart van de examens buiten de techniek af binnen het profiel D&amp;P (205 examens). Vooral het keuzevak </w:t>
      </w:r>
      <w:r w:rsidRPr="006258C0">
        <w:rPr>
          <w:i/>
          <w:szCs w:val="18"/>
        </w:rPr>
        <w:t>Robotica</w:t>
      </w:r>
      <w:r w:rsidRPr="006258C0">
        <w:rPr>
          <w:szCs w:val="18"/>
        </w:rPr>
        <w:t xml:space="preserve"> is hierbij vermeldenswaardig</w:t>
      </w:r>
      <w:r>
        <w:rPr>
          <w:szCs w:val="18"/>
        </w:rPr>
        <w:t xml:space="preserve"> met </w:t>
      </w:r>
      <w:r w:rsidRPr="006258C0">
        <w:rPr>
          <w:szCs w:val="18"/>
        </w:rPr>
        <w:t>87 examens</w:t>
      </w:r>
      <w:r>
        <w:rPr>
          <w:szCs w:val="18"/>
        </w:rPr>
        <w:t xml:space="preserve">, maar ook </w:t>
      </w:r>
      <w:r>
        <w:rPr>
          <w:i/>
          <w:iCs/>
          <w:szCs w:val="18"/>
        </w:rPr>
        <w:t>Organiseren van een activiteit voor een opdrachtgever (module D&amp;P)</w:t>
      </w:r>
      <w:r>
        <w:rPr>
          <w:szCs w:val="18"/>
        </w:rPr>
        <w:t>.</w:t>
      </w:r>
      <w:r w:rsidRPr="006258C0">
        <w:rPr>
          <w:szCs w:val="18"/>
        </w:rPr>
        <w:t xml:space="preserve"> </w:t>
      </w:r>
      <w:r w:rsidRPr="00624F76">
        <w:rPr>
          <w:i/>
          <w:iCs/>
          <w:szCs w:val="18"/>
        </w:rPr>
        <w:t>De keuken</w:t>
      </w:r>
      <w:r>
        <w:rPr>
          <w:szCs w:val="18"/>
        </w:rPr>
        <w:t xml:space="preserve"> en </w:t>
      </w:r>
      <w:r w:rsidRPr="006258C0">
        <w:rPr>
          <w:i/>
          <w:szCs w:val="18"/>
        </w:rPr>
        <w:t>De bijzondere keuken</w:t>
      </w:r>
      <w:r w:rsidRPr="006258C0">
        <w:rPr>
          <w:szCs w:val="18"/>
        </w:rPr>
        <w:t xml:space="preserve"> </w:t>
      </w:r>
      <w:r>
        <w:rPr>
          <w:szCs w:val="18"/>
        </w:rPr>
        <w:t>van</w:t>
      </w:r>
      <w:r w:rsidRPr="006258C0">
        <w:rPr>
          <w:szCs w:val="18"/>
        </w:rPr>
        <w:t xml:space="preserve"> </w:t>
      </w:r>
      <w:r>
        <w:rPr>
          <w:szCs w:val="18"/>
        </w:rPr>
        <w:t>het profiel HBR</w:t>
      </w:r>
      <w:r w:rsidRPr="006258C0">
        <w:rPr>
          <w:szCs w:val="18"/>
        </w:rPr>
        <w:t xml:space="preserve"> en het keuzevak </w:t>
      </w:r>
      <w:r w:rsidRPr="006258C0">
        <w:rPr>
          <w:i/>
          <w:szCs w:val="18"/>
        </w:rPr>
        <w:t>Ondersteuning bij sport- en bewegingsactiviteiten</w:t>
      </w:r>
      <w:r w:rsidRPr="006258C0">
        <w:rPr>
          <w:szCs w:val="18"/>
        </w:rPr>
        <w:t xml:space="preserve"> in </w:t>
      </w:r>
      <w:r>
        <w:rPr>
          <w:szCs w:val="18"/>
        </w:rPr>
        <w:t>Z&amp;W</w:t>
      </w:r>
      <w:r w:rsidRPr="006258C0">
        <w:rPr>
          <w:szCs w:val="18"/>
        </w:rPr>
        <w:t xml:space="preserve"> worden ook </w:t>
      </w:r>
      <w:r>
        <w:rPr>
          <w:szCs w:val="18"/>
        </w:rPr>
        <w:t xml:space="preserve">relatief </w:t>
      </w:r>
      <w:r w:rsidRPr="006258C0">
        <w:rPr>
          <w:szCs w:val="18"/>
        </w:rPr>
        <w:t xml:space="preserve">vaak gekozen. </w:t>
      </w:r>
    </w:p>
    <w:p w:rsidR="00B52D66" w:rsidP="00B52D66" w:rsidRDefault="00B52D66" w14:paraId="35989851" w14:textId="77777777">
      <w:pPr>
        <w:jc w:val="both"/>
        <w:rPr>
          <w:szCs w:val="18"/>
        </w:rPr>
      </w:pPr>
    </w:p>
    <w:p w:rsidRPr="00F70A70" w:rsidR="00B52D66" w:rsidP="00B52D66" w:rsidRDefault="00B52D66" w14:paraId="3A182588" w14:textId="77777777">
      <w:pPr>
        <w:jc w:val="both"/>
        <w:rPr>
          <w:szCs w:val="18"/>
        </w:rPr>
      </w:pPr>
      <w:r w:rsidRPr="00F70A70">
        <w:rPr>
          <w:szCs w:val="18"/>
        </w:rPr>
        <w:t xml:space="preserve">Bijna 60 procent van de examens afgelegd door niet-techniekleerlingen </w:t>
      </w:r>
      <w:r>
        <w:rPr>
          <w:szCs w:val="18"/>
        </w:rPr>
        <w:t>betreft</w:t>
      </w:r>
      <w:r w:rsidRPr="00F70A70">
        <w:rPr>
          <w:szCs w:val="18"/>
        </w:rPr>
        <w:t xml:space="preserve"> technische keuzevakken </w:t>
      </w:r>
      <w:r>
        <w:rPr>
          <w:szCs w:val="18"/>
        </w:rPr>
        <w:t>van het profiel</w:t>
      </w:r>
      <w:r w:rsidRPr="00F70A70">
        <w:rPr>
          <w:szCs w:val="18"/>
        </w:rPr>
        <w:t xml:space="preserve"> MVI. </w:t>
      </w:r>
      <w:r>
        <w:rPr>
          <w:szCs w:val="18"/>
        </w:rPr>
        <w:t>Deze worden g</w:t>
      </w:r>
      <w:r w:rsidRPr="00F70A70">
        <w:rPr>
          <w:szCs w:val="18"/>
        </w:rPr>
        <w:t xml:space="preserve">rotendeels door leerlingen van D&amp;P (4.495 examens), maar ook van Groen (937 examens) en </w:t>
      </w:r>
      <w:r>
        <w:rPr>
          <w:szCs w:val="18"/>
        </w:rPr>
        <w:t>Z&amp;W</w:t>
      </w:r>
      <w:r w:rsidRPr="00F70A70">
        <w:rPr>
          <w:szCs w:val="18"/>
        </w:rPr>
        <w:t xml:space="preserve"> (931 examens)</w:t>
      </w:r>
      <w:r>
        <w:rPr>
          <w:szCs w:val="18"/>
        </w:rPr>
        <w:t xml:space="preserve"> afgelegd</w:t>
      </w:r>
      <w:r w:rsidRPr="00F70A70">
        <w:rPr>
          <w:szCs w:val="18"/>
        </w:rPr>
        <w:t xml:space="preserve">. Dit zijn </w:t>
      </w:r>
      <w:r w:rsidRPr="00F70A70">
        <w:rPr>
          <w:i/>
          <w:szCs w:val="18"/>
        </w:rPr>
        <w:t xml:space="preserve">Fotografie </w:t>
      </w:r>
      <w:r w:rsidRPr="00F70A70">
        <w:rPr>
          <w:szCs w:val="18"/>
        </w:rPr>
        <w:t xml:space="preserve">(in totaal 1.809 examens), </w:t>
      </w:r>
      <w:r w:rsidRPr="00F70A70">
        <w:rPr>
          <w:i/>
          <w:szCs w:val="18"/>
        </w:rPr>
        <w:t xml:space="preserve">Tekenen, schilderen en illustreren </w:t>
      </w:r>
      <w:r w:rsidRPr="00F70A70">
        <w:rPr>
          <w:szCs w:val="18"/>
        </w:rPr>
        <w:t xml:space="preserve">(992 examens), </w:t>
      </w:r>
      <w:r w:rsidRPr="00F70A70">
        <w:rPr>
          <w:i/>
          <w:szCs w:val="18"/>
        </w:rPr>
        <w:t xml:space="preserve">Vormgeven en typografie </w:t>
      </w:r>
      <w:r w:rsidRPr="00F70A70">
        <w:rPr>
          <w:szCs w:val="18"/>
        </w:rPr>
        <w:t xml:space="preserve">(925 examens), </w:t>
      </w:r>
      <w:r w:rsidRPr="00F70A70">
        <w:rPr>
          <w:i/>
          <w:szCs w:val="18"/>
        </w:rPr>
        <w:t>Idee-ontwikkeling</w:t>
      </w:r>
      <w:r w:rsidRPr="00F70A70">
        <w:rPr>
          <w:szCs w:val="18"/>
        </w:rPr>
        <w:t xml:space="preserve"> (727 examens), </w:t>
      </w:r>
      <w:r w:rsidRPr="00F70A70">
        <w:rPr>
          <w:i/>
          <w:szCs w:val="18"/>
        </w:rPr>
        <w:t xml:space="preserve">3D-vormgeving en –realisatie </w:t>
      </w:r>
      <w:r w:rsidRPr="00F70A70">
        <w:rPr>
          <w:szCs w:val="18"/>
        </w:rPr>
        <w:t>(684 examens)</w:t>
      </w:r>
      <w:r>
        <w:rPr>
          <w:szCs w:val="18"/>
        </w:rPr>
        <w:t xml:space="preserve">, </w:t>
      </w:r>
      <w:r w:rsidRPr="00F70A70">
        <w:rPr>
          <w:i/>
          <w:iCs/>
          <w:szCs w:val="18"/>
        </w:rPr>
        <w:t>Sign</w:t>
      </w:r>
      <w:r w:rsidRPr="00F70A70">
        <w:rPr>
          <w:szCs w:val="18"/>
        </w:rPr>
        <w:t xml:space="preserve"> (499 examens)</w:t>
      </w:r>
      <w:r>
        <w:rPr>
          <w:szCs w:val="18"/>
        </w:rPr>
        <w:t xml:space="preserve"> en </w:t>
      </w:r>
      <w:r>
        <w:rPr>
          <w:i/>
          <w:iCs/>
        </w:rPr>
        <w:t xml:space="preserve">Audiovisuele vormgeving en productie </w:t>
      </w:r>
      <w:r>
        <w:t xml:space="preserve">en </w:t>
      </w:r>
      <w:r>
        <w:rPr>
          <w:i/>
          <w:iCs/>
        </w:rPr>
        <w:t>ICT</w:t>
      </w:r>
      <w:r>
        <w:t xml:space="preserve"> met beiden zo’n 300 examens</w:t>
      </w:r>
      <w:r w:rsidRPr="00F70A70">
        <w:rPr>
          <w:szCs w:val="18"/>
        </w:rPr>
        <w:t>.</w:t>
      </w:r>
    </w:p>
    <w:p w:rsidRPr="00A95389" w:rsidR="00B52D66" w:rsidP="00B52D66" w:rsidRDefault="00B52D66" w14:paraId="4B649E88" w14:textId="77777777">
      <w:pPr>
        <w:jc w:val="both"/>
        <w:rPr>
          <w:szCs w:val="18"/>
          <w:highlight w:val="yellow"/>
        </w:rPr>
      </w:pPr>
    </w:p>
    <w:p w:rsidR="00B52D66" w:rsidP="00B52D66" w:rsidRDefault="00B52D66" w14:paraId="6E22B639" w14:textId="77777777">
      <w:pPr>
        <w:jc w:val="both"/>
        <w:rPr>
          <w:szCs w:val="18"/>
        </w:rPr>
      </w:pPr>
      <w:r>
        <w:rPr>
          <w:b/>
          <w:szCs w:val="18"/>
        </w:rPr>
        <w:t>M&amp;T</w:t>
      </w:r>
      <w:r w:rsidRPr="0043684A">
        <w:rPr>
          <w:b/>
          <w:szCs w:val="18"/>
        </w:rPr>
        <w:t>:</w:t>
      </w:r>
      <w:r w:rsidRPr="0043684A">
        <w:rPr>
          <w:szCs w:val="18"/>
        </w:rPr>
        <w:t xml:space="preserve"> </w:t>
      </w:r>
      <w:r>
        <w:rPr>
          <w:szCs w:val="18"/>
        </w:rPr>
        <w:t>L</w:t>
      </w:r>
      <w:r w:rsidRPr="0043684A">
        <w:rPr>
          <w:szCs w:val="18"/>
        </w:rPr>
        <w:t xml:space="preserve">eerlingen van het profiel M&amp;T </w:t>
      </w:r>
      <w:r>
        <w:rPr>
          <w:szCs w:val="18"/>
        </w:rPr>
        <w:t xml:space="preserve">leggen </w:t>
      </w:r>
      <w:r w:rsidRPr="0043684A">
        <w:rPr>
          <w:szCs w:val="18"/>
        </w:rPr>
        <w:t>het vaakst examens af in</w:t>
      </w:r>
      <w:r>
        <w:rPr>
          <w:szCs w:val="18"/>
        </w:rPr>
        <w:t xml:space="preserve"> </w:t>
      </w:r>
      <w:r w:rsidRPr="0043684A">
        <w:rPr>
          <w:i/>
          <w:szCs w:val="18"/>
        </w:rPr>
        <w:t>Ondersteuning bij sport- en bewegingsactiviteiten</w:t>
      </w:r>
      <w:r w:rsidRPr="0043684A">
        <w:rPr>
          <w:szCs w:val="18"/>
        </w:rPr>
        <w:t xml:space="preserve"> (</w:t>
      </w:r>
      <w:r>
        <w:rPr>
          <w:szCs w:val="18"/>
        </w:rPr>
        <w:t>56 examens</w:t>
      </w:r>
      <w:r w:rsidRPr="0043684A">
        <w:rPr>
          <w:szCs w:val="18"/>
        </w:rPr>
        <w:t>)</w:t>
      </w:r>
      <w:r>
        <w:rPr>
          <w:szCs w:val="18"/>
        </w:rPr>
        <w:t xml:space="preserve"> aangeboden door het profiel Z&amp;W. Ook keuzevakken van het profiel E&amp;O</w:t>
      </w:r>
      <w:r w:rsidRPr="0043684A">
        <w:rPr>
          <w:szCs w:val="18"/>
        </w:rPr>
        <w:t xml:space="preserve"> </w:t>
      </w:r>
      <w:r>
        <w:rPr>
          <w:szCs w:val="18"/>
        </w:rPr>
        <w:t xml:space="preserve">kwamen naar voren, met name </w:t>
      </w:r>
      <w:r w:rsidRPr="0043684A">
        <w:rPr>
          <w:i/>
          <w:szCs w:val="18"/>
        </w:rPr>
        <w:t>Ondernemen</w:t>
      </w:r>
      <w:r w:rsidRPr="0043684A">
        <w:rPr>
          <w:szCs w:val="18"/>
        </w:rPr>
        <w:t xml:space="preserve"> (</w:t>
      </w:r>
      <w:r>
        <w:rPr>
          <w:szCs w:val="18"/>
        </w:rPr>
        <w:t>55 examens</w:t>
      </w:r>
      <w:r w:rsidRPr="0043684A">
        <w:rPr>
          <w:szCs w:val="18"/>
        </w:rPr>
        <w:t>)</w:t>
      </w:r>
      <w:r>
        <w:rPr>
          <w:szCs w:val="18"/>
        </w:rPr>
        <w:t xml:space="preserve"> en </w:t>
      </w:r>
      <w:r>
        <w:rPr>
          <w:i/>
          <w:iCs/>
          <w:szCs w:val="18"/>
        </w:rPr>
        <w:t>Logistiek</w:t>
      </w:r>
      <w:r>
        <w:rPr>
          <w:szCs w:val="18"/>
        </w:rPr>
        <w:t xml:space="preserve"> en van het profiel D&amp;P de keuzevakken </w:t>
      </w:r>
      <w:r>
        <w:rPr>
          <w:i/>
          <w:szCs w:val="18"/>
        </w:rPr>
        <w:t>Geüniformeerde dienstverlening en veiligheid</w:t>
      </w:r>
      <w:r w:rsidRPr="0043684A">
        <w:rPr>
          <w:szCs w:val="18"/>
        </w:rPr>
        <w:t xml:space="preserve"> (2</w:t>
      </w:r>
      <w:r>
        <w:rPr>
          <w:szCs w:val="18"/>
        </w:rPr>
        <w:t>6</w:t>
      </w:r>
      <w:r w:rsidRPr="00E8608A">
        <w:rPr>
          <w:szCs w:val="18"/>
        </w:rPr>
        <w:t>)</w:t>
      </w:r>
      <w:r>
        <w:rPr>
          <w:szCs w:val="18"/>
        </w:rPr>
        <w:t xml:space="preserve"> en </w:t>
      </w:r>
      <w:r>
        <w:rPr>
          <w:i/>
          <w:iCs/>
          <w:szCs w:val="18"/>
        </w:rPr>
        <w:t>Multimediale producten maken</w:t>
      </w:r>
      <w:r w:rsidRPr="00E8608A">
        <w:rPr>
          <w:szCs w:val="18"/>
        </w:rPr>
        <w:t xml:space="preserve">. </w:t>
      </w:r>
    </w:p>
    <w:p w:rsidR="00B52D66" w:rsidP="00B52D66" w:rsidRDefault="00B52D66" w14:paraId="44B59B59" w14:textId="77777777">
      <w:pPr>
        <w:jc w:val="both"/>
        <w:rPr>
          <w:szCs w:val="18"/>
        </w:rPr>
      </w:pPr>
    </w:p>
    <w:p w:rsidRPr="00E8608A" w:rsidR="00B52D66" w:rsidP="00B52D66" w:rsidRDefault="00B52D66" w14:paraId="06157BE1" w14:textId="77777777">
      <w:pPr>
        <w:jc w:val="both"/>
        <w:rPr>
          <w:szCs w:val="18"/>
        </w:rPr>
      </w:pPr>
      <w:r>
        <w:rPr>
          <w:szCs w:val="18"/>
        </w:rPr>
        <w:t>Drie</w:t>
      </w:r>
      <w:r w:rsidRPr="00E8608A">
        <w:rPr>
          <w:szCs w:val="18"/>
        </w:rPr>
        <w:t xml:space="preserve"> keuzevakken</w:t>
      </w:r>
      <w:r>
        <w:rPr>
          <w:szCs w:val="18"/>
        </w:rPr>
        <w:t xml:space="preserve"> of profielmodules</w:t>
      </w:r>
      <w:r w:rsidRPr="00E8608A">
        <w:rPr>
          <w:szCs w:val="18"/>
        </w:rPr>
        <w:t xml:space="preserve"> aangeboden door M&amp;T zijn aantrekkelijk voor leerlingen van het profiel D&amp;P</w:t>
      </w:r>
      <w:r>
        <w:rPr>
          <w:szCs w:val="18"/>
        </w:rPr>
        <w:t xml:space="preserve"> en Groen</w:t>
      </w:r>
      <w:r w:rsidRPr="00E8608A">
        <w:rPr>
          <w:szCs w:val="18"/>
        </w:rPr>
        <w:t xml:space="preserve">: </w:t>
      </w:r>
      <w:r w:rsidRPr="00E8608A">
        <w:rPr>
          <w:i/>
          <w:szCs w:val="18"/>
        </w:rPr>
        <w:t>Fietstechniek</w:t>
      </w:r>
      <w:r>
        <w:rPr>
          <w:szCs w:val="18"/>
        </w:rPr>
        <w:t>,</w:t>
      </w:r>
      <w:r w:rsidRPr="00E8608A">
        <w:rPr>
          <w:szCs w:val="18"/>
        </w:rPr>
        <w:t xml:space="preserve"> </w:t>
      </w:r>
      <w:r w:rsidRPr="004E7A91">
        <w:rPr>
          <w:i/>
          <w:iCs/>
          <w:szCs w:val="18"/>
        </w:rPr>
        <w:t>Motorconditie testen</w:t>
      </w:r>
      <w:r w:rsidRPr="00E8608A" w:rsidDel="00E66A51">
        <w:rPr>
          <w:szCs w:val="18"/>
        </w:rPr>
        <w:t xml:space="preserve"> </w:t>
      </w:r>
      <w:r>
        <w:rPr>
          <w:szCs w:val="18"/>
        </w:rPr>
        <w:t xml:space="preserve">en </w:t>
      </w:r>
      <w:r w:rsidRPr="00E8608A">
        <w:rPr>
          <w:i/>
          <w:szCs w:val="18"/>
        </w:rPr>
        <w:t>Gemotoriseerde tweewieler</w:t>
      </w:r>
      <w:r>
        <w:rPr>
          <w:szCs w:val="18"/>
        </w:rPr>
        <w:t xml:space="preserve">. </w:t>
      </w:r>
      <w:r w:rsidRPr="00E8608A">
        <w:rPr>
          <w:szCs w:val="18"/>
        </w:rPr>
        <w:t>Leerlingen van het profiel Groen doen ook examens in de keuzevakken</w:t>
      </w:r>
      <w:r w:rsidRPr="00E8608A">
        <w:rPr>
          <w:i/>
          <w:szCs w:val="18"/>
        </w:rPr>
        <w:t xml:space="preserve"> Mobiele werktuigen</w:t>
      </w:r>
      <w:r w:rsidRPr="00E8608A">
        <w:rPr>
          <w:szCs w:val="18"/>
        </w:rPr>
        <w:t xml:space="preserve"> (40), </w:t>
      </w:r>
      <w:r w:rsidRPr="00E8608A">
        <w:rPr>
          <w:i/>
          <w:szCs w:val="18"/>
        </w:rPr>
        <w:t>Gemotoriseerde Tweewieler</w:t>
      </w:r>
      <w:r w:rsidRPr="00E8608A">
        <w:rPr>
          <w:szCs w:val="18"/>
        </w:rPr>
        <w:t xml:space="preserve"> (38 examens) en </w:t>
      </w:r>
      <w:r w:rsidRPr="00E8608A">
        <w:rPr>
          <w:i/>
          <w:szCs w:val="18"/>
        </w:rPr>
        <w:t>Verbrandingsmotoren</w:t>
      </w:r>
      <w:r w:rsidRPr="00E8608A">
        <w:rPr>
          <w:szCs w:val="18"/>
        </w:rPr>
        <w:t xml:space="preserve"> (25</w:t>
      </w:r>
      <w:r>
        <w:rPr>
          <w:szCs w:val="18"/>
        </w:rPr>
        <w:t xml:space="preserve"> examens</w:t>
      </w:r>
      <w:r w:rsidRPr="00E8608A">
        <w:rPr>
          <w:szCs w:val="18"/>
        </w:rPr>
        <w:t xml:space="preserve">). </w:t>
      </w:r>
    </w:p>
    <w:p w:rsidR="00B52D66" w:rsidP="00B52D66" w:rsidRDefault="00B52D66" w14:paraId="013E125A" w14:textId="77777777">
      <w:pPr>
        <w:jc w:val="both"/>
        <w:rPr>
          <w:szCs w:val="18"/>
          <w:highlight w:val="yellow"/>
        </w:rPr>
      </w:pPr>
    </w:p>
    <w:p w:rsidR="00B52D66" w:rsidP="00B52D66" w:rsidRDefault="00B52D66" w14:paraId="4552AF3B" w14:textId="77777777">
      <w:pPr>
        <w:jc w:val="both"/>
        <w:rPr>
          <w:szCs w:val="18"/>
        </w:rPr>
      </w:pPr>
      <w:r w:rsidRPr="00624F76">
        <w:rPr>
          <w:b/>
          <w:bCs/>
          <w:szCs w:val="18"/>
        </w:rPr>
        <w:t>PIE</w:t>
      </w:r>
      <w:r w:rsidRPr="00C72EF0">
        <w:rPr>
          <w:b/>
          <w:bCs/>
          <w:szCs w:val="18"/>
        </w:rPr>
        <w:t>:</w:t>
      </w:r>
      <w:r w:rsidRPr="00BD08E0">
        <w:rPr>
          <w:b/>
          <w:szCs w:val="18"/>
        </w:rPr>
        <w:t xml:space="preserve"> </w:t>
      </w:r>
      <w:r w:rsidRPr="00BD08E0">
        <w:rPr>
          <w:szCs w:val="18"/>
        </w:rPr>
        <w:t xml:space="preserve">De </w:t>
      </w:r>
      <w:r>
        <w:rPr>
          <w:szCs w:val="18"/>
        </w:rPr>
        <w:t>meest afgelegde examens in</w:t>
      </w:r>
      <w:r w:rsidRPr="00BD08E0">
        <w:rPr>
          <w:szCs w:val="18"/>
        </w:rPr>
        <w:t xml:space="preserve"> keuzevakken van PIE-leerlingen zijn </w:t>
      </w:r>
      <w:r w:rsidRPr="00BD08E0">
        <w:rPr>
          <w:i/>
          <w:szCs w:val="18"/>
        </w:rPr>
        <w:t xml:space="preserve">Robotica </w:t>
      </w:r>
      <w:r w:rsidRPr="00BD08E0">
        <w:rPr>
          <w:szCs w:val="18"/>
        </w:rPr>
        <w:t>(2</w:t>
      </w:r>
      <w:r>
        <w:rPr>
          <w:szCs w:val="18"/>
        </w:rPr>
        <w:t>63</w:t>
      </w:r>
      <w:r w:rsidRPr="00BD08E0">
        <w:rPr>
          <w:szCs w:val="18"/>
        </w:rPr>
        <w:t xml:space="preserve"> examens)</w:t>
      </w:r>
      <w:r>
        <w:rPr>
          <w:szCs w:val="18"/>
        </w:rPr>
        <w:t xml:space="preserve"> van het profiel D&amp;P</w:t>
      </w:r>
      <w:r w:rsidRPr="00BD08E0">
        <w:rPr>
          <w:szCs w:val="18"/>
        </w:rPr>
        <w:t xml:space="preserve">, </w:t>
      </w:r>
      <w:r w:rsidRPr="00BD08E0">
        <w:rPr>
          <w:i/>
          <w:szCs w:val="18"/>
        </w:rPr>
        <w:t>Ondernemen</w:t>
      </w:r>
      <w:r w:rsidRPr="00BD08E0">
        <w:rPr>
          <w:szCs w:val="18"/>
        </w:rPr>
        <w:t xml:space="preserve"> (</w:t>
      </w:r>
      <w:r>
        <w:rPr>
          <w:szCs w:val="18"/>
        </w:rPr>
        <w:t>129</w:t>
      </w:r>
      <w:r w:rsidRPr="00BD08E0">
        <w:rPr>
          <w:szCs w:val="18"/>
        </w:rPr>
        <w:t xml:space="preserve"> examens) en </w:t>
      </w:r>
      <w:r w:rsidRPr="00BD08E0">
        <w:rPr>
          <w:i/>
          <w:szCs w:val="18"/>
        </w:rPr>
        <w:t>Ondersteuning bij sport- en bewegingsactiviteiten</w:t>
      </w:r>
      <w:r w:rsidRPr="00BD08E0">
        <w:rPr>
          <w:szCs w:val="18"/>
        </w:rPr>
        <w:t xml:space="preserve"> (</w:t>
      </w:r>
      <w:r>
        <w:rPr>
          <w:szCs w:val="18"/>
        </w:rPr>
        <w:t>87 examens</w:t>
      </w:r>
      <w:r w:rsidRPr="00BD08E0">
        <w:rPr>
          <w:szCs w:val="18"/>
        </w:rPr>
        <w:t>)</w:t>
      </w:r>
      <w:r>
        <w:rPr>
          <w:szCs w:val="18"/>
        </w:rPr>
        <w:t xml:space="preserve"> van het profiel Z&amp;W</w:t>
      </w:r>
      <w:r w:rsidRPr="00BD08E0">
        <w:rPr>
          <w:szCs w:val="18"/>
        </w:rPr>
        <w:t xml:space="preserve">. </w:t>
      </w:r>
    </w:p>
    <w:p w:rsidR="00B52D66" w:rsidP="00B52D66" w:rsidRDefault="00B52D66" w14:paraId="10194E8B" w14:textId="77777777">
      <w:pPr>
        <w:jc w:val="both"/>
        <w:rPr>
          <w:szCs w:val="18"/>
        </w:rPr>
      </w:pPr>
    </w:p>
    <w:p w:rsidR="00B52D66" w:rsidRDefault="00B52D66" w14:paraId="35E6DCD9" w14:textId="2D1BFDCD">
      <w:pPr>
        <w:jc w:val="both"/>
      </w:pPr>
      <w:r>
        <w:t xml:space="preserve">In vier keuzevakken van het profiel PIE worden relatief vaak examens afgelegd door leerlingen van de profielen D&amp;P en Groen. Leerlingen van Groen sloten </w:t>
      </w:r>
      <w:r w:rsidRPr="37AE4718">
        <w:rPr>
          <w:i/>
          <w:iCs/>
        </w:rPr>
        <w:t>Praktisch booglassen</w:t>
      </w:r>
      <w:r>
        <w:t xml:space="preserve"> (323 examens) en </w:t>
      </w:r>
      <w:r w:rsidRPr="37AE4718">
        <w:rPr>
          <w:i/>
          <w:iCs/>
        </w:rPr>
        <w:t>Booglasprocessen</w:t>
      </w:r>
      <w:r>
        <w:t xml:space="preserve"> (147 examens) met een examen af. Leerlingen van D&amp;P leggen examens af in keuzevakken </w:t>
      </w:r>
      <w:r w:rsidRPr="37AE4718">
        <w:rPr>
          <w:i/>
          <w:iCs/>
        </w:rPr>
        <w:t>Plaat- en constructiewerk</w:t>
      </w:r>
      <w:r>
        <w:t xml:space="preserve"> (210 examens), </w:t>
      </w:r>
      <w:r w:rsidRPr="37AE4718">
        <w:rPr>
          <w:i/>
          <w:iCs/>
        </w:rPr>
        <w:t>Booglasprocessen</w:t>
      </w:r>
      <w:r>
        <w:t xml:space="preserve"> (156 examens) en </w:t>
      </w:r>
      <w:r w:rsidRPr="37AE4718">
        <w:rPr>
          <w:i/>
          <w:iCs/>
        </w:rPr>
        <w:t>Woon- en kantoortechnologie</w:t>
      </w:r>
      <w:r>
        <w:t xml:space="preserve"> (119 examens). Ook in de </w:t>
      </w:r>
      <w:r w:rsidR="5009AF3D">
        <w:t>profiel</w:t>
      </w:r>
      <w:r>
        <w:t xml:space="preserve">modules </w:t>
      </w:r>
      <w:r w:rsidRPr="37AE4718">
        <w:rPr>
          <w:i/>
          <w:iCs/>
        </w:rPr>
        <w:t xml:space="preserve">Installeren en monteren </w:t>
      </w:r>
      <w:r>
        <w:t xml:space="preserve">en </w:t>
      </w:r>
      <w:r w:rsidRPr="37AE4718">
        <w:rPr>
          <w:i/>
          <w:iCs/>
        </w:rPr>
        <w:t xml:space="preserve">Bewerken en verbinden van materialen </w:t>
      </w:r>
      <w:r>
        <w:t xml:space="preserve">worden relatief vaker examens afgelegd. </w:t>
      </w:r>
    </w:p>
    <w:p w:rsidR="00B52D66" w:rsidP="00B52D66" w:rsidRDefault="00B52D66" w14:paraId="74B34D11" w14:textId="77777777">
      <w:pPr>
        <w:jc w:val="both"/>
        <w:rPr>
          <w:szCs w:val="18"/>
        </w:rPr>
      </w:pPr>
    </w:p>
    <w:p w:rsidRPr="00A45539" w:rsidR="00B52D66" w:rsidP="00B52D66" w:rsidRDefault="00B52D66" w14:paraId="1DA07605" w14:textId="77777777">
      <w:pPr>
        <w:rPr>
          <w:szCs w:val="18"/>
        </w:rPr>
      </w:pPr>
    </w:p>
    <w:p w:rsidR="00B52D66" w:rsidP="00B52D66" w:rsidRDefault="00B52D66" w14:paraId="2FDC6693" w14:textId="77777777">
      <w:pPr>
        <w:pStyle w:val="Kop3"/>
        <w:rPr>
          <w:szCs w:val="18"/>
        </w:rPr>
      </w:pPr>
      <w:bookmarkStart w:name="_Toc125541259" w:id="173"/>
      <w:bookmarkStart w:name="_Toc127528909" w:id="174"/>
      <w:bookmarkStart w:name="_Toc158042072" w:id="175"/>
      <w:bookmarkStart w:name="_Toc203573635" w:id="176"/>
      <w:r w:rsidRPr="00A45539">
        <w:rPr>
          <w:szCs w:val="18"/>
        </w:rPr>
        <w:t>Samenvatting keuzevakken</w:t>
      </w:r>
      <w:bookmarkEnd w:id="173"/>
      <w:bookmarkEnd w:id="174"/>
      <w:bookmarkEnd w:id="175"/>
      <w:bookmarkEnd w:id="176"/>
    </w:p>
    <w:p w:rsidR="00B52D66" w:rsidP="00B52D66" w:rsidRDefault="00B52D66" w14:paraId="3557D731" w14:textId="77777777">
      <w:pPr>
        <w:pStyle w:val="Plattetekst"/>
        <w:rPr>
          <w:lang w:eastAsia="en-US"/>
        </w:rPr>
      </w:pPr>
    </w:p>
    <w:p w:rsidRPr="00EB0195" w:rsidR="00B52D66" w:rsidP="00B52D66" w:rsidRDefault="00B52D66" w14:paraId="05E738B6" w14:textId="25E475C5">
      <w:pPr>
        <w:jc w:val="both"/>
      </w:pPr>
      <w:r>
        <w:lastRenderedPageBreak/>
        <w:t xml:space="preserve">Het aantal examens in keuzevakken en profielmodules is afgenomen met zesduizend examens tussen 2021/2022 en 2022/2023. Het aandeel examens in keuzevakken en profielmodules horend tot een van de vijf technische profielen bedraagt 28 procent. Leerlingen blijven overwegend trouw aan hun eigen profiel bij de keuze van keuzevakken. Dit zou erop kunnen wijzen dat leerlingen zich vooral toeleggen op verdieping en minder op verbreding. Verder zijn leerlingen ook vaak afhankelijk van het aanbod aan keuzevakken op hun school. </w:t>
      </w:r>
    </w:p>
    <w:p w:rsidRPr="00261DF1" w:rsidR="00B52D66" w:rsidP="00B52D66" w:rsidRDefault="00B52D66" w14:paraId="127763A7" w14:textId="77777777">
      <w:pPr>
        <w:jc w:val="both"/>
        <w:rPr>
          <w:szCs w:val="18"/>
          <w:highlight w:val="yellow"/>
        </w:rPr>
      </w:pPr>
    </w:p>
    <w:p w:rsidRPr="00A45539" w:rsidR="00B52D66" w:rsidP="00B52D66" w:rsidRDefault="00B52D66" w14:paraId="0936C6BA" w14:textId="77777777">
      <w:pPr>
        <w:jc w:val="both"/>
        <w:rPr>
          <w:szCs w:val="18"/>
        </w:rPr>
      </w:pPr>
      <w:r w:rsidRPr="009A5AC4">
        <w:rPr>
          <w:szCs w:val="18"/>
        </w:rPr>
        <w:t>Voor de vijf technische profielen geldt dat - met uitzondering van MVI en PIE</w:t>
      </w:r>
      <w:r>
        <w:rPr>
          <w:szCs w:val="18"/>
        </w:rPr>
        <w:t xml:space="preserve"> </w:t>
      </w:r>
      <w:r w:rsidRPr="009A5AC4">
        <w:rPr>
          <w:szCs w:val="18"/>
        </w:rPr>
        <w:t xml:space="preserve">- 83 procent of meer van de keuzevakken waarin leerlingen examens aflegden tot het eigen profiel behoorden. Wanneer wel examen in een keuzevak of </w:t>
      </w:r>
      <w:r>
        <w:rPr>
          <w:szCs w:val="18"/>
        </w:rPr>
        <w:t>profiel</w:t>
      </w:r>
      <w:r w:rsidRPr="009A5AC4">
        <w:rPr>
          <w:szCs w:val="18"/>
        </w:rPr>
        <w:t xml:space="preserve">module van een ander profiel afgelegd </w:t>
      </w:r>
      <w:r>
        <w:rPr>
          <w:szCs w:val="18"/>
        </w:rPr>
        <w:t>werd</w:t>
      </w:r>
      <w:r w:rsidRPr="009A5AC4">
        <w:rPr>
          <w:szCs w:val="18"/>
        </w:rPr>
        <w:t xml:space="preserve">, deden leerlingen van techniekprofielen dat meestal in een ander technisch profiel. Het aandeel examens in niet-technische keuzevakken en </w:t>
      </w:r>
      <w:r>
        <w:rPr>
          <w:szCs w:val="18"/>
        </w:rPr>
        <w:t>profiel</w:t>
      </w:r>
      <w:r w:rsidRPr="009A5AC4">
        <w:rPr>
          <w:szCs w:val="18"/>
        </w:rPr>
        <w:t>modules afgelegd door leerlingen van de profielen BWI, M&amp;T, MaT en PIE is tussen de 3 en 8 procent in het schooljaar 2022/2023. Dit is ook zo bij leerlingen van niet-technische profielen. Er zijn wel uitzonderingen: de meeste “uitwisseling” tussen techniek en niet-techniek vond plaats in de profielen MVI en D&amp;P.</w:t>
      </w:r>
    </w:p>
    <w:p w:rsidRPr="00A45539" w:rsidR="00B52D66" w:rsidP="00B52D66" w:rsidRDefault="00B52D66" w14:paraId="157284DF" w14:textId="77777777">
      <w:pPr>
        <w:jc w:val="both"/>
        <w:rPr>
          <w:szCs w:val="18"/>
        </w:rPr>
      </w:pPr>
    </w:p>
    <w:p w:rsidRPr="009A5AC4" w:rsidR="00B52D66" w:rsidP="00B52D66" w:rsidRDefault="00B52D66" w14:paraId="6560146F" w14:textId="77777777">
      <w:pPr>
        <w:jc w:val="both"/>
        <w:rPr>
          <w:szCs w:val="18"/>
        </w:rPr>
      </w:pPr>
      <w:r>
        <w:rPr>
          <w:szCs w:val="18"/>
        </w:rPr>
        <w:t>Indien</w:t>
      </w:r>
      <w:r w:rsidRPr="005C150F">
        <w:rPr>
          <w:szCs w:val="18"/>
        </w:rPr>
        <w:t xml:space="preserve"> leerlingen van technische profielen examens</w:t>
      </w:r>
      <w:r>
        <w:rPr>
          <w:szCs w:val="18"/>
        </w:rPr>
        <w:t xml:space="preserve"> aflegden </w:t>
      </w:r>
      <w:r w:rsidRPr="005C150F">
        <w:rPr>
          <w:szCs w:val="18"/>
        </w:rPr>
        <w:t>in keuzevakken</w:t>
      </w:r>
      <w:r>
        <w:rPr>
          <w:szCs w:val="18"/>
        </w:rPr>
        <w:t xml:space="preserve"> van niet-</w:t>
      </w:r>
      <w:r w:rsidRPr="005C150F">
        <w:rPr>
          <w:szCs w:val="18"/>
        </w:rPr>
        <w:t xml:space="preserve">technische profielen, </w:t>
      </w:r>
      <w:r>
        <w:rPr>
          <w:szCs w:val="18"/>
        </w:rPr>
        <w:t>kozen zij</w:t>
      </w:r>
      <w:r w:rsidRPr="005C150F">
        <w:rPr>
          <w:szCs w:val="18"/>
        </w:rPr>
        <w:t xml:space="preserve"> het vaakst het keuzevak </w:t>
      </w:r>
      <w:r w:rsidRPr="005C150F">
        <w:rPr>
          <w:i/>
          <w:szCs w:val="18"/>
        </w:rPr>
        <w:t>Ondernemen</w:t>
      </w:r>
      <w:r w:rsidRPr="005C150F">
        <w:rPr>
          <w:szCs w:val="18"/>
        </w:rPr>
        <w:t xml:space="preserve"> van het profiel E&amp;O. Ook werd relatief vaak examen gedaan in de keuzevakken </w:t>
      </w:r>
      <w:r w:rsidRPr="005C150F">
        <w:rPr>
          <w:i/>
          <w:szCs w:val="18"/>
        </w:rPr>
        <w:t>Robotica</w:t>
      </w:r>
      <w:r w:rsidRPr="005C150F">
        <w:rPr>
          <w:szCs w:val="18"/>
        </w:rPr>
        <w:t xml:space="preserve"> (profiel D&amp;P) en </w:t>
      </w:r>
      <w:r w:rsidRPr="005C150F">
        <w:rPr>
          <w:i/>
          <w:szCs w:val="18"/>
        </w:rPr>
        <w:t>Ondersteuning bij sport- en bewegingsactiviteiten</w:t>
      </w:r>
      <w:r w:rsidRPr="005C150F">
        <w:rPr>
          <w:szCs w:val="18"/>
        </w:rPr>
        <w:t xml:space="preserve"> (profiel Z&amp;W).</w:t>
      </w:r>
      <w:r w:rsidRPr="00A45539">
        <w:rPr>
          <w:szCs w:val="18"/>
        </w:rPr>
        <w:t xml:space="preserve"> </w:t>
      </w:r>
      <w:r>
        <w:rPr>
          <w:szCs w:val="18"/>
        </w:rPr>
        <w:t xml:space="preserve">Voor examens in niet-technische profielmodules, zien we dat techniek leerlingen de meeste examens aflegden in de profielmodule </w:t>
      </w:r>
      <w:r>
        <w:rPr>
          <w:i/>
          <w:iCs/>
          <w:szCs w:val="18"/>
        </w:rPr>
        <w:t xml:space="preserve">Een product maken en verbeteren </w:t>
      </w:r>
      <w:r>
        <w:rPr>
          <w:szCs w:val="18"/>
        </w:rPr>
        <w:t xml:space="preserve">van het profiel D&amp;P en </w:t>
      </w:r>
      <w:r>
        <w:rPr>
          <w:i/>
          <w:iCs/>
          <w:szCs w:val="18"/>
        </w:rPr>
        <w:t>De keuken</w:t>
      </w:r>
      <w:r>
        <w:rPr>
          <w:szCs w:val="18"/>
        </w:rPr>
        <w:t xml:space="preserve"> van het profiel HBR. </w:t>
      </w:r>
    </w:p>
    <w:p w:rsidRPr="00A45539" w:rsidR="00B52D66" w:rsidP="00B52D66" w:rsidRDefault="00B52D66" w14:paraId="31FCD3B9" w14:textId="77777777">
      <w:pPr>
        <w:jc w:val="both"/>
        <w:rPr>
          <w:szCs w:val="18"/>
        </w:rPr>
      </w:pPr>
    </w:p>
    <w:p w:rsidRPr="00A45539" w:rsidR="00B52D66" w:rsidP="00B52D66" w:rsidRDefault="00B52D66" w14:paraId="4B531B2D" w14:textId="77777777">
      <w:pPr>
        <w:jc w:val="both"/>
        <w:rPr>
          <w:szCs w:val="18"/>
        </w:rPr>
      </w:pPr>
      <w:r w:rsidRPr="00D54BD7">
        <w:rPr>
          <w:szCs w:val="18"/>
        </w:rPr>
        <w:t>Leerlingen van niet-technische profielen leg</w:t>
      </w:r>
      <w:r>
        <w:rPr>
          <w:szCs w:val="18"/>
        </w:rPr>
        <w:t>g</w:t>
      </w:r>
      <w:r w:rsidRPr="00D54BD7">
        <w:rPr>
          <w:szCs w:val="18"/>
        </w:rPr>
        <w:t xml:space="preserve">en qua keuzevakken </w:t>
      </w:r>
      <w:r>
        <w:rPr>
          <w:szCs w:val="18"/>
        </w:rPr>
        <w:t>aangeboden door</w:t>
      </w:r>
      <w:r w:rsidRPr="00D54BD7">
        <w:rPr>
          <w:szCs w:val="18"/>
        </w:rPr>
        <w:t xml:space="preserve"> technische profielen het vaakst examens af in vakken </w:t>
      </w:r>
      <w:r>
        <w:rPr>
          <w:szCs w:val="18"/>
        </w:rPr>
        <w:t>van</w:t>
      </w:r>
      <w:r w:rsidRPr="00D54BD7">
        <w:rPr>
          <w:szCs w:val="18"/>
        </w:rPr>
        <w:t xml:space="preserve"> het profiel MVI, goed voor 58 procent en dan met name het keuzevak </w:t>
      </w:r>
      <w:r w:rsidRPr="00D54BD7">
        <w:rPr>
          <w:i/>
          <w:szCs w:val="18"/>
        </w:rPr>
        <w:t xml:space="preserve">Fotografie </w:t>
      </w:r>
      <w:r w:rsidRPr="00D54BD7">
        <w:rPr>
          <w:szCs w:val="18"/>
        </w:rPr>
        <w:t xml:space="preserve">(15 procent). BWI- en PIE-keuzevakken hebben een aandeel van ieder zo’n 15 tot 20 procent. </w:t>
      </w:r>
      <w:r w:rsidRPr="00D54BD7">
        <w:rPr>
          <w:i/>
          <w:szCs w:val="18"/>
        </w:rPr>
        <w:t>Interieurontwerp en –design</w:t>
      </w:r>
      <w:r w:rsidRPr="00D54BD7">
        <w:rPr>
          <w:szCs w:val="18"/>
        </w:rPr>
        <w:t xml:space="preserve"> en </w:t>
      </w:r>
      <w:r w:rsidRPr="00D54BD7">
        <w:rPr>
          <w:i/>
          <w:szCs w:val="18"/>
        </w:rPr>
        <w:t>Meubelmaken</w:t>
      </w:r>
      <w:r w:rsidRPr="00D54BD7">
        <w:rPr>
          <w:szCs w:val="18"/>
        </w:rPr>
        <w:t xml:space="preserve"> zijn ook </w:t>
      </w:r>
      <w:r w:rsidRPr="007372B0">
        <w:rPr>
          <w:szCs w:val="18"/>
        </w:rPr>
        <w:t xml:space="preserve">populair, vooral bij leerlingen van het profiel D&amp;P. In </w:t>
      </w:r>
      <w:r w:rsidRPr="007372B0">
        <w:rPr>
          <w:i/>
          <w:szCs w:val="18"/>
        </w:rPr>
        <w:t>Praktisch booglassen, Booglasprocessen</w:t>
      </w:r>
      <w:r w:rsidRPr="007372B0">
        <w:rPr>
          <w:szCs w:val="18"/>
        </w:rPr>
        <w:t xml:space="preserve"> en </w:t>
      </w:r>
      <w:r w:rsidRPr="007372B0">
        <w:rPr>
          <w:i/>
          <w:szCs w:val="18"/>
        </w:rPr>
        <w:t>Plaat- en constructiewerk</w:t>
      </w:r>
      <w:r w:rsidRPr="007372B0">
        <w:rPr>
          <w:szCs w:val="18"/>
        </w:rPr>
        <w:t xml:space="preserve"> werden ook relatief vaak examens gedaan door leerlingen van niet</w:t>
      </w:r>
      <w:r w:rsidRPr="00D54BD7">
        <w:rPr>
          <w:szCs w:val="18"/>
        </w:rPr>
        <w:t xml:space="preserve">-technische profielen. </w:t>
      </w:r>
      <w:r>
        <w:rPr>
          <w:szCs w:val="18"/>
        </w:rPr>
        <w:t xml:space="preserve">Als we kijken naar de profielmodules zien we dat niet-techniek leerlingen de meeste examens aflegden in de technische profielmodules </w:t>
      </w:r>
      <w:r>
        <w:rPr>
          <w:i/>
          <w:iCs/>
          <w:szCs w:val="18"/>
        </w:rPr>
        <w:t xml:space="preserve">Hout- en meubelverbindingen </w:t>
      </w:r>
      <w:r>
        <w:rPr>
          <w:szCs w:val="18"/>
        </w:rPr>
        <w:t xml:space="preserve">en </w:t>
      </w:r>
      <w:r>
        <w:rPr>
          <w:i/>
          <w:iCs/>
          <w:szCs w:val="18"/>
        </w:rPr>
        <w:t xml:space="preserve">Design en decoratie </w:t>
      </w:r>
      <w:r>
        <w:rPr>
          <w:szCs w:val="18"/>
        </w:rPr>
        <w:t xml:space="preserve">van het profiel BWI en </w:t>
      </w:r>
      <w:r>
        <w:rPr>
          <w:i/>
          <w:iCs/>
          <w:szCs w:val="18"/>
        </w:rPr>
        <w:t xml:space="preserve">Installeren en monteren </w:t>
      </w:r>
      <w:r>
        <w:rPr>
          <w:szCs w:val="18"/>
        </w:rPr>
        <w:t xml:space="preserve">en </w:t>
      </w:r>
      <w:r>
        <w:rPr>
          <w:i/>
          <w:iCs/>
          <w:szCs w:val="18"/>
        </w:rPr>
        <w:t xml:space="preserve">Bewerken en verbinden van materialen </w:t>
      </w:r>
      <w:r>
        <w:rPr>
          <w:szCs w:val="18"/>
        </w:rPr>
        <w:t xml:space="preserve">van het profiel PIE. Er werden ook veel examens afgelegd in de MVI-profielmodules </w:t>
      </w:r>
      <w:r>
        <w:rPr>
          <w:i/>
          <w:iCs/>
          <w:szCs w:val="18"/>
        </w:rPr>
        <w:t xml:space="preserve">ICT </w:t>
      </w:r>
      <w:r>
        <w:rPr>
          <w:szCs w:val="18"/>
        </w:rPr>
        <w:t xml:space="preserve">en </w:t>
      </w:r>
      <w:r>
        <w:rPr>
          <w:i/>
          <w:iCs/>
          <w:szCs w:val="18"/>
        </w:rPr>
        <w:t>Audiovisuele vormgeving en productie</w:t>
      </w:r>
      <w:r>
        <w:rPr>
          <w:szCs w:val="18"/>
        </w:rPr>
        <w:t xml:space="preserve">. </w:t>
      </w:r>
      <w:r w:rsidRPr="00D54BD7">
        <w:rPr>
          <w:szCs w:val="18"/>
        </w:rPr>
        <w:t>Het beeld in vergelijking met eerdere jaren is niet noemenswaardig veranderd.</w:t>
      </w:r>
      <w:r w:rsidRPr="00A45539">
        <w:rPr>
          <w:szCs w:val="18"/>
        </w:rPr>
        <w:t xml:space="preserve"> </w:t>
      </w:r>
      <w:r w:rsidRPr="00A45539">
        <w:rPr>
          <w:szCs w:val="18"/>
        </w:rPr>
        <w:br w:type="page"/>
      </w:r>
    </w:p>
    <w:p w:rsidRPr="00A45539" w:rsidR="00B52D66" w:rsidP="00B52D66" w:rsidRDefault="00B52D66" w14:paraId="4E466550" w14:textId="77777777">
      <w:pPr>
        <w:pStyle w:val="Kop2"/>
        <w:rPr>
          <w:szCs w:val="18"/>
        </w:rPr>
      </w:pPr>
      <w:bookmarkStart w:name="_Toc158042073" w:id="177"/>
      <w:bookmarkStart w:name="_Toc203573636" w:id="178"/>
      <w:r>
        <w:rPr>
          <w:szCs w:val="18"/>
        </w:rPr>
        <w:lastRenderedPageBreak/>
        <w:t>D</w:t>
      </w:r>
      <w:r w:rsidRPr="00A45539">
        <w:rPr>
          <w:szCs w:val="18"/>
        </w:rPr>
        <w:t>oorstroom naar een vervolgopleiding</w:t>
      </w:r>
      <w:bookmarkEnd w:id="177"/>
      <w:bookmarkEnd w:id="178"/>
    </w:p>
    <w:p w:rsidRPr="00A45539" w:rsidR="00B52D66" w:rsidP="00B52D66" w:rsidRDefault="00B52D66" w14:paraId="7DA99157" w14:textId="77777777">
      <w:pPr>
        <w:rPr>
          <w:szCs w:val="18"/>
        </w:rPr>
      </w:pPr>
    </w:p>
    <w:p w:rsidR="00B52D66" w:rsidP="00B52D66" w:rsidRDefault="00B52D66" w14:paraId="6D39AA4B" w14:textId="77777777">
      <w:pPr>
        <w:jc w:val="both"/>
      </w:pPr>
      <w:r w:rsidRPr="00A45539">
        <w:rPr>
          <w:szCs w:val="18"/>
        </w:rPr>
        <w:t xml:space="preserve">In deze paragraaf staat de vraag centraal welke keuzes vmbo-leerlingen maken nadat ze hun diploma hebben behaald. Welke vervolgopleiding starten zij en welke sector heeft dan de voorkeur? We gaan na in hoeverre een technische vmbo-opleiding leidt tot een technische mbo-opleiding. </w:t>
      </w:r>
      <w:r>
        <w:rPr>
          <w:szCs w:val="18"/>
        </w:rPr>
        <w:t>Hiervoor gebruiken we de door DUO beschikbaar gestelde techniek-indicatie.</w:t>
      </w:r>
    </w:p>
    <w:p w:rsidRPr="00A45539" w:rsidR="00B52D66" w:rsidP="00B52D66" w:rsidRDefault="00B52D66" w14:paraId="5846EA78" w14:textId="77777777">
      <w:pPr>
        <w:jc w:val="both"/>
        <w:rPr>
          <w:szCs w:val="18"/>
        </w:rPr>
      </w:pPr>
    </w:p>
    <w:p w:rsidR="00B52D66" w:rsidP="00B52D66" w:rsidRDefault="00B52D66" w14:paraId="339DD4BD" w14:textId="77777777">
      <w:pPr>
        <w:pStyle w:val="Kop3"/>
        <w:rPr>
          <w:szCs w:val="18"/>
        </w:rPr>
      </w:pPr>
      <w:bookmarkStart w:name="_Toc125541261" w:id="179"/>
      <w:bookmarkStart w:name="_Toc127528911" w:id="180"/>
      <w:bookmarkStart w:name="_Toc158042074" w:id="181"/>
      <w:bookmarkStart w:name="_Toc203573637" w:id="182"/>
      <w:r w:rsidRPr="00A45539">
        <w:rPr>
          <w:szCs w:val="18"/>
        </w:rPr>
        <w:t>Doorstroom naar vervolgonderwijs</w:t>
      </w:r>
      <w:bookmarkEnd w:id="179"/>
      <w:bookmarkEnd w:id="180"/>
      <w:bookmarkEnd w:id="181"/>
      <w:bookmarkEnd w:id="182"/>
    </w:p>
    <w:p w:rsidRPr="00F75D9D" w:rsidR="00B52D66" w:rsidP="00B52D66" w:rsidRDefault="00B52D66" w14:paraId="48F713A7" w14:textId="77777777">
      <w:pPr>
        <w:pStyle w:val="Plattetekst"/>
        <w:rPr>
          <w:lang w:eastAsia="en-US"/>
        </w:rPr>
      </w:pPr>
    </w:p>
    <w:p w:rsidRPr="00A45539" w:rsidR="00B52D66" w:rsidP="00B52D66" w:rsidRDefault="00B52D66" w14:paraId="49B9C1F6" w14:textId="24FBE9DB">
      <w:pPr>
        <w:jc w:val="both"/>
      </w:pPr>
      <w:r>
        <w:t xml:space="preserve">Figuur </w:t>
      </w:r>
      <w:r w:rsidR="00D01081">
        <w:t>B3</w:t>
      </w:r>
      <w:r>
        <w:t xml:space="preserve">.8 toont per technisch profiel en leerweg de doorstroom na afloop van leerjaar 4. Het grootste deel (zo’n 90 procent, ongeacht leerweg of profiel) van de leerlingen kiest voor een vervolgopleiding in het mbo. Leerlingen in de bl of kl stromen relatief vaker door naar een vervolgopleiding in de beroepsbegeleidende leerweg (bbl) dan leerlingen die hetzelfde profiel volgden in de gl; zij stromen vaker door naar een vervolgopleiding in de beroepsopleidende leerweg (bol). De enige uitzondering op deze bevinding is M&amp;T, waar gl-leerlingen ongeveer even vaak kiezen voor een bbl- vervolgopleiding als bl en kl-leerlingen. Hoewel voor MVI strikt genomen ook geldt dat leerlingen in de kl en bl iets vaker doorstromen naar een bbl-vervolgopleiding dan leerlingen in de gl, kiest de grote meerderheid van MVI-leerlingen voor een bol-vervolgopleiding. Verder blijven bl-leerlingen vaker in het vmbo na hun vierde leerjaar dan kl- en gl-leerlingen die hetzelfde profiel volgen. </w:t>
      </w:r>
      <w:r w:rsidR="112673B6">
        <w:t xml:space="preserve">Een klein percentage </w:t>
      </w:r>
      <w:r w:rsidR="5C38B146">
        <w:t>g</w:t>
      </w:r>
      <w:r>
        <w:t xml:space="preserve">l-leerlingen uit alle techniekprofielen </w:t>
      </w:r>
      <w:r w:rsidR="68C55F8E">
        <w:t>stroomt</w:t>
      </w:r>
      <w:r w:rsidR="1C017337">
        <w:t xml:space="preserve"> </w:t>
      </w:r>
      <w:r>
        <w:t xml:space="preserve">door naar havo. </w:t>
      </w:r>
    </w:p>
    <w:p w:rsidRPr="00A45539" w:rsidR="00B52D66" w:rsidP="00B52D66" w:rsidRDefault="00B52D66" w14:paraId="7652E177" w14:textId="77777777">
      <w:pPr>
        <w:jc w:val="both"/>
        <w:rPr>
          <w:szCs w:val="18"/>
        </w:rPr>
      </w:pPr>
    </w:p>
    <w:p w:rsidR="00B52D66" w:rsidP="6C0A5E22" w:rsidRDefault="00B52D66" w14:paraId="64A09008" w14:textId="2B4A26CE">
      <w:pPr>
        <w:tabs>
          <w:tab w:val="left" w:pos="1134"/>
        </w:tabs>
        <w:rPr>
          <w:i/>
          <w:iCs/>
          <w:sz w:val="16"/>
          <w:szCs w:val="16"/>
        </w:rPr>
      </w:pPr>
      <w:r w:rsidRPr="6C0A5E22">
        <w:rPr>
          <w:i/>
          <w:iCs/>
          <w:color w:val="7F7F7F" w:themeColor="text1" w:themeTint="80"/>
        </w:rPr>
        <w:t xml:space="preserve">FIGUUR </w:t>
      </w:r>
      <w:r w:rsidRPr="6C0A5E22" w:rsidR="00D01081">
        <w:rPr>
          <w:i/>
          <w:iCs/>
          <w:color w:val="7F7F7F" w:themeColor="text1" w:themeTint="80"/>
        </w:rPr>
        <w:t>B3</w:t>
      </w:r>
      <w:r w:rsidRPr="6C0A5E22">
        <w:rPr>
          <w:i/>
          <w:iCs/>
          <w:color w:val="7F7F7F" w:themeColor="text1" w:themeTint="80"/>
        </w:rPr>
        <w:t xml:space="preserve">.8 </w:t>
      </w:r>
      <w:r>
        <w:rPr>
          <w:bCs/>
          <w:i/>
          <w:color w:val="7F7F7F" w:themeColor="text1" w:themeTint="80"/>
          <w:szCs w:val="18"/>
        </w:rPr>
        <w:tab/>
      </w:r>
      <w:r w:rsidRPr="6C0A5E22">
        <w:rPr>
          <w:i/>
          <w:iCs/>
          <w:color w:val="7F7F7F" w:themeColor="text1" w:themeTint="80"/>
        </w:rPr>
        <w:t>Vervolg na leerjaar 4, schooljaar 2022/2023</w:t>
      </w:r>
      <w:r w:rsidRPr="00D96BB4">
        <w:rPr>
          <w:bCs/>
          <w:i/>
          <w:color w:val="7F7F7F" w:themeColor="text1" w:themeTint="80"/>
          <w:szCs w:val="18"/>
        </w:rPr>
        <w:br/>
      </w:r>
      <w:r w:rsidR="7512F029">
        <w:rPr>
          <w:noProof/>
        </w:rPr>
        <w:drawing>
          <wp:inline distT="0" distB="0" distL="0" distR="0" wp14:anchorId="2041A441" wp14:editId="3E343D7A">
            <wp:extent cx="5843184" cy="3064555"/>
            <wp:effectExtent l="0" t="0" r="0" b="0"/>
            <wp:docPr id="1925247543" name="Afbeelding 192524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843184" cy="3064555"/>
                    </a:xfrm>
                    <a:prstGeom prst="rect">
                      <a:avLst/>
                    </a:prstGeom>
                  </pic:spPr>
                </pic:pic>
              </a:graphicData>
            </a:graphic>
          </wp:inline>
        </w:drawing>
      </w:r>
      <w:r w:rsidRPr="00A45539">
        <w:rPr>
          <w:szCs w:val="18"/>
        </w:rPr>
        <w:br/>
      </w:r>
      <w:r w:rsidRPr="6C0A5E22">
        <w:rPr>
          <w:i/>
          <w:iCs/>
          <w:sz w:val="16"/>
          <w:szCs w:val="16"/>
        </w:rPr>
        <w:t>Bron: DUO (eigen bewerking ROA).</w:t>
      </w:r>
    </w:p>
    <w:p w:rsidR="00B52D66" w:rsidP="00B52D66" w:rsidRDefault="00B52D66" w14:paraId="7EC28235" w14:textId="77777777">
      <w:pPr>
        <w:rPr>
          <w:i/>
          <w:szCs w:val="18"/>
        </w:rPr>
      </w:pPr>
    </w:p>
    <w:p w:rsidRPr="00A45539" w:rsidR="00B52D66" w:rsidP="00B52D66" w:rsidRDefault="00B52D66" w14:paraId="070A1C66" w14:textId="77777777">
      <w:pPr>
        <w:rPr>
          <w:i/>
          <w:szCs w:val="18"/>
        </w:rPr>
      </w:pPr>
    </w:p>
    <w:p w:rsidR="00B52D66" w:rsidP="00B52D66" w:rsidRDefault="00B52D66" w14:paraId="29F03352" w14:textId="77777777">
      <w:pPr>
        <w:pStyle w:val="Kop3"/>
        <w:rPr>
          <w:szCs w:val="18"/>
        </w:rPr>
      </w:pPr>
      <w:bookmarkStart w:name="_Toc125541262" w:id="183"/>
      <w:bookmarkStart w:name="_Toc127528912" w:id="184"/>
      <w:bookmarkStart w:name="_Toc158042075" w:id="185"/>
      <w:bookmarkStart w:name="_Toc203573638" w:id="186"/>
      <w:r w:rsidRPr="00A45539">
        <w:rPr>
          <w:szCs w:val="18"/>
        </w:rPr>
        <w:t>Doorstroom naar technisch mbo</w:t>
      </w:r>
      <w:bookmarkEnd w:id="183"/>
      <w:bookmarkEnd w:id="184"/>
      <w:bookmarkEnd w:id="185"/>
      <w:bookmarkEnd w:id="186"/>
    </w:p>
    <w:p w:rsidRPr="00F75D9D" w:rsidR="00B52D66" w:rsidP="00B52D66" w:rsidRDefault="00B52D66" w14:paraId="7EEDA874" w14:textId="77777777">
      <w:pPr>
        <w:pStyle w:val="Plattetekst"/>
        <w:jc w:val="both"/>
        <w:rPr>
          <w:lang w:eastAsia="en-US"/>
        </w:rPr>
      </w:pPr>
    </w:p>
    <w:p w:rsidR="00B52D66" w:rsidP="00B52D66" w:rsidRDefault="00B52D66" w14:paraId="7E6457E8" w14:textId="77777777">
      <w:pPr>
        <w:jc w:val="both"/>
      </w:pPr>
      <w:r w:rsidRPr="2F041A90">
        <w:lastRenderedPageBreak/>
        <w:t>Met het oog op de krapte op de arbeidsmarkt voor technici</w:t>
      </w:r>
      <w:r w:rsidRPr="2F041A90">
        <w:rPr>
          <w:rStyle w:val="Voetnootmarkering"/>
        </w:rPr>
        <w:footnoteReference w:id="14"/>
      </w:r>
      <w:r w:rsidRPr="2F041A90">
        <w:t xml:space="preserve"> is het </w:t>
      </w:r>
      <w:r>
        <w:t>relevant</w:t>
      </w:r>
      <w:r w:rsidRPr="2F041A90">
        <w:t xml:space="preserve"> om te zien of leerlingen die doorstromen vanuit een van </w:t>
      </w:r>
      <w:r>
        <w:t xml:space="preserve">de </w:t>
      </w:r>
      <w:r w:rsidRPr="2B1E7813">
        <w:t>technische</w:t>
      </w:r>
      <w:r w:rsidRPr="2F041A90">
        <w:t xml:space="preserve"> vmbo-profielen ook binnen de techniek blijven met hun keuze voor </w:t>
      </w:r>
      <w:r>
        <w:t xml:space="preserve">een </w:t>
      </w:r>
      <w:r w:rsidRPr="2F041A90">
        <w:t xml:space="preserve">vervolgopleiding </w:t>
      </w:r>
      <w:r>
        <w:t>in</w:t>
      </w:r>
      <w:r w:rsidRPr="2F041A90">
        <w:t xml:space="preserve"> het mbo.</w:t>
      </w:r>
      <w:r w:rsidRPr="2F041A90" w:rsidDel="00A452FE">
        <w:t xml:space="preserve"> </w:t>
      </w:r>
      <w:r w:rsidRPr="2F041A90">
        <w:t xml:space="preserve">In deze rapportage maken we gebruik van de indeling </w:t>
      </w:r>
      <w:r>
        <w:t>naar</w:t>
      </w:r>
      <w:r w:rsidRPr="2F041A90">
        <w:t xml:space="preserve"> sectorkamers</w:t>
      </w:r>
      <w:r w:rsidRPr="2F041A90">
        <w:rPr>
          <w:rStyle w:val="Voetnootmarkering"/>
        </w:rPr>
        <w:footnoteReference w:id="15"/>
      </w:r>
      <w:r>
        <w:t xml:space="preserve"> en naar techniek-indicator.</w:t>
      </w:r>
    </w:p>
    <w:p w:rsidR="00B52D66" w:rsidP="00B52D66" w:rsidRDefault="00B52D66" w14:paraId="6A8D6387" w14:textId="77777777">
      <w:pPr>
        <w:jc w:val="both"/>
      </w:pPr>
    </w:p>
    <w:p w:rsidRPr="00A45539" w:rsidR="00B52D66" w:rsidP="00B52D66" w:rsidRDefault="00B52D66" w14:paraId="4D3022CF" w14:textId="759806C6">
      <w:pPr>
        <w:jc w:val="both"/>
        <w:rPr>
          <w:szCs w:val="18"/>
        </w:rPr>
      </w:pPr>
      <w:r w:rsidRPr="2F041A90">
        <w:t xml:space="preserve">Figuur </w:t>
      </w:r>
      <w:r w:rsidR="00D01081">
        <w:t>B3</w:t>
      </w:r>
      <w:r>
        <w:t>.9</w:t>
      </w:r>
      <w:r w:rsidRPr="2F041A90">
        <w:t xml:space="preserve"> toont naar welke van de negen sectorkamers leerlingen van de vijf technische vmbo-profielen doorstromen. </w:t>
      </w:r>
      <w:r w:rsidRPr="00A45539">
        <w:rPr>
          <w:szCs w:val="18"/>
        </w:rPr>
        <w:t>Vanuit alle vmbo-techniekprofielen (behalve MVI) kiest tussen de 6</w:t>
      </w:r>
      <w:r>
        <w:rPr>
          <w:szCs w:val="18"/>
        </w:rPr>
        <w:t>3</w:t>
      </w:r>
      <w:r w:rsidRPr="00A45539">
        <w:rPr>
          <w:szCs w:val="18"/>
        </w:rPr>
        <w:t xml:space="preserve"> en 7</w:t>
      </w:r>
      <w:r>
        <w:rPr>
          <w:szCs w:val="18"/>
        </w:rPr>
        <w:t>0</w:t>
      </w:r>
      <w:r w:rsidRPr="00A45539">
        <w:rPr>
          <w:szCs w:val="18"/>
        </w:rPr>
        <w:t xml:space="preserve"> procent van de doorstromers een mbo-opleiding in een </w:t>
      </w:r>
      <w:r>
        <w:rPr>
          <w:szCs w:val="18"/>
        </w:rPr>
        <w:t xml:space="preserve">aan techniek gerelateerde sectorkamer, zijnde Techniek en gebouwde omgeving of Mobiliteit, transport, logistiek en maritiem. </w:t>
      </w:r>
      <w:r w:rsidRPr="00A45539">
        <w:rPr>
          <w:szCs w:val="18"/>
        </w:rPr>
        <w:t>Vanuit MVI kiest juist het merendeel (5</w:t>
      </w:r>
      <w:r>
        <w:rPr>
          <w:szCs w:val="18"/>
        </w:rPr>
        <w:t>0</w:t>
      </w:r>
      <w:r w:rsidRPr="00A45539">
        <w:rPr>
          <w:szCs w:val="18"/>
        </w:rPr>
        <w:t xml:space="preserve"> procent) voor een mbo-vervolgopleiding in de sectorkamer Creatieve industrie en ICT. In deze sectorkamer zijn de marktsegmenten kunst en entertainment, communicatie, media en design en ICT vertegenwoordigd, waar echter wel duidelijk technische aspecten aan zitten. </w:t>
      </w:r>
    </w:p>
    <w:p w:rsidRPr="00A45539" w:rsidR="00B52D66" w:rsidP="00B52D66" w:rsidRDefault="00B52D66" w14:paraId="4AB44733" w14:textId="77777777">
      <w:pPr>
        <w:jc w:val="both"/>
        <w:rPr>
          <w:szCs w:val="18"/>
        </w:rPr>
      </w:pPr>
    </w:p>
    <w:p w:rsidRPr="0065314C" w:rsidR="00B52D66" w:rsidP="00B52D66" w:rsidRDefault="00B52D66" w14:paraId="011C4DDE" w14:textId="6448C2C1">
      <w:pPr>
        <w:pStyle w:val="Bijschrift"/>
        <w:jc w:val="both"/>
      </w:pPr>
      <w:r w:rsidRPr="0065314C">
        <w:t xml:space="preserve">FIGUUR </w:t>
      </w:r>
      <w:r w:rsidR="00D01081">
        <w:t>B3</w:t>
      </w:r>
      <w:r>
        <w:t>.9</w:t>
      </w:r>
      <w:r w:rsidRPr="0065314C">
        <w:t xml:space="preserve"> </w:t>
      </w:r>
      <w:r>
        <w:tab/>
      </w:r>
      <w:r w:rsidRPr="0065314C">
        <w:t>Vmbo-leerlingen met een technisch profiel in het mbo naar sectorkamerindeling, schooljaar 202</w:t>
      </w:r>
      <w:r>
        <w:t>2</w:t>
      </w:r>
      <w:r w:rsidRPr="0065314C">
        <w:t>/202</w:t>
      </w:r>
      <w:r>
        <w:t>3</w:t>
      </w:r>
    </w:p>
    <w:p w:rsidRPr="00A45539" w:rsidR="00B52D66" w:rsidP="780653D5" w:rsidRDefault="00B52D66" w14:paraId="35E3E510" w14:textId="77777777">
      <w:pPr>
        <w:jc w:val="both"/>
        <w:rPr>
          <w:i/>
          <w:iCs/>
        </w:rPr>
      </w:pPr>
      <w:r>
        <w:rPr>
          <w:noProof/>
        </w:rPr>
        <w:drawing>
          <wp:inline distT="0" distB="0" distL="0" distR="0" wp14:anchorId="3B82E934" wp14:editId="28394B9B">
            <wp:extent cx="5918200" cy="3035300"/>
            <wp:effectExtent l="0" t="0" r="6350" b="12700"/>
            <wp:docPr id="9" name="Chart 9">
              <a:extLst xmlns:a="http://schemas.openxmlformats.org/drawingml/2006/main">
                <a:ext uri="{FF2B5EF4-FFF2-40B4-BE49-F238E27FC236}">
                  <a16:creationId xmlns:a16="http://schemas.microsoft.com/office/drawing/2014/main" id="{301031F6-6D60-D926-E19B-E437D0C216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A45539">
        <w:rPr>
          <w:szCs w:val="18"/>
        </w:rPr>
        <w:br/>
      </w:r>
      <w:r w:rsidRPr="780653D5">
        <w:rPr>
          <w:i/>
          <w:iCs/>
          <w:sz w:val="16"/>
          <w:szCs w:val="16"/>
        </w:rPr>
        <w:t>Bron: DUO (eigen bewerking ROA).</w:t>
      </w:r>
    </w:p>
    <w:p w:rsidR="00B52D66" w:rsidP="00B52D66" w:rsidRDefault="00B52D66" w14:paraId="02D75F20" w14:textId="77777777">
      <w:pPr>
        <w:jc w:val="both"/>
        <w:rPr>
          <w:szCs w:val="18"/>
        </w:rPr>
      </w:pPr>
    </w:p>
    <w:p w:rsidR="00B52D66" w:rsidP="00B52D66" w:rsidRDefault="00B52D66" w14:paraId="1B68F212" w14:textId="77777777">
      <w:pPr>
        <w:jc w:val="both"/>
        <w:rPr>
          <w:szCs w:val="18"/>
        </w:rPr>
      </w:pPr>
      <w:r>
        <w:rPr>
          <w:szCs w:val="18"/>
        </w:rPr>
        <w:t>Ook n</w:t>
      </w:r>
      <w:r w:rsidRPr="00A45539">
        <w:rPr>
          <w:szCs w:val="18"/>
        </w:rPr>
        <w:t>iet-techn</w:t>
      </w:r>
      <w:r>
        <w:rPr>
          <w:szCs w:val="18"/>
        </w:rPr>
        <w:t>iek</w:t>
      </w:r>
      <w:r w:rsidRPr="00A45539">
        <w:rPr>
          <w:szCs w:val="18"/>
        </w:rPr>
        <w:t xml:space="preserve">leerlingen stromen </w:t>
      </w:r>
      <w:r>
        <w:rPr>
          <w:szCs w:val="18"/>
        </w:rPr>
        <w:t xml:space="preserve">door </w:t>
      </w:r>
      <w:r w:rsidRPr="00A45539">
        <w:rPr>
          <w:szCs w:val="18"/>
        </w:rPr>
        <w:t>naar techniek-gerelateerde sectorkamer</w:t>
      </w:r>
      <w:r>
        <w:rPr>
          <w:szCs w:val="18"/>
        </w:rPr>
        <w:t>s</w:t>
      </w:r>
      <w:r w:rsidRPr="00A45539">
        <w:rPr>
          <w:szCs w:val="18"/>
        </w:rPr>
        <w:t>. Uit analyse blijkt dat doorstroom van niet-technische profielen naar techniek-gerelateerde sectorkamers wel plaatsvindt, maar in mindere mate dan andersom. In de niet-technische profielen D&amp;P en Groen stroomt 1</w:t>
      </w:r>
      <w:r>
        <w:rPr>
          <w:szCs w:val="18"/>
        </w:rPr>
        <w:t>9</w:t>
      </w:r>
      <w:r w:rsidRPr="00A45539">
        <w:rPr>
          <w:szCs w:val="18"/>
        </w:rPr>
        <w:t xml:space="preserve"> procent van de leerlingen door naar een mbo-opleiding in de sectorkamer Techniek en gebouwde omgeving of Mobiliteit, transport, logistiek en maritiem. </w:t>
      </w:r>
      <w:r>
        <w:rPr>
          <w:szCs w:val="18"/>
        </w:rPr>
        <w:t>In</w:t>
      </w:r>
      <w:r w:rsidRPr="00A45539">
        <w:rPr>
          <w:szCs w:val="18"/>
        </w:rPr>
        <w:t xml:space="preserve"> het </w:t>
      </w:r>
      <w:r>
        <w:rPr>
          <w:szCs w:val="18"/>
        </w:rPr>
        <w:t xml:space="preserve">profiel </w:t>
      </w:r>
      <w:r w:rsidRPr="00A45539">
        <w:rPr>
          <w:szCs w:val="18"/>
        </w:rPr>
        <w:t>E&amp;O-</w:t>
      </w:r>
      <w:r>
        <w:rPr>
          <w:szCs w:val="18"/>
        </w:rPr>
        <w:t>is dat</w:t>
      </w:r>
      <w:r w:rsidRPr="00A45539">
        <w:rPr>
          <w:szCs w:val="18"/>
        </w:rPr>
        <w:t xml:space="preserve"> 13 procent</w:t>
      </w:r>
      <w:r>
        <w:rPr>
          <w:szCs w:val="18"/>
        </w:rPr>
        <w:t xml:space="preserve"> van de leerlingen en in het profiel HBR 9 procent</w:t>
      </w:r>
      <w:r w:rsidRPr="00A45539">
        <w:rPr>
          <w:szCs w:val="18"/>
        </w:rPr>
        <w:t xml:space="preserve">. </w:t>
      </w:r>
      <w:r>
        <w:rPr>
          <w:szCs w:val="18"/>
        </w:rPr>
        <w:t xml:space="preserve">Zo’n </w:t>
      </w:r>
      <w:r w:rsidRPr="00A45539">
        <w:rPr>
          <w:szCs w:val="18"/>
        </w:rPr>
        <w:t xml:space="preserve">13 procent van de leerlingen in de profielen D&amp;P en E&amp;O </w:t>
      </w:r>
      <w:r>
        <w:rPr>
          <w:szCs w:val="18"/>
        </w:rPr>
        <w:t xml:space="preserve">kiest </w:t>
      </w:r>
      <w:r w:rsidRPr="00A45539">
        <w:rPr>
          <w:szCs w:val="18"/>
        </w:rPr>
        <w:t xml:space="preserve">een mbo-opleiding in de sectorkamer Creatieve industrie en ICT. </w:t>
      </w:r>
      <w:r>
        <w:rPr>
          <w:szCs w:val="18"/>
        </w:rPr>
        <w:t xml:space="preserve">Vergeleken met de eerdere STO-rapportage zijn er geen noemenswaardige veranderingen in </w:t>
      </w:r>
      <w:r w:rsidRPr="00A45539">
        <w:rPr>
          <w:szCs w:val="18"/>
        </w:rPr>
        <w:t xml:space="preserve">doorstroompercentages </w:t>
      </w:r>
      <w:r>
        <w:rPr>
          <w:szCs w:val="18"/>
        </w:rPr>
        <w:t>van leerlingen van niet-technische profielen naar een mbo-vervolgopleiding in een van de twee technische sectorkamers.</w:t>
      </w:r>
      <w:r w:rsidRPr="00A45539" w:rsidDel="007B1092">
        <w:rPr>
          <w:szCs w:val="18"/>
        </w:rPr>
        <w:t xml:space="preserve"> </w:t>
      </w:r>
    </w:p>
    <w:p w:rsidR="00B52D66" w:rsidP="00B52D66" w:rsidRDefault="00B52D66" w14:paraId="241B4CCC" w14:textId="77777777">
      <w:pPr>
        <w:jc w:val="both"/>
        <w:rPr>
          <w:szCs w:val="18"/>
        </w:rPr>
      </w:pPr>
    </w:p>
    <w:p w:rsidR="00B52D66" w:rsidP="00B52D66" w:rsidRDefault="00B52D66" w14:paraId="465DF7B0" w14:textId="5FA2BD8D">
      <w:pPr>
        <w:jc w:val="both"/>
        <w:rPr>
          <w:szCs w:val="18"/>
        </w:rPr>
      </w:pPr>
      <w:r>
        <w:rPr>
          <w:szCs w:val="18"/>
        </w:rPr>
        <w:lastRenderedPageBreak/>
        <w:t>Zoals hierboven genoemd zijn er opleidingen binnen niet-technische sectorkamers die toch technische aspecten bevatten. Hiervoor heeft DUO een techniek-indicatie ontwikkeld.</w:t>
      </w:r>
      <w:r>
        <w:rPr>
          <w:rStyle w:val="Voetnootmarkering"/>
          <w:szCs w:val="18"/>
        </w:rPr>
        <w:footnoteReference w:id="16"/>
      </w:r>
      <w:r>
        <w:rPr>
          <w:szCs w:val="18"/>
        </w:rPr>
        <w:t xml:space="preserve"> Deze techniek-indicatie is niet in eerdere rapporten besproken. Figuur </w:t>
      </w:r>
      <w:r w:rsidR="00D01081">
        <w:rPr>
          <w:szCs w:val="18"/>
        </w:rPr>
        <w:t>B3</w:t>
      </w:r>
      <w:r>
        <w:rPr>
          <w:szCs w:val="18"/>
        </w:rPr>
        <w:t xml:space="preserve">.10 toont de instroom van vmbo-leerlingen in mbo-opleiding naar deze techniek-indicatie. In lijn met Figuur </w:t>
      </w:r>
      <w:r w:rsidR="00D01081">
        <w:rPr>
          <w:szCs w:val="18"/>
        </w:rPr>
        <w:t>B3</w:t>
      </w:r>
      <w:r>
        <w:rPr>
          <w:szCs w:val="18"/>
        </w:rPr>
        <w:t xml:space="preserve">.9 zien we dat een ruime meerderheid van vmbo-techniekleerlingen doorstroomt naar een mbo-opleiding met een techniek-indicatie: ongeveer driekwart van de leerlingen met het profiel PIE, M&amp;T en BWI stromen door naar een mbo-opleiding met een techniek-indicatie en iets minder dan 60 procent van de leerlingen met het profiel MVI en MaT. </w:t>
      </w:r>
    </w:p>
    <w:p w:rsidRPr="00A45539" w:rsidR="00B52D66" w:rsidP="00B52D66" w:rsidRDefault="00B52D66" w14:paraId="1DF40304" w14:textId="77777777">
      <w:pPr>
        <w:jc w:val="both"/>
        <w:rPr>
          <w:szCs w:val="18"/>
        </w:rPr>
      </w:pPr>
    </w:p>
    <w:p w:rsidRPr="00A45539" w:rsidR="00B52D66" w:rsidP="00B52D66" w:rsidRDefault="00B52D66" w14:paraId="35246F65" w14:textId="77777777">
      <w:pPr>
        <w:jc w:val="both"/>
        <w:rPr>
          <w:szCs w:val="18"/>
        </w:rPr>
      </w:pPr>
    </w:p>
    <w:p w:rsidRPr="0065314C" w:rsidR="00B52D66" w:rsidP="00B52D66" w:rsidRDefault="00B52D66" w14:paraId="51D23F58" w14:textId="014EB8E5">
      <w:pPr>
        <w:pStyle w:val="Bijschrift"/>
        <w:jc w:val="both"/>
      </w:pPr>
      <w:bookmarkStart w:name="_Toc125541263" w:id="187"/>
      <w:bookmarkStart w:name="_Toc127528913" w:id="188"/>
      <w:r w:rsidRPr="0065314C">
        <w:t xml:space="preserve">FIGUUR </w:t>
      </w:r>
      <w:r w:rsidR="00F129B9">
        <w:t>B3</w:t>
      </w:r>
      <w:r>
        <w:t>.</w:t>
      </w:r>
      <w:r w:rsidRPr="0065314C">
        <w:t>1</w:t>
      </w:r>
      <w:r>
        <w:t>0</w:t>
      </w:r>
      <w:r w:rsidRPr="0065314C">
        <w:t xml:space="preserve"> </w:t>
      </w:r>
      <w:r>
        <w:tab/>
      </w:r>
      <w:r w:rsidRPr="0065314C">
        <w:t>Vmbo-leerlingen met een technisch profiel in het mbo naar</w:t>
      </w:r>
      <w:r>
        <w:t xml:space="preserve"> techniek-indeling</w:t>
      </w:r>
      <w:r w:rsidRPr="0065314C">
        <w:t>, schooljaar 202</w:t>
      </w:r>
      <w:r>
        <w:t>2</w:t>
      </w:r>
      <w:r w:rsidRPr="0065314C">
        <w:t>/202</w:t>
      </w:r>
      <w:r>
        <w:t>3</w:t>
      </w:r>
    </w:p>
    <w:p w:rsidRPr="00520A0E" w:rsidR="00B52D66" w:rsidP="00B52D66" w:rsidRDefault="00B52D66" w14:paraId="09D50204" w14:textId="77777777">
      <w:pPr>
        <w:spacing w:after="160" w:line="259" w:lineRule="auto"/>
        <w:jc w:val="both"/>
      </w:pPr>
      <w:r>
        <w:rPr>
          <w:noProof/>
        </w:rPr>
        <w:drawing>
          <wp:inline distT="0" distB="0" distL="0" distR="0" wp14:anchorId="3916395F" wp14:editId="24A3D6F7">
            <wp:extent cx="5943600" cy="2045508"/>
            <wp:effectExtent l="0" t="0" r="0" b="12065"/>
            <wp:docPr id="12" name="Chart 12">
              <a:extLst xmlns:a="http://schemas.openxmlformats.org/drawingml/2006/main">
                <a:ext uri="{FF2B5EF4-FFF2-40B4-BE49-F238E27FC236}">
                  <a16:creationId xmlns:a16="http://schemas.microsoft.com/office/drawing/2014/main" id="{479D5FF4-A1FA-9A9E-096E-9891CDB21D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780653D5">
        <w:rPr>
          <w:i/>
          <w:iCs/>
          <w:sz w:val="16"/>
          <w:szCs w:val="16"/>
        </w:rPr>
        <w:t>Bron: DUO (eigen bewerking ROA).</w:t>
      </w:r>
    </w:p>
    <w:p w:rsidR="00B52D66" w:rsidP="00B52D66" w:rsidRDefault="00B52D66" w14:paraId="4BBB0E45" w14:textId="77777777">
      <w:pPr>
        <w:spacing w:after="160" w:line="259" w:lineRule="auto"/>
        <w:jc w:val="both"/>
        <w:rPr>
          <w:szCs w:val="18"/>
        </w:rPr>
      </w:pPr>
    </w:p>
    <w:p w:rsidR="00B52D66" w:rsidP="00B52D66" w:rsidRDefault="00B52D66" w14:paraId="621F5D75" w14:textId="641A2B0A">
      <w:pPr>
        <w:spacing w:after="160" w:line="259" w:lineRule="auto"/>
        <w:jc w:val="both"/>
        <w:rPr>
          <w:szCs w:val="18"/>
        </w:rPr>
      </w:pPr>
      <w:r>
        <w:rPr>
          <w:szCs w:val="18"/>
        </w:rPr>
        <w:t xml:space="preserve">De instroom van vmbo-leerlingen met een niet-techniekprofiel naar mbo-opleidingen volgens de techniek-indicatie is hoger vergeleken met de analyse naar sectorkamer indeling. Drie van de tien leerlingen in de profielen D&amp;P en Groen stroomt door naar een mbo-opleiding met een techniek-indicatie. Voor leerlingen met het profiel E&amp;O ligt dit aandeel op 23 procent en voor leerlingen met het profiel HBR en Z&amp;W respectievelijk op 14 en 6 procent. We zien dus dat doorstroom naar een mbo-vervolgopleiding met een techniek-indicatie alsnog het grootst is voor leerlingen met een techniekprofiel in het vmbo, maar dat er ook doorstroom is vanuit de niet-technische profielen. Voor een overzicht door de tijd heen zie </w:t>
      </w:r>
      <w:r w:rsidR="00F129B9">
        <w:rPr>
          <w:szCs w:val="18"/>
        </w:rPr>
        <w:t xml:space="preserve">Appendix bij </w:t>
      </w:r>
      <w:r>
        <w:rPr>
          <w:szCs w:val="18"/>
        </w:rPr>
        <w:t xml:space="preserve">Bijlage </w:t>
      </w:r>
      <w:r w:rsidR="00F129B9">
        <w:rPr>
          <w:szCs w:val="18"/>
        </w:rPr>
        <w:t>3</w:t>
      </w:r>
      <w:r w:rsidR="00121FDF">
        <w:rPr>
          <w:szCs w:val="18"/>
        </w:rPr>
        <w:t>, figuur</w:t>
      </w:r>
      <w:r w:rsidR="00F129B9">
        <w:rPr>
          <w:szCs w:val="18"/>
        </w:rPr>
        <w:t xml:space="preserve"> B3</w:t>
      </w:r>
      <w:r>
        <w:rPr>
          <w:szCs w:val="18"/>
        </w:rPr>
        <w:t>.1</w:t>
      </w:r>
      <w:r w:rsidR="00381EAC">
        <w:rPr>
          <w:szCs w:val="18"/>
        </w:rPr>
        <w:t>4</w:t>
      </w:r>
      <w:r>
        <w:rPr>
          <w:szCs w:val="18"/>
        </w:rPr>
        <w:t>.</w:t>
      </w:r>
    </w:p>
    <w:p w:rsidR="00B52D66" w:rsidP="00B52D66" w:rsidRDefault="00B52D66" w14:paraId="68513D06" w14:textId="77777777">
      <w:pPr>
        <w:spacing w:after="160" w:line="259" w:lineRule="auto"/>
        <w:jc w:val="both"/>
        <w:rPr>
          <w:szCs w:val="18"/>
        </w:rPr>
      </w:pPr>
    </w:p>
    <w:p w:rsidRPr="00CA2AE0" w:rsidR="00B52D66" w:rsidP="00B52D66" w:rsidRDefault="00B52D66" w14:paraId="0F9F021F" w14:textId="5AF213BF">
      <w:pPr>
        <w:ind w:right="429"/>
        <w:jc w:val="both"/>
        <w:rPr>
          <w:i/>
          <w:iCs/>
          <w:szCs w:val="18"/>
        </w:rPr>
      </w:pPr>
      <w:r w:rsidRPr="00CA2AE0">
        <w:rPr>
          <w:i/>
          <w:iCs/>
          <w:szCs w:val="18"/>
        </w:rPr>
        <w:t xml:space="preserve">TEKSTBOX </w:t>
      </w:r>
      <w:r w:rsidR="00F129B9">
        <w:rPr>
          <w:i/>
          <w:iCs/>
          <w:szCs w:val="18"/>
        </w:rPr>
        <w:t>B3</w:t>
      </w:r>
      <w:r w:rsidRPr="00CA2AE0">
        <w:rPr>
          <w:i/>
          <w:iCs/>
          <w:szCs w:val="18"/>
        </w:rPr>
        <w:t>.</w:t>
      </w:r>
      <w:r>
        <w:rPr>
          <w:i/>
          <w:iCs/>
          <w:szCs w:val="18"/>
        </w:rPr>
        <w:t>2</w:t>
      </w:r>
    </w:p>
    <w:p w:rsidR="00B52D66" w:rsidP="00B52D66" w:rsidRDefault="00B52D66" w14:paraId="62212B2A" w14:textId="77777777">
      <w:pPr>
        <w:pBdr>
          <w:top w:val="single" w:color="auto" w:sz="4" w:space="1"/>
        </w:pBdr>
        <w:ind w:right="4"/>
        <w:jc w:val="both"/>
        <w:rPr>
          <w:szCs w:val="18"/>
        </w:rPr>
      </w:pPr>
    </w:p>
    <w:p w:rsidRPr="006634D4" w:rsidR="00B52D66" w:rsidP="00B52D66" w:rsidRDefault="00121FDF" w14:paraId="2D81C42C" w14:textId="7F8F8710">
      <w:pPr>
        <w:ind w:left="284" w:right="429"/>
        <w:jc w:val="both"/>
        <w:rPr>
          <w:szCs w:val="18"/>
        </w:rPr>
      </w:pPr>
      <w:bookmarkStart w:name="_Hlk198909478" w:id="189"/>
      <w:r>
        <w:rPr>
          <w:rStyle w:val="Zwaar"/>
          <w:rFonts w:eastAsiaTheme="majorEastAsia"/>
        </w:rPr>
        <w:t>Tabel</w:t>
      </w:r>
      <w:r w:rsidR="00F129B9">
        <w:rPr>
          <w:rStyle w:val="Zwaar"/>
          <w:rFonts w:eastAsiaTheme="majorEastAsia"/>
        </w:rPr>
        <w:t xml:space="preserve"> B3</w:t>
      </w:r>
      <w:r w:rsidRPr="00A55317" w:rsidR="00B52D66">
        <w:rPr>
          <w:rStyle w:val="Zwaar"/>
          <w:rFonts w:eastAsiaTheme="majorEastAsia"/>
        </w:rPr>
        <w:t>.</w:t>
      </w:r>
      <w:r w:rsidR="005340EF">
        <w:rPr>
          <w:rStyle w:val="Zwaar"/>
          <w:rFonts w:eastAsiaTheme="majorEastAsia"/>
        </w:rPr>
        <w:t>20</w:t>
      </w:r>
      <w:r w:rsidRPr="00A55317" w:rsidR="00B52D66">
        <w:t xml:space="preserve"> toont het aandeel meisjes onder alle leerlingen die vanuit een specifiek profiel doorstromen naar een mbo-opleiding met een techniek-indicatie. Zo geldt bijvoorbeeld dat 8,1 procent van de leerlingen die in leerjaar 4 in 2019/2020 een BWI-profiel volgden en doorstroomden naar een techniekopleiding op het mbo, meisjes waren. Voor de meeste techniekprofielen, met uitzondering van BWI, zien we tussen 2019/2020 en 2022/2023 een beperkte stijging in het aandeel meisjes dat doorstroomt naar een technische mbo-opleiding.</w:t>
      </w:r>
      <w:r w:rsidRPr="00A55317" w:rsidR="00B52D66">
        <w:rPr>
          <w:szCs w:val="18"/>
        </w:rPr>
        <w:t xml:space="preserve"> </w:t>
      </w:r>
      <w:r w:rsidRPr="00A55317" w:rsidR="00B52D66">
        <w:t xml:space="preserve">Hoewel </w:t>
      </w:r>
      <w:r>
        <w:rPr>
          <w:b/>
          <w:bCs/>
        </w:rPr>
        <w:t>Tabel</w:t>
      </w:r>
      <w:r w:rsidR="00F129B9">
        <w:rPr>
          <w:rStyle w:val="Zwaar"/>
          <w:rFonts w:eastAsiaTheme="majorEastAsia"/>
        </w:rPr>
        <w:t xml:space="preserve"> B3</w:t>
      </w:r>
      <w:r w:rsidRPr="00A55317" w:rsidR="00B52D66">
        <w:rPr>
          <w:rStyle w:val="Zwaar"/>
          <w:rFonts w:eastAsiaTheme="majorEastAsia"/>
        </w:rPr>
        <w:t>.</w:t>
      </w:r>
      <w:r>
        <w:rPr>
          <w:rStyle w:val="Zwaar"/>
          <w:rFonts w:eastAsiaTheme="majorEastAsia"/>
        </w:rPr>
        <w:t>1</w:t>
      </w:r>
      <w:r w:rsidR="00113339">
        <w:rPr>
          <w:rStyle w:val="Zwaar"/>
          <w:rFonts w:eastAsiaTheme="majorEastAsia"/>
        </w:rPr>
        <w:t>3</w:t>
      </w:r>
      <w:r w:rsidRPr="00A55317" w:rsidR="00B52D66">
        <w:t xml:space="preserve"> (zie ook </w:t>
      </w:r>
      <w:r w:rsidR="00B52D66">
        <w:t>T</w:t>
      </w:r>
      <w:r w:rsidRPr="00A55317" w:rsidR="00B52D66">
        <w:t xml:space="preserve">ekstbox </w:t>
      </w:r>
      <w:r w:rsidR="00F129B9">
        <w:t>B3</w:t>
      </w:r>
      <w:r w:rsidRPr="00A55317" w:rsidR="00B52D66">
        <w:t xml:space="preserve">.1) een toename laat zien in het aandeel meisjes in bepaalde techniekprofielen op het vmbo, blijkt uit </w:t>
      </w:r>
      <w:r w:rsidRPr="005340EF" w:rsidR="005340EF">
        <w:rPr>
          <w:b/>
          <w:bCs/>
        </w:rPr>
        <w:t>Tabel</w:t>
      </w:r>
      <w:r w:rsidR="00F129B9">
        <w:rPr>
          <w:rStyle w:val="Zwaar"/>
          <w:rFonts w:eastAsiaTheme="majorEastAsia"/>
        </w:rPr>
        <w:t xml:space="preserve"> B3</w:t>
      </w:r>
      <w:r w:rsidRPr="00A55317" w:rsidR="00B52D66">
        <w:rPr>
          <w:rStyle w:val="Zwaar"/>
          <w:rFonts w:eastAsiaTheme="majorEastAsia"/>
        </w:rPr>
        <w:t>.</w:t>
      </w:r>
      <w:r w:rsidR="005340EF">
        <w:rPr>
          <w:rStyle w:val="Zwaar"/>
          <w:rFonts w:eastAsiaTheme="majorEastAsia"/>
        </w:rPr>
        <w:t>20</w:t>
      </w:r>
      <w:r w:rsidRPr="00A55317" w:rsidR="00B52D66">
        <w:t xml:space="preserve"> dat de kans voor meisjes om door te stromen naar een mbo-opleiding in de techniek kleiner is dan voor jongens. Voor vrijwel alle techniekprofielen – met uitzondering van MVI – geldt dat het aandeel meisjes in leerjaar 3 van het vmbo hoger is dan het aandeel meisjes dat uiteindelijk doorstroomt naar een technische mbo-opleiding.</w:t>
      </w:r>
    </w:p>
    <w:p w:rsidRPr="006634D4" w:rsidR="00B52D66" w:rsidP="00B52D66" w:rsidRDefault="00B52D66" w14:paraId="664FA49F" w14:textId="77777777">
      <w:pPr>
        <w:ind w:left="284" w:right="429"/>
        <w:jc w:val="both"/>
        <w:rPr>
          <w:szCs w:val="18"/>
        </w:rPr>
      </w:pPr>
    </w:p>
    <w:p w:rsidR="00B52D66" w:rsidP="00B52D66" w:rsidRDefault="00121FDF" w14:paraId="186B6365" w14:textId="60A3D4E9">
      <w:pPr>
        <w:ind w:left="284" w:right="429"/>
        <w:jc w:val="both"/>
        <w:rPr>
          <w:szCs w:val="18"/>
        </w:rPr>
      </w:pPr>
      <w:r>
        <w:rPr>
          <w:rStyle w:val="Zwaar"/>
          <w:rFonts w:eastAsiaTheme="majorEastAsia"/>
        </w:rPr>
        <w:lastRenderedPageBreak/>
        <w:t>Tabel</w:t>
      </w:r>
      <w:r w:rsidR="00F129B9">
        <w:rPr>
          <w:rStyle w:val="Zwaar"/>
          <w:rFonts w:eastAsiaTheme="majorEastAsia"/>
        </w:rPr>
        <w:t xml:space="preserve"> B3</w:t>
      </w:r>
      <w:r w:rsidRPr="00A55317" w:rsidR="00B52D66">
        <w:rPr>
          <w:rStyle w:val="Zwaar"/>
          <w:rFonts w:eastAsiaTheme="majorEastAsia"/>
        </w:rPr>
        <w:t>.</w:t>
      </w:r>
      <w:r w:rsidR="00381EAC">
        <w:rPr>
          <w:rStyle w:val="Zwaar"/>
          <w:rFonts w:eastAsiaTheme="majorEastAsia"/>
        </w:rPr>
        <w:t>21</w:t>
      </w:r>
      <w:r w:rsidRPr="00A55317" w:rsidR="00B52D66">
        <w:t xml:space="preserve"> laat zien hoe het aandeel leerlingen met een migratieachtergrond zich ontwikkelt bij de doorstroom vanuit techniekprofielen naar mbo-opleidingen met een techniek indicatie. Bij alle techniekprofielen is over de tijd een toename te zien in het aandeel leerlingen met een migratieachtergrond dat doorstroomt naar een technische mbo-opleiding. De stijging is met name duidelijk bij leerlingen uit het MVI-profiel: van 33,2 procent in 2018/2019 naar 43,4 procent in 2022/2023. Een vergelijking van de tabellen </w:t>
      </w:r>
      <w:r w:rsidR="00381EAC">
        <w:t>B3</w:t>
      </w:r>
      <w:r w:rsidRPr="00A55317" w:rsidR="00B52D66">
        <w:t>.</w:t>
      </w:r>
      <w:r w:rsidR="00381EAC">
        <w:t>14</w:t>
      </w:r>
      <w:r w:rsidRPr="00A55317" w:rsidR="00B52D66">
        <w:t xml:space="preserve"> en </w:t>
      </w:r>
      <w:r w:rsidR="00381EAC">
        <w:t>B3</w:t>
      </w:r>
      <w:r w:rsidRPr="00A55317" w:rsidR="00B52D66">
        <w:t>.</w:t>
      </w:r>
      <w:r w:rsidR="00381EAC">
        <w:t>21</w:t>
      </w:r>
      <w:r w:rsidRPr="00A55317" w:rsidR="00B52D66">
        <w:t xml:space="preserve"> laat zien dat leerlingen met een migratieachtergrond relatief minder vaak doorstromen naar een technische mbo-opleiding dan op basis van hun aandeel in de techniekprofielen in leerjaar 3 van het vmbo verwacht zou mogen worden.</w:t>
      </w:r>
    </w:p>
    <w:bookmarkEnd w:id="189"/>
    <w:p w:rsidR="00B52D66" w:rsidP="00B52D66" w:rsidRDefault="00B52D66" w14:paraId="6AD0E84A" w14:textId="77777777">
      <w:pPr>
        <w:ind w:left="284" w:right="429"/>
        <w:jc w:val="both"/>
        <w:rPr>
          <w:szCs w:val="18"/>
        </w:rPr>
      </w:pPr>
    </w:p>
    <w:p w:rsidR="00B52D66" w:rsidP="00B52D66" w:rsidRDefault="00B52D66" w14:paraId="6B6C4D7A" w14:textId="77777777">
      <w:pPr>
        <w:pBdr>
          <w:top w:val="single" w:color="auto" w:sz="4" w:space="1"/>
        </w:pBdr>
        <w:jc w:val="both"/>
        <w:rPr>
          <w:szCs w:val="18"/>
        </w:rPr>
      </w:pPr>
    </w:p>
    <w:p w:rsidR="00B52D66" w:rsidP="00B52D66" w:rsidRDefault="00282D01" w14:paraId="34E51F0E" w14:textId="65D0F0E0">
      <w:pPr>
        <w:spacing w:after="160" w:line="259" w:lineRule="auto"/>
        <w:jc w:val="both"/>
        <w:rPr>
          <w:szCs w:val="18"/>
        </w:rPr>
      </w:pPr>
      <w:r>
        <w:rPr>
          <w:szCs w:val="18"/>
        </w:rPr>
        <w:t>Tabel B3.18</w:t>
      </w:r>
      <w:r w:rsidR="00B52D66">
        <w:rPr>
          <w:szCs w:val="18"/>
        </w:rPr>
        <w:t xml:space="preserve"> laat de doorstroom van vmbo-leerlingen afgestudeerd tussen schooljaar 2019/2020 en 2022/2023 naar een mbo-opleiding met een techniek-indicatie zien. Hierbij valt op dat het aandeel leerlingen van het profiel MVI dat doorstroomde naar een mbo-vervolgopleiding met een techniek-indicatie daalde in 2022/2023 ten opzichte van 2019/2020 (-4 procentpunten) en juist steeg voor leerlingen van de niet-technische profielen met uitzondering van Groen met tussen 2 en 3 procentpunten. Een verdiepende analyse laat zien dat vmbo-niet-techniekleerlingen die tenminste één technisch keuzevak hebben gevolgd steeds vaker doorstromen naar een mbo-opleiding met een techniek-indicatie (zie </w:t>
      </w:r>
      <w:r w:rsidR="00F1065D">
        <w:rPr>
          <w:szCs w:val="18"/>
        </w:rPr>
        <w:t xml:space="preserve">Appendix bij </w:t>
      </w:r>
      <w:r w:rsidR="00B52D66">
        <w:rPr>
          <w:szCs w:val="18"/>
        </w:rPr>
        <w:t xml:space="preserve">Bijlage </w:t>
      </w:r>
      <w:r w:rsidR="00F1065D">
        <w:rPr>
          <w:szCs w:val="18"/>
        </w:rPr>
        <w:t>3</w:t>
      </w:r>
      <w:r>
        <w:rPr>
          <w:szCs w:val="18"/>
        </w:rPr>
        <w:t>, tabel B3.19</w:t>
      </w:r>
      <w:r w:rsidR="00B52D66">
        <w:rPr>
          <w:szCs w:val="18"/>
        </w:rPr>
        <w:t>).</w:t>
      </w:r>
    </w:p>
    <w:p w:rsidR="00B52D66" w:rsidP="00B52D66" w:rsidRDefault="00B52D66" w14:paraId="54E53EEA" w14:textId="77777777">
      <w:pPr>
        <w:spacing w:after="160" w:line="259" w:lineRule="auto"/>
        <w:jc w:val="both"/>
        <w:rPr>
          <w:rFonts w:eastAsiaTheme="majorEastAsia" w:cstheme="majorBidi"/>
          <w:b/>
          <w:color w:val="1D509A"/>
          <w:szCs w:val="18"/>
          <w:lang w:eastAsia="en-US"/>
        </w:rPr>
      </w:pPr>
    </w:p>
    <w:p w:rsidRPr="00F75D9D" w:rsidR="00B52D66" w:rsidP="00B52D66" w:rsidRDefault="00B52D66" w14:paraId="79AB873F" w14:textId="77777777">
      <w:pPr>
        <w:pStyle w:val="Kop3"/>
        <w:jc w:val="both"/>
      </w:pPr>
      <w:bookmarkStart w:name="_Toc158042076" w:id="190"/>
      <w:bookmarkStart w:name="_Toc203573639" w:id="191"/>
      <w:r w:rsidRPr="00A45539">
        <w:rPr>
          <w:szCs w:val="18"/>
        </w:rPr>
        <w:t xml:space="preserve">Samenvatting </w:t>
      </w:r>
      <w:r>
        <w:rPr>
          <w:szCs w:val="18"/>
        </w:rPr>
        <w:t>doorstroom naar een</w:t>
      </w:r>
      <w:r w:rsidRPr="00A45539">
        <w:rPr>
          <w:szCs w:val="18"/>
        </w:rPr>
        <w:t xml:space="preserve"> vervolgopleiding</w:t>
      </w:r>
      <w:bookmarkEnd w:id="187"/>
      <w:bookmarkEnd w:id="188"/>
      <w:bookmarkEnd w:id="190"/>
      <w:bookmarkEnd w:id="191"/>
    </w:p>
    <w:p w:rsidR="00B52D66" w:rsidP="00B52D66" w:rsidRDefault="00B52D66" w14:paraId="44707FD6" w14:textId="77777777">
      <w:pPr>
        <w:jc w:val="both"/>
        <w:rPr>
          <w:szCs w:val="18"/>
          <w:highlight w:val="yellow"/>
        </w:rPr>
      </w:pPr>
    </w:p>
    <w:p w:rsidR="00B52D66" w:rsidP="00B52D66" w:rsidRDefault="00B52D66" w14:paraId="2AE509A3" w14:textId="77777777">
      <w:pPr>
        <w:jc w:val="both"/>
        <w:rPr>
          <w:szCs w:val="18"/>
        </w:rPr>
      </w:pPr>
      <w:r>
        <w:rPr>
          <w:szCs w:val="18"/>
        </w:rPr>
        <w:t>Voor het merendeel van v</w:t>
      </w:r>
      <w:r w:rsidRPr="00A45539">
        <w:rPr>
          <w:szCs w:val="18"/>
        </w:rPr>
        <w:t xml:space="preserve">mbo-leerlingen </w:t>
      </w:r>
      <w:r>
        <w:rPr>
          <w:szCs w:val="18"/>
        </w:rPr>
        <w:t>is</w:t>
      </w:r>
      <w:r w:rsidRPr="00A45539">
        <w:rPr>
          <w:szCs w:val="18"/>
        </w:rPr>
        <w:t xml:space="preserve"> een mbo-opleiding</w:t>
      </w:r>
      <w:r>
        <w:rPr>
          <w:szCs w:val="18"/>
        </w:rPr>
        <w:t xml:space="preserve"> een logische vervolgstap</w:t>
      </w:r>
      <w:r w:rsidRPr="00A45539">
        <w:rPr>
          <w:szCs w:val="18"/>
        </w:rPr>
        <w:t xml:space="preserve">. </w:t>
      </w:r>
      <w:r>
        <w:rPr>
          <w:szCs w:val="18"/>
        </w:rPr>
        <w:t xml:space="preserve">Rond twee derde </w:t>
      </w:r>
      <w:r w:rsidRPr="00A45539">
        <w:rPr>
          <w:szCs w:val="18"/>
        </w:rPr>
        <w:t xml:space="preserve">van techniekleerlingen, met uitzondering van MVI-leerlingen, </w:t>
      </w:r>
      <w:r>
        <w:rPr>
          <w:szCs w:val="18"/>
        </w:rPr>
        <w:t>kiezen</w:t>
      </w:r>
      <w:r w:rsidRPr="00A45539">
        <w:rPr>
          <w:szCs w:val="18"/>
        </w:rPr>
        <w:t xml:space="preserve"> voor een mbo-opleiding die valt binnen een technische sectorkamer, zijnde Techniek en gebouwde omgeving en Mobiliteit, transport, logistiek en maritiem</w:t>
      </w:r>
      <w:r>
        <w:rPr>
          <w:szCs w:val="18"/>
        </w:rPr>
        <w:t xml:space="preserve"> en in mindere mate Specialistisch Vakmanschap</w:t>
      </w:r>
      <w:r w:rsidRPr="00A45539">
        <w:rPr>
          <w:szCs w:val="18"/>
        </w:rPr>
        <w:t xml:space="preserve">. </w:t>
      </w:r>
      <w:r>
        <w:rPr>
          <w:szCs w:val="18"/>
        </w:rPr>
        <w:t xml:space="preserve">Ingedeeld naar techniek-indeling, zien we ook dat de meerderheid (58 tot 81 procent) van techniekleerlingen doorstroomt naar een technische mbo-opleiding. </w:t>
      </w:r>
      <w:r w:rsidRPr="00A45539">
        <w:rPr>
          <w:szCs w:val="18"/>
        </w:rPr>
        <w:t xml:space="preserve">Doorstroom vanuit niet-technische vmbo-profielen naar technische mbo-vervolgopleidingen komt </w:t>
      </w:r>
      <w:r>
        <w:rPr>
          <w:szCs w:val="18"/>
        </w:rPr>
        <w:t xml:space="preserve">met ongeveer 30 procent </w:t>
      </w:r>
      <w:r w:rsidRPr="00A45539">
        <w:rPr>
          <w:szCs w:val="18"/>
        </w:rPr>
        <w:t xml:space="preserve">het meest voor </w:t>
      </w:r>
      <w:bookmarkStart w:name="_Hlk159593574" w:id="192"/>
      <w:r w:rsidRPr="00A45539">
        <w:rPr>
          <w:szCs w:val="18"/>
        </w:rPr>
        <w:t>vanuit de profielen D&amp;P en Groen</w:t>
      </w:r>
      <w:bookmarkEnd w:id="192"/>
      <w:r w:rsidRPr="00A45539">
        <w:rPr>
          <w:szCs w:val="18"/>
        </w:rPr>
        <w:t xml:space="preserve">. </w:t>
      </w:r>
      <w:r>
        <w:rPr>
          <w:szCs w:val="18"/>
        </w:rPr>
        <w:t xml:space="preserve">Vanuit de andere niet-technische profielen is er ook een noemenswaardige doorstroom naar een technische opleiding: 23 procent van E&amp;O-leerlingen, 14 procent van HBR-leerlingen en 6 procent van Z&amp;W-leerlingen stroomt door naar een technische vervolgopleiding. </w:t>
      </w:r>
    </w:p>
    <w:p w:rsidR="00B52D66" w:rsidP="00B52D66" w:rsidRDefault="00B52D66" w14:paraId="2FAF8456" w14:textId="77777777">
      <w:pPr>
        <w:jc w:val="both"/>
        <w:rPr>
          <w:szCs w:val="18"/>
        </w:rPr>
      </w:pPr>
    </w:p>
    <w:p w:rsidR="00B52D66" w:rsidP="00B52D66" w:rsidRDefault="00B52D66" w14:paraId="7B74B413" w14:textId="77777777">
      <w:pPr>
        <w:jc w:val="both"/>
        <w:rPr>
          <w:szCs w:val="18"/>
        </w:rPr>
      </w:pPr>
    </w:p>
    <w:p w:rsidR="00B52D66" w:rsidP="00B52D66" w:rsidRDefault="00B52D66" w14:paraId="472D3F21" w14:textId="77777777">
      <w:pPr>
        <w:pStyle w:val="Kop2"/>
        <w:jc w:val="both"/>
        <w:rPr>
          <w:szCs w:val="18"/>
        </w:rPr>
      </w:pPr>
      <w:bookmarkStart w:name="_Toc203573640" w:id="193"/>
      <w:r>
        <w:rPr>
          <w:szCs w:val="18"/>
        </w:rPr>
        <w:t>De mening van oud-leerlingen over de genoten vmbo-opleiding</w:t>
      </w:r>
      <w:bookmarkEnd w:id="193"/>
    </w:p>
    <w:p w:rsidRPr="00A56D33" w:rsidR="00B52D66" w:rsidP="00B52D66" w:rsidRDefault="00B52D66" w14:paraId="2DDBA324" w14:textId="77777777">
      <w:pPr>
        <w:rPr>
          <w:lang w:eastAsia="en-US"/>
        </w:rPr>
      </w:pPr>
    </w:p>
    <w:p w:rsidR="00B52D66" w:rsidP="00B52D66" w:rsidRDefault="00B52D66" w14:paraId="5E0E60DC" w14:textId="77777777">
      <w:pPr>
        <w:jc w:val="both"/>
        <w:rPr>
          <w:szCs w:val="18"/>
        </w:rPr>
      </w:pPr>
      <w:r>
        <w:rPr>
          <w:szCs w:val="18"/>
        </w:rPr>
        <w:t xml:space="preserve">In deze paragraaf kijken we naar de mening van oud-vmbo leerlingen over de door hun gevolgde opleiding. </w:t>
      </w:r>
      <w:r>
        <w:t>In het kader van het landelijke Schoolverlatersonderzoek (VO-Monitor), uitgevoerd door het CBS in samenwerking met het Researchcentrum voor Onderwijs en Arbeidsmarkt (ROA), wordt jaarlijks aan gediplomeerde leerlingen gevraagd om hun vmbo-opleiding te evalueren. We kunnen een representatief beeld schetsen wanneer we</w:t>
      </w:r>
      <w:r>
        <w:rPr>
          <w:szCs w:val="18"/>
        </w:rPr>
        <w:t xml:space="preserve"> kijken naar de tevredenheid over de inhoud van de opleiding en in welke mate de opleiding een goede aansluiting en voorbereiding gaf op een vervolgopleiding. </w:t>
      </w:r>
      <w:r w:rsidRPr="00AD4BAD">
        <w:rPr>
          <w:szCs w:val="18"/>
        </w:rPr>
        <w:t>In de meting van 202</w:t>
      </w:r>
      <w:r>
        <w:rPr>
          <w:szCs w:val="18"/>
        </w:rPr>
        <w:t>3</w:t>
      </w:r>
      <w:r w:rsidRPr="00AD4BAD">
        <w:rPr>
          <w:szCs w:val="18"/>
        </w:rPr>
        <w:t xml:space="preserve"> </w:t>
      </w:r>
      <w:r>
        <w:rPr>
          <w:szCs w:val="18"/>
        </w:rPr>
        <w:t>werden</w:t>
      </w:r>
      <w:r w:rsidRPr="00AD4BAD">
        <w:rPr>
          <w:szCs w:val="18"/>
        </w:rPr>
        <w:t xml:space="preserve"> leerlingen bevraagd die in </w:t>
      </w:r>
      <w:r>
        <w:rPr>
          <w:szCs w:val="18"/>
        </w:rPr>
        <w:t xml:space="preserve">het schooljaar </w:t>
      </w:r>
      <w:r w:rsidRPr="00AD4BAD">
        <w:rPr>
          <w:szCs w:val="18"/>
        </w:rPr>
        <w:t>2021</w:t>
      </w:r>
      <w:r>
        <w:rPr>
          <w:szCs w:val="18"/>
        </w:rPr>
        <w:t>/2022</w:t>
      </w:r>
      <w:r w:rsidRPr="00AD4BAD">
        <w:rPr>
          <w:szCs w:val="18"/>
        </w:rPr>
        <w:t xml:space="preserve"> hun diploma h</w:t>
      </w:r>
      <w:r>
        <w:rPr>
          <w:szCs w:val="18"/>
        </w:rPr>
        <w:t>add</w:t>
      </w:r>
      <w:r w:rsidRPr="00AD4BAD">
        <w:rPr>
          <w:szCs w:val="18"/>
        </w:rPr>
        <w:t>en behaald.</w:t>
      </w:r>
    </w:p>
    <w:p w:rsidRPr="00010FD6" w:rsidR="00B52D66" w:rsidP="00B52D66" w:rsidRDefault="00B52D66" w14:paraId="68A6CE62" w14:textId="77777777"/>
    <w:p w:rsidRPr="00F75D9D" w:rsidR="00B52D66" w:rsidP="00B52D66" w:rsidRDefault="00B52D66" w14:paraId="6248661C" w14:textId="77777777">
      <w:pPr>
        <w:pStyle w:val="Kop3"/>
        <w:jc w:val="both"/>
      </w:pPr>
      <w:bookmarkStart w:name="_Toc203573641" w:id="194"/>
      <w:r>
        <w:t>Aantrekkelijkheid, actualiteit en niveau van vmbo-opleidingen</w:t>
      </w:r>
      <w:bookmarkEnd w:id="194"/>
    </w:p>
    <w:p w:rsidRPr="00AD4BAD" w:rsidR="00B52D66" w:rsidP="00B52D66" w:rsidRDefault="00B52D66" w14:paraId="0E821837" w14:textId="1BB59F56">
      <w:pPr>
        <w:ind w:right="4"/>
        <w:jc w:val="both"/>
        <w:rPr>
          <w:szCs w:val="18"/>
        </w:rPr>
      </w:pPr>
      <w:r>
        <w:rPr>
          <w:szCs w:val="18"/>
        </w:rPr>
        <w:t xml:space="preserve">De uitkomsten over </w:t>
      </w:r>
      <w:r w:rsidRPr="00AD4BAD">
        <w:rPr>
          <w:szCs w:val="18"/>
        </w:rPr>
        <w:t xml:space="preserve">de tevredenheid </w:t>
      </w:r>
      <w:r>
        <w:rPr>
          <w:szCs w:val="18"/>
        </w:rPr>
        <w:t>met</w:t>
      </w:r>
      <w:r w:rsidRPr="00AD4BAD">
        <w:rPr>
          <w:szCs w:val="18"/>
        </w:rPr>
        <w:t xml:space="preserve"> de inhoud van de opleiding </w:t>
      </w:r>
      <w:r>
        <w:rPr>
          <w:szCs w:val="18"/>
        </w:rPr>
        <w:t xml:space="preserve">worden in Tabel </w:t>
      </w:r>
      <w:r w:rsidR="00F1065D">
        <w:rPr>
          <w:szCs w:val="18"/>
        </w:rPr>
        <w:t>B3</w:t>
      </w:r>
      <w:r>
        <w:rPr>
          <w:szCs w:val="18"/>
        </w:rPr>
        <w:t xml:space="preserve">.10 gepresenteerd. </w:t>
      </w:r>
      <w:r w:rsidRPr="00AD4BAD">
        <w:rPr>
          <w:szCs w:val="18"/>
        </w:rPr>
        <w:t xml:space="preserve">Uit de </w:t>
      </w:r>
      <w:r>
        <w:rPr>
          <w:szCs w:val="18"/>
        </w:rPr>
        <w:t xml:space="preserve">analyse van de </w:t>
      </w:r>
      <w:r w:rsidRPr="00AD4BAD">
        <w:rPr>
          <w:szCs w:val="18"/>
        </w:rPr>
        <w:t>meting van 202</w:t>
      </w:r>
      <w:r>
        <w:rPr>
          <w:szCs w:val="18"/>
        </w:rPr>
        <w:t>3</w:t>
      </w:r>
      <w:r w:rsidRPr="00AD4BAD">
        <w:rPr>
          <w:szCs w:val="18"/>
        </w:rPr>
        <w:t xml:space="preserve"> </w:t>
      </w:r>
      <w:r>
        <w:rPr>
          <w:szCs w:val="18"/>
        </w:rPr>
        <w:t>blijkt</w:t>
      </w:r>
      <w:r w:rsidRPr="00AD4BAD">
        <w:rPr>
          <w:szCs w:val="18"/>
        </w:rPr>
        <w:t xml:space="preserve"> dat oud-vmbo-leerlingen in technische profielen over het algemeen de inhoud van hun opleiding aantrekkelijker, actueler en uitdagender vonden vergeleken met gediplomeerden die een niet-technisch profiel volgden</w:t>
      </w:r>
      <w:r>
        <w:rPr>
          <w:szCs w:val="18"/>
        </w:rPr>
        <w:t>. Dit geldt met name voor</w:t>
      </w:r>
      <w:r w:rsidRPr="00AD4BAD">
        <w:rPr>
          <w:szCs w:val="18"/>
        </w:rPr>
        <w:t xml:space="preserve"> gediplomeerden uit de </w:t>
      </w:r>
      <w:r>
        <w:rPr>
          <w:szCs w:val="18"/>
        </w:rPr>
        <w:t>bl</w:t>
      </w:r>
      <w:r w:rsidRPr="00AD4BAD">
        <w:rPr>
          <w:szCs w:val="18"/>
        </w:rPr>
        <w:t>.</w:t>
      </w:r>
      <w:r>
        <w:rPr>
          <w:szCs w:val="18"/>
        </w:rPr>
        <w:t xml:space="preserve"> In vergelijking met de vmbo-leerlingen die in het schooljaar 2019/2020 hun diploma behaalden (meting 2021</w:t>
      </w:r>
      <w:r>
        <w:rPr>
          <w:rStyle w:val="Voetnootmarkering"/>
          <w:szCs w:val="18"/>
        </w:rPr>
        <w:footnoteReference w:id="17"/>
      </w:r>
      <w:r>
        <w:rPr>
          <w:szCs w:val="18"/>
        </w:rPr>
        <w:t>), en daarmee voor het eerst met Sterk Techniekonderwijs in aanraking kwamen, zien we doorgaans een verbeterd oordeel. Deze bespreken we in nader detail per stelling.</w:t>
      </w:r>
    </w:p>
    <w:p w:rsidRPr="00AD4BAD" w:rsidR="00B52D66" w:rsidP="00B52D66" w:rsidRDefault="00B52D66" w14:paraId="2FE7B9DE" w14:textId="77777777">
      <w:pPr>
        <w:ind w:right="4"/>
        <w:jc w:val="both"/>
        <w:rPr>
          <w:szCs w:val="18"/>
        </w:rPr>
      </w:pPr>
    </w:p>
    <w:p w:rsidRPr="00AD4BAD" w:rsidR="00B52D66" w:rsidP="00B52D66" w:rsidRDefault="00B52D66" w14:paraId="67D242DA" w14:textId="77777777">
      <w:pPr>
        <w:ind w:right="4"/>
        <w:jc w:val="both"/>
        <w:rPr>
          <w:szCs w:val="18"/>
        </w:rPr>
      </w:pPr>
      <w:r w:rsidRPr="00AD4BAD">
        <w:rPr>
          <w:szCs w:val="18"/>
        </w:rPr>
        <w:t>Bij de techni</w:t>
      </w:r>
      <w:r>
        <w:rPr>
          <w:szCs w:val="18"/>
        </w:rPr>
        <w:t xml:space="preserve">sche </w:t>
      </w:r>
      <w:r w:rsidRPr="00AD4BAD">
        <w:rPr>
          <w:szCs w:val="18"/>
        </w:rPr>
        <w:t>profielen wa</w:t>
      </w:r>
      <w:r>
        <w:rPr>
          <w:szCs w:val="18"/>
        </w:rPr>
        <w:t>s</w:t>
      </w:r>
      <w:r w:rsidRPr="00AD4BAD">
        <w:rPr>
          <w:szCs w:val="18"/>
        </w:rPr>
        <w:t xml:space="preserve">, afhankelijk van de gevolgde leerweg, tussen de </w:t>
      </w:r>
      <w:r>
        <w:rPr>
          <w:szCs w:val="18"/>
        </w:rPr>
        <w:t>54</w:t>
      </w:r>
      <w:r w:rsidRPr="00AD4BAD">
        <w:rPr>
          <w:szCs w:val="18"/>
        </w:rPr>
        <w:t xml:space="preserve"> en </w:t>
      </w:r>
      <w:r>
        <w:rPr>
          <w:szCs w:val="18"/>
        </w:rPr>
        <w:t>70</w:t>
      </w:r>
      <w:r w:rsidRPr="00AD4BAD">
        <w:rPr>
          <w:szCs w:val="18"/>
        </w:rPr>
        <w:t xml:space="preserve"> procent van de oud-leerlingen met een technisch profiel het (helemaal) eens met de stelling dat de door hun gevolgde opleiding aantrekkelijk was om te volgen. </w:t>
      </w:r>
      <w:r>
        <w:rPr>
          <w:szCs w:val="18"/>
        </w:rPr>
        <w:t xml:space="preserve">Vergeleken met de meting 2021 zien we een toename onder oud-leerlingen van de kl (van 60 naar 70 procent) en een afname onder oud-leerlingen van de gl (van 66 naar 54 procent). </w:t>
      </w:r>
      <w:r w:rsidRPr="00AD4BAD">
        <w:rPr>
          <w:szCs w:val="18"/>
        </w:rPr>
        <w:t xml:space="preserve">Oud-leerlingen van niet-technische profielen </w:t>
      </w:r>
      <w:r>
        <w:rPr>
          <w:szCs w:val="18"/>
        </w:rPr>
        <w:t>beoordelen</w:t>
      </w:r>
      <w:r w:rsidRPr="00AD4BAD">
        <w:rPr>
          <w:szCs w:val="18"/>
        </w:rPr>
        <w:t xml:space="preserve"> deze vraag </w:t>
      </w:r>
      <w:r>
        <w:rPr>
          <w:szCs w:val="18"/>
        </w:rPr>
        <w:t xml:space="preserve">– net als in de meting 2021 - </w:t>
      </w:r>
      <w:r w:rsidRPr="00AD4BAD">
        <w:rPr>
          <w:szCs w:val="18"/>
        </w:rPr>
        <w:t xml:space="preserve">gematigder: </w:t>
      </w:r>
      <w:r>
        <w:rPr>
          <w:szCs w:val="18"/>
        </w:rPr>
        <w:t>ongeveer</w:t>
      </w:r>
      <w:r w:rsidRPr="00AD4BAD">
        <w:rPr>
          <w:szCs w:val="18"/>
        </w:rPr>
        <w:t xml:space="preserve"> de helft vond hun opleiding interessant om te volgen.</w:t>
      </w:r>
    </w:p>
    <w:p w:rsidRPr="00AD4BAD" w:rsidR="00B52D66" w:rsidP="00B52D66" w:rsidRDefault="00B52D66" w14:paraId="085B90CC" w14:textId="77777777">
      <w:pPr>
        <w:ind w:right="4"/>
        <w:jc w:val="both"/>
        <w:rPr>
          <w:szCs w:val="18"/>
        </w:rPr>
      </w:pPr>
    </w:p>
    <w:p w:rsidRPr="00AD4BAD" w:rsidR="00B52D66" w:rsidP="00B52D66" w:rsidRDefault="00B52D66" w14:paraId="3BCE8F4B" w14:textId="77777777">
      <w:pPr>
        <w:ind w:right="4"/>
        <w:jc w:val="both"/>
        <w:rPr>
          <w:szCs w:val="18"/>
        </w:rPr>
      </w:pPr>
      <w:r w:rsidRPr="00AD4BAD">
        <w:rPr>
          <w:szCs w:val="18"/>
        </w:rPr>
        <w:t xml:space="preserve">Verder </w:t>
      </w:r>
      <w:r>
        <w:rPr>
          <w:szCs w:val="18"/>
        </w:rPr>
        <w:t>zijn</w:t>
      </w:r>
      <w:r w:rsidRPr="00AD4BAD">
        <w:rPr>
          <w:szCs w:val="18"/>
        </w:rPr>
        <w:t xml:space="preserve"> ongeveer zes op de tien gediplomeerden met een technisch </w:t>
      </w:r>
      <w:r>
        <w:rPr>
          <w:szCs w:val="18"/>
        </w:rPr>
        <w:t>vmbo-</w:t>
      </w:r>
      <w:r w:rsidRPr="00AD4BAD">
        <w:rPr>
          <w:szCs w:val="18"/>
        </w:rPr>
        <w:t>profiel</w:t>
      </w:r>
      <w:r>
        <w:rPr>
          <w:szCs w:val="18"/>
        </w:rPr>
        <w:t xml:space="preserve"> op de bl en kl het</w:t>
      </w:r>
      <w:r w:rsidRPr="00AD4BAD">
        <w:rPr>
          <w:szCs w:val="18"/>
        </w:rPr>
        <w:t xml:space="preserve"> </w:t>
      </w:r>
      <w:r>
        <w:rPr>
          <w:szCs w:val="18"/>
        </w:rPr>
        <w:t xml:space="preserve">eens met de stelling </w:t>
      </w:r>
      <w:r w:rsidRPr="00AD4BAD">
        <w:rPr>
          <w:szCs w:val="18"/>
        </w:rPr>
        <w:t>dat hun opleiding inspeelde op de actualiteit.</w:t>
      </w:r>
      <w:r>
        <w:rPr>
          <w:szCs w:val="18"/>
        </w:rPr>
        <w:t xml:space="preserve"> In de gl zijn dit bijna zeven op de tien gediplomeerden.</w:t>
      </w:r>
      <w:r w:rsidRPr="00AD4BAD">
        <w:rPr>
          <w:szCs w:val="18"/>
        </w:rPr>
        <w:t xml:space="preserve"> Bij de gediplomeerden van niet-technische profielen </w:t>
      </w:r>
      <w:r>
        <w:rPr>
          <w:szCs w:val="18"/>
        </w:rPr>
        <w:t>was dat onder gediplomeerden in de bl 43 procent, in de kl 50 procent en in de gl 59 procent</w:t>
      </w:r>
      <w:r w:rsidRPr="00AD4BAD">
        <w:rPr>
          <w:szCs w:val="18"/>
        </w:rPr>
        <w:t xml:space="preserve">. </w:t>
      </w:r>
      <w:r>
        <w:rPr>
          <w:szCs w:val="18"/>
        </w:rPr>
        <w:t>Vergeleken met de meting 2021 zijn de antwoorden niet noemenswaardig veranderd.</w:t>
      </w:r>
      <w:r w:rsidRPr="00AD4BAD">
        <w:rPr>
          <w:szCs w:val="18"/>
        </w:rPr>
        <w:t xml:space="preserve">  </w:t>
      </w:r>
    </w:p>
    <w:p w:rsidRPr="00AD4BAD" w:rsidR="00B52D66" w:rsidP="00B52D66" w:rsidRDefault="00B52D66" w14:paraId="7E5BF806" w14:textId="77777777">
      <w:pPr>
        <w:ind w:right="4"/>
        <w:jc w:val="both"/>
        <w:rPr>
          <w:szCs w:val="18"/>
        </w:rPr>
      </w:pPr>
    </w:p>
    <w:p w:rsidRPr="00AD4BAD" w:rsidR="00B52D66" w:rsidP="00B52D66" w:rsidRDefault="00B52D66" w14:paraId="2946FED5" w14:textId="77777777">
      <w:pPr>
        <w:ind w:right="4"/>
        <w:jc w:val="both"/>
        <w:rPr>
          <w:szCs w:val="18"/>
        </w:rPr>
      </w:pPr>
      <w:r>
        <w:rPr>
          <w:szCs w:val="18"/>
        </w:rPr>
        <w:t>Met de stelling “</w:t>
      </w:r>
      <w:r w:rsidRPr="00AD4BAD">
        <w:rPr>
          <w:szCs w:val="18"/>
        </w:rPr>
        <w:t xml:space="preserve">het niveau van de opleiding </w:t>
      </w:r>
      <w:r>
        <w:rPr>
          <w:szCs w:val="18"/>
        </w:rPr>
        <w:t xml:space="preserve">was </w:t>
      </w:r>
      <w:r w:rsidRPr="00AD4BAD">
        <w:rPr>
          <w:szCs w:val="18"/>
        </w:rPr>
        <w:t>uitdagend</w:t>
      </w:r>
      <w:r>
        <w:rPr>
          <w:szCs w:val="18"/>
        </w:rPr>
        <w:t>”</w:t>
      </w:r>
      <w:r w:rsidRPr="00AD4BAD">
        <w:rPr>
          <w:szCs w:val="18"/>
        </w:rPr>
        <w:t xml:space="preserve"> </w:t>
      </w:r>
      <w:r>
        <w:rPr>
          <w:szCs w:val="18"/>
        </w:rPr>
        <w:t>is doorgaans minder dan de helft van de oud-leerlingen het (helemaal) eens, ongeacht leerweg of profiel. In vergelijking met de meting 2021 vinden gediplomeerden met een technisch profiel</w:t>
      </w:r>
      <w:r w:rsidRPr="008F1DA3">
        <w:rPr>
          <w:szCs w:val="18"/>
        </w:rPr>
        <w:t xml:space="preserve"> </w:t>
      </w:r>
      <w:r>
        <w:rPr>
          <w:szCs w:val="18"/>
        </w:rPr>
        <w:t>in de bl en gl de opleiding iets uitdagender (een toename van 8 procentpunten )</w:t>
      </w:r>
      <w:r w:rsidRPr="00AD4BAD">
        <w:rPr>
          <w:szCs w:val="18"/>
        </w:rPr>
        <w:t xml:space="preserve">. </w:t>
      </w:r>
    </w:p>
    <w:p w:rsidRPr="00AD4BAD" w:rsidR="00B52D66" w:rsidP="00B52D66" w:rsidRDefault="00B52D66" w14:paraId="23AB0693" w14:textId="77777777">
      <w:pPr>
        <w:ind w:right="4"/>
        <w:jc w:val="both"/>
        <w:rPr>
          <w:szCs w:val="18"/>
        </w:rPr>
      </w:pPr>
    </w:p>
    <w:p w:rsidRPr="00F75D9D" w:rsidR="00B52D66" w:rsidP="00B52D66" w:rsidRDefault="00B52D66" w14:paraId="7327FD08" w14:textId="21AE778B">
      <w:pPr>
        <w:pStyle w:val="Bijschrift"/>
        <w:tabs>
          <w:tab w:val="clear" w:pos="357"/>
          <w:tab w:val="clear" w:pos="714"/>
        </w:tabs>
        <w:ind w:left="0" w:right="4" w:firstLine="0"/>
        <w:rPr>
          <w:bCs w:val="0"/>
        </w:rPr>
      </w:pPr>
      <w:r w:rsidRPr="00F75D9D">
        <w:rPr>
          <w:bCs w:val="0"/>
        </w:rPr>
        <w:t xml:space="preserve">TABEL </w:t>
      </w:r>
      <w:r w:rsidR="00F1065D">
        <w:rPr>
          <w:bCs w:val="0"/>
        </w:rPr>
        <w:t>B3</w:t>
      </w:r>
      <w:r>
        <w:rPr>
          <w:bCs w:val="0"/>
        </w:rPr>
        <w:t>.10</w:t>
      </w:r>
      <w:r>
        <w:rPr>
          <w:bCs w:val="0"/>
        </w:rPr>
        <w:tab/>
      </w:r>
      <w:r w:rsidRPr="00F75D9D">
        <w:rPr>
          <w:bCs w:val="0"/>
        </w:rPr>
        <w:t>Beoordeling oud-leerlingen over inhoud vmbo-opleiding</w:t>
      </w:r>
    </w:p>
    <w:tbl>
      <w:tblPr>
        <w:tblW w:w="9259" w:type="dxa"/>
        <w:tblLook w:val="04A0" w:firstRow="1" w:lastRow="0" w:firstColumn="1" w:lastColumn="0" w:noHBand="0" w:noVBand="1"/>
      </w:tblPr>
      <w:tblGrid>
        <w:gridCol w:w="4395"/>
        <w:gridCol w:w="1984"/>
        <w:gridCol w:w="960"/>
        <w:gridCol w:w="960"/>
        <w:gridCol w:w="960"/>
      </w:tblGrid>
      <w:tr w:rsidRPr="004A1C7A" w:rsidR="00B52D66" w:rsidTr="00FC2172" w14:paraId="7C435722" w14:textId="77777777">
        <w:trPr>
          <w:trHeight w:val="230"/>
        </w:trPr>
        <w:tc>
          <w:tcPr>
            <w:tcW w:w="4395" w:type="dxa"/>
            <w:tcBorders>
              <w:top w:val="single" w:color="auto" w:sz="4" w:space="0"/>
              <w:left w:val="nil"/>
              <w:bottom w:val="single" w:color="auto" w:sz="4" w:space="0"/>
              <w:right w:val="nil"/>
            </w:tcBorders>
            <w:noWrap/>
            <w:vAlign w:val="bottom"/>
            <w:hideMark/>
          </w:tcPr>
          <w:p w:rsidRPr="00181480" w:rsidR="00B52D66" w:rsidP="00FC2172" w:rsidRDefault="00B52D66" w14:paraId="60230E9F" w14:textId="77777777">
            <w:pPr>
              <w:spacing w:line="240" w:lineRule="auto"/>
              <w:ind w:right="4"/>
              <w:rPr>
                <w:rFonts w:ascii="Arial" w:hAnsi="Arial" w:cs="Arial"/>
                <w:b/>
                <w:bCs/>
                <w:color w:val="000000"/>
                <w:szCs w:val="18"/>
                <w:lang w:eastAsia="en-GB"/>
              </w:rPr>
            </w:pPr>
            <w:r w:rsidRPr="00181480">
              <w:rPr>
                <w:rFonts w:ascii="Arial" w:hAnsi="Arial" w:cs="Arial"/>
                <w:b/>
                <w:bCs/>
                <w:color w:val="000000"/>
                <w:szCs w:val="18"/>
                <w:lang w:eastAsia="en-GB"/>
              </w:rPr>
              <w:t> </w:t>
            </w:r>
          </w:p>
        </w:tc>
        <w:tc>
          <w:tcPr>
            <w:tcW w:w="1984" w:type="dxa"/>
            <w:tcBorders>
              <w:top w:val="single" w:color="auto" w:sz="4" w:space="0"/>
              <w:left w:val="nil"/>
              <w:bottom w:val="single" w:color="auto" w:sz="4" w:space="0"/>
              <w:right w:val="nil"/>
            </w:tcBorders>
            <w:noWrap/>
            <w:vAlign w:val="bottom"/>
            <w:hideMark/>
          </w:tcPr>
          <w:p w:rsidRPr="00181480" w:rsidR="00B52D66" w:rsidP="00FC2172" w:rsidRDefault="00B52D66" w14:paraId="3BF4C733" w14:textId="77777777">
            <w:pPr>
              <w:spacing w:line="240" w:lineRule="auto"/>
              <w:ind w:right="4"/>
              <w:rPr>
                <w:rFonts w:ascii="Arial" w:hAnsi="Arial" w:cs="Arial"/>
                <w:b/>
                <w:bCs/>
                <w:color w:val="000000"/>
                <w:szCs w:val="18"/>
                <w:lang w:eastAsia="en-GB"/>
              </w:rPr>
            </w:pPr>
            <w:r w:rsidRPr="00181480">
              <w:rPr>
                <w:rFonts w:ascii="Arial" w:hAnsi="Arial" w:cs="Arial"/>
                <w:b/>
                <w:bCs/>
                <w:color w:val="000000"/>
                <w:szCs w:val="18"/>
                <w:lang w:eastAsia="en-GB"/>
              </w:rPr>
              <w:t> </w:t>
            </w:r>
          </w:p>
        </w:tc>
        <w:tc>
          <w:tcPr>
            <w:tcW w:w="960" w:type="dxa"/>
            <w:tcBorders>
              <w:top w:val="single" w:color="auto" w:sz="4" w:space="0"/>
              <w:left w:val="nil"/>
              <w:bottom w:val="single" w:color="auto" w:sz="4" w:space="0"/>
              <w:right w:val="nil"/>
            </w:tcBorders>
            <w:noWrap/>
            <w:vAlign w:val="bottom"/>
            <w:hideMark/>
          </w:tcPr>
          <w:p w:rsidRPr="004A1C7A" w:rsidR="00B52D66" w:rsidP="00FC2172" w:rsidRDefault="00B52D66" w14:paraId="388AB669" w14:textId="77777777">
            <w:pPr>
              <w:spacing w:line="240" w:lineRule="auto"/>
              <w:ind w:right="4"/>
              <w:jc w:val="center"/>
              <w:rPr>
                <w:rFonts w:ascii="Arial" w:hAnsi="Arial" w:cs="Arial"/>
                <w:b/>
                <w:bCs/>
                <w:color w:val="000000"/>
                <w:szCs w:val="18"/>
                <w:lang w:val="en-GB" w:eastAsia="en-GB"/>
              </w:rPr>
            </w:pPr>
            <w:r w:rsidRPr="004A1C7A">
              <w:rPr>
                <w:rFonts w:ascii="Arial" w:hAnsi="Arial" w:cs="Arial"/>
                <w:b/>
                <w:bCs/>
                <w:color w:val="000000"/>
                <w:szCs w:val="18"/>
                <w:lang w:val="en-GB" w:eastAsia="en-GB"/>
              </w:rPr>
              <w:t>bl</w:t>
            </w:r>
          </w:p>
        </w:tc>
        <w:tc>
          <w:tcPr>
            <w:tcW w:w="960" w:type="dxa"/>
            <w:tcBorders>
              <w:top w:val="single" w:color="auto" w:sz="4" w:space="0"/>
              <w:left w:val="nil"/>
              <w:bottom w:val="single" w:color="auto" w:sz="4" w:space="0"/>
              <w:right w:val="nil"/>
            </w:tcBorders>
            <w:noWrap/>
            <w:vAlign w:val="bottom"/>
            <w:hideMark/>
          </w:tcPr>
          <w:p w:rsidRPr="004A1C7A" w:rsidR="00B52D66" w:rsidP="00FC2172" w:rsidRDefault="00B52D66" w14:paraId="3C84AD8A" w14:textId="77777777">
            <w:pPr>
              <w:spacing w:line="240" w:lineRule="auto"/>
              <w:ind w:right="4"/>
              <w:jc w:val="center"/>
              <w:rPr>
                <w:rFonts w:ascii="Arial" w:hAnsi="Arial" w:cs="Arial"/>
                <w:b/>
                <w:bCs/>
                <w:color w:val="000000"/>
                <w:szCs w:val="18"/>
                <w:lang w:val="en-GB" w:eastAsia="en-GB"/>
              </w:rPr>
            </w:pPr>
            <w:r w:rsidRPr="004A1C7A">
              <w:rPr>
                <w:rFonts w:ascii="Arial" w:hAnsi="Arial" w:cs="Arial"/>
                <w:b/>
                <w:bCs/>
                <w:color w:val="000000"/>
                <w:szCs w:val="18"/>
                <w:lang w:val="en-GB" w:eastAsia="en-GB"/>
              </w:rPr>
              <w:t>kl</w:t>
            </w:r>
          </w:p>
        </w:tc>
        <w:tc>
          <w:tcPr>
            <w:tcW w:w="960" w:type="dxa"/>
            <w:tcBorders>
              <w:top w:val="single" w:color="auto" w:sz="4" w:space="0"/>
              <w:left w:val="nil"/>
              <w:bottom w:val="single" w:color="auto" w:sz="4" w:space="0"/>
              <w:right w:val="nil"/>
            </w:tcBorders>
            <w:noWrap/>
            <w:vAlign w:val="bottom"/>
            <w:hideMark/>
          </w:tcPr>
          <w:p w:rsidRPr="004A1C7A" w:rsidR="00B52D66" w:rsidP="00FC2172" w:rsidRDefault="00B52D66" w14:paraId="49026757" w14:textId="77777777">
            <w:pPr>
              <w:spacing w:line="240" w:lineRule="auto"/>
              <w:ind w:right="4"/>
              <w:jc w:val="center"/>
              <w:rPr>
                <w:rFonts w:ascii="Arial" w:hAnsi="Arial" w:cs="Arial"/>
                <w:b/>
                <w:bCs/>
                <w:color w:val="000000"/>
                <w:szCs w:val="18"/>
                <w:lang w:val="en-GB" w:eastAsia="en-GB"/>
              </w:rPr>
            </w:pPr>
            <w:r w:rsidRPr="004A1C7A">
              <w:rPr>
                <w:rFonts w:ascii="Arial" w:hAnsi="Arial" w:cs="Arial"/>
                <w:b/>
                <w:bCs/>
                <w:color w:val="000000"/>
                <w:szCs w:val="18"/>
                <w:lang w:val="en-GB" w:eastAsia="en-GB"/>
              </w:rPr>
              <w:t>gl</w:t>
            </w:r>
          </w:p>
        </w:tc>
      </w:tr>
      <w:tr w:rsidRPr="004A1C7A" w:rsidR="00B52D66" w:rsidTr="00FC2172" w14:paraId="3C85A25A" w14:textId="77777777">
        <w:trPr>
          <w:trHeight w:val="230"/>
        </w:trPr>
        <w:tc>
          <w:tcPr>
            <w:tcW w:w="4395" w:type="dxa"/>
            <w:tcBorders>
              <w:top w:val="nil"/>
              <w:left w:val="nil"/>
              <w:bottom w:val="nil"/>
              <w:right w:val="nil"/>
            </w:tcBorders>
            <w:noWrap/>
            <w:vAlign w:val="bottom"/>
            <w:hideMark/>
          </w:tcPr>
          <w:p w:rsidRPr="004A1C7A" w:rsidR="00B52D66" w:rsidP="00FC2172" w:rsidRDefault="00B52D66" w14:paraId="3E72AE16" w14:textId="77777777">
            <w:pPr>
              <w:spacing w:line="240" w:lineRule="auto"/>
              <w:ind w:right="4"/>
              <w:rPr>
                <w:rFonts w:ascii="Arial" w:hAnsi="Arial" w:cs="Arial"/>
                <w:b/>
                <w:bCs/>
                <w:color w:val="000000"/>
                <w:szCs w:val="18"/>
                <w:lang w:val="en-GB" w:eastAsia="en-GB"/>
              </w:rPr>
            </w:pPr>
            <w:r w:rsidRPr="004A1C7A">
              <w:rPr>
                <w:rFonts w:ascii="Arial" w:hAnsi="Arial" w:cs="Arial"/>
                <w:b/>
                <w:bCs/>
                <w:color w:val="000000"/>
                <w:szCs w:val="18"/>
                <w:lang w:val="en-GB" w:eastAsia="en-GB"/>
              </w:rPr>
              <w:t>Inhoud opleiding</w:t>
            </w:r>
          </w:p>
        </w:tc>
        <w:tc>
          <w:tcPr>
            <w:tcW w:w="1984" w:type="dxa"/>
            <w:tcBorders>
              <w:top w:val="nil"/>
              <w:left w:val="nil"/>
              <w:bottom w:val="nil"/>
              <w:right w:val="nil"/>
            </w:tcBorders>
            <w:noWrap/>
            <w:vAlign w:val="bottom"/>
            <w:hideMark/>
          </w:tcPr>
          <w:p w:rsidRPr="004A1C7A" w:rsidR="00B52D66" w:rsidP="00FC2172" w:rsidRDefault="00B52D66" w14:paraId="508D49D9" w14:textId="77777777">
            <w:pPr>
              <w:spacing w:line="240" w:lineRule="auto"/>
              <w:ind w:right="4"/>
              <w:rPr>
                <w:rFonts w:ascii="Arial" w:hAnsi="Arial" w:cs="Arial"/>
                <w:b/>
                <w:bCs/>
                <w:color w:val="000000"/>
                <w:szCs w:val="18"/>
                <w:lang w:val="en-GB" w:eastAsia="en-GB"/>
              </w:rPr>
            </w:pPr>
          </w:p>
        </w:tc>
        <w:tc>
          <w:tcPr>
            <w:tcW w:w="2880" w:type="dxa"/>
            <w:gridSpan w:val="3"/>
            <w:tcBorders>
              <w:top w:val="nil"/>
              <w:left w:val="nil"/>
              <w:bottom w:val="nil"/>
              <w:right w:val="nil"/>
            </w:tcBorders>
            <w:noWrap/>
            <w:hideMark/>
          </w:tcPr>
          <w:p w:rsidRPr="004A1C7A" w:rsidR="00B52D66" w:rsidP="00FC2172" w:rsidRDefault="00B52D66" w14:paraId="5756EB16" w14:textId="77777777">
            <w:pPr>
              <w:spacing w:line="240" w:lineRule="auto"/>
              <w:ind w:right="4"/>
              <w:jc w:val="center"/>
              <w:rPr>
                <w:rFonts w:ascii="Arial" w:hAnsi="Arial" w:cs="Arial"/>
                <w:color w:val="000000"/>
                <w:szCs w:val="18"/>
                <w:lang w:val="en-GB" w:eastAsia="en-GB"/>
              </w:rPr>
            </w:pPr>
            <w:r w:rsidRPr="004A1C7A">
              <w:rPr>
                <w:rFonts w:ascii="Arial" w:hAnsi="Arial" w:cs="Arial"/>
                <w:color w:val="000000"/>
                <w:szCs w:val="18"/>
                <w:lang w:val="en-GB" w:eastAsia="en-GB"/>
              </w:rPr>
              <w:t>% (helemaal) mee eens</w:t>
            </w:r>
          </w:p>
        </w:tc>
      </w:tr>
      <w:tr w:rsidRPr="004A1C7A" w:rsidR="00B52D66" w:rsidTr="00FC2172" w14:paraId="40AF1E2E" w14:textId="77777777">
        <w:trPr>
          <w:trHeight w:val="230"/>
        </w:trPr>
        <w:tc>
          <w:tcPr>
            <w:tcW w:w="4395" w:type="dxa"/>
            <w:vMerge w:val="restart"/>
            <w:tcBorders>
              <w:top w:val="nil"/>
              <w:left w:val="nil"/>
              <w:bottom w:val="nil"/>
              <w:right w:val="nil"/>
            </w:tcBorders>
            <w:hideMark/>
          </w:tcPr>
          <w:p w:rsidRPr="004A1C7A" w:rsidR="00B52D66" w:rsidP="00FC2172" w:rsidRDefault="00B52D66" w14:paraId="6DB23E18" w14:textId="77777777">
            <w:pPr>
              <w:spacing w:line="240" w:lineRule="auto"/>
              <w:ind w:right="4"/>
              <w:rPr>
                <w:rFonts w:ascii="Arial" w:hAnsi="Arial" w:cs="Arial"/>
                <w:color w:val="000000"/>
                <w:szCs w:val="18"/>
                <w:lang w:eastAsia="en-GB"/>
              </w:rPr>
            </w:pPr>
            <w:r w:rsidRPr="004A1C7A">
              <w:rPr>
                <w:rFonts w:ascii="Arial" w:hAnsi="Arial" w:cs="Arial"/>
                <w:color w:val="000000"/>
                <w:szCs w:val="18"/>
                <w:lang w:eastAsia="en-GB"/>
              </w:rPr>
              <w:t>De opleiding was aantrekkelijk om te volgen</w:t>
            </w:r>
          </w:p>
        </w:tc>
        <w:tc>
          <w:tcPr>
            <w:tcW w:w="1984" w:type="dxa"/>
            <w:tcBorders>
              <w:top w:val="nil"/>
              <w:left w:val="nil"/>
              <w:bottom w:val="nil"/>
              <w:right w:val="nil"/>
            </w:tcBorders>
            <w:noWrap/>
            <w:vAlign w:val="bottom"/>
            <w:hideMark/>
          </w:tcPr>
          <w:p w:rsidRPr="004A1C7A" w:rsidR="00B52D66" w:rsidP="00FC2172" w:rsidRDefault="00B52D66" w14:paraId="6A051208" w14:textId="77777777">
            <w:pPr>
              <w:spacing w:line="240" w:lineRule="auto"/>
              <w:ind w:right="4"/>
              <w:rPr>
                <w:rFonts w:ascii="Arial" w:hAnsi="Arial" w:cs="Arial"/>
                <w:color w:val="000000"/>
                <w:szCs w:val="18"/>
                <w:lang w:val="en-GB" w:eastAsia="en-GB"/>
              </w:rPr>
            </w:pPr>
            <w:r w:rsidRPr="004A1C7A">
              <w:rPr>
                <w:rFonts w:ascii="Arial" w:hAnsi="Arial" w:cs="Arial"/>
                <w:color w:val="000000"/>
                <w:szCs w:val="18"/>
                <w:lang w:val="en-GB" w:eastAsia="en-GB"/>
              </w:rPr>
              <w:t>Techniek</w:t>
            </w:r>
          </w:p>
        </w:tc>
        <w:tc>
          <w:tcPr>
            <w:tcW w:w="960" w:type="dxa"/>
            <w:tcBorders>
              <w:top w:val="nil"/>
              <w:left w:val="nil"/>
              <w:bottom w:val="nil"/>
              <w:right w:val="nil"/>
            </w:tcBorders>
            <w:noWrap/>
            <w:vAlign w:val="bottom"/>
            <w:hideMark/>
          </w:tcPr>
          <w:p w:rsidRPr="004A1C7A" w:rsidR="00B52D66" w:rsidP="00FC2172" w:rsidRDefault="00B52D66" w14:paraId="5F91ABB9" w14:textId="77777777">
            <w:pPr>
              <w:spacing w:line="240" w:lineRule="auto"/>
              <w:ind w:right="4"/>
              <w:jc w:val="center"/>
              <w:rPr>
                <w:rFonts w:ascii="Arial" w:hAnsi="Arial" w:cs="Arial"/>
                <w:color w:val="000000"/>
                <w:szCs w:val="18"/>
                <w:lang w:val="en-GB" w:eastAsia="en-GB"/>
              </w:rPr>
            </w:pPr>
            <w:r w:rsidRPr="004A1C7A">
              <w:rPr>
                <w:rFonts w:ascii="Arial" w:hAnsi="Arial" w:cs="Arial"/>
                <w:color w:val="000000"/>
                <w:szCs w:val="18"/>
                <w:lang w:val="en-GB" w:eastAsia="en-GB"/>
              </w:rPr>
              <w:t>67</w:t>
            </w:r>
          </w:p>
        </w:tc>
        <w:tc>
          <w:tcPr>
            <w:tcW w:w="960" w:type="dxa"/>
            <w:tcBorders>
              <w:top w:val="nil"/>
              <w:left w:val="nil"/>
              <w:bottom w:val="nil"/>
              <w:right w:val="nil"/>
            </w:tcBorders>
            <w:noWrap/>
            <w:vAlign w:val="bottom"/>
            <w:hideMark/>
          </w:tcPr>
          <w:p w:rsidRPr="004A1C7A" w:rsidR="00B52D66" w:rsidP="00FC2172" w:rsidRDefault="00B52D66" w14:paraId="7275CAD8" w14:textId="77777777">
            <w:pPr>
              <w:spacing w:line="240" w:lineRule="auto"/>
              <w:ind w:right="4"/>
              <w:jc w:val="center"/>
              <w:rPr>
                <w:rFonts w:ascii="Arial" w:hAnsi="Arial" w:cs="Arial"/>
                <w:color w:val="000000"/>
                <w:szCs w:val="18"/>
                <w:lang w:val="en-GB" w:eastAsia="en-GB"/>
              </w:rPr>
            </w:pPr>
            <w:r w:rsidRPr="004A1C7A">
              <w:rPr>
                <w:rFonts w:ascii="Arial" w:hAnsi="Arial" w:cs="Arial"/>
                <w:color w:val="000000"/>
                <w:szCs w:val="18"/>
                <w:lang w:val="en-GB" w:eastAsia="en-GB"/>
              </w:rPr>
              <w:t>70</w:t>
            </w:r>
          </w:p>
        </w:tc>
        <w:tc>
          <w:tcPr>
            <w:tcW w:w="960" w:type="dxa"/>
            <w:tcBorders>
              <w:top w:val="nil"/>
              <w:left w:val="nil"/>
              <w:bottom w:val="nil"/>
              <w:right w:val="nil"/>
            </w:tcBorders>
            <w:noWrap/>
            <w:vAlign w:val="bottom"/>
            <w:hideMark/>
          </w:tcPr>
          <w:p w:rsidRPr="004A1C7A" w:rsidR="00B52D66" w:rsidP="00FC2172" w:rsidRDefault="00B52D66" w14:paraId="2BF3BD3A" w14:textId="77777777">
            <w:pPr>
              <w:spacing w:line="240" w:lineRule="auto"/>
              <w:ind w:right="4"/>
              <w:jc w:val="center"/>
              <w:rPr>
                <w:rFonts w:ascii="Arial" w:hAnsi="Arial" w:cs="Arial"/>
                <w:color w:val="000000"/>
                <w:szCs w:val="18"/>
                <w:lang w:val="en-GB" w:eastAsia="en-GB"/>
              </w:rPr>
            </w:pPr>
            <w:r w:rsidRPr="004A1C7A">
              <w:rPr>
                <w:rFonts w:ascii="Arial" w:hAnsi="Arial" w:cs="Arial"/>
                <w:color w:val="000000"/>
                <w:szCs w:val="18"/>
                <w:lang w:val="en-GB" w:eastAsia="en-GB"/>
              </w:rPr>
              <w:t>54</w:t>
            </w:r>
          </w:p>
        </w:tc>
      </w:tr>
      <w:tr w:rsidRPr="004A1C7A" w:rsidR="00B52D66" w:rsidTr="00FC2172" w14:paraId="0DAA9D15" w14:textId="77777777">
        <w:trPr>
          <w:trHeight w:val="280"/>
        </w:trPr>
        <w:tc>
          <w:tcPr>
            <w:tcW w:w="4395" w:type="dxa"/>
            <w:vMerge/>
            <w:tcBorders>
              <w:top w:val="nil"/>
              <w:left w:val="nil"/>
              <w:bottom w:val="nil"/>
              <w:right w:val="nil"/>
            </w:tcBorders>
            <w:vAlign w:val="center"/>
            <w:hideMark/>
          </w:tcPr>
          <w:p w:rsidRPr="004A1C7A" w:rsidR="00B52D66" w:rsidP="00FC2172" w:rsidRDefault="00B52D66" w14:paraId="1925A8D3" w14:textId="77777777">
            <w:pPr>
              <w:spacing w:line="240" w:lineRule="auto"/>
              <w:ind w:right="4"/>
              <w:rPr>
                <w:rFonts w:ascii="Arial" w:hAnsi="Arial" w:cs="Arial"/>
                <w:color w:val="000000"/>
                <w:szCs w:val="18"/>
                <w:lang w:val="en-GB" w:eastAsia="en-GB"/>
              </w:rPr>
            </w:pPr>
          </w:p>
        </w:tc>
        <w:tc>
          <w:tcPr>
            <w:tcW w:w="1984" w:type="dxa"/>
            <w:tcBorders>
              <w:top w:val="nil"/>
              <w:left w:val="nil"/>
              <w:bottom w:val="nil"/>
              <w:right w:val="nil"/>
            </w:tcBorders>
            <w:noWrap/>
            <w:vAlign w:val="bottom"/>
            <w:hideMark/>
          </w:tcPr>
          <w:p w:rsidRPr="004A1C7A" w:rsidR="00B52D66" w:rsidP="00FC2172" w:rsidRDefault="00B52D66" w14:paraId="54CA5F86" w14:textId="77777777">
            <w:pPr>
              <w:spacing w:line="240" w:lineRule="auto"/>
              <w:ind w:right="4"/>
              <w:rPr>
                <w:rFonts w:ascii="Arial" w:hAnsi="Arial" w:cs="Arial"/>
                <w:color w:val="000000"/>
                <w:szCs w:val="18"/>
                <w:lang w:val="en-GB" w:eastAsia="en-GB"/>
              </w:rPr>
            </w:pPr>
            <w:r w:rsidRPr="004A1C7A">
              <w:rPr>
                <w:rFonts w:ascii="Arial" w:hAnsi="Arial" w:cs="Arial"/>
                <w:color w:val="000000"/>
                <w:szCs w:val="18"/>
                <w:lang w:val="en-GB" w:eastAsia="en-GB"/>
              </w:rPr>
              <w:t>Niet-techniek</w:t>
            </w:r>
          </w:p>
        </w:tc>
        <w:tc>
          <w:tcPr>
            <w:tcW w:w="960" w:type="dxa"/>
            <w:tcBorders>
              <w:top w:val="nil"/>
              <w:left w:val="nil"/>
              <w:bottom w:val="nil"/>
              <w:right w:val="nil"/>
            </w:tcBorders>
            <w:noWrap/>
            <w:vAlign w:val="bottom"/>
            <w:hideMark/>
          </w:tcPr>
          <w:p w:rsidRPr="004A1C7A" w:rsidR="00B52D66" w:rsidP="00FC2172" w:rsidRDefault="00B52D66" w14:paraId="72BF6C59" w14:textId="77777777">
            <w:pPr>
              <w:spacing w:line="240" w:lineRule="auto"/>
              <w:ind w:right="4"/>
              <w:jc w:val="center"/>
              <w:rPr>
                <w:rFonts w:ascii="Arial" w:hAnsi="Arial" w:cs="Arial"/>
                <w:color w:val="000000"/>
                <w:szCs w:val="18"/>
                <w:lang w:val="en-GB" w:eastAsia="en-GB"/>
              </w:rPr>
            </w:pPr>
            <w:r w:rsidRPr="004A1C7A">
              <w:rPr>
                <w:rFonts w:ascii="Arial" w:hAnsi="Arial" w:cs="Arial"/>
                <w:color w:val="000000"/>
                <w:szCs w:val="18"/>
                <w:lang w:val="en-GB" w:eastAsia="en-GB"/>
              </w:rPr>
              <w:t>50</w:t>
            </w:r>
          </w:p>
        </w:tc>
        <w:tc>
          <w:tcPr>
            <w:tcW w:w="960" w:type="dxa"/>
            <w:tcBorders>
              <w:top w:val="nil"/>
              <w:left w:val="nil"/>
              <w:bottom w:val="nil"/>
              <w:right w:val="nil"/>
            </w:tcBorders>
            <w:noWrap/>
            <w:vAlign w:val="bottom"/>
            <w:hideMark/>
          </w:tcPr>
          <w:p w:rsidRPr="004A1C7A" w:rsidR="00B52D66" w:rsidP="00FC2172" w:rsidRDefault="00B52D66" w14:paraId="34AC75EA" w14:textId="77777777">
            <w:pPr>
              <w:spacing w:line="240" w:lineRule="auto"/>
              <w:ind w:right="4"/>
              <w:jc w:val="center"/>
              <w:rPr>
                <w:rFonts w:ascii="Arial" w:hAnsi="Arial" w:cs="Arial"/>
                <w:color w:val="000000"/>
                <w:szCs w:val="18"/>
                <w:lang w:val="en-GB" w:eastAsia="en-GB"/>
              </w:rPr>
            </w:pPr>
            <w:r w:rsidRPr="004A1C7A">
              <w:rPr>
                <w:rFonts w:ascii="Arial" w:hAnsi="Arial" w:cs="Arial"/>
                <w:color w:val="000000"/>
                <w:szCs w:val="18"/>
                <w:lang w:val="en-GB" w:eastAsia="en-GB"/>
              </w:rPr>
              <w:t>51</w:t>
            </w:r>
          </w:p>
        </w:tc>
        <w:tc>
          <w:tcPr>
            <w:tcW w:w="960" w:type="dxa"/>
            <w:tcBorders>
              <w:top w:val="nil"/>
              <w:left w:val="nil"/>
              <w:bottom w:val="nil"/>
              <w:right w:val="nil"/>
            </w:tcBorders>
            <w:noWrap/>
            <w:vAlign w:val="bottom"/>
            <w:hideMark/>
          </w:tcPr>
          <w:p w:rsidRPr="004A1C7A" w:rsidR="00B52D66" w:rsidP="00FC2172" w:rsidRDefault="00B52D66" w14:paraId="573454EB" w14:textId="77777777">
            <w:pPr>
              <w:spacing w:line="240" w:lineRule="auto"/>
              <w:ind w:right="4"/>
              <w:jc w:val="center"/>
              <w:rPr>
                <w:rFonts w:ascii="Arial" w:hAnsi="Arial" w:cs="Arial"/>
                <w:color w:val="000000"/>
                <w:szCs w:val="18"/>
                <w:lang w:val="en-GB" w:eastAsia="en-GB"/>
              </w:rPr>
            </w:pPr>
            <w:r w:rsidRPr="004A1C7A">
              <w:rPr>
                <w:rFonts w:ascii="Arial" w:hAnsi="Arial" w:cs="Arial"/>
                <w:color w:val="000000"/>
                <w:szCs w:val="18"/>
                <w:lang w:val="en-GB" w:eastAsia="en-GB"/>
              </w:rPr>
              <w:t>52</w:t>
            </w:r>
          </w:p>
        </w:tc>
      </w:tr>
      <w:tr w:rsidRPr="004A1C7A" w:rsidR="00B52D66" w:rsidTr="00FC2172" w14:paraId="23484AD0" w14:textId="77777777">
        <w:trPr>
          <w:trHeight w:val="260"/>
        </w:trPr>
        <w:tc>
          <w:tcPr>
            <w:tcW w:w="4395" w:type="dxa"/>
            <w:vMerge w:val="restart"/>
            <w:tcBorders>
              <w:top w:val="nil"/>
              <w:left w:val="nil"/>
              <w:bottom w:val="nil"/>
              <w:right w:val="nil"/>
            </w:tcBorders>
            <w:hideMark/>
          </w:tcPr>
          <w:p w:rsidRPr="004A1C7A" w:rsidR="00B52D66" w:rsidP="00FC2172" w:rsidRDefault="00B52D66" w14:paraId="6558DCB5" w14:textId="77777777">
            <w:pPr>
              <w:spacing w:line="240" w:lineRule="auto"/>
              <w:ind w:right="4"/>
              <w:rPr>
                <w:rFonts w:ascii="Arial" w:hAnsi="Arial" w:cs="Arial"/>
                <w:color w:val="000000"/>
                <w:szCs w:val="18"/>
                <w:lang w:eastAsia="en-GB"/>
              </w:rPr>
            </w:pPr>
            <w:r w:rsidRPr="004A1C7A">
              <w:rPr>
                <w:rFonts w:ascii="Arial" w:hAnsi="Arial" w:cs="Arial"/>
                <w:color w:val="000000"/>
                <w:szCs w:val="18"/>
                <w:lang w:eastAsia="en-GB"/>
              </w:rPr>
              <w:t>De opleiding speelde in op de actualiteit</w:t>
            </w:r>
          </w:p>
        </w:tc>
        <w:tc>
          <w:tcPr>
            <w:tcW w:w="1984" w:type="dxa"/>
            <w:tcBorders>
              <w:top w:val="nil"/>
              <w:left w:val="nil"/>
              <w:bottom w:val="nil"/>
              <w:right w:val="nil"/>
            </w:tcBorders>
            <w:noWrap/>
            <w:vAlign w:val="bottom"/>
            <w:hideMark/>
          </w:tcPr>
          <w:p w:rsidRPr="004A1C7A" w:rsidR="00B52D66" w:rsidP="00FC2172" w:rsidRDefault="00B52D66" w14:paraId="1D1800CB" w14:textId="77777777">
            <w:pPr>
              <w:spacing w:line="240" w:lineRule="auto"/>
              <w:ind w:right="4"/>
              <w:rPr>
                <w:rFonts w:ascii="Arial" w:hAnsi="Arial" w:cs="Arial"/>
                <w:color w:val="000000"/>
                <w:szCs w:val="18"/>
                <w:lang w:val="en-GB" w:eastAsia="en-GB"/>
              </w:rPr>
            </w:pPr>
            <w:r w:rsidRPr="004A1C7A">
              <w:rPr>
                <w:rFonts w:ascii="Arial" w:hAnsi="Arial" w:cs="Arial"/>
                <w:color w:val="000000"/>
                <w:szCs w:val="18"/>
                <w:lang w:val="en-GB" w:eastAsia="en-GB"/>
              </w:rPr>
              <w:t>Techniek</w:t>
            </w:r>
          </w:p>
        </w:tc>
        <w:tc>
          <w:tcPr>
            <w:tcW w:w="960" w:type="dxa"/>
            <w:tcBorders>
              <w:top w:val="nil"/>
              <w:left w:val="nil"/>
              <w:bottom w:val="nil"/>
              <w:right w:val="nil"/>
            </w:tcBorders>
            <w:noWrap/>
            <w:vAlign w:val="bottom"/>
            <w:hideMark/>
          </w:tcPr>
          <w:p w:rsidRPr="004A1C7A" w:rsidR="00B52D66" w:rsidP="00FC2172" w:rsidRDefault="00B52D66" w14:paraId="3CE33AF2" w14:textId="77777777">
            <w:pPr>
              <w:spacing w:line="240" w:lineRule="auto"/>
              <w:ind w:right="4"/>
              <w:jc w:val="center"/>
              <w:rPr>
                <w:rFonts w:ascii="Arial" w:hAnsi="Arial" w:cs="Arial"/>
                <w:color w:val="000000"/>
                <w:szCs w:val="18"/>
                <w:lang w:val="en-GB" w:eastAsia="en-GB"/>
              </w:rPr>
            </w:pPr>
            <w:r w:rsidRPr="004A1C7A">
              <w:rPr>
                <w:rFonts w:ascii="Arial" w:hAnsi="Arial" w:cs="Arial"/>
                <w:color w:val="000000"/>
                <w:szCs w:val="18"/>
                <w:lang w:val="en-GB" w:eastAsia="en-GB"/>
              </w:rPr>
              <w:t>59</w:t>
            </w:r>
          </w:p>
        </w:tc>
        <w:tc>
          <w:tcPr>
            <w:tcW w:w="960" w:type="dxa"/>
            <w:tcBorders>
              <w:top w:val="nil"/>
              <w:left w:val="nil"/>
              <w:bottom w:val="nil"/>
              <w:right w:val="nil"/>
            </w:tcBorders>
            <w:noWrap/>
            <w:vAlign w:val="bottom"/>
            <w:hideMark/>
          </w:tcPr>
          <w:p w:rsidRPr="004A1C7A" w:rsidR="00B52D66" w:rsidP="00FC2172" w:rsidRDefault="00B52D66" w14:paraId="74592F87" w14:textId="77777777">
            <w:pPr>
              <w:spacing w:line="240" w:lineRule="auto"/>
              <w:ind w:right="4"/>
              <w:jc w:val="center"/>
              <w:rPr>
                <w:rFonts w:ascii="Arial" w:hAnsi="Arial" w:cs="Arial"/>
                <w:color w:val="000000"/>
                <w:szCs w:val="18"/>
                <w:lang w:val="en-GB" w:eastAsia="en-GB"/>
              </w:rPr>
            </w:pPr>
            <w:r w:rsidRPr="004A1C7A">
              <w:rPr>
                <w:rFonts w:ascii="Arial" w:hAnsi="Arial" w:cs="Arial"/>
                <w:color w:val="000000"/>
                <w:szCs w:val="18"/>
                <w:lang w:val="en-GB" w:eastAsia="en-GB"/>
              </w:rPr>
              <w:t>60</w:t>
            </w:r>
          </w:p>
        </w:tc>
        <w:tc>
          <w:tcPr>
            <w:tcW w:w="960" w:type="dxa"/>
            <w:tcBorders>
              <w:top w:val="nil"/>
              <w:left w:val="nil"/>
              <w:bottom w:val="nil"/>
              <w:right w:val="nil"/>
            </w:tcBorders>
            <w:noWrap/>
            <w:vAlign w:val="bottom"/>
            <w:hideMark/>
          </w:tcPr>
          <w:p w:rsidRPr="004A1C7A" w:rsidR="00B52D66" w:rsidP="00FC2172" w:rsidRDefault="00B52D66" w14:paraId="1C81312D" w14:textId="77777777">
            <w:pPr>
              <w:spacing w:line="240" w:lineRule="auto"/>
              <w:ind w:right="4"/>
              <w:jc w:val="center"/>
              <w:rPr>
                <w:rFonts w:ascii="Arial" w:hAnsi="Arial" w:cs="Arial"/>
                <w:color w:val="000000"/>
                <w:szCs w:val="18"/>
                <w:lang w:val="en-GB" w:eastAsia="en-GB"/>
              </w:rPr>
            </w:pPr>
            <w:r w:rsidRPr="004A1C7A">
              <w:rPr>
                <w:rFonts w:ascii="Arial" w:hAnsi="Arial" w:cs="Arial"/>
                <w:color w:val="000000"/>
                <w:szCs w:val="18"/>
                <w:lang w:val="en-GB" w:eastAsia="en-GB"/>
              </w:rPr>
              <w:t>66</w:t>
            </w:r>
          </w:p>
        </w:tc>
      </w:tr>
      <w:tr w:rsidRPr="004A1C7A" w:rsidR="00B52D66" w:rsidTr="00FC2172" w14:paraId="0583B391" w14:textId="77777777">
        <w:trPr>
          <w:trHeight w:val="320"/>
        </w:trPr>
        <w:tc>
          <w:tcPr>
            <w:tcW w:w="4395" w:type="dxa"/>
            <w:vMerge/>
            <w:tcBorders>
              <w:top w:val="nil"/>
              <w:left w:val="nil"/>
              <w:bottom w:val="nil"/>
              <w:right w:val="nil"/>
            </w:tcBorders>
            <w:vAlign w:val="center"/>
            <w:hideMark/>
          </w:tcPr>
          <w:p w:rsidRPr="004A1C7A" w:rsidR="00B52D66" w:rsidP="00FC2172" w:rsidRDefault="00B52D66" w14:paraId="276AE1A2" w14:textId="77777777">
            <w:pPr>
              <w:spacing w:line="240" w:lineRule="auto"/>
              <w:ind w:right="4"/>
              <w:rPr>
                <w:rFonts w:ascii="Arial" w:hAnsi="Arial" w:cs="Arial"/>
                <w:color w:val="000000"/>
                <w:szCs w:val="18"/>
                <w:lang w:val="en-GB" w:eastAsia="en-GB"/>
              </w:rPr>
            </w:pPr>
          </w:p>
        </w:tc>
        <w:tc>
          <w:tcPr>
            <w:tcW w:w="1984" w:type="dxa"/>
            <w:tcBorders>
              <w:top w:val="nil"/>
              <w:left w:val="nil"/>
              <w:bottom w:val="nil"/>
              <w:right w:val="nil"/>
            </w:tcBorders>
            <w:noWrap/>
            <w:vAlign w:val="bottom"/>
            <w:hideMark/>
          </w:tcPr>
          <w:p w:rsidRPr="004A1C7A" w:rsidR="00B52D66" w:rsidP="00FC2172" w:rsidRDefault="00B52D66" w14:paraId="4A5ED60C" w14:textId="77777777">
            <w:pPr>
              <w:spacing w:line="240" w:lineRule="auto"/>
              <w:ind w:right="4"/>
              <w:rPr>
                <w:rFonts w:ascii="Arial" w:hAnsi="Arial" w:cs="Arial"/>
                <w:color w:val="000000"/>
                <w:szCs w:val="18"/>
                <w:lang w:val="en-GB" w:eastAsia="en-GB"/>
              </w:rPr>
            </w:pPr>
            <w:r w:rsidRPr="004A1C7A">
              <w:rPr>
                <w:rFonts w:ascii="Arial" w:hAnsi="Arial" w:cs="Arial"/>
                <w:color w:val="000000"/>
                <w:szCs w:val="18"/>
                <w:lang w:val="en-GB" w:eastAsia="en-GB"/>
              </w:rPr>
              <w:t>Niet-techniek</w:t>
            </w:r>
          </w:p>
        </w:tc>
        <w:tc>
          <w:tcPr>
            <w:tcW w:w="960" w:type="dxa"/>
            <w:tcBorders>
              <w:top w:val="nil"/>
              <w:left w:val="nil"/>
              <w:bottom w:val="nil"/>
              <w:right w:val="nil"/>
            </w:tcBorders>
            <w:noWrap/>
            <w:vAlign w:val="bottom"/>
            <w:hideMark/>
          </w:tcPr>
          <w:p w:rsidRPr="004A1C7A" w:rsidR="00B52D66" w:rsidP="00FC2172" w:rsidRDefault="00B52D66" w14:paraId="33466E2A" w14:textId="77777777">
            <w:pPr>
              <w:spacing w:line="240" w:lineRule="auto"/>
              <w:ind w:right="4"/>
              <w:jc w:val="center"/>
              <w:rPr>
                <w:rFonts w:ascii="Arial" w:hAnsi="Arial" w:cs="Arial"/>
                <w:color w:val="000000"/>
                <w:szCs w:val="18"/>
                <w:lang w:val="en-GB" w:eastAsia="en-GB"/>
              </w:rPr>
            </w:pPr>
            <w:r w:rsidRPr="004A1C7A">
              <w:rPr>
                <w:rFonts w:ascii="Arial" w:hAnsi="Arial" w:cs="Arial"/>
                <w:color w:val="000000"/>
                <w:szCs w:val="18"/>
                <w:lang w:val="en-GB" w:eastAsia="en-GB"/>
              </w:rPr>
              <w:t>43</w:t>
            </w:r>
          </w:p>
        </w:tc>
        <w:tc>
          <w:tcPr>
            <w:tcW w:w="960" w:type="dxa"/>
            <w:tcBorders>
              <w:top w:val="nil"/>
              <w:left w:val="nil"/>
              <w:bottom w:val="nil"/>
              <w:right w:val="nil"/>
            </w:tcBorders>
            <w:noWrap/>
            <w:vAlign w:val="bottom"/>
            <w:hideMark/>
          </w:tcPr>
          <w:p w:rsidRPr="004A1C7A" w:rsidR="00B52D66" w:rsidP="00FC2172" w:rsidRDefault="00B52D66" w14:paraId="2FFD1900" w14:textId="77777777">
            <w:pPr>
              <w:spacing w:line="240" w:lineRule="auto"/>
              <w:ind w:right="4"/>
              <w:jc w:val="center"/>
              <w:rPr>
                <w:rFonts w:ascii="Arial" w:hAnsi="Arial" w:cs="Arial"/>
                <w:color w:val="000000"/>
                <w:szCs w:val="18"/>
                <w:lang w:val="en-GB" w:eastAsia="en-GB"/>
              </w:rPr>
            </w:pPr>
            <w:r w:rsidRPr="004A1C7A">
              <w:rPr>
                <w:rFonts w:ascii="Arial" w:hAnsi="Arial" w:cs="Arial"/>
                <w:color w:val="000000"/>
                <w:szCs w:val="18"/>
                <w:lang w:val="en-GB" w:eastAsia="en-GB"/>
              </w:rPr>
              <w:t>50</w:t>
            </w:r>
          </w:p>
        </w:tc>
        <w:tc>
          <w:tcPr>
            <w:tcW w:w="960" w:type="dxa"/>
            <w:tcBorders>
              <w:top w:val="nil"/>
              <w:left w:val="nil"/>
              <w:bottom w:val="nil"/>
              <w:right w:val="nil"/>
            </w:tcBorders>
            <w:noWrap/>
            <w:vAlign w:val="bottom"/>
            <w:hideMark/>
          </w:tcPr>
          <w:p w:rsidRPr="004A1C7A" w:rsidR="00B52D66" w:rsidP="00FC2172" w:rsidRDefault="00B52D66" w14:paraId="1BB4E361" w14:textId="77777777">
            <w:pPr>
              <w:spacing w:line="240" w:lineRule="auto"/>
              <w:ind w:right="4"/>
              <w:jc w:val="center"/>
              <w:rPr>
                <w:rFonts w:ascii="Arial" w:hAnsi="Arial" w:cs="Arial"/>
                <w:color w:val="000000"/>
                <w:szCs w:val="18"/>
                <w:lang w:val="en-GB" w:eastAsia="en-GB"/>
              </w:rPr>
            </w:pPr>
            <w:r w:rsidRPr="004A1C7A">
              <w:rPr>
                <w:rFonts w:ascii="Arial" w:hAnsi="Arial" w:cs="Arial"/>
                <w:color w:val="000000"/>
                <w:szCs w:val="18"/>
                <w:lang w:val="en-GB" w:eastAsia="en-GB"/>
              </w:rPr>
              <w:t>59</w:t>
            </w:r>
          </w:p>
        </w:tc>
      </w:tr>
      <w:tr w:rsidRPr="004A1C7A" w:rsidR="00B52D66" w:rsidTr="00FC2172" w14:paraId="739DC4CE" w14:textId="77777777">
        <w:trPr>
          <w:trHeight w:val="230"/>
        </w:trPr>
        <w:tc>
          <w:tcPr>
            <w:tcW w:w="4395" w:type="dxa"/>
            <w:vMerge w:val="restart"/>
            <w:tcBorders>
              <w:top w:val="nil"/>
              <w:left w:val="nil"/>
              <w:bottom w:val="single" w:color="000000" w:sz="4" w:space="0"/>
              <w:right w:val="nil"/>
            </w:tcBorders>
            <w:hideMark/>
          </w:tcPr>
          <w:p w:rsidRPr="004A1C7A" w:rsidR="00B52D66" w:rsidP="00FC2172" w:rsidRDefault="00B52D66" w14:paraId="288C856A" w14:textId="77777777">
            <w:pPr>
              <w:spacing w:line="240" w:lineRule="auto"/>
              <w:ind w:right="4"/>
              <w:rPr>
                <w:rFonts w:ascii="Arial" w:hAnsi="Arial" w:cs="Arial"/>
                <w:color w:val="000000"/>
                <w:szCs w:val="18"/>
                <w:lang w:eastAsia="en-GB"/>
              </w:rPr>
            </w:pPr>
            <w:r w:rsidRPr="004A1C7A">
              <w:rPr>
                <w:rFonts w:ascii="Arial" w:hAnsi="Arial" w:cs="Arial"/>
                <w:color w:val="000000"/>
                <w:szCs w:val="18"/>
                <w:lang w:eastAsia="en-GB"/>
              </w:rPr>
              <w:t>Het niveau van de opleiding was uitdagend</w:t>
            </w:r>
          </w:p>
        </w:tc>
        <w:tc>
          <w:tcPr>
            <w:tcW w:w="1984" w:type="dxa"/>
            <w:tcBorders>
              <w:top w:val="nil"/>
              <w:left w:val="nil"/>
              <w:bottom w:val="nil"/>
              <w:right w:val="nil"/>
            </w:tcBorders>
            <w:noWrap/>
            <w:vAlign w:val="bottom"/>
            <w:hideMark/>
          </w:tcPr>
          <w:p w:rsidRPr="004A1C7A" w:rsidR="00B52D66" w:rsidP="00FC2172" w:rsidRDefault="00B52D66" w14:paraId="31E6EEC7" w14:textId="77777777">
            <w:pPr>
              <w:spacing w:line="240" w:lineRule="auto"/>
              <w:ind w:right="4"/>
              <w:rPr>
                <w:rFonts w:ascii="Arial" w:hAnsi="Arial" w:cs="Arial"/>
                <w:color w:val="000000"/>
                <w:szCs w:val="18"/>
                <w:lang w:val="en-GB" w:eastAsia="en-GB"/>
              </w:rPr>
            </w:pPr>
            <w:r w:rsidRPr="004A1C7A">
              <w:rPr>
                <w:rFonts w:ascii="Arial" w:hAnsi="Arial" w:cs="Arial"/>
                <w:color w:val="000000"/>
                <w:szCs w:val="18"/>
                <w:lang w:val="en-GB" w:eastAsia="en-GB"/>
              </w:rPr>
              <w:t>Techniek</w:t>
            </w:r>
          </w:p>
        </w:tc>
        <w:tc>
          <w:tcPr>
            <w:tcW w:w="960" w:type="dxa"/>
            <w:tcBorders>
              <w:top w:val="nil"/>
              <w:left w:val="nil"/>
              <w:bottom w:val="nil"/>
              <w:right w:val="nil"/>
            </w:tcBorders>
            <w:noWrap/>
            <w:vAlign w:val="bottom"/>
            <w:hideMark/>
          </w:tcPr>
          <w:p w:rsidRPr="004A1C7A" w:rsidR="00B52D66" w:rsidP="00FC2172" w:rsidRDefault="00B52D66" w14:paraId="036315C6" w14:textId="77777777">
            <w:pPr>
              <w:spacing w:line="240" w:lineRule="auto"/>
              <w:ind w:right="4"/>
              <w:jc w:val="center"/>
              <w:rPr>
                <w:rFonts w:ascii="Arial" w:hAnsi="Arial" w:cs="Arial"/>
                <w:color w:val="000000"/>
                <w:szCs w:val="18"/>
                <w:lang w:val="en-GB" w:eastAsia="en-GB"/>
              </w:rPr>
            </w:pPr>
            <w:r w:rsidRPr="004A1C7A">
              <w:rPr>
                <w:rFonts w:ascii="Arial" w:hAnsi="Arial" w:cs="Arial"/>
                <w:color w:val="000000"/>
                <w:szCs w:val="18"/>
                <w:lang w:val="en-GB" w:eastAsia="en-GB"/>
              </w:rPr>
              <w:t>53</w:t>
            </w:r>
          </w:p>
        </w:tc>
        <w:tc>
          <w:tcPr>
            <w:tcW w:w="960" w:type="dxa"/>
            <w:tcBorders>
              <w:top w:val="nil"/>
              <w:left w:val="nil"/>
              <w:bottom w:val="nil"/>
              <w:right w:val="nil"/>
            </w:tcBorders>
            <w:noWrap/>
            <w:vAlign w:val="bottom"/>
            <w:hideMark/>
          </w:tcPr>
          <w:p w:rsidRPr="004A1C7A" w:rsidR="00B52D66" w:rsidP="00FC2172" w:rsidRDefault="00B52D66" w14:paraId="0B46F95E" w14:textId="77777777">
            <w:pPr>
              <w:spacing w:line="240" w:lineRule="auto"/>
              <w:ind w:right="4"/>
              <w:jc w:val="center"/>
              <w:rPr>
                <w:rFonts w:ascii="Arial" w:hAnsi="Arial" w:cs="Arial"/>
                <w:color w:val="000000"/>
                <w:szCs w:val="18"/>
                <w:lang w:val="en-GB" w:eastAsia="en-GB"/>
              </w:rPr>
            </w:pPr>
            <w:r w:rsidRPr="004A1C7A">
              <w:rPr>
                <w:rFonts w:ascii="Arial" w:hAnsi="Arial" w:cs="Arial"/>
                <w:color w:val="000000"/>
                <w:szCs w:val="18"/>
                <w:lang w:val="en-GB" w:eastAsia="en-GB"/>
              </w:rPr>
              <w:t>41</w:t>
            </w:r>
          </w:p>
        </w:tc>
        <w:tc>
          <w:tcPr>
            <w:tcW w:w="960" w:type="dxa"/>
            <w:tcBorders>
              <w:top w:val="nil"/>
              <w:left w:val="nil"/>
              <w:bottom w:val="nil"/>
              <w:right w:val="nil"/>
            </w:tcBorders>
            <w:noWrap/>
            <w:vAlign w:val="bottom"/>
            <w:hideMark/>
          </w:tcPr>
          <w:p w:rsidRPr="004A1C7A" w:rsidR="00B52D66" w:rsidP="00FC2172" w:rsidRDefault="00B52D66" w14:paraId="3CD9339C" w14:textId="77777777">
            <w:pPr>
              <w:spacing w:line="240" w:lineRule="auto"/>
              <w:ind w:right="4"/>
              <w:jc w:val="center"/>
              <w:rPr>
                <w:rFonts w:ascii="Arial" w:hAnsi="Arial" w:cs="Arial"/>
                <w:color w:val="000000"/>
                <w:szCs w:val="18"/>
                <w:lang w:val="en-GB" w:eastAsia="en-GB"/>
              </w:rPr>
            </w:pPr>
            <w:r w:rsidRPr="004A1C7A">
              <w:rPr>
                <w:rFonts w:ascii="Arial" w:hAnsi="Arial" w:cs="Arial"/>
                <w:color w:val="000000"/>
                <w:szCs w:val="18"/>
                <w:lang w:val="en-GB" w:eastAsia="en-GB"/>
              </w:rPr>
              <w:t>45</w:t>
            </w:r>
          </w:p>
        </w:tc>
      </w:tr>
      <w:tr w:rsidRPr="004A1C7A" w:rsidR="00B52D66" w:rsidTr="00FC2172" w14:paraId="21E3E75B" w14:textId="77777777">
        <w:trPr>
          <w:trHeight w:val="320"/>
        </w:trPr>
        <w:tc>
          <w:tcPr>
            <w:tcW w:w="4395" w:type="dxa"/>
            <w:vMerge/>
            <w:tcBorders>
              <w:top w:val="nil"/>
              <w:left w:val="nil"/>
              <w:bottom w:val="single" w:color="000000" w:sz="4" w:space="0"/>
              <w:right w:val="nil"/>
            </w:tcBorders>
            <w:vAlign w:val="center"/>
            <w:hideMark/>
          </w:tcPr>
          <w:p w:rsidRPr="004A1C7A" w:rsidR="00B52D66" w:rsidP="00FC2172" w:rsidRDefault="00B52D66" w14:paraId="06940A93" w14:textId="77777777">
            <w:pPr>
              <w:spacing w:line="240" w:lineRule="auto"/>
              <w:ind w:right="4"/>
              <w:rPr>
                <w:rFonts w:ascii="Arial" w:hAnsi="Arial" w:cs="Arial"/>
                <w:color w:val="000000"/>
                <w:szCs w:val="18"/>
                <w:lang w:val="en-GB" w:eastAsia="en-GB"/>
              </w:rPr>
            </w:pPr>
          </w:p>
        </w:tc>
        <w:tc>
          <w:tcPr>
            <w:tcW w:w="1984" w:type="dxa"/>
            <w:tcBorders>
              <w:top w:val="nil"/>
              <w:left w:val="nil"/>
              <w:bottom w:val="single" w:color="auto" w:sz="4" w:space="0"/>
              <w:right w:val="nil"/>
            </w:tcBorders>
            <w:noWrap/>
            <w:vAlign w:val="bottom"/>
            <w:hideMark/>
          </w:tcPr>
          <w:p w:rsidRPr="004A1C7A" w:rsidR="00B52D66" w:rsidP="00FC2172" w:rsidRDefault="00B52D66" w14:paraId="78666711" w14:textId="77777777">
            <w:pPr>
              <w:spacing w:line="240" w:lineRule="auto"/>
              <w:ind w:right="4"/>
              <w:rPr>
                <w:rFonts w:ascii="Arial" w:hAnsi="Arial" w:cs="Arial"/>
                <w:color w:val="000000"/>
                <w:szCs w:val="18"/>
                <w:lang w:val="en-GB" w:eastAsia="en-GB"/>
              </w:rPr>
            </w:pPr>
            <w:r w:rsidRPr="004A1C7A">
              <w:rPr>
                <w:rFonts w:ascii="Arial" w:hAnsi="Arial" w:cs="Arial"/>
                <w:color w:val="000000"/>
                <w:szCs w:val="18"/>
                <w:lang w:val="en-GB" w:eastAsia="en-GB"/>
              </w:rPr>
              <w:t>Niet-techniek</w:t>
            </w:r>
          </w:p>
        </w:tc>
        <w:tc>
          <w:tcPr>
            <w:tcW w:w="960" w:type="dxa"/>
            <w:tcBorders>
              <w:top w:val="nil"/>
              <w:left w:val="nil"/>
              <w:bottom w:val="single" w:color="auto" w:sz="4" w:space="0"/>
              <w:right w:val="nil"/>
            </w:tcBorders>
            <w:noWrap/>
            <w:vAlign w:val="bottom"/>
            <w:hideMark/>
          </w:tcPr>
          <w:p w:rsidRPr="004A1C7A" w:rsidR="00B52D66" w:rsidP="00FC2172" w:rsidRDefault="00B52D66" w14:paraId="0B8CE3D3" w14:textId="77777777">
            <w:pPr>
              <w:spacing w:line="240" w:lineRule="auto"/>
              <w:ind w:right="4"/>
              <w:jc w:val="center"/>
              <w:rPr>
                <w:rFonts w:ascii="Arial" w:hAnsi="Arial" w:cs="Arial"/>
                <w:color w:val="000000"/>
                <w:szCs w:val="18"/>
                <w:lang w:val="en-GB" w:eastAsia="en-GB"/>
              </w:rPr>
            </w:pPr>
            <w:r w:rsidRPr="004A1C7A">
              <w:rPr>
                <w:rFonts w:ascii="Arial" w:hAnsi="Arial" w:cs="Arial"/>
                <w:color w:val="000000"/>
                <w:szCs w:val="18"/>
                <w:lang w:val="en-GB" w:eastAsia="en-GB"/>
              </w:rPr>
              <w:t>33</w:t>
            </w:r>
          </w:p>
        </w:tc>
        <w:tc>
          <w:tcPr>
            <w:tcW w:w="960" w:type="dxa"/>
            <w:tcBorders>
              <w:top w:val="nil"/>
              <w:left w:val="nil"/>
              <w:bottom w:val="single" w:color="auto" w:sz="4" w:space="0"/>
              <w:right w:val="nil"/>
            </w:tcBorders>
            <w:noWrap/>
            <w:vAlign w:val="bottom"/>
            <w:hideMark/>
          </w:tcPr>
          <w:p w:rsidRPr="004A1C7A" w:rsidR="00B52D66" w:rsidP="00FC2172" w:rsidRDefault="00B52D66" w14:paraId="370CD7D1" w14:textId="77777777">
            <w:pPr>
              <w:spacing w:line="240" w:lineRule="auto"/>
              <w:ind w:right="4"/>
              <w:jc w:val="center"/>
              <w:rPr>
                <w:rFonts w:ascii="Arial" w:hAnsi="Arial" w:cs="Arial"/>
                <w:color w:val="000000"/>
                <w:szCs w:val="18"/>
                <w:lang w:val="en-GB" w:eastAsia="en-GB"/>
              </w:rPr>
            </w:pPr>
            <w:r w:rsidRPr="004A1C7A">
              <w:rPr>
                <w:rFonts w:ascii="Arial" w:hAnsi="Arial" w:cs="Arial"/>
                <w:color w:val="000000"/>
                <w:szCs w:val="18"/>
                <w:lang w:val="en-GB" w:eastAsia="en-GB"/>
              </w:rPr>
              <w:t>37</w:t>
            </w:r>
          </w:p>
        </w:tc>
        <w:tc>
          <w:tcPr>
            <w:tcW w:w="960" w:type="dxa"/>
            <w:tcBorders>
              <w:top w:val="nil"/>
              <w:left w:val="nil"/>
              <w:bottom w:val="single" w:color="auto" w:sz="4" w:space="0"/>
              <w:right w:val="nil"/>
            </w:tcBorders>
            <w:noWrap/>
            <w:vAlign w:val="bottom"/>
            <w:hideMark/>
          </w:tcPr>
          <w:p w:rsidRPr="004A1C7A" w:rsidR="00B52D66" w:rsidP="00FC2172" w:rsidRDefault="00B52D66" w14:paraId="02C02F51" w14:textId="77777777">
            <w:pPr>
              <w:spacing w:line="240" w:lineRule="auto"/>
              <w:ind w:right="4"/>
              <w:jc w:val="center"/>
              <w:rPr>
                <w:rFonts w:ascii="Arial" w:hAnsi="Arial" w:cs="Arial"/>
                <w:color w:val="000000"/>
                <w:szCs w:val="18"/>
                <w:lang w:val="en-GB" w:eastAsia="en-GB"/>
              </w:rPr>
            </w:pPr>
            <w:r w:rsidRPr="004A1C7A">
              <w:rPr>
                <w:rFonts w:ascii="Arial" w:hAnsi="Arial" w:cs="Arial"/>
                <w:color w:val="000000"/>
                <w:szCs w:val="18"/>
                <w:lang w:val="en-GB" w:eastAsia="en-GB"/>
              </w:rPr>
              <w:t>41</w:t>
            </w:r>
          </w:p>
        </w:tc>
      </w:tr>
    </w:tbl>
    <w:p w:rsidRPr="00813AD3" w:rsidR="00B52D66" w:rsidP="00B52D66" w:rsidRDefault="00B52D66" w14:paraId="3F2F58FD" w14:textId="77777777">
      <w:pPr>
        <w:spacing w:before="60"/>
        <w:ind w:right="4"/>
        <w:rPr>
          <w:i/>
          <w:iCs/>
          <w:sz w:val="16"/>
          <w:szCs w:val="16"/>
        </w:rPr>
      </w:pPr>
      <w:r w:rsidRPr="00813AD3">
        <w:rPr>
          <w:i/>
          <w:iCs/>
          <w:sz w:val="16"/>
          <w:szCs w:val="16"/>
        </w:rPr>
        <w:t>Bron: Schoolverlatersonderzoek 2023 (CBS, ROA)</w:t>
      </w:r>
    </w:p>
    <w:p w:rsidRPr="00AD4BAD" w:rsidR="00B52D66" w:rsidP="00B52D66" w:rsidRDefault="00B52D66" w14:paraId="1675C4F8" w14:textId="77777777">
      <w:pPr>
        <w:ind w:right="4"/>
      </w:pPr>
      <w:r w:rsidRPr="00F82446">
        <w:rPr>
          <w:sz w:val="16"/>
          <w:szCs w:val="16"/>
        </w:rPr>
        <w:t xml:space="preserve">Noot: De </w:t>
      </w:r>
      <w:r w:rsidRPr="004A1C7A">
        <w:rPr>
          <w:sz w:val="16"/>
          <w:szCs w:val="16"/>
        </w:rPr>
        <w:t xml:space="preserve">resultaten </w:t>
      </w:r>
      <w:r>
        <w:rPr>
          <w:sz w:val="16"/>
          <w:szCs w:val="16"/>
        </w:rPr>
        <w:t xml:space="preserve">van </w:t>
      </w:r>
      <w:r w:rsidRPr="004A1C7A">
        <w:rPr>
          <w:sz w:val="16"/>
          <w:szCs w:val="16"/>
        </w:rPr>
        <w:t>2023</w:t>
      </w:r>
      <w:r w:rsidRPr="00F82446">
        <w:rPr>
          <w:sz w:val="16"/>
          <w:szCs w:val="16"/>
        </w:rPr>
        <w:t xml:space="preserve"> zijn gebaseerd op antwoorden van respondenten die hun diploma behaald hebben in het schooljaar </w:t>
      </w:r>
      <w:r>
        <w:rPr>
          <w:sz w:val="16"/>
          <w:szCs w:val="16"/>
        </w:rPr>
        <w:t>2021/2022</w:t>
      </w:r>
      <w:r w:rsidRPr="00F82446">
        <w:rPr>
          <w:sz w:val="16"/>
          <w:szCs w:val="16"/>
        </w:rPr>
        <w:t>.</w:t>
      </w:r>
    </w:p>
    <w:p w:rsidRPr="00A45539" w:rsidR="00B52D66" w:rsidP="00B52D66" w:rsidRDefault="00B52D66" w14:paraId="3F121684" w14:textId="77777777">
      <w:pPr>
        <w:jc w:val="both"/>
        <w:rPr>
          <w:szCs w:val="18"/>
        </w:rPr>
      </w:pPr>
    </w:p>
    <w:p w:rsidRPr="00813AD3" w:rsidR="00B52D66" w:rsidP="00B52D66" w:rsidRDefault="00B52D66" w14:paraId="33F6972D" w14:textId="77777777">
      <w:pPr>
        <w:pStyle w:val="Kop3"/>
      </w:pPr>
      <w:bookmarkStart w:name="_Toc203573642" w:id="195"/>
      <w:r w:rsidRPr="00813AD3">
        <w:t>Voorbereiding en aansluiting op vervolgonderwijs</w:t>
      </w:r>
      <w:bookmarkEnd w:id="195"/>
    </w:p>
    <w:p w:rsidRPr="00DB0839" w:rsidR="00B52D66" w:rsidP="00B52D66" w:rsidRDefault="00B52D66" w14:paraId="16126F4B" w14:textId="3D2CC60B">
      <w:pPr>
        <w:spacing w:line="276" w:lineRule="auto"/>
        <w:ind w:right="4"/>
        <w:jc w:val="both"/>
        <w:rPr>
          <w:iCs/>
          <w:color w:val="000000" w:themeColor="text1"/>
          <w:szCs w:val="18"/>
        </w:rPr>
      </w:pPr>
      <w:r>
        <w:rPr>
          <w:iCs/>
          <w:color w:val="000000" w:themeColor="text1"/>
          <w:szCs w:val="18"/>
        </w:rPr>
        <w:t xml:space="preserve">In Tabel </w:t>
      </w:r>
      <w:r w:rsidR="00F1065D">
        <w:rPr>
          <w:iCs/>
          <w:color w:val="000000" w:themeColor="text1"/>
          <w:szCs w:val="18"/>
        </w:rPr>
        <w:t>B3</w:t>
      </w:r>
      <w:r>
        <w:rPr>
          <w:iCs/>
          <w:color w:val="000000" w:themeColor="text1"/>
          <w:szCs w:val="18"/>
        </w:rPr>
        <w:t>.11 laten we de antwoorden op de stellingen zien</w:t>
      </w:r>
      <w:r w:rsidRPr="00DB0839">
        <w:rPr>
          <w:iCs/>
          <w:color w:val="000000" w:themeColor="text1"/>
          <w:szCs w:val="18"/>
        </w:rPr>
        <w:t xml:space="preserve"> in welke mate de gevolgde opleiding helpt in de voorbereiding </w:t>
      </w:r>
      <w:r>
        <w:rPr>
          <w:iCs/>
          <w:color w:val="000000" w:themeColor="text1"/>
          <w:szCs w:val="18"/>
        </w:rPr>
        <w:t>op</w:t>
      </w:r>
      <w:r w:rsidRPr="00DB0839">
        <w:rPr>
          <w:iCs/>
          <w:color w:val="000000" w:themeColor="text1"/>
          <w:szCs w:val="18"/>
        </w:rPr>
        <w:t xml:space="preserve"> een vervolgopleiding en aansluit bij de gekozen vervolgopleiding. Opvallend is dat gediplomeerden van technische profielen over de hele linie </w:t>
      </w:r>
      <w:r>
        <w:rPr>
          <w:iCs/>
          <w:color w:val="000000" w:themeColor="text1"/>
          <w:szCs w:val="18"/>
        </w:rPr>
        <w:t xml:space="preserve">net iets </w:t>
      </w:r>
      <w:r w:rsidRPr="00DB0839">
        <w:rPr>
          <w:iCs/>
          <w:color w:val="000000" w:themeColor="text1"/>
          <w:szCs w:val="18"/>
        </w:rPr>
        <w:t>positiever zijn vergeleken met gediplomeerden van niet-technische profielen</w:t>
      </w:r>
      <w:r>
        <w:rPr>
          <w:iCs/>
          <w:color w:val="000000" w:themeColor="text1"/>
          <w:szCs w:val="18"/>
        </w:rPr>
        <w:t>, maar de verschillen tussen techniek- en niet-techniekleerlingen zijn minder groot wanneer deze vergeleken worden met de meting 2021</w:t>
      </w:r>
      <w:r w:rsidRPr="00DB0839">
        <w:rPr>
          <w:iCs/>
          <w:color w:val="000000" w:themeColor="text1"/>
          <w:szCs w:val="18"/>
        </w:rPr>
        <w:t xml:space="preserve">. </w:t>
      </w:r>
    </w:p>
    <w:p w:rsidRPr="00DB0839" w:rsidR="00B52D66" w:rsidP="00B52D66" w:rsidRDefault="00B52D66" w14:paraId="5C4450D5" w14:textId="77777777">
      <w:pPr>
        <w:spacing w:line="276" w:lineRule="auto"/>
        <w:ind w:right="4"/>
        <w:jc w:val="both"/>
        <w:rPr>
          <w:iCs/>
          <w:color w:val="000000" w:themeColor="text1"/>
          <w:szCs w:val="18"/>
        </w:rPr>
      </w:pPr>
    </w:p>
    <w:p w:rsidRPr="00DB0839" w:rsidR="00B52D66" w:rsidP="00B52D66" w:rsidRDefault="00B52D66" w14:paraId="43DDEB3F" w14:textId="77777777">
      <w:pPr>
        <w:spacing w:line="276" w:lineRule="auto"/>
        <w:ind w:right="4"/>
        <w:jc w:val="both"/>
        <w:rPr>
          <w:iCs/>
          <w:color w:val="000000" w:themeColor="text1"/>
          <w:szCs w:val="18"/>
        </w:rPr>
      </w:pPr>
      <w:r w:rsidRPr="00DB0839">
        <w:rPr>
          <w:iCs/>
          <w:color w:val="000000" w:themeColor="text1"/>
          <w:szCs w:val="18"/>
        </w:rPr>
        <w:t>Ongeveer zes op de tien oud-leerlingen met een technisch</w:t>
      </w:r>
      <w:r>
        <w:rPr>
          <w:iCs/>
          <w:color w:val="000000" w:themeColor="text1"/>
          <w:szCs w:val="18"/>
        </w:rPr>
        <w:t xml:space="preserve"> profiel vinden</w:t>
      </w:r>
      <w:r w:rsidRPr="00DB0839">
        <w:rPr>
          <w:iCs/>
          <w:color w:val="000000" w:themeColor="text1"/>
          <w:szCs w:val="18"/>
        </w:rPr>
        <w:t xml:space="preserve"> dat hun vmbo-opleiding een (heel) goede basis </w:t>
      </w:r>
      <w:r>
        <w:rPr>
          <w:iCs/>
          <w:color w:val="000000" w:themeColor="text1"/>
          <w:szCs w:val="18"/>
        </w:rPr>
        <w:t>vormt</w:t>
      </w:r>
      <w:r w:rsidRPr="00DB0839">
        <w:rPr>
          <w:iCs/>
          <w:color w:val="000000" w:themeColor="text1"/>
          <w:szCs w:val="18"/>
        </w:rPr>
        <w:t xml:space="preserve"> om een vervolgopleiding te kiezen. Bij oud-leerlingen die een niet-technisch profiel volgden </w:t>
      </w:r>
      <w:r>
        <w:rPr>
          <w:iCs/>
          <w:color w:val="000000" w:themeColor="text1"/>
          <w:szCs w:val="18"/>
        </w:rPr>
        <w:t>geldt</w:t>
      </w:r>
      <w:r w:rsidRPr="00DB0839">
        <w:rPr>
          <w:iCs/>
          <w:color w:val="000000" w:themeColor="text1"/>
          <w:szCs w:val="18"/>
        </w:rPr>
        <w:t xml:space="preserve"> dit</w:t>
      </w:r>
      <w:r>
        <w:rPr>
          <w:iCs/>
          <w:color w:val="000000" w:themeColor="text1"/>
          <w:szCs w:val="18"/>
        </w:rPr>
        <w:t xml:space="preserve"> voor vijf op de tien oud-leerlingen</w:t>
      </w:r>
      <w:r w:rsidRPr="00DB0839">
        <w:rPr>
          <w:iCs/>
          <w:color w:val="000000" w:themeColor="text1"/>
          <w:szCs w:val="18"/>
        </w:rPr>
        <w:t xml:space="preserve">. </w:t>
      </w:r>
      <w:r>
        <w:rPr>
          <w:iCs/>
          <w:color w:val="000000" w:themeColor="text1"/>
          <w:szCs w:val="18"/>
        </w:rPr>
        <w:t>Vergeleken met de meting 2021 zien we met name een daling voor oud</w:t>
      </w:r>
      <w:r w:rsidRPr="00DB0839">
        <w:rPr>
          <w:iCs/>
          <w:color w:val="000000" w:themeColor="text1"/>
          <w:szCs w:val="18"/>
        </w:rPr>
        <w:t xml:space="preserve"> </w:t>
      </w:r>
      <w:r>
        <w:rPr>
          <w:iCs/>
          <w:color w:val="000000" w:themeColor="text1"/>
          <w:szCs w:val="18"/>
        </w:rPr>
        <w:t>gl-leerlingen met een technisch profiel</w:t>
      </w:r>
      <w:r w:rsidRPr="00DB0839">
        <w:rPr>
          <w:iCs/>
          <w:color w:val="000000" w:themeColor="text1"/>
          <w:szCs w:val="18"/>
        </w:rPr>
        <w:t xml:space="preserve"> </w:t>
      </w:r>
      <w:r>
        <w:rPr>
          <w:iCs/>
          <w:color w:val="000000" w:themeColor="text1"/>
          <w:szCs w:val="18"/>
        </w:rPr>
        <w:t>(was toen zeven</w:t>
      </w:r>
      <w:r w:rsidRPr="00DB0839">
        <w:rPr>
          <w:iCs/>
          <w:color w:val="000000" w:themeColor="text1"/>
          <w:szCs w:val="18"/>
        </w:rPr>
        <w:t xml:space="preserve"> op de tien</w:t>
      </w:r>
      <w:r>
        <w:rPr>
          <w:iCs/>
          <w:color w:val="000000" w:themeColor="text1"/>
          <w:szCs w:val="18"/>
        </w:rPr>
        <w:t>)</w:t>
      </w:r>
      <w:r w:rsidRPr="00DB0839">
        <w:rPr>
          <w:iCs/>
          <w:color w:val="000000" w:themeColor="text1"/>
          <w:szCs w:val="18"/>
        </w:rPr>
        <w:t xml:space="preserve">. </w:t>
      </w:r>
      <w:r>
        <w:rPr>
          <w:iCs/>
          <w:color w:val="000000" w:themeColor="text1"/>
          <w:szCs w:val="18"/>
        </w:rPr>
        <w:t>Hetzelfde beeld zien we terug bij de vraag in welke mate de vmbo-opleiding een goede basis vormt om een vervolgopleiding te doen. Vergeleken met de meting 2021 zijn oud-leerlingen van de gl daar minder positief daarover. Het gaat om een afname van 10 procentpunten.</w:t>
      </w:r>
    </w:p>
    <w:p w:rsidRPr="00DB0839" w:rsidR="00B52D66" w:rsidP="00B52D66" w:rsidRDefault="00B52D66" w14:paraId="3396B0FF" w14:textId="77777777">
      <w:pPr>
        <w:spacing w:line="276" w:lineRule="auto"/>
        <w:ind w:right="4"/>
        <w:jc w:val="both"/>
        <w:rPr>
          <w:iCs/>
          <w:color w:val="000000" w:themeColor="text1"/>
          <w:szCs w:val="18"/>
        </w:rPr>
      </w:pPr>
    </w:p>
    <w:p w:rsidRPr="00DB0839" w:rsidR="00B52D66" w:rsidP="00B52D66" w:rsidRDefault="00B52D66" w14:paraId="3710E9B3" w14:textId="77777777">
      <w:pPr>
        <w:spacing w:line="276" w:lineRule="auto"/>
        <w:ind w:right="4"/>
        <w:jc w:val="both"/>
        <w:rPr>
          <w:iCs/>
          <w:color w:val="000000" w:themeColor="text1"/>
          <w:szCs w:val="18"/>
        </w:rPr>
      </w:pPr>
      <w:r>
        <w:rPr>
          <w:iCs/>
          <w:color w:val="000000" w:themeColor="text1"/>
          <w:szCs w:val="18"/>
        </w:rPr>
        <w:t>Ongeveer driekwart van de oud-leerlingen vindt dat de vmbo-opleiding (redelijk) goed aansluit bij het vervolgonderwijs. Dat is zo voor gediplomeerden in zowel technische als ook niet-technische profielen ongeacht de leerweg met twee uitzonderingen: Voor oud-techniekleerlingen in de bl is dat aandeel 81 procent en voor kl afgestudeerden van niet-techniekprofielen 69 procent</w:t>
      </w:r>
      <w:r w:rsidRPr="00DB0839">
        <w:rPr>
          <w:iCs/>
          <w:color w:val="000000" w:themeColor="text1"/>
          <w:szCs w:val="18"/>
        </w:rPr>
        <w:t xml:space="preserve">. </w:t>
      </w:r>
      <w:r>
        <w:rPr>
          <w:iCs/>
          <w:color w:val="000000" w:themeColor="text1"/>
          <w:szCs w:val="18"/>
        </w:rPr>
        <w:t xml:space="preserve">Vergeleken met de meting 2021 is het oordeel over een (redelijke) goede aansluiting op vervolgonderwijs niet noemenswaardig veranderd. </w:t>
      </w:r>
    </w:p>
    <w:p w:rsidRPr="00DB0839" w:rsidR="00B52D66" w:rsidP="00B52D66" w:rsidRDefault="00B52D66" w14:paraId="1EE2414F" w14:textId="77777777">
      <w:pPr>
        <w:spacing w:line="276" w:lineRule="auto"/>
        <w:ind w:right="4"/>
        <w:jc w:val="both"/>
        <w:rPr>
          <w:iCs/>
          <w:color w:val="000000" w:themeColor="text1"/>
          <w:szCs w:val="18"/>
        </w:rPr>
      </w:pPr>
    </w:p>
    <w:p w:rsidRPr="001539A5" w:rsidR="00B52D66" w:rsidP="00B52D66" w:rsidRDefault="00B52D66" w14:paraId="68F03FE6" w14:textId="79B676D3">
      <w:pPr>
        <w:pStyle w:val="Bijschrift"/>
        <w:ind w:left="0" w:right="4" w:firstLine="0"/>
        <w:jc w:val="both"/>
      </w:pPr>
      <w:r w:rsidRPr="001539A5">
        <w:t xml:space="preserve">Tabel </w:t>
      </w:r>
      <w:r w:rsidR="00F1065D">
        <w:t>B3</w:t>
      </w:r>
      <w:r w:rsidRPr="001539A5">
        <w:t xml:space="preserve">.11 </w:t>
      </w:r>
      <w:r w:rsidRPr="001539A5">
        <w:tab/>
        <w:t>Beoordeling oud-leerlingen over voorbereiding en aansluiting op vervolgopleiding</w:t>
      </w:r>
    </w:p>
    <w:tbl>
      <w:tblPr>
        <w:tblW w:w="9259" w:type="dxa"/>
        <w:tblLook w:val="04A0" w:firstRow="1" w:lastRow="0" w:firstColumn="1" w:lastColumn="0" w:noHBand="0" w:noVBand="1"/>
      </w:tblPr>
      <w:tblGrid>
        <w:gridCol w:w="4536"/>
        <w:gridCol w:w="1843"/>
        <w:gridCol w:w="960"/>
        <w:gridCol w:w="960"/>
        <w:gridCol w:w="960"/>
      </w:tblGrid>
      <w:tr w:rsidRPr="001539A5" w:rsidR="00B52D66" w:rsidTr="00FC2172" w14:paraId="6A3C1E9C" w14:textId="77777777">
        <w:trPr>
          <w:trHeight w:val="340"/>
        </w:trPr>
        <w:tc>
          <w:tcPr>
            <w:tcW w:w="4536" w:type="dxa"/>
            <w:tcBorders>
              <w:top w:val="single" w:color="auto" w:sz="4" w:space="0"/>
              <w:left w:val="nil"/>
              <w:bottom w:val="single" w:color="auto" w:sz="4" w:space="0"/>
              <w:right w:val="nil"/>
            </w:tcBorders>
            <w:noWrap/>
            <w:vAlign w:val="bottom"/>
            <w:hideMark/>
          </w:tcPr>
          <w:p w:rsidRPr="001539A5" w:rsidR="00B52D66" w:rsidP="00FC2172" w:rsidRDefault="00B52D66" w14:paraId="63D05057" w14:textId="77777777">
            <w:pPr>
              <w:spacing w:line="240" w:lineRule="auto"/>
              <w:ind w:right="4"/>
              <w:rPr>
                <w:rFonts w:ascii="Arial" w:hAnsi="Arial" w:cs="Arial"/>
                <w:b/>
                <w:bCs/>
                <w:color w:val="000000"/>
                <w:szCs w:val="18"/>
                <w:lang w:eastAsia="en-GB"/>
              </w:rPr>
            </w:pPr>
            <w:r w:rsidRPr="001539A5">
              <w:rPr>
                <w:rFonts w:ascii="Arial" w:hAnsi="Arial" w:cs="Arial"/>
                <w:b/>
                <w:bCs/>
                <w:color w:val="000000"/>
                <w:szCs w:val="18"/>
                <w:lang w:eastAsia="en-GB"/>
              </w:rPr>
              <w:lastRenderedPageBreak/>
              <w:t> </w:t>
            </w:r>
          </w:p>
        </w:tc>
        <w:tc>
          <w:tcPr>
            <w:tcW w:w="1843" w:type="dxa"/>
            <w:tcBorders>
              <w:top w:val="single" w:color="auto" w:sz="4" w:space="0"/>
              <w:left w:val="nil"/>
              <w:bottom w:val="single" w:color="auto" w:sz="4" w:space="0"/>
              <w:right w:val="nil"/>
            </w:tcBorders>
            <w:noWrap/>
            <w:vAlign w:val="bottom"/>
            <w:hideMark/>
          </w:tcPr>
          <w:p w:rsidRPr="001539A5" w:rsidR="00B52D66" w:rsidP="00FC2172" w:rsidRDefault="00B52D66" w14:paraId="49A70820" w14:textId="77777777">
            <w:pPr>
              <w:spacing w:line="240" w:lineRule="auto"/>
              <w:ind w:right="4"/>
              <w:rPr>
                <w:rFonts w:ascii="Arial" w:hAnsi="Arial" w:cs="Arial"/>
                <w:b/>
                <w:bCs/>
                <w:color w:val="000000"/>
                <w:szCs w:val="18"/>
                <w:lang w:eastAsia="en-GB"/>
              </w:rPr>
            </w:pPr>
            <w:r w:rsidRPr="001539A5">
              <w:rPr>
                <w:rFonts w:ascii="Arial" w:hAnsi="Arial" w:cs="Arial"/>
                <w:b/>
                <w:bCs/>
                <w:color w:val="000000"/>
                <w:szCs w:val="18"/>
                <w:lang w:eastAsia="en-GB"/>
              </w:rPr>
              <w:t> </w:t>
            </w:r>
          </w:p>
        </w:tc>
        <w:tc>
          <w:tcPr>
            <w:tcW w:w="960" w:type="dxa"/>
            <w:tcBorders>
              <w:top w:val="single" w:color="auto" w:sz="4" w:space="0"/>
              <w:left w:val="nil"/>
              <w:bottom w:val="single" w:color="auto" w:sz="4" w:space="0"/>
              <w:right w:val="nil"/>
            </w:tcBorders>
            <w:noWrap/>
            <w:vAlign w:val="bottom"/>
            <w:hideMark/>
          </w:tcPr>
          <w:p w:rsidRPr="001539A5" w:rsidR="00B52D66" w:rsidP="00FC2172" w:rsidRDefault="00B52D66" w14:paraId="27EF8A65" w14:textId="77777777">
            <w:pPr>
              <w:spacing w:line="240" w:lineRule="auto"/>
              <w:ind w:right="4"/>
              <w:jc w:val="center"/>
              <w:rPr>
                <w:rFonts w:ascii="Arial" w:hAnsi="Arial" w:cs="Arial"/>
                <w:b/>
                <w:bCs/>
                <w:color w:val="000000"/>
                <w:szCs w:val="18"/>
                <w:lang w:val="en-GB" w:eastAsia="en-GB"/>
              </w:rPr>
            </w:pPr>
            <w:r w:rsidRPr="001539A5">
              <w:rPr>
                <w:rFonts w:ascii="Arial" w:hAnsi="Arial" w:cs="Arial"/>
                <w:b/>
                <w:bCs/>
                <w:color w:val="000000"/>
                <w:szCs w:val="18"/>
                <w:lang w:val="en-GB" w:eastAsia="en-GB"/>
              </w:rPr>
              <w:t>bl</w:t>
            </w:r>
          </w:p>
        </w:tc>
        <w:tc>
          <w:tcPr>
            <w:tcW w:w="960" w:type="dxa"/>
            <w:tcBorders>
              <w:top w:val="single" w:color="auto" w:sz="4" w:space="0"/>
              <w:left w:val="nil"/>
              <w:bottom w:val="single" w:color="auto" w:sz="4" w:space="0"/>
              <w:right w:val="nil"/>
            </w:tcBorders>
            <w:noWrap/>
            <w:vAlign w:val="bottom"/>
            <w:hideMark/>
          </w:tcPr>
          <w:p w:rsidRPr="001539A5" w:rsidR="00B52D66" w:rsidP="00FC2172" w:rsidRDefault="00B52D66" w14:paraId="2B9D0535" w14:textId="77777777">
            <w:pPr>
              <w:spacing w:line="240" w:lineRule="auto"/>
              <w:ind w:right="4"/>
              <w:jc w:val="center"/>
              <w:rPr>
                <w:rFonts w:ascii="Arial" w:hAnsi="Arial" w:cs="Arial"/>
                <w:b/>
                <w:bCs/>
                <w:color w:val="000000"/>
                <w:szCs w:val="18"/>
                <w:lang w:val="en-GB" w:eastAsia="en-GB"/>
              </w:rPr>
            </w:pPr>
            <w:r w:rsidRPr="001539A5">
              <w:rPr>
                <w:rFonts w:ascii="Arial" w:hAnsi="Arial" w:cs="Arial"/>
                <w:b/>
                <w:bCs/>
                <w:color w:val="000000"/>
                <w:szCs w:val="18"/>
                <w:lang w:val="en-GB" w:eastAsia="en-GB"/>
              </w:rPr>
              <w:t>kl</w:t>
            </w:r>
          </w:p>
        </w:tc>
        <w:tc>
          <w:tcPr>
            <w:tcW w:w="960" w:type="dxa"/>
            <w:tcBorders>
              <w:top w:val="single" w:color="auto" w:sz="4" w:space="0"/>
              <w:left w:val="nil"/>
              <w:bottom w:val="single" w:color="auto" w:sz="4" w:space="0"/>
              <w:right w:val="nil"/>
            </w:tcBorders>
            <w:noWrap/>
            <w:vAlign w:val="bottom"/>
            <w:hideMark/>
          </w:tcPr>
          <w:p w:rsidRPr="001539A5" w:rsidR="00B52D66" w:rsidP="00FC2172" w:rsidRDefault="00B52D66" w14:paraId="41DD84CA" w14:textId="77777777">
            <w:pPr>
              <w:spacing w:line="240" w:lineRule="auto"/>
              <w:ind w:right="4"/>
              <w:jc w:val="center"/>
              <w:rPr>
                <w:rFonts w:ascii="Arial" w:hAnsi="Arial" w:cs="Arial"/>
                <w:b/>
                <w:bCs/>
                <w:color w:val="000000"/>
                <w:szCs w:val="18"/>
                <w:lang w:val="en-GB" w:eastAsia="en-GB"/>
              </w:rPr>
            </w:pPr>
            <w:r w:rsidRPr="001539A5">
              <w:rPr>
                <w:rFonts w:ascii="Arial" w:hAnsi="Arial" w:cs="Arial"/>
                <w:b/>
                <w:bCs/>
                <w:color w:val="000000"/>
                <w:szCs w:val="18"/>
                <w:lang w:val="en-GB" w:eastAsia="en-GB"/>
              </w:rPr>
              <w:t>gl</w:t>
            </w:r>
          </w:p>
        </w:tc>
      </w:tr>
      <w:tr w:rsidRPr="001539A5" w:rsidR="00B52D66" w:rsidTr="00FC2172" w14:paraId="523BCF52" w14:textId="77777777">
        <w:trPr>
          <w:trHeight w:val="340"/>
        </w:trPr>
        <w:tc>
          <w:tcPr>
            <w:tcW w:w="4536" w:type="dxa"/>
            <w:tcBorders>
              <w:top w:val="nil"/>
              <w:left w:val="nil"/>
              <w:bottom w:val="nil"/>
              <w:right w:val="nil"/>
            </w:tcBorders>
            <w:vAlign w:val="bottom"/>
            <w:hideMark/>
          </w:tcPr>
          <w:p w:rsidRPr="001539A5" w:rsidR="00B52D66" w:rsidP="00FC2172" w:rsidRDefault="00B52D66" w14:paraId="1F6F2FB9" w14:textId="77777777">
            <w:pPr>
              <w:spacing w:line="240" w:lineRule="auto"/>
              <w:ind w:right="4"/>
              <w:rPr>
                <w:rFonts w:ascii="Arial" w:hAnsi="Arial" w:cs="Arial"/>
                <w:b/>
                <w:bCs/>
                <w:color w:val="000000"/>
                <w:szCs w:val="18"/>
                <w:lang w:val="en-GB" w:eastAsia="en-GB"/>
              </w:rPr>
            </w:pPr>
            <w:r w:rsidRPr="001539A5">
              <w:rPr>
                <w:rFonts w:ascii="Arial" w:hAnsi="Arial" w:cs="Arial"/>
                <w:b/>
                <w:bCs/>
                <w:color w:val="000000"/>
                <w:szCs w:val="18"/>
                <w:lang w:val="en-GB" w:eastAsia="en-GB"/>
              </w:rPr>
              <w:t>Evaluatie voorbereiding</w:t>
            </w:r>
          </w:p>
        </w:tc>
        <w:tc>
          <w:tcPr>
            <w:tcW w:w="1843" w:type="dxa"/>
            <w:tcBorders>
              <w:top w:val="nil"/>
              <w:left w:val="nil"/>
              <w:bottom w:val="nil"/>
              <w:right w:val="nil"/>
            </w:tcBorders>
            <w:noWrap/>
            <w:vAlign w:val="bottom"/>
            <w:hideMark/>
          </w:tcPr>
          <w:p w:rsidRPr="001539A5" w:rsidR="00B52D66" w:rsidP="00FC2172" w:rsidRDefault="00B52D66" w14:paraId="07869903" w14:textId="77777777">
            <w:pPr>
              <w:spacing w:line="240" w:lineRule="auto"/>
              <w:ind w:right="4"/>
              <w:rPr>
                <w:rFonts w:ascii="Arial" w:hAnsi="Arial" w:cs="Arial"/>
                <w:b/>
                <w:bCs/>
                <w:color w:val="000000"/>
                <w:szCs w:val="18"/>
                <w:lang w:val="en-GB" w:eastAsia="en-GB"/>
              </w:rPr>
            </w:pPr>
          </w:p>
        </w:tc>
        <w:tc>
          <w:tcPr>
            <w:tcW w:w="2880" w:type="dxa"/>
            <w:gridSpan w:val="3"/>
            <w:tcBorders>
              <w:top w:val="nil"/>
              <w:left w:val="nil"/>
              <w:bottom w:val="nil"/>
              <w:right w:val="nil"/>
            </w:tcBorders>
            <w:noWrap/>
            <w:hideMark/>
          </w:tcPr>
          <w:p w:rsidRPr="001539A5" w:rsidR="00B52D66" w:rsidP="00FC2172" w:rsidRDefault="00B52D66" w14:paraId="51A8C288" w14:textId="77777777">
            <w:pPr>
              <w:spacing w:line="240" w:lineRule="auto"/>
              <w:ind w:right="4"/>
              <w:jc w:val="center"/>
              <w:rPr>
                <w:rFonts w:ascii="Arial" w:hAnsi="Arial" w:cs="Arial"/>
                <w:color w:val="000000"/>
                <w:szCs w:val="18"/>
                <w:lang w:val="en-GB" w:eastAsia="en-GB"/>
              </w:rPr>
            </w:pPr>
            <w:r w:rsidRPr="001539A5">
              <w:rPr>
                <w:rFonts w:ascii="Arial" w:hAnsi="Arial" w:cs="Arial"/>
                <w:color w:val="000000"/>
                <w:szCs w:val="18"/>
                <w:lang w:val="en-GB" w:eastAsia="en-GB"/>
              </w:rPr>
              <w:t>% (heel) goed</w:t>
            </w:r>
          </w:p>
        </w:tc>
      </w:tr>
      <w:tr w:rsidRPr="001539A5" w:rsidR="00B52D66" w:rsidTr="00FC2172" w14:paraId="64DB214C" w14:textId="77777777">
        <w:trPr>
          <w:trHeight w:val="340"/>
        </w:trPr>
        <w:tc>
          <w:tcPr>
            <w:tcW w:w="4536" w:type="dxa"/>
            <w:vMerge w:val="restart"/>
            <w:tcBorders>
              <w:top w:val="nil"/>
              <w:left w:val="nil"/>
              <w:bottom w:val="nil"/>
              <w:right w:val="nil"/>
            </w:tcBorders>
            <w:hideMark/>
          </w:tcPr>
          <w:p w:rsidRPr="001539A5" w:rsidR="00B52D66" w:rsidP="00FC2172" w:rsidRDefault="00B52D66" w14:paraId="5B8D568D" w14:textId="77777777">
            <w:pPr>
              <w:spacing w:line="240" w:lineRule="auto"/>
              <w:ind w:right="4"/>
              <w:rPr>
                <w:rFonts w:ascii="Arial" w:hAnsi="Arial" w:cs="Arial"/>
                <w:color w:val="000000"/>
                <w:szCs w:val="18"/>
                <w:lang w:eastAsia="en-GB"/>
              </w:rPr>
            </w:pPr>
            <w:r w:rsidRPr="001539A5">
              <w:rPr>
                <w:rFonts w:ascii="Arial" w:hAnsi="Arial" w:cs="Arial"/>
                <w:color w:val="000000"/>
                <w:szCs w:val="18"/>
                <w:lang w:eastAsia="en-GB"/>
              </w:rPr>
              <w:t xml:space="preserve">Is vmbo-opleiding goede basis om vervolgopleiding te </w:t>
            </w:r>
            <w:r w:rsidRPr="001539A5">
              <w:rPr>
                <w:rFonts w:ascii="Arial" w:hAnsi="Arial" w:cs="Arial"/>
                <w:i/>
                <w:iCs/>
                <w:color w:val="000000"/>
                <w:szCs w:val="18"/>
                <w:lang w:eastAsia="en-GB"/>
              </w:rPr>
              <w:t>kiezen</w:t>
            </w:r>
            <w:r w:rsidRPr="001539A5">
              <w:rPr>
                <w:rFonts w:ascii="Arial" w:hAnsi="Arial" w:cs="Arial"/>
                <w:color w:val="000000"/>
                <w:szCs w:val="18"/>
                <w:lang w:eastAsia="en-GB"/>
              </w:rPr>
              <w:t>?</w:t>
            </w:r>
          </w:p>
        </w:tc>
        <w:tc>
          <w:tcPr>
            <w:tcW w:w="1843" w:type="dxa"/>
            <w:tcBorders>
              <w:top w:val="nil"/>
              <w:left w:val="nil"/>
              <w:bottom w:val="nil"/>
              <w:right w:val="nil"/>
            </w:tcBorders>
            <w:noWrap/>
            <w:vAlign w:val="bottom"/>
            <w:hideMark/>
          </w:tcPr>
          <w:p w:rsidRPr="001539A5" w:rsidR="00B52D66" w:rsidP="00FC2172" w:rsidRDefault="00B52D66" w14:paraId="583E504A" w14:textId="77777777">
            <w:pPr>
              <w:spacing w:line="240" w:lineRule="auto"/>
              <w:ind w:right="4"/>
              <w:rPr>
                <w:rFonts w:ascii="Arial" w:hAnsi="Arial" w:cs="Arial"/>
                <w:color w:val="000000"/>
                <w:szCs w:val="18"/>
                <w:lang w:val="en-GB" w:eastAsia="en-GB"/>
              </w:rPr>
            </w:pPr>
            <w:r w:rsidRPr="001539A5">
              <w:rPr>
                <w:rFonts w:ascii="Arial" w:hAnsi="Arial" w:cs="Arial"/>
                <w:color w:val="000000"/>
                <w:szCs w:val="18"/>
                <w:lang w:val="en-GB" w:eastAsia="en-GB"/>
              </w:rPr>
              <w:t>Techniek</w:t>
            </w:r>
          </w:p>
        </w:tc>
        <w:tc>
          <w:tcPr>
            <w:tcW w:w="960" w:type="dxa"/>
            <w:tcBorders>
              <w:top w:val="nil"/>
              <w:left w:val="nil"/>
              <w:bottom w:val="nil"/>
              <w:right w:val="nil"/>
            </w:tcBorders>
            <w:noWrap/>
            <w:hideMark/>
          </w:tcPr>
          <w:p w:rsidRPr="001539A5" w:rsidR="00B52D66" w:rsidP="00FC2172" w:rsidRDefault="00B52D66" w14:paraId="699B0464" w14:textId="77777777">
            <w:pPr>
              <w:spacing w:line="240" w:lineRule="auto"/>
              <w:ind w:right="4"/>
              <w:jc w:val="center"/>
              <w:rPr>
                <w:rFonts w:ascii="Arial" w:hAnsi="Arial" w:cs="Arial"/>
                <w:color w:val="000000"/>
                <w:szCs w:val="18"/>
                <w:lang w:val="en-GB" w:eastAsia="en-GB"/>
              </w:rPr>
            </w:pPr>
            <w:r w:rsidRPr="001539A5">
              <w:rPr>
                <w:rFonts w:ascii="Arial" w:hAnsi="Arial" w:cs="Arial"/>
                <w:color w:val="000000"/>
                <w:szCs w:val="18"/>
                <w:lang w:val="en-GB" w:eastAsia="en-GB"/>
              </w:rPr>
              <w:t>59</w:t>
            </w:r>
          </w:p>
        </w:tc>
        <w:tc>
          <w:tcPr>
            <w:tcW w:w="960" w:type="dxa"/>
            <w:tcBorders>
              <w:top w:val="nil"/>
              <w:left w:val="nil"/>
              <w:bottom w:val="nil"/>
              <w:right w:val="nil"/>
            </w:tcBorders>
            <w:noWrap/>
            <w:hideMark/>
          </w:tcPr>
          <w:p w:rsidRPr="001539A5" w:rsidR="00B52D66" w:rsidP="00FC2172" w:rsidRDefault="00B52D66" w14:paraId="7B04648A" w14:textId="77777777">
            <w:pPr>
              <w:spacing w:line="240" w:lineRule="auto"/>
              <w:ind w:right="4"/>
              <w:jc w:val="center"/>
              <w:rPr>
                <w:rFonts w:ascii="Arial" w:hAnsi="Arial" w:cs="Arial"/>
                <w:color w:val="000000"/>
                <w:szCs w:val="18"/>
                <w:lang w:val="en-GB" w:eastAsia="en-GB"/>
              </w:rPr>
            </w:pPr>
            <w:r w:rsidRPr="001539A5">
              <w:rPr>
                <w:rFonts w:ascii="Arial" w:hAnsi="Arial" w:cs="Arial"/>
                <w:color w:val="000000"/>
                <w:szCs w:val="18"/>
                <w:lang w:val="en-GB" w:eastAsia="en-GB"/>
              </w:rPr>
              <w:t>65</w:t>
            </w:r>
          </w:p>
        </w:tc>
        <w:tc>
          <w:tcPr>
            <w:tcW w:w="960" w:type="dxa"/>
            <w:tcBorders>
              <w:top w:val="nil"/>
              <w:left w:val="nil"/>
              <w:bottom w:val="nil"/>
              <w:right w:val="nil"/>
            </w:tcBorders>
            <w:noWrap/>
            <w:hideMark/>
          </w:tcPr>
          <w:p w:rsidRPr="001539A5" w:rsidR="00B52D66" w:rsidP="00FC2172" w:rsidRDefault="00B52D66" w14:paraId="7291F7C4" w14:textId="77777777">
            <w:pPr>
              <w:spacing w:line="240" w:lineRule="auto"/>
              <w:ind w:right="4"/>
              <w:jc w:val="center"/>
              <w:rPr>
                <w:rFonts w:ascii="Arial" w:hAnsi="Arial" w:cs="Arial"/>
                <w:color w:val="000000"/>
                <w:szCs w:val="18"/>
                <w:lang w:val="en-GB" w:eastAsia="en-GB"/>
              </w:rPr>
            </w:pPr>
            <w:r w:rsidRPr="001539A5">
              <w:rPr>
                <w:rFonts w:ascii="Arial" w:hAnsi="Arial" w:cs="Arial"/>
                <w:color w:val="000000"/>
                <w:szCs w:val="18"/>
                <w:lang w:val="en-GB" w:eastAsia="en-GB"/>
              </w:rPr>
              <w:t>59</w:t>
            </w:r>
          </w:p>
        </w:tc>
      </w:tr>
      <w:tr w:rsidRPr="001539A5" w:rsidR="00B52D66" w:rsidTr="00FC2172" w14:paraId="26906D85" w14:textId="77777777">
        <w:trPr>
          <w:trHeight w:val="340"/>
        </w:trPr>
        <w:tc>
          <w:tcPr>
            <w:tcW w:w="4536" w:type="dxa"/>
            <w:vMerge/>
            <w:tcBorders>
              <w:top w:val="nil"/>
              <w:left w:val="nil"/>
              <w:bottom w:val="nil"/>
              <w:right w:val="nil"/>
            </w:tcBorders>
            <w:vAlign w:val="center"/>
            <w:hideMark/>
          </w:tcPr>
          <w:p w:rsidRPr="001539A5" w:rsidR="00B52D66" w:rsidP="00FC2172" w:rsidRDefault="00B52D66" w14:paraId="45994DA1" w14:textId="77777777">
            <w:pPr>
              <w:spacing w:line="240" w:lineRule="auto"/>
              <w:ind w:right="4"/>
              <w:rPr>
                <w:rFonts w:ascii="Arial" w:hAnsi="Arial" w:cs="Arial"/>
                <w:color w:val="000000"/>
                <w:szCs w:val="18"/>
                <w:lang w:val="en-GB" w:eastAsia="en-GB"/>
              </w:rPr>
            </w:pPr>
          </w:p>
        </w:tc>
        <w:tc>
          <w:tcPr>
            <w:tcW w:w="1843" w:type="dxa"/>
            <w:tcBorders>
              <w:top w:val="nil"/>
              <w:left w:val="nil"/>
              <w:bottom w:val="nil"/>
              <w:right w:val="nil"/>
            </w:tcBorders>
            <w:noWrap/>
            <w:vAlign w:val="bottom"/>
            <w:hideMark/>
          </w:tcPr>
          <w:p w:rsidRPr="001539A5" w:rsidR="00B52D66" w:rsidP="00FC2172" w:rsidRDefault="00B52D66" w14:paraId="2543FE58" w14:textId="77777777">
            <w:pPr>
              <w:spacing w:line="240" w:lineRule="auto"/>
              <w:ind w:right="4"/>
              <w:rPr>
                <w:rFonts w:ascii="Arial" w:hAnsi="Arial" w:cs="Arial"/>
                <w:color w:val="000000"/>
                <w:szCs w:val="18"/>
                <w:lang w:val="en-GB" w:eastAsia="en-GB"/>
              </w:rPr>
            </w:pPr>
            <w:r w:rsidRPr="001539A5">
              <w:rPr>
                <w:rFonts w:ascii="Arial" w:hAnsi="Arial" w:cs="Arial"/>
                <w:color w:val="000000"/>
                <w:szCs w:val="18"/>
                <w:lang w:val="en-GB" w:eastAsia="en-GB"/>
              </w:rPr>
              <w:t>Niet-techniek</w:t>
            </w:r>
          </w:p>
        </w:tc>
        <w:tc>
          <w:tcPr>
            <w:tcW w:w="960" w:type="dxa"/>
            <w:tcBorders>
              <w:top w:val="nil"/>
              <w:left w:val="nil"/>
              <w:bottom w:val="nil"/>
              <w:right w:val="nil"/>
            </w:tcBorders>
            <w:noWrap/>
            <w:hideMark/>
          </w:tcPr>
          <w:p w:rsidRPr="001539A5" w:rsidR="00B52D66" w:rsidP="00FC2172" w:rsidRDefault="00B52D66" w14:paraId="3C813C2D" w14:textId="77777777">
            <w:pPr>
              <w:spacing w:line="240" w:lineRule="auto"/>
              <w:ind w:right="4"/>
              <w:jc w:val="center"/>
              <w:rPr>
                <w:rFonts w:ascii="Arial" w:hAnsi="Arial" w:cs="Arial"/>
                <w:color w:val="000000"/>
                <w:szCs w:val="18"/>
                <w:lang w:val="en-GB" w:eastAsia="en-GB"/>
              </w:rPr>
            </w:pPr>
            <w:r w:rsidRPr="001539A5">
              <w:rPr>
                <w:rFonts w:ascii="Arial" w:hAnsi="Arial" w:cs="Arial"/>
                <w:color w:val="000000"/>
                <w:szCs w:val="18"/>
                <w:lang w:val="en-GB" w:eastAsia="en-GB"/>
              </w:rPr>
              <w:t>49</w:t>
            </w:r>
          </w:p>
        </w:tc>
        <w:tc>
          <w:tcPr>
            <w:tcW w:w="960" w:type="dxa"/>
            <w:tcBorders>
              <w:top w:val="nil"/>
              <w:left w:val="nil"/>
              <w:bottom w:val="nil"/>
              <w:right w:val="nil"/>
            </w:tcBorders>
            <w:noWrap/>
            <w:hideMark/>
          </w:tcPr>
          <w:p w:rsidRPr="001539A5" w:rsidR="00B52D66" w:rsidP="00FC2172" w:rsidRDefault="00B52D66" w14:paraId="44EE6BC1" w14:textId="77777777">
            <w:pPr>
              <w:spacing w:line="240" w:lineRule="auto"/>
              <w:ind w:right="4"/>
              <w:jc w:val="center"/>
              <w:rPr>
                <w:rFonts w:ascii="Arial" w:hAnsi="Arial" w:cs="Arial"/>
                <w:color w:val="000000"/>
                <w:szCs w:val="18"/>
                <w:lang w:val="en-GB" w:eastAsia="en-GB"/>
              </w:rPr>
            </w:pPr>
            <w:r w:rsidRPr="001539A5">
              <w:rPr>
                <w:rFonts w:ascii="Arial" w:hAnsi="Arial" w:cs="Arial"/>
                <w:color w:val="000000"/>
                <w:szCs w:val="18"/>
                <w:lang w:val="en-GB" w:eastAsia="en-GB"/>
              </w:rPr>
              <w:t>47</w:t>
            </w:r>
          </w:p>
        </w:tc>
        <w:tc>
          <w:tcPr>
            <w:tcW w:w="960" w:type="dxa"/>
            <w:tcBorders>
              <w:top w:val="nil"/>
              <w:left w:val="nil"/>
              <w:bottom w:val="nil"/>
              <w:right w:val="nil"/>
            </w:tcBorders>
            <w:noWrap/>
            <w:hideMark/>
          </w:tcPr>
          <w:p w:rsidRPr="001539A5" w:rsidR="00B52D66" w:rsidP="00FC2172" w:rsidRDefault="00B52D66" w14:paraId="09A8AA0D" w14:textId="77777777">
            <w:pPr>
              <w:spacing w:line="240" w:lineRule="auto"/>
              <w:ind w:right="4"/>
              <w:jc w:val="center"/>
              <w:rPr>
                <w:rFonts w:ascii="Arial" w:hAnsi="Arial" w:cs="Arial"/>
                <w:color w:val="000000"/>
                <w:szCs w:val="18"/>
                <w:lang w:val="en-GB" w:eastAsia="en-GB"/>
              </w:rPr>
            </w:pPr>
            <w:r w:rsidRPr="001539A5">
              <w:rPr>
                <w:rFonts w:ascii="Arial" w:hAnsi="Arial" w:cs="Arial"/>
                <w:color w:val="000000"/>
                <w:szCs w:val="18"/>
                <w:lang w:val="en-GB" w:eastAsia="en-GB"/>
              </w:rPr>
              <w:t>45</w:t>
            </w:r>
          </w:p>
        </w:tc>
      </w:tr>
      <w:tr w:rsidRPr="001539A5" w:rsidR="00B52D66" w:rsidTr="00FC2172" w14:paraId="2DD6F045" w14:textId="77777777">
        <w:trPr>
          <w:trHeight w:val="340"/>
        </w:trPr>
        <w:tc>
          <w:tcPr>
            <w:tcW w:w="4536" w:type="dxa"/>
            <w:vMerge w:val="restart"/>
            <w:tcBorders>
              <w:top w:val="nil"/>
              <w:left w:val="nil"/>
              <w:bottom w:val="nil"/>
              <w:right w:val="nil"/>
            </w:tcBorders>
            <w:hideMark/>
          </w:tcPr>
          <w:p w:rsidRPr="001539A5" w:rsidR="00B52D66" w:rsidP="00FC2172" w:rsidRDefault="00B52D66" w14:paraId="0DC65505" w14:textId="77777777">
            <w:pPr>
              <w:spacing w:line="240" w:lineRule="auto"/>
              <w:ind w:right="4"/>
              <w:rPr>
                <w:rFonts w:ascii="Arial" w:hAnsi="Arial" w:cs="Arial"/>
                <w:color w:val="000000"/>
                <w:szCs w:val="18"/>
                <w:lang w:eastAsia="en-GB"/>
              </w:rPr>
            </w:pPr>
            <w:r w:rsidRPr="001539A5">
              <w:rPr>
                <w:rFonts w:ascii="Arial" w:hAnsi="Arial" w:cs="Arial"/>
                <w:color w:val="000000"/>
                <w:szCs w:val="18"/>
                <w:lang w:eastAsia="en-GB"/>
              </w:rPr>
              <w:t xml:space="preserve">Is vmbo-opleiding goede basis om vervolgopleiding te </w:t>
            </w:r>
            <w:r w:rsidRPr="001539A5">
              <w:rPr>
                <w:rFonts w:ascii="Arial" w:hAnsi="Arial" w:cs="Arial"/>
                <w:i/>
                <w:iCs/>
                <w:color w:val="000000"/>
                <w:szCs w:val="18"/>
                <w:lang w:eastAsia="en-GB"/>
              </w:rPr>
              <w:t>volgen</w:t>
            </w:r>
            <w:r w:rsidRPr="001539A5">
              <w:rPr>
                <w:rFonts w:ascii="Arial" w:hAnsi="Arial" w:cs="Arial"/>
                <w:color w:val="000000"/>
                <w:szCs w:val="18"/>
                <w:lang w:eastAsia="en-GB"/>
              </w:rPr>
              <w:t>?</w:t>
            </w:r>
          </w:p>
        </w:tc>
        <w:tc>
          <w:tcPr>
            <w:tcW w:w="1843" w:type="dxa"/>
            <w:tcBorders>
              <w:top w:val="nil"/>
              <w:left w:val="nil"/>
              <w:bottom w:val="nil"/>
              <w:right w:val="nil"/>
            </w:tcBorders>
            <w:noWrap/>
            <w:vAlign w:val="bottom"/>
            <w:hideMark/>
          </w:tcPr>
          <w:p w:rsidRPr="001539A5" w:rsidR="00B52D66" w:rsidP="00FC2172" w:rsidRDefault="00B52D66" w14:paraId="0CB86228" w14:textId="77777777">
            <w:pPr>
              <w:spacing w:line="240" w:lineRule="auto"/>
              <w:ind w:right="4"/>
              <w:rPr>
                <w:rFonts w:ascii="Arial" w:hAnsi="Arial" w:cs="Arial"/>
                <w:color w:val="000000"/>
                <w:szCs w:val="18"/>
                <w:lang w:val="en-GB" w:eastAsia="en-GB"/>
              </w:rPr>
            </w:pPr>
            <w:r w:rsidRPr="001539A5">
              <w:rPr>
                <w:rFonts w:ascii="Arial" w:hAnsi="Arial" w:cs="Arial"/>
                <w:color w:val="000000"/>
                <w:szCs w:val="18"/>
                <w:lang w:val="en-GB" w:eastAsia="en-GB"/>
              </w:rPr>
              <w:t>Techniek</w:t>
            </w:r>
          </w:p>
        </w:tc>
        <w:tc>
          <w:tcPr>
            <w:tcW w:w="960" w:type="dxa"/>
            <w:tcBorders>
              <w:top w:val="nil"/>
              <w:left w:val="nil"/>
              <w:bottom w:val="nil"/>
              <w:right w:val="nil"/>
            </w:tcBorders>
            <w:noWrap/>
            <w:hideMark/>
          </w:tcPr>
          <w:p w:rsidRPr="001539A5" w:rsidR="00B52D66" w:rsidP="00FC2172" w:rsidRDefault="00B52D66" w14:paraId="189A5AFF" w14:textId="77777777">
            <w:pPr>
              <w:spacing w:line="240" w:lineRule="auto"/>
              <w:ind w:right="4"/>
              <w:jc w:val="center"/>
              <w:rPr>
                <w:rFonts w:ascii="Arial" w:hAnsi="Arial" w:cs="Arial"/>
                <w:color w:val="000000"/>
                <w:szCs w:val="18"/>
                <w:lang w:val="en-GB" w:eastAsia="en-GB"/>
              </w:rPr>
            </w:pPr>
            <w:r w:rsidRPr="001539A5">
              <w:rPr>
                <w:rFonts w:ascii="Arial" w:hAnsi="Arial" w:cs="Arial"/>
                <w:color w:val="000000"/>
                <w:szCs w:val="18"/>
                <w:lang w:val="en-GB" w:eastAsia="en-GB"/>
              </w:rPr>
              <w:t>60</w:t>
            </w:r>
          </w:p>
        </w:tc>
        <w:tc>
          <w:tcPr>
            <w:tcW w:w="960" w:type="dxa"/>
            <w:tcBorders>
              <w:top w:val="nil"/>
              <w:left w:val="nil"/>
              <w:bottom w:val="nil"/>
              <w:right w:val="nil"/>
            </w:tcBorders>
            <w:noWrap/>
            <w:hideMark/>
          </w:tcPr>
          <w:p w:rsidRPr="001539A5" w:rsidR="00B52D66" w:rsidP="00FC2172" w:rsidRDefault="00B52D66" w14:paraId="74A1A088" w14:textId="77777777">
            <w:pPr>
              <w:spacing w:line="240" w:lineRule="auto"/>
              <w:ind w:right="4"/>
              <w:jc w:val="center"/>
              <w:rPr>
                <w:rFonts w:ascii="Arial" w:hAnsi="Arial" w:cs="Arial"/>
                <w:color w:val="000000"/>
                <w:szCs w:val="18"/>
                <w:lang w:val="en-GB" w:eastAsia="en-GB"/>
              </w:rPr>
            </w:pPr>
            <w:r w:rsidRPr="001539A5">
              <w:rPr>
                <w:rFonts w:ascii="Arial" w:hAnsi="Arial" w:cs="Arial"/>
                <w:color w:val="000000"/>
                <w:szCs w:val="18"/>
                <w:lang w:val="en-GB" w:eastAsia="en-GB"/>
              </w:rPr>
              <w:t>66</w:t>
            </w:r>
          </w:p>
        </w:tc>
        <w:tc>
          <w:tcPr>
            <w:tcW w:w="960" w:type="dxa"/>
            <w:tcBorders>
              <w:top w:val="nil"/>
              <w:left w:val="nil"/>
              <w:bottom w:val="nil"/>
              <w:right w:val="nil"/>
            </w:tcBorders>
            <w:noWrap/>
            <w:hideMark/>
          </w:tcPr>
          <w:p w:rsidRPr="001539A5" w:rsidR="00B52D66" w:rsidP="00FC2172" w:rsidRDefault="00B52D66" w14:paraId="77986E93" w14:textId="77777777">
            <w:pPr>
              <w:spacing w:line="240" w:lineRule="auto"/>
              <w:ind w:right="4"/>
              <w:jc w:val="center"/>
              <w:rPr>
                <w:rFonts w:ascii="Arial" w:hAnsi="Arial" w:cs="Arial"/>
                <w:color w:val="000000"/>
                <w:szCs w:val="18"/>
                <w:lang w:val="en-GB" w:eastAsia="en-GB"/>
              </w:rPr>
            </w:pPr>
            <w:r w:rsidRPr="001539A5">
              <w:rPr>
                <w:rFonts w:ascii="Arial" w:hAnsi="Arial" w:cs="Arial"/>
                <w:color w:val="000000"/>
                <w:szCs w:val="18"/>
                <w:lang w:val="en-GB" w:eastAsia="en-GB"/>
              </w:rPr>
              <w:t>64</w:t>
            </w:r>
          </w:p>
        </w:tc>
      </w:tr>
      <w:tr w:rsidRPr="001539A5" w:rsidR="00B52D66" w:rsidTr="00FC2172" w14:paraId="4D5F63DF" w14:textId="77777777">
        <w:trPr>
          <w:trHeight w:val="340"/>
        </w:trPr>
        <w:tc>
          <w:tcPr>
            <w:tcW w:w="4536" w:type="dxa"/>
            <w:vMerge/>
            <w:tcBorders>
              <w:top w:val="nil"/>
              <w:left w:val="nil"/>
              <w:bottom w:val="nil"/>
              <w:right w:val="nil"/>
            </w:tcBorders>
            <w:vAlign w:val="center"/>
            <w:hideMark/>
          </w:tcPr>
          <w:p w:rsidRPr="001539A5" w:rsidR="00B52D66" w:rsidP="00FC2172" w:rsidRDefault="00B52D66" w14:paraId="29CC4C14" w14:textId="77777777">
            <w:pPr>
              <w:spacing w:line="240" w:lineRule="auto"/>
              <w:ind w:right="4"/>
              <w:rPr>
                <w:rFonts w:ascii="Arial" w:hAnsi="Arial" w:cs="Arial"/>
                <w:color w:val="000000"/>
                <w:szCs w:val="18"/>
                <w:lang w:val="en-GB" w:eastAsia="en-GB"/>
              </w:rPr>
            </w:pPr>
          </w:p>
        </w:tc>
        <w:tc>
          <w:tcPr>
            <w:tcW w:w="1843" w:type="dxa"/>
            <w:tcBorders>
              <w:top w:val="nil"/>
              <w:left w:val="nil"/>
              <w:bottom w:val="nil"/>
              <w:right w:val="nil"/>
            </w:tcBorders>
            <w:noWrap/>
            <w:vAlign w:val="bottom"/>
            <w:hideMark/>
          </w:tcPr>
          <w:p w:rsidRPr="001539A5" w:rsidR="00B52D66" w:rsidP="00FC2172" w:rsidRDefault="00B52D66" w14:paraId="1D8F59E8" w14:textId="77777777">
            <w:pPr>
              <w:spacing w:line="240" w:lineRule="auto"/>
              <w:ind w:right="4"/>
              <w:rPr>
                <w:rFonts w:ascii="Arial" w:hAnsi="Arial" w:cs="Arial"/>
                <w:color w:val="000000"/>
                <w:szCs w:val="18"/>
                <w:lang w:val="en-GB" w:eastAsia="en-GB"/>
              </w:rPr>
            </w:pPr>
            <w:r w:rsidRPr="001539A5">
              <w:rPr>
                <w:rFonts w:ascii="Arial" w:hAnsi="Arial" w:cs="Arial"/>
                <w:color w:val="000000"/>
                <w:szCs w:val="18"/>
                <w:lang w:val="en-GB" w:eastAsia="en-GB"/>
              </w:rPr>
              <w:t>Niet-techniek</w:t>
            </w:r>
          </w:p>
        </w:tc>
        <w:tc>
          <w:tcPr>
            <w:tcW w:w="960" w:type="dxa"/>
            <w:tcBorders>
              <w:top w:val="nil"/>
              <w:left w:val="nil"/>
              <w:bottom w:val="nil"/>
              <w:right w:val="nil"/>
            </w:tcBorders>
            <w:noWrap/>
            <w:hideMark/>
          </w:tcPr>
          <w:p w:rsidRPr="001539A5" w:rsidR="00B52D66" w:rsidP="00FC2172" w:rsidRDefault="00B52D66" w14:paraId="1F78ED6E" w14:textId="77777777">
            <w:pPr>
              <w:spacing w:line="240" w:lineRule="auto"/>
              <w:ind w:right="4"/>
              <w:jc w:val="center"/>
              <w:rPr>
                <w:rFonts w:ascii="Arial" w:hAnsi="Arial" w:cs="Arial"/>
                <w:color w:val="000000"/>
                <w:szCs w:val="18"/>
                <w:lang w:val="en-GB" w:eastAsia="en-GB"/>
              </w:rPr>
            </w:pPr>
            <w:r w:rsidRPr="001539A5">
              <w:rPr>
                <w:rFonts w:ascii="Arial" w:hAnsi="Arial" w:cs="Arial"/>
                <w:color w:val="000000"/>
                <w:szCs w:val="18"/>
                <w:lang w:val="en-GB" w:eastAsia="en-GB"/>
              </w:rPr>
              <w:t>53</w:t>
            </w:r>
          </w:p>
        </w:tc>
        <w:tc>
          <w:tcPr>
            <w:tcW w:w="960" w:type="dxa"/>
            <w:tcBorders>
              <w:top w:val="nil"/>
              <w:left w:val="nil"/>
              <w:bottom w:val="nil"/>
              <w:right w:val="nil"/>
            </w:tcBorders>
            <w:noWrap/>
            <w:hideMark/>
          </w:tcPr>
          <w:p w:rsidRPr="001539A5" w:rsidR="00B52D66" w:rsidP="00FC2172" w:rsidRDefault="00B52D66" w14:paraId="7D3947C2" w14:textId="77777777">
            <w:pPr>
              <w:spacing w:line="240" w:lineRule="auto"/>
              <w:ind w:right="4"/>
              <w:jc w:val="center"/>
              <w:rPr>
                <w:rFonts w:ascii="Arial" w:hAnsi="Arial" w:cs="Arial"/>
                <w:color w:val="000000"/>
                <w:szCs w:val="18"/>
                <w:lang w:val="en-GB" w:eastAsia="en-GB"/>
              </w:rPr>
            </w:pPr>
            <w:r w:rsidRPr="001539A5">
              <w:rPr>
                <w:rFonts w:ascii="Arial" w:hAnsi="Arial" w:cs="Arial"/>
                <w:color w:val="000000"/>
                <w:szCs w:val="18"/>
                <w:lang w:val="en-GB" w:eastAsia="en-GB"/>
              </w:rPr>
              <w:t>56</w:t>
            </w:r>
          </w:p>
        </w:tc>
        <w:tc>
          <w:tcPr>
            <w:tcW w:w="960" w:type="dxa"/>
            <w:tcBorders>
              <w:top w:val="nil"/>
              <w:left w:val="nil"/>
              <w:bottom w:val="nil"/>
              <w:right w:val="nil"/>
            </w:tcBorders>
            <w:noWrap/>
            <w:hideMark/>
          </w:tcPr>
          <w:p w:rsidRPr="001539A5" w:rsidR="00B52D66" w:rsidP="00FC2172" w:rsidRDefault="00B52D66" w14:paraId="1982E387" w14:textId="77777777">
            <w:pPr>
              <w:spacing w:line="240" w:lineRule="auto"/>
              <w:ind w:right="4"/>
              <w:jc w:val="center"/>
              <w:rPr>
                <w:rFonts w:ascii="Arial" w:hAnsi="Arial" w:cs="Arial"/>
                <w:color w:val="000000"/>
                <w:szCs w:val="18"/>
                <w:lang w:val="en-GB" w:eastAsia="en-GB"/>
              </w:rPr>
            </w:pPr>
            <w:r w:rsidRPr="001539A5">
              <w:rPr>
                <w:rFonts w:ascii="Arial" w:hAnsi="Arial" w:cs="Arial"/>
                <w:color w:val="000000"/>
                <w:szCs w:val="18"/>
                <w:lang w:val="en-GB" w:eastAsia="en-GB"/>
              </w:rPr>
              <w:t>54</w:t>
            </w:r>
          </w:p>
        </w:tc>
      </w:tr>
      <w:tr w:rsidRPr="001539A5" w:rsidR="00B52D66" w:rsidTr="00FC2172" w14:paraId="065C312A" w14:textId="77777777">
        <w:trPr>
          <w:trHeight w:val="340"/>
        </w:trPr>
        <w:tc>
          <w:tcPr>
            <w:tcW w:w="4536" w:type="dxa"/>
            <w:tcBorders>
              <w:top w:val="nil"/>
              <w:left w:val="nil"/>
              <w:bottom w:val="nil"/>
              <w:right w:val="nil"/>
            </w:tcBorders>
            <w:noWrap/>
            <w:vAlign w:val="bottom"/>
            <w:hideMark/>
          </w:tcPr>
          <w:p w:rsidRPr="001539A5" w:rsidR="00B52D66" w:rsidP="00FC2172" w:rsidRDefault="00B52D66" w14:paraId="5F8733D5" w14:textId="77777777">
            <w:pPr>
              <w:spacing w:line="240" w:lineRule="auto"/>
              <w:ind w:right="4"/>
              <w:rPr>
                <w:rFonts w:ascii="Arial" w:hAnsi="Arial" w:cs="Arial"/>
                <w:b/>
                <w:bCs/>
                <w:color w:val="000000"/>
                <w:szCs w:val="18"/>
                <w:lang w:val="en-GB" w:eastAsia="en-GB"/>
              </w:rPr>
            </w:pPr>
            <w:r w:rsidRPr="001539A5">
              <w:rPr>
                <w:rFonts w:ascii="Arial" w:hAnsi="Arial" w:cs="Arial"/>
                <w:b/>
                <w:bCs/>
                <w:color w:val="000000"/>
                <w:szCs w:val="18"/>
                <w:lang w:val="en-GB" w:eastAsia="en-GB"/>
              </w:rPr>
              <w:t>Aansluiting vervolgopleiding</w:t>
            </w:r>
          </w:p>
        </w:tc>
        <w:tc>
          <w:tcPr>
            <w:tcW w:w="1843" w:type="dxa"/>
            <w:tcBorders>
              <w:top w:val="nil"/>
              <w:left w:val="nil"/>
              <w:bottom w:val="nil"/>
              <w:right w:val="nil"/>
            </w:tcBorders>
            <w:noWrap/>
            <w:vAlign w:val="bottom"/>
            <w:hideMark/>
          </w:tcPr>
          <w:p w:rsidRPr="001539A5" w:rsidR="00B52D66" w:rsidP="00FC2172" w:rsidRDefault="00B52D66" w14:paraId="60DC59B4" w14:textId="77777777">
            <w:pPr>
              <w:spacing w:line="240" w:lineRule="auto"/>
              <w:ind w:right="4"/>
              <w:rPr>
                <w:rFonts w:ascii="Arial" w:hAnsi="Arial" w:cs="Arial"/>
                <w:b/>
                <w:bCs/>
                <w:color w:val="000000"/>
                <w:szCs w:val="18"/>
                <w:lang w:val="en-GB" w:eastAsia="en-GB"/>
              </w:rPr>
            </w:pPr>
          </w:p>
        </w:tc>
        <w:tc>
          <w:tcPr>
            <w:tcW w:w="2880" w:type="dxa"/>
            <w:gridSpan w:val="3"/>
            <w:tcBorders>
              <w:top w:val="nil"/>
              <w:left w:val="nil"/>
              <w:bottom w:val="nil"/>
              <w:right w:val="nil"/>
            </w:tcBorders>
            <w:noWrap/>
            <w:hideMark/>
          </w:tcPr>
          <w:p w:rsidRPr="001539A5" w:rsidR="00B52D66" w:rsidP="00FC2172" w:rsidRDefault="00B52D66" w14:paraId="006A3ABE" w14:textId="77777777">
            <w:pPr>
              <w:spacing w:line="240" w:lineRule="auto"/>
              <w:ind w:right="4"/>
              <w:jc w:val="center"/>
              <w:rPr>
                <w:rFonts w:ascii="Arial" w:hAnsi="Arial" w:cs="Arial"/>
                <w:color w:val="000000"/>
                <w:szCs w:val="18"/>
                <w:lang w:val="en-GB" w:eastAsia="en-GB"/>
              </w:rPr>
            </w:pPr>
            <w:r w:rsidRPr="001539A5">
              <w:rPr>
                <w:rFonts w:ascii="Arial" w:hAnsi="Arial" w:cs="Arial"/>
                <w:color w:val="000000"/>
                <w:szCs w:val="18"/>
                <w:lang w:val="en-GB" w:eastAsia="en-GB"/>
              </w:rPr>
              <w:t>% (redelijk) goed</w:t>
            </w:r>
          </w:p>
        </w:tc>
      </w:tr>
      <w:tr w:rsidRPr="001539A5" w:rsidR="00B52D66" w:rsidTr="00FC2172" w14:paraId="6E7CFC7E" w14:textId="77777777">
        <w:trPr>
          <w:trHeight w:val="340"/>
        </w:trPr>
        <w:tc>
          <w:tcPr>
            <w:tcW w:w="4536" w:type="dxa"/>
            <w:vMerge w:val="restart"/>
            <w:tcBorders>
              <w:top w:val="nil"/>
              <w:left w:val="nil"/>
              <w:bottom w:val="single" w:color="000000" w:sz="4" w:space="0"/>
              <w:right w:val="nil"/>
            </w:tcBorders>
            <w:hideMark/>
          </w:tcPr>
          <w:p w:rsidRPr="001539A5" w:rsidR="00B52D66" w:rsidP="00FC2172" w:rsidRDefault="00B52D66" w14:paraId="19D6DD32" w14:textId="77777777">
            <w:pPr>
              <w:spacing w:line="240" w:lineRule="auto"/>
              <w:ind w:right="4"/>
              <w:rPr>
                <w:rFonts w:ascii="Arial" w:hAnsi="Arial" w:cs="Arial"/>
                <w:color w:val="000000"/>
                <w:szCs w:val="18"/>
                <w:lang w:eastAsia="en-GB"/>
              </w:rPr>
            </w:pPr>
            <w:r w:rsidRPr="001539A5">
              <w:rPr>
                <w:rFonts w:ascii="Arial" w:hAnsi="Arial" w:cs="Arial"/>
                <w:color w:val="000000"/>
                <w:szCs w:val="18"/>
                <w:lang w:eastAsia="en-GB"/>
              </w:rPr>
              <w:t>Sluit gevolgde opleiding goed aan bij vervolgopleiding?</w:t>
            </w:r>
          </w:p>
        </w:tc>
        <w:tc>
          <w:tcPr>
            <w:tcW w:w="1843" w:type="dxa"/>
            <w:tcBorders>
              <w:top w:val="nil"/>
              <w:left w:val="nil"/>
              <w:bottom w:val="nil"/>
              <w:right w:val="nil"/>
            </w:tcBorders>
            <w:noWrap/>
            <w:vAlign w:val="bottom"/>
            <w:hideMark/>
          </w:tcPr>
          <w:p w:rsidRPr="001539A5" w:rsidR="00B52D66" w:rsidP="00FC2172" w:rsidRDefault="00B52D66" w14:paraId="62F08A55" w14:textId="77777777">
            <w:pPr>
              <w:spacing w:line="240" w:lineRule="auto"/>
              <w:ind w:right="4"/>
              <w:rPr>
                <w:rFonts w:ascii="Arial" w:hAnsi="Arial" w:cs="Arial"/>
                <w:color w:val="000000"/>
                <w:szCs w:val="18"/>
                <w:lang w:val="en-GB" w:eastAsia="en-GB"/>
              </w:rPr>
            </w:pPr>
            <w:r w:rsidRPr="001539A5">
              <w:rPr>
                <w:rFonts w:ascii="Arial" w:hAnsi="Arial" w:cs="Arial"/>
                <w:color w:val="000000"/>
                <w:szCs w:val="18"/>
                <w:lang w:val="en-GB" w:eastAsia="en-GB"/>
              </w:rPr>
              <w:t>Techniek</w:t>
            </w:r>
          </w:p>
        </w:tc>
        <w:tc>
          <w:tcPr>
            <w:tcW w:w="960" w:type="dxa"/>
            <w:tcBorders>
              <w:top w:val="nil"/>
              <w:left w:val="nil"/>
              <w:bottom w:val="nil"/>
              <w:right w:val="nil"/>
            </w:tcBorders>
            <w:noWrap/>
            <w:hideMark/>
          </w:tcPr>
          <w:p w:rsidRPr="001539A5" w:rsidR="00B52D66" w:rsidP="00FC2172" w:rsidRDefault="00B52D66" w14:paraId="40F7BE2B" w14:textId="77777777">
            <w:pPr>
              <w:spacing w:line="240" w:lineRule="auto"/>
              <w:ind w:right="4"/>
              <w:jc w:val="center"/>
              <w:rPr>
                <w:rFonts w:ascii="Arial" w:hAnsi="Arial" w:cs="Arial"/>
                <w:color w:val="000000"/>
                <w:szCs w:val="18"/>
                <w:lang w:val="en-GB" w:eastAsia="en-GB"/>
              </w:rPr>
            </w:pPr>
            <w:r w:rsidRPr="001539A5">
              <w:rPr>
                <w:rFonts w:ascii="Arial" w:hAnsi="Arial" w:cs="Arial"/>
                <w:color w:val="000000"/>
                <w:szCs w:val="18"/>
                <w:lang w:val="en-GB" w:eastAsia="en-GB"/>
              </w:rPr>
              <w:t>81</w:t>
            </w:r>
          </w:p>
        </w:tc>
        <w:tc>
          <w:tcPr>
            <w:tcW w:w="960" w:type="dxa"/>
            <w:tcBorders>
              <w:top w:val="nil"/>
              <w:left w:val="nil"/>
              <w:bottom w:val="nil"/>
              <w:right w:val="nil"/>
            </w:tcBorders>
            <w:noWrap/>
            <w:hideMark/>
          </w:tcPr>
          <w:p w:rsidRPr="001539A5" w:rsidR="00B52D66" w:rsidP="00FC2172" w:rsidRDefault="00B52D66" w14:paraId="7B475B1F" w14:textId="77777777">
            <w:pPr>
              <w:spacing w:line="240" w:lineRule="auto"/>
              <w:ind w:right="4"/>
              <w:jc w:val="center"/>
              <w:rPr>
                <w:rFonts w:ascii="Arial" w:hAnsi="Arial" w:cs="Arial"/>
                <w:color w:val="000000"/>
                <w:szCs w:val="18"/>
                <w:lang w:val="en-GB" w:eastAsia="en-GB"/>
              </w:rPr>
            </w:pPr>
            <w:r w:rsidRPr="001539A5">
              <w:rPr>
                <w:rFonts w:ascii="Arial" w:hAnsi="Arial" w:cs="Arial"/>
                <w:color w:val="000000"/>
                <w:szCs w:val="18"/>
                <w:lang w:val="en-GB" w:eastAsia="en-GB"/>
              </w:rPr>
              <w:t>77</w:t>
            </w:r>
          </w:p>
        </w:tc>
        <w:tc>
          <w:tcPr>
            <w:tcW w:w="960" w:type="dxa"/>
            <w:tcBorders>
              <w:top w:val="nil"/>
              <w:left w:val="nil"/>
              <w:bottom w:val="nil"/>
              <w:right w:val="nil"/>
            </w:tcBorders>
            <w:noWrap/>
            <w:hideMark/>
          </w:tcPr>
          <w:p w:rsidRPr="001539A5" w:rsidR="00B52D66" w:rsidP="00FC2172" w:rsidRDefault="00B52D66" w14:paraId="7B7FBCDA" w14:textId="77777777">
            <w:pPr>
              <w:spacing w:line="240" w:lineRule="auto"/>
              <w:ind w:right="4"/>
              <w:jc w:val="center"/>
              <w:rPr>
                <w:rFonts w:ascii="Arial" w:hAnsi="Arial" w:cs="Arial"/>
                <w:color w:val="000000"/>
                <w:szCs w:val="18"/>
                <w:lang w:val="en-GB" w:eastAsia="en-GB"/>
              </w:rPr>
            </w:pPr>
            <w:r w:rsidRPr="001539A5">
              <w:rPr>
                <w:rFonts w:ascii="Arial" w:hAnsi="Arial" w:cs="Arial"/>
                <w:color w:val="000000"/>
                <w:szCs w:val="18"/>
                <w:lang w:val="en-GB" w:eastAsia="en-GB"/>
              </w:rPr>
              <w:t>73</w:t>
            </w:r>
          </w:p>
        </w:tc>
      </w:tr>
      <w:tr w:rsidRPr="001539A5" w:rsidR="00B52D66" w:rsidTr="00FC2172" w14:paraId="4F9235FC" w14:textId="77777777">
        <w:trPr>
          <w:trHeight w:val="340"/>
        </w:trPr>
        <w:tc>
          <w:tcPr>
            <w:tcW w:w="4536" w:type="dxa"/>
            <w:vMerge/>
            <w:tcBorders>
              <w:top w:val="nil"/>
              <w:left w:val="nil"/>
              <w:bottom w:val="single" w:color="000000" w:sz="4" w:space="0"/>
              <w:right w:val="nil"/>
            </w:tcBorders>
            <w:vAlign w:val="center"/>
            <w:hideMark/>
          </w:tcPr>
          <w:p w:rsidRPr="001539A5" w:rsidR="00B52D66" w:rsidP="00FC2172" w:rsidRDefault="00B52D66" w14:paraId="4BEF4D02" w14:textId="77777777">
            <w:pPr>
              <w:spacing w:line="240" w:lineRule="auto"/>
              <w:ind w:right="4"/>
              <w:rPr>
                <w:rFonts w:ascii="Arial" w:hAnsi="Arial" w:cs="Arial"/>
                <w:color w:val="000000"/>
                <w:szCs w:val="18"/>
                <w:lang w:val="en-GB" w:eastAsia="en-GB"/>
              </w:rPr>
            </w:pPr>
          </w:p>
        </w:tc>
        <w:tc>
          <w:tcPr>
            <w:tcW w:w="1843" w:type="dxa"/>
            <w:tcBorders>
              <w:top w:val="nil"/>
              <w:left w:val="nil"/>
              <w:bottom w:val="single" w:color="auto" w:sz="4" w:space="0"/>
              <w:right w:val="nil"/>
            </w:tcBorders>
            <w:noWrap/>
            <w:vAlign w:val="bottom"/>
            <w:hideMark/>
          </w:tcPr>
          <w:p w:rsidRPr="001539A5" w:rsidR="00B52D66" w:rsidP="00FC2172" w:rsidRDefault="00B52D66" w14:paraId="366A1A79" w14:textId="77777777">
            <w:pPr>
              <w:spacing w:line="240" w:lineRule="auto"/>
              <w:ind w:right="4"/>
              <w:rPr>
                <w:rFonts w:ascii="Arial" w:hAnsi="Arial" w:cs="Arial"/>
                <w:color w:val="000000"/>
                <w:szCs w:val="18"/>
                <w:lang w:val="en-GB" w:eastAsia="en-GB"/>
              </w:rPr>
            </w:pPr>
            <w:r w:rsidRPr="001539A5">
              <w:rPr>
                <w:rFonts w:ascii="Arial" w:hAnsi="Arial" w:cs="Arial"/>
                <w:color w:val="000000"/>
                <w:szCs w:val="18"/>
                <w:lang w:val="en-GB" w:eastAsia="en-GB"/>
              </w:rPr>
              <w:t>Niet-techniek</w:t>
            </w:r>
          </w:p>
        </w:tc>
        <w:tc>
          <w:tcPr>
            <w:tcW w:w="960" w:type="dxa"/>
            <w:tcBorders>
              <w:top w:val="nil"/>
              <w:left w:val="nil"/>
              <w:bottom w:val="single" w:color="auto" w:sz="4" w:space="0"/>
              <w:right w:val="nil"/>
            </w:tcBorders>
            <w:noWrap/>
            <w:hideMark/>
          </w:tcPr>
          <w:p w:rsidRPr="001539A5" w:rsidR="00B52D66" w:rsidP="00FC2172" w:rsidRDefault="00B52D66" w14:paraId="1F865825" w14:textId="77777777">
            <w:pPr>
              <w:spacing w:line="240" w:lineRule="auto"/>
              <w:ind w:right="4"/>
              <w:jc w:val="center"/>
              <w:rPr>
                <w:rFonts w:ascii="Arial" w:hAnsi="Arial" w:cs="Arial"/>
                <w:color w:val="000000"/>
                <w:szCs w:val="18"/>
                <w:lang w:val="en-GB" w:eastAsia="en-GB"/>
              </w:rPr>
            </w:pPr>
            <w:r w:rsidRPr="001539A5">
              <w:rPr>
                <w:rFonts w:ascii="Arial" w:hAnsi="Arial" w:cs="Arial"/>
                <w:color w:val="000000"/>
                <w:szCs w:val="18"/>
                <w:lang w:val="en-GB" w:eastAsia="en-GB"/>
              </w:rPr>
              <w:t>74</w:t>
            </w:r>
          </w:p>
        </w:tc>
        <w:tc>
          <w:tcPr>
            <w:tcW w:w="960" w:type="dxa"/>
            <w:tcBorders>
              <w:top w:val="nil"/>
              <w:left w:val="nil"/>
              <w:bottom w:val="single" w:color="auto" w:sz="4" w:space="0"/>
              <w:right w:val="nil"/>
            </w:tcBorders>
            <w:noWrap/>
            <w:hideMark/>
          </w:tcPr>
          <w:p w:rsidRPr="001539A5" w:rsidR="00B52D66" w:rsidP="00FC2172" w:rsidRDefault="00B52D66" w14:paraId="7FF04227" w14:textId="77777777">
            <w:pPr>
              <w:spacing w:line="240" w:lineRule="auto"/>
              <w:ind w:right="4"/>
              <w:jc w:val="center"/>
              <w:rPr>
                <w:rFonts w:ascii="Arial" w:hAnsi="Arial" w:cs="Arial"/>
                <w:color w:val="000000"/>
                <w:szCs w:val="18"/>
                <w:lang w:val="en-GB" w:eastAsia="en-GB"/>
              </w:rPr>
            </w:pPr>
            <w:r w:rsidRPr="001539A5">
              <w:rPr>
                <w:rFonts w:ascii="Arial" w:hAnsi="Arial" w:cs="Arial"/>
                <w:color w:val="000000"/>
                <w:szCs w:val="18"/>
                <w:lang w:val="en-GB" w:eastAsia="en-GB"/>
              </w:rPr>
              <w:t>69</w:t>
            </w:r>
          </w:p>
        </w:tc>
        <w:tc>
          <w:tcPr>
            <w:tcW w:w="960" w:type="dxa"/>
            <w:tcBorders>
              <w:top w:val="nil"/>
              <w:left w:val="nil"/>
              <w:bottom w:val="single" w:color="auto" w:sz="4" w:space="0"/>
              <w:right w:val="nil"/>
            </w:tcBorders>
            <w:noWrap/>
            <w:hideMark/>
          </w:tcPr>
          <w:p w:rsidRPr="001539A5" w:rsidR="00B52D66" w:rsidP="00FC2172" w:rsidRDefault="00B52D66" w14:paraId="3F26D3A5" w14:textId="77777777">
            <w:pPr>
              <w:spacing w:line="240" w:lineRule="auto"/>
              <w:ind w:right="4"/>
              <w:jc w:val="center"/>
              <w:rPr>
                <w:rFonts w:ascii="Arial" w:hAnsi="Arial" w:cs="Arial"/>
                <w:color w:val="000000"/>
                <w:szCs w:val="18"/>
                <w:lang w:val="en-GB" w:eastAsia="en-GB"/>
              </w:rPr>
            </w:pPr>
            <w:r w:rsidRPr="001539A5">
              <w:rPr>
                <w:rFonts w:ascii="Arial" w:hAnsi="Arial" w:cs="Arial"/>
                <w:color w:val="000000"/>
                <w:szCs w:val="18"/>
                <w:lang w:val="en-GB" w:eastAsia="en-GB"/>
              </w:rPr>
              <w:t>77</w:t>
            </w:r>
          </w:p>
        </w:tc>
      </w:tr>
    </w:tbl>
    <w:p w:rsidRPr="00215297" w:rsidR="00B52D66" w:rsidP="00B52D66" w:rsidRDefault="00B52D66" w14:paraId="372DE49B" w14:textId="77777777">
      <w:pPr>
        <w:ind w:right="4"/>
        <w:rPr>
          <w:iCs/>
          <w:sz w:val="16"/>
          <w:szCs w:val="16"/>
        </w:rPr>
      </w:pPr>
      <w:r w:rsidRPr="00215297">
        <w:rPr>
          <w:iCs/>
          <w:color w:val="000000" w:themeColor="text1"/>
          <w:sz w:val="16"/>
          <w:szCs w:val="16"/>
        </w:rPr>
        <w:t>Bron: Schoolverlatersonderzoek 2023 (CBS, ROA)</w:t>
      </w:r>
      <w:r w:rsidRPr="00215297">
        <w:rPr>
          <w:iCs/>
          <w:color w:val="000000" w:themeColor="text1"/>
          <w:sz w:val="16"/>
          <w:szCs w:val="16"/>
        </w:rPr>
        <w:br/>
      </w:r>
      <w:r w:rsidRPr="00215297">
        <w:rPr>
          <w:iCs/>
          <w:sz w:val="16"/>
          <w:szCs w:val="16"/>
        </w:rPr>
        <w:t>Noot: De resultaten zijn gebaseerd op antwoorden van respondenten die hun diploma behaald hebben in het schooljaar 2021/2022.</w:t>
      </w:r>
    </w:p>
    <w:p w:rsidRPr="00AD4BAD" w:rsidR="00B52D66" w:rsidP="00B52D66" w:rsidRDefault="00B52D66" w14:paraId="76A7E2E6" w14:textId="77777777">
      <w:pPr>
        <w:ind w:right="4"/>
        <w:rPr>
          <w:szCs w:val="18"/>
        </w:rPr>
      </w:pPr>
    </w:p>
    <w:p w:rsidR="00B52D66" w:rsidP="00B52D66" w:rsidRDefault="00B52D66" w14:paraId="21B89488" w14:textId="77777777">
      <w:pPr>
        <w:ind w:right="4"/>
        <w:rPr>
          <w:szCs w:val="18"/>
        </w:rPr>
      </w:pPr>
    </w:p>
    <w:p w:rsidRPr="00F75D9D" w:rsidR="00B52D66" w:rsidP="00B52D66" w:rsidRDefault="00B52D66" w14:paraId="4126EC5D" w14:textId="77777777">
      <w:pPr>
        <w:pStyle w:val="Kop3"/>
        <w:jc w:val="both"/>
      </w:pPr>
      <w:bookmarkStart w:name="_Toc203573643" w:id="196"/>
      <w:r w:rsidRPr="00A45539">
        <w:rPr>
          <w:szCs w:val="18"/>
        </w:rPr>
        <w:t>Samenvatting</w:t>
      </w:r>
      <w:bookmarkEnd w:id="196"/>
    </w:p>
    <w:p w:rsidRPr="00A45539" w:rsidR="00B52D66" w:rsidP="00B52D66" w:rsidRDefault="00B52D66" w14:paraId="0D468627" w14:textId="77777777">
      <w:pPr>
        <w:rPr>
          <w:szCs w:val="18"/>
        </w:rPr>
      </w:pPr>
    </w:p>
    <w:p w:rsidRPr="00CD7199" w:rsidR="00B52D66" w:rsidP="00B52D66" w:rsidRDefault="00B52D66" w14:paraId="65953BE4" w14:textId="77777777">
      <w:pPr>
        <w:ind w:right="4"/>
        <w:jc w:val="both"/>
      </w:pPr>
      <w:bookmarkStart w:name="_Hlk198136962" w:id="197"/>
      <w:r>
        <w:rPr>
          <w:szCs w:val="18"/>
        </w:rPr>
        <w:t>Volgens de meting 2023 is een ruime meerderheid van gediplomeerde techniek</w:t>
      </w:r>
      <w:r w:rsidRPr="00AD4BAD">
        <w:rPr>
          <w:szCs w:val="18"/>
        </w:rPr>
        <w:t xml:space="preserve">leerlingen </w:t>
      </w:r>
      <w:r>
        <w:rPr>
          <w:szCs w:val="18"/>
        </w:rPr>
        <w:t xml:space="preserve">van de bl en kl </w:t>
      </w:r>
      <w:r w:rsidRPr="00AD4BAD">
        <w:rPr>
          <w:szCs w:val="18"/>
        </w:rPr>
        <w:t>positiever over de aantrekkelijkheid</w:t>
      </w:r>
      <w:r>
        <w:rPr>
          <w:szCs w:val="18"/>
        </w:rPr>
        <w:t xml:space="preserve"> van de genoten vmbo-opleiding vergeleken met gediplomeerden van niet-technische profielen. Oud-leerlingen met een technisch vmbo-profiel beoordelen de </w:t>
      </w:r>
      <w:r w:rsidRPr="00AD4BAD">
        <w:rPr>
          <w:szCs w:val="18"/>
        </w:rPr>
        <w:t xml:space="preserve">actualiteit en uitdagendheid van de </w:t>
      </w:r>
      <w:r>
        <w:rPr>
          <w:szCs w:val="18"/>
        </w:rPr>
        <w:t xml:space="preserve">genoten </w:t>
      </w:r>
      <w:r w:rsidRPr="00AD4BAD">
        <w:rPr>
          <w:szCs w:val="18"/>
        </w:rPr>
        <w:t xml:space="preserve">opleiding </w:t>
      </w:r>
      <w:r>
        <w:rPr>
          <w:szCs w:val="18"/>
        </w:rPr>
        <w:t xml:space="preserve">doorgaans positiever </w:t>
      </w:r>
      <w:r w:rsidRPr="00AD4BAD">
        <w:rPr>
          <w:szCs w:val="18"/>
        </w:rPr>
        <w:t xml:space="preserve">ten opzichte </w:t>
      </w:r>
      <w:r>
        <w:rPr>
          <w:szCs w:val="18"/>
        </w:rPr>
        <w:t xml:space="preserve">van </w:t>
      </w:r>
      <w:r w:rsidRPr="00AD4BAD">
        <w:rPr>
          <w:szCs w:val="18"/>
        </w:rPr>
        <w:t xml:space="preserve">niet-technische </w:t>
      </w:r>
      <w:r>
        <w:rPr>
          <w:szCs w:val="18"/>
        </w:rPr>
        <w:t>profielen</w:t>
      </w:r>
      <w:r w:rsidRPr="00AD4BAD">
        <w:rPr>
          <w:szCs w:val="18"/>
        </w:rPr>
        <w:t xml:space="preserve"> in het beroepsgerichte vmbo</w:t>
      </w:r>
      <w:r>
        <w:rPr>
          <w:szCs w:val="18"/>
        </w:rPr>
        <w:t xml:space="preserve">. </w:t>
      </w:r>
      <w:bookmarkEnd w:id="197"/>
      <w:r w:rsidRPr="006537F4">
        <w:rPr>
          <w:szCs w:val="18"/>
        </w:rPr>
        <w:t>Gediplomeerden in techni</w:t>
      </w:r>
      <w:r>
        <w:rPr>
          <w:szCs w:val="18"/>
        </w:rPr>
        <w:t xml:space="preserve">sche </w:t>
      </w:r>
      <w:r w:rsidRPr="006537F4">
        <w:rPr>
          <w:szCs w:val="18"/>
        </w:rPr>
        <w:t xml:space="preserve">profielen </w:t>
      </w:r>
      <w:r>
        <w:rPr>
          <w:szCs w:val="18"/>
        </w:rPr>
        <w:t>geven</w:t>
      </w:r>
      <w:r w:rsidRPr="006537F4">
        <w:rPr>
          <w:szCs w:val="18"/>
        </w:rPr>
        <w:t xml:space="preserve"> </w:t>
      </w:r>
      <w:r>
        <w:rPr>
          <w:szCs w:val="18"/>
        </w:rPr>
        <w:t xml:space="preserve">ook </w:t>
      </w:r>
      <w:r w:rsidRPr="006537F4">
        <w:rPr>
          <w:szCs w:val="18"/>
        </w:rPr>
        <w:t xml:space="preserve">aan met hun opleiding een (heel) goede basis te hebben om vervolgonderwijs te kiezen en te volgen. </w:t>
      </w:r>
      <w:bookmarkStart w:name="_Hlk198132494" w:id="198"/>
      <w:r w:rsidRPr="006537F4">
        <w:rPr>
          <w:szCs w:val="18"/>
        </w:rPr>
        <w:t xml:space="preserve">Hierin </w:t>
      </w:r>
      <w:r>
        <w:rPr>
          <w:szCs w:val="18"/>
        </w:rPr>
        <w:t>zijn</w:t>
      </w:r>
      <w:r w:rsidRPr="006537F4">
        <w:rPr>
          <w:szCs w:val="18"/>
        </w:rPr>
        <w:t xml:space="preserve"> ze net iets positiever vergeleken met oud-vmbo leerlingen met een niet-technisch profiel ongeacht leerweg. </w:t>
      </w:r>
      <w:bookmarkStart w:name="_Hlk198136997" w:id="199"/>
      <w:r w:rsidRPr="006537F4">
        <w:rPr>
          <w:szCs w:val="18"/>
        </w:rPr>
        <w:t>Ten opzichte van de meting 202</w:t>
      </w:r>
      <w:r>
        <w:rPr>
          <w:szCs w:val="18"/>
        </w:rPr>
        <w:t>1</w:t>
      </w:r>
      <w:r w:rsidRPr="006537F4">
        <w:rPr>
          <w:szCs w:val="18"/>
        </w:rPr>
        <w:t xml:space="preserve"> zien we een minder positief beeld onder gediplomeerden van de gl met een technisch profiel</w:t>
      </w:r>
      <w:r>
        <w:rPr>
          <w:szCs w:val="18"/>
        </w:rPr>
        <w:t xml:space="preserve"> wat de aantrekkelijkheid van de opleiding en de voorbereiding op vervolgopleiding betreft</w:t>
      </w:r>
      <w:r w:rsidRPr="00DC404A">
        <w:rPr>
          <w:szCs w:val="18"/>
        </w:rPr>
        <w:t>.</w:t>
      </w:r>
      <w:r>
        <w:rPr>
          <w:szCs w:val="18"/>
        </w:rPr>
        <w:t xml:space="preserve"> Anderzijds zijn meer oud-leerlingen van de kl </w:t>
      </w:r>
      <w:r w:rsidRPr="006537F4">
        <w:rPr>
          <w:szCs w:val="18"/>
        </w:rPr>
        <w:t>met een technisch profiel</w:t>
      </w:r>
      <w:r>
        <w:rPr>
          <w:szCs w:val="18"/>
        </w:rPr>
        <w:t xml:space="preserve"> positiever in de beoordeling van de aantrekkelijkheid van hun opleiding.</w:t>
      </w:r>
      <w:bookmarkEnd w:id="198"/>
      <w:bookmarkEnd w:id="199"/>
    </w:p>
    <w:p w:rsidR="00B52D66" w:rsidP="00B52D66" w:rsidRDefault="00B52D66" w14:paraId="6AE90924" w14:textId="77777777">
      <w:pPr>
        <w:jc w:val="both"/>
        <w:rPr>
          <w:szCs w:val="18"/>
        </w:rPr>
      </w:pPr>
    </w:p>
    <w:p w:rsidRPr="00A45539" w:rsidR="00B52D66" w:rsidP="00B52D66" w:rsidRDefault="00B52D66" w14:paraId="0910A9E9" w14:textId="77777777">
      <w:pPr>
        <w:jc w:val="both"/>
        <w:rPr>
          <w:szCs w:val="18"/>
        </w:rPr>
      </w:pPr>
    </w:p>
    <w:p w:rsidRPr="00A45539" w:rsidR="00B52D66" w:rsidP="00B52D66" w:rsidRDefault="00B52D66" w14:paraId="5F52FE9F" w14:textId="77777777">
      <w:pPr>
        <w:pStyle w:val="Kop2"/>
        <w:jc w:val="both"/>
        <w:rPr>
          <w:szCs w:val="18"/>
        </w:rPr>
      </w:pPr>
      <w:bookmarkStart w:name="_Toc127528914" w:id="200"/>
      <w:bookmarkStart w:name="_Toc158042077" w:id="201"/>
      <w:bookmarkStart w:name="_Toc203573644" w:id="202"/>
      <w:r>
        <w:rPr>
          <w:szCs w:val="18"/>
        </w:rPr>
        <w:t>Overkoepelende samenvatting</w:t>
      </w:r>
      <w:bookmarkEnd w:id="200"/>
      <w:bookmarkEnd w:id="201"/>
      <w:bookmarkEnd w:id="202"/>
    </w:p>
    <w:p w:rsidRPr="00A45539" w:rsidR="00B52D66" w:rsidP="00B52D66" w:rsidRDefault="00B52D66" w14:paraId="0DFF15B2" w14:textId="77777777">
      <w:pPr>
        <w:jc w:val="both"/>
        <w:rPr>
          <w:szCs w:val="18"/>
        </w:rPr>
      </w:pPr>
    </w:p>
    <w:p w:rsidR="00B52D66" w:rsidP="00B52D66" w:rsidRDefault="00B52D66" w14:paraId="0DF011C7" w14:textId="77777777">
      <w:pPr>
        <w:jc w:val="both"/>
        <w:rPr>
          <w:szCs w:val="18"/>
        </w:rPr>
      </w:pPr>
      <w:r>
        <w:rPr>
          <w:szCs w:val="18"/>
        </w:rPr>
        <w:t>In dit hoofdstuk onderzochten we – gebaseerd op kwantitatieve gegevens ter beschikking gesteld door DUO – het aanbod, de dekking en bereikbaarheid van het technische onderwijsaanbod in de beroepsgerichte leerwegen van het vmbo en de doorstroom naar het vervolgonderwijs van leerlingen die voor één van de vijf technische profielen kozen. Naast de vijf technische profielen keken we ook naar technische keuzevakken die het aanbod van het vmbo-techniek-onderwijs verrijken en toegankelijk maken, ook voor vmbo-leerlingen die voor een niet-technisch profiel kozen. Deze laatste monitor-rapportage gaat met name over het schooljaar 2023/2024 voor leerlingen van het derde leerjaar en over het schooljaar 2022/2023 voor leerlingen van het vierde leerjaar. In deze overkoepelende samenvatting reflecteren we ook op de ontwikkeling sinds de start van het initiatief Sterk Techniek Onderwijs (STO).</w:t>
      </w:r>
    </w:p>
    <w:p w:rsidR="00B52D66" w:rsidP="00B52D66" w:rsidRDefault="00B52D66" w14:paraId="4DE6B70A" w14:textId="77777777">
      <w:pPr>
        <w:jc w:val="both"/>
        <w:rPr>
          <w:szCs w:val="18"/>
        </w:rPr>
      </w:pPr>
    </w:p>
    <w:p w:rsidR="00B52D66" w:rsidP="00B52D66" w:rsidRDefault="00B52D66" w14:paraId="2708D9DE" w14:textId="77777777">
      <w:pPr>
        <w:jc w:val="both"/>
        <w:rPr>
          <w:szCs w:val="18"/>
        </w:rPr>
      </w:pPr>
      <w:r>
        <w:rPr>
          <w:szCs w:val="18"/>
        </w:rPr>
        <w:t>We zien door de jaren heen een geleidelijke afname in het aantal derdejaars-techniekleerlingen</w:t>
      </w:r>
      <w:r w:rsidRPr="008D2F30">
        <w:rPr>
          <w:szCs w:val="18"/>
        </w:rPr>
        <w:t xml:space="preserve"> </w:t>
      </w:r>
      <w:r>
        <w:rPr>
          <w:szCs w:val="18"/>
        </w:rPr>
        <w:t xml:space="preserve">en tegelijkertijd zien we ook dat het aandeel technische ten opzichte van de niet-technische vmbo-leerlingen gestaag toeneemt (van 19 procent in 2018/2019 naar 20 procent in 2023/2024). De uitdagingen van het initiatief Sterk Techniekonderwijs liggen vooral op het vlak van de organiseerbaarheid, </w:t>
      </w:r>
      <w:r w:rsidRPr="00BE7BB8">
        <w:rPr>
          <w:szCs w:val="18"/>
        </w:rPr>
        <w:t>de omvang</w:t>
      </w:r>
      <w:r>
        <w:rPr>
          <w:szCs w:val="18"/>
        </w:rPr>
        <w:t>,</w:t>
      </w:r>
      <w:r w:rsidRPr="00BE7BB8">
        <w:rPr>
          <w:szCs w:val="18"/>
        </w:rPr>
        <w:t xml:space="preserve"> de </w:t>
      </w:r>
      <w:r>
        <w:rPr>
          <w:szCs w:val="18"/>
        </w:rPr>
        <w:t>dekking</w:t>
      </w:r>
      <w:r w:rsidRPr="00BE7BB8">
        <w:rPr>
          <w:szCs w:val="18"/>
        </w:rPr>
        <w:t xml:space="preserve"> </w:t>
      </w:r>
      <w:r>
        <w:rPr>
          <w:szCs w:val="18"/>
        </w:rPr>
        <w:t xml:space="preserve">en de bereikbaarheid </w:t>
      </w:r>
      <w:r w:rsidRPr="00BE7BB8">
        <w:rPr>
          <w:szCs w:val="18"/>
        </w:rPr>
        <w:t xml:space="preserve">van het </w:t>
      </w:r>
      <w:r>
        <w:rPr>
          <w:szCs w:val="18"/>
        </w:rPr>
        <w:t>techniek-</w:t>
      </w:r>
      <w:r w:rsidRPr="00BE7BB8">
        <w:rPr>
          <w:szCs w:val="18"/>
        </w:rPr>
        <w:t>onderwijsaanbod</w:t>
      </w:r>
      <w:r>
        <w:rPr>
          <w:szCs w:val="18"/>
        </w:rPr>
        <w:t xml:space="preserve"> in termen van reisafstand</w:t>
      </w:r>
      <w:r w:rsidRPr="00BE7BB8">
        <w:rPr>
          <w:szCs w:val="18"/>
        </w:rPr>
        <w:t>.</w:t>
      </w:r>
      <w:r w:rsidRPr="007E4C04">
        <w:rPr>
          <w:szCs w:val="18"/>
        </w:rPr>
        <w:t xml:space="preserve"> </w:t>
      </w:r>
      <w:r>
        <w:rPr>
          <w:szCs w:val="18"/>
        </w:rPr>
        <w:t xml:space="preserve">Deze onderdelen hebben we in jaarlijkse monitorrapportages structureel gemonitord. </w:t>
      </w:r>
    </w:p>
    <w:p w:rsidR="00B52D66" w:rsidP="00B52D66" w:rsidRDefault="00B52D66" w14:paraId="199AEE52" w14:textId="77777777">
      <w:pPr>
        <w:jc w:val="both"/>
        <w:rPr>
          <w:szCs w:val="18"/>
        </w:rPr>
      </w:pPr>
    </w:p>
    <w:p w:rsidR="00B52D66" w:rsidP="00B52D66" w:rsidRDefault="00B52D66" w14:paraId="67B57D01" w14:textId="77777777">
      <w:pPr>
        <w:jc w:val="both"/>
        <w:rPr>
          <w:szCs w:val="18"/>
        </w:rPr>
      </w:pPr>
      <w:r>
        <w:rPr>
          <w:szCs w:val="18"/>
        </w:rPr>
        <w:t xml:space="preserve">Gemiddeld volgt één op de vier vmbo-leerlingen een technisch profiel in de bl, kl of gl per STO-regio. Wel verschilt het aandeel techniekleerlingen sterk per STO-regio. Geanalyseerd naar leerlingenaantallen zijn er in het schooljaar </w:t>
      </w:r>
      <w:r>
        <w:rPr>
          <w:szCs w:val="18"/>
        </w:rPr>
        <w:lastRenderedPageBreak/>
        <w:t xml:space="preserve">2023/2024 6 regio’s met meer dan 300 (2018/2019: 7) en </w:t>
      </w:r>
      <w:r w:rsidRPr="00A45539">
        <w:rPr>
          <w:szCs w:val="18"/>
        </w:rPr>
        <w:t>1</w:t>
      </w:r>
      <w:r>
        <w:rPr>
          <w:szCs w:val="18"/>
        </w:rPr>
        <w:t>6</w:t>
      </w:r>
      <w:r w:rsidRPr="00A45539">
        <w:rPr>
          <w:szCs w:val="18"/>
        </w:rPr>
        <w:t xml:space="preserve"> </w:t>
      </w:r>
      <w:r>
        <w:rPr>
          <w:szCs w:val="18"/>
        </w:rPr>
        <w:t xml:space="preserve">(2018/2019: 20) </w:t>
      </w:r>
      <w:r w:rsidRPr="00A45539">
        <w:rPr>
          <w:szCs w:val="18"/>
        </w:rPr>
        <w:t>regio’s met minder dan 75 techniekleerlingen</w:t>
      </w:r>
      <w:r>
        <w:rPr>
          <w:szCs w:val="18"/>
        </w:rPr>
        <w:t xml:space="preserve"> in het derde leerjaar. Een analyse</w:t>
      </w:r>
      <w:r w:rsidRPr="00BE7BB8">
        <w:rPr>
          <w:szCs w:val="18"/>
        </w:rPr>
        <w:t xml:space="preserve"> naar groepsgrootte per vestiging </w:t>
      </w:r>
      <w:r>
        <w:rPr>
          <w:szCs w:val="18"/>
        </w:rPr>
        <w:t xml:space="preserve">laat </w:t>
      </w:r>
      <w:r w:rsidRPr="00BE7BB8">
        <w:rPr>
          <w:szCs w:val="18"/>
        </w:rPr>
        <w:t xml:space="preserve">zien dat de bl en in iets mindere mate de gl groepsgroottes van maximaal 10 leerlingen telt. De kl kent relatief vaker grotere groepen leerlingen per vestiging. </w:t>
      </w:r>
      <w:r>
        <w:rPr>
          <w:szCs w:val="18"/>
        </w:rPr>
        <w:t>Vergeleken met 2018/2019 zien we doorgaans een gemiddelde afname van hooguit 5 leerlingen. De grootste profielen PIE en BWI zijn ook vaker met meer dan één vestiging binnen een STO-regio vertegenwoordigd in de bl en kl. Het aandeel STO-regio’s met méér dan 1 vestiging daalt tussen 2018/2019 en 2023/2024 in het profiel PIE voor alle drie de leerwegen, en in het profiel BWI voor de kl en gl</w:t>
      </w:r>
      <w:r w:rsidRPr="008A30FF">
        <w:rPr>
          <w:szCs w:val="18"/>
        </w:rPr>
        <w:t>. Ook het aandeel vestigingen met minder dan 11 leerlingen neemt in deze periode af.</w:t>
      </w:r>
      <w:r>
        <w:rPr>
          <w:szCs w:val="18"/>
        </w:rPr>
        <w:t xml:space="preserve"> Daarentegen stijgt in het profiel BWI binnen de bl en in het profiel MVI binnen de gl het aandeel vestigingen per STO-regio enigszins, evenals het aandeel vestigingen met minder dan 11 leerlingen. </w:t>
      </w:r>
      <w:r w:rsidRPr="00BE7BB8">
        <w:rPr>
          <w:szCs w:val="18"/>
        </w:rPr>
        <w:t xml:space="preserve">Het kleinste profiel MaT is </w:t>
      </w:r>
      <w:r>
        <w:rPr>
          <w:szCs w:val="18"/>
        </w:rPr>
        <w:t xml:space="preserve">geconcentreerd op enkele vestigingen en kent grotere groepen leerlingen. </w:t>
      </w:r>
      <w:r w:rsidRPr="00BE7BB8">
        <w:rPr>
          <w:szCs w:val="18"/>
        </w:rPr>
        <w:t xml:space="preserve">Dat laat onverlet dat </w:t>
      </w:r>
      <w:r>
        <w:rPr>
          <w:szCs w:val="18"/>
        </w:rPr>
        <w:t xml:space="preserve">de organiseerbaarheid op </w:t>
      </w:r>
      <w:r w:rsidRPr="00BE7BB8">
        <w:rPr>
          <w:szCs w:val="18"/>
        </w:rPr>
        <w:t xml:space="preserve">scholen in de praktijk wellicht pragmatisch </w:t>
      </w:r>
      <w:r>
        <w:rPr>
          <w:szCs w:val="18"/>
        </w:rPr>
        <w:t>is</w:t>
      </w:r>
      <w:r w:rsidRPr="00BE7BB8">
        <w:rPr>
          <w:szCs w:val="18"/>
        </w:rPr>
        <w:t xml:space="preserve"> </w:t>
      </w:r>
      <w:r>
        <w:rPr>
          <w:szCs w:val="18"/>
        </w:rPr>
        <w:t xml:space="preserve">ingericht </w:t>
      </w:r>
      <w:r w:rsidRPr="00BE7BB8">
        <w:rPr>
          <w:szCs w:val="18"/>
        </w:rPr>
        <w:t xml:space="preserve">door bijvoorbeeld het combineren van leerwegen </w:t>
      </w:r>
      <w:r>
        <w:rPr>
          <w:szCs w:val="18"/>
        </w:rPr>
        <w:t>en/</w:t>
      </w:r>
      <w:r w:rsidRPr="00BE7BB8">
        <w:rPr>
          <w:szCs w:val="18"/>
        </w:rPr>
        <w:t xml:space="preserve">of klassen. </w:t>
      </w:r>
    </w:p>
    <w:p w:rsidR="00B52D66" w:rsidP="00B52D66" w:rsidRDefault="00B52D66" w14:paraId="38897890" w14:textId="77777777">
      <w:pPr>
        <w:jc w:val="both"/>
        <w:rPr>
          <w:szCs w:val="18"/>
        </w:rPr>
      </w:pPr>
    </w:p>
    <w:p w:rsidR="00B52D66" w:rsidP="00B52D66" w:rsidRDefault="00B52D66" w14:paraId="0CE3070E" w14:textId="77777777">
      <w:pPr>
        <w:ind w:left="567"/>
        <w:jc w:val="both"/>
        <w:rPr>
          <w:szCs w:val="18"/>
        </w:rPr>
      </w:pPr>
      <w:r>
        <w:rPr>
          <w:szCs w:val="18"/>
        </w:rPr>
        <w:t xml:space="preserve">Hoe </w:t>
      </w:r>
      <w:r w:rsidRPr="00A55317">
        <w:rPr>
          <w:b/>
          <w:bCs/>
          <w:szCs w:val="18"/>
        </w:rPr>
        <w:t>doelmatig</w:t>
      </w:r>
      <w:r>
        <w:rPr>
          <w:szCs w:val="18"/>
        </w:rPr>
        <w:t xml:space="preserve"> is het technisch onderwijsaanbod?</w:t>
      </w:r>
    </w:p>
    <w:p w:rsidR="00B52D66" w:rsidP="00426692" w:rsidRDefault="00B52D66" w14:paraId="7C925649" w14:textId="77777777">
      <w:pPr>
        <w:pStyle w:val="Lijstalinea"/>
        <w:numPr>
          <w:ilvl w:val="0"/>
          <w:numId w:val="48"/>
        </w:numPr>
        <w:ind w:left="851" w:hanging="284"/>
        <w:jc w:val="both"/>
        <w:rPr>
          <w:szCs w:val="18"/>
        </w:rPr>
      </w:pPr>
      <w:r w:rsidRPr="00A55317">
        <w:rPr>
          <w:b/>
          <w:bCs/>
          <w:szCs w:val="18"/>
        </w:rPr>
        <w:t>Klein aantal leerlingen.</w:t>
      </w:r>
      <w:r>
        <w:rPr>
          <w:szCs w:val="18"/>
        </w:rPr>
        <w:t xml:space="preserve"> Vergeleken met het eerste jaar van STO (2018/2019) zien we een verbetering in het aantal regio’s met minder dan 75 techniekleerlingen in het derde leerjaar. Geanalyseerd naar groepsgrootte en technisch profiel zien we doorgaans een afname van hooguit 5 in het gemiddeld aantal leerlingen. In de bl is de groepsgrootte in 2023/2024 het laagst met maximaal 10 derdejaarsleerlingen per vestiging. </w:t>
      </w:r>
    </w:p>
    <w:p w:rsidRPr="00EB60BA" w:rsidR="00B52D66" w:rsidP="00426692" w:rsidRDefault="00B52D66" w14:paraId="15052330" w14:textId="77777777">
      <w:pPr>
        <w:pStyle w:val="Lijstalinea"/>
        <w:numPr>
          <w:ilvl w:val="0"/>
          <w:numId w:val="48"/>
        </w:numPr>
        <w:ind w:left="851" w:hanging="284"/>
        <w:jc w:val="both"/>
        <w:rPr>
          <w:szCs w:val="18"/>
        </w:rPr>
      </w:pPr>
      <w:r>
        <w:rPr>
          <w:b/>
          <w:bCs/>
          <w:szCs w:val="18"/>
        </w:rPr>
        <w:t>Aandeel vestigingen voor BWI (bl) en MVI (gl) per STO-regio iets toegenomen.</w:t>
      </w:r>
      <w:r>
        <w:rPr>
          <w:szCs w:val="18"/>
        </w:rPr>
        <w:t xml:space="preserve"> In de bl wordt het profiel BWI en in de gl het profiel MVI vaker met meer dan één vestiging binnen een STO-regio aangeboden in het schooljaar 2023/2024 vergeleken met 2018/2019; tegelijkertijd stijgt ook het aandeel vestigingen met minder dan 11 leerlingen. In het profiel PIE in alle drie de leerwegen en in BWI in de kl en gl zien we juist een omkering: door de tijd heen daalt het aandeel STO-regio’s met méér dan één vestiging en zo ook het aandeel vestigingen met minder dan 11 leerlingen. MaT wordt geconcerteerd aangeboden en dan maar met één vestiging per regio.</w:t>
      </w:r>
    </w:p>
    <w:p w:rsidR="00B52D66" w:rsidP="00B52D66" w:rsidRDefault="00B52D66" w14:paraId="012394E0" w14:textId="77777777">
      <w:pPr>
        <w:jc w:val="both"/>
        <w:rPr>
          <w:szCs w:val="18"/>
        </w:rPr>
      </w:pPr>
    </w:p>
    <w:p w:rsidR="00B52D66" w:rsidP="00B52D66" w:rsidRDefault="00B52D66" w14:paraId="4D12FDD6" w14:textId="77777777">
      <w:pPr>
        <w:jc w:val="both"/>
        <w:rPr>
          <w:szCs w:val="18"/>
        </w:rPr>
      </w:pPr>
      <w:r>
        <w:rPr>
          <w:szCs w:val="18"/>
        </w:rPr>
        <w:t>De dekking en bereikbaarheid hebben we op verschillende manieren in kaart gebracht door te kijken naar het landelijke aanbod van techniekprofielen naar leerweg en in STO-regio’s, de hoeveelheid vestigingen die één of meer</w:t>
      </w:r>
      <w:r w:rsidRPr="00A45539">
        <w:rPr>
          <w:szCs w:val="18"/>
        </w:rPr>
        <w:t xml:space="preserve"> profielen</w:t>
      </w:r>
      <w:r>
        <w:rPr>
          <w:szCs w:val="18"/>
        </w:rPr>
        <w:t xml:space="preserve"> aanbieden en </w:t>
      </w:r>
      <w:r w:rsidRPr="00A45539">
        <w:rPr>
          <w:szCs w:val="18"/>
        </w:rPr>
        <w:t xml:space="preserve">de fysieke </w:t>
      </w:r>
      <w:r>
        <w:rPr>
          <w:szCs w:val="18"/>
        </w:rPr>
        <w:t>nabijheid van een vestiging met een techniekprofiel.</w:t>
      </w:r>
      <w:r w:rsidRPr="00A45539">
        <w:rPr>
          <w:szCs w:val="18"/>
        </w:rPr>
        <w:t xml:space="preserve"> </w:t>
      </w:r>
      <w:r>
        <w:rPr>
          <w:szCs w:val="18"/>
        </w:rPr>
        <w:t>Het aantal vestigingen naar technisch profiel is iets gewijzigd door de jaren heen met name op het niveau van aangeboden profiel. Vergeleken met</w:t>
      </w:r>
      <w:r w:rsidRPr="00C47B09">
        <w:rPr>
          <w:szCs w:val="18"/>
        </w:rPr>
        <w:t xml:space="preserve"> schooljaar 2018/2019 zien we </w:t>
      </w:r>
      <w:r>
        <w:rPr>
          <w:szCs w:val="18"/>
        </w:rPr>
        <w:t xml:space="preserve">in het schooljaar 2023/2024 </w:t>
      </w:r>
      <w:r w:rsidRPr="00C47B09">
        <w:rPr>
          <w:szCs w:val="18"/>
        </w:rPr>
        <w:t xml:space="preserve">een stijging </w:t>
      </w:r>
      <w:r>
        <w:rPr>
          <w:szCs w:val="18"/>
        </w:rPr>
        <w:t>in het aantal</w:t>
      </w:r>
      <w:r w:rsidRPr="00C47B09">
        <w:rPr>
          <w:szCs w:val="18"/>
        </w:rPr>
        <w:t xml:space="preserve"> vestigingen in het profiel BWI en MVI en een afname in M&amp;T. </w:t>
      </w:r>
      <w:r>
        <w:rPr>
          <w:szCs w:val="18"/>
        </w:rPr>
        <w:t xml:space="preserve">Per STO-regio verschilt de keuze van aangeboden technische profielen. </w:t>
      </w:r>
      <w:bookmarkStart w:name="_Hlk198131404" w:id="203"/>
      <w:r>
        <w:rPr>
          <w:szCs w:val="18"/>
        </w:rPr>
        <w:t xml:space="preserve">Voor bl- en kl-leerlingen zijn techniekprofielen het meest bereikbaar en worden ook op meerdere vestigingen in een STO-regio aangeboden: Iets </w:t>
      </w:r>
      <w:r w:rsidRPr="00A45539">
        <w:rPr>
          <w:szCs w:val="18"/>
        </w:rPr>
        <w:t>minder dan de helft van de STO-regio’s</w:t>
      </w:r>
      <w:r>
        <w:rPr>
          <w:szCs w:val="18"/>
        </w:rPr>
        <w:t xml:space="preserve"> biedt</w:t>
      </w:r>
      <w:r w:rsidRPr="00A45539">
        <w:rPr>
          <w:szCs w:val="18"/>
        </w:rPr>
        <w:t xml:space="preserve"> drie van de vijf </w:t>
      </w:r>
      <w:r>
        <w:rPr>
          <w:szCs w:val="18"/>
        </w:rPr>
        <w:t xml:space="preserve">technische </w:t>
      </w:r>
      <w:r w:rsidRPr="00A45539">
        <w:rPr>
          <w:szCs w:val="18"/>
        </w:rPr>
        <w:t>profielen aan</w:t>
      </w:r>
      <w:r>
        <w:rPr>
          <w:szCs w:val="18"/>
        </w:rPr>
        <w:t xml:space="preserve"> en ongeveer </w:t>
      </w:r>
      <w:r w:rsidRPr="00A45539">
        <w:rPr>
          <w:szCs w:val="18"/>
        </w:rPr>
        <w:t>een kwart van de regio</w:t>
      </w:r>
      <w:r>
        <w:rPr>
          <w:szCs w:val="18"/>
        </w:rPr>
        <w:t>’</w:t>
      </w:r>
      <w:r w:rsidRPr="00A45539">
        <w:rPr>
          <w:szCs w:val="18"/>
        </w:rPr>
        <w:t>s vier</w:t>
      </w:r>
      <w:r>
        <w:rPr>
          <w:szCs w:val="18"/>
        </w:rPr>
        <w:t xml:space="preserve"> van de vijf (in het schooljaar 2023/2024)</w:t>
      </w:r>
      <w:r w:rsidRPr="00A45539">
        <w:rPr>
          <w:szCs w:val="18"/>
        </w:rPr>
        <w:t>.</w:t>
      </w:r>
      <w:r>
        <w:rPr>
          <w:szCs w:val="18"/>
        </w:rPr>
        <w:t xml:space="preserve"> De hoogste bereikbaarheid </w:t>
      </w:r>
      <w:r w:rsidRPr="00A45539">
        <w:rPr>
          <w:szCs w:val="18"/>
        </w:rPr>
        <w:t>binnen een straal van 10 km</w:t>
      </w:r>
      <w:r>
        <w:rPr>
          <w:szCs w:val="18"/>
        </w:rPr>
        <w:t xml:space="preserve"> observeren we in de profielen PIE en BWI. Voor gl-leerlingen is het </w:t>
      </w:r>
      <w:r w:rsidRPr="00A45539">
        <w:rPr>
          <w:szCs w:val="18"/>
        </w:rPr>
        <w:t xml:space="preserve">niet vanzelfsprekend dat zij </w:t>
      </w:r>
      <w:r>
        <w:rPr>
          <w:szCs w:val="18"/>
        </w:rPr>
        <w:t xml:space="preserve">technische </w:t>
      </w:r>
      <w:r w:rsidRPr="00A45539">
        <w:rPr>
          <w:szCs w:val="18"/>
        </w:rPr>
        <w:t>profielen in hun eigen STO-regio kunnen volgen</w:t>
      </w:r>
      <w:r>
        <w:rPr>
          <w:szCs w:val="18"/>
        </w:rPr>
        <w:t>, ook al zien we dat het aandeel tussen 2019/2020 en 2023/2024 in de profielen BWI, MVI en PIE is gestegen.</w:t>
      </w:r>
      <w:bookmarkEnd w:id="203"/>
    </w:p>
    <w:p w:rsidR="00B52D66" w:rsidP="00B52D66" w:rsidRDefault="00B52D66" w14:paraId="6CA0D7E0" w14:textId="77777777">
      <w:pPr>
        <w:jc w:val="both"/>
        <w:rPr>
          <w:szCs w:val="18"/>
        </w:rPr>
      </w:pPr>
    </w:p>
    <w:p w:rsidR="00B52D66" w:rsidP="00B52D66" w:rsidRDefault="00B52D66" w14:paraId="7186AF92" w14:textId="77777777">
      <w:pPr>
        <w:ind w:left="567"/>
        <w:jc w:val="both"/>
        <w:rPr>
          <w:szCs w:val="18"/>
        </w:rPr>
      </w:pPr>
      <w:r>
        <w:rPr>
          <w:szCs w:val="18"/>
        </w:rPr>
        <w:t xml:space="preserve">Hoe </w:t>
      </w:r>
      <w:r w:rsidRPr="00A55317">
        <w:rPr>
          <w:b/>
          <w:bCs/>
          <w:szCs w:val="18"/>
        </w:rPr>
        <w:t>dekkend</w:t>
      </w:r>
      <w:r>
        <w:rPr>
          <w:szCs w:val="18"/>
        </w:rPr>
        <w:t xml:space="preserve"> is het technisch onderwijsaanbod?</w:t>
      </w:r>
    </w:p>
    <w:p w:rsidR="00B52D66" w:rsidP="00426692" w:rsidRDefault="00B52D66" w14:paraId="570A7657" w14:textId="77777777">
      <w:pPr>
        <w:pStyle w:val="Lijstalinea"/>
        <w:numPr>
          <w:ilvl w:val="0"/>
          <w:numId w:val="49"/>
        </w:numPr>
        <w:ind w:left="851" w:hanging="284"/>
        <w:jc w:val="both"/>
        <w:rPr>
          <w:szCs w:val="18"/>
        </w:rPr>
      </w:pPr>
      <w:r w:rsidRPr="00A55317">
        <w:rPr>
          <w:b/>
          <w:bCs/>
          <w:szCs w:val="18"/>
        </w:rPr>
        <w:t>Aantal vestigingen per technisch profiel wijzigen iets door de jaren heen.</w:t>
      </w:r>
      <w:r w:rsidRPr="0016593D">
        <w:rPr>
          <w:szCs w:val="18"/>
        </w:rPr>
        <w:t xml:space="preserve"> Vergeleken met het schooljaar 2018/2019 </w:t>
      </w:r>
      <w:r>
        <w:rPr>
          <w:szCs w:val="18"/>
        </w:rPr>
        <w:t>stijgt</w:t>
      </w:r>
      <w:r w:rsidRPr="0016593D">
        <w:rPr>
          <w:szCs w:val="18"/>
        </w:rPr>
        <w:t xml:space="preserve"> het aantal vestigingen in het profiel BWI en MVI en </w:t>
      </w:r>
      <w:r>
        <w:rPr>
          <w:szCs w:val="18"/>
        </w:rPr>
        <w:t>neemt het af</w:t>
      </w:r>
      <w:r w:rsidRPr="0016593D">
        <w:rPr>
          <w:szCs w:val="18"/>
        </w:rPr>
        <w:t xml:space="preserve"> in</w:t>
      </w:r>
      <w:r>
        <w:rPr>
          <w:szCs w:val="18"/>
        </w:rPr>
        <w:t xml:space="preserve"> het profiel</w:t>
      </w:r>
      <w:r w:rsidRPr="0016593D">
        <w:rPr>
          <w:szCs w:val="18"/>
        </w:rPr>
        <w:t xml:space="preserve"> M&amp;T. </w:t>
      </w:r>
    </w:p>
    <w:p w:rsidRPr="0016593D" w:rsidR="00B52D66" w:rsidP="00426692" w:rsidRDefault="00B52D66" w14:paraId="476ABCA6" w14:textId="77777777">
      <w:pPr>
        <w:pStyle w:val="Lijstalinea"/>
        <w:numPr>
          <w:ilvl w:val="0"/>
          <w:numId w:val="49"/>
        </w:numPr>
        <w:ind w:left="851" w:hanging="284"/>
        <w:jc w:val="both"/>
        <w:rPr>
          <w:szCs w:val="18"/>
        </w:rPr>
      </w:pPr>
      <w:r w:rsidRPr="00A55317">
        <w:rPr>
          <w:b/>
          <w:bCs/>
          <w:szCs w:val="18"/>
        </w:rPr>
        <w:t>Bereikbaarheid technische profielen voor gl-leerlingen toegenomen.</w:t>
      </w:r>
      <w:r>
        <w:rPr>
          <w:szCs w:val="18"/>
        </w:rPr>
        <w:t xml:space="preserve"> Onveranderd bleef de relatief hoge bereikbaarheid binnen een straal van 10 km voor de bl- en kl-leerlingen, met name voor de profielen PIE en BWI. Voor gl-leerlingen is de bereikbaarheid binnen een straal van 10 km iets verbeterd voor de profielen BWI, MVI en PIE.</w:t>
      </w:r>
    </w:p>
    <w:p w:rsidRPr="00BE7BB8" w:rsidR="00B52D66" w:rsidP="00B52D66" w:rsidRDefault="00B52D66" w14:paraId="64D40C5C" w14:textId="77777777">
      <w:pPr>
        <w:jc w:val="both"/>
        <w:rPr>
          <w:szCs w:val="18"/>
        </w:rPr>
      </w:pPr>
    </w:p>
    <w:p w:rsidR="00B52D66" w:rsidP="00B52D66" w:rsidRDefault="00B52D66" w14:paraId="35EB2061" w14:textId="77777777">
      <w:pPr>
        <w:jc w:val="both"/>
        <w:rPr>
          <w:szCs w:val="18"/>
        </w:rPr>
      </w:pPr>
      <w:r>
        <w:rPr>
          <w:szCs w:val="18"/>
        </w:rPr>
        <w:t xml:space="preserve">In het vmbo worden er ook tal van keuzevakken (en profielmodules als keuzevakken) aangeboden waaruit zowel leerlingen met een technisch als ook met een niet-technisch profiel kunnen kiezen om zich verder te verdiepen of </w:t>
      </w:r>
      <w:r>
        <w:rPr>
          <w:szCs w:val="18"/>
        </w:rPr>
        <w:lastRenderedPageBreak/>
        <w:t xml:space="preserve">juist te verbreden (afhankelijk van hoe de school dat aanbiedt). </w:t>
      </w:r>
      <w:r w:rsidRPr="00BE7BB8">
        <w:rPr>
          <w:szCs w:val="18"/>
        </w:rPr>
        <w:t xml:space="preserve">Uit analyse van </w:t>
      </w:r>
      <w:r>
        <w:rPr>
          <w:szCs w:val="18"/>
        </w:rPr>
        <w:t xml:space="preserve">het aantal afgelegde examens in beroepsgerichte </w:t>
      </w:r>
      <w:r w:rsidRPr="00BE7BB8">
        <w:rPr>
          <w:szCs w:val="18"/>
        </w:rPr>
        <w:t xml:space="preserve">keuzevakken </w:t>
      </w:r>
      <w:r>
        <w:rPr>
          <w:szCs w:val="18"/>
        </w:rPr>
        <w:t xml:space="preserve">en profielmodules </w:t>
      </w:r>
      <w:r w:rsidRPr="00BE7BB8">
        <w:rPr>
          <w:szCs w:val="18"/>
        </w:rPr>
        <w:t>blijkt dat leerlingen van techniekprofielen ook in het schooljaar 202</w:t>
      </w:r>
      <w:r>
        <w:rPr>
          <w:szCs w:val="18"/>
        </w:rPr>
        <w:t>2</w:t>
      </w:r>
      <w:r w:rsidRPr="00BE7BB8">
        <w:rPr>
          <w:szCs w:val="18"/>
        </w:rPr>
        <w:t>/202</w:t>
      </w:r>
      <w:r>
        <w:rPr>
          <w:szCs w:val="18"/>
        </w:rPr>
        <w:t>3</w:t>
      </w:r>
      <w:r w:rsidRPr="00BE7BB8">
        <w:rPr>
          <w:szCs w:val="18"/>
        </w:rPr>
        <w:t xml:space="preserve"> meestal </w:t>
      </w:r>
      <w:r>
        <w:rPr>
          <w:szCs w:val="18"/>
        </w:rPr>
        <w:t xml:space="preserve">examens in </w:t>
      </w:r>
      <w:r w:rsidRPr="00BE7BB8">
        <w:rPr>
          <w:szCs w:val="18"/>
        </w:rPr>
        <w:t xml:space="preserve">keuzevakken </w:t>
      </w:r>
      <w:r>
        <w:rPr>
          <w:szCs w:val="18"/>
        </w:rPr>
        <w:t>en profielmodules afleggen</w:t>
      </w:r>
      <w:r w:rsidRPr="00BE7BB8">
        <w:rPr>
          <w:szCs w:val="18"/>
        </w:rPr>
        <w:t xml:space="preserve"> </w:t>
      </w:r>
      <w:r>
        <w:rPr>
          <w:szCs w:val="18"/>
        </w:rPr>
        <w:t>binnen</w:t>
      </w:r>
      <w:r w:rsidRPr="00BE7BB8">
        <w:rPr>
          <w:szCs w:val="18"/>
        </w:rPr>
        <w:t xml:space="preserve"> hun eigen profiel ofwel in een ander </w:t>
      </w:r>
      <w:r>
        <w:rPr>
          <w:szCs w:val="18"/>
        </w:rPr>
        <w:t>techniek</w:t>
      </w:r>
      <w:r w:rsidRPr="00BE7BB8">
        <w:rPr>
          <w:szCs w:val="18"/>
        </w:rPr>
        <w:t xml:space="preserve">profiel. </w:t>
      </w:r>
      <w:r>
        <w:rPr>
          <w:iCs/>
          <w:szCs w:val="18"/>
        </w:rPr>
        <w:t xml:space="preserve">In het meest homogene profiel MaT steeg het aandeel examens afgelegd door techniekleerlingen verder. </w:t>
      </w:r>
      <w:r w:rsidRPr="00BE7BB8">
        <w:rPr>
          <w:szCs w:val="18"/>
        </w:rPr>
        <w:t>Leerlingen van niet-technische profielen blijven merendeels bij niet-technische keuzevakken</w:t>
      </w:r>
      <w:r>
        <w:rPr>
          <w:szCs w:val="18"/>
        </w:rPr>
        <w:t xml:space="preserve"> en profielmodules</w:t>
      </w:r>
      <w:r w:rsidRPr="00BE7BB8">
        <w:rPr>
          <w:szCs w:val="18"/>
        </w:rPr>
        <w:t xml:space="preserve">. </w:t>
      </w:r>
      <w:r>
        <w:rPr>
          <w:szCs w:val="18"/>
        </w:rPr>
        <w:t>Wel is het zo dat het aandeel examens afgelegd door niet-techniekleerlingen in keuzevakken aangeboden door technische profielen gestaag stijgt van 28 procent in het schooljaar 2019/2020 naar 31 procent in 2022/2023 en dan met name in de profielen PIE en MVI. Vergelijkbaar met eerdere schooljaren, vindt i</w:t>
      </w:r>
      <w:r w:rsidRPr="00BE7BB8">
        <w:rPr>
          <w:szCs w:val="18"/>
        </w:rPr>
        <w:t xml:space="preserve">n </w:t>
      </w:r>
      <w:r>
        <w:rPr>
          <w:szCs w:val="18"/>
        </w:rPr>
        <w:t>het schooljaar 2022/2023</w:t>
      </w:r>
      <w:r w:rsidRPr="00BE7BB8">
        <w:rPr>
          <w:szCs w:val="18"/>
        </w:rPr>
        <w:t xml:space="preserve"> de meeste “uitwisseling” tussen techniek en niet-techniek plaats in de profielen </w:t>
      </w:r>
      <w:r>
        <w:rPr>
          <w:szCs w:val="18"/>
        </w:rPr>
        <w:t>MVI</w:t>
      </w:r>
      <w:r w:rsidRPr="00BE7BB8">
        <w:rPr>
          <w:szCs w:val="18"/>
        </w:rPr>
        <w:t xml:space="preserve"> en D&amp;P. </w:t>
      </w:r>
      <w:r>
        <w:rPr>
          <w:szCs w:val="18"/>
        </w:rPr>
        <w:t>Wij merken hierbij op dat d</w:t>
      </w:r>
      <w:r w:rsidRPr="00BE7BB8">
        <w:rPr>
          <w:szCs w:val="18"/>
        </w:rPr>
        <w:t xml:space="preserve">eze keuzes ook afhankelijk zijn van de keuze die leerlingen </w:t>
      </w:r>
      <w:r>
        <w:rPr>
          <w:szCs w:val="18"/>
        </w:rPr>
        <w:t xml:space="preserve">aangeboden krijgen. </w:t>
      </w:r>
    </w:p>
    <w:p w:rsidR="00B52D66" w:rsidP="00B52D66" w:rsidRDefault="00B52D66" w14:paraId="184605DA" w14:textId="77777777">
      <w:pPr>
        <w:jc w:val="both"/>
        <w:rPr>
          <w:szCs w:val="18"/>
        </w:rPr>
      </w:pPr>
    </w:p>
    <w:p w:rsidR="00B52D66" w:rsidP="00B52D66" w:rsidRDefault="00B52D66" w14:paraId="515B4327" w14:textId="77777777">
      <w:pPr>
        <w:ind w:left="567"/>
        <w:jc w:val="both"/>
        <w:rPr>
          <w:szCs w:val="18"/>
        </w:rPr>
      </w:pPr>
      <w:r>
        <w:rPr>
          <w:szCs w:val="18"/>
        </w:rPr>
        <w:t xml:space="preserve">Hoe </w:t>
      </w:r>
      <w:r>
        <w:rPr>
          <w:b/>
          <w:bCs/>
          <w:szCs w:val="18"/>
        </w:rPr>
        <w:t>flexibel</w:t>
      </w:r>
      <w:r>
        <w:rPr>
          <w:szCs w:val="18"/>
        </w:rPr>
        <w:t xml:space="preserve"> is het technisch onderwijsaanbod gemeten aan de hand van beroepsgerichte keuzevakken?</w:t>
      </w:r>
    </w:p>
    <w:p w:rsidRPr="00A55317" w:rsidR="00B52D66" w:rsidP="00426692" w:rsidRDefault="00B52D66" w14:paraId="352C0988" w14:textId="77777777">
      <w:pPr>
        <w:pStyle w:val="Lijstalinea"/>
        <w:numPr>
          <w:ilvl w:val="0"/>
          <w:numId w:val="50"/>
        </w:numPr>
        <w:ind w:left="851" w:hanging="284"/>
        <w:jc w:val="both"/>
        <w:rPr>
          <w:szCs w:val="18"/>
        </w:rPr>
      </w:pPr>
      <w:r>
        <w:rPr>
          <w:b/>
          <w:bCs/>
          <w:szCs w:val="18"/>
        </w:rPr>
        <w:t>Aanbod aan</w:t>
      </w:r>
      <w:r w:rsidRPr="00A55317">
        <w:rPr>
          <w:b/>
          <w:bCs/>
          <w:szCs w:val="18"/>
        </w:rPr>
        <w:t xml:space="preserve"> keuzevakken toegenomen.</w:t>
      </w:r>
      <w:r>
        <w:rPr>
          <w:szCs w:val="18"/>
        </w:rPr>
        <w:t xml:space="preserve"> Het aantal keuzevakken in de technische profielen – waarin ook daadwerkelijk examens werden geregistreerd - is met vijf toegenomen tussen 2019/2020 en 2022/2023.</w:t>
      </w:r>
    </w:p>
    <w:p w:rsidRPr="00AE61F8" w:rsidR="00B52D66" w:rsidP="00426692" w:rsidRDefault="00B52D66" w14:paraId="7576827D" w14:textId="77777777">
      <w:pPr>
        <w:pStyle w:val="Lijstalinea"/>
        <w:numPr>
          <w:ilvl w:val="0"/>
          <w:numId w:val="50"/>
        </w:numPr>
        <w:ind w:left="851" w:hanging="284"/>
        <w:jc w:val="both"/>
        <w:rPr>
          <w:szCs w:val="18"/>
        </w:rPr>
      </w:pPr>
      <w:r>
        <w:rPr>
          <w:b/>
          <w:bCs/>
          <w:szCs w:val="18"/>
        </w:rPr>
        <w:t>M</w:t>
      </w:r>
      <w:r w:rsidRPr="002B0BEA">
        <w:rPr>
          <w:b/>
          <w:bCs/>
          <w:szCs w:val="18"/>
        </w:rPr>
        <w:t>eer niet-techniekleerlingen leggen examens af in technische keuzevakken.</w:t>
      </w:r>
      <w:r w:rsidRPr="00AE61F8">
        <w:rPr>
          <w:szCs w:val="18"/>
        </w:rPr>
        <w:t xml:space="preserve"> </w:t>
      </w:r>
      <w:r w:rsidRPr="00AE61F8">
        <w:rPr>
          <w:iCs/>
          <w:szCs w:val="18"/>
        </w:rPr>
        <w:t xml:space="preserve">In de profielen MVI en PIE nam het aandeel examens afgelegd door niet-techniekleerlingen met 3 procentpunten toe in het schooljaar 2022/2023 ten opzichte van 2019/2020. </w:t>
      </w:r>
    </w:p>
    <w:p w:rsidR="00B52D66" w:rsidP="00426692" w:rsidRDefault="00B52D66" w14:paraId="5E78FEAD" w14:textId="77777777">
      <w:pPr>
        <w:pStyle w:val="Lijstalinea"/>
        <w:numPr>
          <w:ilvl w:val="0"/>
          <w:numId w:val="50"/>
        </w:numPr>
        <w:ind w:left="851" w:hanging="284"/>
        <w:jc w:val="both"/>
        <w:rPr>
          <w:szCs w:val="18"/>
        </w:rPr>
      </w:pPr>
      <w:r w:rsidRPr="00A55317">
        <w:rPr>
          <w:b/>
          <w:bCs/>
          <w:szCs w:val="18"/>
        </w:rPr>
        <w:t xml:space="preserve">Geen </w:t>
      </w:r>
      <w:r>
        <w:rPr>
          <w:b/>
          <w:bCs/>
          <w:szCs w:val="18"/>
        </w:rPr>
        <w:t xml:space="preserve">noemenswaardige </w:t>
      </w:r>
      <w:r w:rsidRPr="00A55317">
        <w:rPr>
          <w:b/>
          <w:bCs/>
          <w:szCs w:val="18"/>
        </w:rPr>
        <w:t xml:space="preserve">verandering in voorkeur </w:t>
      </w:r>
      <w:r>
        <w:rPr>
          <w:b/>
          <w:bCs/>
          <w:szCs w:val="18"/>
        </w:rPr>
        <w:t xml:space="preserve">technische keuzevakken </w:t>
      </w:r>
      <w:r w:rsidRPr="00A55317">
        <w:rPr>
          <w:b/>
          <w:bCs/>
          <w:szCs w:val="18"/>
        </w:rPr>
        <w:t>van techniekleerlingen.</w:t>
      </w:r>
      <w:r>
        <w:rPr>
          <w:szCs w:val="18"/>
        </w:rPr>
        <w:t xml:space="preserve"> Leerlingen met een technisch profiel leggen meestal examens af in beroepsgerichte keuzevakken aangeboden door het eigen profiel of in een ander technisch profiel. Leerlingen van MaT doen dit versterkt in het eigen profiel.</w:t>
      </w:r>
    </w:p>
    <w:p w:rsidR="00B52D66" w:rsidP="00B52D66" w:rsidRDefault="00B52D66" w14:paraId="62CF2A0F" w14:textId="77777777">
      <w:pPr>
        <w:jc w:val="both"/>
        <w:rPr>
          <w:szCs w:val="18"/>
        </w:rPr>
      </w:pPr>
    </w:p>
    <w:p w:rsidRPr="00A45539" w:rsidR="00B52D66" w:rsidP="00B52D66" w:rsidRDefault="00B52D66" w14:paraId="408D5AEA" w14:textId="77777777">
      <w:pPr>
        <w:jc w:val="both"/>
        <w:rPr>
          <w:szCs w:val="18"/>
        </w:rPr>
      </w:pPr>
      <w:bookmarkStart w:name="_Hlk198134540" w:id="204"/>
      <w:r>
        <w:rPr>
          <w:szCs w:val="18"/>
        </w:rPr>
        <w:t xml:space="preserve">Voor vmbo-leerlingen wordt een </w:t>
      </w:r>
      <w:r w:rsidRPr="00BE7BB8">
        <w:rPr>
          <w:szCs w:val="18"/>
        </w:rPr>
        <w:t xml:space="preserve">vervolgopleiding </w:t>
      </w:r>
      <w:r>
        <w:rPr>
          <w:szCs w:val="18"/>
        </w:rPr>
        <w:t>in het mbo het meest gekozen en ongeveer zes tot zeven van de tien</w:t>
      </w:r>
      <w:r w:rsidRPr="00BE7BB8">
        <w:rPr>
          <w:szCs w:val="18"/>
        </w:rPr>
        <w:t xml:space="preserve"> </w:t>
      </w:r>
      <w:r>
        <w:rPr>
          <w:szCs w:val="18"/>
        </w:rPr>
        <w:t>vmbo</w:t>
      </w:r>
      <w:r w:rsidRPr="00BE7BB8">
        <w:rPr>
          <w:szCs w:val="18"/>
        </w:rPr>
        <w:t xml:space="preserve">-gediplomeerden </w:t>
      </w:r>
      <w:r>
        <w:rPr>
          <w:szCs w:val="18"/>
        </w:rPr>
        <w:t xml:space="preserve">in een techniekprofiel kiezen ook </w:t>
      </w:r>
      <w:r w:rsidRPr="00BE7BB8">
        <w:rPr>
          <w:szCs w:val="18"/>
        </w:rPr>
        <w:t xml:space="preserve">voor een mbo-vervolgopleiding in de sectorkamer </w:t>
      </w:r>
      <w:bookmarkStart w:name="_Hlk198132074" w:id="205"/>
      <w:r w:rsidRPr="00BE7BB8">
        <w:rPr>
          <w:szCs w:val="18"/>
        </w:rPr>
        <w:t xml:space="preserve">Techniek en Gebouwde Omgeving </w:t>
      </w:r>
      <w:r>
        <w:rPr>
          <w:szCs w:val="18"/>
        </w:rPr>
        <w:t>of</w:t>
      </w:r>
      <w:r w:rsidRPr="00BE7BB8">
        <w:rPr>
          <w:szCs w:val="18"/>
        </w:rPr>
        <w:t xml:space="preserve"> Mobiliteit, transport, logistiek en maritiem. Het profiel </w:t>
      </w:r>
      <w:r>
        <w:rPr>
          <w:szCs w:val="18"/>
        </w:rPr>
        <w:t>MVI</w:t>
      </w:r>
      <w:r w:rsidRPr="00BE7BB8">
        <w:rPr>
          <w:szCs w:val="18"/>
        </w:rPr>
        <w:t xml:space="preserve"> is hierop de uitzondering: leerlingen uit dit profiel kiezen vooral voor een mbo-vervolgopleiding binnen de sectorkamer Creative Industrie en ICT.</w:t>
      </w:r>
      <w:r>
        <w:rPr>
          <w:szCs w:val="18"/>
        </w:rPr>
        <w:t xml:space="preserve"> Ook vmbo-leerlingen in niet-technische profielen kiezen voor een mbo-vervolgopleiding in een van de twee technische sectorkamers, met name </w:t>
      </w:r>
      <w:r w:rsidRPr="00A45539">
        <w:rPr>
          <w:szCs w:val="18"/>
        </w:rPr>
        <w:t>vanuit de profielen D&amp;P en Groen</w:t>
      </w:r>
      <w:r>
        <w:rPr>
          <w:szCs w:val="18"/>
        </w:rPr>
        <w:t>. Als we de doorstroom naar het mbo middels de techniek-indicator analyseren zien we een soortgelijk beeld: 60-80 procent van de techniekleerlingen stroomt door naar een mbo-opleiding met een techniek-indicator. Dat is voor leerlingen uit niet-technische profielen hoogstens zo’n 30 procent. Het beeld blijft door de jaren heen relatief stabiel.</w:t>
      </w:r>
      <w:bookmarkEnd w:id="205"/>
      <w:r>
        <w:rPr>
          <w:szCs w:val="18"/>
        </w:rPr>
        <w:t xml:space="preserve"> Wel zien we een gestage toename in de doorstroom naar een technische mbo-opleiding onder niet-techniek leerlingen die tenminste één technisch keuzevak volgen. </w:t>
      </w:r>
    </w:p>
    <w:bookmarkEnd w:id="204"/>
    <w:p w:rsidR="00B52D66" w:rsidP="00B52D66" w:rsidRDefault="00B52D66" w14:paraId="09E59834" w14:textId="77777777">
      <w:pPr>
        <w:jc w:val="both"/>
        <w:rPr>
          <w:szCs w:val="18"/>
        </w:rPr>
      </w:pPr>
    </w:p>
    <w:p w:rsidR="00B52D66" w:rsidP="00B52D66" w:rsidRDefault="00B52D66" w14:paraId="480CCA86" w14:textId="77777777">
      <w:pPr>
        <w:ind w:left="567"/>
        <w:jc w:val="both"/>
        <w:rPr>
          <w:szCs w:val="18"/>
        </w:rPr>
      </w:pPr>
      <w:r w:rsidRPr="00A55317">
        <w:rPr>
          <w:szCs w:val="18"/>
        </w:rPr>
        <w:t xml:space="preserve">Hoe ontwikkelde </w:t>
      </w:r>
      <w:r>
        <w:rPr>
          <w:szCs w:val="18"/>
        </w:rPr>
        <w:t>de</w:t>
      </w:r>
      <w:r>
        <w:rPr>
          <w:b/>
          <w:bCs/>
          <w:szCs w:val="18"/>
        </w:rPr>
        <w:t xml:space="preserve"> d</w:t>
      </w:r>
      <w:r w:rsidRPr="00A55317">
        <w:rPr>
          <w:b/>
          <w:bCs/>
          <w:szCs w:val="18"/>
        </w:rPr>
        <w:t>oorstroom</w:t>
      </w:r>
      <w:r>
        <w:rPr>
          <w:szCs w:val="18"/>
        </w:rPr>
        <w:t xml:space="preserve"> van vmbo-leerlingen naar mbo-opleidingen?</w:t>
      </w:r>
    </w:p>
    <w:p w:rsidR="00B52D66" w:rsidP="00426692" w:rsidRDefault="00B52D66" w14:paraId="2DC24308" w14:textId="77777777">
      <w:pPr>
        <w:pStyle w:val="Lijstalinea"/>
        <w:numPr>
          <w:ilvl w:val="0"/>
          <w:numId w:val="51"/>
        </w:numPr>
        <w:ind w:left="851" w:hanging="284"/>
        <w:jc w:val="both"/>
        <w:rPr>
          <w:szCs w:val="18"/>
        </w:rPr>
      </w:pPr>
      <w:r>
        <w:rPr>
          <w:szCs w:val="18"/>
        </w:rPr>
        <w:t>Doorstroom van techniekleerlingen naar mbo-opleiding met een techniek-indicatie blijft door de jaren heen relatief stabiel.</w:t>
      </w:r>
    </w:p>
    <w:p w:rsidR="00B52D66" w:rsidP="00426692" w:rsidRDefault="00B52D66" w14:paraId="10926745" w14:textId="77777777">
      <w:pPr>
        <w:pStyle w:val="Lijstalinea"/>
        <w:numPr>
          <w:ilvl w:val="0"/>
          <w:numId w:val="51"/>
        </w:numPr>
        <w:ind w:left="851" w:hanging="284"/>
        <w:jc w:val="both"/>
        <w:rPr>
          <w:szCs w:val="18"/>
        </w:rPr>
      </w:pPr>
      <w:r>
        <w:rPr>
          <w:szCs w:val="18"/>
        </w:rPr>
        <w:t>Doorstroom van niet-techniekleerlingen naar mbo-opleiding met een techniek-indicatie komt in mindere mate voor. Door de jaren heen zijn er geen noemenswaardige veranderingen.</w:t>
      </w:r>
    </w:p>
    <w:p w:rsidRPr="002D2E27" w:rsidR="00B52D66" w:rsidP="00426692" w:rsidRDefault="00B52D66" w14:paraId="5B9081FB" w14:textId="77777777">
      <w:pPr>
        <w:pStyle w:val="Lijstalinea"/>
        <w:numPr>
          <w:ilvl w:val="0"/>
          <w:numId w:val="51"/>
        </w:numPr>
        <w:ind w:left="851" w:hanging="284"/>
        <w:jc w:val="both"/>
        <w:rPr>
          <w:szCs w:val="18"/>
        </w:rPr>
      </w:pPr>
      <w:r>
        <w:rPr>
          <w:szCs w:val="18"/>
        </w:rPr>
        <w:t>Vmbo-niet-techniekleerlingen die tenminste één technisch keuzevak hebben gevolgd stromen steeds vaker door naar een mbo-opleiding met een techniek-indicatie.</w:t>
      </w:r>
    </w:p>
    <w:p w:rsidRPr="00BE7BB8" w:rsidR="00B52D66" w:rsidP="00B52D66" w:rsidRDefault="00B52D66" w14:paraId="51D751B3" w14:textId="77777777">
      <w:pPr>
        <w:jc w:val="both"/>
        <w:rPr>
          <w:szCs w:val="18"/>
        </w:rPr>
      </w:pPr>
    </w:p>
    <w:p w:rsidR="00B52D66" w:rsidP="00B52D66" w:rsidRDefault="00B52D66" w14:paraId="4C661FDC" w14:textId="77777777">
      <w:pPr>
        <w:jc w:val="both"/>
        <w:rPr>
          <w:szCs w:val="18"/>
        </w:rPr>
      </w:pPr>
      <w:r>
        <w:rPr>
          <w:szCs w:val="18"/>
        </w:rPr>
        <w:t>Gebaseerd op het</w:t>
      </w:r>
      <w:r w:rsidRPr="00BE7BB8">
        <w:rPr>
          <w:szCs w:val="18"/>
        </w:rPr>
        <w:t xml:space="preserve"> </w:t>
      </w:r>
      <w:r w:rsidRPr="008A2312">
        <w:rPr>
          <w:szCs w:val="18"/>
        </w:rPr>
        <w:t xml:space="preserve">Schoolverlatersonderzoek </w:t>
      </w:r>
      <w:r>
        <w:rPr>
          <w:szCs w:val="18"/>
        </w:rPr>
        <w:t xml:space="preserve">kunnen we een representatief beeld schetsen over hoe oud-vmbo-leerlingen de genoten opleiding beoordelen. De meting </w:t>
      </w:r>
      <w:r w:rsidRPr="008A2312">
        <w:rPr>
          <w:szCs w:val="18"/>
        </w:rPr>
        <w:t xml:space="preserve">2023 </w:t>
      </w:r>
      <w:r>
        <w:rPr>
          <w:szCs w:val="18"/>
        </w:rPr>
        <w:t>bevraagde</w:t>
      </w:r>
      <w:r w:rsidRPr="006537F4">
        <w:rPr>
          <w:szCs w:val="18"/>
        </w:rPr>
        <w:t xml:space="preserve"> </w:t>
      </w:r>
      <w:r w:rsidRPr="008A2312">
        <w:rPr>
          <w:szCs w:val="18"/>
        </w:rPr>
        <w:t>leerlingen</w:t>
      </w:r>
      <w:r>
        <w:rPr>
          <w:szCs w:val="18"/>
        </w:rPr>
        <w:t xml:space="preserve"> die hun diploma in het schooljaar 2021/2022 hebben behaald. Hieruit blijkt dat een ruime meerderheid van vmbo-gediplomeerden in</w:t>
      </w:r>
      <w:r w:rsidRPr="008A2312">
        <w:rPr>
          <w:szCs w:val="18"/>
        </w:rPr>
        <w:t xml:space="preserve"> technische profielen positie</w:t>
      </w:r>
      <w:r>
        <w:rPr>
          <w:szCs w:val="18"/>
        </w:rPr>
        <w:t>f</w:t>
      </w:r>
      <w:r w:rsidRPr="008A2312">
        <w:rPr>
          <w:szCs w:val="18"/>
        </w:rPr>
        <w:t xml:space="preserve"> </w:t>
      </w:r>
      <w:r>
        <w:rPr>
          <w:szCs w:val="18"/>
        </w:rPr>
        <w:t>is</w:t>
      </w:r>
      <w:r w:rsidRPr="008A2312">
        <w:rPr>
          <w:szCs w:val="18"/>
        </w:rPr>
        <w:t xml:space="preserve"> </w:t>
      </w:r>
      <w:r>
        <w:rPr>
          <w:szCs w:val="18"/>
        </w:rPr>
        <w:t>over de inhoud en aantrekkelijkheid van de opleiding, en als voorbereiding om een vervolgopleiding te kiezen en uiteindelijk ook te kunnen volgen. Een krappe meerderheid is dat ook wanneer ze over de uitdaging van de genoten opleiding oordelen. V</w:t>
      </w:r>
      <w:r w:rsidRPr="008A2312">
        <w:rPr>
          <w:szCs w:val="18"/>
        </w:rPr>
        <w:t xml:space="preserve">ergeleken met niet-techniekleerlingen </w:t>
      </w:r>
      <w:r>
        <w:rPr>
          <w:szCs w:val="18"/>
        </w:rPr>
        <w:t>is dat beeld iets positiever maar is het</w:t>
      </w:r>
      <w:r w:rsidRPr="006537F4">
        <w:rPr>
          <w:szCs w:val="18"/>
        </w:rPr>
        <w:t xml:space="preserve"> verschil minder groot </w:t>
      </w:r>
      <w:r>
        <w:rPr>
          <w:szCs w:val="18"/>
        </w:rPr>
        <w:t>vergeleken met de meting 2021; met name oud-techniekleerlingen van de gl zijn minder positief wat de aantrekkelijkheid van de opleiding en de voorbereiding op vervolgopleiding betreft</w:t>
      </w:r>
      <w:r w:rsidRPr="006537F4">
        <w:rPr>
          <w:szCs w:val="18"/>
        </w:rPr>
        <w:t>.</w:t>
      </w:r>
      <w:r>
        <w:rPr>
          <w:szCs w:val="18"/>
        </w:rPr>
        <w:t xml:space="preserve"> Een beter </w:t>
      </w:r>
      <w:r>
        <w:rPr>
          <w:szCs w:val="18"/>
        </w:rPr>
        <w:lastRenderedPageBreak/>
        <w:t>oordeel zien we daarentegen bij oud-techniekl</w:t>
      </w:r>
      <w:r w:rsidRPr="006537F4">
        <w:rPr>
          <w:szCs w:val="18"/>
        </w:rPr>
        <w:t xml:space="preserve">eerlingen van de </w:t>
      </w:r>
      <w:r>
        <w:rPr>
          <w:szCs w:val="18"/>
        </w:rPr>
        <w:t>kl</w:t>
      </w:r>
      <w:r w:rsidRPr="006537F4">
        <w:rPr>
          <w:szCs w:val="18"/>
        </w:rPr>
        <w:t xml:space="preserve"> </w:t>
      </w:r>
      <w:r>
        <w:rPr>
          <w:szCs w:val="18"/>
        </w:rPr>
        <w:t xml:space="preserve">wanneer zij oordelen over de aantrekkelijkheid van hun </w:t>
      </w:r>
      <w:r w:rsidRPr="008A2312">
        <w:rPr>
          <w:szCs w:val="18"/>
        </w:rPr>
        <w:t xml:space="preserve">opleiding. </w:t>
      </w:r>
    </w:p>
    <w:p w:rsidR="00B52D66" w:rsidP="00B52D66" w:rsidRDefault="00B52D66" w14:paraId="04E120FA" w14:textId="77777777">
      <w:pPr>
        <w:jc w:val="both"/>
        <w:rPr>
          <w:szCs w:val="18"/>
        </w:rPr>
      </w:pPr>
    </w:p>
    <w:p w:rsidRPr="00A55317" w:rsidR="00B52D66" w:rsidP="00B52D66" w:rsidRDefault="00B52D66" w14:paraId="4BBAD96E" w14:textId="77777777">
      <w:pPr>
        <w:ind w:left="567"/>
        <w:jc w:val="both"/>
        <w:rPr>
          <w:b/>
          <w:bCs/>
          <w:szCs w:val="18"/>
        </w:rPr>
      </w:pPr>
      <w:r w:rsidRPr="00A55317">
        <w:rPr>
          <w:b/>
          <w:bCs/>
          <w:szCs w:val="18"/>
        </w:rPr>
        <w:t>Hoe tevreden zijn oud-vmbo-techniekleerlingen met hun gevolgde opleiding?</w:t>
      </w:r>
    </w:p>
    <w:p w:rsidR="00B52D66" w:rsidP="00426692" w:rsidRDefault="00B52D66" w14:paraId="5A343D28" w14:textId="77777777">
      <w:pPr>
        <w:pStyle w:val="Lijstalinea"/>
        <w:numPr>
          <w:ilvl w:val="0"/>
          <w:numId w:val="51"/>
        </w:numPr>
        <w:ind w:left="851" w:hanging="284"/>
        <w:jc w:val="both"/>
        <w:rPr>
          <w:szCs w:val="18"/>
        </w:rPr>
      </w:pPr>
      <w:r>
        <w:rPr>
          <w:szCs w:val="18"/>
        </w:rPr>
        <w:t xml:space="preserve">In vergelijking met de vmbo-leerlingen die in het schooljaar 2019/2020 (meting 2021) hun diploma behaalden, en daarmee voor het eerst met Sterk Techniekonderwijs in aanraking kwamen, zien we over het algemeen een verbeterd oordeel in de meting 2023 (schooljaar 2021/2022) wat betreft aantrekkelijkheid, actualiteit, het niveau van de vmbo-opleiding als ook de voorbereiding en aansluiting op vervolgopleiding. </w:t>
      </w:r>
    </w:p>
    <w:p w:rsidRPr="00526865" w:rsidR="00B52D66" w:rsidP="00426692" w:rsidRDefault="00B52D66" w14:paraId="211B0C76" w14:textId="77777777">
      <w:pPr>
        <w:pStyle w:val="Lijstalinea"/>
        <w:numPr>
          <w:ilvl w:val="0"/>
          <w:numId w:val="51"/>
        </w:numPr>
        <w:ind w:left="851" w:hanging="284"/>
        <w:jc w:val="both"/>
        <w:rPr>
          <w:szCs w:val="18"/>
        </w:rPr>
      </w:pPr>
      <w:r>
        <w:rPr>
          <w:iCs/>
          <w:color w:val="000000" w:themeColor="text1"/>
          <w:szCs w:val="18"/>
        </w:rPr>
        <w:t>V</w:t>
      </w:r>
      <w:r w:rsidRPr="00A55317">
        <w:rPr>
          <w:iCs/>
          <w:color w:val="000000" w:themeColor="text1"/>
          <w:szCs w:val="18"/>
        </w:rPr>
        <w:t>erschillen tussen techniek- en niet-techniekleerlingen zijn minder groot wanneer deze vergeleken worden met de meting</w:t>
      </w:r>
      <w:r>
        <w:rPr>
          <w:iCs/>
          <w:color w:val="000000" w:themeColor="text1"/>
          <w:szCs w:val="18"/>
        </w:rPr>
        <w:t xml:space="preserve"> 2023.</w:t>
      </w:r>
    </w:p>
    <w:p w:rsidR="00B52D66" w:rsidP="00B52D66" w:rsidRDefault="00B52D66" w14:paraId="25B9D80C" w14:textId="77777777">
      <w:pPr>
        <w:spacing w:after="160" w:line="259" w:lineRule="auto"/>
        <w:jc w:val="both"/>
      </w:pPr>
    </w:p>
    <w:p w:rsidR="00B52D66" w:rsidP="00B52D66" w:rsidRDefault="00B52D66" w14:paraId="65A1FB48" w14:textId="77777777">
      <w:pPr>
        <w:spacing w:after="160" w:line="259" w:lineRule="auto"/>
        <w:jc w:val="both"/>
        <w:rPr>
          <w:rFonts w:eastAsiaTheme="majorEastAsia" w:cstheme="majorBidi"/>
          <w:b/>
          <w:bCs/>
          <w:color w:val="1D509A"/>
          <w:sz w:val="24"/>
          <w:szCs w:val="28"/>
          <w:lang w:eastAsia="en-US"/>
        </w:rPr>
      </w:pPr>
      <w:r w:rsidRPr="0047198D">
        <w:t xml:space="preserve">Tot slot gaven we verdiepend inzicht door de deelname aan het techniekonderwijs te analyseren naar het aandeel meisjes en het aandeel leerlingen met ouders </w:t>
      </w:r>
      <w:r w:rsidRPr="00A55317">
        <w:t>met een migratieachtergrond</w:t>
      </w:r>
      <w:r w:rsidRPr="0047198D">
        <w:t xml:space="preserve">. In de afgelopen jaren is het aandeel van beide groepen binnen de technische vmbo-profielen toegenomen, met name in </w:t>
      </w:r>
      <w:r w:rsidRPr="00A55317">
        <w:t xml:space="preserve">de gl en onafhankelijk van leerweg in </w:t>
      </w:r>
      <w:r w:rsidRPr="0047198D">
        <w:t xml:space="preserve">het profiel MVI. Toch blijkt uit de doorstroomcijfers naar het mbo dat zij relatief minder vaak kiezen voor een technische mbo-opleiding dan op basis van hun aandeel in </w:t>
      </w:r>
      <w:r w:rsidRPr="00A55317">
        <w:t>de technische</w:t>
      </w:r>
      <w:r w:rsidRPr="0047198D">
        <w:t xml:space="preserve"> </w:t>
      </w:r>
      <w:r w:rsidRPr="00A55317">
        <w:t>vmbo-profielen</w:t>
      </w:r>
      <w:r w:rsidRPr="0047198D">
        <w:t xml:space="preserve"> verwacht zou mogen worden. Dit wijst op mogelijke belemmeringen in de overgang van vmbo naar mbo voor deze doelgroepen. De nieuwe STO-regeling (2025–2029) speelt hierop in door nadrukkelijker in te zetten op het aantrekken en behouden van meisjes en leerlingen met ouders die niet in Nederland zijn geboren.</w:t>
      </w:r>
    </w:p>
    <w:p w:rsidR="00B52D66" w:rsidP="00B52D66" w:rsidRDefault="00B52D66" w14:paraId="1231D878" w14:textId="77777777">
      <w:pPr>
        <w:spacing w:after="160" w:line="259" w:lineRule="auto"/>
        <w:rPr>
          <w:rFonts w:asciiTheme="minorHAnsi" w:hAnsiTheme="minorHAnsi" w:eastAsiaTheme="minorHAnsi" w:cstheme="minorBidi"/>
          <w:sz w:val="22"/>
          <w:szCs w:val="22"/>
          <w:lang w:eastAsia="en-US"/>
        </w:rPr>
        <w:sectPr w:rsidR="00B52D66" w:rsidSect="00B52D66">
          <w:headerReference w:type="even" r:id="rId56"/>
          <w:headerReference w:type="default" r:id="rId57"/>
          <w:footerReference w:type="even" r:id="rId58"/>
          <w:footerReference w:type="default" r:id="rId59"/>
          <w:headerReference w:type="first" r:id="rId60"/>
          <w:footerReference w:type="first" r:id="rId61"/>
          <w:pgSz w:w="12240" w:h="15840"/>
          <w:pgMar w:top="1440" w:right="1440" w:bottom="1440" w:left="1440" w:header="708" w:footer="708" w:gutter="0"/>
          <w:cols w:space="708"/>
          <w:docGrid w:linePitch="360"/>
        </w:sectPr>
      </w:pPr>
    </w:p>
    <w:p w:rsidR="00B52D66" w:rsidP="00B52D66" w:rsidRDefault="00C43FA5" w14:paraId="1D4A28DF" w14:textId="618FE397">
      <w:pPr>
        <w:pStyle w:val="Kop1Ongenummerd"/>
        <w:rPr>
          <w:rFonts w:eastAsiaTheme="minorHAnsi"/>
          <w:lang w:eastAsia="en-US"/>
        </w:rPr>
      </w:pPr>
      <w:bookmarkStart w:name="_Toc203573645" w:id="206"/>
      <w:r>
        <w:rPr>
          <w:rFonts w:eastAsiaTheme="minorHAnsi"/>
          <w:lang w:eastAsia="en-US"/>
        </w:rPr>
        <w:lastRenderedPageBreak/>
        <w:t>Appendix</w:t>
      </w:r>
      <w:r w:rsidR="00B52D66">
        <w:rPr>
          <w:rFonts w:eastAsiaTheme="minorHAnsi"/>
          <w:lang w:eastAsia="en-US"/>
        </w:rPr>
        <w:t xml:space="preserve"> </w:t>
      </w:r>
      <w:r>
        <w:rPr>
          <w:rFonts w:eastAsiaTheme="minorHAnsi"/>
          <w:lang w:eastAsia="en-US"/>
        </w:rPr>
        <w:t xml:space="preserve">bij bijlage 3 </w:t>
      </w:r>
      <w:r w:rsidR="00B52D66">
        <w:rPr>
          <w:rFonts w:eastAsiaTheme="minorHAnsi"/>
          <w:lang w:eastAsia="en-US"/>
        </w:rPr>
        <w:t>monitorgegevens</w:t>
      </w:r>
      <w:bookmarkEnd w:id="206"/>
    </w:p>
    <w:p w:rsidRPr="00C43FA5" w:rsidR="00B52D66" w:rsidP="00C43FA5" w:rsidRDefault="006C62B6" w14:paraId="410EAC1B" w14:textId="1226DC79">
      <w:pPr>
        <w:rPr>
          <w:rStyle w:val="Titelvanboek"/>
        </w:rPr>
      </w:pPr>
      <w:r>
        <w:rPr>
          <w:rStyle w:val="Titelvanboek"/>
        </w:rPr>
        <w:t>Tabel</w:t>
      </w:r>
      <w:r w:rsidRPr="00C43FA5">
        <w:rPr>
          <w:rStyle w:val="Titelvanboek"/>
        </w:rPr>
        <w:t xml:space="preserve"> </w:t>
      </w:r>
      <w:r w:rsidR="004C0E54">
        <w:rPr>
          <w:rStyle w:val="Titelvanboek"/>
        </w:rPr>
        <w:t>B</w:t>
      </w:r>
      <w:r w:rsidR="00277065">
        <w:rPr>
          <w:rStyle w:val="Titelvanboek"/>
        </w:rPr>
        <w:t>3</w:t>
      </w:r>
      <w:r w:rsidRPr="00C43FA5" w:rsidR="00B52D66">
        <w:rPr>
          <w:rStyle w:val="Titelvanboek"/>
        </w:rPr>
        <w:t>.1</w:t>
      </w:r>
      <w:r>
        <w:rPr>
          <w:rStyle w:val="Titelvanboek"/>
        </w:rPr>
        <w:t>2</w:t>
      </w:r>
      <w:r w:rsidRPr="00C43FA5" w:rsidR="00B52D66">
        <w:rPr>
          <w:rStyle w:val="Titelvanboek"/>
        </w:rPr>
        <w:t>. Aantal derdejaarsleerlingen naar leerweg en profiel, onderverdeeld in technische en niet-technische profielen: schooljaar 2018/2019 tot 2023/2024</w:t>
      </w:r>
    </w:p>
    <w:tbl>
      <w:tblPr>
        <w:tblW w:w="5000" w:type="pct"/>
        <w:tblLook w:val="04A0" w:firstRow="1" w:lastRow="0" w:firstColumn="1" w:lastColumn="0" w:noHBand="0" w:noVBand="1"/>
      </w:tblPr>
      <w:tblGrid>
        <w:gridCol w:w="3869"/>
        <w:gridCol w:w="916"/>
        <w:gridCol w:w="915"/>
        <w:gridCol w:w="915"/>
        <w:gridCol w:w="915"/>
        <w:gridCol w:w="915"/>
        <w:gridCol w:w="915"/>
      </w:tblGrid>
      <w:tr w:rsidRPr="00B52D66" w:rsidR="00B52D66" w:rsidTr="00B52D66" w14:paraId="5C6743E0" w14:textId="77777777">
        <w:trPr>
          <w:trHeight w:val="280"/>
        </w:trPr>
        <w:tc>
          <w:tcPr>
            <w:tcW w:w="2105" w:type="pct"/>
            <w:tcBorders>
              <w:top w:val="single" w:color="auto" w:sz="4" w:space="0"/>
              <w:left w:val="nil"/>
              <w:bottom w:val="single" w:color="auto" w:sz="4" w:space="0"/>
              <w:right w:val="nil"/>
            </w:tcBorders>
            <w:noWrap/>
            <w:vAlign w:val="bottom"/>
            <w:hideMark/>
          </w:tcPr>
          <w:p w:rsidRPr="00B52D66" w:rsidR="00B52D66" w:rsidP="00FC2172" w:rsidRDefault="00B52D66" w14:paraId="6AED7161" w14:textId="77777777">
            <w:pPr>
              <w:spacing w:line="240" w:lineRule="auto"/>
              <w:rPr>
                <w:rFonts w:cs="Arial"/>
                <w:b/>
                <w:bCs/>
                <w:szCs w:val="18"/>
                <w:lang w:val="en-GB" w:eastAsia="en-GB"/>
              </w:rPr>
            </w:pPr>
            <w:r w:rsidRPr="00B52D66">
              <w:rPr>
                <w:rFonts w:cs="Arial"/>
                <w:b/>
                <w:bCs/>
                <w:szCs w:val="18"/>
                <w:lang w:val="en-GB" w:eastAsia="en-GB"/>
              </w:rPr>
              <w:t>Schooljaar</w:t>
            </w:r>
          </w:p>
        </w:tc>
        <w:tc>
          <w:tcPr>
            <w:tcW w:w="482" w:type="pct"/>
            <w:tcBorders>
              <w:top w:val="single" w:color="auto" w:sz="4" w:space="0"/>
              <w:left w:val="nil"/>
              <w:bottom w:val="single" w:color="auto" w:sz="4" w:space="0"/>
              <w:right w:val="nil"/>
            </w:tcBorders>
            <w:noWrap/>
            <w:vAlign w:val="bottom"/>
            <w:hideMark/>
          </w:tcPr>
          <w:p w:rsidRPr="00B52D66" w:rsidR="00B52D66" w:rsidP="00FC2172" w:rsidRDefault="00B52D66" w14:paraId="322393D2" w14:textId="77777777">
            <w:pPr>
              <w:spacing w:line="240" w:lineRule="auto"/>
              <w:rPr>
                <w:rFonts w:cs="Arial"/>
                <w:b/>
                <w:bCs/>
                <w:szCs w:val="18"/>
                <w:lang w:val="en-GB" w:eastAsia="en-GB"/>
              </w:rPr>
            </w:pPr>
            <w:r w:rsidRPr="00B52D66">
              <w:rPr>
                <w:rFonts w:cs="Arial"/>
                <w:b/>
                <w:bCs/>
                <w:szCs w:val="18"/>
                <w:lang w:val="en-GB" w:eastAsia="en-GB"/>
              </w:rPr>
              <w:t>2018/2019</w:t>
            </w:r>
          </w:p>
        </w:tc>
        <w:tc>
          <w:tcPr>
            <w:tcW w:w="482" w:type="pct"/>
            <w:tcBorders>
              <w:top w:val="single" w:color="auto" w:sz="4" w:space="0"/>
              <w:left w:val="nil"/>
              <w:bottom w:val="single" w:color="auto" w:sz="4" w:space="0"/>
              <w:right w:val="nil"/>
            </w:tcBorders>
            <w:noWrap/>
            <w:vAlign w:val="bottom"/>
            <w:hideMark/>
          </w:tcPr>
          <w:p w:rsidRPr="00B52D66" w:rsidR="00B52D66" w:rsidP="00FC2172" w:rsidRDefault="00B52D66" w14:paraId="19EAA340" w14:textId="77777777">
            <w:pPr>
              <w:spacing w:line="240" w:lineRule="auto"/>
              <w:rPr>
                <w:rFonts w:cs="Arial"/>
                <w:b/>
                <w:bCs/>
                <w:szCs w:val="18"/>
                <w:lang w:val="en-GB" w:eastAsia="en-GB"/>
              </w:rPr>
            </w:pPr>
            <w:r w:rsidRPr="00B52D66">
              <w:rPr>
                <w:rFonts w:cs="Arial"/>
                <w:b/>
                <w:bCs/>
                <w:szCs w:val="18"/>
                <w:lang w:val="en-GB" w:eastAsia="en-GB"/>
              </w:rPr>
              <w:t>2019/2020</w:t>
            </w:r>
          </w:p>
        </w:tc>
        <w:tc>
          <w:tcPr>
            <w:tcW w:w="482" w:type="pct"/>
            <w:tcBorders>
              <w:top w:val="single" w:color="auto" w:sz="4" w:space="0"/>
              <w:left w:val="nil"/>
              <w:bottom w:val="single" w:color="auto" w:sz="4" w:space="0"/>
              <w:right w:val="nil"/>
            </w:tcBorders>
            <w:noWrap/>
            <w:vAlign w:val="bottom"/>
            <w:hideMark/>
          </w:tcPr>
          <w:p w:rsidRPr="00B52D66" w:rsidR="00B52D66" w:rsidP="00FC2172" w:rsidRDefault="00B52D66" w14:paraId="59859E6C" w14:textId="77777777">
            <w:pPr>
              <w:spacing w:line="240" w:lineRule="auto"/>
              <w:rPr>
                <w:rFonts w:cs="Arial"/>
                <w:b/>
                <w:bCs/>
                <w:szCs w:val="18"/>
                <w:lang w:val="en-GB" w:eastAsia="en-GB"/>
              </w:rPr>
            </w:pPr>
            <w:r w:rsidRPr="00B52D66">
              <w:rPr>
                <w:rFonts w:cs="Arial"/>
                <w:b/>
                <w:bCs/>
                <w:szCs w:val="18"/>
                <w:lang w:val="en-GB" w:eastAsia="en-GB"/>
              </w:rPr>
              <w:t>2020/2021</w:t>
            </w:r>
          </w:p>
        </w:tc>
        <w:tc>
          <w:tcPr>
            <w:tcW w:w="482" w:type="pct"/>
            <w:tcBorders>
              <w:top w:val="single" w:color="auto" w:sz="4" w:space="0"/>
              <w:left w:val="nil"/>
              <w:bottom w:val="single" w:color="auto" w:sz="4" w:space="0"/>
              <w:right w:val="nil"/>
            </w:tcBorders>
            <w:noWrap/>
            <w:vAlign w:val="bottom"/>
            <w:hideMark/>
          </w:tcPr>
          <w:p w:rsidRPr="00B52D66" w:rsidR="00B52D66" w:rsidP="00FC2172" w:rsidRDefault="00B52D66" w14:paraId="761B7CB5" w14:textId="77777777">
            <w:pPr>
              <w:spacing w:line="240" w:lineRule="auto"/>
              <w:rPr>
                <w:rFonts w:cs="Arial"/>
                <w:b/>
                <w:bCs/>
                <w:szCs w:val="18"/>
                <w:lang w:val="en-GB" w:eastAsia="en-GB"/>
              </w:rPr>
            </w:pPr>
            <w:r w:rsidRPr="00B52D66">
              <w:rPr>
                <w:rFonts w:cs="Arial"/>
                <w:b/>
                <w:bCs/>
                <w:szCs w:val="18"/>
                <w:lang w:val="en-GB" w:eastAsia="en-GB"/>
              </w:rPr>
              <w:t>2021/2022</w:t>
            </w:r>
          </w:p>
        </w:tc>
        <w:tc>
          <w:tcPr>
            <w:tcW w:w="482" w:type="pct"/>
            <w:tcBorders>
              <w:top w:val="single" w:color="auto" w:sz="4" w:space="0"/>
              <w:left w:val="nil"/>
              <w:bottom w:val="single" w:color="auto" w:sz="4" w:space="0"/>
              <w:right w:val="nil"/>
            </w:tcBorders>
            <w:noWrap/>
            <w:vAlign w:val="bottom"/>
            <w:hideMark/>
          </w:tcPr>
          <w:p w:rsidRPr="00B52D66" w:rsidR="00B52D66" w:rsidP="00FC2172" w:rsidRDefault="00B52D66" w14:paraId="178C260A" w14:textId="77777777">
            <w:pPr>
              <w:spacing w:line="240" w:lineRule="auto"/>
              <w:rPr>
                <w:rFonts w:cs="Arial"/>
                <w:b/>
                <w:bCs/>
                <w:szCs w:val="18"/>
                <w:lang w:val="en-GB" w:eastAsia="en-GB"/>
              </w:rPr>
            </w:pPr>
            <w:r w:rsidRPr="00B52D66">
              <w:rPr>
                <w:rFonts w:cs="Arial"/>
                <w:b/>
                <w:bCs/>
                <w:szCs w:val="18"/>
                <w:lang w:val="en-GB" w:eastAsia="en-GB"/>
              </w:rPr>
              <w:t>2022/2023</w:t>
            </w:r>
          </w:p>
        </w:tc>
        <w:tc>
          <w:tcPr>
            <w:tcW w:w="482" w:type="pct"/>
            <w:tcBorders>
              <w:top w:val="single" w:color="auto" w:sz="4" w:space="0"/>
              <w:left w:val="nil"/>
              <w:bottom w:val="single" w:color="auto" w:sz="4" w:space="0"/>
              <w:right w:val="nil"/>
            </w:tcBorders>
            <w:noWrap/>
            <w:vAlign w:val="bottom"/>
            <w:hideMark/>
          </w:tcPr>
          <w:p w:rsidRPr="00B52D66" w:rsidR="00B52D66" w:rsidP="00FC2172" w:rsidRDefault="00B52D66" w14:paraId="769C11E4" w14:textId="77777777">
            <w:pPr>
              <w:spacing w:line="240" w:lineRule="auto"/>
              <w:rPr>
                <w:rFonts w:cs="Arial"/>
                <w:b/>
                <w:bCs/>
                <w:szCs w:val="18"/>
                <w:lang w:val="en-GB" w:eastAsia="en-GB"/>
              </w:rPr>
            </w:pPr>
            <w:r w:rsidRPr="00B52D66">
              <w:rPr>
                <w:rFonts w:cs="Arial"/>
                <w:b/>
                <w:bCs/>
                <w:szCs w:val="18"/>
                <w:lang w:val="en-GB" w:eastAsia="en-GB"/>
              </w:rPr>
              <w:t>2023/2024</w:t>
            </w:r>
          </w:p>
        </w:tc>
      </w:tr>
      <w:tr w:rsidRPr="00B52D66" w:rsidR="00B52D66" w:rsidTr="00B52D66" w14:paraId="6B7485A9"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00A3BF85" w14:textId="77777777">
            <w:pPr>
              <w:spacing w:line="240" w:lineRule="auto"/>
              <w:rPr>
                <w:rFonts w:cs="Arial"/>
                <w:b/>
                <w:bCs/>
                <w:szCs w:val="18"/>
                <w:lang w:val="en-GB" w:eastAsia="en-GB"/>
              </w:rPr>
            </w:pPr>
            <w:r w:rsidRPr="00B52D66">
              <w:rPr>
                <w:rFonts w:cs="Arial"/>
                <w:b/>
                <w:bCs/>
                <w:szCs w:val="18"/>
                <w:lang w:val="en-GB" w:eastAsia="en-GB"/>
              </w:rPr>
              <w:t>Totaal basisberoepsgerichte leerweg</w:t>
            </w:r>
          </w:p>
        </w:tc>
        <w:tc>
          <w:tcPr>
            <w:tcW w:w="482" w:type="pct"/>
            <w:tcBorders>
              <w:top w:val="nil"/>
              <w:left w:val="nil"/>
              <w:bottom w:val="nil"/>
              <w:right w:val="nil"/>
            </w:tcBorders>
            <w:noWrap/>
            <w:vAlign w:val="bottom"/>
            <w:hideMark/>
          </w:tcPr>
          <w:p w:rsidRPr="00B52D66" w:rsidR="00B52D66" w:rsidP="00FC2172" w:rsidRDefault="00B52D66" w14:paraId="24F70E4F" w14:textId="77777777">
            <w:pPr>
              <w:spacing w:line="240" w:lineRule="auto"/>
              <w:jc w:val="right"/>
              <w:rPr>
                <w:rFonts w:cs="Arial"/>
                <w:b/>
                <w:bCs/>
                <w:szCs w:val="18"/>
                <w:lang w:val="en-GB" w:eastAsia="en-GB"/>
              </w:rPr>
            </w:pPr>
            <w:r w:rsidRPr="00B52D66">
              <w:rPr>
                <w:rFonts w:cs="Arial"/>
                <w:b/>
                <w:bCs/>
                <w:szCs w:val="18"/>
                <w:lang w:val="en-GB" w:eastAsia="en-GB"/>
              </w:rPr>
              <w:t>18.207</w:t>
            </w:r>
          </w:p>
        </w:tc>
        <w:tc>
          <w:tcPr>
            <w:tcW w:w="482" w:type="pct"/>
            <w:tcBorders>
              <w:top w:val="nil"/>
              <w:left w:val="nil"/>
              <w:bottom w:val="nil"/>
              <w:right w:val="nil"/>
            </w:tcBorders>
            <w:noWrap/>
            <w:vAlign w:val="bottom"/>
            <w:hideMark/>
          </w:tcPr>
          <w:p w:rsidRPr="00B52D66" w:rsidR="00B52D66" w:rsidP="00FC2172" w:rsidRDefault="00B52D66" w14:paraId="34ECC0FF" w14:textId="77777777">
            <w:pPr>
              <w:spacing w:line="240" w:lineRule="auto"/>
              <w:jc w:val="right"/>
              <w:rPr>
                <w:rFonts w:cs="Arial"/>
                <w:b/>
                <w:bCs/>
                <w:szCs w:val="18"/>
                <w:lang w:val="en-GB" w:eastAsia="en-GB"/>
              </w:rPr>
            </w:pPr>
            <w:r w:rsidRPr="00B52D66">
              <w:rPr>
                <w:rFonts w:cs="Arial"/>
                <w:b/>
                <w:bCs/>
                <w:szCs w:val="18"/>
                <w:lang w:val="en-GB" w:eastAsia="en-GB"/>
              </w:rPr>
              <w:t>16.833</w:t>
            </w:r>
          </w:p>
        </w:tc>
        <w:tc>
          <w:tcPr>
            <w:tcW w:w="482" w:type="pct"/>
            <w:tcBorders>
              <w:top w:val="nil"/>
              <w:left w:val="nil"/>
              <w:bottom w:val="nil"/>
              <w:right w:val="nil"/>
            </w:tcBorders>
            <w:noWrap/>
            <w:vAlign w:val="bottom"/>
            <w:hideMark/>
          </w:tcPr>
          <w:p w:rsidRPr="00B52D66" w:rsidR="00B52D66" w:rsidP="00FC2172" w:rsidRDefault="00B52D66" w14:paraId="79B4C2E0" w14:textId="77777777">
            <w:pPr>
              <w:spacing w:line="240" w:lineRule="auto"/>
              <w:jc w:val="right"/>
              <w:rPr>
                <w:rFonts w:cs="Arial"/>
                <w:b/>
                <w:bCs/>
                <w:szCs w:val="18"/>
                <w:lang w:val="en-GB" w:eastAsia="en-GB"/>
              </w:rPr>
            </w:pPr>
            <w:r w:rsidRPr="00B52D66">
              <w:rPr>
                <w:rFonts w:cs="Arial"/>
                <w:b/>
                <w:bCs/>
                <w:szCs w:val="18"/>
                <w:lang w:val="en-GB" w:eastAsia="en-GB"/>
              </w:rPr>
              <w:t>15.757</w:t>
            </w:r>
          </w:p>
        </w:tc>
        <w:tc>
          <w:tcPr>
            <w:tcW w:w="482" w:type="pct"/>
            <w:tcBorders>
              <w:top w:val="nil"/>
              <w:left w:val="nil"/>
              <w:bottom w:val="nil"/>
              <w:right w:val="nil"/>
            </w:tcBorders>
            <w:noWrap/>
            <w:vAlign w:val="bottom"/>
            <w:hideMark/>
          </w:tcPr>
          <w:p w:rsidRPr="00B52D66" w:rsidR="00B52D66" w:rsidP="00FC2172" w:rsidRDefault="00B52D66" w14:paraId="26A4F177" w14:textId="77777777">
            <w:pPr>
              <w:spacing w:line="240" w:lineRule="auto"/>
              <w:jc w:val="right"/>
              <w:rPr>
                <w:rFonts w:cs="Arial"/>
                <w:b/>
                <w:bCs/>
                <w:szCs w:val="18"/>
                <w:lang w:val="en-GB" w:eastAsia="en-GB"/>
              </w:rPr>
            </w:pPr>
            <w:r w:rsidRPr="00B52D66">
              <w:rPr>
                <w:rFonts w:cs="Arial"/>
                <w:b/>
                <w:bCs/>
                <w:szCs w:val="18"/>
                <w:lang w:val="en-GB" w:eastAsia="en-GB"/>
              </w:rPr>
              <w:t>15.213</w:t>
            </w:r>
          </w:p>
        </w:tc>
        <w:tc>
          <w:tcPr>
            <w:tcW w:w="482" w:type="pct"/>
            <w:tcBorders>
              <w:top w:val="nil"/>
              <w:left w:val="nil"/>
              <w:bottom w:val="nil"/>
              <w:right w:val="nil"/>
            </w:tcBorders>
            <w:noWrap/>
            <w:vAlign w:val="bottom"/>
            <w:hideMark/>
          </w:tcPr>
          <w:p w:rsidRPr="00B52D66" w:rsidR="00B52D66" w:rsidP="00FC2172" w:rsidRDefault="00B52D66" w14:paraId="20D03B9F" w14:textId="77777777">
            <w:pPr>
              <w:spacing w:line="240" w:lineRule="auto"/>
              <w:jc w:val="right"/>
              <w:rPr>
                <w:rFonts w:cs="Arial"/>
                <w:b/>
                <w:bCs/>
                <w:szCs w:val="18"/>
                <w:lang w:val="en-GB" w:eastAsia="en-GB"/>
              </w:rPr>
            </w:pPr>
            <w:r w:rsidRPr="00B52D66">
              <w:rPr>
                <w:rFonts w:cs="Arial"/>
                <w:b/>
                <w:bCs/>
                <w:szCs w:val="18"/>
                <w:lang w:val="en-GB" w:eastAsia="en-GB"/>
              </w:rPr>
              <w:t>16.654</w:t>
            </w:r>
          </w:p>
        </w:tc>
        <w:tc>
          <w:tcPr>
            <w:tcW w:w="482" w:type="pct"/>
            <w:tcBorders>
              <w:top w:val="nil"/>
              <w:left w:val="nil"/>
              <w:bottom w:val="nil"/>
              <w:right w:val="nil"/>
            </w:tcBorders>
            <w:noWrap/>
            <w:vAlign w:val="bottom"/>
            <w:hideMark/>
          </w:tcPr>
          <w:p w:rsidRPr="00B52D66" w:rsidR="00B52D66" w:rsidP="00FC2172" w:rsidRDefault="00B52D66" w14:paraId="6F8C10FC" w14:textId="77777777">
            <w:pPr>
              <w:spacing w:line="240" w:lineRule="auto"/>
              <w:jc w:val="right"/>
              <w:rPr>
                <w:rFonts w:cs="Arial"/>
                <w:b/>
                <w:bCs/>
                <w:szCs w:val="18"/>
                <w:lang w:val="en-GB" w:eastAsia="en-GB"/>
              </w:rPr>
            </w:pPr>
            <w:r w:rsidRPr="00B52D66">
              <w:rPr>
                <w:rFonts w:cs="Arial"/>
                <w:b/>
                <w:bCs/>
                <w:szCs w:val="18"/>
                <w:lang w:val="en-GB" w:eastAsia="en-GB"/>
              </w:rPr>
              <w:t>16.139</w:t>
            </w:r>
          </w:p>
        </w:tc>
      </w:tr>
      <w:tr w:rsidRPr="00B52D66" w:rsidR="00B52D66" w:rsidTr="00B52D66" w14:paraId="27179E2B"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703896CF" w14:textId="77777777">
            <w:pPr>
              <w:spacing w:line="240" w:lineRule="auto"/>
              <w:rPr>
                <w:rFonts w:cs="Arial"/>
                <w:b/>
                <w:bCs/>
                <w:szCs w:val="18"/>
                <w:lang w:val="en-GB" w:eastAsia="en-GB"/>
              </w:rPr>
            </w:pPr>
            <w:r w:rsidRPr="00B52D66">
              <w:rPr>
                <w:rFonts w:cs="Arial"/>
                <w:b/>
                <w:bCs/>
                <w:szCs w:val="18"/>
                <w:lang w:val="en-GB" w:eastAsia="en-GB"/>
              </w:rPr>
              <w:t xml:space="preserve">  Totaal techniek</w:t>
            </w:r>
          </w:p>
        </w:tc>
        <w:tc>
          <w:tcPr>
            <w:tcW w:w="482" w:type="pct"/>
            <w:tcBorders>
              <w:top w:val="nil"/>
              <w:left w:val="nil"/>
              <w:bottom w:val="nil"/>
              <w:right w:val="nil"/>
            </w:tcBorders>
            <w:noWrap/>
            <w:vAlign w:val="bottom"/>
            <w:hideMark/>
          </w:tcPr>
          <w:p w:rsidRPr="00B52D66" w:rsidR="00B52D66" w:rsidP="00FC2172" w:rsidRDefault="00B52D66" w14:paraId="45FE6B20" w14:textId="77777777">
            <w:pPr>
              <w:spacing w:line="240" w:lineRule="auto"/>
              <w:jc w:val="right"/>
              <w:rPr>
                <w:rFonts w:cs="Arial"/>
                <w:b/>
                <w:bCs/>
                <w:szCs w:val="18"/>
                <w:lang w:val="en-GB" w:eastAsia="en-GB"/>
              </w:rPr>
            </w:pPr>
            <w:r w:rsidRPr="00B52D66">
              <w:rPr>
                <w:rFonts w:cs="Arial"/>
                <w:b/>
                <w:bCs/>
                <w:szCs w:val="18"/>
                <w:lang w:val="en-GB" w:eastAsia="en-GB"/>
              </w:rPr>
              <w:t>4.378</w:t>
            </w:r>
          </w:p>
        </w:tc>
        <w:tc>
          <w:tcPr>
            <w:tcW w:w="482" w:type="pct"/>
            <w:tcBorders>
              <w:top w:val="nil"/>
              <w:left w:val="nil"/>
              <w:bottom w:val="nil"/>
              <w:right w:val="nil"/>
            </w:tcBorders>
            <w:noWrap/>
            <w:vAlign w:val="bottom"/>
            <w:hideMark/>
          </w:tcPr>
          <w:p w:rsidRPr="00B52D66" w:rsidR="00B52D66" w:rsidP="00FC2172" w:rsidRDefault="00B52D66" w14:paraId="4C608211" w14:textId="77777777">
            <w:pPr>
              <w:spacing w:line="240" w:lineRule="auto"/>
              <w:jc w:val="right"/>
              <w:rPr>
                <w:rFonts w:cs="Arial"/>
                <w:b/>
                <w:bCs/>
                <w:szCs w:val="18"/>
                <w:lang w:val="en-GB" w:eastAsia="en-GB"/>
              </w:rPr>
            </w:pPr>
            <w:r w:rsidRPr="00B52D66">
              <w:rPr>
                <w:rFonts w:cs="Arial"/>
                <w:b/>
                <w:bCs/>
                <w:szCs w:val="18"/>
                <w:lang w:val="en-GB" w:eastAsia="en-GB"/>
              </w:rPr>
              <w:t>3.843</w:t>
            </w:r>
          </w:p>
        </w:tc>
        <w:tc>
          <w:tcPr>
            <w:tcW w:w="482" w:type="pct"/>
            <w:tcBorders>
              <w:top w:val="nil"/>
              <w:left w:val="nil"/>
              <w:bottom w:val="nil"/>
              <w:right w:val="nil"/>
            </w:tcBorders>
            <w:noWrap/>
            <w:vAlign w:val="bottom"/>
            <w:hideMark/>
          </w:tcPr>
          <w:p w:rsidRPr="00B52D66" w:rsidR="00B52D66" w:rsidP="00FC2172" w:rsidRDefault="00B52D66" w14:paraId="2D6A9F0B" w14:textId="77777777">
            <w:pPr>
              <w:spacing w:line="240" w:lineRule="auto"/>
              <w:jc w:val="right"/>
              <w:rPr>
                <w:rFonts w:cs="Arial"/>
                <w:b/>
                <w:bCs/>
                <w:szCs w:val="18"/>
                <w:lang w:val="en-GB" w:eastAsia="en-GB"/>
              </w:rPr>
            </w:pPr>
            <w:r w:rsidRPr="00B52D66">
              <w:rPr>
                <w:rFonts w:cs="Arial"/>
                <w:b/>
                <w:bCs/>
                <w:szCs w:val="18"/>
                <w:lang w:val="en-GB" w:eastAsia="en-GB"/>
              </w:rPr>
              <w:t>3.667</w:t>
            </w:r>
          </w:p>
        </w:tc>
        <w:tc>
          <w:tcPr>
            <w:tcW w:w="482" w:type="pct"/>
            <w:tcBorders>
              <w:top w:val="nil"/>
              <w:left w:val="nil"/>
              <w:bottom w:val="nil"/>
              <w:right w:val="nil"/>
            </w:tcBorders>
            <w:noWrap/>
            <w:vAlign w:val="bottom"/>
            <w:hideMark/>
          </w:tcPr>
          <w:p w:rsidRPr="00B52D66" w:rsidR="00B52D66" w:rsidP="00FC2172" w:rsidRDefault="00B52D66" w14:paraId="6E642CCE" w14:textId="77777777">
            <w:pPr>
              <w:spacing w:line="240" w:lineRule="auto"/>
              <w:jc w:val="right"/>
              <w:rPr>
                <w:rFonts w:cs="Arial"/>
                <w:b/>
                <w:bCs/>
                <w:szCs w:val="18"/>
                <w:lang w:val="en-GB" w:eastAsia="en-GB"/>
              </w:rPr>
            </w:pPr>
            <w:r w:rsidRPr="00B52D66">
              <w:rPr>
                <w:rFonts w:cs="Arial"/>
                <w:b/>
                <w:bCs/>
                <w:szCs w:val="18"/>
                <w:lang w:val="en-GB" w:eastAsia="en-GB"/>
              </w:rPr>
              <w:t>3.585</w:t>
            </w:r>
          </w:p>
        </w:tc>
        <w:tc>
          <w:tcPr>
            <w:tcW w:w="482" w:type="pct"/>
            <w:tcBorders>
              <w:top w:val="nil"/>
              <w:left w:val="nil"/>
              <w:bottom w:val="nil"/>
              <w:right w:val="nil"/>
            </w:tcBorders>
            <w:noWrap/>
            <w:vAlign w:val="bottom"/>
            <w:hideMark/>
          </w:tcPr>
          <w:p w:rsidRPr="00B52D66" w:rsidR="00B52D66" w:rsidP="00FC2172" w:rsidRDefault="00B52D66" w14:paraId="1417C370" w14:textId="77777777">
            <w:pPr>
              <w:spacing w:line="240" w:lineRule="auto"/>
              <w:jc w:val="right"/>
              <w:rPr>
                <w:rFonts w:cs="Arial"/>
                <w:b/>
                <w:bCs/>
                <w:szCs w:val="18"/>
                <w:lang w:val="en-GB" w:eastAsia="en-GB"/>
              </w:rPr>
            </w:pPr>
            <w:r w:rsidRPr="00B52D66">
              <w:rPr>
                <w:rFonts w:cs="Arial"/>
                <w:b/>
                <w:bCs/>
                <w:szCs w:val="18"/>
                <w:lang w:val="en-GB" w:eastAsia="en-GB"/>
              </w:rPr>
              <w:t>4.041</w:t>
            </w:r>
          </w:p>
        </w:tc>
        <w:tc>
          <w:tcPr>
            <w:tcW w:w="482" w:type="pct"/>
            <w:tcBorders>
              <w:top w:val="nil"/>
              <w:left w:val="nil"/>
              <w:bottom w:val="nil"/>
              <w:right w:val="nil"/>
            </w:tcBorders>
            <w:noWrap/>
            <w:vAlign w:val="bottom"/>
            <w:hideMark/>
          </w:tcPr>
          <w:p w:rsidRPr="00B52D66" w:rsidR="00B52D66" w:rsidP="00FC2172" w:rsidRDefault="00B52D66" w14:paraId="6EB1690A" w14:textId="77777777">
            <w:pPr>
              <w:spacing w:line="240" w:lineRule="auto"/>
              <w:jc w:val="right"/>
              <w:rPr>
                <w:rFonts w:cs="Arial"/>
                <w:b/>
                <w:bCs/>
                <w:szCs w:val="18"/>
                <w:lang w:val="en-GB" w:eastAsia="en-GB"/>
              </w:rPr>
            </w:pPr>
            <w:r w:rsidRPr="00B52D66">
              <w:rPr>
                <w:rFonts w:cs="Arial"/>
                <w:b/>
                <w:bCs/>
                <w:szCs w:val="18"/>
                <w:lang w:val="en-GB" w:eastAsia="en-GB"/>
              </w:rPr>
              <w:t>3.752</w:t>
            </w:r>
          </w:p>
        </w:tc>
      </w:tr>
      <w:tr w:rsidRPr="00B52D66" w:rsidR="00B52D66" w:rsidTr="00B52D66" w14:paraId="4D3774D9" w14:textId="77777777">
        <w:trPr>
          <w:trHeight w:val="280"/>
        </w:trPr>
        <w:tc>
          <w:tcPr>
            <w:tcW w:w="2105" w:type="pct"/>
            <w:tcBorders>
              <w:top w:val="nil"/>
              <w:left w:val="nil"/>
              <w:bottom w:val="nil"/>
              <w:right w:val="nil"/>
            </w:tcBorders>
            <w:noWrap/>
            <w:hideMark/>
          </w:tcPr>
          <w:p w:rsidRPr="00B52D66" w:rsidR="00B52D66" w:rsidP="00FC2172" w:rsidRDefault="00B52D66" w14:paraId="501BA313" w14:textId="77777777">
            <w:pPr>
              <w:spacing w:line="240" w:lineRule="auto"/>
              <w:rPr>
                <w:rFonts w:cs="Arial"/>
                <w:szCs w:val="18"/>
                <w:lang w:val="en-GB" w:eastAsia="en-GB"/>
              </w:rPr>
            </w:pPr>
            <w:r w:rsidRPr="00B52D66">
              <w:rPr>
                <w:rFonts w:cs="Arial"/>
                <w:szCs w:val="18"/>
                <w:lang w:val="en-GB" w:eastAsia="en-GB"/>
              </w:rPr>
              <w:t xml:space="preserve">   BWI</w:t>
            </w:r>
          </w:p>
        </w:tc>
        <w:tc>
          <w:tcPr>
            <w:tcW w:w="482" w:type="pct"/>
            <w:tcBorders>
              <w:top w:val="nil"/>
              <w:left w:val="nil"/>
              <w:bottom w:val="nil"/>
              <w:right w:val="nil"/>
            </w:tcBorders>
            <w:noWrap/>
            <w:vAlign w:val="bottom"/>
            <w:hideMark/>
          </w:tcPr>
          <w:p w:rsidRPr="00B52D66" w:rsidR="00B52D66" w:rsidP="00FC2172" w:rsidRDefault="00B52D66" w14:paraId="4F4BE65E" w14:textId="77777777">
            <w:pPr>
              <w:spacing w:line="240" w:lineRule="auto"/>
              <w:jc w:val="right"/>
              <w:rPr>
                <w:rFonts w:cs="Arial"/>
                <w:szCs w:val="18"/>
                <w:lang w:val="en-GB" w:eastAsia="en-GB"/>
              </w:rPr>
            </w:pPr>
            <w:r w:rsidRPr="00B52D66">
              <w:rPr>
                <w:rFonts w:cs="Arial"/>
                <w:szCs w:val="18"/>
                <w:lang w:val="en-GB" w:eastAsia="en-GB"/>
              </w:rPr>
              <w:t>1.310</w:t>
            </w:r>
          </w:p>
        </w:tc>
        <w:tc>
          <w:tcPr>
            <w:tcW w:w="482" w:type="pct"/>
            <w:tcBorders>
              <w:top w:val="nil"/>
              <w:left w:val="nil"/>
              <w:bottom w:val="nil"/>
              <w:right w:val="nil"/>
            </w:tcBorders>
            <w:noWrap/>
            <w:vAlign w:val="bottom"/>
            <w:hideMark/>
          </w:tcPr>
          <w:p w:rsidRPr="00B52D66" w:rsidR="00B52D66" w:rsidP="00FC2172" w:rsidRDefault="00B52D66" w14:paraId="2DD19584" w14:textId="77777777">
            <w:pPr>
              <w:spacing w:line="240" w:lineRule="auto"/>
              <w:jc w:val="right"/>
              <w:rPr>
                <w:rFonts w:cs="Arial"/>
                <w:szCs w:val="18"/>
                <w:lang w:val="en-GB" w:eastAsia="en-GB"/>
              </w:rPr>
            </w:pPr>
            <w:r w:rsidRPr="00B52D66">
              <w:rPr>
                <w:rFonts w:cs="Arial"/>
                <w:szCs w:val="18"/>
                <w:lang w:val="en-GB" w:eastAsia="en-GB"/>
              </w:rPr>
              <w:t>1.182</w:t>
            </w:r>
          </w:p>
        </w:tc>
        <w:tc>
          <w:tcPr>
            <w:tcW w:w="482" w:type="pct"/>
            <w:tcBorders>
              <w:top w:val="nil"/>
              <w:left w:val="nil"/>
              <w:bottom w:val="nil"/>
              <w:right w:val="nil"/>
            </w:tcBorders>
            <w:noWrap/>
            <w:vAlign w:val="bottom"/>
            <w:hideMark/>
          </w:tcPr>
          <w:p w:rsidRPr="00B52D66" w:rsidR="00B52D66" w:rsidP="00FC2172" w:rsidRDefault="00B52D66" w14:paraId="5C61BBF9" w14:textId="77777777">
            <w:pPr>
              <w:spacing w:line="240" w:lineRule="auto"/>
              <w:jc w:val="right"/>
              <w:rPr>
                <w:rFonts w:cs="Arial"/>
                <w:szCs w:val="18"/>
                <w:lang w:val="en-GB" w:eastAsia="en-GB"/>
              </w:rPr>
            </w:pPr>
            <w:r w:rsidRPr="00B52D66">
              <w:rPr>
                <w:rFonts w:cs="Arial"/>
                <w:szCs w:val="18"/>
                <w:lang w:val="en-GB" w:eastAsia="en-GB"/>
              </w:rPr>
              <w:t>1.139</w:t>
            </w:r>
          </w:p>
        </w:tc>
        <w:tc>
          <w:tcPr>
            <w:tcW w:w="482" w:type="pct"/>
            <w:tcBorders>
              <w:top w:val="nil"/>
              <w:left w:val="nil"/>
              <w:bottom w:val="nil"/>
              <w:right w:val="nil"/>
            </w:tcBorders>
            <w:noWrap/>
            <w:vAlign w:val="bottom"/>
            <w:hideMark/>
          </w:tcPr>
          <w:p w:rsidRPr="00B52D66" w:rsidR="00B52D66" w:rsidP="00FC2172" w:rsidRDefault="00B52D66" w14:paraId="2C752330" w14:textId="77777777">
            <w:pPr>
              <w:spacing w:line="240" w:lineRule="auto"/>
              <w:jc w:val="right"/>
              <w:rPr>
                <w:rFonts w:cs="Arial"/>
                <w:szCs w:val="18"/>
                <w:lang w:val="en-GB" w:eastAsia="en-GB"/>
              </w:rPr>
            </w:pPr>
            <w:r w:rsidRPr="00B52D66">
              <w:rPr>
                <w:rFonts w:cs="Arial"/>
                <w:szCs w:val="18"/>
                <w:lang w:val="en-GB" w:eastAsia="en-GB"/>
              </w:rPr>
              <w:t>1.162</w:t>
            </w:r>
          </w:p>
        </w:tc>
        <w:tc>
          <w:tcPr>
            <w:tcW w:w="482" w:type="pct"/>
            <w:tcBorders>
              <w:top w:val="nil"/>
              <w:left w:val="nil"/>
              <w:bottom w:val="nil"/>
              <w:right w:val="nil"/>
            </w:tcBorders>
            <w:noWrap/>
            <w:vAlign w:val="bottom"/>
            <w:hideMark/>
          </w:tcPr>
          <w:p w:rsidRPr="00B52D66" w:rsidR="00B52D66" w:rsidP="00FC2172" w:rsidRDefault="00B52D66" w14:paraId="24D3B936" w14:textId="77777777">
            <w:pPr>
              <w:spacing w:line="240" w:lineRule="auto"/>
              <w:jc w:val="right"/>
              <w:rPr>
                <w:rFonts w:cs="Arial"/>
                <w:szCs w:val="18"/>
                <w:lang w:val="en-GB" w:eastAsia="en-GB"/>
              </w:rPr>
            </w:pPr>
            <w:r w:rsidRPr="00B52D66">
              <w:rPr>
                <w:rFonts w:cs="Arial"/>
                <w:szCs w:val="18"/>
                <w:lang w:val="en-GB" w:eastAsia="en-GB"/>
              </w:rPr>
              <w:t>1.447</w:t>
            </w:r>
          </w:p>
        </w:tc>
        <w:tc>
          <w:tcPr>
            <w:tcW w:w="482" w:type="pct"/>
            <w:tcBorders>
              <w:top w:val="nil"/>
              <w:left w:val="nil"/>
              <w:bottom w:val="nil"/>
              <w:right w:val="nil"/>
            </w:tcBorders>
            <w:noWrap/>
            <w:vAlign w:val="bottom"/>
            <w:hideMark/>
          </w:tcPr>
          <w:p w:rsidRPr="00B52D66" w:rsidR="00B52D66" w:rsidP="00FC2172" w:rsidRDefault="00B52D66" w14:paraId="69751F1C" w14:textId="77777777">
            <w:pPr>
              <w:spacing w:line="240" w:lineRule="auto"/>
              <w:jc w:val="right"/>
              <w:rPr>
                <w:rFonts w:cs="Arial"/>
                <w:szCs w:val="18"/>
                <w:lang w:val="en-GB" w:eastAsia="en-GB"/>
              </w:rPr>
            </w:pPr>
            <w:r w:rsidRPr="00B52D66">
              <w:rPr>
                <w:rFonts w:cs="Arial"/>
                <w:szCs w:val="18"/>
                <w:lang w:val="en-GB" w:eastAsia="en-GB"/>
              </w:rPr>
              <w:t>1.383</w:t>
            </w:r>
          </w:p>
        </w:tc>
      </w:tr>
      <w:tr w:rsidRPr="00B52D66" w:rsidR="00B52D66" w:rsidTr="00B52D66" w14:paraId="0CCA4D38" w14:textId="77777777">
        <w:trPr>
          <w:trHeight w:val="280"/>
        </w:trPr>
        <w:tc>
          <w:tcPr>
            <w:tcW w:w="2105" w:type="pct"/>
            <w:tcBorders>
              <w:top w:val="nil"/>
              <w:left w:val="nil"/>
              <w:bottom w:val="nil"/>
              <w:right w:val="nil"/>
            </w:tcBorders>
            <w:noWrap/>
            <w:hideMark/>
          </w:tcPr>
          <w:p w:rsidRPr="00B52D66" w:rsidR="00B52D66" w:rsidP="00FC2172" w:rsidRDefault="00B52D66" w14:paraId="638A9673" w14:textId="77777777">
            <w:pPr>
              <w:spacing w:line="240" w:lineRule="auto"/>
              <w:rPr>
                <w:rFonts w:cs="Arial"/>
                <w:szCs w:val="18"/>
                <w:lang w:val="en-GB" w:eastAsia="en-GB"/>
              </w:rPr>
            </w:pPr>
            <w:r w:rsidRPr="00B52D66">
              <w:rPr>
                <w:rFonts w:cs="Arial"/>
                <w:szCs w:val="18"/>
                <w:lang w:val="en-GB" w:eastAsia="en-GB"/>
              </w:rPr>
              <w:t xml:space="preserve">   MaT</w:t>
            </w:r>
          </w:p>
        </w:tc>
        <w:tc>
          <w:tcPr>
            <w:tcW w:w="482" w:type="pct"/>
            <w:tcBorders>
              <w:top w:val="nil"/>
              <w:left w:val="nil"/>
              <w:bottom w:val="nil"/>
              <w:right w:val="nil"/>
            </w:tcBorders>
            <w:noWrap/>
            <w:vAlign w:val="bottom"/>
            <w:hideMark/>
          </w:tcPr>
          <w:p w:rsidRPr="00B52D66" w:rsidR="00B52D66" w:rsidP="00FC2172" w:rsidRDefault="00B52D66" w14:paraId="56BAB003" w14:textId="77777777">
            <w:pPr>
              <w:spacing w:line="240" w:lineRule="auto"/>
              <w:jc w:val="right"/>
              <w:rPr>
                <w:rFonts w:cs="Arial"/>
                <w:szCs w:val="18"/>
                <w:lang w:val="en-GB" w:eastAsia="en-GB"/>
              </w:rPr>
            </w:pPr>
            <w:r w:rsidRPr="00B52D66">
              <w:rPr>
                <w:rFonts w:cs="Arial"/>
                <w:szCs w:val="18"/>
                <w:lang w:val="en-GB" w:eastAsia="en-GB"/>
              </w:rPr>
              <w:t>91</w:t>
            </w:r>
          </w:p>
        </w:tc>
        <w:tc>
          <w:tcPr>
            <w:tcW w:w="482" w:type="pct"/>
            <w:tcBorders>
              <w:top w:val="nil"/>
              <w:left w:val="nil"/>
              <w:bottom w:val="nil"/>
              <w:right w:val="nil"/>
            </w:tcBorders>
            <w:noWrap/>
            <w:vAlign w:val="bottom"/>
            <w:hideMark/>
          </w:tcPr>
          <w:p w:rsidRPr="00B52D66" w:rsidR="00B52D66" w:rsidP="00FC2172" w:rsidRDefault="00B52D66" w14:paraId="52FF550E" w14:textId="77777777">
            <w:pPr>
              <w:spacing w:line="240" w:lineRule="auto"/>
              <w:jc w:val="right"/>
              <w:rPr>
                <w:rFonts w:cs="Arial"/>
                <w:szCs w:val="18"/>
                <w:lang w:val="en-GB" w:eastAsia="en-GB"/>
              </w:rPr>
            </w:pPr>
            <w:r w:rsidRPr="00B52D66">
              <w:rPr>
                <w:rFonts w:cs="Arial"/>
                <w:szCs w:val="18"/>
                <w:lang w:val="en-GB" w:eastAsia="en-GB"/>
              </w:rPr>
              <w:t>72</w:t>
            </w:r>
          </w:p>
        </w:tc>
        <w:tc>
          <w:tcPr>
            <w:tcW w:w="482" w:type="pct"/>
            <w:tcBorders>
              <w:top w:val="nil"/>
              <w:left w:val="nil"/>
              <w:bottom w:val="nil"/>
              <w:right w:val="nil"/>
            </w:tcBorders>
            <w:noWrap/>
            <w:vAlign w:val="bottom"/>
            <w:hideMark/>
          </w:tcPr>
          <w:p w:rsidRPr="00B52D66" w:rsidR="00B52D66" w:rsidP="00FC2172" w:rsidRDefault="00B52D66" w14:paraId="286EDE7E" w14:textId="77777777">
            <w:pPr>
              <w:spacing w:line="240" w:lineRule="auto"/>
              <w:jc w:val="right"/>
              <w:rPr>
                <w:rFonts w:cs="Arial"/>
                <w:szCs w:val="18"/>
                <w:lang w:val="en-GB" w:eastAsia="en-GB"/>
              </w:rPr>
            </w:pPr>
            <w:r w:rsidRPr="00B52D66">
              <w:rPr>
                <w:rFonts w:cs="Arial"/>
                <w:szCs w:val="18"/>
                <w:lang w:val="en-GB" w:eastAsia="en-GB"/>
              </w:rPr>
              <w:t>53</w:t>
            </w:r>
          </w:p>
        </w:tc>
        <w:tc>
          <w:tcPr>
            <w:tcW w:w="482" w:type="pct"/>
            <w:tcBorders>
              <w:top w:val="nil"/>
              <w:left w:val="nil"/>
              <w:bottom w:val="nil"/>
              <w:right w:val="nil"/>
            </w:tcBorders>
            <w:noWrap/>
            <w:vAlign w:val="bottom"/>
            <w:hideMark/>
          </w:tcPr>
          <w:p w:rsidRPr="00B52D66" w:rsidR="00B52D66" w:rsidP="00FC2172" w:rsidRDefault="00B52D66" w14:paraId="405A4A89" w14:textId="77777777">
            <w:pPr>
              <w:spacing w:line="240" w:lineRule="auto"/>
              <w:jc w:val="right"/>
              <w:rPr>
                <w:rFonts w:cs="Arial"/>
                <w:szCs w:val="18"/>
                <w:lang w:val="en-GB" w:eastAsia="en-GB"/>
              </w:rPr>
            </w:pPr>
            <w:r w:rsidRPr="00B52D66">
              <w:rPr>
                <w:rFonts w:cs="Arial"/>
                <w:szCs w:val="18"/>
                <w:lang w:val="en-GB" w:eastAsia="en-GB"/>
              </w:rPr>
              <w:t>64</w:t>
            </w:r>
          </w:p>
        </w:tc>
        <w:tc>
          <w:tcPr>
            <w:tcW w:w="482" w:type="pct"/>
            <w:tcBorders>
              <w:top w:val="nil"/>
              <w:left w:val="nil"/>
              <w:bottom w:val="nil"/>
              <w:right w:val="nil"/>
            </w:tcBorders>
            <w:noWrap/>
            <w:vAlign w:val="bottom"/>
            <w:hideMark/>
          </w:tcPr>
          <w:p w:rsidRPr="00B52D66" w:rsidR="00B52D66" w:rsidP="00FC2172" w:rsidRDefault="00B52D66" w14:paraId="62EA3D8A" w14:textId="77777777">
            <w:pPr>
              <w:spacing w:line="240" w:lineRule="auto"/>
              <w:jc w:val="right"/>
              <w:rPr>
                <w:rFonts w:cs="Arial"/>
                <w:szCs w:val="18"/>
                <w:lang w:val="en-GB" w:eastAsia="en-GB"/>
              </w:rPr>
            </w:pPr>
            <w:r w:rsidRPr="00B52D66">
              <w:rPr>
                <w:rFonts w:cs="Arial"/>
                <w:szCs w:val="18"/>
                <w:lang w:val="en-GB" w:eastAsia="en-GB"/>
              </w:rPr>
              <w:t>50</w:t>
            </w:r>
          </w:p>
        </w:tc>
        <w:tc>
          <w:tcPr>
            <w:tcW w:w="482" w:type="pct"/>
            <w:tcBorders>
              <w:top w:val="nil"/>
              <w:left w:val="nil"/>
              <w:bottom w:val="nil"/>
              <w:right w:val="nil"/>
            </w:tcBorders>
            <w:noWrap/>
            <w:vAlign w:val="bottom"/>
            <w:hideMark/>
          </w:tcPr>
          <w:p w:rsidRPr="00B52D66" w:rsidR="00B52D66" w:rsidP="00FC2172" w:rsidRDefault="00B52D66" w14:paraId="4F47B3D2" w14:textId="77777777">
            <w:pPr>
              <w:spacing w:line="240" w:lineRule="auto"/>
              <w:jc w:val="right"/>
              <w:rPr>
                <w:rFonts w:cs="Arial"/>
                <w:szCs w:val="18"/>
                <w:lang w:val="en-GB" w:eastAsia="en-GB"/>
              </w:rPr>
            </w:pPr>
            <w:r w:rsidRPr="00B52D66">
              <w:rPr>
                <w:rFonts w:cs="Arial"/>
                <w:szCs w:val="18"/>
                <w:lang w:val="en-GB" w:eastAsia="en-GB"/>
              </w:rPr>
              <w:t>52</w:t>
            </w:r>
          </w:p>
        </w:tc>
      </w:tr>
      <w:tr w:rsidRPr="00B52D66" w:rsidR="00B52D66" w:rsidTr="00B52D66" w14:paraId="14E7C7B2" w14:textId="77777777">
        <w:trPr>
          <w:trHeight w:val="280"/>
        </w:trPr>
        <w:tc>
          <w:tcPr>
            <w:tcW w:w="2105" w:type="pct"/>
            <w:tcBorders>
              <w:top w:val="nil"/>
              <w:left w:val="nil"/>
              <w:bottom w:val="nil"/>
              <w:right w:val="nil"/>
            </w:tcBorders>
            <w:noWrap/>
            <w:hideMark/>
          </w:tcPr>
          <w:p w:rsidRPr="00B52D66" w:rsidR="00B52D66" w:rsidP="00FC2172" w:rsidRDefault="00B52D66" w14:paraId="48010D39" w14:textId="77777777">
            <w:pPr>
              <w:spacing w:line="240" w:lineRule="auto"/>
              <w:rPr>
                <w:rFonts w:cs="Arial"/>
                <w:szCs w:val="18"/>
                <w:lang w:val="en-GB" w:eastAsia="en-GB"/>
              </w:rPr>
            </w:pPr>
            <w:r w:rsidRPr="00B52D66">
              <w:rPr>
                <w:rFonts w:cs="Arial"/>
                <w:szCs w:val="18"/>
                <w:lang w:val="en-GB" w:eastAsia="en-GB"/>
              </w:rPr>
              <w:t xml:space="preserve">   MVI</w:t>
            </w:r>
          </w:p>
        </w:tc>
        <w:tc>
          <w:tcPr>
            <w:tcW w:w="482" w:type="pct"/>
            <w:tcBorders>
              <w:top w:val="nil"/>
              <w:left w:val="nil"/>
              <w:bottom w:val="nil"/>
              <w:right w:val="nil"/>
            </w:tcBorders>
            <w:noWrap/>
            <w:vAlign w:val="bottom"/>
            <w:hideMark/>
          </w:tcPr>
          <w:p w:rsidRPr="00B52D66" w:rsidR="00B52D66" w:rsidP="00FC2172" w:rsidRDefault="00B52D66" w14:paraId="6B65202B" w14:textId="77777777">
            <w:pPr>
              <w:spacing w:line="240" w:lineRule="auto"/>
              <w:jc w:val="right"/>
              <w:rPr>
                <w:rFonts w:cs="Arial"/>
                <w:szCs w:val="18"/>
                <w:lang w:val="en-GB" w:eastAsia="en-GB"/>
              </w:rPr>
            </w:pPr>
            <w:r w:rsidRPr="00B52D66">
              <w:rPr>
                <w:rFonts w:cs="Arial"/>
                <w:szCs w:val="18"/>
                <w:lang w:val="en-GB" w:eastAsia="en-GB"/>
              </w:rPr>
              <w:t>376</w:t>
            </w:r>
          </w:p>
        </w:tc>
        <w:tc>
          <w:tcPr>
            <w:tcW w:w="482" w:type="pct"/>
            <w:tcBorders>
              <w:top w:val="nil"/>
              <w:left w:val="nil"/>
              <w:bottom w:val="nil"/>
              <w:right w:val="nil"/>
            </w:tcBorders>
            <w:noWrap/>
            <w:vAlign w:val="bottom"/>
            <w:hideMark/>
          </w:tcPr>
          <w:p w:rsidRPr="00B52D66" w:rsidR="00B52D66" w:rsidP="00FC2172" w:rsidRDefault="00B52D66" w14:paraId="218FF102" w14:textId="77777777">
            <w:pPr>
              <w:spacing w:line="240" w:lineRule="auto"/>
              <w:jc w:val="right"/>
              <w:rPr>
                <w:rFonts w:cs="Arial"/>
                <w:szCs w:val="18"/>
                <w:lang w:val="en-GB" w:eastAsia="en-GB"/>
              </w:rPr>
            </w:pPr>
            <w:r w:rsidRPr="00B52D66">
              <w:rPr>
                <w:rFonts w:cs="Arial"/>
                <w:szCs w:val="18"/>
                <w:lang w:val="en-GB" w:eastAsia="en-GB"/>
              </w:rPr>
              <w:t>276</w:t>
            </w:r>
          </w:p>
        </w:tc>
        <w:tc>
          <w:tcPr>
            <w:tcW w:w="482" w:type="pct"/>
            <w:tcBorders>
              <w:top w:val="nil"/>
              <w:left w:val="nil"/>
              <w:bottom w:val="nil"/>
              <w:right w:val="nil"/>
            </w:tcBorders>
            <w:noWrap/>
            <w:vAlign w:val="bottom"/>
            <w:hideMark/>
          </w:tcPr>
          <w:p w:rsidRPr="00B52D66" w:rsidR="00B52D66" w:rsidP="00FC2172" w:rsidRDefault="00B52D66" w14:paraId="2A1D960C" w14:textId="77777777">
            <w:pPr>
              <w:spacing w:line="240" w:lineRule="auto"/>
              <w:jc w:val="right"/>
              <w:rPr>
                <w:rFonts w:cs="Arial"/>
                <w:szCs w:val="18"/>
                <w:lang w:val="en-GB" w:eastAsia="en-GB"/>
              </w:rPr>
            </w:pPr>
            <w:r w:rsidRPr="00B52D66">
              <w:rPr>
                <w:rFonts w:cs="Arial"/>
                <w:szCs w:val="18"/>
                <w:lang w:val="en-GB" w:eastAsia="en-GB"/>
              </w:rPr>
              <w:t>295</w:t>
            </w:r>
          </w:p>
        </w:tc>
        <w:tc>
          <w:tcPr>
            <w:tcW w:w="482" w:type="pct"/>
            <w:tcBorders>
              <w:top w:val="nil"/>
              <w:left w:val="nil"/>
              <w:bottom w:val="nil"/>
              <w:right w:val="nil"/>
            </w:tcBorders>
            <w:noWrap/>
            <w:vAlign w:val="bottom"/>
            <w:hideMark/>
          </w:tcPr>
          <w:p w:rsidRPr="00B52D66" w:rsidR="00B52D66" w:rsidP="00FC2172" w:rsidRDefault="00B52D66" w14:paraId="4C12064D" w14:textId="77777777">
            <w:pPr>
              <w:spacing w:line="240" w:lineRule="auto"/>
              <w:jc w:val="right"/>
              <w:rPr>
                <w:rFonts w:cs="Arial"/>
                <w:szCs w:val="18"/>
                <w:lang w:val="en-GB" w:eastAsia="en-GB"/>
              </w:rPr>
            </w:pPr>
            <w:r w:rsidRPr="00B52D66">
              <w:rPr>
                <w:rFonts w:cs="Arial"/>
                <w:szCs w:val="18"/>
                <w:lang w:val="en-GB" w:eastAsia="en-GB"/>
              </w:rPr>
              <w:t>289</w:t>
            </w:r>
          </w:p>
        </w:tc>
        <w:tc>
          <w:tcPr>
            <w:tcW w:w="482" w:type="pct"/>
            <w:tcBorders>
              <w:top w:val="nil"/>
              <w:left w:val="nil"/>
              <w:bottom w:val="nil"/>
              <w:right w:val="nil"/>
            </w:tcBorders>
            <w:noWrap/>
            <w:vAlign w:val="bottom"/>
            <w:hideMark/>
          </w:tcPr>
          <w:p w:rsidRPr="00B52D66" w:rsidR="00B52D66" w:rsidP="00FC2172" w:rsidRDefault="00B52D66" w14:paraId="6A889DCC" w14:textId="77777777">
            <w:pPr>
              <w:spacing w:line="240" w:lineRule="auto"/>
              <w:jc w:val="right"/>
              <w:rPr>
                <w:rFonts w:cs="Arial"/>
                <w:szCs w:val="18"/>
                <w:lang w:val="en-GB" w:eastAsia="en-GB"/>
              </w:rPr>
            </w:pPr>
            <w:r w:rsidRPr="00B52D66">
              <w:rPr>
                <w:rFonts w:cs="Arial"/>
                <w:szCs w:val="18"/>
                <w:lang w:val="en-GB" w:eastAsia="en-GB"/>
              </w:rPr>
              <w:t>355</w:t>
            </w:r>
          </w:p>
        </w:tc>
        <w:tc>
          <w:tcPr>
            <w:tcW w:w="482" w:type="pct"/>
            <w:tcBorders>
              <w:top w:val="nil"/>
              <w:left w:val="nil"/>
              <w:bottom w:val="nil"/>
              <w:right w:val="nil"/>
            </w:tcBorders>
            <w:noWrap/>
            <w:vAlign w:val="bottom"/>
            <w:hideMark/>
          </w:tcPr>
          <w:p w:rsidRPr="00B52D66" w:rsidR="00B52D66" w:rsidP="00FC2172" w:rsidRDefault="00B52D66" w14:paraId="161A958C" w14:textId="77777777">
            <w:pPr>
              <w:spacing w:line="240" w:lineRule="auto"/>
              <w:jc w:val="right"/>
              <w:rPr>
                <w:rFonts w:cs="Arial"/>
                <w:szCs w:val="18"/>
                <w:lang w:val="en-GB" w:eastAsia="en-GB"/>
              </w:rPr>
            </w:pPr>
            <w:r w:rsidRPr="00B52D66">
              <w:rPr>
                <w:rFonts w:cs="Arial"/>
                <w:szCs w:val="18"/>
                <w:lang w:val="en-GB" w:eastAsia="en-GB"/>
              </w:rPr>
              <w:t>274</w:t>
            </w:r>
          </w:p>
        </w:tc>
      </w:tr>
      <w:tr w:rsidRPr="00B52D66" w:rsidR="00B52D66" w:rsidTr="00B52D66" w14:paraId="6639E439" w14:textId="77777777">
        <w:trPr>
          <w:trHeight w:val="280"/>
        </w:trPr>
        <w:tc>
          <w:tcPr>
            <w:tcW w:w="2105" w:type="pct"/>
            <w:tcBorders>
              <w:top w:val="nil"/>
              <w:left w:val="nil"/>
              <w:bottom w:val="nil"/>
              <w:right w:val="nil"/>
            </w:tcBorders>
            <w:noWrap/>
            <w:hideMark/>
          </w:tcPr>
          <w:p w:rsidRPr="00B52D66" w:rsidR="00B52D66" w:rsidP="00FC2172" w:rsidRDefault="00B52D66" w14:paraId="1AE4B51C" w14:textId="77777777">
            <w:pPr>
              <w:spacing w:line="240" w:lineRule="auto"/>
              <w:rPr>
                <w:rFonts w:cs="Arial"/>
                <w:szCs w:val="18"/>
                <w:lang w:val="en-GB" w:eastAsia="en-GB"/>
              </w:rPr>
            </w:pPr>
            <w:r w:rsidRPr="00B52D66">
              <w:rPr>
                <w:rFonts w:cs="Arial"/>
                <w:szCs w:val="18"/>
                <w:lang w:val="en-GB" w:eastAsia="en-GB"/>
              </w:rPr>
              <w:t xml:space="preserve">   M&amp;T</w:t>
            </w:r>
          </w:p>
        </w:tc>
        <w:tc>
          <w:tcPr>
            <w:tcW w:w="482" w:type="pct"/>
            <w:tcBorders>
              <w:top w:val="nil"/>
              <w:left w:val="nil"/>
              <w:bottom w:val="nil"/>
              <w:right w:val="nil"/>
            </w:tcBorders>
            <w:noWrap/>
            <w:vAlign w:val="bottom"/>
            <w:hideMark/>
          </w:tcPr>
          <w:p w:rsidRPr="00B52D66" w:rsidR="00B52D66" w:rsidP="00FC2172" w:rsidRDefault="00B52D66" w14:paraId="5304A48C" w14:textId="77777777">
            <w:pPr>
              <w:spacing w:line="240" w:lineRule="auto"/>
              <w:jc w:val="right"/>
              <w:rPr>
                <w:rFonts w:cs="Arial"/>
                <w:szCs w:val="18"/>
                <w:lang w:val="en-GB" w:eastAsia="en-GB"/>
              </w:rPr>
            </w:pPr>
            <w:r w:rsidRPr="00B52D66">
              <w:rPr>
                <w:rFonts w:cs="Arial"/>
                <w:szCs w:val="18"/>
                <w:lang w:val="en-GB" w:eastAsia="en-GB"/>
              </w:rPr>
              <w:t>667</w:t>
            </w:r>
          </w:p>
        </w:tc>
        <w:tc>
          <w:tcPr>
            <w:tcW w:w="482" w:type="pct"/>
            <w:tcBorders>
              <w:top w:val="nil"/>
              <w:left w:val="nil"/>
              <w:bottom w:val="nil"/>
              <w:right w:val="nil"/>
            </w:tcBorders>
            <w:noWrap/>
            <w:vAlign w:val="bottom"/>
            <w:hideMark/>
          </w:tcPr>
          <w:p w:rsidRPr="00B52D66" w:rsidR="00B52D66" w:rsidP="00FC2172" w:rsidRDefault="00B52D66" w14:paraId="74298398" w14:textId="77777777">
            <w:pPr>
              <w:spacing w:line="240" w:lineRule="auto"/>
              <w:jc w:val="right"/>
              <w:rPr>
                <w:rFonts w:cs="Arial"/>
                <w:szCs w:val="18"/>
                <w:lang w:val="en-GB" w:eastAsia="en-GB"/>
              </w:rPr>
            </w:pPr>
            <w:r w:rsidRPr="00B52D66">
              <w:rPr>
                <w:rFonts w:cs="Arial"/>
                <w:szCs w:val="18"/>
                <w:lang w:val="en-GB" w:eastAsia="en-GB"/>
              </w:rPr>
              <w:t>627</w:t>
            </w:r>
          </w:p>
        </w:tc>
        <w:tc>
          <w:tcPr>
            <w:tcW w:w="482" w:type="pct"/>
            <w:tcBorders>
              <w:top w:val="nil"/>
              <w:left w:val="nil"/>
              <w:bottom w:val="nil"/>
              <w:right w:val="nil"/>
            </w:tcBorders>
            <w:noWrap/>
            <w:vAlign w:val="bottom"/>
            <w:hideMark/>
          </w:tcPr>
          <w:p w:rsidRPr="00B52D66" w:rsidR="00B52D66" w:rsidP="00FC2172" w:rsidRDefault="00B52D66" w14:paraId="77AA5E45" w14:textId="77777777">
            <w:pPr>
              <w:spacing w:line="240" w:lineRule="auto"/>
              <w:jc w:val="right"/>
              <w:rPr>
                <w:rFonts w:cs="Arial"/>
                <w:szCs w:val="18"/>
                <w:lang w:val="en-GB" w:eastAsia="en-GB"/>
              </w:rPr>
            </w:pPr>
            <w:r w:rsidRPr="00B52D66">
              <w:rPr>
                <w:rFonts w:cs="Arial"/>
                <w:szCs w:val="18"/>
                <w:lang w:val="en-GB" w:eastAsia="en-GB"/>
              </w:rPr>
              <w:t>621</w:t>
            </w:r>
          </w:p>
        </w:tc>
        <w:tc>
          <w:tcPr>
            <w:tcW w:w="482" w:type="pct"/>
            <w:tcBorders>
              <w:top w:val="nil"/>
              <w:left w:val="nil"/>
              <w:bottom w:val="nil"/>
              <w:right w:val="nil"/>
            </w:tcBorders>
            <w:noWrap/>
            <w:vAlign w:val="bottom"/>
            <w:hideMark/>
          </w:tcPr>
          <w:p w:rsidRPr="00B52D66" w:rsidR="00B52D66" w:rsidP="00FC2172" w:rsidRDefault="00B52D66" w14:paraId="5DEF673D" w14:textId="77777777">
            <w:pPr>
              <w:spacing w:line="240" w:lineRule="auto"/>
              <w:jc w:val="right"/>
              <w:rPr>
                <w:rFonts w:cs="Arial"/>
                <w:szCs w:val="18"/>
                <w:lang w:val="en-GB" w:eastAsia="en-GB"/>
              </w:rPr>
            </w:pPr>
            <w:r w:rsidRPr="00B52D66">
              <w:rPr>
                <w:rFonts w:cs="Arial"/>
                <w:szCs w:val="18"/>
                <w:lang w:val="en-GB" w:eastAsia="en-GB"/>
              </w:rPr>
              <w:t>591</w:t>
            </w:r>
          </w:p>
        </w:tc>
        <w:tc>
          <w:tcPr>
            <w:tcW w:w="482" w:type="pct"/>
            <w:tcBorders>
              <w:top w:val="nil"/>
              <w:left w:val="nil"/>
              <w:bottom w:val="nil"/>
              <w:right w:val="nil"/>
            </w:tcBorders>
            <w:noWrap/>
            <w:vAlign w:val="bottom"/>
            <w:hideMark/>
          </w:tcPr>
          <w:p w:rsidRPr="00B52D66" w:rsidR="00B52D66" w:rsidP="00FC2172" w:rsidRDefault="00B52D66" w14:paraId="445877D6" w14:textId="77777777">
            <w:pPr>
              <w:spacing w:line="240" w:lineRule="auto"/>
              <w:jc w:val="right"/>
              <w:rPr>
                <w:rFonts w:cs="Arial"/>
                <w:szCs w:val="18"/>
                <w:lang w:val="en-GB" w:eastAsia="en-GB"/>
              </w:rPr>
            </w:pPr>
            <w:r w:rsidRPr="00B52D66">
              <w:rPr>
                <w:rFonts w:cs="Arial"/>
                <w:szCs w:val="18"/>
                <w:lang w:val="en-GB" w:eastAsia="en-GB"/>
              </w:rPr>
              <w:t>589</w:t>
            </w:r>
          </w:p>
        </w:tc>
        <w:tc>
          <w:tcPr>
            <w:tcW w:w="482" w:type="pct"/>
            <w:tcBorders>
              <w:top w:val="nil"/>
              <w:left w:val="nil"/>
              <w:bottom w:val="nil"/>
              <w:right w:val="nil"/>
            </w:tcBorders>
            <w:noWrap/>
            <w:vAlign w:val="bottom"/>
            <w:hideMark/>
          </w:tcPr>
          <w:p w:rsidRPr="00B52D66" w:rsidR="00B52D66" w:rsidP="00FC2172" w:rsidRDefault="00B52D66" w14:paraId="10FA1D12" w14:textId="77777777">
            <w:pPr>
              <w:spacing w:line="240" w:lineRule="auto"/>
              <w:jc w:val="right"/>
              <w:rPr>
                <w:rFonts w:cs="Arial"/>
                <w:szCs w:val="18"/>
                <w:lang w:val="en-GB" w:eastAsia="en-GB"/>
              </w:rPr>
            </w:pPr>
            <w:r w:rsidRPr="00B52D66">
              <w:rPr>
                <w:rFonts w:cs="Arial"/>
                <w:szCs w:val="18"/>
                <w:lang w:val="en-GB" w:eastAsia="en-GB"/>
              </w:rPr>
              <w:t>539</w:t>
            </w:r>
          </w:p>
        </w:tc>
      </w:tr>
      <w:tr w:rsidRPr="00B52D66" w:rsidR="00B52D66" w:rsidTr="00B52D66" w14:paraId="6BDAED25" w14:textId="77777777">
        <w:trPr>
          <w:trHeight w:val="280"/>
        </w:trPr>
        <w:tc>
          <w:tcPr>
            <w:tcW w:w="2105" w:type="pct"/>
            <w:tcBorders>
              <w:top w:val="nil"/>
              <w:left w:val="nil"/>
              <w:bottom w:val="nil"/>
              <w:right w:val="nil"/>
            </w:tcBorders>
            <w:noWrap/>
            <w:hideMark/>
          </w:tcPr>
          <w:p w:rsidRPr="00B52D66" w:rsidR="00B52D66" w:rsidP="00FC2172" w:rsidRDefault="00B52D66" w14:paraId="55F550BF" w14:textId="77777777">
            <w:pPr>
              <w:spacing w:line="240" w:lineRule="auto"/>
              <w:rPr>
                <w:rFonts w:cs="Arial"/>
                <w:szCs w:val="18"/>
                <w:lang w:val="en-GB" w:eastAsia="en-GB"/>
              </w:rPr>
            </w:pPr>
            <w:r w:rsidRPr="00B52D66">
              <w:rPr>
                <w:rFonts w:cs="Arial"/>
                <w:szCs w:val="18"/>
                <w:lang w:val="en-GB" w:eastAsia="en-GB"/>
              </w:rPr>
              <w:t xml:space="preserve">   PIE</w:t>
            </w:r>
          </w:p>
        </w:tc>
        <w:tc>
          <w:tcPr>
            <w:tcW w:w="482" w:type="pct"/>
            <w:tcBorders>
              <w:top w:val="nil"/>
              <w:left w:val="nil"/>
              <w:bottom w:val="nil"/>
              <w:right w:val="nil"/>
            </w:tcBorders>
            <w:noWrap/>
            <w:vAlign w:val="bottom"/>
            <w:hideMark/>
          </w:tcPr>
          <w:p w:rsidRPr="00B52D66" w:rsidR="00B52D66" w:rsidP="00FC2172" w:rsidRDefault="00B52D66" w14:paraId="3F279AC2" w14:textId="77777777">
            <w:pPr>
              <w:spacing w:line="240" w:lineRule="auto"/>
              <w:jc w:val="right"/>
              <w:rPr>
                <w:rFonts w:cs="Arial"/>
                <w:szCs w:val="18"/>
                <w:lang w:val="en-GB" w:eastAsia="en-GB"/>
              </w:rPr>
            </w:pPr>
            <w:r w:rsidRPr="00B52D66">
              <w:rPr>
                <w:rFonts w:cs="Arial"/>
                <w:szCs w:val="18"/>
                <w:lang w:val="en-GB" w:eastAsia="en-GB"/>
              </w:rPr>
              <w:t>1.934</w:t>
            </w:r>
          </w:p>
        </w:tc>
        <w:tc>
          <w:tcPr>
            <w:tcW w:w="482" w:type="pct"/>
            <w:tcBorders>
              <w:top w:val="nil"/>
              <w:left w:val="nil"/>
              <w:bottom w:val="nil"/>
              <w:right w:val="nil"/>
            </w:tcBorders>
            <w:noWrap/>
            <w:vAlign w:val="bottom"/>
            <w:hideMark/>
          </w:tcPr>
          <w:p w:rsidRPr="00B52D66" w:rsidR="00B52D66" w:rsidP="00FC2172" w:rsidRDefault="00B52D66" w14:paraId="6D68E97A" w14:textId="77777777">
            <w:pPr>
              <w:spacing w:line="240" w:lineRule="auto"/>
              <w:jc w:val="right"/>
              <w:rPr>
                <w:rFonts w:cs="Arial"/>
                <w:szCs w:val="18"/>
                <w:lang w:val="en-GB" w:eastAsia="en-GB"/>
              </w:rPr>
            </w:pPr>
            <w:r w:rsidRPr="00B52D66">
              <w:rPr>
                <w:rFonts w:cs="Arial"/>
                <w:szCs w:val="18"/>
                <w:lang w:val="en-GB" w:eastAsia="en-GB"/>
              </w:rPr>
              <w:t>1.686</w:t>
            </w:r>
          </w:p>
        </w:tc>
        <w:tc>
          <w:tcPr>
            <w:tcW w:w="482" w:type="pct"/>
            <w:tcBorders>
              <w:top w:val="nil"/>
              <w:left w:val="nil"/>
              <w:bottom w:val="nil"/>
              <w:right w:val="nil"/>
            </w:tcBorders>
            <w:noWrap/>
            <w:vAlign w:val="bottom"/>
            <w:hideMark/>
          </w:tcPr>
          <w:p w:rsidRPr="00B52D66" w:rsidR="00B52D66" w:rsidP="00FC2172" w:rsidRDefault="00B52D66" w14:paraId="6CD1E7D3" w14:textId="77777777">
            <w:pPr>
              <w:spacing w:line="240" w:lineRule="auto"/>
              <w:jc w:val="right"/>
              <w:rPr>
                <w:rFonts w:cs="Arial"/>
                <w:szCs w:val="18"/>
                <w:lang w:val="en-GB" w:eastAsia="en-GB"/>
              </w:rPr>
            </w:pPr>
            <w:r w:rsidRPr="00B52D66">
              <w:rPr>
                <w:rFonts w:cs="Arial"/>
                <w:szCs w:val="18"/>
                <w:lang w:val="en-GB" w:eastAsia="en-GB"/>
              </w:rPr>
              <w:t>1.559</w:t>
            </w:r>
          </w:p>
        </w:tc>
        <w:tc>
          <w:tcPr>
            <w:tcW w:w="482" w:type="pct"/>
            <w:tcBorders>
              <w:top w:val="nil"/>
              <w:left w:val="nil"/>
              <w:bottom w:val="nil"/>
              <w:right w:val="nil"/>
            </w:tcBorders>
            <w:noWrap/>
            <w:vAlign w:val="bottom"/>
            <w:hideMark/>
          </w:tcPr>
          <w:p w:rsidRPr="00B52D66" w:rsidR="00B52D66" w:rsidP="00FC2172" w:rsidRDefault="00B52D66" w14:paraId="4BB78941" w14:textId="77777777">
            <w:pPr>
              <w:spacing w:line="240" w:lineRule="auto"/>
              <w:jc w:val="right"/>
              <w:rPr>
                <w:rFonts w:cs="Arial"/>
                <w:szCs w:val="18"/>
                <w:lang w:val="en-GB" w:eastAsia="en-GB"/>
              </w:rPr>
            </w:pPr>
            <w:r w:rsidRPr="00B52D66">
              <w:rPr>
                <w:rFonts w:cs="Arial"/>
                <w:szCs w:val="18"/>
                <w:lang w:val="en-GB" w:eastAsia="en-GB"/>
              </w:rPr>
              <w:t>1.479</w:t>
            </w:r>
          </w:p>
        </w:tc>
        <w:tc>
          <w:tcPr>
            <w:tcW w:w="482" w:type="pct"/>
            <w:tcBorders>
              <w:top w:val="nil"/>
              <w:left w:val="nil"/>
              <w:bottom w:val="nil"/>
              <w:right w:val="nil"/>
            </w:tcBorders>
            <w:noWrap/>
            <w:vAlign w:val="bottom"/>
            <w:hideMark/>
          </w:tcPr>
          <w:p w:rsidRPr="00B52D66" w:rsidR="00B52D66" w:rsidP="00FC2172" w:rsidRDefault="00B52D66" w14:paraId="5B196957" w14:textId="77777777">
            <w:pPr>
              <w:spacing w:line="240" w:lineRule="auto"/>
              <w:jc w:val="right"/>
              <w:rPr>
                <w:rFonts w:cs="Arial"/>
                <w:szCs w:val="18"/>
                <w:lang w:val="en-GB" w:eastAsia="en-GB"/>
              </w:rPr>
            </w:pPr>
            <w:r w:rsidRPr="00B52D66">
              <w:rPr>
                <w:rFonts w:cs="Arial"/>
                <w:szCs w:val="18"/>
                <w:lang w:val="en-GB" w:eastAsia="en-GB"/>
              </w:rPr>
              <w:t>1.600</w:t>
            </w:r>
          </w:p>
        </w:tc>
        <w:tc>
          <w:tcPr>
            <w:tcW w:w="482" w:type="pct"/>
            <w:tcBorders>
              <w:top w:val="nil"/>
              <w:left w:val="nil"/>
              <w:bottom w:val="nil"/>
              <w:right w:val="nil"/>
            </w:tcBorders>
            <w:noWrap/>
            <w:vAlign w:val="bottom"/>
            <w:hideMark/>
          </w:tcPr>
          <w:p w:rsidRPr="00B52D66" w:rsidR="00B52D66" w:rsidP="00FC2172" w:rsidRDefault="00B52D66" w14:paraId="78EB0991" w14:textId="77777777">
            <w:pPr>
              <w:spacing w:line="240" w:lineRule="auto"/>
              <w:jc w:val="right"/>
              <w:rPr>
                <w:rFonts w:cs="Arial"/>
                <w:szCs w:val="18"/>
                <w:lang w:val="en-GB" w:eastAsia="en-GB"/>
              </w:rPr>
            </w:pPr>
            <w:r w:rsidRPr="00B52D66">
              <w:rPr>
                <w:rFonts w:cs="Arial"/>
                <w:szCs w:val="18"/>
                <w:lang w:val="en-GB" w:eastAsia="en-GB"/>
              </w:rPr>
              <w:t>1.504</w:t>
            </w:r>
          </w:p>
        </w:tc>
      </w:tr>
      <w:tr w:rsidRPr="00B52D66" w:rsidR="00B52D66" w:rsidTr="00B52D66" w14:paraId="3A536C7F"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48C88CD1" w14:textId="77777777">
            <w:pPr>
              <w:spacing w:line="240" w:lineRule="auto"/>
              <w:rPr>
                <w:rFonts w:cs="Arial"/>
                <w:b/>
                <w:bCs/>
                <w:szCs w:val="18"/>
                <w:lang w:val="en-GB" w:eastAsia="en-GB"/>
              </w:rPr>
            </w:pPr>
            <w:r w:rsidRPr="00B52D66">
              <w:rPr>
                <w:rFonts w:cs="Arial"/>
                <w:b/>
                <w:bCs/>
                <w:szCs w:val="18"/>
                <w:lang w:val="en-GB" w:eastAsia="en-GB"/>
              </w:rPr>
              <w:t xml:space="preserve">  Totaal niet-techniek</w:t>
            </w:r>
          </w:p>
        </w:tc>
        <w:tc>
          <w:tcPr>
            <w:tcW w:w="482" w:type="pct"/>
            <w:tcBorders>
              <w:top w:val="nil"/>
              <w:left w:val="nil"/>
              <w:bottom w:val="nil"/>
              <w:right w:val="nil"/>
            </w:tcBorders>
            <w:noWrap/>
            <w:vAlign w:val="bottom"/>
            <w:hideMark/>
          </w:tcPr>
          <w:p w:rsidRPr="00B52D66" w:rsidR="00B52D66" w:rsidP="00FC2172" w:rsidRDefault="00B52D66" w14:paraId="50CF08D0" w14:textId="77777777">
            <w:pPr>
              <w:spacing w:line="240" w:lineRule="auto"/>
              <w:jc w:val="right"/>
              <w:rPr>
                <w:rFonts w:cs="Arial"/>
                <w:b/>
                <w:bCs/>
                <w:szCs w:val="18"/>
                <w:lang w:val="en-GB" w:eastAsia="en-GB"/>
              </w:rPr>
            </w:pPr>
            <w:r w:rsidRPr="00B52D66">
              <w:rPr>
                <w:rFonts w:cs="Arial"/>
                <w:b/>
                <w:bCs/>
                <w:szCs w:val="18"/>
                <w:lang w:val="en-GB" w:eastAsia="en-GB"/>
              </w:rPr>
              <w:t>13.829</w:t>
            </w:r>
          </w:p>
        </w:tc>
        <w:tc>
          <w:tcPr>
            <w:tcW w:w="482" w:type="pct"/>
            <w:tcBorders>
              <w:top w:val="nil"/>
              <w:left w:val="nil"/>
              <w:bottom w:val="nil"/>
              <w:right w:val="nil"/>
            </w:tcBorders>
            <w:noWrap/>
            <w:vAlign w:val="bottom"/>
            <w:hideMark/>
          </w:tcPr>
          <w:p w:rsidRPr="00B52D66" w:rsidR="00B52D66" w:rsidP="00FC2172" w:rsidRDefault="00B52D66" w14:paraId="3191FA11" w14:textId="77777777">
            <w:pPr>
              <w:spacing w:line="240" w:lineRule="auto"/>
              <w:jc w:val="right"/>
              <w:rPr>
                <w:rFonts w:cs="Arial"/>
                <w:b/>
                <w:bCs/>
                <w:szCs w:val="18"/>
                <w:lang w:val="en-GB" w:eastAsia="en-GB"/>
              </w:rPr>
            </w:pPr>
            <w:r w:rsidRPr="00B52D66">
              <w:rPr>
                <w:rFonts w:cs="Arial"/>
                <w:b/>
                <w:bCs/>
                <w:szCs w:val="18"/>
                <w:lang w:val="en-GB" w:eastAsia="en-GB"/>
              </w:rPr>
              <w:t>12.990</w:t>
            </w:r>
          </w:p>
        </w:tc>
        <w:tc>
          <w:tcPr>
            <w:tcW w:w="482" w:type="pct"/>
            <w:tcBorders>
              <w:top w:val="nil"/>
              <w:left w:val="nil"/>
              <w:bottom w:val="nil"/>
              <w:right w:val="nil"/>
            </w:tcBorders>
            <w:noWrap/>
            <w:vAlign w:val="bottom"/>
            <w:hideMark/>
          </w:tcPr>
          <w:p w:rsidRPr="00B52D66" w:rsidR="00B52D66" w:rsidP="00FC2172" w:rsidRDefault="00B52D66" w14:paraId="4833243C" w14:textId="77777777">
            <w:pPr>
              <w:spacing w:line="240" w:lineRule="auto"/>
              <w:jc w:val="right"/>
              <w:rPr>
                <w:rFonts w:cs="Arial"/>
                <w:b/>
                <w:bCs/>
                <w:szCs w:val="18"/>
                <w:lang w:val="en-GB" w:eastAsia="en-GB"/>
              </w:rPr>
            </w:pPr>
            <w:r w:rsidRPr="00B52D66">
              <w:rPr>
                <w:rFonts w:cs="Arial"/>
                <w:b/>
                <w:bCs/>
                <w:szCs w:val="18"/>
                <w:lang w:val="en-GB" w:eastAsia="en-GB"/>
              </w:rPr>
              <w:t>12.090</w:t>
            </w:r>
          </w:p>
        </w:tc>
        <w:tc>
          <w:tcPr>
            <w:tcW w:w="482" w:type="pct"/>
            <w:tcBorders>
              <w:top w:val="nil"/>
              <w:left w:val="nil"/>
              <w:bottom w:val="nil"/>
              <w:right w:val="nil"/>
            </w:tcBorders>
            <w:noWrap/>
            <w:vAlign w:val="bottom"/>
            <w:hideMark/>
          </w:tcPr>
          <w:p w:rsidRPr="00B52D66" w:rsidR="00B52D66" w:rsidP="00FC2172" w:rsidRDefault="00B52D66" w14:paraId="6D01E544" w14:textId="77777777">
            <w:pPr>
              <w:spacing w:line="240" w:lineRule="auto"/>
              <w:jc w:val="right"/>
              <w:rPr>
                <w:rFonts w:cs="Arial"/>
                <w:b/>
                <w:bCs/>
                <w:szCs w:val="18"/>
                <w:lang w:val="en-GB" w:eastAsia="en-GB"/>
              </w:rPr>
            </w:pPr>
            <w:r w:rsidRPr="00B52D66">
              <w:rPr>
                <w:rFonts w:cs="Arial"/>
                <w:b/>
                <w:bCs/>
                <w:szCs w:val="18"/>
                <w:lang w:val="en-GB" w:eastAsia="en-GB"/>
              </w:rPr>
              <w:t>11.628</w:t>
            </w:r>
          </w:p>
        </w:tc>
        <w:tc>
          <w:tcPr>
            <w:tcW w:w="482" w:type="pct"/>
            <w:tcBorders>
              <w:top w:val="nil"/>
              <w:left w:val="nil"/>
              <w:bottom w:val="nil"/>
              <w:right w:val="nil"/>
            </w:tcBorders>
            <w:noWrap/>
            <w:vAlign w:val="bottom"/>
            <w:hideMark/>
          </w:tcPr>
          <w:p w:rsidRPr="00B52D66" w:rsidR="00B52D66" w:rsidP="00FC2172" w:rsidRDefault="00B52D66" w14:paraId="7CC548E0" w14:textId="77777777">
            <w:pPr>
              <w:spacing w:line="240" w:lineRule="auto"/>
              <w:jc w:val="right"/>
              <w:rPr>
                <w:rFonts w:cs="Arial"/>
                <w:b/>
                <w:bCs/>
                <w:szCs w:val="18"/>
                <w:lang w:val="en-GB" w:eastAsia="en-GB"/>
              </w:rPr>
            </w:pPr>
            <w:r w:rsidRPr="00B52D66">
              <w:rPr>
                <w:rFonts w:cs="Arial"/>
                <w:b/>
                <w:bCs/>
                <w:szCs w:val="18"/>
                <w:lang w:val="en-GB" w:eastAsia="en-GB"/>
              </w:rPr>
              <w:t>12.613</w:t>
            </w:r>
          </w:p>
        </w:tc>
        <w:tc>
          <w:tcPr>
            <w:tcW w:w="482" w:type="pct"/>
            <w:tcBorders>
              <w:top w:val="nil"/>
              <w:left w:val="nil"/>
              <w:bottom w:val="nil"/>
              <w:right w:val="nil"/>
            </w:tcBorders>
            <w:noWrap/>
            <w:vAlign w:val="bottom"/>
            <w:hideMark/>
          </w:tcPr>
          <w:p w:rsidRPr="00B52D66" w:rsidR="00B52D66" w:rsidP="00FC2172" w:rsidRDefault="00B52D66" w14:paraId="3789BE39" w14:textId="77777777">
            <w:pPr>
              <w:spacing w:line="240" w:lineRule="auto"/>
              <w:jc w:val="right"/>
              <w:rPr>
                <w:rFonts w:cs="Arial"/>
                <w:b/>
                <w:bCs/>
                <w:szCs w:val="18"/>
                <w:lang w:val="en-GB" w:eastAsia="en-GB"/>
              </w:rPr>
            </w:pPr>
            <w:r w:rsidRPr="00B52D66">
              <w:rPr>
                <w:rFonts w:cs="Arial"/>
                <w:b/>
                <w:bCs/>
                <w:szCs w:val="18"/>
                <w:lang w:val="en-GB" w:eastAsia="en-GB"/>
              </w:rPr>
              <w:t>12.387</w:t>
            </w:r>
          </w:p>
        </w:tc>
      </w:tr>
      <w:tr w:rsidRPr="00B52D66" w:rsidR="00B52D66" w:rsidTr="00B52D66" w14:paraId="76851D15"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2D760B2C" w14:textId="77777777">
            <w:pPr>
              <w:spacing w:line="240" w:lineRule="auto"/>
              <w:rPr>
                <w:rFonts w:cs="Arial"/>
                <w:szCs w:val="18"/>
                <w:lang w:val="en-GB" w:eastAsia="en-GB"/>
              </w:rPr>
            </w:pPr>
            <w:r w:rsidRPr="00B52D66">
              <w:rPr>
                <w:rFonts w:cs="Arial"/>
                <w:szCs w:val="18"/>
                <w:lang w:val="en-GB" w:eastAsia="en-GB"/>
              </w:rPr>
              <w:t xml:space="preserve">   D&amp;P</w:t>
            </w:r>
          </w:p>
        </w:tc>
        <w:tc>
          <w:tcPr>
            <w:tcW w:w="482" w:type="pct"/>
            <w:tcBorders>
              <w:top w:val="nil"/>
              <w:left w:val="nil"/>
              <w:bottom w:val="nil"/>
              <w:right w:val="nil"/>
            </w:tcBorders>
            <w:noWrap/>
            <w:vAlign w:val="bottom"/>
            <w:hideMark/>
          </w:tcPr>
          <w:p w:rsidRPr="00B52D66" w:rsidR="00B52D66" w:rsidP="00FC2172" w:rsidRDefault="00B52D66" w14:paraId="249751F4" w14:textId="77777777">
            <w:pPr>
              <w:spacing w:line="240" w:lineRule="auto"/>
              <w:jc w:val="right"/>
              <w:rPr>
                <w:rFonts w:cs="Arial"/>
                <w:szCs w:val="18"/>
                <w:lang w:val="en-GB" w:eastAsia="en-GB"/>
              </w:rPr>
            </w:pPr>
            <w:r w:rsidRPr="00B52D66">
              <w:rPr>
                <w:rFonts w:cs="Arial"/>
                <w:szCs w:val="18"/>
                <w:lang w:val="en-GB" w:eastAsia="en-GB"/>
              </w:rPr>
              <w:t>3.753</w:t>
            </w:r>
          </w:p>
        </w:tc>
        <w:tc>
          <w:tcPr>
            <w:tcW w:w="482" w:type="pct"/>
            <w:tcBorders>
              <w:top w:val="nil"/>
              <w:left w:val="nil"/>
              <w:bottom w:val="nil"/>
              <w:right w:val="nil"/>
            </w:tcBorders>
            <w:noWrap/>
            <w:vAlign w:val="bottom"/>
            <w:hideMark/>
          </w:tcPr>
          <w:p w:rsidRPr="00B52D66" w:rsidR="00B52D66" w:rsidP="00FC2172" w:rsidRDefault="00B52D66" w14:paraId="5C2FD59B" w14:textId="77777777">
            <w:pPr>
              <w:spacing w:line="240" w:lineRule="auto"/>
              <w:jc w:val="right"/>
              <w:rPr>
                <w:rFonts w:cs="Arial"/>
                <w:szCs w:val="18"/>
                <w:lang w:val="en-GB" w:eastAsia="en-GB"/>
              </w:rPr>
            </w:pPr>
            <w:r w:rsidRPr="00B52D66">
              <w:rPr>
                <w:rFonts w:cs="Arial"/>
                <w:szCs w:val="18"/>
                <w:lang w:val="en-GB" w:eastAsia="en-GB"/>
              </w:rPr>
              <w:t>3.440</w:t>
            </w:r>
          </w:p>
        </w:tc>
        <w:tc>
          <w:tcPr>
            <w:tcW w:w="482" w:type="pct"/>
            <w:tcBorders>
              <w:top w:val="nil"/>
              <w:left w:val="nil"/>
              <w:bottom w:val="nil"/>
              <w:right w:val="nil"/>
            </w:tcBorders>
            <w:noWrap/>
            <w:vAlign w:val="bottom"/>
            <w:hideMark/>
          </w:tcPr>
          <w:p w:rsidRPr="00B52D66" w:rsidR="00B52D66" w:rsidP="00FC2172" w:rsidRDefault="00B52D66" w14:paraId="32227E97" w14:textId="77777777">
            <w:pPr>
              <w:spacing w:line="240" w:lineRule="auto"/>
              <w:jc w:val="right"/>
              <w:rPr>
                <w:rFonts w:cs="Arial"/>
                <w:szCs w:val="18"/>
                <w:lang w:val="en-GB" w:eastAsia="en-GB"/>
              </w:rPr>
            </w:pPr>
            <w:r w:rsidRPr="00B52D66">
              <w:rPr>
                <w:rFonts w:cs="Arial"/>
                <w:szCs w:val="18"/>
                <w:lang w:val="en-GB" w:eastAsia="en-GB"/>
              </w:rPr>
              <w:t>3.159</w:t>
            </w:r>
          </w:p>
        </w:tc>
        <w:tc>
          <w:tcPr>
            <w:tcW w:w="482" w:type="pct"/>
            <w:tcBorders>
              <w:top w:val="nil"/>
              <w:left w:val="nil"/>
              <w:bottom w:val="nil"/>
              <w:right w:val="nil"/>
            </w:tcBorders>
            <w:noWrap/>
            <w:vAlign w:val="bottom"/>
            <w:hideMark/>
          </w:tcPr>
          <w:p w:rsidRPr="00B52D66" w:rsidR="00B52D66" w:rsidP="00FC2172" w:rsidRDefault="00B52D66" w14:paraId="705F342E" w14:textId="77777777">
            <w:pPr>
              <w:spacing w:line="240" w:lineRule="auto"/>
              <w:jc w:val="right"/>
              <w:rPr>
                <w:rFonts w:cs="Arial"/>
                <w:szCs w:val="18"/>
                <w:lang w:val="en-GB" w:eastAsia="en-GB"/>
              </w:rPr>
            </w:pPr>
            <w:r w:rsidRPr="00B52D66">
              <w:rPr>
                <w:rFonts w:cs="Arial"/>
                <w:szCs w:val="18"/>
                <w:lang w:val="en-GB" w:eastAsia="en-GB"/>
              </w:rPr>
              <w:t>2.885</w:t>
            </w:r>
          </w:p>
        </w:tc>
        <w:tc>
          <w:tcPr>
            <w:tcW w:w="482" w:type="pct"/>
            <w:tcBorders>
              <w:top w:val="nil"/>
              <w:left w:val="nil"/>
              <w:bottom w:val="nil"/>
              <w:right w:val="nil"/>
            </w:tcBorders>
            <w:noWrap/>
            <w:vAlign w:val="bottom"/>
            <w:hideMark/>
          </w:tcPr>
          <w:p w:rsidRPr="00B52D66" w:rsidR="00B52D66" w:rsidP="00FC2172" w:rsidRDefault="00B52D66" w14:paraId="0F61B3F0" w14:textId="77777777">
            <w:pPr>
              <w:spacing w:line="240" w:lineRule="auto"/>
              <w:jc w:val="right"/>
              <w:rPr>
                <w:rFonts w:cs="Arial"/>
                <w:szCs w:val="18"/>
                <w:lang w:val="en-GB" w:eastAsia="en-GB"/>
              </w:rPr>
            </w:pPr>
            <w:r w:rsidRPr="00B52D66">
              <w:rPr>
                <w:rFonts w:cs="Arial"/>
                <w:szCs w:val="18"/>
                <w:lang w:val="en-GB" w:eastAsia="en-GB"/>
              </w:rPr>
              <w:t>3.263</w:t>
            </w:r>
          </w:p>
        </w:tc>
        <w:tc>
          <w:tcPr>
            <w:tcW w:w="482" w:type="pct"/>
            <w:tcBorders>
              <w:top w:val="nil"/>
              <w:left w:val="nil"/>
              <w:bottom w:val="nil"/>
              <w:right w:val="nil"/>
            </w:tcBorders>
            <w:noWrap/>
            <w:vAlign w:val="bottom"/>
            <w:hideMark/>
          </w:tcPr>
          <w:p w:rsidRPr="00B52D66" w:rsidR="00B52D66" w:rsidP="00FC2172" w:rsidRDefault="00B52D66" w14:paraId="3240AEF8" w14:textId="77777777">
            <w:pPr>
              <w:spacing w:line="240" w:lineRule="auto"/>
              <w:jc w:val="right"/>
              <w:rPr>
                <w:rFonts w:cs="Arial"/>
                <w:szCs w:val="18"/>
                <w:lang w:val="en-GB" w:eastAsia="en-GB"/>
              </w:rPr>
            </w:pPr>
            <w:r w:rsidRPr="00B52D66">
              <w:rPr>
                <w:rFonts w:cs="Arial"/>
                <w:szCs w:val="18"/>
                <w:lang w:val="en-GB" w:eastAsia="en-GB"/>
              </w:rPr>
              <w:t>3.249</w:t>
            </w:r>
          </w:p>
        </w:tc>
      </w:tr>
      <w:tr w:rsidRPr="00B52D66" w:rsidR="00B52D66" w:rsidTr="00B52D66" w14:paraId="159246B5"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6BB9A949" w14:textId="77777777">
            <w:pPr>
              <w:spacing w:line="240" w:lineRule="auto"/>
              <w:rPr>
                <w:rFonts w:cs="Arial"/>
                <w:szCs w:val="18"/>
                <w:lang w:val="en-GB" w:eastAsia="en-GB"/>
              </w:rPr>
            </w:pPr>
            <w:r w:rsidRPr="00B52D66">
              <w:rPr>
                <w:rFonts w:cs="Arial"/>
                <w:szCs w:val="18"/>
                <w:lang w:val="en-GB" w:eastAsia="en-GB"/>
              </w:rPr>
              <w:t xml:space="preserve">   E&amp;O</w:t>
            </w:r>
          </w:p>
        </w:tc>
        <w:tc>
          <w:tcPr>
            <w:tcW w:w="482" w:type="pct"/>
            <w:tcBorders>
              <w:top w:val="nil"/>
              <w:left w:val="nil"/>
              <w:bottom w:val="nil"/>
              <w:right w:val="nil"/>
            </w:tcBorders>
            <w:noWrap/>
            <w:vAlign w:val="bottom"/>
            <w:hideMark/>
          </w:tcPr>
          <w:p w:rsidRPr="00B52D66" w:rsidR="00B52D66" w:rsidP="00FC2172" w:rsidRDefault="00B52D66" w14:paraId="4CA03CB2" w14:textId="77777777">
            <w:pPr>
              <w:spacing w:line="240" w:lineRule="auto"/>
              <w:jc w:val="right"/>
              <w:rPr>
                <w:rFonts w:cs="Arial"/>
                <w:szCs w:val="18"/>
                <w:lang w:val="en-GB" w:eastAsia="en-GB"/>
              </w:rPr>
            </w:pPr>
            <w:r w:rsidRPr="00B52D66">
              <w:rPr>
                <w:rFonts w:cs="Arial"/>
                <w:szCs w:val="18"/>
                <w:lang w:val="en-GB" w:eastAsia="en-GB"/>
              </w:rPr>
              <w:t>2.040</w:t>
            </w:r>
          </w:p>
        </w:tc>
        <w:tc>
          <w:tcPr>
            <w:tcW w:w="482" w:type="pct"/>
            <w:tcBorders>
              <w:top w:val="nil"/>
              <w:left w:val="nil"/>
              <w:bottom w:val="nil"/>
              <w:right w:val="nil"/>
            </w:tcBorders>
            <w:noWrap/>
            <w:vAlign w:val="bottom"/>
            <w:hideMark/>
          </w:tcPr>
          <w:p w:rsidRPr="00B52D66" w:rsidR="00B52D66" w:rsidP="00FC2172" w:rsidRDefault="00B52D66" w14:paraId="3A455726" w14:textId="77777777">
            <w:pPr>
              <w:spacing w:line="240" w:lineRule="auto"/>
              <w:jc w:val="right"/>
              <w:rPr>
                <w:rFonts w:cs="Arial"/>
                <w:szCs w:val="18"/>
                <w:lang w:val="en-GB" w:eastAsia="en-GB"/>
              </w:rPr>
            </w:pPr>
            <w:r w:rsidRPr="00B52D66">
              <w:rPr>
                <w:rFonts w:cs="Arial"/>
                <w:szCs w:val="18"/>
                <w:lang w:val="en-GB" w:eastAsia="en-GB"/>
              </w:rPr>
              <w:t>1.843</w:t>
            </w:r>
          </w:p>
        </w:tc>
        <w:tc>
          <w:tcPr>
            <w:tcW w:w="482" w:type="pct"/>
            <w:tcBorders>
              <w:top w:val="nil"/>
              <w:left w:val="nil"/>
              <w:bottom w:val="nil"/>
              <w:right w:val="nil"/>
            </w:tcBorders>
            <w:noWrap/>
            <w:vAlign w:val="bottom"/>
            <w:hideMark/>
          </w:tcPr>
          <w:p w:rsidRPr="00B52D66" w:rsidR="00B52D66" w:rsidP="00FC2172" w:rsidRDefault="00B52D66" w14:paraId="112D2885" w14:textId="77777777">
            <w:pPr>
              <w:spacing w:line="240" w:lineRule="auto"/>
              <w:jc w:val="right"/>
              <w:rPr>
                <w:rFonts w:cs="Arial"/>
                <w:szCs w:val="18"/>
                <w:lang w:val="en-GB" w:eastAsia="en-GB"/>
              </w:rPr>
            </w:pPr>
            <w:r w:rsidRPr="00B52D66">
              <w:rPr>
                <w:rFonts w:cs="Arial"/>
                <w:szCs w:val="18"/>
                <w:lang w:val="en-GB" w:eastAsia="en-GB"/>
              </w:rPr>
              <w:t>1.530</w:t>
            </w:r>
          </w:p>
        </w:tc>
        <w:tc>
          <w:tcPr>
            <w:tcW w:w="482" w:type="pct"/>
            <w:tcBorders>
              <w:top w:val="nil"/>
              <w:left w:val="nil"/>
              <w:bottom w:val="nil"/>
              <w:right w:val="nil"/>
            </w:tcBorders>
            <w:noWrap/>
            <w:vAlign w:val="bottom"/>
            <w:hideMark/>
          </w:tcPr>
          <w:p w:rsidRPr="00B52D66" w:rsidR="00B52D66" w:rsidP="00FC2172" w:rsidRDefault="00B52D66" w14:paraId="0C783662" w14:textId="77777777">
            <w:pPr>
              <w:spacing w:line="240" w:lineRule="auto"/>
              <w:jc w:val="right"/>
              <w:rPr>
                <w:rFonts w:cs="Arial"/>
                <w:szCs w:val="18"/>
                <w:lang w:val="en-GB" w:eastAsia="en-GB"/>
              </w:rPr>
            </w:pPr>
            <w:r w:rsidRPr="00B52D66">
              <w:rPr>
                <w:rFonts w:cs="Arial"/>
                <w:szCs w:val="18"/>
                <w:lang w:val="en-GB" w:eastAsia="en-GB"/>
              </w:rPr>
              <w:t>1.458</w:t>
            </w:r>
          </w:p>
        </w:tc>
        <w:tc>
          <w:tcPr>
            <w:tcW w:w="482" w:type="pct"/>
            <w:tcBorders>
              <w:top w:val="nil"/>
              <w:left w:val="nil"/>
              <w:bottom w:val="nil"/>
              <w:right w:val="nil"/>
            </w:tcBorders>
            <w:noWrap/>
            <w:vAlign w:val="bottom"/>
            <w:hideMark/>
          </w:tcPr>
          <w:p w:rsidRPr="00B52D66" w:rsidR="00B52D66" w:rsidP="00FC2172" w:rsidRDefault="00B52D66" w14:paraId="7ACB0CB0" w14:textId="77777777">
            <w:pPr>
              <w:spacing w:line="240" w:lineRule="auto"/>
              <w:jc w:val="right"/>
              <w:rPr>
                <w:rFonts w:cs="Arial"/>
                <w:szCs w:val="18"/>
                <w:lang w:val="en-GB" w:eastAsia="en-GB"/>
              </w:rPr>
            </w:pPr>
            <w:r w:rsidRPr="00B52D66">
              <w:rPr>
                <w:rFonts w:cs="Arial"/>
                <w:szCs w:val="18"/>
                <w:lang w:val="en-GB" w:eastAsia="en-GB"/>
              </w:rPr>
              <w:t>1.368</w:t>
            </w:r>
          </w:p>
        </w:tc>
        <w:tc>
          <w:tcPr>
            <w:tcW w:w="482" w:type="pct"/>
            <w:tcBorders>
              <w:top w:val="nil"/>
              <w:left w:val="nil"/>
              <w:bottom w:val="nil"/>
              <w:right w:val="nil"/>
            </w:tcBorders>
            <w:noWrap/>
            <w:vAlign w:val="bottom"/>
            <w:hideMark/>
          </w:tcPr>
          <w:p w:rsidRPr="00B52D66" w:rsidR="00B52D66" w:rsidP="00FC2172" w:rsidRDefault="00B52D66" w14:paraId="5AB2B9E4" w14:textId="77777777">
            <w:pPr>
              <w:spacing w:line="240" w:lineRule="auto"/>
              <w:jc w:val="right"/>
              <w:rPr>
                <w:rFonts w:cs="Arial"/>
                <w:szCs w:val="18"/>
                <w:lang w:val="en-GB" w:eastAsia="en-GB"/>
              </w:rPr>
            </w:pPr>
            <w:r w:rsidRPr="00B52D66">
              <w:rPr>
                <w:rFonts w:cs="Arial"/>
                <w:szCs w:val="18"/>
                <w:lang w:val="en-GB" w:eastAsia="en-GB"/>
              </w:rPr>
              <w:t>1.331</w:t>
            </w:r>
          </w:p>
        </w:tc>
      </w:tr>
      <w:tr w:rsidRPr="00B52D66" w:rsidR="00B52D66" w:rsidTr="00B52D66" w14:paraId="304081F1"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27AF504B" w14:textId="77777777">
            <w:pPr>
              <w:spacing w:line="240" w:lineRule="auto"/>
              <w:rPr>
                <w:rFonts w:cs="Arial"/>
                <w:szCs w:val="18"/>
                <w:lang w:val="en-GB" w:eastAsia="en-GB"/>
              </w:rPr>
            </w:pPr>
            <w:r w:rsidRPr="00B52D66">
              <w:rPr>
                <w:rFonts w:cs="Arial"/>
                <w:szCs w:val="18"/>
                <w:lang w:val="en-GB" w:eastAsia="en-GB"/>
              </w:rPr>
              <w:t xml:space="preserve">   Groen</w:t>
            </w:r>
          </w:p>
        </w:tc>
        <w:tc>
          <w:tcPr>
            <w:tcW w:w="482" w:type="pct"/>
            <w:tcBorders>
              <w:top w:val="nil"/>
              <w:left w:val="nil"/>
              <w:bottom w:val="nil"/>
              <w:right w:val="nil"/>
            </w:tcBorders>
            <w:noWrap/>
            <w:vAlign w:val="bottom"/>
            <w:hideMark/>
          </w:tcPr>
          <w:p w:rsidRPr="00B52D66" w:rsidR="00B52D66" w:rsidP="00FC2172" w:rsidRDefault="00B52D66" w14:paraId="0BA80C1D" w14:textId="77777777">
            <w:pPr>
              <w:spacing w:line="240" w:lineRule="auto"/>
              <w:jc w:val="right"/>
              <w:rPr>
                <w:rFonts w:cs="Arial"/>
                <w:szCs w:val="18"/>
                <w:lang w:val="en-GB" w:eastAsia="en-GB"/>
              </w:rPr>
            </w:pPr>
            <w:r w:rsidRPr="00B52D66">
              <w:rPr>
                <w:rFonts w:cs="Arial"/>
                <w:szCs w:val="18"/>
                <w:lang w:val="en-GB" w:eastAsia="en-GB"/>
              </w:rPr>
              <w:t>2.604</w:t>
            </w:r>
          </w:p>
        </w:tc>
        <w:tc>
          <w:tcPr>
            <w:tcW w:w="482" w:type="pct"/>
            <w:tcBorders>
              <w:top w:val="nil"/>
              <w:left w:val="nil"/>
              <w:bottom w:val="nil"/>
              <w:right w:val="nil"/>
            </w:tcBorders>
            <w:noWrap/>
            <w:vAlign w:val="bottom"/>
            <w:hideMark/>
          </w:tcPr>
          <w:p w:rsidRPr="00B52D66" w:rsidR="00B52D66" w:rsidP="00FC2172" w:rsidRDefault="00B52D66" w14:paraId="48E57739" w14:textId="77777777">
            <w:pPr>
              <w:spacing w:line="240" w:lineRule="auto"/>
              <w:jc w:val="right"/>
              <w:rPr>
                <w:rFonts w:cs="Arial"/>
                <w:szCs w:val="18"/>
                <w:lang w:val="en-GB" w:eastAsia="en-GB"/>
              </w:rPr>
            </w:pPr>
            <w:r w:rsidRPr="00B52D66">
              <w:rPr>
                <w:rFonts w:cs="Arial"/>
                <w:szCs w:val="18"/>
                <w:lang w:val="en-GB" w:eastAsia="en-GB"/>
              </w:rPr>
              <w:t>2.572</w:t>
            </w:r>
          </w:p>
        </w:tc>
        <w:tc>
          <w:tcPr>
            <w:tcW w:w="482" w:type="pct"/>
            <w:tcBorders>
              <w:top w:val="nil"/>
              <w:left w:val="nil"/>
              <w:bottom w:val="nil"/>
              <w:right w:val="nil"/>
            </w:tcBorders>
            <w:noWrap/>
            <w:vAlign w:val="bottom"/>
            <w:hideMark/>
          </w:tcPr>
          <w:p w:rsidRPr="00B52D66" w:rsidR="00B52D66" w:rsidP="00FC2172" w:rsidRDefault="00B52D66" w14:paraId="261B9283" w14:textId="77777777">
            <w:pPr>
              <w:spacing w:line="240" w:lineRule="auto"/>
              <w:jc w:val="right"/>
              <w:rPr>
                <w:rFonts w:cs="Arial"/>
                <w:szCs w:val="18"/>
                <w:lang w:val="en-GB" w:eastAsia="en-GB"/>
              </w:rPr>
            </w:pPr>
            <w:r w:rsidRPr="00B52D66">
              <w:rPr>
                <w:rFonts w:cs="Arial"/>
                <w:szCs w:val="18"/>
                <w:lang w:val="en-GB" w:eastAsia="en-GB"/>
              </w:rPr>
              <w:t>2.421</w:t>
            </w:r>
          </w:p>
        </w:tc>
        <w:tc>
          <w:tcPr>
            <w:tcW w:w="482" w:type="pct"/>
            <w:tcBorders>
              <w:top w:val="nil"/>
              <w:left w:val="nil"/>
              <w:bottom w:val="nil"/>
              <w:right w:val="nil"/>
            </w:tcBorders>
            <w:noWrap/>
            <w:vAlign w:val="bottom"/>
            <w:hideMark/>
          </w:tcPr>
          <w:p w:rsidRPr="00B52D66" w:rsidR="00B52D66" w:rsidP="00FC2172" w:rsidRDefault="00B52D66" w14:paraId="0AD0660A" w14:textId="77777777">
            <w:pPr>
              <w:spacing w:line="240" w:lineRule="auto"/>
              <w:jc w:val="right"/>
              <w:rPr>
                <w:rFonts w:cs="Arial"/>
                <w:szCs w:val="18"/>
                <w:lang w:val="en-GB" w:eastAsia="en-GB"/>
              </w:rPr>
            </w:pPr>
            <w:r w:rsidRPr="00B52D66">
              <w:rPr>
                <w:rFonts w:cs="Arial"/>
                <w:szCs w:val="18"/>
                <w:lang w:val="en-GB" w:eastAsia="en-GB"/>
              </w:rPr>
              <w:t>2.274</w:t>
            </w:r>
          </w:p>
        </w:tc>
        <w:tc>
          <w:tcPr>
            <w:tcW w:w="482" w:type="pct"/>
            <w:tcBorders>
              <w:top w:val="nil"/>
              <w:left w:val="nil"/>
              <w:bottom w:val="nil"/>
              <w:right w:val="nil"/>
            </w:tcBorders>
            <w:noWrap/>
            <w:vAlign w:val="bottom"/>
            <w:hideMark/>
          </w:tcPr>
          <w:p w:rsidRPr="00B52D66" w:rsidR="00B52D66" w:rsidP="00FC2172" w:rsidRDefault="00B52D66" w14:paraId="77E734D1" w14:textId="77777777">
            <w:pPr>
              <w:spacing w:line="240" w:lineRule="auto"/>
              <w:jc w:val="right"/>
              <w:rPr>
                <w:rFonts w:cs="Arial"/>
                <w:szCs w:val="18"/>
                <w:lang w:val="en-GB" w:eastAsia="en-GB"/>
              </w:rPr>
            </w:pPr>
            <w:r w:rsidRPr="00B52D66">
              <w:rPr>
                <w:rFonts w:cs="Arial"/>
                <w:szCs w:val="18"/>
                <w:lang w:val="en-GB" w:eastAsia="en-GB"/>
              </w:rPr>
              <w:t>2.660</w:t>
            </w:r>
          </w:p>
        </w:tc>
        <w:tc>
          <w:tcPr>
            <w:tcW w:w="482" w:type="pct"/>
            <w:tcBorders>
              <w:top w:val="nil"/>
              <w:left w:val="nil"/>
              <w:bottom w:val="nil"/>
              <w:right w:val="nil"/>
            </w:tcBorders>
            <w:noWrap/>
            <w:vAlign w:val="bottom"/>
            <w:hideMark/>
          </w:tcPr>
          <w:p w:rsidRPr="00B52D66" w:rsidR="00B52D66" w:rsidP="00FC2172" w:rsidRDefault="00B52D66" w14:paraId="7BE2360D" w14:textId="77777777">
            <w:pPr>
              <w:spacing w:line="240" w:lineRule="auto"/>
              <w:jc w:val="right"/>
              <w:rPr>
                <w:rFonts w:cs="Arial"/>
                <w:szCs w:val="18"/>
                <w:lang w:val="en-GB" w:eastAsia="en-GB"/>
              </w:rPr>
            </w:pPr>
            <w:r w:rsidRPr="00B52D66">
              <w:rPr>
                <w:rFonts w:cs="Arial"/>
                <w:szCs w:val="18"/>
                <w:lang w:val="en-GB" w:eastAsia="en-GB"/>
              </w:rPr>
              <w:t>2.685</w:t>
            </w:r>
          </w:p>
        </w:tc>
      </w:tr>
      <w:tr w:rsidRPr="00B52D66" w:rsidR="00B52D66" w:rsidTr="00B52D66" w14:paraId="1F6FDE34"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35C5BFB6" w14:textId="77777777">
            <w:pPr>
              <w:spacing w:line="240" w:lineRule="auto"/>
              <w:rPr>
                <w:rFonts w:cs="Arial"/>
                <w:szCs w:val="18"/>
                <w:lang w:val="en-GB" w:eastAsia="en-GB"/>
              </w:rPr>
            </w:pPr>
            <w:r w:rsidRPr="00B52D66">
              <w:rPr>
                <w:rFonts w:cs="Arial"/>
                <w:szCs w:val="18"/>
                <w:lang w:val="en-GB" w:eastAsia="en-GB"/>
              </w:rPr>
              <w:t xml:space="preserve">   HBR</w:t>
            </w:r>
          </w:p>
        </w:tc>
        <w:tc>
          <w:tcPr>
            <w:tcW w:w="482" w:type="pct"/>
            <w:tcBorders>
              <w:top w:val="nil"/>
              <w:left w:val="nil"/>
              <w:bottom w:val="nil"/>
              <w:right w:val="nil"/>
            </w:tcBorders>
            <w:noWrap/>
            <w:vAlign w:val="bottom"/>
            <w:hideMark/>
          </w:tcPr>
          <w:p w:rsidRPr="00B52D66" w:rsidR="00B52D66" w:rsidP="00FC2172" w:rsidRDefault="00B52D66" w14:paraId="7E5875B1" w14:textId="77777777">
            <w:pPr>
              <w:spacing w:line="240" w:lineRule="auto"/>
              <w:jc w:val="right"/>
              <w:rPr>
                <w:rFonts w:cs="Arial"/>
                <w:szCs w:val="18"/>
                <w:lang w:val="en-GB" w:eastAsia="en-GB"/>
              </w:rPr>
            </w:pPr>
            <w:r w:rsidRPr="00B52D66">
              <w:rPr>
                <w:rFonts w:cs="Arial"/>
                <w:szCs w:val="18"/>
                <w:lang w:val="en-GB" w:eastAsia="en-GB"/>
              </w:rPr>
              <w:t>960</w:t>
            </w:r>
          </w:p>
        </w:tc>
        <w:tc>
          <w:tcPr>
            <w:tcW w:w="482" w:type="pct"/>
            <w:tcBorders>
              <w:top w:val="nil"/>
              <w:left w:val="nil"/>
              <w:bottom w:val="nil"/>
              <w:right w:val="nil"/>
            </w:tcBorders>
            <w:noWrap/>
            <w:vAlign w:val="bottom"/>
            <w:hideMark/>
          </w:tcPr>
          <w:p w:rsidRPr="00B52D66" w:rsidR="00B52D66" w:rsidP="00FC2172" w:rsidRDefault="00B52D66" w14:paraId="22A7F992" w14:textId="77777777">
            <w:pPr>
              <w:spacing w:line="240" w:lineRule="auto"/>
              <w:jc w:val="right"/>
              <w:rPr>
                <w:rFonts w:cs="Arial"/>
                <w:szCs w:val="18"/>
                <w:lang w:val="en-GB" w:eastAsia="en-GB"/>
              </w:rPr>
            </w:pPr>
            <w:r w:rsidRPr="00B52D66">
              <w:rPr>
                <w:rFonts w:cs="Arial"/>
                <w:szCs w:val="18"/>
                <w:lang w:val="en-GB" w:eastAsia="en-GB"/>
              </w:rPr>
              <w:t>898</w:t>
            </w:r>
          </w:p>
        </w:tc>
        <w:tc>
          <w:tcPr>
            <w:tcW w:w="482" w:type="pct"/>
            <w:tcBorders>
              <w:top w:val="nil"/>
              <w:left w:val="nil"/>
              <w:bottom w:val="nil"/>
              <w:right w:val="nil"/>
            </w:tcBorders>
            <w:noWrap/>
            <w:vAlign w:val="bottom"/>
            <w:hideMark/>
          </w:tcPr>
          <w:p w:rsidRPr="00B52D66" w:rsidR="00B52D66" w:rsidP="00FC2172" w:rsidRDefault="00B52D66" w14:paraId="211E09AB" w14:textId="77777777">
            <w:pPr>
              <w:spacing w:line="240" w:lineRule="auto"/>
              <w:jc w:val="right"/>
              <w:rPr>
                <w:rFonts w:cs="Arial"/>
                <w:szCs w:val="18"/>
                <w:lang w:val="en-GB" w:eastAsia="en-GB"/>
              </w:rPr>
            </w:pPr>
            <w:r w:rsidRPr="00B52D66">
              <w:rPr>
                <w:rFonts w:cs="Arial"/>
                <w:szCs w:val="18"/>
                <w:lang w:val="en-GB" w:eastAsia="en-GB"/>
              </w:rPr>
              <w:t>783</w:t>
            </w:r>
          </w:p>
        </w:tc>
        <w:tc>
          <w:tcPr>
            <w:tcW w:w="482" w:type="pct"/>
            <w:tcBorders>
              <w:top w:val="nil"/>
              <w:left w:val="nil"/>
              <w:bottom w:val="nil"/>
              <w:right w:val="nil"/>
            </w:tcBorders>
            <w:noWrap/>
            <w:vAlign w:val="bottom"/>
            <w:hideMark/>
          </w:tcPr>
          <w:p w:rsidRPr="00B52D66" w:rsidR="00B52D66" w:rsidP="00FC2172" w:rsidRDefault="00B52D66" w14:paraId="18659E5E" w14:textId="77777777">
            <w:pPr>
              <w:spacing w:line="240" w:lineRule="auto"/>
              <w:jc w:val="right"/>
              <w:rPr>
                <w:rFonts w:cs="Arial"/>
                <w:szCs w:val="18"/>
                <w:lang w:val="en-GB" w:eastAsia="en-GB"/>
              </w:rPr>
            </w:pPr>
            <w:r w:rsidRPr="00B52D66">
              <w:rPr>
                <w:rFonts w:cs="Arial"/>
                <w:szCs w:val="18"/>
                <w:lang w:val="en-GB" w:eastAsia="en-GB"/>
              </w:rPr>
              <w:t>746</w:t>
            </w:r>
          </w:p>
        </w:tc>
        <w:tc>
          <w:tcPr>
            <w:tcW w:w="482" w:type="pct"/>
            <w:tcBorders>
              <w:top w:val="nil"/>
              <w:left w:val="nil"/>
              <w:bottom w:val="nil"/>
              <w:right w:val="nil"/>
            </w:tcBorders>
            <w:noWrap/>
            <w:vAlign w:val="bottom"/>
            <w:hideMark/>
          </w:tcPr>
          <w:p w:rsidRPr="00B52D66" w:rsidR="00B52D66" w:rsidP="00FC2172" w:rsidRDefault="00B52D66" w14:paraId="0D794D4D" w14:textId="77777777">
            <w:pPr>
              <w:spacing w:line="240" w:lineRule="auto"/>
              <w:jc w:val="right"/>
              <w:rPr>
                <w:rFonts w:cs="Arial"/>
                <w:szCs w:val="18"/>
                <w:lang w:val="en-GB" w:eastAsia="en-GB"/>
              </w:rPr>
            </w:pPr>
            <w:r w:rsidRPr="00B52D66">
              <w:rPr>
                <w:rFonts w:cs="Arial"/>
                <w:szCs w:val="18"/>
                <w:lang w:val="en-GB" w:eastAsia="en-GB"/>
              </w:rPr>
              <w:t>880</w:t>
            </w:r>
          </w:p>
        </w:tc>
        <w:tc>
          <w:tcPr>
            <w:tcW w:w="482" w:type="pct"/>
            <w:tcBorders>
              <w:top w:val="nil"/>
              <w:left w:val="nil"/>
              <w:bottom w:val="nil"/>
              <w:right w:val="nil"/>
            </w:tcBorders>
            <w:noWrap/>
            <w:vAlign w:val="bottom"/>
            <w:hideMark/>
          </w:tcPr>
          <w:p w:rsidRPr="00B52D66" w:rsidR="00B52D66" w:rsidP="00FC2172" w:rsidRDefault="00B52D66" w14:paraId="01972B97" w14:textId="77777777">
            <w:pPr>
              <w:spacing w:line="240" w:lineRule="auto"/>
              <w:jc w:val="right"/>
              <w:rPr>
                <w:rFonts w:cs="Arial"/>
                <w:szCs w:val="18"/>
                <w:lang w:val="en-GB" w:eastAsia="en-GB"/>
              </w:rPr>
            </w:pPr>
            <w:r w:rsidRPr="00B52D66">
              <w:rPr>
                <w:rFonts w:cs="Arial"/>
                <w:szCs w:val="18"/>
                <w:lang w:val="en-GB" w:eastAsia="en-GB"/>
              </w:rPr>
              <w:t>884</w:t>
            </w:r>
          </w:p>
        </w:tc>
      </w:tr>
      <w:tr w:rsidRPr="00B52D66" w:rsidR="00B52D66" w:rsidTr="00B52D66" w14:paraId="7F9B2DEA"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21AC3A06" w14:textId="77777777">
            <w:pPr>
              <w:spacing w:line="240" w:lineRule="auto"/>
              <w:rPr>
                <w:rFonts w:cs="Arial"/>
                <w:szCs w:val="18"/>
                <w:lang w:val="en-GB" w:eastAsia="en-GB"/>
              </w:rPr>
            </w:pPr>
            <w:r w:rsidRPr="00B52D66">
              <w:rPr>
                <w:rFonts w:cs="Arial"/>
                <w:szCs w:val="18"/>
                <w:lang w:val="en-GB" w:eastAsia="en-GB"/>
              </w:rPr>
              <w:t xml:space="preserve">   Z&amp;W</w:t>
            </w:r>
          </w:p>
        </w:tc>
        <w:tc>
          <w:tcPr>
            <w:tcW w:w="482" w:type="pct"/>
            <w:tcBorders>
              <w:top w:val="nil"/>
              <w:left w:val="nil"/>
              <w:bottom w:val="nil"/>
              <w:right w:val="nil"/>
            </w:tcBorders>
            <w:noWrap/>
            <w:vAlign w:val="bottom"/>
            <w:hideMark/>
          </w:tcPr>
          <w:p w:rsidRPr="00B52D66" w:rsidR="00B52D66" w:rsidP="00FC2172" w:rsidRDefault="00B52D66" w14:paraId="673AC1F2" w14:textId="77777777">
            <w:pPr>
              <w:spacing w:line="240" w:lineRule="auto"/>
              <w:jc w:val="right"/>
              <w:rPr>
                <w:rFonts w:cs="Arial"/>
                <w:szCs w:val="18"/>
                <w:lang w:val="en-GB" w:eastAsia="en-GB"/>
              </w:rPr>
            </w:pPr>
            <w:r w:rsidRPr="00B52D66">
              <w:rPr>
                <w:rFonts w:cs="Arial"/>
                <w:szCs w:val="18"/>
                <w:lang w:val="en-GB" w:eastAsia="en-GB"/>
              </w:rPr>
              <w:t>4.472</w:t>
            </w:r>
          </w:p>
        </w:tc>
        <w:tc>
          <w:tcPr>
            <w:tcW w:w="482" w:type="pct"/>
            <w:tcBorders>
              <w:top w:val="nil"/>
              <w:left w:val="nil"/>
              <w:bottom w:val="nil"/>
              <w:right w:val="nil"/>
            </w:tcBorders>
            <w:noWrap/>
            <w:vAlign w:val="bottom"/>
            <w:hideMark/>
          </w:tcPr>
          <w:p w:rsidRPr="00B52D66" w:rsidR="00B52D66" w:rsidP="00FC2172" w:rsidRDefault="00B52D66" w14:paraId="542F473A" w14:textId="77777777">
            <w:pPr>
              <w:spacing w:line="240" w:lineRule="auto"/>
              <w:jc w:val="right"/>
              <w:rPr>
                <w:rFonts w:cs="Arial"/>
                <w:szCs w:val="18"/>
                <w:lang w:val="en-GB" w:eastAsia="en-GB"/>
              </w:rPr>
            </w:pPr>
            <w:r w:rsidRPr="00B52D66">
              <w:rPr>
                <w:rFonts w:cs="Arial"/>
                <w:szCs w:val="18"/>
                <w:lang w:val="en-GB" w:eastAsia="en-GB"/>
              </w:rPr>
              <w:t>4.237</w:t>
            </w:r>
          </w:p>
        </w:tc>
        <w:tc>
          <w:tcPr>
            <w:tcW w:w="482" w:type="pct"/>
            <w:tcBorders>
              <w:top w:val="nil"/>
              <w:left w:val="nil"/>
              <w:bottom w:val="nil"/>
              <w:right w:val="nil"/>
            </w:tcBorders>
            <w:noWrap/>
            <w:vAlign w:val="bottom"/>
            <w:hideMark/>
          </w:tcPr>
          <w:p w:rsidRPr="00B52D66" w:rsidR="00B52D66" w:rsidP="00FC2172" w:rsidRDefault="00B52D66" w14:paraId="34CC6A37" w14:textId="77777777">
            <w:pPr>
              <w:spacing w:line="240" w:lineRule="auto"/>
              <w:jc w:val="right"/>
              <w:rPr>
                <w:rFonts w:cs="Arial"/>
                <w:szCs w:val="18"/>
                <w:lang w:val="en-GB" w:eastAsia="en-GB"/>
              </w:rPr>
            </w:pPr>
            <w:r w:rsidRPr="00B52D66">
              <w:rPr>
                <w:rFonts w:cs="Arial"/>
                <w:szCs w:val="18"/>
                <w:lang w:val="en-GB" w:eastAsia="en-GB"/>
              </w:rPr>
              <w:t>4.197</w:t>
            </w:r>
          </w:p>
        </w:tc>
        <w:tc>
          <w:tcPr>
            <w:tcW w:w="482" w:type="pct"/>
            <w:tcBorders>
              <w:top w:val="nil"/>
              <w:left w:val="nil"/>
              <w:bottom w:val="nil"/>
              <w:right w:val="nil"/>
            </w:tcBorders>
            <w:noWrap/>
            <w:vAlign w:val="bottom"/>
            <w:hideMark/>
          </w:tcPr>
          <w:p w:rsidRPr="00B52D66" w:rsidR="00B52D66" w:rsidP="00FC2172" w:rsidRDefault="00B52D66" w14:paraId="21139A45" w14:textId="77777777">
            <w:pPr>
              <w:spacing w:line="240" w:lineRule="auto"/>
              <w:jc w:val="right"/>
              <w:rPr>
                <w:rFonts w:cs="Arial"/>
                <w:szCs w:val="18"/>
                <w:lang w:val="en-GB" w:eastAsia="en-GB"/>
              </w:rPr>
            </w:pPr>
            <w:r w:rsidRPr="00B52D66">
              <w:rPr>
                <w:rFonts w:cs="Arial"/>
                <w:szCs w:val="18"/>
                <w:lang w:val="en-GB" w:eastAsia="en-GB"/>
              </w:rPr>
              <w:t>4.265</w:t>
            </w:r>
          </w:p>
        </w:tc>
        <w:tc>
          <w:tcPr>
            <w:tcW w:w="482" w:type="pct"/>
            <w:tcBorders>
              <w:top w:val="nil"/>
              <w:left w:val="nil"/>
              <w:bottom w:val="nil"/>
              <w:right w:val="nil"/>
            </w:tcBorders>
            <w:noWrap/>
            <w:vAlign w:val="bottom"/>
            <w:hideMark/>
          </w:tcPr>
          <w:p w:rsidRPr="00B52D66" w:rsidR="00B52D66" w:rsidP="00FC2172" w:rsidRDefault="00B52D66" w14:paraId="08121E30" w14:textId="77777777">
            <w:pPr>
              <w:spacing w:line="240" w:lineRule="auto"/>
              <w:jc w:val="right"/>
              <w:rPr>
                <w:rFonts w:cs="Arial"/>
                <w:szCs w:val="18"/>
                <w:lang w:val="en-GB" w:eastAsia="en-GB"/>
              </w:rPr>
            </w:pPr>
            <w:r w:rsidRPr="00B52D66">
              <w:rPr>
                <w:rFonts w:cs="Arial"/>
                <w:szCs w:val="18"/>
                <w:lang w:val="en-GB" w:eastAsia="en-GB"/>
              </w:rPr>
              <w:t>4.442</w:t>
            </w:r>
          </w:p>
        </w:tc>
        <w:tc>
          <w:tcPr>
            <w:tcW w:w="482" w:type="pct"/>
            <w:tcBorders>
              <w:top w:val="nil"/>
              <w:left w:val="nil"/>
              <w:bottom w:val="nil"/>
              <w:right w:val="nil"/>
            </w:tcBorders>
            <w:noWrap/>
            <w:vAlign w:val="bottom"/>
            <w:hideMark/>
          </w:tcPr>
          <w:p w:rsidRPr="00B52D66" w:rsidR="00B52D66" w:rsidP="00FC2172" w:rsidRDefault="00B52D66" w14:paraId="3A1CD81A" w14:textId="77777777">
            <w:pPr>
              <w:spacing w:line="240" w:lineRule="auto"/>
              <w:jc w:val="right"/>
              <w:rPr>
                <w:rFonts w:cs="Arial"/>
                <w:szCs w:val="18"/>
                <w:lang w:val="en-GB" w:eastAsia="en-GB"/>
              </w:rPr>
            </w:pPr>
            <w:r w:rsidRPr="00B52D66">
              <w:rPr>
                <w:rFonts w:cs="Arial"/>
                <w:szCs w:val="18"/>
                <w:lang w:val="en-GB" w:eastAsia="en-GB"/>
              </w:rPr>
              <w:t>4.238</w:t>
            </w:r>
          </w:p>
        </w:tc>
      </w:tr>
      <w:tr w:rsidRPr="00B52D66" w:rsidR="00B52D66" w:rsidTr="00B52D66" w14:paraId="1CBB173E"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7F3D6D5B" w14:textId="77777777">
            <w:pPr>
              <w:spacing w:line="240" w:lineRule="auto"/>
              <w:rPr>
                <w:rFonts w:cs="Arial"/>
                <w:b/>
                <w:bCs/>
                <w:szCs w:val="18"/>
                <w:lang w:val="en-GB" w:eastAsia="en-GB"/>
              </w:rPr>
            </w:pPr>
            <w:r w:rsidRPr="00B52D66">
              <w:rPr>
                <w:rFonts w:cs="Arial"/>
                <w:b/>
                <w:bCs/>
                <w:szCs w:val="18"/>
                <w:lang w:val="en-GB" w:eastAsia="en-GB"/>
              </w:rPr>
              <w:t>Totaal kaderberoepsgerichte leerweg</w:t>
            </w:r>
          </w:p>
        </w:tc>
        <w:tc>
          <w:tcPr>
            <w:tcW w:w="482" w:type="pct"/>
            <w:tcBorders>
              <w:top w:val="nil"/>
              <w:left w:val="nil"/>
              <w:bottom w:val="nil"/>
              <w:right w:val="nil"/>
            </w:tcBorders>
            <w:noWrap/>
            <w:vAlign w:val="bottom"/>
            <w:hideMark/>
          </w:tcPr>
          <w:p w:rsidRPr="00B52D66" w:rsidR="00B52D66" w:rsidP="00FC2172" w:rsidRDefault="00B52D66" w14:paraId="729925EE" w14:textId="77777777">
            <w:pPr>
              <w:spacing w:line="240" w:lineRule="auto"/>
              <w:jc w:val="right"/>
              <w:rPr>
                <w:rFonts w:cs="Arial"/>
                <w:b/>
                <w:bCs/>
                <w:szCs w:val="18"/>
                <w:lang w:val="en-GB" w:eastAsia="en-GB"/>
              </w:rPr>
            </w:pPr>
            <w:r w:rsidRPr="00B52D66">
              <w:rPr>
                <w:rFonts w:cs="Arial"/>
                <w:b/>
                <w:bCs/>
                <w:szCs w:val="18"/>
                <w:lang w:val="en-GB" w:eastAsia="en-GB"/>
              </w:rPr>
              <w:t>29.257</w:t>
            </w:r>
          </w:p>
        </w:tc>
        <w:tc>
          <w:tcPr>
            <w:tcW w:w="482" w:type="pct"/>
            <w:tcBorders>
              <w:top w:val="nil"/>
              <w:left w:val="nil"/>
              <w:bottom w:val="nil"/>
              <w:right w:val="nil"/>
            </w:tcBorders>
            <w:noWrap/>
            <w:vAlign w:val="bottom"/>
            <w:hideMark/>
          </w:tcPr>
          <w:p w:rsidRPr="00B52D66" w:rsidR="00B52D66" w:rsidP="00FC2172" w:rsidRDefault="00B52D66" w14:paraId="78510E9F" w14:textId="77777777">
            <w:pPr>
              <w:spacing w:line="240" w:lineRule="auto"/>
              <w:jc w:val="right"/>
              <w:rPr>
                <w:rFonts w:cs="Arial"/>
                <w:b/>
                <w:bCs/>
                <w:szCs w:val="18"/>
                <w:lang w:val="en-GB" w:eastAsia="en-GB"/>
              </w:rPr>
            </w:pPr>
            <w:r w:rsidRPr="00B52D66">
              <w:rPr>
                <w:rFonts w:cs="Arial"/>
                <w:b/>
                <w:bCs/>
                <w:szCs w:val="18"/>
                <w:lang w:val="en-GB" w:eastAsia="en-GB"/>
              </w:rPr>
              <w:t>28.185</w:t>
            </w:r>
          </w:p>
        </w:tc>
        <w:tc>
          <w:tcPr>
            <w:tcW w:w="482" w:type="pct"/>
            <w:tcBorders>
              <w:top w:val="nil"/>
              <w:left w:val="nil"/>
              <w:bottom w:val="nil"/>
              <w:right w:val="nil"/>
            </w:tcBorders>
            <w:noWrap/>
            <w:vAlign w:val="bottom"/>
            <w:hideMark/>
          </w:tcPr>
          <w:p w:rsidRPr="00B52D66" w:rsidR="00B52D66" w:rsidP="00FC2172" w:rsidRDefault="00B52D66" w14:paraId="58AAF102" w14:textId="77777777">
            <w:pPr>
              <w:spacing w:line="240" w:lineRule="auto"/>
              <w:jc w:val="right"/>
              <w:rPr>
                <w:rFonts w:cs="Arial"/>
                <w:b/>
                <w:bCs/>
                <w:szCs w:val="18"/>
                <w:lang w:val="en-GB" w:eastAsia="en-GB"/>
              </w:rPr>
            </w:pPr>
            <w:r w:rsidRPr="00B52D66">
              <w:rPr>
                <w:rFonts w:cs="Arial"/>
                <w:b/>
                <w:bCs/>
                <w:szCs w:val="18"/>
                <w:lang w:val="en-GB" w:eastAsia="en-GB"/>
              </w:rPr>
              <w:t>27.081</w:t>
            </w:r>
          </w:p>
        </w:tc>
        <w:tc>
          <w:tcPr>
            <w:tcW w:w="482" w:type="pct"/>
            <w:tcBorders>
              <w:top w:val="nil"/>
              <w:left w:val="nil"/>
              <w:bottom w:val="nil"/>
              <w:right w:val="nil"/>
            </w:tcBorders>
            <w:noWrap/>
            <w:vAlign w:val="bottom"/>
            <w:hideMark/>
          </w:tcPr>
          <w:p w:rsidRPr="00B52D66" w:rsidR="00B52D66" w:rsidP="00FC2172" w:rsidRDefault="00B52D66" w14:paraId="30ECAE52" w14:textId="77777777">
            <w:pPr>
              <w:spacing w:line="240" w:lineRule="auto"/>
              <w:jc w:val="right"/>
              <w:rPr>
                <w:rFonts w:cs="Arial"/>
                <w:b/>
                <w:bCs/>
                <w:szCs w:val="18"/>
                <w:lang w:val="en-GB" w:eastAsia="en-GB"/>
              </w:rPr>
            </w:pPr>
            <w:r w:rsidRPr="00B52D66">
              <w:rPr>
                <w:rFonts w:cs="Arial"/>
                <w:b/>
                <w:bCs/>
                <w:szCs w:val="18"/>
                <w:lang w:val="en-GB" w:eastAsia="en-GB"/>
              </w:rPr>
              <w:t>27.161</w:t>
            </w:r>
          </w:p>
        </w:tc>
        <w:tc>
          <w:tcPr>
            <w:tcW w:w="482" w:type="pct"/>
            <w:tcBorders>
              <w:top w:val="nil"/>
              <w:left w:val="nil"/>
              <w:bottom w:val="nil"/>
              <w:right w:val="nil"/>
            </w:tcBorders>
            <w:noWrap/>
            <w:vAlign w:val="bottom"/>
            <w:hideMark/>
          </w:tcPr>
          <w:p w:rsidRPr="00B52D66" w:rsidR="00B52D66" w:rsidP="00FC2172" w:rsidRDefault="00B52D66" w14:paraId="02E85C68" w14:textId="77777777">
            <w:pPr>
              <w:spacing w:line="240" w:lineRule="auto"/>
              <w:jc w:val="right"/>
              <w:rPr>
                <w:rFonts w:cs="Arial"/>
                <w:b/>
                <w:bCs/>
                <w:szCs w:val="18"/>
                <w:lang w:val="en-GB" w:eastAsia="en-GB"/>
              </w:rPr>
            </w:pPr>
            <w:r w:rsidRPr="00B52D66">
              <w:rPr>
                <w:rFonts w:cs="Arial"/>
                <w:b/>
                <w:bCs/>
                <w:szCs w:val="18"/>
                <w:lang w:val="en-GB" w:eastAsia="en-GB"/>
              </w:rPr>
              <w:t>29.092</w:t>
            </w:r>
          </w:p>
        </w:tc>
        <w:tc>
          <w:tcPr>
            <w:tcW w:w="482" w:type="pct"/>
            <w:tcBorders>
              <w:top w:val="nil"/>
              <w:left w:val="nil"/>
              <w:bottom w:val="nil"/>
              <w:right w:val="nil"/>
            </w:tcBorders>
            <w:noWrap/>
            <w:vAlign w:val="bottom"/>
            <w:hideMark/>
          </w:tcPr>
          <w:p w:rsidRPr="00B52D66" w:rsidR="00B52D66" w:rsidP="00FC2172" w:rsidRDefault="00B52D66" w14:paraId="272DA260" w14:textId="77777777">
            <w:pPr>
              <w:spacing w:line="240" w:lineRule="auto"/>
              <w:jc w:val="right"/>
              <w:rPr>
                <w:rFonts w:cs="Arial"/>
                <w:b/>
                <w:bCs/>
                <w:szCs w:val="18"/>
                <w:lang w:val="en-GB" w:eastAsia="en-GB"/>
              </w:rPr>
            </w:pPr>
            <w:r w:rsidRPr="00B52D66">
              <w:rPr>
                <w:rFonts w:cs="Arial"/>
                <w:b/>
                <w:bCs/>
                <w:szCs w:val="18"/>
                <w:lang w:val="en-GB" w:eastAsia="en-GB"/>
              </w:rPr>
              <w:t>28.332</w:t>
            </w:r>
          </w:p>
        </w:tc>
      </w:tr>
      <w:tr w:rsidRPr="00B52D66" w:rsidR="00B52D66" w:rsidTr="00B52D66" w14:paraId="17D41D7F"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50777240" w14:textId="77777777">
            <w:pPr>
              <w:spacing w:line="240" w:lineRule="auto"/>
              <w:rPr>
                <w:rFonts w:cs="Arial"/>
                <w:b/>
                <w:bCs/>
                <w:szCs w:val="18"/>
                <w:lang w:val="en-GB" w:eastAsia="en-GB"/>
              </w:rPr>
            </w:pPr>
            <w:r w:rsidRPr="00B52D66">
              <w:rPr>
                <w:rFonts w:cs="Arial"/>
                <w:b/>
                <w:bCs/>
                <w:szCs w:val="18"/>
                <w:lang w:val="en-GB" w:eastAsia="en-GB"/>
              </w:rPr>
              <w:t xml:space="preserve">  Totaal techniek</w:t>
            </w:r>
          </w:p>
        </w:tc>
        <w:tc>
          <w:tcPr>
            <w:tcW w:w="482" w:type="pct"/>
            <w:tcBorders>
              <w:top w:val="nil"/>
              <w:left w:val="nil"/>
              <w:bottom w:val="nil"/>
              <w:right w:val="nil"/>
            </w:tcBorders>
            <w:noWrap/>
            <w:vAlign w:val="bottom"/>
            <w:hideMark/>
          </w:tcPr>
          <w:p w:rsidRPr="00B52D66" w:rsidR="00B52D66" w:rsidP="00FC2172" w:rsidRDefault="00B52D66" w14:paraId="1166DB18" w14:textId="77777777">
            <w:pPr>
              <w:spacing w:line="240" w:lineRule="auto"/>
              <w:jc w:val="right"/>
              <w:rPr>
                <w:rFonts w:cs="Arial"/>
                <w:b/>
                <w:bCs/>
                <w:szCs w:val="18"/>
                <w:lang w:val="en-GB" w:eastAsia="en-GB"/>
              </w:rPr>
            </w:pPr>
            <w:r w:rsidRPr="00B52D66">
              <w:rPr>
                <w:rFonts w:cs="Arial"/>
                <w:b/>
                <w:bCs/>
                <w:szCs w:val="18"/>
                <w:lang w:val="en-GB" w:eastAsia="en-GB"/>
              </w:rPr>
              <w:t>6.441</w:t>
            </w:r>
          </w:p>
        </w:tc>
        <w:tc>
          <w:tcPr>
            <w:tcW w:w="482" w:type="pct"/>
            <w:tcBorders>
              <w:top w:val="nil"/>
              <w:left w:val="nil"/>
              <w:bottom w:val="nil"/>
              <w:right w:val="nil"/>
            </w:tcBorders>
            <w:noWrap/>
            <w:vAlign w:val="bottom"/>
            <w:hideMark/>
          </w:tcPr>
          <w:p w:rsidRPr="00B52D66" w:rsidR="00B52D66" w:rsidP="00FC2172" w:rsidRDefault="00B52D66" w14:paraId="31EFD307" w14:textId="77777777">
            <w:pPr>
              <w:spacing w:line="240" w:lineRule="auto"/>
              <w:jc w:val="right"/>
              <w:rPr>
                <w:rFonts w:cs="Arial"/>
                <w:b/>
                <w:bCs/>
                <w:szCs w:val="18"/>
                <w:lang w:val="en-GB" w:eastAsia="en-GB"/>
              </w:rPr>
            </w:pPr>
            <w:r w:rsidRPr="00B52D66">
              <w:rPr>
                <w:rFonts w:cs="Arial"/>
                <w:b/>
                <w:bCs/>
                <w:szCs w:val="18"/>
                <w:lang w:val="en-GB" w:eastAsia="en-GB"/>
              </w:rPr>
              <w:t>6.182</w:t>
            </w:r>
          </w:p>
        </w:tc>
        <w:tc>
          <w:tcPr>
            <w:tcW w:w="482" w:type="pct"/>
            <w:tcBorders>
              <w:top w:val="nil"/>
              <w:left w:val="nil"/>
              <w:bottom w:val="nil"/>
              <w:right w:val="nil"/>
            </w:tcBorders>
            <w:noWrap/>
            <w:vAlign w:val="bottom"/>
            <w:hideMark/>
          </w:tcPr>
          <w:p w:rsidRPr="00B52D66" w:rsidR="00B52D66" w:rsidP="00FC2172" w:rsidRDefault="00B52D66" w14:paraId="587F8CEE" w14:textId="77777777">
            <w:pPr>
              <w:spacing w:line="240" w:lineRule="auto"/>
              <w:jc w:val="right"/>
              <w:rPr>
                <w:rFonts w:cs="Arial"/>
                <w:b/>
                <w:bCs/>
                <w:szCs w:val="18"/>
                <w:lang w:val="en-GB" w:eastAsia="en-GB"/>
              </w:rPr>
            </w:pPr>
            <w:r w:rsidRPr="00B52D66">
              <w:rPr>
                <w:rFonts w:cs="Arial"/>
                <w:b/>
                <w:bCs/>
                <w:szCs w:val="18"/>
                <w:lang w:val="en-GB" w:eastAsia="en-GB"/>
              </w:rPr>
              <w:t>6.035</w:t>
            </w:r>
          </w:p>
        </w:tc>
        <w:tc>
          <w:tcPr>
            <w:tcW w:w="482" w:type="pct"/>
            <w:tcBorders>
              <w:top w:val="nil"/>
              <w:left w:val="nil"/>
              <w:bottom w:val="nil"/>
              <w:right w:val="nil"/>
            </w:tcBorders>
            <w:noWrap/>
            <w:vAlign w:val="bottom"/>
            <w:hideMark/>
          </w:tcPr>
          <w:p w:rsidRPr="00B52D66" w:rsidR="00B52D66" w:rsidP="00FC2172" w:rsidRDefault="00B52D66" w14:paraId="304E7B0D" w14:textId="77777777">
            <w:pPr>
              <w:spacing w:line="240" w:lineRule="auto"/>
              <w:jc w:val="right"/>
              <w:rPr>
                <w:rFonts w:cs="Arial"/>
                <w:b/>
                <w:bCs/>
                <w:szCs w:val="18"/>
                <w:lang w:val="en-GB" w:eastAsia="en-GB"/>
              </w:rPr>
            </w:pPr>
            <w:r w:rsidRPr="00B52D66">
              <w:rPr>
                <w:rFonts w:cs="Arial"/>
                <w:b/>
                <w:bCs/>
                <w:szCs w:val="18"/>
                <w:lang w:val="en-GB" w:eastAsia="en-GB"/>
              </w:rPr>
              <w:t>6.058</w:t>
            </w:r>
          </w:p>
        </w:tc>
        <w:tc>
          <w:tcPr>
            <w:tcW w:w="482" w:type="pct"/>
            <w:tcBorders>
              <w:top w:val="nil"/>
              <w:left w:val="nil"/>
              <w:bottom w:val="nil"/>
              <w:right w:val="nil"/>
            </w:tcBorders>
            <w:noWrap/>
            <w:vAlign w:val="bottom"/>
            <w:hideMark/>
          </w:tcPr>
          <w:p w:rsidRPr="00B52D66" w:rsidR="00B52D66" w:rsidP="00FC2172" w:rsidRDefault="00B52D66" w14:paraId="4DD36D7A" w14:textId="77777777">
            <w:pPr>
              <w:spacing w:line="240" w:lineRule="auto"/>
              <w:jc w:val="right"/>
              <w:rPr>
                <w:rFonts w:cs="Arial"/>
                <w:b/>
                <w:bCs/>
                <w:szCs w:val="18"/>
                <w:lang w:val="en-GB" w:eastAsia="en-GB"/>
              </w:rPr>
            </w:pPr>
            <w:r w:rsidRPr="00B52D66">
              <w:rPr>
                <w:rFonts w:cs="Arial"/>
                <w:b/>
                <w:bCs/>
                <w:szCs w:val="18"/>
                <w:lang w:val="en-GB" w:eastAsia="en-GB"/>
              </w:rPr>
              <w:t>6.610</w:t>
            </w:r>
          </w:p>
        </w:tc>
        <w:tc>
          <w:tcPr>
            <w:tcW w:w="482" w:type="pct"/>
            <w:tcBorders>
              <w:top w:val="nil"/>
              <w:left w:val="nil"/>
              <w:bottom w:val="nil"/>
              <w:right w:val="nil"/>
            </w:tcBorders>
            <w:noWrap/>
            <w:vAlign w:val="bottom"/>
            <w:hideMark/>
          </w:tcPr>
          <w:p w:rsidRPr="00B52D66" w:rsidR="00B52D66" w:rsidP="00FC2172" w:rsidRDefault="00B52D66" w14:paraId="431BAD4C" w14:textId="77777777">
            <w:pPr>
              <w:spacing w:line="240" w:lineRule="auto"/>
              <w:jc w:val="right"/>
              <w:rPr>
                <w:rFonts w:cs="Arial"/>
                <w:b/>
                <w:bCs/>
                <w:szCs w:val="18"/>
                <w:lang w:val="en-GB" w:eastAsia="en-GB"/>
              </w:rPr>
            </w:pPr>
            <w:r w:rsidRPr="00B52D66">
              <w:rPr>
                <w:rFonts w:cs="Arial"/>
                <w:b/>
                <w:bCs/>
                <w:szCs w:val="18"/>
                <w:lang w:val="en-GB" w:eastAsia="en-GB"/>
              </w:rPr>
              <w:t>6.445</w:t>
            </w:r>
          </w:p>
        </w:tc>
      </w:tr>
      <w:tr w:rsidRPr="00B52D66" w:rsidR="00B52D66" w:rsidTr="00B52D66" w14:paraId="0A754BBF" w14:textId="77777777">
        <w:trPr>
          <w:trHeight w:val="280"/>
        </w:trPr>
        <w:tc>
          <w:tcPr>
            <w:tcW w:w="2105" w:type="pct"/>
            <w:tcBorders>
              <w:top w:val="nil"/>
              <w:left w:val="nil"/>
              <w:bottom w:val="nil"/>
              <w:right w:val="nil"/>
            </w:tcBorders>
            <w:noWrap/>
            <w:hideMark/>
          </w:tcPr>
          <w:p w:rsidRPr="00B52D66" w:rsidR="00B52D66" w:rsidP="00FC2172" w:rsidRDefault="00B52D66" w14:paraId="3F7C3F4B" w14:textId="77777777">
            <w:pPr>
              <w:spacing w:line="240" w:lineRule="auto"/>
              <w:rPr>
                <w:rFonts w:cs="Arial"/>
                <w:szCs w:val="18"/>
                <w:lang w:val="en-GB" w:eastAsia="en-GB"/>
              </w:rPr>
            </w:pPr>
            <w:r w:rsidRPr="00B52D66">
              <w:rPr>
                <w:rFonts w:cs="Arial"/>
                <w:szCs w:val="18"/>
                <w:lang w:val="en-GB" w:eastAsia="en-GB"/>
              </w:rPr>
              <w:t xml:space="preserve">   BWI</w:t>
            </w:r>
          </w:p>
        </w:tc>
        <w:tc>
          <w:tcPr>
            <w:tcW w:w="482" w:type="pct"/>
            <w:tcBorders>
              <w:top w:val="nil"/>
              <w:left w:val="nil"/>
              <w:bottom w:val="nil"/>
              <w:right w:val="nil"/>
            </w:tcBorders>
            <w:noWrap/>
            <w:vAlign w:val="bottom"/>
            <w:hideMark/>
          </w:tcPr>
          <w:p w:rsidRPr="00B52D66" w:rsidR="00B52D66" w:rsidP="00FC2172" w:rsidRDefault="00B52D66" w14:paraId="1C94F5E4" w14:textId="77777777">
            <w:pPr>
              <w:spacing w:line="240" w:lineRule="auto"/>
              <w:jc w:val="right"/>
              <w:rPr>
                <w:rFonts w:cs="Arial"/>
                <w:szCs w:val="18"/>
                <w:lang w:val="en-GB" w:eastAsia="en-GB"/>
              </w:rPr>
            </w:pPr>
            <w:r w:rsidRPr="00B52D66">
              <w:rPr>
                <w:rFonts w:cs="Arial"/>
                <w:szCs w:val="18"/>
                <w:lang w:val="en-GB" w:eastAsia="en-GB"/>
              </w:rPr>
              <w:t>1.714</w:t>
            </w:r>
          </w:p>
        </w:tc>
        <w:tc>
          <w:tcPr>
            <w:tcW w:w="482" w:type="pct"/>
            <w:tcBorders>
              <w:top w:val="nil"/>
              <w:left w:val="nil"/>
              <w:bottom w:val="nil"/>
              <w:right w:val="nil"/>
            </w:tcBorders>
            <w:noWrap/>
            <w:vAlign w:val="bottom"/>
            <w:hideMark/>
          </w:tcPr>
          <w:p w:rsidRPr="00B52D66" w:rsidR="00B52D66" w:rsidP="00FC2172" w:rsidRDefault="00B52D66" w14:paraId="19A9F6E9" w14:textId="77777777">
            <w:pPr>
              <w:spacing w:line="240" w:lineRule="auto"/>
              <w:jc w:val="right"/>
              <w:rPr>
                <w:rFonts w:cs="Arial"/>
                <w:szCs w:val="18"/>
                <w:lang w:val="en-GB" w:eastAsia="en-GB"/>
              </w:rPr>
            </w:pPr>
            <w:r w:rsidRPr="00B52D66">
              <w:rPr>
                <w:rFonts w:cs="Arial"/>
                <w:szCs w:val="18"/>
                <w:lang w:val="en-GB" w:eastAsia="en-GB"/>
              </w:rPr>
              <w:t>1.849</w:t>
            </w:r>
          </w:p>
        </w:tc>
        <w:tc>
          <w:tcPr>
            <w:tcW w:w="482" w:type="pct"/>
            <w:tcBorders>
              <w:top w:val="nil"/>
              <w:left w:val="nil"/>
              <w:bottom w:val="nil"/>
              <w:right w:val="nil"/>
            </w:tcBorders>
            <w:noWrap/>
            <w:vAlign w:val="bottom"/>
            <w:hideMark/>
          </w:tcPr>
          <w:p w:rsidRPr="00B52D66" w:rsidR="00B52D66" w:rsidP="00FC2172" w:rsidRDefault="00B52D66" w14:paraId="2871FC46" w14:textId="77777777">
            <w:pPr>
              <w:spacing w:line="240" w:lineRule="auto"/>
              <w:jc w:val="right"/>
              <w:rPr>
                <w:rFonts w:cs="Arial"/>
                <w:szCs w:val="18"/>
                <w:lang w:val="en-GB" w:eastAsia="en-GB"/>
              </w:rPr>
            </w:pPr>
            <w:r w:rsidRPr="00B52D66">
              <w:rPr>
                <w:rFonts w:cs="Arial"/>
                <w:szCs w:val="18"/>
                <w:lang w:val="en-GB" w:eastAsia="en-GB"/>
              </w:rPr>
              <w:t>1.850</w:t>
            </w:r>
          </w:p>
        </w:tc>
        <w:tc>
          <w:tcPr>
            <w:tcW w:w="482" w:type="pct"/>
            <w:tcBorders>
              <w:top w:val="nil"/>
              <w:left w:val="nil"/>
              <w:bottom w:val="nil"/>
              <w:right w:val="nil"/>
            </w:tcBorders>
            <w:noWrap/>
            <w:vAlign w:val="bottom"/>
            <w:hideMark/>
          </w:tcPr>
          <w:p w:rsidRPr="00B52D66" w:rsidR="00B52D66" w:rsidP="00FC2172" w:rsidRDefault="00B52D66" w14:paraId="37E7C2AD" w14:textId="77777777">
            <w:pPr>
              <w:spacing w:line="240" w:lineRule="auto"/>
              <w:jc w:val="right"/>
              <w:rPr>
                <w:rFonts w:cs="Arial"/>
                <w:szCs w:val="18"/>
                <w:lang w:val="en-GB" w:eastAsia="en-GB"/>
              </w:rPr>
            </w:pPr>
            <w:r w:rsidRPr="00B52D66">
              <w:rPr>
                <w:rFonts w:cs="Arial"/>
                <w:szCs w:val="18"/>
                <w:lang w:val="en-GB" w:eastAsia="en-GB"/>
              </w:rPr>
              <w:t>1.771</w:t>
            </w:r>
          </w:p>
        </w:tc>
        <w:tc>
          <w:tcPr>
            <w:tcW w:w="482" w:type="pct"/>
            <w:tcBorders>
              <w:top w:val="nil"/>
              <w:left w:val="nil"/>
              <w:bottom w:val="nil"/>
              <w:right w:val="nil"/>
            </w:tcBorders>
            <w:noWrap/>
            <w:vAlign w:val="bottom"/>
            <w:hideMark/>
          </w:tcPr>
          <w:p w:rsidRPr="00B52D66" w:rsidR="00B52D66" w:rsidP="00FC2172" w:rsidRDefault="00B52D66" w14:paraId="512437FF" w14:textId="77777777">
            <w:pPr>
              <w:spacing w:line="240" w:lineRule="auto"/>
              <w:jc w:val="right"/>
              <w:rPr>
                <w:rFonts w:cs="Arial"/>
                <w:szCs w:val="18"/>
                <w:lang w:val="en-GB" w:eastAsia="en-GB"/>
              </w:rPr>
            </w:pPr>
            <w:r w:rsidRPr="00B52D66">
              <w:rPr>
                <w:rFonts w:cs="Arial"/>
                <w:szCs w:val="18"/>
                <w:lang w:val="en-GB" w:eastAsia="en-GB"/>
              </w:rPr>
              <w:t>2.162</w:t>
            </w:r>
          </w:p>
        </w:tc>
        <w:tc>
          <w:tcPr>
            <w:tcW w:w="482" w:type="pct"/>
            <w:tcBorders>
              <w:top w:val="nil"/>
              <w:left w:val="nil"/>
              <w:bottom w:val="nil"/>
              <w:right w:val="nil"/>
            </w:tcBorders>
            <w:noWrap/>
            <w:vAlign w:val="bottom"/>
            <w:hideMark/>
          </w:tcPr>
          <w:p w:rsidRPr="00B52D66" w:rsidR="00B52D66" w:rsidP="00FC2172" w:rsidRDefault="00B52D66" w14:paraId="7585009C" w14:textId="77777777">
            <w:pPr>
              <w:spacing w:line="240" w:lineRule="auto"/>
              <w:jc w:val="right"/>
              <w:rPr>
                <w:rFonts w:cs="Arial"/>
                <w:szCs w:val="18"/>
                <w:lang w:val="en-GB" w:eastAsia="en-GB"/>
              </w:rPr>
            </w:pPr>
            <w:r w:rsidRPr="00B52D66">
              <w:rPr>
                <w:rFonts w:cs="Arial"/>
                <w:szCs w:val="18"/>
                <w:lang w:val="en-GB" w:eastAsia="en-GB"/>
              </w:rPr>
              <w:t>2.126</w:t>
            </w:r>
          </w:p>
        </w:tc>
      </w:tr>
      <w:tr w:rsidRPr="00B52D66" w:rsidR="00B52D66" w:rsidTr="00B52D66" w14:paraId="4E343B3C" w14:textId="77777777">
        <w:trPr>
          <w:trHeight w:val="280"/>
        </w:trPr>
        <w:tc>
          <w:tcPr>
            <w:tcW w:w="2105" w:type="pct"/>
            <w:tcBorders>
              <w:top w:val="nil"/>
              <w:left w:val="nil"/>
              <w:bottom w:val="nil"/>
              <w:right w:val="nil"/>
            </w:tcBorders>
            <w:noWrap/>
            <w:hideMark/>
          </w:tcPr>
          <w:p w:rsidRPr="00B52D66" w:rsidR="00B52D66" w:rsidP="00FC2172" w:rsidRDefault="00B52D66" w14:paraId="50E7A797" w14:textId="77777777">
            <w:pPr>
              <w:spacing w:line="240" w:lineRule="auto"/>
              <w:rPr>
                <w:rFonts w:cs="Arial"/>
                <w:szCs w:val="18"/>
                <w:lang w:val="en-GB" w:eastAsia="en-GB"/>
              </w:rPr>
            </w:pPr>
            <w:r w:rsidRPr="00B52D66">
              <w:rPr>
                <w:rFonts w:cs="Arial"/>
                <w:szCs w:val="18"/>
                <w:lang w:val="en-GB" w:eastAsia="en-GB"/>
              </w:rPr>
              <w:t xml:space="preserve">   MaT</w:t>
            </w:r>
          </w:p>
        </w:tc>
        <w:tc>
          <w:tcPr>
            <w:tcW w:w="482" w:type="pct"/>
            <w:tcBorders>
              <w:top w:val="nil"/>
              <w:left w:val="nil"/>
              <w:bottom w:val="nil"/>
              <w:right w:val="nil"/>
            </w:tcBorders>
            <w:noWrap/>
            <w:vAlign w:val="bottom"/>
            <w:hideMark/>
          </w:tcPr>
          <w:p w:rsidRPr="00B52D66" w:rsidR="00B52D66" w:rsidP="00FC2172" w:rsidRDefault="00B52D66" w14:paraId="62153773" w14:textId="77777777">
            <w:pPr>
              <w:spacing w:line="240" w:lineRule="auto"/>
              <w:jc w:val="right"/>
              <w:rPr>
                <w:rFonts w:cs="Arial"/>
                <w:szCs w:val="18"/>
                <w:lang w:val="en-GB" w:eastAsia="en-GB"/>
              </w:rPr>
            </w:pPr>
            <w:r w:rsidRPr="00B52D66">
              <w:rPr>
                <w:rFonts w:cs="Arial"/>
                <w:szCs w:val="18"/>
                <w:lang w:val="en-GB" w:eastAsia="en-GB"/>
              </w:rPr>
              <w:t>103</w:t>
            </w:r>
          </w:p>
        </w:tc>
        <w:tc>
          <w:tcPr>
            <w:tcW w:w="482" w:type="pct"/>
            <w:tcBorders>
              <w:top w:val="nil"/>
              <w:left w:val="nil"/>
              <w:bottom w:val="nil"/>
              <w:right w:val="nil"/>
            </w:tcBorders>
            <w:noWrap/>
            <w:vAlign w:val="bottom"/>
            <w:hideMark/>
          </w:tcPr>
          <w:p w:rsidRPr="00B52D66" w:rsidR="00B52D66" w:rsidP="00FC2172" w:rsidRDefault="00B52D66" w14:paraId="62FD30AF" w14:textId="77777777">
            <w:pPr>
              <w:spacing w:line="240" w:lineRule="auto"/>
              <w:jc w:val="right"/>
              <w:rPr>
                <w:rFonts w:cs="Arial"/>
                <w:szCs w:val="18"/>
                <w:lang w:val="en-GB" w:eastAsia="en-GB"/>
              </w:rPr>
            </w:pPr>
            <w:r w:rsidRPr="00B52D66">
              <w:rPr>
                <w:rFonts w:cs="Arial"/>
                <w:szCs w:val="18"/>
                <w:lang w:val="en-GB" w:eastAsia="en-GB"/>
              </w:rPr>
              <w:t>103</w:t>
            </w:r>
          </w:p>
        </w:tc>
        <w:tc>
          <w:tcPr>
            <w:tcW w:w="482" w:type="pct"/>
            <w:tcBorders>
              <w:top w:val="nil"/>
              <w:left w:val="nil"/>
              <w:bottom w:val="nil"/>
              <w:right w:val="nil"/>
            </w:tcBorders>
            <w:noWrap/>
            <w:vAlign w:val="bottom"/>
            <w:hideMark/>
          </w:tcPr>
          <w:p w:rsidRPr="00B52D66" w:rsidR="00B52D66" w:rsidP="00FC2172" w:rsidRDefault="00B52D66" w14:paraId="264197B8" w14:textId="77777777">
            <w:pPr>
              <w:spacing w:line="240" w:lineRule="auto"/>
              <w:jc w:val="right"/>
              <w:rPr>
                <w:rFonts w:cs="Arial"/>
                <w:szCs w:val="18"/>
                <w:lang w:val="en-GB" w:eastAsia="en-GB"/>
              </w:rPr>
            </w:pPr>
            <w:r w:rsidRPr="00B52D66">
              <w:rPr>
                <w:rFonts w:cs="Arial"/>
                <w:szCs w:val="18"/>
                <w:lang w:val="en-GB" w:eastAsia="en-GB"/>
              </w:rPr>
              <w:t>145</w:t>
            </w:r>
          </w:p>
        </w:tc>
        <w:tc>
          <w:tcPr>
            <w:tcW w:w="482" w:type="pct"/>
            <w:tcBorders>
              <w:top w:val="nil"/>
              <w:left w:val="nil"/>
              <w:bottom w:val="nil"/>
              <w:right w:val="nil"/>
            </w:tcBorders>
            <w:noWrap/>
            <w:vAlign w:val="bottom"/>
            <w:hideMark/>
          </w:tcPr>
          <w:p w:rsidRPr="00B52D66" w:rsidR="00B52D66" w:rsidP="00FC2172" w:rsidRDefault="00B52D66" w14:paraId="3D664822" w14:textId="77777777">
            <w:pPr>
              <w:spacing w:line="240" w:lineRule="auto"/>
              <w:jc w:val="right"/>
              <w:rPr>
                <w:rFonts w:cs="Arial"/>
                <w:szCs w:val="18"/>
                <w:lang w:val="en-GB" w:eastAsia="en-GB"/>
              </w:rPr>
            </w:pPr>
            <w:r w:rsidRPr="00B52D66">
              <w:rPr>
                <w:rFonts w:cs="Arial"/>
                <w:szCs w:val="18"/>
                <w:lang w:val="en-GB" w:eastAsia="en-GB"/>
              </w:rPr>
              <w:t>96</w:t>
            </w:r>
          </w:p>
        </w:tc>
        <w:tc>
          <w:tcPr>
            <w:tcW w:w="482" w:type="pct"/>
            <w:tcBorders>
              <w:top w:val="nil"/>
              <w:left w:val="nil"/>
              <w:bottom w:val="nil"/>
              <w:right w:val="nil"/>
            </w:tcBorders>
            <w:noWrap/>
            <w:vAlign w:val="bottom"/>
            <w:hideMark/>
          </w:tcPr>
          <w:p w:rsidRPr="00B52D66" w:rsidR="00B52D66" w:rsidP="00FC2172" w:rsidRDefault="00B52D66" w14:paraId="17EA1579" w14:textId="77777777">
            <w:pPr>
              <w:spacing w:line="240" w:lineRule="auto"/>
              <w:jc w:val="right"/>
              <w:rPr>
                <w:rFonts w:cs="Arial"/>
                <w:szCs w:val="18"/>
                <w:lang w:val="en-GB" w:eastAsia="en-GB"/>
              </w:rPr>
            </w:pPr>
            <w:r w:rsidRPr="00B52D66">
              <w:rPr>
                <w:rFonts w:cs="Arial"/>
                <w:szCs w:val="18"/>
                <w:lang w:val="en-GB" w:eastAsia="en-GB"/>
              </w:rPr>
              <w:t>131</w:t>
            </w:r>
          </w:p>
        </w:tc>
        <w:tc>
          <w:tcPr>
            <w:tcW w:w="482" w:type="pct"/>
            <w:tcBorders>
              <w:top w:val="nil"/>
              <w:left w:val="nil"/>
              <w:bottom w:val="nil"/>
              <w:right w:val="nil"/>
            </w:tcBorders>
            <w:noWrap/>
            <w:vAlign w:val="bottom"/>
            <w:hideMark/>
          </w:tcPr>
          <w:p w:rsidRPr="00B52D66" w:rsidR="00B52D66" w:rsidP="00FC2172" w:rsidRDefault="00B52D66" w14:paraId="0A4683A0" w14:textId="77777777">
            <w:pPr>
              <w:spacing w:line="240" w:lineRule="auto"/>
              <w:jc w:val="right"/>
              <w:rPr>
                <w:rFonts w:cs="Arial"/>
                <w:szCs w:val="18"/>
                <w:lang w:val="en-GB" w:eastAsia="en-GB"/>
              </w:rPr>
            </w:pPr>
            <w:r w:rsidRPr="00B52D66">
              <w:rPr>
                <w:rFonts w:cs="Arial"/>
                <w:szCs w:val="18"/>
                <w:lang w:val="en-GB" w:eastAsia="en-GB"/>
              </w:rPr>
              <w:t>98</w:t>
            </w:r>
          </w:p>
        </w:tc>
      </w:tr>
      <w:tr w:rsidRPr="00B52D66" w:rsidR="00B52D66" w:rsidTr="00B52D66" w14:paraId="50F9A48C" w14:textId="77777777">
        <w:trPr>
          <w:trHeight w:val="280"/>
        </w:trPr>
        <w:tc>
          <w:tcPr>
            <w:tcW w:w="2105" w:type="pct"/>
            <w:tcBorders>
              <w:top w:val="nil"/>
              <w:left w:val="nil"/>
              <w:bottom w:val="nil"/>
              <w:right w:val="nil"/>
            </w:tcBorders>
            <w:noWrap/>
            <w:hideMark/>
          </w:tcPr>
          <w:p w:rsidRPr="00B52D66" w:rsidR="00B52D66" w:rsidP="00FC2172" w:rsidRDefault="00B52D66" w14:paraId="44D149C8" w14:textId="77777777">
            <w:pPr>
              <w:spacing w:line="240" w:lineRule="auto"/>
              <w:rPr>
                <w:rFonts w:cs="Arial"/>
                <w:szCs w:val="18"/>
                <w:lang w:val="en-GB" w:eastAsia="en-GB"/>
              </w:rPr>
            </w:pPr>
            <w:r w:rsidRPr="00B52D66">
              <w:rPr>
                <w:rFonts w:cs="Arial"/>
                <w:szCs w:val="18"/>
                <w:lang w:val="en-GB" w:eastAsia="en-GB"/>
              </w:rPr>
              <w:t xml:space="preserve">   MVI</w:t>
            </w:r>
          </w:p>
        </w:tc>
        <w:tc>
          <w:tcPr>
            <w:tcW w:w="482" w:type="pct"/>
            <w:tcBorders>
              <w:top w:val="nil"/>
              <w:left w:val="nil"/>
              <w:bottom w:val="nil"/>
              <w:right w:val="nil"/>
            </w:tcBorders>
            <w:noWrap/>
            <w:vAlign w:val="bottom"/>
            <w:hideMark/>
          </w:tcPr>
          <w:p w:rsidRPr="00B52D66" w:rsidR="00B52D66" w:rsidP="00FC2172" w:rsidRDefault="00B52D66" w14:paraId="2C086775" w14:textId="77777777">
            <w:pPr>
              <w:spacing w:line="240" w:lineRule="auto"/>
              <w:jc w:val="right"/>
              <w:rPr>
                <w:rFonts w:cs="Arial"/>
                <w:szCs w:val="18"/>
                <w:lang w:val="en-GB" w:eastAsia="en-GB"/>
              </w:rPr>
            </w:pPr>
            <w:r w:rsidRPr="00B52D66">
              <w:rPr>
                <w:rFonts w:cs="Arial"/>
                <w:szCs w:val="18"/>
                <w:lang w:val="en-GB" w:eastAsia="en-GB"/>
              </w:rPr>
              <w:t>913</w:t>
            </w:r>
          </w:p>
        </w:tc>
        <w:tc>
          <w:tcPr>
            <w:tcW w:w="482" w:type="pct"/>
            <w:tcBorders>
              <w:top w:val="nil"/>
              <w:left w:val="nil"/>
              <w:bottom w:val="nil"/>
              <w:right w:val="nil"/>
            </w:tcBorders>
            <w:noWrap/>
            <w:vAlign w:val="bottom"/>
            <w:hideMark/>
          </w:tcPr>
          <w:p w:rsidRPr="00B52D66" w:rsidR="00B52D66" w:rsidP="00FC2172" w:rsidRDefault="00B52D66" w14:paraId="5975B943" w14:textId="77777777">
            <w:pPr>
              <w:spacing w:line="240" w:lineRule="auto"/>
              <w:jc w:val="right"/>
              <w:rPr>
                <w:rFonts w:cs="Arial"/>
                <w:szCs w:val="18"/>
                <w:lang w:val="en-GB" w:eastAsia="en-GB"/>
              </w:rPr>
            </w:pPr>
            <w:r w:rsidRPr="00B52D66">
              <w:rPr>
                <w:rFonts w:cs="Arial"/>
                <w:szCs w:val="18"/>
                <w:lang w:val="en-GB" w:eastAsia="en-GB"/>
              </w:rPr>
              <w:t>910</w:t>
            </w:r>
          </w:p>
        </w:tc>
        <w:tc>
          <w:tcPr>
            <w:tcW w:w="482" w:type="pct"/>
            <w:tcBorders>
              <w:top w:val="nil"/>
              <w:left w:val="nil"/>
              <w:bottom w:val="nil"/>
              <w:right w:val="nil"/>
            </w:tcBorders>
            <w:noWrap/>
            <w:vAlign w:val="bottom"/>
            <w:hideMark/>
          </w:tcPr>
          <w:p w:rsidRPr="00B52D66" w:rsidR="00B52D66" w:rsidP="00FC2172" w:rsidRDefault="00B52D66" w14:paraId="14511D4E" w14:textId="77777777">
            <w:pPr>
              <w:spacing w:line="240" w:lineRule="auto"/>
              <w:jc w:val="right"/>
              <w:rPr>
                <w:rFonts w:cs="Arial"/>
                <w:szCs w:val="18"/>
                <w:lang w:val="en-GB" w:eastAsia="en-GB"/>
              </w:rPr>
            </w:pPr>
            <w:r w:rsidRPr="00B52D66">
              <w:rPr>
                <w:rFonts w:cs="Arial"/>
                <w:szCs w:val="18"/>
                <w:lang w:val="en-GB" w:eastAsia="en-GB"/>
              </w:rPr>
              <w:t>797</w:t>
            </w:r>
          </w:p>
        </w:tc>
        <w:tc>
          <w:tcPr>
            <w:tcW w:w="482" w:type="pct"/>
            <w:tcBorders>
              <w:top w:val="nil"/>
              <w:left w:val="nil"/>
              <w:bottom w:val="nil"/>
              <w:right w:val="nil"/>
            </w:tcBorders>
            <w:noWrap/>
            <w:vAlign w:val="bottom"/>
            <w:hideMark/>
          </w:tcPr>
          <w:p w:rsidRPr="00B52D66" w:rsidR="00B52D66" w:rsidP="00FC2172" w:rsidRDefault="00B52D66" w14:paraId="06DDE446" w14:textId="77777777">
            <w:pPr>
              <w:spacing w:line="240" w:lineRule="auto"/>
              <w:jc w:val="right"/>
              <w:rPr>
                <w:rFonts w:cs="Arial"/>
                <w:szCs w:val="18"/>
                <w:lang w:val="en-GB" w:eastAsia="en-GB"/>
              </w:rPr>
            </w:pPr>
            <w:r w:rsidRPr="00B52D66">
              <w:rPr>
                <w:rFonts w:cs="Arial"/>
                <w:szCs w:val="18"/>
                <w:lang w:val="en-GB" w:eastAsia="en-GB"/>
              </w:rPr>
              <w:t>847</w:t>
            </w:r>
          </w:p>
        </w:tc>
        <w:tc>
          <w:tcPr>
            <w:tcW w:w="482" w:type="pct"/>
            <w:tcBorders>
              <w:top w:val="nil"/>
              <w:left w:val="nil"/>
              <w:bottom w:val="nil"/>
              <w:right w:val="nil"/>
            </w:tcBorders>
            <w:noWrap/>
            <w:vAlign w:val="bottom"/>
            <w:hideMark/>
          </w:tcPr>
          <w:p w:rsidRPr="00B52D66" w:rsidR="00B52D66" w:rsidP="00FC2172" w:rsidRDefault="00B52D66" w14:paraId="098B07FB" w14:textId="77777777">
            <w:pPr>
              <w:spacing w:line="240" w:lineRule="auto"/>
              <w:jc w:val="right"/>
              <w:rPr>
                <w:rFonts w:cs="Arial"/>
                <w:szCs w:val="18"/>
                <w:lang w:val="en-GB" w:eastAsia="en-GB"/>
              </w:rPr>
            </w:pPr>
            <w:r w:rsidRPr="00B52D66">
              <w:rPr>
                <w:rFonts w:cs="Arial"/>
                <w:szCs w:val="18"/>
                <w:lang w:val="en-GB" w:eastAsia="en-GB"/>
              </w:rPr>
              <w:t>805</w:t>
            </w:r>
          </w:p>
        </w:tc>
        <w:tc>
          <w:tcPr>
            <w:tcW w:w="482" w:type="pct"/>
            <w:tcBorders>
              <w:top w:val="nil"/>
              <w:left w:val="nil"/>
              <w:bottom w:val="nil"/>
              <w:right w:val="nil"/>
            </w:tcBorders>
            <w:noWrap/>
            <w:vAlign w:val="bottom"/>
            <w:hideMark/>
          </w:tcPr>
          <w:p w:rsidRPr="00B52D66" w:rsidR="00B52D66" w:rsidP="00FC2172" w:rsidRDefault="00B52D66" w14:paraId="35BDE4A7" w14:textId="77777777">
            <w:pPr>
              <w:spacing w:line="240" w:lineRule="auto"/>
              <w:jc w:val="right"/>
              <w:rPr>
                <w:rFonts w:cs="Arial"/>
                <w:szCs w:val="18"/>
                <w:lang w:val="en-GB" w:eastAsia="en-GB"/>
              </w:rPr>
            </w:pPr>
            <w:r w:rsidRPr="00B52D66">
              <w:rPr>
                <w:rFonts w:cs="Arial"/>
                <w:szCs w:val="18"/>
                <w:lang w:val="en-GB" w:eastAsia="en-GB"/>
              </w:rPr>
              <w:t>760</w:t>
            </w:r>
          </w:p>
        </w:tc>
      </w:tr>
      <w:tr w:rsidRPr="00B52D66" w:rsidR="00B52D66" w:rsidTr="00B52D66" w14:paraId="4549C752" w14:textId="77777777">
        <w:trPr>
          <w:trHeight w:val="280"/>
        </w:trPr>
        <w:tc>
          <w:tcPr>
            <w:tcW w:w="2105" w:type="pct"/>
            <w:tcBorders>
              <w:top w:val="nil"/>
              <w:left w:val="nil"/>
              <w:bottom w:val="nil"/>
              <w:right w:val="nil"/>
            </w:tcBorders>
            <w:noWrap/>
            <w:hideMark/>
          </w:tcPr>
          <w:p w:rsidRPr="00B52D66" w:rsidR="00B52D66" w:rsidP="00FC2172" w:rsidRDefault="00B52D66" w14:paraId="142A6C73" w14:textId="77777777">
            <w:pPr>
              <w:spacing w:line="240" w:lineRule="auto"/>
              <w:rPr>
                <w:rFonts w:cs="Arial"/>
                <w:szCs w:val="18"/>
                <w:lang w:val="en-GB" w:eastAsia="en-GB"/>
              </w:rPr>
            </w:pPr>
            <w:r w:rsidRPr="00B52D66">
              <w:rPr>
                <w:rFonts w:cs="Arial"/>
                <w:szCs w:val="18"/>
                <w:lang w:val="en-GB" w:eastAsia="en-GB"/>
              </w:rPr>
              <w:t xml:space="preserve">   M&amp;T</w:t>
            </w:r>
          </w:p>
        </w:tc>
        <w:tc>
          <w:tcPr>
            <w:tcW w:w="482" w:type="pct"/>
            <w:tcBorders>
              <w:top w:val="nil"/>
              <w:left w:val="nil"/>
              <w:bottom w:val="nil"/>
              <w:right w:val="nil"/>
            </w:tcBorders>
            <w:noWrap/>
            <w:vAlign w:val="bottom"/>
            <w:hideMark/>
          </w:tcPr>
          <w:p w:rsidRPr="00B52D66" w:rsidR="00B52D66" w:rsidP="00FC2172" w:rsidRDefault="00B52D66" w14:paraId="3A8F263C" w14:textId="77777777">
            <w:pPr>
              <w:spacing w:line="240" w:lineRule="auto"/>
              <w:jc w:val="right"/>
              <w:rPr>
                <w:rFonts w:cs="Arial"/>
                <w:szCs w:val="18"/>
                <w:lang w:val="en-GB" w:eastAsia="en-GB"/>
              </w:rPr>
            </w:pPr>
            <w:r w:rsidRPr="00B52D66">
              <w:rPr>
                <w:rFonts w:cs="Arial"/>
                <w:szCs w:val="18"/>
                <w:lang w:val="en-GB" w:eastAsia="en-GB"/>
              </w:rPr>
              <w:t>880</w:t>
            </w:r>
          </w:p>
        </w:tc>
        <w:tc>
          <w:tcPr>
            <w:tcW w:w="482" w:type="pct"/>
            <w:tcBorders>
              <w:top w:val="nil"/>
              <w:left w:val="nil"/>
              <w:bottom w:val="nil"/>
              <w:right w:val="nil"/>
            </w:tcBorders>
            <w:noWrap/>
            <w:vAlign w:val="bottom"/>
            <w:hideMark/>
          </w:tcPr>
          <w:p w:rsidRPr="00B52D66" w:rsidR="00B52D66" w:rsidP="00FC2172" w:rsidRDefault="00B52D66" w14:paraId="20BA96F4" w14:textId="77777777">
            <w:pPr>
              <w:spacing w:line="240" w:lineRule="auto"/>
              <w:jc w:val="right"/>
              <w:rPr>
                <w:rFonts w:cs="Arial"/>
                <w:szCs w:val="18"/>
                <w:lang w:val="en-GB" w:eastAsia="en-GB"/>
              </w:rPr>
            </w:pPr>
            <w:r w:rsidRPr="00B52D66">
              <w:rPr>
                <w:rFonts w:cs="Arial"/>
                <w:szCs w:val="18"/>
                <w:lang w:val="en-GB" w:eastAsia="en-GB"/>
              </w:rPr>
              <w:t>775</w:t>
            </w:r>
          </w:p>
        </w:tc>
        <w:tc>
          <w:tcPr>
            <w:tcW w:w="482" w:type="pct"/>
            <w:tcBorders>
              <w:top w:val="nil"/>
              <w:left w:val="nil"/>
              <w:bottom w:val="nil"/>
              <w:right w:val="nil"/>
            </w:tcBorders>
            <w:noWrap/>
            <w:vAlign w:val="bottom"/>
            <w:hideMark/>
          </w:tcPr>
          <w:p w:rsidRPr="00B52D66" w:rsidR="00B52D66" w:rsidP="00FC2172" w:rsidRDefault="00B52D66" w14:paraId="313DC93C" w14:textId="77777777">
            <w:pPr>
              <w:spacing w:line="240" w:lineRule="auto"/>
              <w:jc w:val="right"/>
              <w:rPr>
                <w:rFonts w:cs="Arial"/>
                <w:szCs w:val="18"/>
                <w:lang w:val="en-GB" w:eastAsia="en-GB"/>
              </w:rPr>
            </w:pPr>
            <w:r w:rsidRPr="00B52D66">
              <w:rPr>
                <w:rFonts w:cs="Arial"/>
                <w:szCs w:val="18"/>
                <w:lang w:val="en-GB" w:eastAsia="en-GB"/>
              </w:rPr>
              <w:t>853</w:t>
            </w:r>
          </w:p>
        </w:tc>
        <w:tc>
          <w:tcPr>
            <w:tcW w:w="482" w:type="pct"/>
            <w:tcBorders>
              <w:top w:val="nil"/>
              <w:left w:val="nil"/>
              <w:bottom w:val="nil"/>
              <w:right w:val="nil"/>
            </w:tcBorders>
            <w:noWrap/>
            <w:vAlign w:val="bottom"/>
            <w:hideMark/>
          </w:tcPr>
          <w:p w:rsidRPr="00B52D66" w:rsidR="00B52D66" w:rsidP="00FC2172" w:rsidRDefault="00B52D66" w14:paraId="2A5DDE49" w14:textId="77777777">
            <w:pPr>
              <w:spacing w:line="240" w:lineRule="auto"/>
              <w:jc w:val="right"/>
              <w:rPr>
                <w:rFonts w:cs="Arial"/>
                <w:szCs w:val="18"/>
                <w:lang w:val="en-GB" w:eastAsia="en-GB"/>
              </w:rPr>
            </w:pPr>
            <w:r w:rsidRPr="00B52D66">
              <w:rPr>
                <w:rFonts w:cs="Arial"/>
                <w:szCs w:val="18"/>
                <w:lang w:val="en-GB" w:eastAsia="en-GB"/>
              </w:rPr>
              <w:t>822</w:t>
            </w:r>
          </w:p>
        </w:tc>
        <w:tc>
          <w:tcPr>
            <w:tcW w:w="482" w:type="pct"/>
            <w:tcBorders>
              <w:top w:val="nil"/>
              <w:left w:val="nil"/>
              <w:bottom w:val="nil"/>
              <w:right w:val="nil"/>
            </w:tcBorders>
            <w:noWrap/>
            <w:vAlign w:val="bottom"/>
            <w:hideMark/>
          </w:tcPr>
          <w:p w:rsidRPr="00B52D66" w:rsidR="00B52D66" w:rsidP="00FC2172" w:rsidRDefault="00B52D66" w14:paraId="6E25680A" w14:textId="77777777">
            <w:pPr>
              <w:spacing w:line="240" w:lineRule="auto"/>
              <w:jc w:val="right"/>
              <w:rPr>
                <w:rFonts w:cs="Arial"/>
                <w:szCs w:val="18"/>
                <w:lang w:val="en-GB" w:eastAsia="en-GB"/>
              </w:rPr>
            </w:pPr>
            <w:r w:rsidRPr="00B52D66">
              <w:rPr>
                <w:rFonts w:cs="Arial"/>
                <w:szCs w:val="18"/>
                <w:lang w:val="en-GB" w:eastAsia="en-GB"/>
              </w:rPr>
              <w:t>852</w:t>
            </w:r>
          </w:p>
        </w:tc>
        <w:tc>
          <w:tcPr>
            <w:tcW w:w="482" w:type="pct"/>
            <w:tcBorders>
              <w:top w:val="nil"/>
              <w:left w:val="nil"/>
              <w:bottom w:val="nil"/>
              <w:right w:val="nil"/>
            </w:tcBorders>
            <w:noWrap/>
            <w:vAlign w:val="bottom"/>
            <w:hideMark/>
          </w:tcPr>
          <w:p w:rsidRPr="00B52D66" w:rsidR="00B52D66" w:rsidP="00FC2172" w:rsidRDefault="00B52D66" w14:paraId="2C153973" w14:textId="77777777">
            <w:pPr>
              <w:spacing w:line="240" w:lineRule="auto"/>
              <w:jc w:val="right"/>
              <w:rPr>
                <w:rFonts w:cs="Arial"/>
                <w:szCs w:val="18"/>
                <w:lang w:val="en-GB" w:eastAsia="en-GB"/>
              </w:rPr>
            </w:pPr>
            <w:r w:rsidRPr="00B52D66">
              <w:rPr>
                <w:rFonts w:cs="Arial"/>
                <w:szCs w:val="18"/>
                <w:lang w:val="en-GB" w:eastAsia="en-GB"/>
              </w:rPr>
              <w:t>818</w:t>
            </w:r>
          </w:p>
        </w:tc>
      </w:tr>
      <w:tr w:rsidRPr="00B52D66" w:rsidR="00B52D66" w:rsidTr="00B52D66" w14:paraId="275F02B0" w14:textId="77777777">
        <w:trPr>
          <w:trHeight w:val="280"/>
        </w:trPr>
        <w:tc>
          <w:tcPr>
            <w:tcW w:w="2105" w:type="pct"/>
            <w:tcBorders>
              <w:top w:val="nil"/>
              <w:left w:val="nil"/>
              <w:bottom w:val="nil"/>
              <w:right w:val="nil"/>
            </w:tcBorders>
            <w:noWrap/>
            <w:hideMark/>
          </w:tcPr>
          <w:p w:rsidRPr="00B52D66" w:rsidR="00B52D66" w:rsidP="00FC2172" w:rsidRDefault="00B52D66" w14:paraId="3A7066C3" w14:textId="77777777">
            <w:pPr>
              <w:spacing w:line="240" w:lineRule="auto"/>
              <w:rPr>
                <w:rFonts w:cs="Arial"/>
                <w:szCs w:val="18"/>
                <w:lang w:val="en-GB" w:eastAsia="en-GB"/>
              </w:rPr>
            </w:pPr>
            <w:r w:rsidRPr="00B52D66">
              <w:rPr>
                <w:rFonts w:cs="Arial"/>
                <w:szCs w:val="18"/>
                <w:lang w:val="en-GB" w:eastAsia="en-GB"/>
              </w:rPr>
              <w:t xml:space="preserve">   PIE</w:t>
            </w:r>
          </w:p>
        </w:tc>
        <w:tc>
          <w:tcPr>
            <w:tcW w:w="482" w:type="pct"/>
            <w:tcBorders>
              <w:top w:val="nil"/>
              <w:left w:val="nil"/>
              <w:bottom w:val="nil"/>
              <w:right w:val="nil"/>
            </w:tcBorders>
            <w:noWrap/>
            <w:vAlign w:val="bottom"/>
            <w:hideMark/>
          </w:tcPr>
          <w:p w:rsidRPr="00B52D66" w:rsidR="00B52D66" w:rsidP="00FC2172" w:rsidRDefault="00B52D66" w14:paraId="052315BE" w14:textId="77777777">
            <w:pPr>
              <w:spacing w:line="240" w:lineRule="auto"/>
              <w:jc w:val="right"/>
              <w:rPr>
                <w:rFonts w:cs="Arial"/>
                <w:szCs w:val="18"/>
                <w:lang w:val="en-GB" w:eastAsia="en-GB"/>
              </w:rPr>
            </w:pPr>
            <w:r w:rsidRPr="00B52D66">
              <w:rPr>
                <w:rFonts w:cs="Arial"/>
                <w:szCs w:val="18"/>
                <w:lang w:val="en-GB" w:eastAsia="en-GB"/>
              </w:rPr>
              <w:t>2.831</w:t>
            </w:r>
          </w:p>
        </w:tc>
        <w:tc>
          <w:tcPr>
            <w:tcW w:w="482" w:type="pct"/>
            <w:tcBorders>
              <w:top w:val="nil"/>
              <w:left w:val="nil"/>
              <w:bottom w:val="nil"/>
              <w:right w:val="nil"/>
            </w:tcBorders>
            <w:noWrap/>
            <w:vAlign w:val="bottom"/>
            <w:hideMark/>
          </w:tcPr>
          <w:p w:rsidRPr="00B52D66" w:rsidR="00B52D66" w:rsidP="00FC2172" w:rsidRDefault="00B52D66" w14:paraId="2E05D7C4" w14:textId="77777777">
            <w:pPr>
              <w:spacing w:line="240" w:lineRule="auto"/>
              <w:jc w:val="right"/>
              <w:rPr>
                <w:rFonts w:cs="Arial"/>
                <w:szCs w:val="18"/>
                <w:lang w:val="en-GB" w:eastAsia="en-GB"/>
              </w:rPr>
            </w:pPr>
            <w:r w:rsidRPr="00B52D66">
              <w:rPr>
                <w:rFonts w:cs="Arial"/>
                <w:szCs w:val="18"/>
                <w:lang w:val="en-GB" w:eastAsia="en-GB"/>
              </w:rPr>
              <w:t>2.545</w:t>
            </w:r>
          </w:p>
        </w:tc>
        <w:tc>
          <w:tcPr>
            <w:tcW w:w="482" w:type="pct"/>
            <w:tcBorders>
              <w:top w:val="nil"/>
              <w:left w:val="nil"/>
              <w:bottom w:val="nil"/>
              <w:right w:val="nil"/>
            </w:tcBorders>
            <w:noWrap/>
            <w:vAlign w:val="bottom"/>
            <w:hideMark/>
          </w:tcPr>
          <w:p w:rsidRPr="00B52D66" w:rsidR="00B52D66" w:rsidP="00FC2172" w:rsidRDefault="00B52D66" w14:paraId="31334775" w14:textId="77777777">
            <w:pPr>
              <w:spacing w:line="240" w:lineRule="auto"/>
              <w:jc w:val="right"/>
              <w:rPr>
                <w:rFonts w:cs="Arial"/>
                <w:szCs w:val="18"/>
                <w:lang w:val="en-GB" w:eastAsia="en-GB"/>
              </w:rPr>
            </w:pPr>
            <w:r w:rsidRPr="00B52D66">
              <w:rPr>
                <w:rFonts w:cs="Arial"/>
                <w:szCs w:val="18"/>
                <w:lang w:val="en-GB" w:eastAsia="en-GB"/>
              </w:rPr>
              <w:t>2.390</w:t>
            </w:r>
          </w:p>
        </w:tc>
        <w:tc>
          <w:tcPr>
            <w:tcW w:w="482" w:type="pct"/>
            <w:tcBorders>
              <w:top w:val="nil"/>
              <w:left w:val="nil"/>
              <w:bottom w:val="nil"/>
              <w:right w:val="nil"/>
            </w:tcBorders>
            <w:noWrap/>
            <w:vAlign w:val="bottom"/>
            <w:hideMark/>
          </w:tcPr>
          <w:p w:rsidRPr="00B52D66" w:rsidR="00B52D66" w:rsidP="00FC2172" w:rsidRDefault="00B52D66" w14:paraId="17491166" w14:textId="77777777">
            <w:pPr>
              <w:spacing w:line="240" w:lineRule="auto"/>
              <w:jc w:val="right"/>
              <w:rPr>
                <w:rFonts w:cs="Arial"/>
                <w:szCs w:val="18"/>
                <w:lang w:val="en-GB" w:eastAsia="en-GB"/>
              </w:rPr>
            </w:pPr>
            <w:r w:rsidRPr="00B52D66">
              <w:rPr>
                <w:rFonts w:cs="Arial"/>
                <w:szCs w:val="18"/>
                <w:lang w:val="en-GB" w:eastAsia="en-GB"/>
              </w:rPr>
              <w:t>2.522</w:t>
            </w:r>
          </w:p>
        </w:tc>
        <w:tc>
          <w:tcPr>
            <w:tcW w:w="482" w:type="pct"/>
            <w:tcBorders>
              <w:top w:val="nil"/>
              <w:left w:val="nil"/>
              <w:bottom w:val="nil"/>
              <w:right w:val="nil"/>
            </w:tcBorders>
            <w:noWrap/>
            <w:vAlign w:val="bottom"/>
            <w:hideMark/>
          </w:tcPr>
          <w:p w:rsidRPr="00B52D66" w:rsidR="00B52D66" w:rsidP="00FC2172" w:rsidRDefault="00B52D66" w14:paraId="692D2AE0" w14:textId="77777777">
            <w:pPr>
              <w:spacing w:line="240" w:lineRule="auto"/>
              <w:jc w:val="right"/>
              <w:rPr>
                <w:rFonts w:cs="Arial"/>
                <w:szCs w:val="18"/>
                <w:lang w:val="en-GB" w:eastAsia="en-GB"/>
              </w:rPr>
            </w:pPr>
            <w:r w:rsidRPr="00B52D66">
              <w:rPr>
                <w:rFonts w:cs="Arial"/>
                <w:szCs w:val="18"/>
                <w:lang w:val="en-GB" w:eastAsia="en-GB"/>
              </w:rPr>
              <w:t>2.660</w:t>
            </w:r>
          </w:p>
        </w:tc>
        <w:tc>
          <w:tcPr>
            <w:tcW w:w="482" w:type="pct"/>
            <w:tcBorders>
              <w:top w:val="nil"/>
              <w:left w:val="nil"/>
              <w:bottom w:val="nil"/>
              <w:right w:val="nil"/>
            </w:tcBorders>
            <w:noWrap/>
            <w:vAlign w:val="bottom"/>
            <w:hideMark/>
          </w:tcPr>
          <w:p w:rsidRPr="00B52D66" w:rsidR="00B52D66" w:rsidP="00FC2172" w:rsidRDefault="00B52D66" w14:paraId="04D2D5C1" w14:textId="77777777">
            <w:pPr>
              <w:spacing w:line="240" w:lineRule="auto"/>
              <w:jc w:val="right"/>
              <w:rPr>
                <w:rFonts w:cs="Arial"/>
                <w:szCs w:val="18"/>
                <w:lang w:val="en-GB" w:eastAsia="en-GB"/>
              </w:rPr>
            </w:pPr>
            <w:r w:rsidRPr="00B52D66">
              <w:rPr>
                <w:rFonts w:cs="Arial"/>
                <w:szCs w:val="18"/>
                <w:lang w:val="en-GB" w:eastAsia="en-GB"/>
              </w:rPr>
              <w:t>2.643</w:t>
            </w:r>
          </w:p>
        </w:tc>
      </w:tr>
      <w:tr w:rsidRPr="00B52D66" w:rsidR="00B52D66" w:rsidTr="00B52D66" w14:paraId="73D3F402"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02F6EEE9" w14:textId="77777777">
            <w:pPr>
              <w:spacing w:line="240" w:lineRule="auto"/>
              <w:rPr>
                <w:rFonts w:cs="Arial"/>
                <w:b/>
                <w:bCs/>
                <w:szCs w:val="18"/>
                <w:lang w:val="en-GB" w:eastAsia="en-GB"/>
              </w:rPr>
            </w:pPr>
            <w:r w:rsidRPr="00B52D66">
              <w:rPr>
                <w:rFonts w:cs="Arial"/>
                <w:b/>
                <w:bCs/>
                <w:szCs w:val="18"/>
                <w:lang w:val="en-GB" w:eastAsia="en-GB"/>
              </w:rPr>
              <w:t xml:space="preserve">  Totaal niet-techniek</w:t>
            </w:r>
          </w:p>
        </w:tc>
        <w:tc>
          <w:tcPr>
            <w:tcW w:w="482" w:type="pct"/>
            <w:tcBorders>
              <w:top w:val="nil"/>
              <w:left w:val="nil"/>
              <w:bottom w:val="nil"/>
              <w:right w:val="nil"/>
            </w:tcBorders>
            <w:noWrap/>
            <w:vAlign w:val="bottom"/>
            <w:hideMark/>
          </w:tcPr>
          <w:p w:rsidRPr="00B52D66" w:rsidR="00B52D66" w:rsidP="00FC2172" w:rsidRDefault="00B52D66" w14:paraId="5638135F" w14:textId="77777777">
            <w:pPr>
              <w:spacing w:line="240" w:lineRule="auto"/>
              <w:jc w:val="right"/>
              <w:rPr>
                <w:rFonts w:cs="Arial"/>
                <w:b/>
                <w:bCs/>
                <w:szCs w:val="18"/>
                <w:lang w:val="en-GB" w:eastAsia="en-GB"/>
              </w:rPr>
            </w:pPr>
            <w:r w:rsidRPr="00B52D66">
              <w:rPr>
                <w:rFonts w:cs="Arial"/>
                <w:b/>
                <w:bCs/>
                <w:szCs w:val="18"/>
                <w:lang w:val="en-GB" w:eastAsia="en-GB"/>
              </w:rPr>
              <w:t>22.816</w:t>
            </w:r>
          </w:p>
        </w:tc>
        <w:tc>
          <w:tcPr>
            <w:tcW w:w="482" w:type="pct"/>
            <w:tcBorders>
              <w:top w:val="nil"/>
              <w:left w:val="nil"/>
              <w:bottom w:val="nil"/>
              <w:right w:val="nil"/>
            </w:tcBorders>
            <w:noWrap/>
            <w:vAlign w:val="bottom"/>
            <w:hideMark/>
          </w:tcPr>
          <w:p w:rsidRPr="00B52D66" w:rsidR="00B52D66" w:rsidP="00FC2172" w:rsidRDefault="00B52D66" w14:paraId="404BFC3B" w14:textId="77777777">
            <w:pPr>
              <w:spacing w:line="240" w:lineRule="auto"/>
              <w:jc w:val="right"/>
              <w:rPr>
                <w:rFonts w:cs="Arial"/>
                <w:b/>
                <w:bCs/>
                <w:szCs w:val="18"/>
                <w:lang w:val="en-GB" w:eastAsia="en-GB"/>
              </w:rPr>
            </w:pPr>
            <w:r w:rsidRPr="00B52D66">
              <w:rPr>
                <w:rFonts w:cs="Arial"/>
                <w:b/>
                <w:bCs/>
                <w:szCs w:val="18"/>
                <w:lang w:val="en-GB" w:eastAsia="en-GB"/>
              </w:rPr>
              <w:t>22.003</w:t>
            </w:r>
          </w:p>
        </w:tc>
        <w:tc>
          <w:tcPr>
            <w:tcW w:w="482" w:type="pct"/>
            <w:tcBorders>
              <w:top w:val="nil"/>
              <w:left w:val="nil"/>
              <w:bottom w:val="nil"/>
              <w:right w:val="nil"/>
            </w:tcBorders>
            <w:noWrap/>
            <w:vAlign w:val="bottom"/>
            <w:hideMark/>
          </w:tcPr>
          <w:p w:rsidRPr="00B52D66" w:rsidR="00B52D66" w:rsidP="00FC2172" w:rsidRDefault="00B52D66" w14:paraId="3E18304F" w14:textId="77777777">
            <w:pPr>
              <w:spacing w:line="240" w:lineRule="auto"/>
              <w:jc w:val="right"/>
              <w:rPr>
                <w:rFonts w:cs="Arial"/>
                <w:b/>
                <w:bCs/>
                <w:szCs w:val="18"/>
                <w:lang w:val="en-GB" w:eastAsia="en-GB"/>
              </w:rPr>
            </w:pPr>
            <w:r w:rsidRPr="00B52D66">
              <w:rPr>
                <w:rFonts w:cs="Arial"/>
                <w:b/>
                <w:bCs/>
                <w:szCs w:val="18"/>
                <w:lang w:val="en-GB" w:eastAsia="en-GB"/>
              </w:rPr>
              <w:t>21.046</w:t>
            </w:r>
          </w:p>
        </w:tc>
        <w:tc>
          <w:tcPr>
            <w:tcW w:w="482" w:type="pct"/>
            <w:tcBorders>
              <w:top w:val="nil"/>
              <w:left w:val="nil"/>
              <w:bottom w:val="nil"/>
              <w:right w:val="nil"/>
            </w:tcBorders>
            <w:noWrap/>
            <w:vAlign w:val="bottom"/>
            <w:hideMark/>
          </w:tcPr>
          <w:p w:rsidRPr="00B52D66" w:rsidR="00B52D66" w:rsidP="00FC2172" w:rsidRDefault="00B52D66" w14:paraId="41022E7A" w14:textId="77777777">
            <w:pPr>
              <w:spacing w:line="240" w:lineRule="auto"/>
              <w:jc w:val="right"/>
              <w:rPr>
                <w:rFonts w:cs="Arial"/>
                <w:b/>
                <w:bCs/>
                <w:szCs w:val="18"/>
                <w:lang w:val="en-GB" w:eastAsia="en-GB"/>
              </w:rPr>
            </w:pPr>
            <w:r w:rsidRPr="00B52D66">
              <w:rPr>
                <w:rFonts w:cs="Arial"/>
                <w:b/>
                <w:bCs/>
                <w:szCs w:val="18"/>
                <w:lang w:val="en-GB" w:eastAsia="en-GB"/>
              </w:rPr>
              <w:t>21.103</w:t>
            </w:r>
          </w:p>
        </w:tc>
        <w:tc>
          <w:tcPr>
            <w:tcW w:w="482" w:type="pct"/>
            <w:tcBorders>
              <w:top w:val="nil"/>
              <w:left w:val="nil"/>
              <w:bottom w:val="nil"/>
              <w:right w:val="nil"/>
            </w:tcBorders>
            <w:noWrap/>
            <w:vAlign w:val="bottom"/>
            <w:hideMark/>
          </w:tcPr>
          <w:p w:rsidRPr="00B52D66" w:rsidR="00B52D66" w:rsidP="00FC2172" w:rsidRDefault="00B52D66" w14:paraId="0BBDC7C1" w14:textId="77777777">
            <w:pPr>
              <w:spacing w:line="240" w:lineRule="auto"/>
              <w:jc w:val="right"/>
              <w:rPr>
                <w:rFonts w:cs="Arial"/>
                <w:b/>
                <w:bCs/>
                <w:szCs w:val="18"/>
                <w:lang w:val="en-GB" w:eastAsia="en-GB"/>
              </w:rPr>
            </w:pPr>
            <w:r w:rsidRPr="00B52D66">
              <w:rPr>
                <w:rFonts w:cs="Arial"/>
                <w:b/>
                <w:bCs/>
                <w:szCs w:val="18"/>
                <w:lang w:val="en-GB" w:eastAsia="en-GB"/>
              </w:rPr>
              <w:t>22.482</w:t>
            </w:r>
          </w:p>
        </w:tc>
        <w:tc>
          <w:tcPr>
            <w:tcW w:w="482" w:type="pct"/>
            <w:tcBorders>
              <w:top w:val="nil"/>
              <w:left w:val="nil"/>
              <w:bottom w:val="nil"/>
              <w:right w:val="nil"/>
            </w:tcBorders>
            <w:noWrap/>
            <w:vAlign w:val="bottom"/>
            <w:hideMark/>
          </w:tcPr>
          <w:p w:rsidRPr="00B52D66" w:rsidR="00B52D66" w:rsidP="00FC2172" w:rsidRDefault="00B52D66" w14:paraId="0AA4EAE4" w14:textId="77777777">
            <w:pPr>
              <w:spacing w:line="240" w:lineRule="auto"/>
              <w:jc w:val="right"/>
              <w:rPr>
                <w:rFonts w:cs="Arial"/>
                <w:b/>
                <w:bCs/>
                <w:szCs w:val="18"/>
                <w:lang w:val="en-GB" w:eastAsia="en-GB"/>
              </w:rPr>
            </w:pPr>
            <w:r w:rsidRPr="00B52D66">
              <w:rPr>
                <w:rFonts w:cs="Arial"/>
                <w:b/>
                <w:bCs/>
                <w:szCs w:val="18"/>
                <w:lang w:val="en-GB" w:eastAsia="en-GB"/>
              </w:rPr>
              <w:t>21.887</w:t>
            </w:r>
          </w:p>
        </w:tc>
      </w:tr>
      <w:tr w:rsidRPr="00B52D66" w:rsidR="00B52D66" w:rsidTr="00B52D66" w14:paraId="7B2F7A76"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2544DFFF" w14:textId="77777777">
            <w:pPr>
              <w:spacing w:line="240" w:lineRule="auto"/>
              <w:rPr>
                <w:rFonts w:cs="Arial"/>
                <w:szCs w:val="18"/>
                <w:lang w:val="en-GB" w:eastAsia="en-GB"/>
              </w:rPr>
            </w:pPr>
            <w:r w:rsidRPr="00B52D66">
              <w:rPr>
                <w:rFonts w:cs="Arial"/>
                <w:szCs w:val="18"/>
                <w:lang w:val="en-GB" w:eastAsia="en-GB"/>
              </w:rPr>
              <w:t xml:space="preserve">   D&amp;P</w:t>
            </w:r>
          </w:p>
        </w:tc>
        <w:tc>
          <w:tcPr>
            <w:tcW w:w="482" w:type="pct"/>
            <w:tcBorders>
              <w:top w:val="nil"/>
              <w:left w:val="nil"/>
              <w:bottom w:val="nil"/>
              <w:right w:val="nil"/>
            </w:tcBorders>
            <w:noWrap/>
            <w:vAlign w:val="bottom"/>
            <w:hideMark/>
          </w:tcPr>
          <w:p w:rsidRPr="00B52D66" w:rsidR="00B52D66" w:rsidP="00FC2172" w:rsidRDefault="00B52D66" w14:paraId="5E52096F" w14:textId="77777777">
            <w:pPr>
              <w:spacing w:line="240" w:lineRule="auto"/>
              <w:jc w:val="right"/>
              <w:rPr>
                <w:rFonts w:cs="Arial"/>
                <w:szCs w:val="18"/>
                <w:lang w:val="en-GB" w:eastAsia="en-GB"/>
              </w:rPr>
            </w:pPr>
            <w:r w:rsidRPr="00B52D66">
              <w:rPr>
                <w:rFonts w:cs="Arial"/>
                <w:szCs w:val="18"/>
                <w:lang w:val="en-GB" w:eastAsia="en-GB"/>
              </w:rPr>
              <w:t>6.743</w:t>
            </w:r>
          </w:p>
        </w:tc>
        <w:tc>
          <w:tcPr>
            <w:tcW w:w="482" w:type="pct"/>
            <w:tcBorders>
              <w:top w:val="nil"/>
              <w:left w:val="nil"/>
              <w:bottom w:val="nil"/>
              <w:right w:val="nil"/>
            </w:tcBorders>
            <w:noWrap/>
            <w:vAlign w:val="bottom"/>
            <w:hideMark/>
          </w:tcPr>
          <w:p w:rsidRPr="00B52D66" w:rsidR="00B52D66" w:rsidP="00FC2172" w:rsidRDefault="00B52D66" w14:paraId="0C40D253" w14:textId="77777777">
            <w:pPr>
              <w:spacing w:line="240" w:lineRule="auto"/>
              <w:jc w:val="right"/>
              <w:rPr>
                <w:rFonts w:cs="Arial"/>
                <w:szCs w:val="18"/>
                <w:lang w:val="en-GB" w:eastAsia="en-GB"/>
              </w:rPr>
            </w:pPr>
            <w:r w:rsidRPr="00B52D66">
              <w:rPr>
                <w:rFonts w:cs="Arial"/>
                <w:szCs w:val="18"/>
                <w:lang w:val="en-GB" w:eastAsia="en-GB"/>
              </w:rPr>
              <w:t>6.410</w:t>
            </w:r>
          </w:p>
        </w:tc>
        <w:tc>
          <w:tcPr>
            <w:tcW w:w="482" w:type="pct"/>
            <w:tcBorders>
              <w:top w:val="nil"/>
              <w:left w:val="nil"/>
              <w:bottom w:val="nil"/>
              <w:right w:val="nil"/>
            </w:tcBorders>
            <w:noWrap/>
            <w:vAlign w:val="bottom"/>
            <w:hideMark/>
          </w:tcPr>
          <w:p w:rsidRPr="00B52D66" w:rsidR="00B52D66" w:rsidP="00FC2172" w:rsidRDefault="00B52D66" w14:paraId="2DD17C51" w14:textId="77777777">
            <w:pPr>
              <w:spacing w:line="240" w:lineRule="auto"/>
              <w:jc w:val="right"/>
              <w:rPr>
                <w:rFonts w:cs="Arial"/>
                <w:szCs w:val="18"/>
                <w:lang w:val="en-GB" w:eastAsia="en-GB"/>
              </w:rPr>
            </w:pPr>
            <w:r w:rsidRPr="00B52D66">
              <w:rPr>
                <w:rFonts w:cs="Arial"/>
                <w:szCs w:val="18"/>
                <w:lang w:val="en-GB" w:eastAsia="en-GB"/>
              </w:rPr>
              <w:t>6.057</w:t>
            </w:r>
          </w:p>
        </w:tc>
        <w:tc>
          <w:tcPr>
            <w:tcW w:w="482" w:type="pct"/>
            <w:tcBorders>
              <w:top w:val="nil"/>
              <w:left w:val="nil"/>
              <w:bottom w:val="nil"/>
              <w:right w:val="nil"/>
            </w:tcBorders>
            <w:noWrap/>
            <w:vAlign w:val="bottom"/>
            <w:hideMark/>
          </w:tcPr>
          <w:p w:rsidRPr="00B52D66" w:rsidR="00B52D66" w:rsidP="00FC2172" w:rsidRDefault="00B52D66" w14:paraId="589AF1D0" w14:textId="77777777">
            <w:pPr>
              <w:spacing w:line="240" w:lineRule="auto"/>
              <w:jc w:val="right"/>
              <w:rPr>
                <w:rFonts w:cs="Arial"/>
                <w:szCs w:val="18"/>
                <w:lang w:val="en-GB" w:eastAsia="en-GB"/>
              </w:rPr>
            </w:pPr>
            <w:r w:rsidRPr="00B52D66">
              <w:rPr>
                <w:rFonts w:cs="Arial"/>
                <w:szCs w:val="18"/>
                <w:lang w:val="en-GB" w:eastAsia="en-GB"/>
              </w:rPr>
              <w:t>5.990</w:t>
            </w:r>
          </w:p>
        </w:tc>
        <w:tc>
          <w:tcPr>
            <w:tcW w:w="482" w:type="pct"/>
            <w:tcBorders>
              <w:top w:val="nil"/>
              <w:left w:val="nil"/>
              <w:bottom w:val="nil"/>
              <w:right w:val="nil"/>
            </w:tcBorders>
            <w:noWrap/>
            <w:vAlign w:val="bottom"/>
            <w:hideMark/>
          </w:tcPr>
          <w:p w:rsidRPr="00B52D66" w:rsidR="00B52D66" w:rsidP="00FC2172" w:rsidRDefault="00B52D66" w14:paraId="4B3B8FDB" w14:textId="77777777">
            <w:pPr>
              <w:spacing w:line="240" w:lineRule="auto"/>
              <w:jc w:val="right"/>
              <w:rPr>
                <w:rFonts w:cs="Arial"/>
                <w:szCs w:val="18"/>
                <w:lang w:val="en-GB" w:eastAsia="en-GB"/>
              </w:rPr>
            </w:pPr>
            <w:r w:rsidRPr="00B52D66">
              <w:rPr>
                <w:rFonts w:cs="Arial"/>
                <w:szCs w:val="18"/>
                <w:lang w:val="en-GB" w:eastAsia="en-GB"/>
              </w:rPr>
              <w:t>6.603</w:t>
            </w:r>
          </w:p>
        </w:tc>
        <w:tc>
          <w:tcPr>
            <w:tcW w:w="482" w:type="pct"/>
            <w:tcBorders>
              <w:top w:val="nil"/>
              <w:left w:val="nil"/>
              <w:bottom w:val="nil"/>
              <w:right w:val="nil"/>
            </w:tcBorders>
            <w:noWrap/>
            <w:vAlign w:val="bottom"/>
            <w:hideMark/>
          </w:tcPr>
          <w:p w:rsidRPr="00B52D66" w:rsidR="00B52D66" w:rsidP="00FC2172" w:rsidRDefault="00B52D66" w14:paraId="470A8F7D" w14:textId="77777777">
            <w:pPr>
              <w:spacing w:line="240" w:lineRule="auto"/>
              <w:jc w:val="right"/>
              <w:rPr>
                <w:rFonts w:cs="Arial"/>
                <w:szCs w:val="18"/>
                <w:lang w:val="en-GB" w:eastAsia="en-GB"/>
              </w:rPr>
            </w:pPr>
            <w:r w:rsidRPr="00B52D66">
              <w:rPr>
                <w:rFonts w:cs="Arial"/>
                <w:szCs w:val="18"/>
                <w:lang w:val="en-GB" w:eastAsia="en-GB"/>
              </w:rPr>
              <w:t>6.234</w:t>
            </w:r>
          </w:p>
        </w:tc>
      </w:tr>
      <w:tr w:rsidRPr="00B52D66" w:rsidR="00B52D66" w:rsidTr="00B52D66" w14:paraId="1389CA30"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6779E8B7" w14:textId="77777777">
            <w:pPr>
              <w:spacing w:line="240" w:lineRule="auto"/>
              <w:rPr>
                <w:rFonts w:cs="Arial"/>
                <w:szCs w:val="18"/>
                <w:lang w:val="en-GB" w:eastAsia="en-GB"/>
              </w:rPr>
            </w:pPr>
            <w:r w:rsidRPr="00B52D66">
              <w:rPr>
                <w:rFonts w:cs="Arial"/>
                <w:szCs w:val="18"/>
                <w:lang w:val="en-GB" w:eastAsia="en-GB"/>
              </w:rPr>
              <w:t xml:space="preserve">   E&amp;O</w:t>
            </w:r>
          </w:p>
        </w:tc>
        <w:tc>
          <w:tcPr>
            <w:tcW w:w="482" w:type="pct"/>
            <w:tcBorders>
              <w:top w:val="nil"/>
              <w:left w:val="nil"/>
              <w:bottom w:val="nil"/>
              <w:right w:val="nil"/>
            </w:tcBorders>
            <w:noWrap/>
            <w:vAlign w:val="bottom"/>
            <w:hideMark/>
          </w:tcPr>
          <w:p w:rsidRPr="00B52D66" w:rsidR="00B52D66" w:rsidP="00FC2172" w:rsidRDefault="00B52D66" w14:paraId="4AE1AB64" w14:textId="77777777">
            <w:pPr>
              <w:spacing w:line="240" w:lineRule="auto"/>
              <w:jc w:val="right"/>
              <w:rPr>
                <w:rFonts w:cs="Arial"/>
                <w:szCs w:val="18"/>
                <w:lang w:val="en-GB" w:eastAsia="en-GB"/>
              </w:rPr>
            </w:pPr>
            <w:r w:rsidRPr="00B52D66">
              <w:rPr>
                <w:rFonts w:cs="Arial"/>
                <w:szCs w:val="18"/>
                <w:lang w:val="en-GB" w:eastAsia="en-GB"/>
              </w:rPr>
              <w:t>4.264</w:t>
            </w:r>
          </w:p>
        </w:tc>
        <w:tc>
          <w:tcPr>
            <w:tcW w:w="482" w:type="pct"/>
            <w:tcBorders>
              <w:top w:val="nil"/>
              <w:left w:val="nil"/>
              <w:bottom w:val="nil"/>
              <w:right w:val="nil"/>
            </w:tcBorders>
            <w:noWrap/>
            <w:vAlign w:val="bottom"/>
            <w:hideMark/>
          </w:tcPr>
          <w:p w:rsidRPr="00B52D66" w:rsidR="00B52D66" w:rsidP="00FC2172" w:rsidRDefault="00B52D66" w14:paraId="4E78FF48" w14:textId="77777777">
            <w:pPr>
              <w:spacing w:line="240" w:lineRule="auto"/>
              <w:jc w:val="right"/>
              <w:rPr>
                <w:rFonts w:cs="Arial"/>
                <w:szCs w:val="18"/>
                <w:lang w:val="en-GB" w:eastAsia="en-GB"/>
              </w:rPr>
            </w:pPr>
            <w:r w:rsidRPr="00B52D66">
              <w:rPr>
                <w:rFonts w:cs="Arial"/>
                <w:szCs w:val="18"/>
                <w:lang w:val="en-GB" w:eastAsia="en-GB"/>
              </w:rPr>
              <w:t>3.933</w:t>
            </w:r>
          </w:p>
        </w:tc>
        <w:tc>
          <w:tcPr>
            <w:tcW w:w="482" w:type="pct"/>
            <w:tcBorders>
              <w:top w:val="nil"/>
              <w:left w:val="nil"/>
              <w:bottom w:val="nil"/>
              <w:right w:val="nil"/>
            </w:tcBorders>
            <w:noWrap/>
            <w:vAlign w:val="bottom"/>
            <w:hideMark/>
          </w:tcPr>
          <w:p w:rsidRPr="00B52D66" w:rsidR="00B52D66" w:rsidP="00FC2172" w:rsidRDefault="00B52D66" w14:paraId="12E652D6" w14:textId="77777777">
            <w:pPr>
              <w:spacing w:line="240" w:lineRule="auto"/>
              <w:jc w:val="right"/>
              <w:rPr>
                <w:rFonts w:cs="Arial"/>
                <w:szCs w:val="18"/>
                <w:lang w:val="en-GB" w:eastAsia="en-GB"/>
              </w:rPr>
            </w:pPr>
            <w:r w:rsidRPr="00B52D66">
              <w:rPr>
                <w:rFonts w:cs="Arial"/>
                <w:szCs w:val="18"/>
                <w:lang w:val="en-GB" w:eastAsia="en-GB"/>
              </w:rPr>
              <w:t>3.467</w:t>
            </w:r>
          </w:p>
        </w:tc>
        <w:tc>
          <w:tcPr>
            <w:tcW w:w="482" w:type="pct"/>
            <w:tcBorders>
              <w:top w:val="nil"/>
              <w:left w:val="nil"/>
              <w:bottom w:val="nil"/>
              <w:right w:val="nil"/>
            </w:tcBorders>
            <w:noWrap/>
            <w:vAlign w:val="bottom"/>
            <w:hideMark/>
          </w:tcPr>
          <w:p w:rsidRPr="00B52D66" w:rsidR="00B52D66" w:rsidP="00FC2172" w:rsidRDefault="00B52D66" w14:paraId="2904A1E0" w14:textId="77777777">
            <w:pPr>
              <w:spacing w:line="240" w:lineRule="auto"/>
              <w:jc w:val="right"/>
              <w:rPr>
                <w:rFonts w:cs="Arial"/>
                <w:szCs w:val="18"/>
                <w:lang w:val="en-GB" w:eastAsia="en-GB"/>
              </w:rPr>
            </w:pPr>
            <w:r w:rsidRPr="00B52D66">
              <w:rPr>
                <w:rFonts w:cs="Arial"/>
                <w:szCs w:val="18"/>
                <w:lang w:val="en-GB" w:eastAsia="en-GB"/>
              </w:rPr>
              <w:t>3.135</w:t>
            </w:r>
          </w:p>
        </w:tc>
        <w:tc>
          <w:tcPr>
            <w:tcW w:w="482" w:type="pct"/>
            <w:tcBorders>
              <w:top w:val="nil"/>
              <w:left w:val="nil"/>
              <w:bottom w:val="nil"/>
              <w:right w:val="nil"/>
            </w:tcBorders>
            <w:noWrap/>
            <w:vAlign w:val="bottom"/>
            <w:hideMark/>
          </w:tcPr>
          <w:p w:rsidRPr="00B52D66" w:rsidR="00B52D66" w:rsidP="00FC2172" w:rsidRDefault="00B52D66" w14:paraId="31C2E8D1" w14:textId="77777777">
            <w:pPr>
              <w:spacing w:line="240" w:lineRule="auto"/>
              <w:jc w:val="right"/>
              <w:rPr>
                <w:rFonts w:cs="Arial"/>
                <w:szCs w:val="18"/>
                <w:lang w:val="en-GB" w:eastAsia="en-GB"/>
              </w:rPr>
            </w:pPr>
            <w:r w:rsidRPr="00B52D66">
              <w:rPr>
                <w:rFonts w:cs="Arial"/>
                <w:szCs w:val="18"/>
                <w:lang w:val="en-GB" w:eastAsia="en-GB"/>
              </w:rPr>
              <w:t>3.226</w:t>
            </w:r>
          </w:p>
        </w:tc>
        <w:tc>
          <w:tcPr>
            <w:tcW w:w="482" w:type="pct"/>
            <w:tcBorders>
              <w:top w:val="nil"/>
              <w:left w:val="nil"/>
              <w:bottom w:val="nil"/>
              <w:right w:val="nil"/>
            </w:tcBorders>
            <w:noWrap/>
            <w:vAlign w:val="bottom"/>
            <w:hideMark/>
          </w:tcPr>
          <w:p w:rsidRPr="00B52D66" w:rsidR="00B52D66" w:rsidP="00FC2172" w:rsidRDefault="00B52D66" w14:paraId="1D6A569F" w14:textId="77777777">
            <w:pPr>
              <w:spacing w:line="240" w:lineRule="auto"/>
              <w:jc w:val="right"/>
              <w:rPr>
                <w:rFonts w:cs="Arial"/>
                <w:szCs w:val="18"/>
                <w:lang w:val="en-GB" w:eastAsia="en-GB"/>
              </w:rPr>
            </w:pPr>
            <w:r w:rsidRPr="00B52D66">
              <w:rPr>
                <w:rFonts w:cs="Arial"/>
                <w:szCs w:val="18"/>
                <w:lang w:val="en-GB" w:eastAsia="en-GB"/>
              </w:rPr>
              <w:t>2.945</w:t>
            </w:r>
          </w:p>
        </w:tc>
      </w:tr>
      <w:tr w:rsidRPr="00B52D66" w:rsidR="00B52D66" w:rsidTr="00B52D66" w14:paraId="33438672"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281E3E4C" w14:textId="77777777">
            <w:pPr>
              <w:spacing w:line="240" w:lineRule="auto"/>
              <w:rPr>
                <w:rFonts w:cs="Arial"/>
                <w:szCs w:val="18"/>
                <w:lang w:val="en-GB" w:eastAsia="en-GB"/>
              </w:rPr>
            </w:pPr>
            <w:r w:rsidRPr="00B52D66">
              <w:rPr>
                <w:rFonts w:cs="Arial"/>
                <w:szCs w:val="18"/>
                <w:lang w:val="en-GB" w:eastAsia="en-GB"/>
              </w:rPr>
              <w:t xml:space="preserve">   Groen</w:t>
            </w:r>
          </w:p>
        </w:tc>
        <w:tc>
          <w:tcPr>
            <w:tcW w:w="482" w:type="pct"/>
            <w:tcBorders>
              <w:top w:val="nil"/>
              <w:left w:val="nil"/>
              <w:bottom w:val="nil"/>
              <w:right w:val="nil"/>
            </w:tcBorders>
            <w:noWrap/>
            <w:vAlign w:val="bottom"/>
            <w:hideMark/>
          </w:tcPr>
          <w:p w:rsidRPr="00B52D66" w:rsidR="00B52D66" w:rsidP="00FC2172" w:rsidRDefault="00B52D66" w14:paraId="2B48BF8E" w14:textId="77777777">
            <w:pPr>
              <w:spacing w:line="240" w:lineRule="auto"/>
              <w:jc w:val="right"/>
              <w:rPr>
                <w:rFonts w:cs="Arial"/>
                <w:szCs w:val="18"/>
                <w:lang w:val="en-GB" w:eastAsia="en-GB"/>
              </w:rPr>
            </w:pPr>
            <w:r w:rsidRPr="00B52D66">
              <w:rPr>
                <w:rFonts w:cs="Arial"/>
                <w:szCs w:val="18"/>
                <w:lang w:val="en-GB" w:eastAsia="en-GB"/>
              </w:rPr>
              <w:t>3.414</w:t>
            </w:r>
          </w:p>
        </w:tc>
        <w:tc>
          <w:tcPr>
            <w:tcW w:w="482" w:type="pct"/>
            <w:tcBorders>
              <w:top w:val="nil"/>
              <w:left w:val="nil"/>
              <w:bottom w:val="nil"/>
              <w:right w:val="nil"/>
            </w:tcBorders>
            <w:noWrap/>
            <w:vAlign w:val="bottom"/>
            <w:hideMark/>
          </w:tcPr>
          <w:p w:rsidRPr="00B52D66" w:rsidR="00B52D66" w:rsidP="00FC2172" w:rsidRDefault="00B52D66" w14:paraId="20E96B2D" w14:textId="77777777">
            <w:pPr>
              <w:spacing w:line="240" w:lineRule="auto"/>
              <w:jc w:val="right"/>
              <w:rPr>
                <w:rFonts w:cs="Arial"/>
                <w:szCs w:val="18"/>
                <w:lang w:val="en-GB" w:eastAsia="en-GB"/>
              </w:rPr>
            </w:pPr>
            <w:r w:rsidRPr="00B52D66">
              <w:rPr>
                <w:rFonts w:cs="Arial"/>
                <w:szCs w:val="18"/>
                <w:lang w:val="en-GB" w:eastAsia="en-GB"/>
              </w:rPr>
              <w:t>3.153</w:t>
            </w:r>
          </w:p>
        </w:tc>
        <w:tc>
          <w:tcPr>
            <w:tcW w:w="482" w:type="pct"/>
            <w:tcBorders>
              <w:top w:val="nil"/>
              <w:left w:val="nil"/>
              <w:bottom w:val="nil"/>
              <w:right w:val="nil"/>
            </w:tcBorders>
            <w:noWrap/>
            <w:vAlign w:val="bottom"/>
            <w:hideMark/>
          </w:tcPr>
          <w:p w:rsidRPr="00B52D66" w:rsidR="00B52D66" w:rsidP="00FC2172" w:rsidRDefault="00B52D66" w14:paraId="35C166DA" w14:textId="77777777">
            <w:pPr>
              <w:spacing w:line="240" w:lineRule="auto"/>
              <w:jc w:val="right"/>
              <w:rPr>
                <w:rFonts w:cs="Arial"/>
                <w:szCs w:val="18"/>
                <w:lang w:val="en-GB" w:eastAsia="en-GB"/>
              </w:rPr>
            </w:pPr>
            <w:r w:rsidRPr="00B52D66">
              <w:rPr>
                <w:rFonts w:cs="Arial"/>
                <w:szCs w:val="18"/>
                <w:lang w:val="en-GB" w:eastAsia="en-GB"/>
              </w:rPr>
              <w:t>3.203</w:t>
            </w:r>
          </w:p>
        </w:tc>
        <w:tc>
          <w:tcPr>
            <w:tcW w:w="482" w:type="pct"/>
            <w:tcBorders>
              <w:top w:val="nil"/>
              <w:left w:val="nil"/>
              <w:bottom w:val="nil"/>
              <w:right w:val="nil"/>
            </w:tcBorders>
            <w:noWrap/>
            <w:vAlign w:val="bottom"/>
            <w:hideMark/>
          </w:tcPr>
          <w:p w:rsidRPr="00B52D66" w:rsidR="00B52D66" w:rsidP="00FC2172" w:rsidRDefault="00B52D66" w14:paraId="57939A4D" w14:textId="77777777">
            <w:pPr>
              <w:spacing w:line="240" w:lineRule="auto"/>
              <w:jc w:val="right"/>
              <w:rPr>
                <w:rFonts w:cs="Arial"/>
                <w:szCs w:val="18"/>
                <w:lang w:val="en-GB" w:eastAsia="en-GB"/>
              </w:rPr>
            </w:pPr>
            <w:r w:rsidRPr="00B52D66">
              <w:rPr>
                <w:rFonts w:cs="Arial"/>
                <w:szCs w:val="18"/>
                <w:lang w:val="en-GB" w:eastAsia="en-GB"/>
              </w:rPr>
              <w:t>3.424</w:t>
            </w:r>
          </w:p>
        </w:tc>
        <w:tc>
          <w:tcPr>
            <w:tcW w:w="482" w:type="pct"/>
            <w:tcBorders>
              <w:top w:val="nil"/>
              <w:left w:val="nil"/>
              <w:bottom w:val="nil"/>
              <w:right w:val="nil"/>
            </w:tcBorders>
            <w:noWrap/>
            <w:vAlign w:val="bottom"/>
            <w:hideMark/>
          </w:tcPr>
          <w:p w:rsidRPr="00B52D66" w:rsidR="00B52D66" w:rsidP="00FC2172" w:rsidRDefault="00B52D66" w14:paraId="54936565" w14:textId="77777777">
            <w:pPr>
              <w:spacing w:line="240" w:lineRule="auto"/>
              <w:jc w:val="right"/>
              <w:rPr>
                <w:rFonts w:cs="Arial"/>
                <w:szCs w:val="18"/>
                <w:lang w:val="en-GB" w:eastAsia="en-GB"/>
              </w:rPr>
            </w:pPr>
            <w:r w:rsidRPr="00B52D66">
              <w:rPr>
                <w:rFonts w:cs="Arial"/>
                <w:szCs w:val="18"/>
                <w:lang w:val="en-GB" w:eastAsia="en-GB"/>
              </w:rPr>
              <w:t>3.598</w:t>
            </w:r>
          </w:p>
        </w:tc>
        <w:tc>
          <w:tcPr>
            <w:tcW w:w="482" w:type="pct"/>
            <w:tcBorders>
              <w:top w:val="nil"/>
              <w:left w:val="nil"/>
              <w:bottom w:val="nil"/>
              <w:right w:val="nil"/>
            </w:tcBorders>
            <w:noWrap/>
            <w:vAlign w:val="bottom"/>
            <w:hideMark/>
          </w:tcPr>
          <w:p w:rsidRPr="00B52D66" w:rsidR="00B52D66" w:rsidP="00FC2172" w:rsidRDefault="00B52D66" w14:paraId="35A5C356" w14:textId="77777777">
            <w:pPr>
              <w:spacing w:line="240" w:lineRule="auto"/>
              <w:jc w:val="right"/>
              <w:rPr>
                <w:rFonts w:cs="Arial"/>
                <w:szCs w:val="18"/>
                <w:lang w:val="en-GB" w:eastAsia="en-GB"/>
              </w:rPr>
            </w:pPr>
            <w:r w:rsidRPr="00B52D66">
              <w:rPr>
                <w:rFonts w:cs="Arial"/>
                <w:szCs w:val="18"/>
                <w:lang w:val="en-GB" w:eastAsia="en-GB"/>
              </w:rPr>
              <w:t>3.819</w:t>
            </w:r>
          </w:p>
        </w:tc>
      </w:tr>
      <w:tr w:rsidRPr="00B52D66" w:rsidR="00B52D66" w:rsidTr="00B52D66" w14:paraId="4E8FA0D1"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408992D7" w14:textId="77777777">
            <w:pPr>
              <w:spacing w:line="240" w:lineRule="auto"/>
              <w:rPr>
                <w:rFonts w:cs="Arial"/>
                <w:szCs w:val="18"/>
                <w:lang w:val="en-GB" w:eastAsia="en-GB"/>
              </w:rPr>
            </w:pPr>
            <w:r w:rsidRPr="00B52D66">
              <w:rPr>
                <w:rFonts w:cs="Arial"/>
                <w:szCs w:val="18"/>
                <w:lang w:val="en-GB" w:eastAsia="en-GB"/>
              </w:rPr>
              <w:t xml:space="preserve">   HBR</w:t>
            </w:r>
          </w:p>
        </w:tc>
        <w:tc>
          <w:tcPr>
            <w:tcW w:w="482" w:type="pct"/>
            <w:tcBorders>
              <w:top w:val="nil"/>
              <w:left w:val="nil"/>
              <w:bottom w:val="nil"/>
              <w:right w:val="nil"/>
            </w:tcBorders>
            <w:noWrap/>
            <w:vAlign w:val="bottom"/>
            <w:hideMark/>
          </w:tcPr>
          <w:p w:rsidRPr="00B52D66" w:rsidR="00B52D66" w:rsidP="00FC2172" w:rsidRDefault="00B52D66" w14:paraId="78D30A42" w14:textId="77777777">
            <w:pPr>
              <w:spacing w:line="240" w:lineRule="auto"/>
              <w:jc w:val="right"/>
              <w:rPr>
                <w:rFonts w:cs="Arial"/>
                <w:szCs w:val="18"/>
                <w:lang w:val="en-GB" w:eastAsia="en-GB"/>
              </w:rPr>
            </w:pPr>
            <w:r w:rsidRPr="00B52D66">
              <w:rPr>
                <w:rFonts w:cs="Arial"/>
                <w:szCs w:val="18"/>
                <w:lang w:val="en-GB" w:eastAsia="en-GB"/>
              </w:rPr>
              <w:t>1.413</w:t>
            </w:r>
          </w:p>
        </w:tc>
        <w:tc>
          <w:tcPr>
            <w:tcW w:w="482" w:type="pct"/>
            <w:tcBorders>
              <w:top w:val="nil"/>
              <w:left w:val="nil"/>
              <w:bottom w:val="nil"/>
              <w:right w:val="nil"/>
            </w:tcBorders>
            <w:noWrap/>
            <w:vAlign w:val="bottom"/>
            <w:hideMark/>
          </w:tcPr>
          <w:p w:rsidRPr="00B52D66" w:rsidR="00B52D66" w:rsidP="00FC2172" w:rsidRDefault="00B52D66" w14:paraId="533D831B" w14:textId="77777777">
            <w:pPr>
              <w:spacing w:line="240" w:lineRule="auto"/>
              <w:jc w:val="right"/>
              <w:rPr>
                <w:rFonts w:cs="Arial"/>
                <w:szCs w:val="18"/>
                <w:lang w:val="en-GB" w:eastAsia="en-GB"/>
              </w:rPr>
            </w:pPr>
            <w:r w:rsidRPr="00B52D66">
              <w:rPr>
                <w:rFonts w:cs="Arial"/>
                <w:szCs w:val="18"/>
                <w:lang w:val="en-GB" w:eastAsia="en-GB"/>
              </w:rPr>
              <w:t>1.395</w:t>
            </w:r>
          </w:p>
        </w:tc>
        <w:tc>
          <w:tcPr>
            <w:tcW w:w="482" w:type="pct"/>
            <w:tcBorders>
              <w:top w:val="nil"/>
              <w:left w:val="nil"/>
              <w:bottom w:val="nil"/>
              <w:right w:val="nil"/>
            </w:tcBorders>
            <w:noWrap/>
            <w:vAlign w:val="bottom"/>
            <w:hideMark/>
          </w:tcPr>
          <w:p w:rsidRPr="00B52D66" w:rsidR="00B52D66" w:rsidP="00FC2172" w:rsidRDefault="00B52D66" w14:paraId="79DB89D5" w14:textId="77777777">
            <w:pPr>
              <w:spacing w:line="240" w:lineRule="auto"/>
              <w:jc w:val="right"/>
              <w:rPr>
                <w:rFonts w:cs="Arial"/>
                <w:szCs w:val="18"/>
                <w:lang w:val="en-GB" w:eastAsia="en-GB"/>
              </w:rPr>
            </w:pPr>
            <w:r w:rsidRPr="00B52D66">
              <w:rPr>
                <w:rFonts w:cs="Arial"/>
                <w:szCs w:val="18"/>
                <w:lang w:val="en-GB" w:eastAsia="en-GB"/>
              </w:rPr>
              <w:t>1.340</w:t>
            </w:r>
          </w:p>
        </w:tc>
        <w:tc>
          <w:tcPr>
            <w:tcW w:w="482" w:type="pct"/>
            <w:tcBorders>
              <w:top w:val="nil"/>
              <w:left w:val="nil"/>
              <w:bottom w:val="nil"/>
              <w:right w:val="nil"/>
            </w:tcBorders>
            <w:noWrap/>
            <w:vAlign w:val="bottom"/>
            <w:hideMark/>
          </w:tcPr>
          <w:p w:rsidRPr="00B52D66" w:rsidR="00B52D66" w:rsidP="00FC2172" w:rsidRDefault="00B52D66" w14:paraId="7643A736" w14:textId="77777777">
            <w:pPr>
              <w:spacing w:line="240" w:lineRule="auto"/>
              <w:jc w:val="right"/>
              <w:rPr>
                <w:rFonts w:cs="Arial"/>
                <w:szCs w:val="18"/>
                <w:lang w:val="en-GB" w:eastAsia="en-GB"/>
              </w:rPr>
            </w:pPr>
            <w:r w:rsidRPr="00B52D66">
              <w:rPr>
                <w:rFonts w:cs="Arial"/>
                <w:szCs w:val="18"/>
                <w:lang w:val="en-GB" w:eastAsia="en-GB"/>
              </w:rPr>
              <w:t>1.370</w:t>
            </w:r>
          </w:p>
        </w:tc>
        <w:tc>
          <w:tcPr>
            <w:tcW w:w="482" w:type="pct"/>
            <w:tcBorders>
              <w:top w:val="nil"/>
              <w:left w:val="nil"/>
              <w:bottom w:val="nil"/>
              <w:right w:val="nil"/>
            </w:tcBorders>
            <w:noWrap/>
            <w:vAlign w:val="bottom"/>
            <w:hideMark/>
          </w:tcPr>
          <w:p w:rsidRPr="00B52D66" w:rsidR="00B52D66" w:rsidP="00FC2172" w:rsidRDefault="00B52D66" w14:paraId="1C72C61E" w14:textId="77777777">
            <w:pPr>
              <w:spacing w:line="240" w:lineRule="auto"/>
              <w:jc w:val="right"/>
              <w:rPr>
                <w:rFonts w:cs="Arial"/>
                <w:szCs w:val="18"/>
                <w:lang w:val="en-GB" w:eastAsia="en-GB"/>
              </w:rPr>
            </w:pPr>
            <w:r w:rsidRPr="00B52D66">
              <w:rPr>
                <w:rFonts w:cs="Arial"/>
                <w:szCs w:val="18"/>
                <w:lang w:val="en-GB" w:eastAsia="en-GB"/>
              </w:rPr>
              <w:t>1.524</w:t>
            </w:r>
          </w:p>
        </w:tc>
        <w:tc>
          <w:tcPr>
            <w:tcW w:w="482" w:type="pct"/>
            <w:tcBorders>
              <w:top w:val="nil"/>
              <w:left w:val="nil"/>
              <w:bottom w:val="nil"/>
              <w:right w:val="nil"/>
            </w:tcBorders>
            <w:noWrap/>
            <w:vAlign w:val="bottom"/>
            <w:hideMark/>
          </w:tcPr>
          <w:p w:rsidRPr="00B52D66" w:rsidR="00B52D66" w:rsidP="00FC2172" w:rsidRDefault="00B52D66" w14:paraId="7A273E58" w14:textId="77777777">
            <w:pPr>
              <w:spacing w:line="240" w:lineRule="auto"/>
              <w:jc w:val="right"/>
              <w:rPr>
                <w:rFonts w:cs="Arial"/>
                <w:szCs w:val="18"/>
                <w:lang w:val="en-GB" w:eastAsia="en-GB"/>
              </w:rPr>
            </w:pPr>
            <w:r w:rsidRPr="00B52D66">
              <w:rPr>
                <w:rFonts w:cs="Arial"/>
                <w:szCs w:val="18"/>
                <w:lang w:val="en-GB" w:eastAsia="en-GB"/>
              </w:rPr>
              <w:t>1.530</w:t>
            </w:r>
          </w:p>
        </w:tc>
      </w:tr>
      <w:tr w:rsidRPr="00B52D66" w:rsidR="00B52D66" w:rsidTr="00B52D66" w14:paraId="48ED8160"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77194CA9" w14:textId="77777777">
            <w:pPr>
              <w:spacing w:line="240" w:lineRule="auto"/>
              <w:rPr>
                <w:rFonts w:cs="Arial"/>
                <w:szCs w:val="18"/>
                <w:lang w:val="en-GB" w:eastAsia="en-GB"/>
              </w:rPr>
            </w:pPr>
            <w:r w:rsidRPr="00B52D66">
              <w:rPr>
                <w:rFonts w:cs="Arial"/>
                <w:szCs w:val="18"/>
                <w:lang w:val="en-GB" w:eastAsia="en-GB"/>
              </w:rPr>
              <w:t xml:space="preserve">   Z&amp;W</w:t>
            </w:r>
          </w:p>
        </w:tc>
        <w:tc>
          <w:tcPr>
            <w:tcW w:w="482" w:type="pct"/>
            <w:tcBorders>
              <w:top w:val="nil"/>
              <w:left w:val="nil"/>
              <w:bottom w:val="nil"/>
              <w:right w:val="nil"/>
            </w:tcBorders>
            <w:noWrap/>
            <w:vAlign w:val="bottom"/>
            <w:hideMark/>
          </w:tcPr>
          <w:p w:rsidRPr="00B52D66" w:rsidR="00B52D66" w:rsidP="00FC2172" w:rsidRDefault="00B52D66" w14:paraId="209EEE53" w14:textId="77777777">
            <w:pPr>
              <w:spacing w:line="240" w:lineRule="auto"/>
              <w:jc w:val="right"/>
              <w:rPr>
                <w:rFonts w:cs="Arial"/>
                <w:szCs w:val="18"/>
                <w:lang w:val="en-GB" w:eastAsia="en-GB"/>
              </w:rPr>
            </w:pPr>
            <w:r w:rsidRPr="00B52D66">
              <w:rPr>
                <w:rFonts w:cs="Arial"/>
                <w:szCs w:val="18"/>
                <w:lang w:val="en-GB" w:eastAsia="en-GB"/>
              </w:rPr>
              <w:t>6.982</w:t>
            </w:r>
          </w:p>
        </w:tc>
        <w:tc>
          <w:tcPr>
            <w:tcW w:w="482" w:type="pct"/>
            <w:tcBorders>
              <w:top w:val="nil"/>
              <w:left w:val="nil"/>
              <w:bottom w:val="nil"/>
              <w:right w:val="nil"/>
            </w:tcBorders>
            <w:noWrap/>
            <w:vAlign w:val="bottom"/>
            <w:hideMark/>
          </w:tcPr>
          <w:p w:rsidRPr="00B52D66" w:rsidR="00B52D66" w:rsidP="00FC2172" w:rsidRDefault="00B52D66" w14:paraId="0C29B49B" w14:textId="77777777">
            <w:pPr>
              <w:spacing w:line="240" w:lineRule="auto"/>
              <w:jc w:val="right"/>
              <w:rPr>
                <w:rFonts w:cs="Arial"/>
                <w:szCs w:val="18"/>
                <w:lang w:val="en-GB" w:eastAsia="en-GB"/>
              </w:rPr>
            </w:pPr>
            <w:r w:rsidRPr="00B52D66">
              <w:rPr>
                <w:rFonts w:cs="Arial"/>
                <w:szCs w:val="18"/>
                <w:lang w:val="en-GB" w:eastAsia="en-GB"/>
              </w:rPr>
              <w:t>7.112</w:t>
            </w:r>
          </w:p>
        </w:tc>
        <w:tc>
          <w:tcPr>
            <w:tcW w:w="482" w:type="pct"/>
            <w:tcBorders>
              <w:top w:val="nil"/>
              <w:left w:val="nil"/>
              <w:bottom w:val="nil"/>
              <w:right w:val="nil"/>
            </w:tcBorders>
            <w:noWrap/>
            <w:vAlign w:val="bottom"/>
            <w:hideMark/>
          </w:tcPr>
          <w:p w:rsidRPr="00B52D66" w:rsidR="00B52D66" w:rsidP="00FC2172" w:rsidRDefault="00B52D66" w14:paraId="3702589B" w14:textId="77777777">
            <w:pPr>
              <w:spacing w:line="240" w:lineRule="auto"/>
              <w:jc w:val="right"/>
              <w:rPr>
                <w:rFonts w:cs="Arial"/>
                <w:szCs w:val="18"/>
                <w:lang w:val="en-GB" w:eastAsia="en-GB"/>
              </w:rPr>
            </w:pPr>
            <w:r w:rsidRPr="00B52D66">
              <w:rPr>
                <w:rFonts w:cs="Arial"/>
                <w:szCs w:val="18"/>
                <w:lang w:val="en-GB" w:eastAsia="en-GB"/>
              </w:rPr>
              <w:t>6.979</w:t>
            </w:r>
          </w:p>
        </w:tc>
        <w:tc>
          <w:tcPr>
            <w:tcW w:w="482" w:type="pct"/>
            <w:tcBorders>
              <w:top w:val="nil"/>
              <w:left w:val="nil"/>
              <w:bottom w:val="nil"/>
              <w:right w:val="nil"/>
            </w:tcBorders>
            <w:noWrap/>
            <w:vAlign w:val="bottom"/>
            <w:hideMark/>
          </w:tcPr>
          <w:p w:rsidRPr="00B52D66" w:rsidR="00B52D66" w:rsidP="00FC2172" w:rsidRDefault="00B52D66" w14:paraId="700DF1EC" w14:textId="77777777">
            <w:pPr>
              <w:spacing w:line="240" w:lineRule="auto"/>
              <w:jc w:val="right"/>
              <w:rPr>
                <w:rFonts w:cs="Arial"/>
                <w:szCs w:val="18"/>
                <w:lang w:val="en-GB" w:eastAsia="en-GB"/>
              </w:rPr>
            </w:pPr>
            <w:r w:rsidRPr="00B52D66">
              <w:rPr>
                <w:rFonts w:cs="Arial"/>
                <w:szCs w:val="18"/>
                <w:lang w:val="en-GB" w:eastAsia="en-GB"/>
              </w:rPr>
              <w:t>7.184</w:t>
            </w:r>
          </w:p>
        </w:tc>
        <w:tc>
          <w:tcPr>
            <w:tcW w:w="482" w:type="pct"/>
            <w:tcBorders>
              <w:top w:val="nil"/>
              <w:left w:val="nil"/>
              <w:bottom w:val="nil"/>
              <w:right w:val="nil"/>
            </w:tcBorders>
            <w:noWrap/>
            <w:vAlign w:val="bottom"/>
            <w:hideMark/>
          </w:tcPr>
          <w:p w:rsidRPr="00B52D66" w:rsidR="00B52D66" w:rsidP="00FC2172" w:rsidRDefault="00B52D66" w14:paraId="6206CCBD" w14:textId="77777777">
            <w:pPr>
              <w:spacing w:line="240" w:lineRule="auto"/>
              <w:jc w:val="right"/>
              <w:rPr>
                <w:rFonts w:cs="Arial"/>
                <w:szCs w:val="18"/>
                <w:lang w:val="en-GB" w:eastAsia="en-GB"/>
              </w:rPr>
            </w:pPr>
            <w:r w:rsidRPr="00B52D66">
              <w:rPr>
                <w:rFonts w:cs="Arial"/>
                <w:szCs w:val="18"/>
                <w:lang w:val="en-GB" w:eastAsia="en-GB"/>
              </w:rPr>
              <w:t>7.531</w:t>
            </w:r>
          </w:p>
        </w:tc>
        <w:tc>
          <w:tcPr>
            <w:tcW w:w="482" w:type="pct"/>
            <w:tcBorders>
              <w:top w:val="nil"/>
              <w:left w:val="nil"/>
              <w:bottom w:val="nil"/>
              <w:right w:val="nil"/>
            </w:tcBorders>
            <w:noWrap/>
            <w:vAlign w:val="bottom"/>
            <w:hideMark/>
          </w:tcPr>
          <w:p w:rsidRPr="00B52D66" w:rsidR="00B52D66" w:rsidP="00FC2172" w:rsidRDefault="00B52D66" w14:paraId="39E95EFA" w14:textId="77777777">
            <w:pPr>
              <w:spacing w:line="240" w:lineRule="auto"/>
              <w:jc w:val="right"/>
              <w:rPr>
                <w:rFonts w:cs="Arial"/>
                <w:szCs w:val="18"/>
                <w:lang w:val="en-GB" w:eastAsia="en-GB"/>
              </w:rPr>
            </w:pPr>
            <w:r w:rsidRPr="00B52D66">
              <w:rPr>
                <w:rFonts w:cs="Arial"/>
                <w:szCs w:val="18"/>
                <w:lang w:val="en-GB" w:eastAsia="en-GB"/>
              </w:rPr>
              <w:t>7.359</w:t>
            </w:r>
          </w:p>
        </w:tc>
      </w:tr>
      <w:tr w:rsidRPr="00B52D66" w:rsidR="00B52D66" w:rsidTr="00B52D66" w14:paraId="7B2659CC" w14:textId="77777777">
        <w:trPr>
          <w:trHeight w:val="280"/>
        </w:trPr>
        <w:tc>
          <w:tcPr>
            <w:tcW w:w="2105" w:type="pct"/>
            <w:tcBorders>
              <w:top w:val="nil"/>
              <w:left w:val="nil"/>
              <w:right w:val="nil"/>
            </w:tcBorders>
            <w:noWrap/>
            <w:vAlign w:val="bottom"/>
          </w:tcPr>
          <w:p w:rsidRPr="00B52D66" w:rsidR="00B52D66" w:rsidP="00FC2172" w:rsidRDefault="00B52D66" w14:paraId="5A891092" w14:textId="77777777">
            <w:pPr>
              <w:spacing w:line="240" w:lineRule="auto"/>
              <w:rPr>
                <w:rFonts w:cs="Arial"/>
                <w:szCs w:val="18"/>
                <w:lang w:val="en-GB" w:eastAsia="en-GB"/>
              </w:rPr>
            </w:pPr>
          </w:p>
        </w:tc>
        <w:tc>
          <w:tcPr>
            <w:tcW w:w="482" w:type="pct"/>
            <w:tcBorders>
              <w:top w:val="nil"/>
              <w:left w:val="nil"/>
              <w:right w:val="nil"/>
            </w:tcBorders>
            <w:noWrap/>
            <w:vAlign w:val="bottom"/>
          </w:tcPr>
          <w:p w:rsidRPr="00B52D66" w:rsidR="00B52D66" w:rsidP="00FC2172" w:rsidRDefault="00B52D66" w14:paraId="574DA2EE" w14:textId="77777777">
            <w:pPr>
              <w:spacing w:line="240" w:lineRule="auto"/>
              <w:jc w:val="right"/>
              <w:rPr>
                <w:rFonts w:cs="Arial"/>
                <w:szCs w:val="18"/>
                <w:lang w:val="en-GB" w:eastAsia="en-GB"/>
              </w:rPr>
            </w:pPr>
          </w:p>
        </w:tc>
        <w:tc>
          <w:tcPr>
            <w:tcW w:w="482" w:type="pct"/>
            <w:tcBorders>
              <w:top w:val="nil"/>
              <w:left w:val="nil"/>
              <w:right w:val="nil"/>
            </w:tcBorders>
            <w:noWrap/>
            <w:vAlign w:val="bottom"/>
          </w:tcPr>
          <w:p w:rsidRPr="00B52D66" w:rsidR="00B52D66" w:rsidP="00FC2172" w:rsidRDefault="00B52D66" w14:paraId="587061E5" w14:textId="77777777">
            <w:pPr>
              <w:spacing w:line="240" w:lineRule="auto"/>
              <w:jc w:val="right"/>
              <w:rPr>
                <w:rFonts w:cs="Arial"/>
                <w:szCs w:val="18"/>
                <w:lang w:val="en-GB" w:eastAsia="en-GB"/>
              </w:rPr>
            </w:pPr>
          </w:p>
        </w:tc>
        <w:tc>
          <w:tcPr>
            <w:tcW w:w="482" w:type="pct"/>
            <w:tcBorders>
              <w:top w:val="nil"/>
              <w:left w:val="nil"/>
              <w:right w:val="nil"/>
            </w:tcBorders>
            <w:noWrap/>
            <w:vAlign w:val="bottom"/>
          </w:tcPr>
          <w:p w:rsidRPr="00B52D66" w:rsidR="00B52D66" w:rsidP="00FC2172" w:rsidRDefault="00B52D66" w14:paraId="6A687B6F" w14:textId="77777777">
            <w:pPr>
              <w:spacing w:line="240" w:lineRule="auto"/>
              <w:jc w:val="right"/>
              <w:rPr>
                <w:rFonts w:cs="Arial"/>
                <w:szCs w:val="18"/>
                <w:lang w:val="en-GB" w:eastAsia="en-GB"/>
              </w:rPr>
            </w:pPr>
          </w:p>
        </w:tc>
        <w:tc>
          <w:tcPr>
            <w:tcW w:w="482" w:type="pct"/>
            <w:tcBorders>
              <w:top w:val="nil"/>
              <w:left w:val="nil"/>
              <w:right w:val="nil"/>
            </w:tcBorders>
            <w:noWrap/>
            <w:vAlign w:val="bottom"/>
          </w:tcPr>
          <w:p w:rsidRPr="00B52D66" w:rsidR="00B52D66" w:rsidP="00FC2172" w:rsidRDefault="00B52D66" w14:paraId="45544B15" w14:textId="77777777">
            <w:pPr>
              <w:spacing w:line="240" w:lineRule="auto"/>
              <w:jc w:val="right"/>
              <w:rPr>
                <w:rFonts w:cs="Arial"/>
                <w:szCs w:val="18"/>
                <w:lang w:val="en-GB" w:eastAsia="en-GB"/>
              </w:rPr>
            </w:pPr>
          </w:p>
        </w:tc>
        <w:tc>
          <w:tcPr>
            <w:tcW w:w="482" w:type="pct"/>
            <w:tcBorders>
              <w:top w:val="nil"/>
              <w:left w:val="nil"/>
              <w:right w:val="nil"/>
            </w:tcBorders>
            <w:noWrap/>
            <w:vAlign w:val="bottom"/>
          </w:tcPr>
          <w:p w:rsidRPr="00B52D66" w:rsidR="00B52D66" w:rsidP="00FC2172" w:rsidRDefault="00B52D66" w14:paraId="4DD144D6" w14:textId="77777777">
            <w:pPr>
              <w:spacing w:line="240" w:lineRule="auto"/>
              <w:jc w:val="right"/>
              <w:rPr>
                <w:rFonts w:cs="Arial"/>
                <w:szCs w:val="18"/>
                <w:lang w:val="en-GB" w:eastAsia="en-GB"/>
              </w:rPr>
            </w:pPr>
          </w:p>
        </w:tc>
        <w:tc>
          <w:tcPr>
            <w:tcW w:w="482" w:type="pct"/>
            <w:tcBorders>
              <w:top w:val="nil"/>
              <w:left w:val="nil"/>
              <w:right w:val="nil"/>
            </w:tcBorders>
            <w:noWrap/>
            <w:vAlign w:val="bottom"/>
          </w:tcPr>
          <w:p w:rsidRPr="00B52D66" w:rsidR="00B52D66" w:rsidP="00FC2172" w:rsidRDefault="00B52D66" w14:paraId="704AA845" w14:textId="77777777">
            <w:pPr>
              <w:spacing w:line="240" w:lineRule="auto"/>
              <w:jc w:val="right"/>
              <w:rPr>
                <w:rFonts w:cs="Arial"/>
                <w:szCs w:val="18"/>
                <w:lang w:val="en-GB" w:eastAsia="en-GB"/>
              </w:rPr>
            </w:pPr>
          </w:p>
        </w:tc>
      </w:tr>
      <w:tr w:rsidRPr="00B52D66" w:rsidR="00B52D66" w:rsidTr="00B52D66" w14:paraId="5A427994" w14:textId="77777777">
        <w:trPr>
          <w:trHeight w:val="280"/>
        </w:trPr>
        <w:tc>
          <w:tcPr>
            <w:tcW w:w="2105" w:type="pct"/>
            <w:tcBorders>
              <w:top w:val="nil"/>
              <w:left w:val="nil"/>
              <w:bottom w:val="single" w:color="auto" w:sz="4" w:space="0"/>
              <w:right w:val="nil"/>
            </w:tcBorders>
            <w:noWrap/>
            <w:vAlign w:val="bottom"/>
          </w:tcPr>
          <w:p w:rsidRPr="00B52D66" w:rsidR="00B52D66" w:rsidP="00FC2172" w:rsidRDefault="00B52D66" w14:paraId="094FD555" w14:textId="77777777">
            <w:pPr>
              <w:spacing w:line="240" w:lineRule="auto"/>
              <w:rPr>
                <w:rFonts w:cs="Arial"/>
                <w:szCs w:val="18"/>
                <w:lang w:val="en-GB" w:eastAsia="en-GB"/>
              </w:rPr>
            </w:pPr>
          </w:p>
        </w:tc>
        <w:tc>
          <w:tcPr>
            <w:tcW w:w="482" w:type="pct"/>
            <w:tcBorders>
              <w:top w:val="nil"/>
              <w:left w:val="nil"/>
              <w:bottom w:val="single" w:color="auto" w:sz="4" w:space="0"/>
              <w:right w:val="nil"/>
            </w:tcBorders>
            <w:noWrap/>
            <w:vAlign w:val="bottom"/>
          </w:tcPr>
          <w:p w:rsidRPr="00B52D66" w:rsidR="00B52D66" w:rsidP="00FC2172" w:rsidRDefault="00B52D66" w14:paraId="56B7D8D9" w14:textId="77777777">
            <w:pPr>
              <w:spacing w:line="240" w:lineRule="auto"/>
              <w:jc w:val="right"/>
              <w:rPr>
                <w:rFonts w:cs="Arial"/>
                <w:szCs w:val="18"/>
                <w:lang w:val="en-GB" w:eastAsia="en-GB"/>
              </w:rPr>
            </w:pPr>
            <w:r w:rsidRPr="00B52D66">
              <w:rPr>
                <w:rFonts w:cs="Arial"/>
                <w:b/>
                <w:bCs/>
                <w:szCs w:val="18"/>
                <w:lang w:val="en-GB" w:eastAsia="en-GB"/>
              </w:rPr>
              <w:t>2018/2019</w:t>
            </w:r>
          </w:p>
        </w:tc>
        <w:tc>
          <w:tcPr>
            <w:tcW w:w="482" w:type="pct"/>
            <w:tcBorders>
              <w:top w:val="nil"/>
              <w:left w:val="nil"/>
              <w:bottom w:val="single" w:color="auto" w:sz="4" w:space="0"/>
              <w:right w:val="nil"/>
            </w:tcBorders>
            <w:noWrap/>
            <w:vAlign w:val="bottom"/>
          </w:tcPr>
          <w:p w:rsidRPr="00B52D66" w:rsidR="00B52D66" w:rsidP="00FC2172" w:rsidRDefault="00B52D66" w14:paraId="6606D4CC" w14:textId="77777777">
            <w:pPr>
              <w:spacing w:line="240" w:lineRule="auto"/>
              <w:jc w:val="right"/>
              <w:rPr>
                <w:rFonts w:cs="Arial"/>
                <w:szCs w:val="18"/>
                <w:lang w:val="en-GB" w:eastAsia="en-GB"/>
              </w:rPr>
            </w:pPr>
            <w:r w:rsidRPr="00B52D66">
              <w:rPr>
                <w:rFonts w:cs="Arial"/>
                <w:b/>
                <w:bCs/>
                <w:szCs w:val="18"/>
                <w:lang w:val="en-GB" w:eastAsia="en-GB"/>
              </w:rPr>
              <w:t>2019/2020</w:t>
            </w:r>
          </w:p>
        </w:tc>
        <w:tc>
          <w:tcPr>
            <w:tcW w:w="482" w:type="pct"/>
            <w:tcBorders>
              <w:top w:val="nil"/>
              <w:left w:val="nil"/>
              <w:bottom w:val="single" w:color="auto" w:sz="4" w:space="0"/>
              <w:right w:val="nil"/>
            </w:tcBorders>
            <w:noWrap/>
            <w:vAlign w:val="bottom"/>
          </w:tcPr>
          <w:p w:rsidRPr="00B52D66" w:rsidR="00B52D66" w:rsidP="00FC2172" w:rsidRDefault="00B52D66" w14:paraId="2F1E7964" w14:textId="77777777">
            <w:pPr>
              <w:spacing w:line="240" w:lineRule="auto"/>
              <w:jc w:val="right"/>
              <w:rPr>
                <w:rFonts w:cs="Arial"/>
                <w:szCs w:val="18"/>
                <w:lang w:val="en-GB" w:eastAsia="en-GB"/>
              </w:rPr>
            </w:pPr>
            <w:r w:rsidRPr="00B52D66">
              <w:rPr>
                <w:rFonts w:cs="Arial"/>
                <w:b/>
                <w:bCs/>
                <w:szCs w:val="18"/>
                <w:lang w:val="en-GB" w:eastAsia="en-GB"/>
              </w:rPr>
              <w:t>2020/2021</w:t>
            </w:r>
          </w:p>
        </w:tc>
        <w:tc>
          <w:tcPr>
            <w:tcW w:w="482" w:type="pct"/>
            <w:tcBorders>
              <w:top w:val="nil"/>
              <w:left w:val="nil"/>
              <w:bottom w:val="single" w:color="auto" w:sz="4" w:space="0"/>
              <w:right w:val="nil"/>
            </w:tcBorders>
            <w:noWrap/>
            <w:vAlign w:val="bottom"/>
          </w:tcPr>
          <w:p w:rsidRPr="00B52D66" w:rsidR="00B52D66" w:rsidP="00FC2172" w:rsidRDefault="00B52D66" w14:paraId="3F23BEA8" w14:textId="77777777">
            <w:pPr>
              <w:spacing w:line="240" w:lineRule="auto"/>
              <w:jc w:val="right"/>
              <w:rPr>
                <w:rFonts w:cs="Arial"/>
                <w:szCs w:val="18"/>
                <w:lang w:val="en-GB" w:eastAsia="en-GB"/>
              </w:rPr>
            </w:pPr>
            <w:r w:rsidRPr="00B52D66">
              <w:rPr>
                <w:rFonts w:cs="Arial"/>
                <w:b/>
                <w:bCs/>
                <w:szCs w:val="18"/>
                <w:lang w:val="en-GB" w:eastAsia="en-GB"/>
              </w:rPr>
              <w:t>2021/2022</w:t>
            </w:r>
          </w:p>
        </w:tc>
        <w:tc>
          <w:tcPr>
            <w:tcW w:w="482" w:type="pct"/>
            <w:tcBorders>
              <w:top w:val="nil"/>
              <w:left w:val="nil"/>
              <w:bottom w:val="single" w:color="auto" w:sz="4" w:space="0"/>
              <w:right w:val="nil"/>
            </w:tcBorders>
            <w:noWrap/>
            <w:vAlign w:val="bottom"/>
          </w:tcPr>
          <w:p w:rsidRPr="00B52D66" w:rsidR="00B52D66" w:rsidP="00FC2172" w:rsidRDefault="00B52D66" w14:paraId="5955F7E4" w14:textId="77777777">
            <w:pPr>
              <w:spacing w:line="240" w:lineRule="auto"/>
              <w:jc w:val="right"/>
              <w:rPr>
                <w:rFonts w:cs="Arial"/>
                <w:szCs w:val="18"/>
                <w:lang w:val="en-GB" w:eastAsia="en-GB"/>
              </w:rPr>
            </w:pPr>
            <w:r w:rsidRPr="00B52D66">
              <w:rPr>
                <w:rFonts w:cs="Arial"/>
                <w:b/>
                <w:bCs/>
                <w:szCs w:val="18"/>
                <w:lang w:val="en-GB" w:eastAsia="en-GB"/>
              </w:rPr>
              <w:t>2022/2023</w:t>
            </w:r>
          </w:p>
        </w:tc>
        <w:tc>
          <w:tcPr>
            <w:tcW w:w="482" w:type="pct"/>
            <w:tcBorders>
              <w:top w:val="nil"/>
              <w:left w:val="nil"/>
              <w:bottom w:val="single" w:color="auto" w:sz="4" w:space="0"/>
              <w:right w:val="nil"/>
            </w:tcBorders>
            <w:noWrap/>
            <w:vAlign w:val="bottom"/>
          </w:tcPr>
          <w:p w:rsidRPr="00B52D66" w:rsidR="00B52D66" w:rsidP="00FC2172" w:rsidRDefault="00B52D66" w14:paraId="5213BCE5" w14:textId="77777777">
            <w:pPr>
              <w:spacing w:line="240" w:lineRule="auto"/>
              <w:jc w:val="right"/>
              <w:rPr>
                <w:rFonts w:cs="Arial"/>
                <w:szCs w:val="18"/>
                <w:lang w:val="en-GB" w:eastAsia="en-GB"/>
              </w:rPr>
            </w:pPr>
            <w:r w:rsidRPr="00B52D66">
              <w:rPr>
                <w:rFonts w:cs="Arial"/>
                <w:b/>
                <w:bCs/>
                <w:szCs w:val="18"/>
                <w:lang w:val="en-GB" w:eastAsia="en-GB"/>
              </w:rPr>
              <w:t>2023/2024</w:t>
            </w:r>
          </w:p>
        </w:tc>
      </w:tr>
      <w:tr w:rsidRPr="00B52D66" w:rsidR="00B52D66" w:rsidTr="00B52D66" w14:paraId="5FB135C8" w14:textId="77777777">
        <w:trPr>
          <w:trHeight w:val="280"/>
        </w:trPr>
        <w:tc>
          <w:tcPr>
            <w:tcW w:w="2105" w:type="pct"/>
            <w:tcBorders>
              <w:top w:val="single" w:color="auto" w:sz="4" w:space="0"/>
              <w:left w:val="nil"/>
              <w:bottom w:val="nil"/>
              <w:right w:val="nil"/>
            </w:tcBorders>
            <w:noWrap/>
            <w:vAlign w:val="bottom"/>
            <w:hideMark/>
          </w:tcPr>
          <w:p w:rsidRPr="00B52D66" w:rsidR="00B52D66" w:rsidP="00FC2172" w:rsidRDefault="00B52D66" w14:paraId="433EFB2E" w14:textId="77777777">
            <w:pPr>
              <w:spacing w:line="240" w:lineRule="auto"/>
              <w:rPr>
                <w:rFonts w:cs="Arial"/>
                <w:b/>
                <w:bCs/>
                <w:szCs w:val="18"/>
                <w:lang w:val="en-GB" w:eastAsia="en-GB"/>
              </w:rPr>
            </w:pPr>
            <w:r w:rsidRPr="00B52D66">
              <w:rPr>
                <w:rFonts w:cs="Arial"/>
                <w:b/>
                <w:bCs/>
                <w:szCs w:val="18"/>
                <w:lang w:val="en-GB" w:eastAsia="en-GB"/>
              </w:rPr>
              <w:t>Totaal gemengde leerweg</w:t>
            </w:r>
          </w:p>
        </w:tc>
        <w:tc>
          <w:tcPr>
            <w:tcW w:w="482" w:type="pct"/>
            <w:tcBorders>
              <w:top w:val="single" w:color="auto" w:sz="4" w:space="0"/>
              <w:left w:val="nil"/>
              <w:bottom w:val="nil"/>
              <w:right w:val="nil"/>
            </w:tcBorders>
            <w:noWrap/>
            <w:vAlign w:val="bottom"/>
            <w:hideMark/>
          </w:tcPr>
          <w:p w:rsidRPr="00B52D66" w:rsidR="00B52D66" w:rsidP="00FC2172" w:rsidRDefault="00B52D66" w14:paraId="6236FA70" w14:textId="77777777">
            <w:pPr>
              <w:spacing w:line="240" w:lineRule="auto"/>
              <w:jc w:val="right"/>
              <w:rPr>
                <w:rFonts w:cs="Arial"/>
                <w:b/>
                <w:bCs/>
                <w:szCs w:val="18"/>
                <w:lang w:val="en-GB" w:eastAsia="en-GB"/>
              </w:rPr>
            </w:pPr>
            <w:r w:rsidRPr="00B52D66">
              <w:rPr>
                <w:rFonts w:cs="Arial"/>
                <w:b/>
                <w:bCs/>
                <w:szCs w:val="18"/>
                <w:lang w:val="en-GB" w:eastAsia="en-GB"/>
              </w:rPr>
              <w:t>15.993</w:t>
            </w:r>
          </w:p>
        </w:tc>
        <w:tc>
          <w:tcPr>
            <w:tcW w:w="482" w:type="pct"/>
            <w:tcBorders>
              <w:top w:val="single" w:color="auto" w:sz="4" w:space="0"/>
              <w:left w:val="nil"/>
              <w:bottom w:val="nil"/>
              <w:right w:val="nil"/>
            </w:tcBorders>
            <w:noWrap/>
            <w:vAlign w:val="bottom"/>
            <w:hideMark/>
          </w:tcPr>
          <w:p w:rsidRPr="00B52D66" w:rsidR="00B52D66" w:rsidP="00FC2172" w:rsidRDefault="00B52D66" w14:paraId="723275A6" w14:textId="77777777">
            <w:pPr>
              <w:spacing w:line="240" w:lineRule="auto"/>
              <w:jc w:val="right"/>
              <w:rPr>
                <w:rFonts w:cs="Arial"/>
                <w:b/>
                <w:bCs/>
                <w:szCs w:val="18"/>
                <w:lang w:val="en-GB" w:eastAsia="en-GB"/>
              </w:rPr>
            </w:pPr>
            <w:r w:rsidRPr="00B52D66">
              <w:rPr>
                <w:rFonts w:cs="Arial"/>
                <w:b/>
                <w:bCs/>
                <w:szCs w:val="18"/>
                <w:lang w:val="en-GB" w:eastAsia="en-GB"/>
              </w:rPr>
              <w:t>15.493</w:t>
            </w:r>
          </w:p>
        </w:tc>
        <w:tc>
          <w:tcPr>
            <w:tcW w:w="482" w:type="pct"/>
            <w:tcBorders>
              <w:top w:val="single" w:color="auto" w:sz="4" w:space="0"/>
              <w:left w:val="nil"/>
              <w:bottom w:val="nil"/>
              <w:right w:val="nil"/>
            </w:tcBorders>
            <w:noWrap/>
            <w:vAlign w:val="bottom"/>
            <w:hideMark/>
          </w:tcPr>
          <w:p w:rsidRPr="00B52D66" w:rsidR="00B52D66" w:rsidP="00FC2172" w:rsidRDefault="00B52D66" w14:paraId="14D84EC7" w14:textId="77777777">
            <w:pPr>
              <w:spacing w:line="240" w:lineRule="auto"/>
              <w:jc w:val="right"/>
              <w:rPr>
                <w:rFonts w:cs="Arial"/>
                <w:b/>
                <w:bCs/>
                <w:szCs w:val="18"/>
                <w:lang w:val="en-GB" w:eastAsia="en-GB"/>
              </w:rPr>
            </w:pPr>
            <w:r w:rsidRPr="00B52D66">
              <w:rPr>
                <w:rFonts w:cs="Arial"/>
                <w:b/>
                <w:bCs/>
                <w:szCs w:val="18"/>
                <w:lang w:val="en-GB" w:eastAsia="en-GB"/>
              </w:rPr>
              <w:t>14.826</w:t>
            </w:r>
          </w:p>
        </w:tc>
        <w:tc>
          <w:tcPr>
            <w:tcW w:w="482" w:type="pct"/>
            <w:tcBorders>
              <w:top w:val="single" w:color="auto" w:sz="4" w:space="0"/>
              <w:left w:val="nil"/>
              <w:bottom w:val="nil"/>
              <w:right w:val="nil"/>
            </w:tcBorders>
            <w:noWrap/>
            <w:vAlign w:val="bottom"/>
            <w:hideMark/>
          </w:tcPr>
          <w:p w:rsidRPr="00B52D66" w:rsidR="00B52D66" w:rsidP="00FC2172" w:rsidRDefault="00B52D66" w14:paraId="4952EA4E" w14:textId="77777777">
            <w:pPr>
              <w:spacing w:line="240" w:lineRule="auto"/>
              <w:jc w:val="right"/>
              <w:rPr>
                <w:rFonts w:cs="Arial"/>
                <w:b/>
                <w:bCs/>
                <w:szCs w:val="18"/>
                <w:lang w:val="en-GB" w:eastAsia="en-GB"/>
              </w:rPr>
            </w:pPr>
            <w:r w:rsidRPr="00B52D66">
              <w:rPr>
                <w:rFonts w:cs="Arial"/>
                <w:b/>
                <w:bCs/>
                <w:szCs w:val="18"/>
                <w:lang w:val="en-GB" w:eastAsia="en-GB"/>
              </w:rPr>
              <w:t>15.885</w:t>
            </w:r>
          </w:p>
        </w:tc>
        <w:tc>
          <w:tcPr>
            <w:tcW w:w="482" w:type="pct"/>
            <w:tcBorders>
              <w:top w:val="single" w:color="auto" w:sz="4" w:space="0"/>
              <w:left w:val="nil"/>
              <w:bottom w:val="nil"/>
              <w:right w:val="nil"/>
            </w:tcBorders>
            <w:noWrap/>
            <w:vAlign w:val="bottom"/>
            <w:hideMark/>
          </w:tcPr>
          <w:p w:rsidRPr="00B52D66" w:rsidR="00B52D66" w:rsidP="00FC2172" w:rsidRDefault="00B52D66" w14:paraId="0CF38D27" w14:textId="77777777">
            <w:pPr>
              <w:spacing w:line="240" w:lineRule="auto"/>
              <w:jc w:val="right"/>
              <w:rPr>
                <w:rFonts w:cs="Arial"/>
                <w:b/>
                <w:bCs/>
                <w:szCs w:val="18"/>
                <w:lang w:val="en-GB" w:eastAsia="en-GB"/>
              </w:rPr>
            </w:pPr>
            <w:r w:rsidRPr="00B52D66">
              <w:rPr>
                <w:rFonts w:cs="Arial"/>
                <w:b/>
                <w:bCs/>
                <w:szCs w:val="18"/>
                <w:lang w:val="en-GB" w:eastAsia="en-GB"/>
              </w:rPr>
              <w:t>16.215</w:t>
            </w:r>
          </w:p>
        </w:tc>
        <w:tc>
          <w:tcPr>
            <w:tcW w:w="482" w:type="pct"/>
            <w:tcBorders>
              <w:top w:val="single" w:color="auto" w:sz="4" w:space="0"/>
              <w:left w:val="nil"/>
              <w:bottom w:val="nil"/>
              <w:right w:val="nil"/>
            </w:tcBorders>
            <w:noWrap/>
            <w:vAlign w:val="bottom"/>
            <w:hideMark/>
          </w:tcPr>
          <w:p w:rsidRPr="00B52D66" w:rsidR="00B52D66" w:rsidP="00FC2172" w:rsidRDefault="00B52D66" w14:paraId="767ACA56" w14:textId="77777777">
            <w:pPr>
              <w:spacing w:line="240" w:lineRule="auto"/>
              <w:jc w:val="right"/>
              <w:rPr>
                <w:rFonts w:cs="Arial"/>
                <w:b/>
                <w:bCs/>
                <w:szCs w:val="18"/>
                <w:lang w:val="en-GB" w:eastAsia="en-GB"/>
              </w:rPr>
            </w:pPr>
            <w:r w:rsidRPr="00B52D66">
              <w:rPr>
                <w:rFonts w:cs="Arial"/>
                <w:b/>
                <w:bCs/>
                <w:szCs w:val="18"/>
                <w:lang w:val="en-GB" w:eastAsia="en-GB"/>
              </w:rPr>
              <w:t>15.947</w:t>
            </w:r>
          </w:p>
        </w:tc>
      </w:tr>
      <w:tr w:rsidRPr="00B52D66" w:rsidR="00B52D66" w:rsidTr="00B52D66" w14:paraId="54095F38"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2C693344" w14:textId="77777777">
            <w:pPr>
              <w:spacing w:line="240" w:lineRule="auto"/>
              <w:rPr>
                <w:rFonts w:cs="Arial"/>
                <w:b/>
                <w:bCs/>
                <w:szCs w:val="18"/>
                <w:lang w:val="en-GB" w:eastAsia="en-GB"/>
              </w:rPr>
            </w:pPr>
            <w:r w:rsidRPr="00B52D66">
              <w:rPr>
                <w:rFonts w:cs="Arial"/>
                <w:b/>
                <w:bCs/>
                <w:szCs w:val="18"/>
                <w:lang w:val="en-GB" w:eastAsia="en-GB"/>
              </w:rPr>
              <w:t xml:space="preserve">  Totaal techniek</w:t>
            </w:r>
          </w:p>
        </w:tc>
        <w:tc>
          <w:tcPr>
            <w:tcW w:w="482" w:type="pct"/>
            <w:tcBorders>
              <w:top w:val="nil"/>
              <w:left w:val="nil"/>
              <w:bottom w:val="nil"/>
              <w:right w:val="nil"/>
            </w:tcBorders>
            <w:noWrap/>
            <w:vAlign w:val="bottom"/>
            <w:hideMark/>
          </w:tcPr>
          <w:p w:rsidRPr="00B52D66" w:rsidR="00B52D66" w:rsidP="00FC2172" w:rsidRDefault="00B52D66" w14:paraId="5AE089F9" w14:textId="77777777">
            <w:pPr>
              <w:spacing w:line="240" w:lineRule="auto"/>
              <w:jc w:val="right"/>
              <w:rPr>
                <w:rFonts w:cs="Arial"/>
                <w:b/>
                <w:bCs/>
                <w:szCs w:val="18"/>
                <w:lang w:val="en-GB" w:eastAsia="en-GB"/>
              </w:rPr>
            </w:pPr>
            <w:r w:rsidRPr="00B52D66">
              <w:rPr>
                <w:rFonts w:cs="Arial"/>
                <w:b/>
                <w:bCs/>
                <w:szCs w:val="18"/>
                <w:lang w:val="en-GB" w:eastAsia="en-GB"/>
              </w:rPr>
              <w:t>1.595</w:t>
            </w:r>
          </w:p>
        </w:tc>
        <w:tc>
          <w:tcPr>
            <w:tcW w:w="482" w:type="pct"/>
            <w:tcBorders>
              <w:top w:val="nil"/>
              <w:left w:val="nil"/>
              <w:bottom w:val="nil"/>
              <w:right w:val="nil"/>
            </w:tcBorders>
            <w:noWrap/>
            <w:vAlign w:val="bottom"/>
            <w:hideMark/>
          </w:tcPr>
          <w:p w:rsidRPr="00B52D66" w:rsidR="00B52D66" w:rsidP="00FC2172" w:rsidRDefault="00B52D66" w14:paraId="731A003A" w14:textId="77777777">
            <w:pPr>
              <w:spacing w:line="240" w:lineRule="auto"/>
              <w:jc w:val="right"/>
              <w:rPr>
                <w:rFonts w:cs="Arial"/>
                <w:b/>
                <w:bCs/>
                <w:szCs w:val="18"/>
                <w:lang w:val="en-GB" w:eastAsia="en-GB"/>
              </w:rPr>
            </w:pPr>
            <w:r w:rsidRPr="00B52D66">
              <w:rPr>
                <w:rFonts w:cs="Arial"/>
                <w:b/>
                <w:bCs/>
                <w:szCs w:val="18"/>
                <w:lang w:val="en-GB" w:eastAsia="en-GB"/>
              </w:rPr>
              <w:t>1.452</w:t>
            </w:r>
          </w:p>
        </w:tc>
        <w:tc>
          <w:tcPr>
            <w:tcW w:w="482" w:type="pct"/>
            <w:tcBorders>
              <w:top w:val="nil"/>
              <w:left w:val="nil"/>
              <w:bottom w:val="nil"/>
              <w:right w:val="nil"/>
            </w:tcBorders>
            <w:noWrap/>
            <w:vAlign w:val="bottom"/>
            <w:hideMark/>
          </w:tcPr>
          <w:p w:rsidRPr="00B52D66" w:rsidR="00B52D66" w:rsidP="00FC2172" w:rsidRDefault="00B52D66" w14:paraId="4787AB0E" w14:textId="77777777">
            <w:pPr>
              <w:spacing w:line="240" w:lineRule="auto"/>
              <w:jc w:val="right"/>
              <w:rPr>
                <w:rFonts w:cs="Arial"/>
                <w:b/>
                <w:bCs/>
                <w:szCs w:val="18"/>
                <w:lang w:val="en-GB" w:eastAsia="en-GB"/>
              </w:rPr>
            </w:pPr>
            <w:r w:rsidRPr="00B52D66">
              <w:rPr>
                <w:rFonts w:cs="Arial"/>
                <w:b/>
                <w:bCs/>
                <w:szCs w:val="18"/>
                <w:lang w:val="en-GB" w:eastAsia="en-GB"/>
              </w:rPr>
              <w:t>1.643</w:t>
            </w:r>
          </w:p>
        </w:tc>
        <w:tc>
          <w:tcPr>
            <w:tcW w:w="482" w:type="pct"/>
            <w:tcBorders>
              <w:top w:val="nil"/>
              <w:left w:val="nil"/>
              <w:bottom w:val="nil"/>
              <w:right w:val="nil"/>
            </w:tcBorders>
            <w:noWrap/>
            <w:vAlign w:val="bottom"/>
            <w:hideMark/>
          </w:tcPr>
          <w:p w:rsidRPr="00B52D66" w:rsidR="00B52D66" w:rsidP="00FC2172" w:rsidRDefault="00B52D66" w14:paraId="3ABA06D6" w14:textId="77777777">
            <w:pPr>
              <w:spacing w:line="240" w:lineRule="auto"/>
              <w:jc w:val="right"/>
              <w:rPr>
                <w:rFonts w:cs="Arial"/>
                <w:b/>
                <w:bCs/>
                <w:szCs w:val="18"/>
                <w:lang w:val="en-GB" w:eastAsia="en-GB"/>
              </w:rPr>
            </w:pPr>
            <w:r w:rsidRPr="00B52D66">
              <w:rPr>
                <w:rFonts w:cs="Arial"/>
                <w:b/>
                <w:bCs/>
                <w:szCs w:val="18"/>
                <w:lang w:val="en-GB" w:eastAsia="en-GB"/>
              </w:rPr>
              <w:t>1.717</w:t>
            </w:r>
          </w:p>
        </w:tc>
        <w:tc>
          <w:tcPr>
            <w:tcW w:w="482" w:type="pct"/>
            <w:tcBorders>
              <w:top w:val="nil"/>
              <w:left w:val="nil"/>
              <w:bottom w:val="nil"/>
              <w:right w:val="nil"/>
            </w:tcBorders>
            <w:noWrap/>
            <w:vAlign w:val="bottom"/>
            <w:hideMark/>
          </w:tcPr>
          <w:p w:rsidRPr="00B52D66" w:rsidR="00B52D66" w:rsidP="00FC2172" w:rsidRDefault="00B52D66" w14:paraId="0DA515EA" w14:textId="77777777">
            <w:pPr>
              <w:spacing w:line="240" w:lineRule="auto"/>
              <w:jc w:val="right"/>
              <w:rPr>
                <w:rFonts w:cs="Arial"/>
                <w:b/>
                <w:bCs/>
                <w:szCs w:val="18"/>
                <w:lang w:val="en-GB" w:eastAsia="en-GB"/>
              </w:rPr>
            </w:pPr>
            <w:r w:rsidRPr="00B52D66">
              <w:rPr>
                <w:rFonts w:cs="Arial"/>
                <w:b/>
                <w:bCs/>
                <w:szCs w:val="18"/>
                <w:lang w:val="en-GB" w:eastAsia="en-GB"/>
              </w:rPr>
              <w:t>1.890</w:t>
            </w:r>
          </w:p>
        </w:tc>
        <w:tc>
          <w:tcPr>
            <w:tcW w:w="482" w:type="pct"/>
            <w:tcBorders>
              <w:top w:val="nil"/>
              <w:left w:val="nil"/>
              <w:bottom w:val="nil"/>
              <w:right w:val="nil"/>
            </w:tcBorders>
            <w:noWrap/>
            <w:vAlign w:val="bottom"/>
            <w:hideMark/>
          </w:tcPr>
          <w:p w:rsidRPr="00B52D66" w:rsidR="00B52D66" w:rsidP="00FC2172" w:rsidRDefault="00B52D66" w14:paraId="11466124" w14:textId="77777777">
            <w:pPr>
              <w:spacing w:line="240" w:lineRule="auto"/>
              <w:jc w:val="right"/>
              <w:rPr>
                <w:rFonts w:cs="Arial"/>
                <w:b/>
                <w:bCs/>
                <w:szCs w:val="18"/>
                <w:lang w:val="en-GB" w:eastAsia="en-GB"/>
              </w:rPr>
            </w:pPr>
            <w:r w:rsidRPr="00B52D66">
              <w:rPr>
                <w:rFonts w:cs="Arial"/>
                <w:b/>
                <w:bCs/>
                <w:szCs w:val="18"/>
                <w:lang w:val="en-GB" w:eastAsia="en-GB"/>
              </w:rPr>
              <w:t>1.963</w:t>
            </w:r>
          </w:p>
        </w:tc>
      </w:tr>
      <w:tr w:rsidRPr="00B52D66" w:rsidR="00B52D66" w:rsidTr="00B52D66" w14:paraId="5F472EA6" w14:textId="77777777">
        <w:trPr>
          <w:trHeight w:val="280"/>
        </w:trPr>
        <w:tc>
          <w:tcPr>
            <w:tcW w:w="2105" w:type="pct"/>
            <w:tcBorders>
              <w:top w:val="nil"/>
              <w:left w:val="nil"/>
              <w:bottom w:val="nil"/>
              <w:right w:val="nil"/>
            </w:tcBorders>
            <w:noWrap/>
            <w:hideMark/>
          </w:tcPr>
          <w:p w:rsidRPr="00B52D66" w:rsidR="00B52D66" w:rsidP="00FC2172" w:rsidRDefault="00B52D66" w14:paraId="0696C994" w14:textId="77777777">
            <w:pPr>
              <w:spacing w:line="240" w:lineRule="auto"/>
              <w:rPr>
                <w:rFonts w:cs="Arial"/>
                <w:szCs w:val="18"/>
                <w:lang w:val="en-GB" w:eastAsia="en-GB"/>
              </w:rPr>
            </w:pPr>
            <w:r w:rsidRPr="00B52D66">
              <w:rPr>
                <w:rFonts w:cs="Arial"/>
                <w:szCs w:val="18"/>
                <w:lang w:val="en-GB" w:eastAsia="en-GB"/>
              </w:rPr>
              <w:t xml:space="preserve">   BWI</w:t>
            </w:r>
          </w:p>
        </w:tc>
        <w:tc>
          <w:tcPr>
            <w:tcW w:w="482" w:type="pct"/>
            <w:tcBorders>
              <w:top w:val="nil"/>
              <w:left w:val="nil"/>
              <w:bottom w:val="nil"/>
              <w:right w:val="nil"/>
            </w:tcBorders>
            <w:noWrap/>
            <w:vAlign w:val="bottom"/>
            <w:hideMark/>
          </w:tcPr>
          <w:p w:rsidRPr="00B52D66" w:rsidR="00B52D66" w:rsidP="00FC2172" w:rsidRDefault="00B52D66" w14:paraId="61BFEB43" w14:textId="77777777">
            <w:pPr>
              <w:spacing w:line="240" w:lineRule="auto"/>
              <w:jc w:val="right"/>
              <w:rPr>
                <w:rFonts w:cs="Arial"/>
                <w:szCs w:val="18"/>
                <w:lang w:val="en-GB" w:eastAsia="en-GB"/>
              </w:rPr>
            </w:pPr>
            <w:r w:rsidRPr="00B52D66">
              <w:rPr>
                <w:rFonts w:cs="Arial"/>
                <w:szCs w:val="18"/>
                <w:lang w:val="en-GB" w:eastAsia="en-GB"/>
              </w:rPr>
              <w:t>395</w:t>
            </w:r>
          </w:p>
        </w:tc>
        <w:tc>
          <w:tcPr>
            <w:tcW w:w="482" w:type="pct"/>
            <w:tcBorders>
              <w:top w:val="nil"/>
              <w:left w:val="nil"/>
              <w:bottom w:val="nil"/>
              <w:right w:val="nil"/>
            </w:tcBorders>
            <w:noWrap/>
            <w:vAlign w:val="bottom"/>
            <w:hideMark/>
          </w:tcPr>
          <w:p w:rsidRPr="00B52D66" w:rsidR="00B52D66" w:rsidP="00FC2172" w:rsidRDefault="00B52D66" w14:paraId="1AB14188" w14:textId="77777777">
            <w:pPr>
              <w:spacing w:line="240" w:lineRule="auto"/>
              <w:jc w:val="right"/>
              <w:rPr>
                <w:rFonts w:cs="Arial"/>
                <w:szCs w:val="18"/>
                <w:lang w:val="en-GB" w:eastAsia="en-GB"/>
              </w:rPr>
            </w:pPr>
            <w:r w:rsidRPr="00B52D66">
              <w:rPr>
                <w:rFonts w:cs="Arial"/>
                <w:szCs w:val="18"/>
                <w:lang w:val="en-GB" w:eastAsia="en-GB"/>
              </w:rPr>
              <w:t>363</w:t>
            </w:r>
          </w:p>
        </w:tc>
        <w:tc>
          <w:tcPr>
            <w:tcW w:w="482" w:type="pct"/>
            <w:tcBorders>
              <w:top w:val="nil"/>
              <w:left w:val="nil"/>
              <w:bottom w:val="nil"/>
              <w:right w:val="nil"/>
            </w:tcBorders>
            <w:noWrap/>
            <w:vAlign w:val="bottom"/>
            <w:hideMark/>
          </w:tcPr>
          <w:p w:rsidRPr="00B52D66" w:rsidR="00B52D66" w:rsidP="00FC2172" w:rsidRDefault="00B52D66" w14:paraId="1D2BD03B" w14:textId="77777777">
            <w:pPr>
              <w:spacing w:line="240" w:lineRule="auto"/>
              <w:jc w:val="right"/>
              <w:rPr>
                <w:rFonts w:cs="Arial"/>
                <w:szCs w:val="18"/>
                <w:lang w:val="en-GB" w:eastAsia="en-GB"/>
              </w:rPr>
            </w:pPr>
            <w:r w:rsidRPr="00B52D66">
              <w:rPr>
                <w:rFonts w:cs="Arial"/>
                <w:szCs w:val="18"/>
                <w:lang w:val="en-GB" w:eastAsia="en-GB"/>
              </w:rPr>
              <w:t>487</w:t>
            </w:r>
          </w:p>
        </w:tc>
        <w:tc>
          <w:tcPr>
            <w:tcW w:w="482" w:type="pct"/>
            <w:tcBorders>
              <w:top w:val="nil"/>
              <w:left w:val="nil"/>
              <w:bottom w:val="nil"/>
              <w:right w:val="nil"/>
            </w:tcBorders>
            <w:noWrap/>
            <w:vAlign w:val="bottom"/>
            <w:hideMark/>
          </w:tcPr>
          <w:p w:rsidRPr="00B52D66" w:rsidR="00B52D66" w:rsidP="00FC2172" w:rsidRDefault="00B52D66" w14:paraId="34E02866" w14:textId="77777777">
            <w:pPr>
              <w:spacing w:line="240" w:lineRule="auto"/>
              <w:jc w:val="right"/>
              <w:rPr>
                <w:rFonts w:cs="Arial"/>
                <w:szCs w:val="18"/>
                <w:lang w:val="en-GB" w:eastAsia="en-GB"/>
              </w:rPr>
            </w:pPr>
            <w:r w:rsidRPr="00B52D66">
              <w:rPr>
                <w:rFonts w:cs="Arial"/>
                <w:szCs w:val="18"/>
                <w:lang w:val="en-GB" w:eastAsia="en-GB"/>
              </w:rPr>
              <w:t>490</w:t>
            </w:r>
          </w:p>
        </w:tc>
        <w:tc>
          <w:tcPr>
            <w:tcW w:w="482" w:type="pct"/>
            <w:tcBorders>
              <w:top w:val="nil"/>
              <w:left w:val="nil"/>
              <w:bottom w:val="nil"/>
              <w:right w:val="nil"/>
            </w:tcBorders>
            <w:noWrap/>
            <w:vAlign w:val="bottom"/>
            <w:hideMark/>
          </w:tcPr>
          <w:p w:rsidRPr="00B52D66" w:rsidR="00B52D66" w:rsidP="00FC2172" w:rsidRDefault="00B52D66" w14:paraId="167A970A" w14:textId="77777777">
            <w:pPr>
              <w:spacing w:line="240" w:lineRule="auto"/>
              <w:jc w:val="right"/>
              <w:rPr>
                <w:rFonts w:cs="Arial"/>
                <w:szCs w:val="18"/>
                <w:lang w:val="en-GB" w:eastAsia="en-GB"/>
              </w:rPr>
            </w:pPr>
            <w:r w:rsidRPr="00B52D66">
              <w:rPr>
                <w:rFonts w:cs="Arial"/>
                <w:szCs w:val="18"/>
                <w:lang w:val="en-GB" w:eastAsia="en-GB"/>
              </w:rPr>
              <w:t>541</w:t>
            </w:r>
          </w:p>
        </w:tc>
        <w:tc>
          <w:tcPr>
            <w:tcW w:w="482" w:type="pct"/>
            <w:tcBorders>
              <w:top w:val="nil"/>
              <w:left w:val="nil"/>
              <w:bottom w:val="nil"/>
              <w:right w:val="nil"/>
            </w:tcBorders>
            <w:noWrap/>
            <w:vAlign w:val="bottom"/>
            <w:hideMark/>
          </w:tcPr>
          <w:p w:rsidRPr="00B52D66" w:rsidR="00B52D66" w:rsidP="00FC2172" w:rsidRDefault="00B52D66" w14:paraId="78012722" w14:textId="77777777">
            <w:pPr>
              <w:spacing w:line="240" w:lineRule="auto"/>
              <w:jc w:val="right"/>
              <w:rPr>
                <w:rFonts w:cs="Arial"/>
                <w:szCs w:val="18"/>
                <w:lang w:val="en-GB" w:eastAsia="en-GB"/>
              </w:rPr>
            </w:pPr>
            <w:r w:rsidRPr="00B52D66">
              <w:rPr>
                <w:rFonts w:cs="Arial"/>
                <w:szCs w:val="18"/>
                <w:lang w:val="en-GB" w:eastAsia="en-GB"/>
              </w:rPr>
              <w:t>505</w:t>
            </w:r>
          </w:p>
        </w:tc>
      </w:tr>
      <w:tr w:rsidRPr="00B52D66" w:rsidR="00B52D66" w:rsidTr="00B52D66" w14:paraId="1C015EF4" w14:textId="77777777">
        <w:trPr>
          <w:trHeight w:val="280"/>
        </w:trPr>
        <w:tc>
          <w:tcPr>
            <w:tcW w:w="2105" w:type="pct"/>
            <w:tcBorders>
              <w:top w:val="nil"/>
              <w:left w:val="nil"/>
              <w:bottom w:val="nil"/>
              <w:right w:val="nil"/>
            </w:tcBorders>
            <w:noWrap/>
            <w:hideMark/>
          </w:tcPr>
          <w:p w:rsidRPr="00B52D66" w:rsidR="00B52D66" w:rsidP="00FC2172" w:rsidRDefault="00B52D66" w14:paraId="48D57457" w14:textId="77777777">
            <w:pPr>
              <w:spacing w:line="240" w:lineRule="auto"/>
              <w:rPr>
                <w:rFonts w:cs="Arial"/>
                <w:szCs w:val="18"/>
                <w:lang w:val="en-GB" w:eastAsia="en-GB"/>
              </w:rPr>
            </w:pPr>
            <w:r w:rsidRPr="00B52D66">
              <w:rPr>
                <w:rFonts w:cs="Arial"/>
                <w:szCs w:val="18"/>
                <w:lang w:val="en-GB" w:eastAsia="en-GB"/>
              </w:rPr>
              <w:t xml:space="preserve">   MaT</w:t>
            </w:r>
          </w:p>
        </w:tc>
        <w:tc>
          <w:tcPr>
            <w:tcW w:w="482" w:type="pct"/>
            <w:tcBorders>
              <w:top w:val="nil"/>
              <w:left w:val="nil"/>
              <w:bottom w:val="nil"/>
              <w:right w:val="nil"/>
            </w:tcBorders>
            <w:noWrap/>
            <w:vAlign w:val="bottom"/>
            <w:hideMark/>
          </w:tcPr>
          <w:p w:rsidRPr="00B52D66" w:rsidR="00B52D66" w:rsidP="00FC2172" w:rsidRDefault="00B52D66" w14:paraId="3FDD05DF" w14:textId="77777777">
            <w:pPr>
              <w:spacing w:line="240" w:lineRule="auto"/>
              <w:jc w:val="right"/>
              <w:rPr>
                <w:rFonts w:cs="Arial"/>
                <w:szCs w:val="18"/>
                <w:lang w:val="en-GB" w:eastAsia="en-GB"/>
              </w:rPr>
            </w:pPr>
            <w:r w:rsidRPr="00B52D66">
              <w:rPr>
                <w:rFonts w:cs="Arial"/>
                <w:szCs w:val="18"/>
                <w:lang w:val="en-GB" w:eastAsia="en-GB"/>
              </w:rPr>
              <w:t>72</w:t>
            </w:r>
          </w:p>
        </w:tc>
        <w:tc>
          <w:tcPr>
            <w:tcW w:w="482" w:type="pct"/>
            <w:tcBorders>
              <w:top w:val="nil"/>
              <w:left w:val="nil"/>
              <w:bottom w:val="nil"/>
              <w:right w:val="nil"/>
            </w:tcBorders>
            <w:noWrap/>
            <w:vAlign w:val="bottom"/>
            <w:hideMark/>
          </w:tcPr>
          <w:p w:rsidRPr="00B52D66" w:rsidR="00B52D66" w:rsidP="00FC2172" w:rsidRDefault="00B52D66" w14:paraId="1D3714CE" w14:textId="77777777">
            <w:pPr>
              <w:spacing w:line="240" w:lineRule="auto"/>
              <w:jc w:val="right"/>
              <w:rPr>
                <w:rFonts w:cs="Arial"/>
                <w:szCs w:val="18"/>
                <w:lang w:val="en-GB" w:eastAsia="en-GB"/>
              </w:rPr>
            </w:pPr>
            <w:r w:rsidRPr="00B52D66">
              <w:rPr>
                <w:rFonts w:cs="Arial"/>
                <w:szCs w:val="18"/>
                <w:lang w:val="en-GB" w:eastAsia="en-GB"/>
              </w:rPr>
              <w:t>85</w:t>
            </w:r>
          </w:p>
        </w:tc>
        <w:tc>
          <w:tcPr>
            <w:tcW w:w="482" w:type="pct"/>
            <w:tcBorders>
              <w:top w:val="nil"/>
              <w:left w:val="nil"/>
              <w:bottom w:val="nil"/>
              <w:right w:val="nil"/>
            </w:tcBorders>
            <w:noWrap/>
            <w:vAlign w:val="bottom"/>
            <w:hideMark/>
          </w:tcPr>
          <w:p w:rsidRPr="00B52D66" w:rsidR="00B52D66" w:rsidP="00FC2172" w:rsidRDefault="00B52D66" w14:paraId="6525DFAD" w14:textId="77777777">
            <w:pPr>
              <w:spacing w:line="240" w:lineRule="auto"/>
              <w:jc w:val="right"/>
              <w:rPr>
                <w:rFonts w:cs="Arial"/>
                <w:szCs w:val="18"/>
                <w:lang w:val="en-GB" w:eastAsia="en-GB"/>
              </w:rPr>
            </w:pPr>
            <w:r w:rsidRPr="00B52D66">
              <w:rPr>
                <w:rFonts w:cs="Arial"/>
                <w:szCs w:val="18"/>
                <w:lang w:val="en-GB" w:eastAsia="en-GB"/>
              </w:rPr>
              <w:t>80</w:t>
            </w:r>
          </w:p>
        </w:tc>
        <w:tc>
          <w:tcPr>
            <w:tcW w:w="482" w:type="pct"/>
            <w:tcBorders>
              <w:top w:val="nil"/>
              <w:left w:val="nil"/>
              <w:bottom w:val="nil"/>
              <w:right w:val="nil"/>
            </w:tcBorders>
            <w:noWrap/>
            <w:vAlign w:val="bottom"/>
            <w:hideMark/>
          </w:tcPr>
          <w:p w:rsidRPr="00B52D66" w:rsidR="00B52D66" w:rsidP="00FC2172" w:rsidRDefault="00B52D66" w14:paraId="7902DC91" w14:textId="77777777">
            <w:pPr>
              <w:spacing w:line="240" w:lineRule="auto"/>
              <w:jc w:val="right"/>
              <w:rPr>
                <w:rFonts w:cs="Arial"/>
                <w:szCs w:val="18"/>
                <w:lang w:val="en-GB" w:eastAsia="en-GB"/>
              </w:rPr>
            </w:pPr>
            <w:r w:rsidRPr="00B52D66">
              <w:rPr>
                <w:rFonts w:cs="Arial"/>
                <w:szCs w:val="18"/>
                <w:lang w:val="en-GB" w:eastAsia="en-GB"/>
              </w:rPr>
              <w:t>79</w:t>
            </w:r>
          </w:p>
        </w:tc>
        <w:tc>
          <w:tcPr>
            <w:tcW w:w="482" w:type="pct"/>
            <w:tcBorders>
              <w:top w:val="nil"/>
              <w:left w:val="nil"/>
              <w:bottom w:val="nil"/>
              <w:right w:val="nil"/>
            </w:tcBorders>
            <w:noWrap/>
            <w:vAlign w:val="bottom"/>
            <w:hideMark/>
          </w:tcPr>
          <w:p w:rsidRPr="00B52D66" w:rsidR="00B52D66" w:rsidP="00FC2172" w:rsidRDefault="00B52D66" w14:paraId="7DD49604" w14:textId="77777777">
            <w:pPr>
              <w:spacing w:line="240" w:lineRule="auto"/>
              <w:jc w:val="right"/>
              <w:rPr>
                <w:rFonts w:cs="Arial"/>
                <w:szCs w:val="18"/>
                <w:lang w:val="en-GB" w:eastAsia="en-GB"/>
              </w:rPr>
            </w:pPr>
            <w:r w:rsidRPr="00B52D66">
              <w:rPr>
                <w:rFonts w:cs="Arial"/>
                <w:szCs w:val="18"/>
                <w:lang w:val="en-GB" w:eastAsia="en-GB"/>
              </w:rPr>
              <w:t>63</w:t>
            </w:r>
          </w:p>
        </w:tc>
        <w:tc>
          <w:tcPr>
            <w:tcW w:w="482" w:type="pct"/>
            <w:tcBorders>
              <w:top w:val="nil"/>
              <w:left w:val="nil"/>
              <w:bottom w:val="nil"/>
              <w:right w:val="nil"/>
            </w:tcBorders>
            <w:noWrap/>
            <w:vAlign w:val="bottom"/>
            <w:hideMark/>
          </w:tcPr>
          <w:p w:rsidRPr="00B52D66" w:rsidR="00B52D66" w:rsidP="00FC2172" w:rsidRDefault="00B52D66" w14:paraId="5F8C14A8" w14:textId="77777777">
            <w:pPr>
              <w:spacing w:line="240" w:lineRule="auto"/>
              <w:jc w:val="right"/>
              <w:rPr>
                <w:rFonts w:cs="Arial"/>
                <w:szCs w:val="18"/>
                <w:lang w:val="en-GB" w:eastAsia="en-GB"/>
              </w:rPr>
            </w:pPr>
            <w:r w:rsidRPr="00B52D66">
              <w:rPr>
                <w:rFonts w:cs="Arial"/>
                <w:szCs w:val="18"/>
                <w:lang w:val="en-GB" w:eastAsia="en-GB"/>
              </w:rPr>
              <w:t>53</w:t>
            </w:r>
          </w:p>
        </w:tc>
      </w:tr>
      <w:tr w:rsidRPr="00B52D66" w:rsidR="00B52D66" w:rsidTr="00B52D66" w14:paraId="394C6AF1" w14:textId="77777777">
        <w:trPr>
          <w:trHeight w:val="280"/>
        </w:trPr>
        <w:tc>
          <w:tcPr>
            <w:tcW w:w="2105" w:type="pct"/>
            <w:tcBorders>
              <w:top w:val="nil"/>
              <w:left w:val="nil"/>
              <w:bottom w:val="nil"/>
              <w:right w:val="nil"/>
            </w:tcBorders>
            <w:noWrap/>
            <w:hideMark/>
          </w:tcPr>
          <w:p w:rsidRPr="00B52D66" w:rsidR="00B52D66" w:rsidP="00FC2172" w:rsidRDefault="00B52D66" w14:paraId="7BA47C05" w14:textId="77777777">
            <w:pPr>
              <w:spacing w:line="240" w:lineRule="auto"/>
              <w:rPr>
                <w:rFonts w:cs="Arial"/>
                <w:szCs w:val="18"/>
                <w:lang w:val="en-GB" w:eastAsia="en-GB"/>
              </w:rPr>
            </w:pPr>
            <w:r w:rsidRPr="00B52D66">
              <w:rPr>
                <w:rFonts w:cs="Arial"/>
                <w:szCs w:val="18"/>
                <w:lang w:val="en-GB" w:eastAsia="en-GB"/>
              </w:rPr>
              <w:t xml:space="preserve">   MVI</w:t>
            </w:r>
          </w:p>
        </w:tc>
        <w:tc>
          <w:tcPr>
            <w:tcW w:w="482" w:type="pct"/>
            <w:tcBorders>
              <w:top w:val="nil"/>
              <w:left w:val="nil"/>
              <w:bottom w:val="nil"/>
              <w:right w:val="nil"/>
            </w:tcBorders>
            <w:noWrap/>
            <w:vAlign w:val="bottom"/>
            <w:hideMark/>
          </w:tcPr>
          <w:p w:rsidRPr="00B52D66" w:rsidR="00B52D66" w:rsidP="00FC2172" w:rsidRDefault="00B52D66" w14:paraId="7036D3A9" w14:textId="77777777">
            <w:pPr>
              <w:spacing w:line="240" w:lineRule="auto"/>
              <w:jc w:val="right"/>
              <w:rPr>
                <w:rFonts w:cs="Arial"/>
                <w:szCs w:val="18"/>
                <w:lang w:val="en-GB" w:eastAsia="en-GB"/>
              </w:rPr>
            </w:pPr>
            <w:r w:rsidRPr="00B52D66">
              <w:rPr>
                <w:rFonts w:cs="Arial"/>
                <w:szCs w:val="18"/>
                <w:lang w:val="en-GB" w:eastAsia="en-GB"/>
              </w:rPr>
              <w:t>335</w:t>
            </w:r>
          </w:p>
        </w:tc>
        <w:tc>
          <w:tcPr>
            <w:tcW w:w="482" w:type="pct"/>
            <w:tcBorders>
              <w:top w:val="nil"/>
              <w:left w:val="nil"/>
              <w:bottom w:val="nil"/>
              <w:right w:val="nil"/>
            </w:tcBorders>
            <w:noWrap/>
            <w:vAlign w:val="bottom"/>
            <w:hideMark/>
          </w:tcPr>
          <w:p w:rsidRPr="00B52D66" w:rsidR="00B52D66" w:rsidP="00FC2172" w:rsidRDefault="00B52D66" w14:paraId="0262E060" w14:textId="77777777">
            <w:pPr>
              <w:spacing w:line="240" w:lineRule="auto"/>
              <w:jc w:val="right"/>
              <w:rPr>
                <w:rFonts w:cs="Arial"/>
                <w:szCs w:val="18"/>
                <w:lang w:val="en-GB" w:eastAsia="en-GB"/>
              </w:rPr>
            </w:pPr>
            <w:r w:rsidRPr="00B52D66">
              <w:rPr>
                <w:rFonts w:cs="Arial"/>
                <w:szCs w:val="18"/>
                <w:lang w:val="en-GB" w:eastAsia="en-GB"/>
              </w:rPr>
              <w:t>326</w:t>
            </w:r>
          </w:p>
        </w:tc>
        <w:tc>
          <w:tcPr>
            <w:tcW w:w="482" w:type="pct"/>
            <w:tcBorders>
              <w:top w:val="nil"/>
              <w:left w:val="nil"/>
              <w:bottom w:val="nil"/>
              <w:right w:val="nil"/>
            </w:tcBorders>
            <w:noWrap/>
            <w:vAlign w:val="bottom"/>
            <w:hideMark/>
          </w:tcPr>
          <w:p w:rsidRPr="00B52D66" w:rsidR="00B52D66" w:rsidP="00FC2172" w:rsidRDefault="00B52D66" w14:paraId="26467E98" w14:textId="77777777">
            <w:pPr>
              <w:spacing w:line="240" w:lineRule="auto"/>
              <w:jc w:val="right"/>
              <w:rPr>
                <w:rFonts w:cs="Arial"/>
                <w:szCs w:val="18"/>
                <w:lang w:val="en-GB" w:eastAsia="en-GB"/>
              </w:rPr>
            </w:pPr>
            <w:r w:rsidRPr="00B52D66">
              <w:rPr>
                <w:rFonts w:cs="Arial"/>
                <w:szCs w:val="18"/>
                <w:lang w:val="en-GB" w:eastAsia="en-GB"/>
              </w:rPr>
              <w:t>358</w:t>
            </w:r>
          </w:p>
        </w:tc>
        <w:tc>
          <w:tcPr>
            <w:tcW w:w="482" w:type="pct"/>
            <w:tcBorders>
              <w:top w:val="nil"/>
              <w:left w:val="nil"/>
              <w:bottom w:val="nil"/>
              <w:right w:val="nil"/>
            </w:tcBorders>
            <w:noWrap/>
            <w:vAlign w:val="bottom"/>
            <w:hideMark/>
          </w:tcPr>
          <w:p w:rsidRPr="00B52D66" w:rsidR="00B52D66" w:rsidP="00FC2172" w:rsidRDefault="00B52D66" w14:paraId="79735E24" w14:textId="77777777">
            <w:pPr>
              <w:spacing w:line="240" w:lineRule="auto"/>
              <w:jc w:val="right"/>
              <w:rPr>
                <w:rFonts w:cs="Arial"/>
                <w:szCs w:val="18"/>
                <w:lang w:val="en-GB" w:eastAsia="en-GB"/>
              </w:rPr>
            </w:pPr>
            <w:r w:rsidRPr="00B52D66">
              <w:rPr>
                <w:rFonts w:cs="Arial"/>
                <w:szCs w:val="18"/>
                <w:lang w:val="en-GB" w:eastAsia="en-GB"/>
              </w:rPr>
              <w:t>423</w:t>
            </w:r>
          </w:p>
        </w:tc>
        <w:tc>
          <w:tcPr>
            <w:tcW w:w="482" w:type="pct"/>
            <w:tcBorders>
              <w:top w:val="nil"/>
              <w:left w:val="nil"/>
              <w:bottom w:val="nil"/>
              <w:right w:val="nil"/>
            </w:tcBorders>
            <w:noWrap/>
            <w:vAlign w:val="bottom"/>
            <w:hideMark/>
          </w:tcPr>
          <w:p w:rsidRPr="00B52D66" w:rsidR="00B52D66" w:rsidP="00FC2172" w:rsidRDefault="00B52D66" w14:paraId="59EF8283" w14:textId="77777777">
            <w:pPr>
              <w:spacing w:line="240" w:lineRule="auto"/>
              <w:jc w:val="right"/>
              <w:rPr>
                <w:rFonts w:cs="Arial"/>
                <w:szCs w:val="18"/>
                <w:lang w:val="en-GB" w:eastAsia="en-GB"/>
              </w:rPr>
            </w:pPr>
            <w:r w:rsidRPr="00B52D66">
              <w:rPr>
                <w:rFonts w:cs="Arial"/>
                <w:szCs w:val="18"/>
                <w:lang w:val="en-GB" w:eastAsia="en-GB"/>
              </w:rPr>
              <w:t>419</w:t>
            </w:r>
          </w:p>
        </w:tc>
        <w:tc>
          <w:tcPr>
            <w:tcW w:w="482" w:type="pct"/>
            <w:tcBorders>
              <w:top w:val="nil"/>
              <w:left w:val="nil"/>
              <w:bottom w:val="nil"/>
              <w:right w:val="nil"/>
            </w:tcBorders>
            <w:noWrap/>
            <w:vAlign w:val="bottom"/>
            <w:hideMark/>
          </w:tcPr>
          <w:p w:rsidRPr="00B52D66" w:rsidR="00B52D66" w:rsidP="00FC2172" w:rsidRDefault="00B52D66" w14:paraId="546ECA1C" w14:textId="77777777">
            <w:pPr>
              <w:spacing w:line="240" w:lineRule="auto"/>
              <w:jc w:val="right"/>
              <w:rPr>
                <w:rFonts w:cs="Arial"/>
                <w:szCs w:val="18"/>
                <w:lang w:val="en-GB" w:eastAsia="en-GB"/>
              </w:rPr>
            </w:pPr>
            <w:r w:rsidRPr="00B52D66">
              <w:rPr>
                <w:rFonts w:cs="Arial"/>
                <w:szCs w:val="18"/>
                <w:lang w:val="en-GB" w:eastAsia="en-GB"/>
              </w:rPr>
              <w:t>537</w:t>
            </w:r>
          </w:p>
        </w:tc>
      </w:tr>
      <w:tr w:rsidRPr="00B52D66" w:rsidR="00B52D66" w:rsidTr="00B52D66" w14:paraId="2FB70EC0" w14:textId="77777777">
        <w:trPr>
          <w:trHeight w:val="280"/>
        </w:trPr>
        <w:tc>
          <w:tcPr>
            <w:tcW w:w="2105" w:type="pct"/>
            <w:tcBorders>
              <w:top w:val="nil"/>
              <w:left w:val="nil"/>
              <w:bottom w:val="nil"/>
              <w:right w:val="nil"/>
            </w:tcBorders>
            <w:noWrap/>
            <w:hideMark/>
          </w:tcPr>
          <w:p w:rsidRPr="00B52D66" w:rsidR="00B52D66" w:rsidP="00FC2172" w:rsidRDefault="00B52D66" w14:paraId="43AF6010" w14:textId="77777777">
            <w:pPr>
              <w:spacing w:line="240" w:lineRule="auto"/>
              <w:rPr>
                <w:rFonts w:cs="Arial"/>
                <w:szCs w:val="18"/>
                <w:lang w:val="en-GB" w:eastAsia="en-GB"/>
              </w:rPr>
            </w:pPr>
            <w:r w:rsidRPr="00B52D66">
              <w:rPr>
                <w:rFonts w:cs="Arial"/>
                <w:szCs w:val="18"/>
                <w:lang w:val="en-GB" w:eastAsia="en-GB"/>
              </w:rPr>
              <w:t xml:space="preserve">   M&amp;T</w:t>
            </w:r>
          </w:p>
        </w:tc>
        <w:tc>
          <w:tcPr>
            <w:tcW w:w="482" w:type="pct"/>
            <w:tcBorders>
              <w:top w:val="nil"/>
              <w:left w:val="nil"/>
              <w:bottom w:val="nil"/>
              <w:right w:val="nil"/>
            </w:tcBorders>
            <w:noWrap/>
            <w:vAlign w:val="bottom"/>
            <w:hideMark/>
          </w:tcPr>
          <w:p w:rsidRPr="00B52D66" w:rsidR="00B52D66" w:rsidP="00FC2172" w:rsidRDefault="00B52D66" w14:paraId="3A052EB6" w14:textId="77777777">
            <w:pPr>
              <w:spacing w:line="240" w:lineRule="auto"/>
              <w:jc w:val="right"/>
              <w:rPr>
                <w:rFonts w:cs="Arial"/>
                <w:szCs w:val="18"/>
                <w:lang w:val="en-GB" w:eastAsia="en-GB"/>
              </w:rPr>
            </w:pPr>
            <w:r w:rsidRPr="00B52D66">
              <w:rPr>
                <w:rFonts w:cs="Arial"/>
                <w:szCs w:val="18"/>
                <w:lang w:val="en-GB" w:eastAsia="en-GB"/>
              </w:rPr>
              <w:t>124</w:t>
            </w:r>
          </w:p>
        </w:tc>
        <w:tc>
          <w:tcPr>
            <w:tcW w:w="482" w:type="pct"/>
            <w:tcBorders>
              <w:top w:val="nil"/>
              <w:left w:val="nil"/>
              <w:bottom w:val="nil"/>
              <w:right w:val="nil"/>
            </w:tcBorders>
            <w:noWrap/>
            <w:vAlign w:val="bottom"/>
            <w:hideMark/>
          </w:tcPr>
          <w:p w:rsidRPr="00B52D66" w:rsidR="00B52D66" w:rsidP="00FC2172" w:rsidRDefault="00B52D66" w14:paraId="73DDE158" w14:textId="77777777">
            <w:pPr>
              <w:spacing w:line="240" w:lineRule="auto"/>
              <w:jc w:val="right"/>
              <w:rPr>
                <w:rFonts w:cs="Arial"/>
                <w:szCs w:val="18"/>
                <w:lang w:val="en-GB" w:eastAsia="en-GB"/>
              </w:rPr>
            </w:pPr>
            <w:r w:rsidRPr="00B52D66">
              <w:rPr>
                <w:rFonts w:cs="Arial"/>
                <w:szCs w:val="18"/>
                <w:lang w:val="en-GB" w:eastAsia="en-GB"/>
              </w:rPr>
              <w:t>103</w:t>
            </w:r>
          </w:p>
        </w:tc>
        <w:tc>
          <w:tcPr>
            <w:tcW w:w="482" w:type="pct"/>
            <w:tcBorders>
              <w:top w:val="nil"/>
              <w:left w:val="nil"/>
              <w:bottom w:val="nil"/>
              <w:right w:val="nil"/>
            </w:tcBorders>
            <w:noWrap/>
            <w:vAlign w:val="bottom"/>
            <w:hideMark/>
          </w:tcPr>
          <w:p w:rsidRPr="00B52D66" w:rsidR="00B52D66" w:rsidP="00FC2172" w:rsidRDefault="00B52D66" w14:paraId="221AD605" w14:textId="77777777">
            <w:pPr>
              <w:spacing w:line="240" w:lineRule="auto"/>
              <w:jc w:val="right"/>
              <w:rPr>
                <w:rFonts w:cs="Arial"/>
                <w:szCs w:val="18"/>
                <w:lang w:val="en-GB" w:eastAsia="en-GB"/>
              </w:rPr>
            </w:pPr>
            <w:r w:rsidRPr="00B52D66">
              <w:rPr>
                <w:rFonts w:cs="Arial"/>
                <w:szCs w:val="18"/>
                <w:lang w:val="en-GB" w:eastAsia="en-GB"/>
              </w:rPr>
              <w:t>128</w:t>
            </w:r>
          </w:p>
        </w:tc>
        <w:tc>
          <w:tcPr>
            <w:tcW w:w="482" w:type="pct"/>
            <w:tcBorders>
              <w:top w:val="nil"/>
              <w:left w:val="nil"/>
              <w:bottom w:val="nil"/>
              <w:right w:val="nil"/>
            </w:tcBorders>
            <w:noWrap/>
            <w:vAlign w:val="bottom"/>
            <w:hideMark/>
          </w:tcPr>
          <w:p w:rsidRPr="00B52D66" w:rsidR="00B52D66" w:rsidP="00FC2172" w:rsidRDefault="00B52D66" w14:paraId="7A914AC4" w14:textId="77777777">
            <w:pPr>
              <w:spacing w:line="240" w:lineRule="auto"/>
              <w:jc w:val="right"/>
              <w:rPr>
                <w:rFonts w:cs="Arial"/>
                <w:szCs w:val="18"/>
                <w:lang w:val="en-GB" w:eastAsia="en-GB"/>
              </w:rPr>
            </w:pPr>
            <w:r w:rsidRPr="00B52D66">
              <w:rPr>
                <w:rFonts w:cs="Arial"/>
                <w:szCs w:val="18"/>
                <w:lang w:val="en-GB" w:eastAsia="en-GB"/>
              </w:rPr>
              <w:t>112</w:t>
            </w:r>
          </w:p>
        </w:tc>
        <w:tc>
          <w:tcPr>
            <w:tcW w:w="482" w:type="pct"/>
            <w:tcBorders>
              <w:top w:val="nil"/>
              <w:left w:val="nil"/>
              <w:bottom w:val="nil"/>
              <w:right w:val="nil"/>
            </w:tcBorders>
            <w:noWrap/>
            <w:vAlign w:val="bottom"/>
            <w:hideMark/>
          </w:tcPr>
          <w:p w:rsidRPr="00B52D66" w:rsidR="00B52D66" w:rsidP="00FC2172" w:rsidRDefault="00B52D66" w14:paraId="32EE2FF3" w14:textId="77777777">
            <w:pPr>
              <w:spacing w:line="240" w:lineRule="auto"/>
              <w:jc w:val="right"/>
              <w:rPr>
                <w:rFonts w:cs="Arial"/>
                <w:szCs w:val="18"/>
                <w:lang w:val="en-GB" w:eastAsia="en-GB"/>
              </w:rPr>
            </w:pPr>
            <w:r w:rsidRPr="00B52D66">
              <w:rPr>
                <w:rFonts w:cs="Arial"/>
                <w:szCs w:val="18"/>
                <w:lang w:val="en-GB" w:eastAsia="en-GB"/>
              </w:rPr>
              <w:t>159</w:t>
            </w:r>
          </w:p>
        </w:tc>
        <w:tc>
          <w:tcPr>
            <w:tcW w:w="482" w:type="pct"/>
            <w:tcBorders>
              <w:top w:val="nil"/>
              <w:left w:val="nil"/>
              <w:bottom w:val="nil"/>
              <w:right w:val="nil"/>
            </w:tcBorders>
            <w:noWrap/>
            <w:vAlign w:val="bottom"/>
            <w:hideMark/>
          </w:tcPr>
          <w:p w:rsidRPr="00B52D66" w:rsidR="00B52D66" w:rsidP="00FC2172" w:rsidRDefault="00B52D66" w14:paraId="76B242BC" w14:textId="77777777">
            <w:pPr>
              <w:spacing w:line="240" w:lineRule="auto"/>
              <w:jc w:val="right"/>
              <w:rPr>
                <w:rFonts w:cs="Arial"/>
                <w:szCs w:val="18"/>
                <w:lang w:val="en-GB" w:eastAsia="en-GB"/>
              </w:rPr>
            </w:pPr>
            <w:r w:rsidRPr="00B52D66">
              <w:rPr>
                <w:rFonts w:cs="Arial"/>
                <w:szCs w:val="18"/>
                <w:lang w:val="en-GB" w:eastAsia="en-GB"/>
              </w:rPr>
              <w:t>153</w:t>
            </w:r>
          </w:p>
        </w:tc>
      </w:tr>
      <w:tr w:rsidRPr="00B52D66" w:rsidR="00B52D66" w:rsidTr="00B52D66" w14:paraId="464CC6DC" w14:textId="77777777">
        <w:trPr>
          <w:trHeight w:val="280"/>
        </w:trPr>
        <w:tc>
          <w:tcPr>
            <w:tcW w:w="2105" w:type="pct"/>
            <w:tcBorders>
              <w:top w:val="nil"/>
              <w:left w:val="nil"/>
              <w:bottom w:val="nil"/>
              <w:right w:val="nil"/>
            </w:tcBorders>
            <w:noWrap/>
            <w:hideMark/>
          </w:tcPr>
          <w:p w:rsidRPr="00B52D66" w:rsidR="00B52D66" w:rsidP="00FC2172" w:rsidRDefault="00B52D66" w14:paraId="1CBD9752" w14:textId="77777777">
            <w:pPr>
              <w:spacing w:line="240" w:lineRule="auto"/>
              <w:rPr>
                <w:rFonts w:cs="Arial"/>
                <w:szCs w:val="18"/>
                <w:lang w:val="en-GB" w:eastAsia="en-GB"/>
              </w:rPr>
            </w:pPr>
            <w:r w:rsidRPr="00B52D66">
              <w:rPr>
                <w:rFonts w:cs="Arial"/>
                <w:szCs w:val="18"/>
                <w:lang w:val="en-GB" w:eastAsia="en-GB"/>
              </w:rPr>
              <w:t xml:space="preserve">   PIE</w:t>
            </w:r>
          </w:p>
        </w:tc>
        <w:tc>
          <w:tcPr>
            <w:tcW w:w="482" w:type="pct"/>
            <w:tcBorders>
              <w:top w:val="nil"/>
              <w:left w:val="nil"/>
              <w:bottom w:val="nil"/>
              <w:right w:val="nil"/>
            </w:tcBorders>
            <w:noWrap/>
            <w:vAlign w:val="bottom"/>
            <w:hideMark/>
          </w:tcPr>
          <w:p w:rsidRPr="00B52D66" w:rsidR="00B52D66" w:rsidP="00FC2172" w:rsidRDefault="00B52D66" w14:paraId="3062E7C7" w14:textId="77777777">
            <w:pPr>
              <w:spacing w:line="240" w:lineRule="auto"/>
              <w:jc w:val="right"/>
              <w:rPr>
                <w:rFonts w:cs="Arial"/>
                <w:szCs w:val="18"/>
                <w:lang w:val="en-GB" w:eastAsia="en-GB"/>
              </w:rPr>
            </w:pPr>
            <w:r w:rsidRPr="00B52D66">
              <w:rPr>
                <w:rFonts w:cs="Arial"/>
                <w:szCs w:val="18"/>
                <w:lang w:val="en-GB" w:eastAsia="en-GB"/>
              </w:rPr>
              <w:t>669</w:t>
            </w:r>
          </w:p>
        </w:tc>
        <w:tc>
          <w:tcPr>
            <w:tcW w:w="482" w:type="pct"/>
            <w:tcBorders>
              <w:top w:val="nil"/>
              <w:left w:val="nil"/>
              <w:bottom w:val="nil"/>
              <w:right w:val="nil"/>
            </w:tcBorders>
            <w:noWrap/>
            <w:vAlign w:val="bottom"/>
            <w:hideMark/>
          </w:tcPr>
          <w:p w:rsidRPr="00B52D66" w:rsidR="00B52D66" w:rsidP="00FC2172" w:rsidRDefault="00B52D66" w14:paraId="5D627F9A" w14:textId="77777777">
            <w:pPr>
              <w:spacing w:line="240" w:lineRule="auto"/>
              <w:jc w:val="right"/>
              <w:rPr>
                <w:rFonts w:cs="Arial"/>
                <w:szCs w:val="18"/>
                <w:lang w:val="en-GB" w:eastAsia="en-GB"/>
              </w:rPr>
            </w:pPr>
            <w:r w:rsidRPr="00B52D66">
              <w:rPr>
                <w:rFonts w:cs="Arial"/>
                <w:szCs w:val="18"/>
                <w:lang w:val="en-GB" w:eastAsia="en-GB"/>
              </w:rPr>
              <w:t>575</w:t>
            </w:r>
          </w:p>
        </w:tc>
        <w:tc>
          <w:tcPr>
            <w:tcW w:w="482" w:type="pct"/>
            <w:tcBorders>
              <w:top w:val="nil"/>
              <w:left w:val="nil"/>
              <w:bottom w:val="nil"/>
              <w:right w:val="nil"/>
            </w:tcBorders>
            <w:noWrap/>
            <w:vAlign w:val="bottom"/>
            <w:hideMark/>
          </w:tcPr>
          <w:p w:rsidRPr="00B52D66" w:rsidR="00B52D66" w:rsidP="00FC2172" w:rsidRDefault="00B52D66" w14:paraId="26C62DA2" w14:textId="77777777">
            <w:pPr>
              <w:spacing w:line="240" w:lineRule="auto"/>
              <w:jc w:val="right"/>
              <w:rPr>
                <w:rFonts w:cs="Arial"/>
                <w:szCs w:val="18"/>
                <w:lang w:val="en-GB" w:eastAsia="en-GB"/>
              </w:rPr>
            </w:pPr>
            <w:r w:rsidRPr="00B52D66">
              <w:rPr>
                <w:rFonts w:cs="Arial"/>
                <w:szCs w:val="18"/>
                <w:lang w:val="en-GB" w:eastAsia="en-GB"/>
              </w:rPr>
              <w:t>590</w:t>
            </w:r>
          </w:p>
        </w:tc>
        <w:tc>
          <w:tcPr>
            <w:tcW w:w="482" w:type="pct"/>
            <w:tcBorders>
              <w:top w:val="nil"/>
              <w:left w:val="nil"/>
              <w:bottom w:val="nil"/>
              <w:right w:val="nil"/>
            </w:tcBorders>
            <w:noWrap/>
            <w:vAlign w:val="bottom"/>
            <w:hideMark/>
          </w:tcPr>
          <w:p w:rsidRPr="00B52D66" w:rsidR="00B52D66" w:rsidP="00FC2172" w:rsidRDefault="00B52D66" w14:paraId="1BD16EE7" w14:textId="77777777">
            <w:pPr>
              <w:spacing w:line="240" w:lineRule="auto"/>
              <w:jc w:val="right"/>
              <w:rPr>
                <w:rFonts w:cs="Arial"/>
                <w:szCs w:val="18"/>
                <w:lang w:val="en-GB" w:eastAsia="en-GB"/>
              </w:rPr>
            </w:pPr>
            <w:r w:rsidRPr="00B52D66">
              <w:rPr>
                <w:rFonts w:cs="Arial"/>
                <w:szCs w:val="18"/>
                <w:lang w:val="en-GB" w:eastAsia="en-GB"/>
              </w:rPr>
              <w:t>613</w:t>
            </w:r>
          </w:p>
        </w:tc>
        <w:tc>
          <w:tcPr>
            <w:tcW w:w="482" w:type="pct"/>
            <w:tcBorders>
              <w:top w:val="nil"/>
              <w:left w:val="nil"/>
              <w:bottom w:val="nil"/>
              <w:right w:val="nil"/>
            </w:tcBorders>
            <w:noWrap/>
            <w:vAlign w:val="bottom"/>
            <w:hideMark/>
          </w:tcPr>
          <w:p w:rsidRPr="00B52D66" w:rsidR="00B52D66" w:rsidP="00FC2172" w:rsidRDefault="00B52D66" w14:paraId="4C985F98" w14:textId="77777777">
            <w:pPr>
              <w:spacing w:line="240" w:lineRule="auto"/>
              <w:jc w:val="right"/>
              <w:rPr>
                <w:rFonts w:cs="Arial"/>
                <w:szCs w:val="18"/>
                <w:lang w:val="en-GB" w:eastAsia="en-GB"/>
              </w:rPr>
            </w:pPr>
            <w:r w:rsidRPr="00B52D66">
              <w:rPr>
                <w:rFonts w:cs="Arial"/>
                <w:szCs w:val="18"/>
                <w:lang w:val="en-GB" w:eastAsia="en-GB"/>
              </w:rPr>
              <w:t>708</w:t>
            </w:r>
          </w:p>
        </w:tc>
        <w:tc>
          <w:tcPr>
            <w:tcW w:w="482" w:type="pct"/>
            <w:tcBorders>
              <w:top w:val="nil"/>
              <w:left w:val="nil"/>
              <w:bottom w:val="nil"/>
              <w:right w:val="nil"/>
            </w:tcBorders>
            <w:noWrap/>
            <w:vAlign w:val="bottom"/>
            <w:hideMark/>
          </w:tcPr>
          <w:p w:rsidRPr="00B52D66" w:rsidR="00B52D66" w:rsidP="00FC2172" w:rsidRDefault="00B52D66" w14:paraId="0C983598" w14:textId="77777777">
            <w:pPr>
              <w:spacing w:line="240" w:lineRule="auto"/>
              <w:jc w:val="right"/>
              <w:rPr>
                <w:rFonts w:cs="Arial"/>
                <w:szCs w:val="18"/>
                <w:lang w:val="en-GB" w:eastAsia="en-GB"/>
              </w:rPr>
            </w:pPr>
            <w:r w:rsidRPr="00B52D66">
              <w:rPr>
                <w:rFonts w:cs="Arial"/>
                <w:szCs w:val="18"/>
                <w:lang w:val="en-GB" w:eastAsia="en-GB"/>
              </w:rPr>
              <w:t>715</w:t>
            </w:r>
          </w:p>
        </w:tc>
      </w:tr>
      <w:tr w:rsidRPr="00B52D66" w:rsidR="00B52D66" w:rsidTr="00B52D66" w14:paraId="5F9EBF3F"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0A75BA12" w14:textId="77777777">
            <w:pPr>
              <w:spacing w:line="240" w:lineRule="auto"/>
              <w:rPr>
                <w:rFonts w:cs="Arial"/>
                <w:b/>
                <w:bCs/>
                <w:szCs w:val="18"/>
                <w:lang w:val="en-GB" w:eastAsia="en-GB"/>
              </w:rPr>
            </w:pPr>
            <w:r w:rsidRPr="00B52D66">
              <w:rPr>
                <w:rFonts w:cs="Arial"/>
                <w:b/>
                <w:bCs/>
                <w:szCs w:val="18"/>
                <w:lang w:val="en-GB" w:eastAsia="en-GB"/>
              </w:rPr>
              <w:t xml:space="preserve">  Totaal niet-techniek</w:t>
            </w:r>
          </w:p>
        </w:tc>
        <w:tc>
          <w:tcPr>
            <w:tcW w:w="482" w:type="pct"/>
            <w:tcBorders>
              <w:top w:val="nil"/>
              <w:left w:val="nil"/>
              <w:bottom w:val="nil"/>
              <w:right w:val="nil"/>
            </w:tcBorders>
            <w:noWrap/>
            <w:vAlign w:val="bottom"/>
            <w:hideMark/>
          </w:tcPr>
          <w:p w:rsidRPr="00B52D66" w:rsidR="00B52D66" w:rsidP="00FC2172" w:rsidRDefault="00B52D66" w14:paraId="616FF757" w14:textId="77777777">
            <w:pPr>
              <w:spacing w:line="240" w:lineRule="auto"/>
              <w:jc w:val="right"/>
              <w:rPr>
                <w:rFonts w:cs="Arial"/>
                <w:b/>
                <w:bCs/>
                <w:szCs w:val="18"/>
                <w:lang w:val="en-GB" w:eastAsia="en-GB"/>
              </w:rPr>
            </w:pPr>
            <w:r w:rsidRPr="00B52D66">
              <w:rPr>
                <w:rFonts w:cs="Arial"/>
                <w:b/>
                <w:bCs/>
                <w:szCs w:val="18"/>
                <w:lang w:val="en-GB" w:eastAsia="en-GB"/>
              </w:rPr>
              <w:t>14.398</w:t>
            </w:r>
          </w:p>
        </w:tc>
        <w:tc>
          <w:tcPr>
            <w:tcW w:w="482" w:type="pct"/>
            <w:tcBorders>
              <w:top w:val="nil"/>
              <w:left w:val="nil"/>
              <w:bottom w:val="nil"/>
              <w:right w:val="nil"/>
            </w:tcBorders>
            <w:noWrap/>
            <w:vAlign w:val="bottom"/>
            <w:hideMark/>
          </w:tcPr>
          <w:p w:rsidRPr="00B52D66" w:rsidR="00B52D66" w:rsidP="00FC2172" w:rsidRDefault="00B52D66" w14:paraId="1F70A44B" w14:textId="77777777">
            <w:pPr>
              <w:spacing w:line="240" w:lineRule="auto"/>
              <w:jc w:val="right"/>
              <w:rPr>
                <w:rFonts w:cs="Arial"/>
                <w:b/>
                <w:bCs/>
                <w:szCs w:val="18"/>
                <w:lang w:val="en-GB" w:eastAsia="en-GB"/>
              </w:rPr>
            </w:pPr>
            <w:r w:rsidRPr="00B52D66">
              <w:rPr>
                <w:rFonts w:cs="Arial"/>
                <w:b/>
                <w:bCs/>
                <w:szCs w:val="18"/>
                <w:lang w:val="en-GB" w:eastAsia="en-GB"/>
              </w:rPr>
              <w:t>14.041</w:t>
            </w:r>
          </w:p>
        </w:tc>
        <w:tc>
          <w:tcPr>
            <w:tcW w:w="482" w:type="pct"/>
            <w:tcBorders>
              <w:top w:val="nil"/>
              <w:left w:val="nil"/>
              <w:bottom w:val="nil"/>
              <w:right w:val="nil"/>
            </w:tcBorders>
            <w:noWrap/>
            <w:vAlign w:val="bottom"/>
            <w:hideMark/>
          </w:tcPr>
          <w:p w:rsidRPr="00B52D66" w:rsidR="00B52D66" w:rsidP="00FC2172" w:rsidRDefault="00B52D66" w14:paraId="3F5B8300" w14:textId="77777777">
            <w:pPr>
              <w:spacing w:line="240" w:lineRule="auto"/>
              <w:jc w:val="right"/>
              <w:rPr>
                <w:rFonts w:cs="Arial"/>
                <w:b/>
                <w:bCs/>
                <w:szCs w:val="18"/>
                <w:lang w:val="en-GB" w:eastAsia="en-GB"/>
              </w:rPr>
            </w:pPr>
            <w:r w:rsidRPr="00B52D66">
              <w:rPr>
                <w:rFonts w:cs="Arial"/>
                <w:b/>
                <w:bCs/>
                <w:szCs w:val="18"/>
                <w:lang w:val="en-GB" w:eastAsia="en-GB"/>
              </w:rPr>
              <w:t>13.183</w:t>
            </w:r>
          </w:p>
        </w:tc>
        <w:tc>
          <w:tcPr>
            <w:tcW w:w="482" w:type="pct"/>
            <w:tcBorders>
              <w:top w:val="nil"/>
              <w:left w:val="nil"/>
              <w:bottom w:val="nil"/>
              <w:right w:val="nil"/>
            </w:tcBorders>
            <w:noWrap/>
            <w:vAlign w:val="bottom"/>
            <w:hideMark/>
          </w:tcPr>
          <w:p w:rsidRPr="00B52D66" w:rsidR="00B52D66" w:rsidP="00FC2172" w:rsidRDefault="00B52D66" w14:paraId="34BD61DB" w14:textId="77777777">
            <w:pPr>
              <w:spacing w:line="240" w:lineRule="auto"/>
              <w:jc w:val="right"/>
              <w:rPr>
                <w:rFonts w:cs="Arial"/>
                <w:b/>
                <w:bCs/>
                <w:szCs w:val="18"/>
                <w:lang w:val="en-GB" w:eastAsia="en-GB"/>
              </w:rPr>
            </w:pPr>
            <w:r w:rsidRPr="00B52D66">
              <w:rPr>
                <w:rFonts w:cs="Arial"/>
                <w:b/>
                <w:bCs/>
                <w:szCs w:val="18"/>
                <w:lang w:val="en-GB" w:eastAsia="en-GB"/>
              </w:rPr>
              <w:t>14.168</w:t>
            </w:r>
          </w:p>
        </w:tc>
        <w:tc>
          <w:tcPr>
            <w:tcW w:w="482" w:type="pct"/>
            <w:tcBorders>
              <w:top w:val="nil"/>
              <w:left w:val="nil"/>
              <w:bottom w:val="nil"/>
              <w:right w:val="nil"/>
            </w:tcBorders>
            <w:noWrap/>
            <w:vAlign w:val="bottom"/>
            <w:hideMark/>
          </w:tcPr>
          <w:p w:rsidRPr="00B52D66" w:rsidR="00B52D66" w:rsidP="00FC2172" w:rsidRDefault="00B52D66" w14:paraId="605FD3A4" w14:textId="77777777">
            <w:pPr>
              <w:spacing w:line="240" w:lineRule="auto"/>
              <w:jc w:val="right"/>
              <w:rPr>
                <w:rFonts w:cs="Arial"/>
                <w:b/>
                <w:bCs/>
                <w:szCs w:val="18"/>
                <w:lang w:val="en-GB" w:eastAsia="en-GB"/>
              </w:rPr>
            </w:pPr>
            <w:r w:rsidRPr="00B52D66">
              <w:rPr>
                <w:rFonts w:cs="Arial"/>
                <w:b/>
                <w:bCs/>
                <w:szCs w:val="18"/>
                <w:lang w:val="en-GB" w:eastAsia="en-GB"/>
              </w:rPr>
              <w:t>14.325</w:t>
            </w:r>
          </w:p>
        </w:tc>
        <w:tc>
          <w:tcPr>
            <w:tcW w:w="482" w:type="pct"/>
            <w:tcBorders>
              <w:top w:val="nil"/>
              <w:left w:val="nil"/>
              <w:bottom w:val="nil"/>
              <w:right w:val="nil"/>
            </w:tcBorders>
            <w:noWrap/>
            <w:vAlign w:val="bottom"/>
            <w:hideMark/>
          </w:tcPr>
          <w:p w:rsidRPr="00B52D66" w:rsidR="00B52D66" w:rsidP="00FC2172" w:rsidRDefault="00B52D66" w14:paraId="5747268C" w14:textId="77777777">
            <w:pPr>
              <w:spacing w:line="240" w:lineRule="auto"/>
              <w:jc w:val="right"/>
              <w:rPr>
                <w:rFonts w:cs="Arial"/>
                <w:b/>
                <w:bCs/>
                <w:szCs w:val="18"/>
                <w:lang w:val="en-GB" w:eastAsia="en-GB"/>
              </w:rPr>
            </w:pPr>
            <w:r w:rsidRPr="00B52D66">
              <w:rPr>
                <w:rFonts w:cs="Arial"/>
                <w:b/>
                <w:bCs/>
                <w:szCs w:val="18"/>
                <w:lang w:val="en-GB" w:eastAsia="en-GB"/>
              </w:rPr>
              <w:t>13.984</w:t>
            </w:r>
          </w:p>
        </w:tc>
      </w:tr>
      <w:tr w:rsidRPr="00B52D66" w:rsidR="00B52D66" w:rsidTr="00B52D66" w14:paraId="69931FF8"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681BAD6D" w14:textId="77777777">
            <w:pPr>
              <w:spacing w:line="240" w:lineRule="auto"/>
              <w:rPr>
                <w:rFonts w:cs="Arial"/>
                <w:szCs w:val="18"/>
                <w:lang w:val="en-GB" w:eastAsia="en-GB"/>
              </w:rPr>
            </w:pPr>
            <w:r w:rsidRPr="00B52D66">
              <w:rPr>
                <w:rFonts w:cs="Arial"/>
                <w:szCs w:val="18"/>
                <w:lang w:val="en-GB" w:eastAsia="en-GB"/>
              </w:rPr>
              <w:t xml:space="preserve">   D&amp;P</w:t>
            </w:r>
          </w:p>
        </w:tc>
        <w:tc>
          <w:tcPr>
            <w:tcW w:w="482" w:type="pct"/>
            <w:tcBorders>
              <w:top w:val="nil"/>
              <w:left w:val="nil"/>
              <w:bottom w:val="nil"/>
              <w:right w:val="nil"/>
            </w:tcBorders>
            <w:noWrap/>
            <w:vAlign w:val="bottom"/>
            <w:hideMark/>
          </w:tcPr>
          <w:p w:rsidRPr="00B52D66" w:rsidR="00B52D66" w:rsidP="00FC2172" w:rsidRDefault="00B52D66" w14:paraId="08D90AC3" w14:textId="77777777">
            <w:pPr>
              <w:spacing w:line="240" w:lineRule="auto"/>
              <w:jc w:val="right"/>
              <w:rPr>
                <w:rFonts w:cs="Arial"/>
                <w:szCs w:val="18"/>
                <w:lang w:val="en-GB" w:eastAsia="en-GB"/>
              </w:rPr>
            </w:pPr>
            <w:r w:rsidRPr="00B52D66">
              <w:rPr>
                <w:rFonts w:cs="Arial"/>
                <w:szCs w:val="18"/>
                <w:lang w:val="en-GB" w:eastAsia="en-GB"/>
              </w:rPr>
              <w:t>9.177</w:t>
            </w:r>
          </w:p>
        </w:tc>
        <w:tc>
          <w:tcPr>
            <w:tcW w:w="482" w:type="pct"/>
            <w:tcBorders>
              <w:top w:val="nil"/>
              <w:left w:val="nil"/>
              <w:bottom w:val="nil"/>
              <w:right w:val="nil"/>
            </w:tcBorders>
            <w:noWrap/>
            <w:vAlign w:val="bottom"/>
            <w:hideMark/>
          </w:tcPr>
          <w:p w:rsidRPr="00B52D66" w:rsidR="00B52D66" w:rsidP="00FC2172" w:rsidRDefault="00B52D66" w14:paraId="097E9E5B" w14:textId="77777777">
            <w:pPr>
              <w:spacing w:line="240" w:lineRule="auto"/>
              <w:jc w:val="right"/>
              <w:rPr>
                <w:rFonts w:cs="Arial"/>
                <w:szCs w:val="18"/>
                <w:lang w:val="en-GB" w:eastAsia="en-GB"/>
              </w:rPr>
            </w:pPr>
            <w:r w:rsidRPr="00B52D66">
              <w:rPr>
                <w:rFonts w:cs="Arial"/>
                <w:szCs w:val="18"/>
                <w:lang w:val="en-GB" w:eastAsia="en-GB"/>
              </w:rPr>
              <w:t>9.019</w:t>
            </w:r>
          </w:p>
        </w:tc>
        <w:tc>
          <w:tcPr>
            <w:tcW w:w="482" w:type="pct"/>
            <w:tcBorders>
              <w:top w:val="nil"/>
              <w:left w:val="nil"/>
              <w:bottom w:val="nil"/>
              <w:right w:val="nil"/>
            </w:tcBorders>
            <w:noWrap/>
            <w:vAlign w:val="bottom"/>
            <w:hideMark/>
          </w:tcPr>
          <w:p w:rsidRPr="00B52D66" w:rsidR="00B52D66" w:rsidP="00FC2172" w:rsidRDefault="00B52D66" w14:paraId="598DAF6C" w14:textId="77777777">
            <w:pPr>
              <w:spacing w:line="240" w:lineRule="auto"/>
              <w:jc w:val="right"/>
              <w:rPr>
                <w:rFonts w:cs="Arial"/>
                <w:szCs w:val="18"/>
                <w:lang w:val="en-GB" w:eastAsia="en-GB"/>
              </w:rPr>
            </w:pPr>
            <w:r w:rsidRPr="00B52D66">
              <w:rPr>
                <w:rFonts w:cs="Arial"/>
                <w:szCs w:val="18"/>
                <w:lang w:val="en-GB" w:eastAsia="en-GB"/>
              </w:rPr>
              <w:t>7.894</w:t>
            </w:r>
          </w:p>
        </w:tc>
        <w:tc>
          <w:tcPr>
            <w:tcW w:w="482" w:type="pct"/>
            <w:tcBorders>
              <w:top w:val="nil"/>
              <w:left w:val="nil"/>
              <w:bottom w:val="nil"/>
              <w:right w:val="nil"/>
            </w:tcBorders>
            <w:noWrap/>
            <w:vAlign w:val="bottom"/>
            <w:hideMark/>
          </w:tcPr>
          <w:p w:rsidRPr="00B52D66" w:rsidR="00B52D66" w:rsidP="00FC2172" w:rsidRDefault="00B52D66" w14:paraId="2B8F9C13" w14:textId="77777777">
            <w:pPr>
              <w:spacing w:line="240" w:lineRule="auto"/>
              <w:jc w:val="right"/>
              <w:rPr>
                <w:rFonts w:cs="Arial"/>
                <w:szCs w:val="18"/>
                <w:lang w:val="en-GB" w:eastAsia="en-GB"/>
              </w:rPr>
            </w:pPr>
            <w:r w:rsidRPr="00B52D66">
              <w:rPr>
                <w:rFonts w:cs="Arial"/>
                <w:szCs w:val="18"/>
                <w:lang w:val="en-GB" w:eastAsia="en-GB"/>
              </w:rPr>
              <w:t>7.961</w:t>
            </w:r>
          </w:p>
        </w:tc>
        <w:tc>
          <w:tcPr>
            <w:tcW w:w="482" w:type="pct"/>
            <w:tcBorders>
              <w:top w:val="nil"/>
              <w:left w:val="nil"/>
              <w:bottom w:val="nil"/>
              <w:right w:val="nil"/>
            </w:tcBorders>
            <w:noWrap/>
            <w:vAlign w:val="bottom"/>
            <w:hideMark/>
          </w:tcPr>
          <w:p w:rsidRPr="00B52D66" w:rsidR="00B52D66" w:rsidP="00FC2172" w:rsidRDefault="00B52D66" w14:paraId="3F635693" w14:textId="77777777">
            <w:pPr>
              <w:spacing w:line="240" w:lineRule="auto"/>
              <w:jc w:val="right"/>
              <w:rPr>
                <w:rFonts w:cs="Arial"/>
                <w:szCs w:val="18"/>
                <w:lang w:val="en-GB" w:eastAsia="en-GB"/>
              </w:rPr>
            </w:pPr>
            <w:r w:rsidRPr="00B52D66">
              <w:rPr>
                <w:rFonts w:cs="Arial"/>
                <w:szCs w:val="18"/>
                <w:lang w:val="en-GB" w:eastAsia="en-GB"/>
              </w:rPr>
              <w:t>7.945</w:t>
            </w:r>
          </w:p>
        </w:tc>
        <w:tc>
          <w:tcPr>
            <w:tcW w:w="482" w:type="pct"/>
            <w:tcBorders>
              <w:top w:val="nil"/>
              <w:left w:val="nil"/>
              <w:bottom w:val="nil"/>
              <w:right w:val="nil"/>
            </w:tcBorders>
            <w:noWrap/>
            <w:vAlign w:val="bottom"/>
            <w:hideMark/>
          </w:tcPr>
          <w:p w:rsidRPr="00B52D66" w:rsidR="00B52D66" w:rsidP="00FC2172" w:rsidRDefault="00B52D66" w14:paraId="60FD1ECA" w14:textId="77777777">
            <w:pPr>
              <w:spacing w:line="240" w:lineRule="auto"/>
              <w:jc w:val="right"/>
              <w:rPr>
                <w:rFonts w:cs="Arial"/>
                <w:szCs w:val="18"/>
                <w:lang w:val="en-GB" w:eastAsia="en-GB"/>
              </w:rPr>
            </w:pPr>
            <w:r w:rsidRPr="00B52D66">
              <w:rPr>
                <w:rFonts w:cs="Arial"/>
                <w:szCs w:val="18"/>
                <w:lang w:val="en-GB" w:eastAsia="en-GB"/>
              </w:rPr>
              <w:t>7.473</w:t>
            </w:r>
          </w:p>
        </w:tc>
      </w:tr>
      <w:tr w:rsidRPr="00B52D66" w:rsidR="00B52D66" w:rsidTr="00B52D66" w14:paraId="11469B1A"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4C3E5F36" w14:textId="77777777">
            <w:pPr>
              <w:spacing w:line="240" w:lineRule="auto"/>
              <w:rPr>
                <w:rFonts w:cs="Arial"/>
                <w:szCs w:val="18"/>
                <w:lang w:val="en-GB" w:eastAsia="en-GB"/>
              </w:rPr>
            </w:pPr>
            <w:r w:rsidRPr="00B52D66">
              <w:rPr>
                <w:rFonts w:cs="Arial"/>
                <w:szCs w:val="18"/>
                <w:lang w:val="en-GB" w:eastAsia="en-GB"/>
              </w:rPr>
              <w:t xml:space="preserve">   E&amp;O</w:t>
            </w:r>
          </w:p>
        </w:tc>
        <w:tc>
          <w:tcPr>
            <w:tcW w:w="482" w:type="pct"/>
            <w:tcBorders>
              <w:top w:val="nil"/>
              <w:left w:val="nil"/>
              <w:bottom w:val="nil"/>
              <w:right w:val="nil"/>
            </w:tcBorders>
            <w:noWrap/>
            <w:vAlign w:val="bottom"/>
            <w:hideMark/>
          </w:tcPr>
          <w:p w:rsidRPr="00B52D66" w:rsidR="00B52D66" w:rsidP="00FC2172" w:rsidRDefault="00B52D66" w14:paraId="0FD76699" w14:textId="77777777">
            <w:pPr>
              <w:spacing w:line="240" w:lineRule="auto"/>
              <w:jc w:val="right"/>
              <w:rPr>
                <w:rFonts w:cs="Arial"/>
                <w:szCs w:val="18"/>
                <w:lang w:val="en-GB" w:eastAsia="en-GB"/>
              </w:rPr>
            </w:pPr>
            <w:r w:rsidRPr="00B52D66">
              <w:rPr>
                <w:rFonts w:cs="Arial"/>
                <w:szCs w:val="18"/>
                <w:lang w:val="en-GB" w:eastAsia="en-GB"/>
              </w:rPr>
              <w:t>1.271</w:t>
            </w:r>
          </w:p>
        </w:tc>
        <w:tc>
          <w:tcPr>
            <w:tcW w:w="482" w:type="pct"/>
            <w:tcBorders>
              <w:top w:val="nil"/>
              <w:left w:val="nil"/>
              <w:bottom w:val="nil"/>
              <w:right w:val="nil"/>
            </w:tcBorders>
            <w:noWrap/>
            <w:vAlign w:val="bottom"/>
            <w:hideMark/>
          </w:tcPr>
          <w:p w:rsidRPr="00B52D66" w:rsidR="00B52D66" w:rsidP="00FC2172" w:rsidRDefault="00B52D66" w14:paraId="5587B61A" w14:textId="77777777">
            <w:pPr>
              <w:spacing w:line="240" w:lineRule="auto"/>
              <w:jc w:val="right"/>
              <w:rPr>
                <w:rFonts w:cs="Arial"/>
                <w:szCs w:val="18"/>
                <w:lang w:val="en-GB" w:eastAsia="en-GB"/>
              </w:rPr>
            </w:pPr>
            <w:r w:rsidRPr="00B52D66">
              <w:rPr>
                <w:rFonts w:cs="Arial"/>
                <w:szCs w:val="18"/>
                <w:lang w:val="en-GB" w:eastAsia="en-GB"/>
              </w:rPr>
              <w:t>1.197</w:t>
            </w:r>
          </w:p>
        </w:tc>
        <w:tc>
          <w:tcPr>
            <w:tcW w:w="482" w:type="pct"/>
            <w:tcBorders>
              <w:top w:val="nil"/>
              <w:left w:val="nil"/>
              <w:bottom w:val="nil"/>
              <w:right w:val="nil"/>
            </w:tcBorders>
            <w:noWrap/>
            <w:vAlign w:val="bottom"/>
            <w:hideMark/>
          </w:tcPr>
          <w:p w:rsidRPr="00B52D66" w:rsidR="00B52D66" w:rsidP="00FC2172" w:rsidRDefault="00B52D66" w14:paraId="5261D7F7" w14:textId="77777777">
            <w:pPr>
              <w:spacing w:line="240" w:lineRule="auto"/>
              <w:jc w:val="right"/>
              <w:rPr>
                <w:rFonts w:cs="Arial"/>
                <w:szCs w:val="18"/>
                <w:lang w:val="en-GB" w:eastAsia="en-GB"/>
              </w:rPr>
            </w:pPr>
            <w:r w:rsidRPr="00B52D66">
              <w:rPr>
                <w:rFonts w:cs="Arial"/>
                <w:szCs w:val="18"/>
                <w:lang w:val="en-GB" w:eastAsia="en-GB"/>
              </w:rPr>
              <w:t>1.166</w:t>
            </w:r>
          </w:p>
        </w:tc>
        <w:tc>
          <w:tcPr>
            <w:tcW w:w="482" w:type="pct"/>
            <w:tcBorders>
              <w:top w:val="nil"/>
              <w:left w:val="nil"/>
              <w:bottom w:val="nil"/>
              <w:right w:val="nil"/>
            </w:tcBorders>
            <w:noWrap/>
            <w:vAlign w:val="bottom"/>
            <w:hideMark/>
          </w:tcPr>
          <w:p w:rsidRPr="00B52D66" w:rsidR="00B52D66" w:rsidP="00FC2172" w:rsidRDefault="00B52D66" w14:paraId="0EA6F460" w14:textId="77777777">
            <w:pPr>
              <w:spacing w:line="240" w:lineRule="auto"/>
              <w:jc w:val="right"/>
              <w:rPr>
                <w:rFonts w:cs="Arial"/>
                <w:szCs w:val="18"/>
                <w:lang w:val="en-GB" w:eastAsia="en-GB"/>
              </w:rPr>
            </w:pPr>
            <w:r w:rsidRPr="00B52D66">
              <w:rPr>
                <w:rFonts w:cs="Arial"/>
                <w:szCs w:val="18"/>
                <w:lang w:val="en-GB" w:eastAsia="en-GB"/>
              </w:rPr>
              <w:t>1.322</w:t>
            </w:r>
          </w:p>
        </w:tc>
        <w:tc>
          <w:tcPr>
            <w:tcW w:w="482" w:type="pct"/>
            <w:tcBorders>
              <w:top w:val="nil"/>
              <w:left w:val="nil"/>
              <w:bottom w:val="nil"/>
              <w:right w:val="nil"/>
            </w:tcBorders>
            <w:noWrap/>
            <w:vAlign w:val="bottom"/>
            <w:hideMark/>
          </w:tcPr>
          <w:p w:rsidRPr="00B52D66" w:rsidR="00B52D66" w:rsidP="00FC2172" w:rsidRDefault="00B52D66" w14:paraId="35F9D1F4" w14:textId="77777777">
            <w:pPr>
              <w:spacing w:line="240" w:lineRule="auto"/>
              <w:jc w:val="right"/>
              <w:rPr>
                <w:rFonts w:cs="Arial"/>
                <w:szCs w:val="18"/>
                <w:lang w:val="en-GB" w:eastAsia="en-GB"/>
              </w:rPr>
            </w:pPr>
            <w:r w:rsidRPr="00B52D66">
              <w:rPr>
                <w:rFonts w:cs="Arial"/>
                <w:szCs w:val="18"/>
                <w:lang w:val="en-GB" w:eastAsia="en-GB"/>
              </w:rPr>
              <w:t>1.237</w:t>
            </w:r>
          </w:p>
        </w:tc>
        <w:tc>
          <w:tcPr>
            <w:tcW w:w="482" w:type="pct"/>
            <w:tcBorders>
              <w:top w:val="nil"/>
              <w:left w:val="nil"/>
              <w:bottom w:val="nil"/>
              <w:right w:val="nil"/>
            </w:tcBorders>
            <w:noWrap/>
            <w:vAlign w:val="bottom"/>
            <w:hideMark/>
          </w:tcPr>
          <w:p w:rsidRPr="00B52D66" w:rsidR="00B52D66" w:rsidP="00FC2172" w:rsidRDefault="00B52D66" w14:paraId="4BF857A1" w14:textId="77777777">
            <w:pPr>
              <w:spacing w:line="240" w:lineRule="auto"/>
              <w:jc w:val="right"/>
              <w:rPr>
                <w:rFonts w:cs="Arial"/>
                <w:szCs w:val="18"/>
                <w:lang w:val="en-GB" w:eastAsia="en-GB"/>
              </w:rPr>
            </w:pPr>
            <w:r w:rsidRPr="00B52D66">
              <w:rPr>
                <w:rFonts w:cs="Arial"/>
                <w:szCs w:val="18"/>
                <w:lang w:val="en-GB" w:eastAsia="en-GB"/>
              </w:rPr>
              <w:t>1.173</w:t>
            </w:r>
          </w:p>
        </w:tc>
      </w:tr>
      <w:tr w:rsidRPr="00B52D66" w:rsidR="00B52D66" w:rsidTr="00B52D66" w14:paraId="4392ACAF"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5CB8DF3A" w14:textId="77777777">
            <w:pPr>
              <w:spacing w:line="240" w:lineRule="auto"/>
              <w:rPr>
                <w:rFonts w:cs="Arial"/>
                <w:szCs w:val="18"/>
                <w:lang w:val="en-GB" w:eastAsia="en-GB"/>
              </w:rPr>
            </w:pPr>
            <w:r w:rsidRPr="00B52D66">
              <w:rPr>
                <w:rFonts w:cs="Arial"/>
                <w:szCs w:val="18"/>
                <w:lang w:val="en-GB" w:eastAsia="en-GB"/>
              </w:rPr>
              <w:lastRenderedPageBreak/>
              <w:t xml:space="preserve">   Groen</w:t>
            </w:r>
          </w:p>
        </w:tc>
        <w:tc>
          <w:tcPr>
            <w:tcW w:w="482" w:type="pct"/>
            <w:tcBorders>
              <w:top w:val="nil"/>
              <w:left w:val="nil"/>
              <w:bottom w:val="nil"/>
              <w:right w:val="nil"/>
            </w:tcBorders>
            <w:noWrap/>
            <w:vAlign w:val="bottom"/>
            <w:hideMark/>
          </w:tcPr>
          <w:p w:rsidRPr="00B52D66" w:rsidR="00B52D66" w:rsidP="00FC2172" w:rsidRDefault="00B52D66" w14:paraId="3B58A969" w14:textId="77777777">
            <w:pPr>
              <w:spacing w:line="240" w:lineRule="auto"/>
              <w:jc w:val="right"/>
              <w:rPr>
                <w:rFonts w:cs="Arial"/>
                <w:szCs w:val="18"/>
                <w:lang w:val="en-GB" w:eastAsia="en-GB"/>
              </w:rPr>
            </w:pPr>
            <w:r w:rsidRPr="00B52D66">
              <w:rPr>
                <w:rFonts w:cs="Arial"/>
                <w:szCs w:val="18"/>
                <w:lang w:val="en-GB" w:eastAsia="en-GB"/>
              </w:rPr>
              <w:t>2.203</w:t>
            </w:r>
          </w:p>
        </w:tc>
        <w:tc>
          <w:tcPr>
            <w:tcW w:w="482" w:type="pct"/>
            <w:tcBorders>
              <w:top w:val="nil"/>
              <w:left w:val="nil"/>
              <w:bottom w:val="nil"/>
              <w:right w:val="nil"/>
            </w:tcBorders>
            <w:noWrap/>
            <w:vAlign w:val="bottom"/>
            <w:hideMark/>
          </w:tcPr>
          <w:p w:rsidRPr="00B52D66" w:rsidR="00B52D66" w:rsidP="00FC2172" w:rsidRDefault="00B52D66" w14:paraId="5367E5DA" w14:textId="77777777">
            <w:pPr>
              <w:spacing w:line="240" w:lineRule="auto"/>
              <w:jc w:val="right"/>
              <w:rPr>
                <w:rFonts w:cs="Arial"/>
                <w:szCs w:val="18"/>
                <w:lang w:val="en-GB" w:eastAsia="en-GB"/>
              </w:rPr>
            </w:pPr>
            <w:r w:rsidRPr="00B52D66">
              <w:rPr>
                <w:rFonts w:cs="Arial"/>
                <w:szCs w:val="18"/>
                <w:lang w:val="en-GB" w:eastAsia="en-GB"/>
              </w:rPr>
              <w:t>2.139</w:t>
            </w:r>
          </w:p>
        </w:tc>
        <w:tc>
          <w:tcPr>
            <w:tcW w:w="482" w:type="pct"/>
            <w:tcBorders>
              <w:top w:val="nil"/>
              <w:left w:val="nil"/>
              <w:bottom w:val="nil"/>
              <w:right w:val="nil"/>
            </w:tcBorders>
            <w:noWrap/>
            <w:vAlign w:val="bottom"/>
            <w:hideMark/>
          </w:tcPr>
          <w:p w:rsidRPr="00B52D66" w:rsidR="00B52D66" w:rsidP="00FC2172" w:rsidRDefault="00B52D66" w14:paraId="53E9CBB0" w14:textId="77777777">
            <w:pPr>
              <w:spacing w:line="240" w:lineRule="auto"/>
              <w:jc w:val="right"/>
              <w:rPr>
                <w:rFonts w:cs="Arial"/>
                <w:szCs w:val="18"/>
                <w:lang w:val="en-GB" w:eastAsia="en-GB"/>
              </w:rPr>
            </w:pPr>
            <w:r w:rsidRPr="00B52D66">
              <w:rPr>
                <w:rFonts w:cs="Arial"/>
                <w:szCs w:val="18"/>
                <w:lang w:val="en-GB" w:eastAsia="en-GB"/>
              </w:rPr>
              <w:t>2.200</w:t>
            </w:r>
          </w:p>
        </w:tc>
        <w:tc>
          <w:tcPr>
            <w:tcW w:w="482" w:type="pct"/>
            <w:tcBorders>
              <w:top w:val="nil"/>
              <w:left w:val="nil"/>
              <w:bottom w:val="nil"/>
              <w:right w:val="nil"/>
            </w:tcBorders>
            <w:noWrap/>
            <w:vAlign w:val="bottom"/>
            <w:hideMark/>
          </w:tcPr>
          <w:p w:rsidRPr="00B52D66" w:rsidR="00B52D66" w:rsidP="00FC2172" w:rsidRDefault="00B52D66" w14:paraId="4B380391" w14:textId="77777777">
            <w:pPr>
              <w:spacing w:line="240" w:lineRule="auto"/>
              <w:jc w:val="right"/>
              <w:rPr>
                <w:rFonts w:cs="Arial"/>
                <w:szCs w:val="18"/>
                <w:lang w:val="en-GB" w:eastAsia="en-GB"/>
              </w:rPr>
            </w:pPr>
            <w:r w:rsidRPr="00B52D66">
              <w:rPr>
                <w:rFonts w:cs="Arial"/>
                <w:szCs w:val="18"/>
                <w:lang w:val="en-GB" w:eastAsia="en-GB"/>
              </w:rPr>
              <w:t>2.721</w:t>
            </w:r>
          </w:p>
        </w:tc>
        <w:tc>
          <w:tcPr>
            <w:tcW w:w="482" w:type="pct"/>
            <w:tcBorders>
              <w:top w:val="nil"/>
              <w:left w:val="nil"/>
              <w:bottom w:val="nil"/>
              <w:right w:val="nil"/>
            </w:tcBorders>
            <w:noWrap/>
            <w:vAlign w:val="bottom"/>
            <w:hideMark/>
          </w:tcPr>
          <w:p w:rsidRPr="00B52D66" w:rsidR="00B52D66" w:rsidP="00FC2172" w:rsidRDefault="00B52D66" w14:paraId="3EEDA958" w14:textId="77777777">
            <w:pPr>
              <w:spacing w:line="240" w:lineRule="auto"/>
              <w:jc w:val="right"/>
              <w:rPr>
                <w:rFonts w:cs="Arial"/>
                <w:szCs w:val="18"/>
                <w:lang w:val="en-GB" w:eastAsia="en-GB"/>
              </w:rPr>
            </w:pPr>
            <w:r w:rsidRPr="00B52D66">
              <w:rPr>
                <w:rFonts w:cs="Arial"/>
                <w:szCs w:val="18"/>
                <w:lang w:val="en-GB" w:eastAsia="en-GB"/>
              </w:rPr>
              <w:t>2.785</w:t>
            </w:r>
          </w:p>
        </w:tc>
        <w:tc>
          <w:tcPr>
            <w:tcW w:w="482" w:type="pct"/>
            <w:tcBorders>
              <w:top w:val="nil"/>
              <w:left w:val="nil"/>
              <w:bottom w:val="nil"/>
              <w:right w:val="nil"/>
            </w:tcBorders>
            <w:noWrap/>
            <w:vAlign w:val="bottom"/>
            <w:hideMark/>
          </w:tcPr>
          <w:p w:rsidRPr="00B52D66" w:rsidR="00B52D66" w:rsidP="00FC2172" w:rsidRDefault="00B52D66" w14:paraId="3E865C60" w14:textId="77777777">
            <w:pPr>
              <w:spacing w:line="240" w:lineRule="auto"/>
              <w:jc w:val="right"/>
              <w:rPr>
                <w:rFonts w:cs="Arial"/>
                <w:szCs w:val="18"/>
                <w:lang w:val="en-GB" w:eastAsia="en-GB"/>
              </w:rPr>
            </w:pPr>
            <w:r w:rsidRPr="00B52D66">
              <w:rPr>
                <w:rFonts w:cs="Arial"/>
                <w:szCs w:val="18"/>
                <w:lang w:val="en-GB" w:eastAsia="en-GB"/>
              </w:rPr>
              <w:t>3.109</w:t>
            </w:r>
          </w:p>
        </w:tc>
      </w:tr>
      <w:tr w:rsidRPr="00B52D66" w:rsidR="00B52D66" w:rsidTr="00B52D66" w14:paraId="1EE937FC"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6CF79F4C" w14:textId="77777777">
            <w:pPr>
              <w:spacing w:line="240" w:lineRule="auto"/>
              <w:rPr>
                <w:rFonts w:cs="Arial"/>
                <w:szCs w:val="18"/>
                <w:lang w:val="en-GB" w:eastAsia="en-GB"/>
              </w:rPr>
            </w:pPr>
            <w:r w:rsidRPr="00B52D66">
              <w:rPr>
                <w:rFonts w:cs="Arial"/>
                <w:szCs w:val="18"/>
                <w:lang w:val="en-GB" w:eastAsia="en-GB"/>
              </w:rPr>
              <w:t xml:space="preserve">   HBR</w:t>
            </w:r>
          </w:p>
        </w:tc>
        <w:tc>
          <w:tcPr>
            <w:tcW w:w="482" w:type="pct"/>
            <w:tcBorders>
              <w:top w:val="nil"/>
              <w:left w:val="nil"/>
              <w:bottom w:val="nil"/>
              <w:right w:val="nil"/>
            </w:tcBorders>
            <w:noWrap/>
            <w:vAlign w:val="bottom"/>
            <w:hideMark/>
          </w:tcPr>
          <w:p w:rsidRPr="00B52D66" w:rsidR="00B52D66" w:rsidP="00FC2172" w:rsidRDefault="00B52D66" w14:paraId="72A70BC3" w14:textId="77777777">
            <w:pPr>
              <w:spacing w:line="240" w:lineRule="auto"/>
              <w:jc w:val="right"/>
              <w:rPr>
                <w:rFonts w:cs="Arial"/>
                <w:szCs w:val="18"/>
                <w:lang w:val="en-GB" w:eastAsia="en-GB"/>
              </w:rPr>
            </w:pPr>
            <w:r w:rsidRPr="00B52D66">
              <w:rPr>
                <w:rFonts w:cs="Arial"/>
                <w:szCs w:val="18"/>
                <w:lang w:val="en-GB" w:eastAsia="en-GB"/>
              </w:rPr>
              <w:t>235</w:t>
            </w:r>
          </w:p>
        </w:tc>
        <w:tc>
          <w:tcPr>
            <w:tcW w:w="482" w:type="pct"/>
            <w:tcBorders>
              <w:top w:val="nil"/>
              <w:left w:val="nil"/>
              <w:bottom w:val="nil"/>
              <w:right w:val="nil"/>
            </w:tcBorders>
            <w:noWrap/>
            <w:vAlign w:val="bottom"/>
            <w:hideMark/>
          </w:tcPr>
          <w:p w:rsidRPr="00B52D66" w:rsidR="00B52D66" w:rsidP="00FC2172" w:rsidRDefault="00B52D66" w14:paraId="0D7B1A13" w14:textId="77777777">
            <w:pPr>
              <w:spacing w:line="240" w:lineRule="auto"/>
              <w:jc w:val="right"/>
              <w:rPr>
                <w:rFonts w:cs="Arial"/>
                <w:szCs w:val="18"/>
                <w:lang w:val="en-GB" w:eastAsia="en-GB"/>
              </w:rPr>
            </w:pPr>
            <w:r w:rsidRPr="00B52D66">
              <w:rPr>
                <w:rFonts w:cs="Arial"/>
                <w:szCs w:val="18"/>
                <w:lang w:val="en-GB" w:eastAsia="en-GB"/>
              </w:rPr>
              <w:t>209</w:t>
            </w:r>
          </w:p>
        </w:tc>
        <w:tc>
          <w:tcPr>
            <w:tcW w:w="482" w:type="pct"/>
            <w:tcBorders>
              <w:top w:val="nil"/>
              <w:left w:val="nil"/>
              <w:bottom w:val="nil"/>
              <w:right w:val="nil"/>
            </w:tcBorders>
            <w:noWrap/>
            <w:vAlign w:val="bottom"/>
            <w:hideMark/>
          </w:tcPr>
          <w:p w:rsidRPr="00B52D66" w:rsidR="00B52D66" w:rsidP="00FC2172" w:rsidRDefault="00B52D66" w14:paraId="46A40379" w14:textId="77777777">
            <w:pPr>
              <w:spacing w:line="240" w:lineRule="auto"/>
              <w:jc w:val="right"/>
              <w:rPr>
                <w:rFonts w:cs="Arial"/>
                <w:szCs w:val="18"/>
                <w:lang w:val="en-GB" w:eastAsia="en-GB"/>
              </w:rPr>
            </w:pPr>
            <w:r w:rsidRPr="00B52D66">
              <w:rPr>
                <w:rFonts w:cs="Arial"/>
                <w:szCs w:val="18"/>
                <w:lang w:val="en-GB" w:eastAsia="en-GB"/>
              </w:rPr>
              <w:t>257</w:t>
            </w:r>
          </w:p>
        </w:tc>
        <w:tc>
          <w:tcPr>
            <w:tcW w:w="482" w:type="pct"/>
            <w:tcBorders>
              <w:top w:val="nil"/>
              <w:left w:val="nil"/>
              <w:bottom w:val="nil"/>
              <w:right w:val="nil"/>
            </w:tcBorders>
            <w:noWrap/>
            <w:vAlign w:val="bottom"/>
            <w:hideMark/>
          </w:tcPr>
          <w:p w:rsidRPr="00B52D66" w:rsidR="00B52D66" w:rsidP="00FC2172" w:rsidRDefault="00B52D66" w14:paraId="1D26181E" w14:textId="77777777">
            <w:pPr>
              <w:spacing w:line="240" w:lineRule="auto"/>
              <w:jc w:val="right"/>
              <w:rPr>
                <w:rFonts w:cs="Arial"/>
                <w:szCs w:val="18"/>
                <w:lang w:val="en-GB" w:eastAsia="en-GB"/>
              </w:rPr>
            </w:pPr>
            <w:r w:rsidRPr="00B52D66">
              <w:rPr>
                <w:rFonts w:cs="Arial"/>
                <w:szCs w:val="18"/>
                <w:lang w:val="en-GB" w:eastAsia="en-GB"/>
              </w:rPr>
              <w:t>261</w:t>
            </w:r>
          </w:p>
        </w:tc>
        <w:tc>
          <w:tcPr>
            <w:tcW w:w="482" w:type="pct"/>
            <w:tcBorders>
              <w:top w:val="nil"/>
              <w:left w:val="nil"/>
              <w:bottom w:val="nil"/>
              <w:right w:val="nil"/>
            </w:tcBorders>
            <w:noWrap/>
            <w:vAlign w:val="bottom"/>
            <w:hideMark/>
          </w:tcPr>
          <w:p w:rsidRPr="00B52D66" w:rsidR="00B52D66" w:rsidP="00FC2172" w:rsidRDefault="00B52D66" w14:paraId="59780499" w14:textId="77777777">
            <w:pPr>
              <w:spacing w:line="240" w:lineRule="auto"/>
              <w:jc w:val="right"/>
              <w:rPr>
                <w:rFonts w:cs="Arial"/>
                <w:szCs w:val="18"/>
                <w:lang w:val="en-GB" w:eastAsia="en-GB"/>
              </w:rPr>
            </w:pPr>
            <w:r w:rsidRPr="00B52D66">
              <w:rPr>
                <w:rFonts w:cs="Arial"/>
                <w:szCs w:val="18"/>
                <w:lang w:val="en-GB" w:eastAsia="en-GB"/>
              </w:rPr>
              <w:t>320</w:t>
            </w:r>
          </w:p>
        </w:tc>
        <w:tc>
          <w:tcPr>
            <w:tcW w:w="482" w:type="pct"/>
            <w:tcBorders>
              <w:top w:val="nil"/>
              <w:left w:val="nil"/>
              <w:bottom w:val="nil"/>
              <w:right w:val="nil"/>
            </w:tcBorders>
            <w:noWrap/>
            <w:vAlign w:val="bottom"/>
            <w:hideMark/>
          </w:tcPr>
          <w:p w:rsidRPr="00B52D66" w:rsidR="00B52D66" w:rsidP="00FC2172" w:rsidRDefault="00B52D66" w14:paraId="6C554948" w14:textId="77777777">
            <w:pPr>
              <w:spacing w:line="240" w:lineRule="auto"/>
              <w:jc w:val="right"/>
              <w:rPr>
                <w:rFonts w:cs="Arial"/>
                <w:szCs w:val="18"/>
                <w:lang w:val="en-GB" w:eastAsia="en-GB"/>
              </w:rPr>
            </w:pPr>
            <w:r w:rsidRPr="00B52D66">
              <w:rPr>
                <w:rFonts w:cs="Arial"/>
                <w:szCs w:val="18"/>
                <w:lang w:val="en-GB" w:eastAsia="en-GB"/>
              </w:rPr>
              <w:t>342</w:t>
            </w:r>
          </w:p>
        </w:tc>
      </w:tr>
      <w:tr w:rsidRPr="00B52D66" w:rsidR="00B52D66" w:rsidTr="00B52D66" w14:paraId="25FC4678"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74157684" w14:textId="77777777">
            <w:pPr>
              <w:spacing w:line="240" w:lineRule="auto"/>
              <w:rPr>
                <w:rFonts w:cs="Arial"/>
                <w:szCs w:val="18"/>
                <w:lang w:val="en-GB" w:eastAsia="en-GB"/>
              </w:rPr>
            </w:pPr>
            <w:r w:rsidRPr="00B52D66">
              <w:rPr>
                <w:rFonts w:cs="Arial"/>
                <w:szCs w:val="18"/>
                <w:lang w:val="en-GB" w:eastAsia="en-GB"/>
              </w:rPr>
              <w:t xml:space="preserve">   Z&amp;W</w:t>
            </w:r>
          </w:p>
        </w:tc>
        <w:tc>
          <w:tcPr>
            <w:tcW w:w="482" w:type="pct"/>
            <w:tcBorders>
              <w:top w:val="nil"/>
              <w:left w:val="nil"/>
              <w:bottom w:val="nil"/>
              <w:right w:val="nil"/>
            </w:tcBorders>
            <w:noWrap/>
            <w:vAlign w:val="bottom"/>
            <w:hideMark/>
          </w:tcPr>
          <w:p w:rsidRPr="00B52D66" w:rsidR="00B52D66" w:rsidP="00FC2172" w:rsidRDefault="00B52D66" w14:paraId="76709A17" w14:textId="77777777">
            <w:pPr>
              <w:spacing w:line="240" w:lineRule="auto"/>
              <w:jc w:val="right"/>
              <w:rPr>
                <w:rFonts w:cs="Arial"/>
                <w:szCs w:val="18"/>
                <w:lang w:val="en-GB" w:eastAsia="en-GB"/>
              </w:rPr>
            </w:pPr>
            <w:r w:rsidRPr="00B52D66">
              <w:rPr>
                <w:rFonts w:cs="Arial"/>
                <w:szCs w:val="18"/>
                <w:lang w:val="en-GB" w:eastAsia="en-GB"/>
              </w:rPr>
              <w:t>1.512</w:t>
            </w:r>
          </w:p>
        </w:tc>
        <w:tc>
          <w:tcPr>
            <w:tcW w:w="482" w:type="pct"/>
            <w:tcBorders>
              <w:top w:val="nil"/>
              <w:left w:val="nil"/>
              <w:bottom w:val="nil"/>
              <w:right w:val="nil"/>
            </w:tcBorders>
            <w:noWrap/>
            <w:vAlign w:val="bottom"/>
            <w:hideMark/>
          </w:tcPr>
          <w:p w:rsidRPr="00B52D66" w:rsidR="00B52D66" w:rsidP="00FC2172" w:rsidRDefault="00B52D66" w14:paraId="58D4532C" w14:textId="77777777">
            <w:pPr>
              <w:spacing w:line="240" w:lineRule="auto"/>
              <w:jc w:val="right"/>
              <w:rPr>
                <w:rFonts w:cs="Arial"/>
                <w:szCs w:val="18"/>
                <w:lang w:val="en-GB" w:eastAsia="en-GB"/>
              </w:rPr>
            </w:pPr>
            <w:r w:rsidRPr="00B52D66">
              <w:rPr>
                <w:rFonts w:cs="Arial"/>
                <w:szCs w:val="18"/>
                <w:lang w:val="en-GB" w:eastAsia="en-GB"/>
              </w:rPr>
              <w:t>1.477</w:t>
            </w:r>
          </w:p>
        </w:tc>
        <w:tc>
          <w:tcPr>
            <w:tcW w:w="482" w:type="pct"/>
            <w:tcBorders>
              <w:top w:val="nil"/>
              <w:left w:val="nil"/>
              <w:bottom w:val="nil"/>
              <w:right w:val="nil"/>
            </w:tcBorders>
            <w:noWrap/>
            <w:vAlign w:val="bottom"/>
            <w:hideMark/>
          </w:tcPr>
          <w:p w:rsidRPr="00B52D66" w:rsidR="00B52D66" w:rsidP="00FC2172" w:rsidRDefault="00B52D66" w14:paraId="6487B1B3" w14:textId="77777777">
            <w:pPr>
              <w:spacing w:line="240" w:lineRule="auto"/>
              <w:jc w:val="right"/>
              <w:rPr>
                <w:rFonts w:cs="Arial"/>
                <w:szCs w:val="18"/>
                <w:lang w:val="en-GB" w:eastAsia="en-GB"/>
              </w:rPr>
            </w:pPr>
            <w:r w:rsidRPr="00B52D66">
              <w:rPr>
                <w:rFonts w:cs="Arial"/>
                <w:szCs w:val="18"/>
                <w:lang w:val="en-GB" w:eastAsia="en-GB"/>
              </w:rPr>
              <w:t>1.666</w:t>
            </w:r>
          </w:p>
        </w:tc>
        <w:tc>
          <w:tcPr>
            <w:tcW w:w="482" w:type="pct"/>
            <w:tcBorders>
              <w:top w:val="nil"/>
              <w:left w:val="nil"/>
              <w:bottom w:val="nil"/>
              <w:right w:val="nil"/>
            </w:tcBorders>
            <w:noWrap/>
            <w:vAlign w:val="bottom"/>
            <w:hideMark/>
          </w:tcPr>
          <w:p w:rsidRPr="00B52D66" w:rsidR="00B52D66" w:rsidP="00FC2172" w:rsidRDefault="00B52D66" w14:paraId="44B8FD63" w14:textId="77777777">
            <w:pPr>
              <w:spacing w:line="240" w:lineRule="auto"/>
              <w:jc w:val="right"/>
              <w:rPr>
                <w:rFonts w:cs="Arial"/>
                <w:szCs w:val="18"/>
                <w:lang w:val="en-GB" w:eastAsia="en-GB"/>
              </w:rPr>
            </w:pPr>
            <w:r w:rsidRPr="00B52D66">
              <w:rPr>
                <w:rFonts w:cs="Arial"/>
                <w:szCs w:val="18"/>
                <w:lang w:val="en-GB" w:eastAsia="en-GB"/>
              </w:rPr>
              <w:t>1.903</w:t>
            </w:r>
          </w:p>
        </w:tc>
        <w:tc>
          <w:tcPr>
            <w:tcW w:w="482" w:type="pct"/>
            <w:tcBorders>
              <w:top w:val="nil"/>
              <w:left w:val="nil"/>
              <w:bottom w:val="nil"/>
              <w:right w:val="nil"/>
            </w:tcBorders>
            <w:noWrap/>
            <w:vAlign w:val="bottom"/>
            <w:hideMark/>
          </w:tcPr>
          <w:p w:rsidRPr="00B52D66" w:rsidR="00B52D66" w:rsidP="00FC2172" w:rsidRDefault="00B52D66" w14:paraId="07DDA53F" w14:textId="77777777">
            <w:pPr>
              <w:spacing w:line="240" w:lineRule="auto"/>
              <w:jc w:val="right"/>
              <w:rPr>
                <w:rFonts w:cs="Arial"/>
                <w:szCs w:val="18"/>
                <w:lang w:val="en-GB" w:eastAsia="en-GB"/>
              </w:rPr>
            </w:pPr>
            <w:r w:rsidRPr="00B52D66">
              <w:rPr>
                <w:rFonts w:cs="Arial"/>
                <w:szCs w:val="18"/>
                <w:lang w:val="en-GB" w:eastAsia="en-GB"/>
              </w:rPr>
              <w:t>2.038</w:t>
            </w:r>
          </w:p>
        </w:tc>
        <w:tc>
          <w:tcPr>
            <w:tcW w:w="482" w:type="pct"/>
            <w:tcBorders>
              <w:top w:val="nil"/>
              <w:left w:val="nil"/>
              <w:bottom w:val="nil"/>
              <w:right w:val="nil"/>
            </w:tcBorders>
            <w:noWrap/>
            <w:vAlign w:val="bottom"/>
            <w:hideMark/>
          </w:tcPr>
          <w:p w:rsidRPr="00B52D66" w:rsidR="00B52D66" w:rsidP="00FC2172" w:rsidRDefault="00B52D66" w14:paraId="5D19130A" w14:textId="77777777">
            <w:pPr>
              <w:spacing w:line="240" w:lineRule="auto"/>
              <w:jc w:val="right"/>
              <w:rPr>
                <w:rFonts w:cs="Arial"/>
                <w:szCs w:val="18"/>
                <w:lang w:val="en-GB" w:eastAsia="en-GB"/>
              </w:rPr>
            </w:pPr>
            <w:r w:rsidRPr="00B52D66">
              <w:rPr>
                <w:rFonts w:cs="Arial"/>
                <w:szCs w:val="18"/>
                <w:lang w:val="en-GB" w:eastAsia="en-GB"/>
              </w:rPr>
              <w:t>1.887</w:t>
            </w:r>
          </w:p>
        </w:tc>
      </w:tr>
      <w:tr w:rsidRPr="00B52D66" w:rsidR="00B52D66" w:rsidTr="00B52D66" w14:paraId="5980484B" w14:textId="77777777">
        <w:trPr>
          <w:trHeight w:val="280"/>
        </w:trPr>
        <w:tc>
          <w:tcPr>
            <w:tcW w:w="2105" w:type="pct"/>
            <w:tcBorders>
              <w:top w:val="nil"/>
              <w:left w:val="nil"/>
              <w:right w:val="nil"/>
            </w:tcBorders>
            <w:noWrap/>
            <w:vAlign w:val="bottom"/>
            <w:hideMark/>
          </w:tcPr>
          <w:p w:rsidRPr="00B52D66" w:rsidR="00B52D66" w:rsidP="00FC2172" w:rsidRDefault="00B52D66" w14:paraId="5A282948" w14:textId="77777777">
            <w:pPr>
              <w:spacing w:line="240" w:lineRule="auto"/>
              <w:rPr>
                <w:rFonts w:cs="Arial"/>
                <w:b/>
                <w:bCs/>
                <w:szCs w:val="18"/>
                <w:lang w:val="en-GB" w:eastAsia="en-GB"/>
              </w:rPr>
            </w:pPr>
            <w:r w:rsidRPr="00B52D66">
              <w:rPr>
                <w:rFonts w:cs="Arial"/>
                <w:b/>
                <w:bCs/>
                <w:szCs w:val="18"/>
                <w:lang w:val="en-GB" w:eastAsia="en-GB"/>
              </w:rPr>
              <w:t>Totaal beroepsgerichte leerwegen vmbo</w:t>
            </w:r>
          </w:p>
        </w:tc>
        <w:tc>
          <w:tcPr>
            <w:tcW w:w="482" w:type="pct"/>
            <w:tcBorders>
              <w:top w:val="nil"/>
              <w:left w:val="nil"/>
              <w:right w:val="nil"/>
            </w:tcBorders>
            <w:noWrap/>
            <w:vAlign w:val="bottom"/>
            <w:hideMark/>
          </w:tcPr>
          <w:p w:rsidRPr="00B52D66" w:rsidR="00B52D66" w:rsidP="00FC2172" w:rsidRDefault="00B52D66" w14:paraId="51C49821" w14:textId="77777777">
            <w:pPr>
              <w:spacing w:line="240" w:lineRule="auto"/>
              <w:jc w:val="right"/>
              <w:rPr>
                <w:rFonts w:cs="Arial"/>
                <w:b/>
                <w:bCs/>
                <w:szCs w:val="18"/>
                <w:lang w:val="en-GB" w:eastAsia="en-GB"/>
              </w:rPr>
            </w:pPr>
            <w:r w:rsidRPr="00B52D66">
              <w:rPr>
                <w:rFonts w:cs="Arial"/>
                <w:b/>
                <w:bCs/>
                <w:szCs w:val="18"/>
                <w:lang w:val="en-GB" w:eastAsia="en-GB"/>
              </w:rPr>
              <w:t>63.457</w:t>
            </w:r>
          </w:p>
        </w:tc>
        <w:tc>
          <w:tcPr>
            <w:tcW w:w="482" w:type="pct"/>
            <w:tcBorders>
              <w:top w:val="nil"/>
              <w:left w:val="nil"/>
              <w:right w:val="nil"/>
            </w:tcBorders>
            <w:noWrap/>
            <w:vAlign w:val="bottom"/>
            <w:hideMark/>
          </w:tcPr>
          <w:p w:rsidRPr="00B52D66" w:rsidR="00B52D66" w:rsidP="00FC2172" w:rsidRDefault="00B52D66" w14:paraId="7E0D162E" w14:textId="77777777">
            <w:pPr>
              <w:spacing w:line="240" w:lineRule="auto"/>
              <w:jc w:val="right"/>
              <w:rPr>
                <w:rFonts w:cs="Arial"/>
                <w:b/>
                <w:bCs/>
                <w:szCs w:val="18"/>
                <w:lang w:val="en-GB" w:eastAsia="en-GB"/>
              </w:rPr>
            </w:pPr>
            <w:r w:rsidRPr="00B52D66">
              <w:rPr>
                <w:rFonts w:cs="Arial"/>
                <w:b/>
                <w:bCs/>
                <w:szCs w:val="18"/>
                <w:lang w:val="en-GB" w:eastAsia="en-GB"/>
              </w:rPr>
              <w:t>60.511</w:t>
            </w:r>
          </w:p>
        </w:tc>
        <w:tc>
          <w:tcPr>
            <w:tcW w:w="482" w:type="pct"/>
            <w:tcBorders>
              <w:top w:val="nil"/>
              <w:left w:val="nil"/>
              <w:right w:val="nil"/>
            </w:tcBorders>
            <w:noWrap/>
            <w:vAlign w:val="bottom"/>
            <w:hideMark/>
          </w:tcPr>
          <w:p w:rsidRPr="00B52D66" w:rsidR="00B52D66" w:rsidP="00FC2172" w:rsidRDefault="00B52D66" w14:paraId="5718EE00" w14:textId="77777777">
            <w:pPr>
              <w:spacing w:line="240" w:lineRule="auto"/>
              <w:jc w:val="right"/>
              <w:rPr>
                <w:rFonts w:cs="Arial"/>
                <w:b/>
                <w:bCs/>
                <w:szCs w:val="18"/>
                <w:lang w:val="en-GB" w:eastAsia="en-GB"/>
              </w:rPr>
            </w:pPr>
            <w:r w:rsidRPr="00B52D66">
              <w:rPr>
                <w:rFonts w:cs="Arial"/>
                <w:b/>
                <w:bCs/>
                <w:szCs w:val="18"/>
                <w:lang w:val="en-GB" w:eastAsia="en-GB"/>
              </w:rPr>
              <w:t>57.664</w:t>
            </w:r>
          </w:p>
        </w:tc>
        <w:tc>
          <w:tcPr>
            <w:tcW w:w="482" w:type="pct"/>
            <w:tcBorders>
              <w:top w:val="nil"/>
              <w:left w:val="nil"/>
              <w:right w:val="nil"/>
            </w:tcBorders>
            <w:noWrap/>
            <w:vAlign w:val="bottom"/>
            <w:hideMark/>
          </w:tcPr>
          <w:p w:rsidRPr="00B52D66" w:rsidR="00B52D66" w:rsidP="00FC2172" w:rsidRDefault="00B52D66" w14:paraId="726F699D" w14:textId="77777777">
            <w:pPr>
              <w:spacing w:line="240" w:lineRule="auto"/>
              <w:jc w:val="right"/>
              <w:rPr>
                <w:rFonts w:cs="Arial"/>
                <w:b/>
                <w:bCs/>
                <w:szCs w:val="18"/>
                <w:lang w:val="en-GB" w:eastAsia="en-GB"/>
              </w:rPr>
            </w:pPr>
            <w:r w:rsidRPr="00B52D66">
              <w:rPr>
                <w:rFonts w:cs="Arial"/>
                <w:b/>
                <w:bCs/>
                <w:szCs w:val="18"/>
                <w:lang w:val="en-GB" w:eastAsia="en-GB"/>
              </w:rPr>
              <w:t>58.259</w:t>
            </w:r>
          </w:p>
        </w:tc>
        <w:tc>
          <w:tcPr>
            <w:tcW w:w="482" w:type="pct"/>
            <w:tcBorders>
              <w:top w:val="nil"/>
              <w:left w:val="nil"/>
              <w:right w:val="nil"/>
            </w:tcBorders>
            <w:noWrap/>
            <w:vAlign w:val="bottom"/>
            <w:hideMark/>
          </w:tcPr>
          <w:p w:rsidRPr="00B52D66" w:rsidR="00B52D66" w:rsidP="00FC2172" w:rsidRDefault="00B52D66" w14:paraId="3733904A" w14:textId="77777777">
            <w:pPr>
              <w:spacing w:line="240" w:lineRule="auto"/>
              <w:jc w:val="right"/>
              <w:rPr>
                <w:rFonts w:cs="Arial"/>
                <w:b/>
                <w:bCs/>
                <w:szCs w:val="18"/>
                <w:lang w:val="en-GB" w:eastAsia="en-GB"/>
              </w:rPr>
            </w:pPr>
            <w:r w:rsidRPr="00B52D66">
              <w:rPr>
                <w:rFonts w:cs="Arial"/>
                <w:b/>
                <w:bCs/>
                <w:szCs w:val="18"/>
                <w:lang w:val="en-GB" w:eastAsia="en-GB"/>
              </w:rPr>
              <w:t>61.961</w:t>
            </w:r>
          </w:p>
        </w:tc>
        <w:tc>
          <w:tcPr>
            <w:tcW w:w="482" w:type="pct"/>
            <w:tcBorders>
              <w:top w:val="nil"/>
              <w:left w:val="nil"/>
              <w:right w:val="nil"/>
            </w:tcBorders>
            <w:noWrap/>
            <w:vAlign w:val="bottom"/>
            <w:hideMark/>
          </w:tcPr>
          <w:p w:rsidRPr="00B52D66" w:rsidR="00B52D66" w:rsidP="00FC2172" w:rsidRDefault="00B52D66" w14:paraId="50334238" w14:textId="77777777">
            <w:pPr>
              <w:spacing w:line="240" w:lineRule="auto"/>
              <w:jc w:val="right"/>
              <w:rPr>
                <w:rFonts w:cs="Arial"/>
                <w:b/>
                <w:bCs/>
                <w:szCs w:val="18"/>
                <w:lang w:val="en-GB" w:eastAsia="en-GB"/>
              </w:rPr>
            </w:pPr>
            <w:r w:rsidRPr="00B52D66">
              <w:rPr>
                <w:rFonts w:cs="Arial"/>
                <w:b/>
                <w:bCs/>
                <w:szCs w:val="18"/>
                <w:lang w:val="en-GB" w:eastAsia="en-GB"/>
              </w:rPr>
              <w:t>60.418</w:t>
            </w:r>
          </w:p>
        </w:tc>
      </w:tr>
      <w:tr w:rsidRPr="00B52D66" w:rsidR="00B52D66" w:rsidTr="00B52D66" w14:paraId="1671C085" w14:textId="77777777">
        <w:trPr>
          <w:trHeight w:val="280"/>
        </w:trPr>
        <w:tc>
          <w:tcPr>
            <w:tcW w:w="2105" w:type="pct"/>
            <w:tcBorders>
              <w:top w:val="nil"/>
              <w:left w:val="nil"/>
              <w:right w:val="nil"/>
            </w:tcBorders>
            <w:noWrap/>
            <w:vAlign w:val="bottom"/>
            <w:hideMark/>
          </w:tcPr>
          <w:p w:rsidRPr="00B52D66" w:rsidR="00B52D66" w:rsidP="00FC2172" w:rsidRDefault="00B52D66" w14:paraId="296238F1" w14:textId="77777777">
            <w:pPr>
              <w:spacing w:line="240" w:lineRule="auto"/>
              <w:rPr>
                <w:rFonts w:cs="Arial"/>
                <w:b/>
                <w:bCs/>
                <w:szCs w:val="18"/>
                <w:lang w:val="en-GB" w:eastAsia="en-GB"/>
              </w:rPr>
            </w:pPr>
            <w:r w:rsidRPr="00B52D66">
              <w:rPr>
                <w:rFonts w:cs="Arial"/>
                <w:b/>
                <w:bCs/>
                <w:szCs w:val="18"/>
                <w:lang w:val="en-GB" w:eastAsia="en-GB"/>
              </w:rPr>
              <w:t xml:space="preserve">  Totaal techniek</w:t>
            </w:r>
          </w:p>
        </w:tc>
        <w:tc>
          <w:tcPr>
            <w:tcW w:w="482" w:type="pct"/>
            <w:tcBorders>
              <w:top w:val="nil"/>
              <w:left w:val="nil"/>
              <w:right w:val="nil"/>
            </w:tcBorders>
            <w:noWrap/>
            <w:vAlign w:val="bottom"/>
            <w:hideMark/>
          </w:tcPr>
          <w:p w:rsidRPr="00B52D66" w:rsidR="00B52D66" w:rsidP="00FC2172" w:rsidRDefault="00B52D66" w14:paraId="382F4B45" w14:textId="77777777">
            <w:pPr>
              <w:spacing w:line="240" w:lineRule="auto"/>
              <w:jc w:val="right"/>
              <w:rPr>
                <w:rFonts w:cs="Arial"/>
                <w:b/>
                <w:bCs/>
                <w:szCs w:val="18"/>
                <w:lang w:val="en-GB" w:eastAsia="en-GB"/>
              </w:rPr>
            </w:pPr>
            <w:r w:rsidRPr="00B52D66">
              <w:rPr>
                <w:rFonts w:cs="Arial"/>
                <w:b/>
                <w:bCs/>
                <w:szCs w:val="18"/>
                <w:lang w:val="en-GB" w:eastAsia="en-GB"/>
              </w:rPr>
              <w:t>12.414</w:t>
            </w:r>
          </w:p>
        </w:tc>
        <w:tc>
          <w:tcPr>
            <w:tcW w:w="482" w:type="pct"/>
            <w:tcBorders>
              <w:top w:val="nil"/>
              <w:left w:val="nil"/>
              <w:right w:val="nil"/>
            </w:tcBorders>
            <w:noWrap/>
            <w:vAlign w:val="bottom"/>
            <w:hideMark/>
          </w:tcPr>
          <w:p w:rsidRPr="00B52D66" w:rsidR="00B52D66" w:rsidP="00FC2172" w:rsidRDefault="00B52D66" w14:paraId="0967681E" w14:textId="77777777">
            <w:pPr>
              <w:spacing w:line="240" w:lineRule="auto"/>
              <w:jc w:val="right"/>
              <w:rPr>
                <w:rFonts w:cs="Arial"/>
                <w:b/>
                <w:bCs/>
                <w:szCs w:val="18"/>
                <w:lang w:val="en-GB" w:eastAsia="en-GB"/>
              </w:rPr>
            </w:pPr>
            <w:r w:rsidRPr="00B52D66">
              <w:rPr>
                <w:rFonts w:cs="Arial"/>
                <w:b/>
                <w:bCs/>
                <w:szCs w:val="18"/>
                <w:lang w:val="en-GB" w:eastAsia="en-GB"/>
              </w:rPr>
              <w:t>11.477</w:t>
            </w:r>
          </w:p>
        </w:tc>
        <w:tc>
          <w:tcPr>
            <w:tcW w:w="482" w:type="pct"/>
            <w:tcBorders>
              <w:top w:val="nil"/>
              <w:left w:val="nil"/>
              <w:right w:val="nil"/>
            </w:tcBorders>
            <w:noWrap/>
            <w:vAlign w:val="bottom"/>
            <w:hideMark/>
          </w:tcPr>
          <w:p w:rsidRPr="00B52D66" w:rsidR="00B52D66" w:rsidP="00FC2172" w:rsidRDefault="00B52D66" w14:paraId="5F11F667" w14:textId="77777777">
            <w:pPr>
              <w:spacing w:line="240" w:lineRule="auto"/>
              <w:jc w:val="right"/>
              <w:rPr>
                <w:rFonts w:cs="Arial"/>
                <w:b/>
                <w:bCs/>
                <w:szCs w:val="18"/>
                <w:lang w:val="en-GB" w:eastAsia="en-GB"/>
              </w:rPr>
            </w:pPr>
            <w:r w:rsidRPr="00B52D66">
              <w:rPr>
                <w:rFonts w:cs="Arial"/>
                <w:b/>
                <w:bCs/>
                <w:szCs w:val="18"/>
                <w:lang w:val="en-GB" w:eastAsia="en-GB"/>
              </w:rPr>
              <w:t>11.345</w:t>
            </w:r>
          </w:p>
        </w:tc>
        <w:tc>
          <w:tcPr>
            <w:tcW w:w="482" w:type="pct"/>
            <w:tcBorders>
              <w:top w:val="nil"/>
              <w:left w:val="nil"/>
              <w:right w:val="nil"/>
            </w:tcBorders>
            <w:noWrap/>
            <w:vAlign w:val="bottom"/>
            <w:hideMark/>
          </w:tcPr>
          <w:p w:rsidRPr="00B52D66" w:rsidR="00B52D66" w:rsidP="00FC2172" w:rsidRDefault="00B52D66" w14:paraId="4F26AD67" w14:textId="77777777">
            <w:pPr>
              <w:spacing w:line="240" w:lineRule="auto"/>
              <w:jc w:val="right"/>
              <w:rPr>
                <w:rFonts w:cs="Arial"/>
                <w:b/>
                <w:bCs/>
                <w:szCs w:val="18"/>
                <w:lang w:val="en-GB" w:eastAsia="en-GB"/>
              </w:rPr>
            </w:pPr>
            <w:r w:rsidRPr="00B52D66">
              <w:rPr>
                <w:rFonts w:cs="Arial"/>
                <w:b/>
                <w:bCs/>
                <w:szCs w:val="18"/>
                <w:lang w:val="en-GB" w:eastAsia="en-GB"/>
              </w:rPr>
              <w:t>11.360</w:t>
            </w:r>
          </w:p>
        </w:tc>
        <w:tc>
          <w:tcPr>
            <w:tcW w:w="482" w:type="pct"/>
            <w:tcBorders>
              <w:top w:val="nil"/>
              <w:left w:val="nil"/>
              <w:right w:val="nil"/>
            </w:tcBorders>
            <w:noWrap/>
            <w:vAlign w:val="bottom"/>
            <w:hideMark/>
          </w:tcPr>
          <w:p w:rsidRPr="00B52D66" w:rsidR="00B52D66" w:rsidP="00FC2172" w:rsidRDefault="00B52D66" w14:paraId="19D7160C" w14:textId="77777777">
            <w:pPr>
              <w:spacing w:line="240" w:lineRule="auto"/>
              <w:jc w:val="right"/>
              <w:rPr>
                <w:rFonts w:cs="Arial"/>
                <w:b/>
                <w:bCs/>
                <w:szCs w:val="18"/>
                <w:lang w:val="en-GB" w:eastAsia="en-GB"/>
              </w:rPr>
            </w:pPr>
            <w:r w:rsidRPr="00B52D66">
              <w:rPr>
                <w:rFonts w:cs="Arial"/>
                <w:b/>
                <w:bCs/>
                <w:szCs w:val="18"/>
                <w:lang w:val="en-GB" w:eastAsia="en-GB"/>
              </w:rPr>
              <w:t>12.541</w:t>
            </w:r>
          </w:p>
        </w:tc>
        <w:tc>
          <w:tcPr>
            <w:tcW w:w="482" w:type="pct"/>
            <w:tcBorders>
              <w:top w:val="nil"/>
              <w:left w:val="nil"/>
              <w:right w:val="nil"/>
            </w:tcBorders>
            <w:noWrap/>
            <w:vAlign w:val="bottom"/>
            <w:hideMark/>
          </w:tcPr>
          <w:p w:rsidRPr="00B52D66" w:rsidR="00B52D66" w:rsidP="00FC2172" w:rsidRDefault="00B52D66" w14:paraId="6B7584BA" w14:textId="77777777">
            <w:pPr>
              <w:spacing w:line="240" w:lineRule="auto"/>
              <w:jc w:val="right"/>
              <w:rPr>
                <w:rFonts w:cs="Arial"/>
                <w:b/>
                <w:bCs/>
                <w:szCs w:val="18"/>
                <w:lang w:val="en-GB" w:eastAsia="en-GB"/>
              </w:rPr>
            </w:pPr>
            <w:r w:rsidRPr="00B52D66">
              <w:rPr>
                <w:rFonts w:cs="Arial"/>
                <w:b/>
                <w:bCs/>
                <w:szCs w:val="18"/>
                <w:lang w:val="en-GB" w:eastAsia="en-GB"/>
              </w:rPr>
              <w:t>12.160</w:t>
            </w:r>
          </w:p>
        </w:tc>
      </w:tr>
      <w:tr w:rsidRPr="00B52D66" w:rsidR="00B52D66" w:rsidTr="00B52D66" w14:paraId="5102ABC0" w14:textId="77777777">
        <w:trPr>
          <w:trHeight w:val="280"/>
        </w:trPr>
        <w:tc>
          <w:tcPr>
            <w:tcW w:w="2105" w:type="pct"/>
            <w:tcBorders>
              <w:top w:val="nil"/>
              <w:left w:val="nil"/>
              <w:right w:val="nil"/>
            </w:tcBorders>
            <w:noWrap/>
            <w:vAlign w:val="bottom"/>
            <w:hideMark/>
          </w:tcPr>
          <w:p w:rsidRPr="00B52D66" w:rsidR="00B52D66" w:rsidP="00FC2172" w:rsidRDefault="00B52D66" w14:paraId="24F365FD" w14:textId="77777777">
            <w:pPr>
              <w:spacing w:line="240" w:lineRule="auto"/>
              <w:rPr>
                <w:rFonts w:cs="Arial"/>
                <w:szCs w:val="18"/>
                <w:lang w:val="en-GB" w:eastAsia="en-GB"/>
              </w:rPr>
            </w:pPr>
            <w:r w:rsidRPr="00B52D66">
              <w:rPr>
                <w:rFonts w:cs="Arial"/>
                <w:szCs w:val="18"/>
                <w:lang w:val="en-GB" w:eastAsia="en-GB"/>
              </w:rPr>
              <w:t xml:space="preserve">   BWI</w:t>
            </w:r>
          </w:p>
        </w:tc>
        <w:tc>
          <w:tcPr>
            <w:tcW w:w="482" w:type="pct"/>
            <w:tcBorders>
              <w:top w:val="nil"/>
              <w:left w:val="nil"/>
              <w:right w:val="nil"/>
            </w:tcBorders>
            <w:noWrap/>
            <w:vAlign w:val="bottom"/>
            <w:hideMark/>
          </w:tcPr>
          <w:p w:rsidRPr="00B52D66" w:rsidR="00B52D66" w:rsidP="00FC2172" w:rsidRDefault="00B52D66" w14:paraId="289C732D" w14:textId="77777777">
            <w:pPr>
              <w:spacing w:line="240" w:lineRule="auto"/>
              <w:jc w:val="right"/>
              <w:rPr>
                <w:rFonts w:cs="Arial"/>
                <w:szCs w:val="18"/>
                <w:lang w:val="en-GB" w:eastAsia="en-GB"/>
              </w:rPr>
            </w:pPr>
            <w:r w:rsidRPr="00B52D66">
              <w:rPr>
                <w:rFonts w:cs="Arial"/>
                <w:szCs w:val="18"/>
                <w:lang w:val="en-GB" w:eastAsia="en-GB"/>
              </w:rPr>
              <w:t>3.419</w:t>
            </w:r>
          </w:p>
        </w:tc>
        <w:tc>
          <w:tcPr>
            <w:tcW w:w="482" w:type="pct"/>
            <w:tcBorders>
              <w:top w:val="nil"/>
              <w:left w:val="nil"/>
              <w:right w:val="nil"/>
            </w:tcBorders>
            <w:noWrap/>
            <w:vAlign w:val="bottom"/>
            <w:hideMark/>
          </w:tcPr>
          <w:p w:rsidRPr="00B52D66" w:rsidR="00B52D66" w:rsidP="00FC2172" w:rsidRDefault="00B52D66" w14:paraId="14FB5E24" w14:textId="77777777">
            <w:pPr>
              <w:spacing w:line="240" w:lineRule="auto"/>
              <w:jc w:val="right"/>
              <w:rPr>
                <w:rFonts w:cs="Arial"/>
                <w:szCs w:val="18"/>
                <w:lang w:val="en-GB" w:eastAsia="en-GB"/>
              </w:rPr>
            </w:pPr>
            <w:r w:rsidRPr="00B52D66">
              <w:rPr>
                <w:rFonts w:cs="Arial"/>
                <w:szCs w:val="18"/>
                <w:lang w:val="en-GB" w:eastAsia="en-GB"/>
              </w:rPr>
              <w:t>3.394</w:t>
            </w:r>
          </w:p>
        </w:tc>
        <w:tc>
          <w:tcPr>
            <w:tcW w:w="482" w:type="pct"/>
            <w:tcBorders>
              <w:top w:val="nil"/>
              <w:left w:val="nil"/>
              <w:right w:val="nil"/>
            </w:tcBorders>
            <w:noWrap/>
            <w:vAlign w:val="bottom"/>
            <w:hideMark/>
          </w:tcPr>
          <w:p w:rsidRPr="00B52D66" w:rsidR="00B52D66" w:rsidP="00FC2172" w:rsidRDefault="00B52D66" w14:paraId="0A5747EC" w14:textId="77777777">
            <w:pPr>
              <w:spacing w:line="240" w:lineRule="auto"/>
              <w:jc w:val="right"/>
              <w:rPr>
                <w:rFonts w:cs="Arial"/>
                <w:szCs w:val="18"/>
                <w:lang w:val="en-GB" w:eastAsia="en-GB"/>
              </w:rPr>
            </w:pPr>
            <w:r w:rsidRPr="00B52D66">
              <w:rPr>
                <w:rFonts w:cs="Arial"/>
                <w:szCs w:val="18"/>
                <w:lang w:val="en-GB" w:eastAsia="en-GB"/>
              </w:rPr>
              <w:t>3.476</w:t>
            </w:r>
          </w:p>
        </w:tc>
        <w:tc>
          <w:tcPr>
            <w:tcW w:w="482" w:type="pct"/>
            <w:tcBorders>
              <w:top w:val="nil"/>
              <w:left w:val="nil"/>
              <w:right w:val="nil"/>
            </w:tcBorders>
            <w:noWrap/>
            <w:vAlign w:val="bottom"/>
            <w:hideMark/>
          </w:tcPr>
          <w:p w:rsidRPr="00B52D66" w:rsidR="00B52D66" w:rsidP="00FC2172" w:rsidRDefault="00B52D66" w14:paraId="516EEF17" w14:textId="77777777">
            <w:pPr>
              <w:spacing w:line="240" w:lineRule="auto"/>
              <w:jc w:val="right"/>
              <w:rPr>
                <w:rFonts w:cs="Arial"/>
                <w:szCs w:val="18"/>
                <w:lang w:val="en-GB" w:eastAsia="en-GB"/>
              </w:rPr>
            </w:pPr>
            <w:r w:rsidRPr="00B52D66">
              <w:rPr>
                <w:rFonts w:cs="Arial"/>
                <w:szCs w:val="18"/>
                <w:lang w:val="en-GB" w:eastAsia="en-GB"/>
              </w:rPr>
              <w:t>3.423</w:t>
            </w:r>
          </w:p>
        </w:tc>
        <w:tc>
          <w:tcPr>
            <w:tcW w:w="482" w:type="pct"/>
            <w:tcBorders>
              <w:top w:val="nil"/>
              <w:left w:val="nil"/>
              <w:right w:val="nil"/>
            </w:tcBorders>
            <w:noWrap/>
            <w:vAlign w:val="bottom"/>
            <w:hideMark/>
          </w:tcPr>
          <w:p w:rsidRPr="00B52D66" w:rsidR="00B52D66" w:rsidP="00FC2172" w:rsidRDefault="00B52D66" w14:paraId="27D734B3" w14:textId="77777777">
            <w:pPr>
              <w:spacing w:line="240" w:lineRule="auto"/>
              <w:jc w:val="right"/>
              <w:rPr>
                <w:rFonts w:cs="Arial"/>
                <w:szCs w:val="18"/>
                <w:lang w:val="en-GB" w:eastAsia="en-GB"/>
              </w:rPr>
            </w:pPr>
            <w:r w:rsidRPr="00B52D66">
              <w:rPr>
                <w:rFonts w:cs="Arial"/>
                <w:szCs w:val="18"/>
                <w:lang w:val="en-GB" w:eastAsia="en-GB"/>
              </w:rPr>
              <w:t>4.150</w:t>
            </w:r>
          </w:p>
        </w:tc>
        <w:tc>
          <w:tcPr>
            <w:tcW w:w="482" w:type="pct"/>
            <w:tcBorders>
              <w:top w:val="nil"/>
              <w:left w:val="nil"/>
              <w:right w:val="nil"/>
            </w:tcBorders>
            <w:noWrap/>
            <w:vAlign w:val="bottom"/>
            <w:hideMark/>
          </w:tcPr>
          <w:p w:rsidRPr="00B52D66" w:rsidR="00B52D66" w:rsidP="00FC2172" w:rsidRDefault="00B52D66" w14:paraId="060D8DB9" w14:textId="77777777">
            <w:pPr>
              <w:spacing w:line="240" w:lineRule="auto"/>
              <w:jc w:val="right"/>
              <w:rPr>
                <w:rFonts w:cs="Arial"/>
                <w:szCs w:val="18"/>
                <w:lang w:val="en-GB" w:eastAsia="en-GB"/>
              </w:rPr>
            </w:pPr>
            <w:r w:rsidRPr="00B52D66">
              <w:rPr>
                <w:rFonts w:cs="Arial"/>
                <w:szCs w:val="18"/>
                <w:lang w:val="en-GB" w:eastAsia="en-GB"/>
              </w:rPr>
              <w:t>4.014</w:t>
            </w:r>
          </w:p>
        </w:tc>
      </w:tr>
      <w:tr w:rsidRPr="00B52D66" w:rsidR="00B52D66" w:rsidTr="00B52D66" w14:paraId="2D88DAEC" w14:textId="77777777">
        <w:trPr>
          <w:trHeight w:val="280"/>
        </w:trPr>
        <w:tc>
          <w:tcPr>
            <w:tcW w:w="2105" w:type="pct"/>
            <w:tcBorders>
              <w:top w:val="nil"/>
              <w:left w:val="nil"/>
              <w:right w:val="nil"/>
            </w:tcBorders>
            <w:noWrap/>
            <w:vAlign w:val="bottom"/>
            <w:hideMark/>
          </w:tcPr>
          <w:p w:rsidRPr="00B52D66" w:rsidR="00B52D66" w:rsidP="00FC2172" w:rsidRDefault="00B52D66" w14:paraId="6E83D1C5" w14:textId="77777777">
            <w:pPr>
              <w:spacing w:line="240" w:lineRule="auto"/>
              <w:rPr>
                <w:rFonts w:cs="Arial"/>
                <w:szCs w:val="18"/>
                <w:lang w:val="en-GB" w:eastAsia="en-GB"/>
              </w:rPr>
            </w:pPr>
            <w:r w:rsidRPr="00B52D66">
              <w:rPr>
                <w:rFonts w:cs="Arial"/>
                <w:szCs w:val="18"/>
                <w:lang w:val="en-GB" w:eastAsia="en-GB"/>
              </w:rPr>
              <w:t xml:space="preserve">   MaT</w:t>
            </w:r>
          </w:p>
        </w:tc>
        <w:tc>
          <w:tcPr>
            <w:tcW w:w="482" w:type="pct"/>
            <w:tcBorders>
              <w:top w:val="nil"/>
              <w:left w:val="nil"/>
              <w:right w:val="nil"/>
            </w:tcBorders>
            <w:noWrap/>
            <w:vAlign w:val="bottom"/>
            <w:hideMark/>
          </w:tcPr>
          <w:p w:rsidRPr="00B52D66" w:rsidR="00B52D66" w:rsidP="00FC2172" w:rsidRDefault="00B52D66" w14:paraId="5213576B" w14:textId="77777777">
            <w:pPr>
              <w:spacing w:line="240" w:lineRule="auto"/>
              <w:jc w:val="right"/>
              <w:rPr>
                <w:rFonts w:cs="Arial"/>
                <w:szCs w:val="18"/>
                <w:lang w:val="en-GB" w:eastAsia="en-GB"/>
              </w:rPr>
            </w:pPr>
            <w:r w:rsidRPr="00B52D66">
              <w:rPr>
                <w:rFonts w:cs="Arial"/>
                <w:szCs w:val="18"/>
                <w:lang w:val="en-GB" w:eastAsia="en-GB"/>
              </w:rPr>
              <w:t>266</w:t>
            </w:r>
          </w:p>
        </w:tc>
        <w:tc>
          <w:tcPr>
            <w:tcW w:w="482" w:type="pct"/>
            <w:tcBorders>
              <w:top w:val="nil"/>
              <w:left w:val="nil"/>
              <w:right w:val="nil"/>
            </w:tcBorders>
            <w:noWrap/>
            <w:vAlign w:val="bottom"/>
            <w:hideMark/>
          </w:tcPr>
          <w:p w:rsidRPr="00B52D66" w:rsidR="00B52D66" w:rsidP="00FC2172" w:rsidRDefault="00B52D66" w14:paraId="4B0D9097" w14:textId="77777777">
            <w:pPr>
              <w:spacing w:line="240" w:lineRule="auto"/>
              <w:jc w:val="right"/>
              <w:rPr>
                <w:rFonts w:cs="Arial"/>
                <w:szCs w:val="18"/>
                <w:lang w:val="en-GB" w:eastAsia="en-GB"/>
              </w:rPr>
            </w:pPr>
            <w:r w:rsidRPr="00B52D66">
              <w:rPr>
                <w:rFonts w:cs="Arial"/>
                <w:szCs w:val="18"/>
                <w:lang w:val="en-GB" w:eastAsia="en-GB"/>
              </w:rPr>
              <w:t>260</w:t>
            </w:r>
          </w:p>
        </w:tc>
        <w:tc>
          <w:tcPr>
            <w:tcW w:w="482" w:type="pct"/>
            <w:tcBorders>
              <w:top w:val="nil"/>
              <w:left w:val="nil"/>
              <w:right w:val="nil"/>
            </w:tcBorders>
            <w:noWrap/>
            <w:vAlign w:val="bottom"/>
            <w:hideMark/>
          </w:tcPr>
          <w:p w:rsidRPr="00B52D66" w:rsidR="00B52D66" w:rsidP="00FC2172" w:rsidRDefault="00B52D66" w14:paraId="6270E032" w14:textId="77777777">
            <w:pPr>
              <w:spacing w:line="240" w:lineRule="auto"/>
              <w:jc w:val="right"/>
              <w:rPr>
                <w:rFonts w:cs="Arial"/>
                <w:szCs w:val="18"/>
                <w:lang w:val="en-GB" w:eastAsia="en-GB"/>
              </w:rPr>
            </w:pPr>
            <w:r w:rsidRPr="00B52D66">
              <w:rPr>
                <w:rFonts w:cs="Arial"/>
                <w:szCs w:val="18"/>
                <w:lang w:val="en-GB" w:eastAsia="en-GB"/>
              </w:rPr>
              <w:t>278</w:t>
            </w:r>
          </w:p>
        </w:tc>
        <w:tc>
          <w:tcPr>
            <w:tcW w:w="482" w:type="pct"/>
            <w:tcBorders>
              <w:top w:val="nil"/>
              <w:left w:val="nil"/>
              <w:right w:val="nil"/>
            </w:tcBorders>
            <w:noWrap/>
            <w:vAlign w:val="bottom"/>
            <w:hideMark/>
          </w:tcPr>
          <w:p w:rsidRPr="00B52D66" w:rsidR="00B52D66" w:rsidP="00FC2172" w:rsidRDefault="00B52D66" w14:paraId="1F55DB39" w14:textId="77777777">
            <w:pPr>
              <w:spacing w:line="240" w:lineRule="auto"/>
              <w:jc w:val="right"/>
              <w:rPr>
                <w:rFonts w:cs="Arial"/>
                <w:szCs w:val="18"/>
                <w:lang w:val="en-GB" w:eastAsia="en-GB"/>
              </w:rPr>
            </w:pPr>
            <w:r w:rsidRPr="00B52D66">
              <w:rPr>
                <w:rFonts w:cs="Arial"/>
                <w:szCs w:val="18"/>
                <w:lang w:val="en-GB" w:eastAsia="en-GB"/>
              </w:rPr>
              <w:t>239</w:t>
            </w:r>
          </w:p>
        </w:tc>
        <w:tc>
          <w:tcPr>
            <w:tcW w:w="482" w:type="pct"/>
            <w:tcBorders>
              <w:top w:val="nil"/>
              <w:left w:val="nil"/>
              <w:right w:val="nil"/>
            </w:tcBorders>
            <w:noWrap/>
            <w:vAlign w:val="bottom"/>
            <w:hideMark/>
          </w:tcPr>
          <w:p w:rsidRPr="00B52D66" w:rsidR="00B52D66" w:rsidP="00FC2172" w:rsidRDefault="00B52D66" w14:paraId="3BC7D341" w14:textId="77777777">
            <w:pPr>
              <w:spacing w:line="240" w:lineRule="auto"/>
              <w:jc w:val="right"/>
              <w:rPr>
                <w:rFonts w:cs="Arial"/>
                <w:szCs w:val="18"/>
                <w:lang w:val="en-GB" w:eastAsia="en-GB"/>
              </w:rPr>
            </w:pPr>
            <w:r w:rsidRPr="00B52D66">
              <w:rPr>
                <w:rFonts w:cs="Arial"/>
                <w:szCs w:val="18"/>
                <w:lang w:val="en-GB" w:eastAsia="en-GB"/>
              </w:rPr>
              <w:t>244</w:t>
            </w:r>
          </w:p>
        </w:tc>
        <w:tc>
          <w:tcPr>
            <w:tcW w:w="482" w:type="pct"/>
            <w:tcBorders>
              <w:top w:val="nil"/>
              <w:left w:val="nil"/>
              <w:right w:val="nil"/>
            </w:tcBorders>
            <w:noWrap/>
            <w:vAlign w:val="bottom"/>
            <w:hideMark/>
          </w:tcPr>
          <w:p w:rsidRPr="00B52D66" w:rsidR="00B52D66" w:rsidP="00FC2172" w:rsidRDefault="00B52D66" w14:paraId="7C002B44" w14:textId="77777777">
            <w:pPr>
              <w:spacing w:line="240" w:lineRule="auto"/>
              <w:jc w:val="right"/>
              <w:rPr>
                <w:rFonts w:cs="Arial"/>
                <w:szCs w:val="18"/>
                <w:lang w:val="en-GB" w:eastAsia="en-GB"/>
              </w:rPr>
            </w:pPr>
            <w:r w:rsidRPr="00B52D66">
              <w:rPr>
                <w:rFonts w:cs="Arial"/>
                <w:szCs w:val="18"/>
                <w:lang w:val="en-GB" w:eastAsia="en-GB"/>
              </w:rPr>
              <w:t>203</w:t>
            </w:r>
          </w:p>
        </w:tc>
      </w:tr>
      <w:tr w:rsidRPr="00B52D66" w:rsidR="00B52D66" w:rsidTr="00B52D66" w14:paraId="046D1959" w14:textId="77777777">
        <w:trPr>
          <w:trHeight w:val="280"/>
        </w:trPr>
        <w:tc>
          <w:tcPr>
            <w:tcW w:w="2105" w:type="pct"/>
            <w:tcBorders>
              <w:top w:val="nil"/>
              <w:left w:val="nil"/>
              <w:right w:val="nil"/>
            </w:tcBorders>
            <w:noWrap/>
            <w:vAlign w:val="bottom"/>
            <w:hideMark/>
          </w:tcPr>
          <w:p w:rsidRPr="00B52D66" w:rsidR="00B52D66" w:rsidP="00FC2172" w:rsidRDefault="00B52D66" w14:paraId="76435617" w14:textId="77777777">
            <w:pPr>
              <w:spacing w:line="240" w:lineRule="auto"/>
              <w:rPr>
                <w:rFonts w:cs="Arial"/>
                <w:szCs w:val="18"/>
                <w:lang w:val="en-GB" w:eastAsia="en-GB"/>
              </w:rPr>
            </w:pPr>
            <w:r w:rsidRPr="00B52D66">
              <w:rPr>
                <w:rFonts w:cs="Arial"/>
                <w:szCs w:val="18"/>
                <w:lang w:val="en-GB" w:eastAsia="en-GB"/>
              </w:rPr>
              <w:t xml:space="preserve">   MVI</w:t>
            </w:r>
          </w:p>
        </w:tc>
        <w:tc>
          <w:tcPr>
            <w:tcW w:w="482" w:type="pct"/>
            <w:tcBorders>
              <w:top w:val="nil"/>
              <w:left w:val="nil"/>
              <w:right w:val="nil"/>
            </w:tcBorders>
            <w:noWrap/>
            <w:vAlign w:val="bottom"/>
            <w:hideMark/>
          </w:tcPr>
          <w:p w:rsidRPr="00B52D66" w:rsidR="00B52D66" w:rsidP="00FC2172" w:rsidRDefault="00B52D66" w14:paraId="104A9FB4" w14:textId="77777777">
            <w:pPr>
              <w:spacing w:line="240" w:lineRule="auto"/>
              <w:jc w:val="right"/>
              <w:rPr>
                <w:rFonts w:cs="Arial"/>
                <w:szCs w:val="18"/>
                <w:lang w:val="en-GB" w:eastAsia="en-GB"/>
              </w:rPr>
            </w:pPr>
            <w:r w:rsidRPr="00B52D66">
              <w:rPr>
                <w:rFonts w:cs="Arial"/>
                <w:szCs w:val="18"/>
                <w:lang w:val="en-GB" w:eastAsia="en-GB"/>
              </w:rPr>
              <w:t>1.624</w:t>
            </w:r>
          </w:p>
        </w:tc>
        <w:tc>
          <w:tcPr>
            <w:tcW w:w="482" w:type="pct"/>
            <w:tcBorders>
              <w:top w:val="nil"/>
              <w:left w:val="nil"/>
              <w:right w:val="nil"/>
            </w:tcBorders>
            <w:noWrap/>
            <w:vAlign w:val="bottom"/>
            <w:hideMark/>
          </w:tcPr>
          <w:p w:rsidRPr="00B52D66" w:rsidR="00B52D66" w:rsidP="00FC2172" w:rsidRDefault="00B52D66" w14:paraId="19DD6CDF" w14:textId="77777777">
            <w:pPr>
              <w:spacing w:line="240" w:lineRule="auto"/>
              <w:jc w:val="right"/>
              <w:rPr>
                <w:rFonts w:cs="Arial"/>
                <w:szCs w:val="18"/>
                <w:lang w:val="en-GB" w:eastAsia="en-GB"/>
              </w:rPr>
            </w:pPr>
            <w:r w:rsidRPr="00B52D66">
              <w:rPr>
                <w:rFonts w:cs="Arial"/>
                <w:szCs w:val="18"/>
                <w:lang w:val="en-GB" w:eastAsia="en-GB"/>
              </w:rPr>
              <w:t>1.512</w:t>
            </w:r>
          </w:p>
        </w:tc>
        <w:tc>
          <w:tcPr>
            <w:tcW w:w="482" w:type="pct"/>
            <w:tcBorders>
              <w:top w:val="nil"/>
              <w:left w:val="nil"/>
              <w:right w:val="nil"/>
            </w:tcBorders>
            <w:noWrap/>
            <w:vAlign w:val="bottom"/>
            <w:hideMark/>
          </w:tcPr>
          <w:p w:rsidRPr="00B52D66" w:rsidR="00B52D66" w:rsidP="00FC2172" w:rsidRDefault="00B52D66" w14:paraId="5EA66E7E" w14:textId="77777777">
            <w:pPr>
              <w:spacing w:line="240" w:lineRule="auto"/>
              <w:jc w:val="right"/>
              <w:rPr>
                <w:rFonts w:cs="Arial"/>
                <w:szCs w:val="18"/>
                <w:lang w:val="en-GB" w:eastAsia="en-GB"/>
              </w:rPr>
            </w:pPr>
            <w:r w:rsidRPr="00B52D66">
              <w:rPr>
                <w:rFonts w:cs="Arial"/>
                <w:szCs w:val="18"/>
                <w:lang w:val="en-GB" w:eastAsia="en-GB"/>
              </w:rPr>
              <w:t>1.450</w:t>
            </w:r>
          </w:p>
        </w:tc>
        <w:tc>
          <w:tcPr>
            <w:tcW w:w="482" w:type="pct"/>
            <w:tcBorders>
              <w:top w:val="nil"/>
              <w:left w:val="nil"/>
              <w:right w:val="nil"/>
            </w:tcBorders>
            <w:noWrap/>
            <w:vAlign w:val="bottom"/>
            <w:hideMark/>
          </w:tcPr>
          <w:p w:rsidRPr="00B52D66" w:rsidR="00B52D66" w:rsidP="00FC2172" w:rsidRDefault="00B52D66" w14:paraId="31E9BC8E" w14:textId="77777777">
            <w:pPr>
              <w:spacing w:line="240" w:lineRule="auto"/>
              <w:jc w:val="right"/>
              <w:rPr>
                <w:rFonts w:cs="Arial"/>
                <w:szCs w:val="18"/>
                <w:lang w:val="en-GB" w:eastAsia="en-GB"/>
              </w:rPr>
            </w:pPr>
            <w:r w:rsidRPr="00B52D66">
              <w:rPr>
                <w:rFonts w:cs="Arial"/>
                <w:szCs w:val="18"/>
                <w:lang w:val="en-GB" w:eastAsia="en-GB"/>
              </w:rPr>
              <w:t>1.559</w:t>
            </w:r>
          </w:p>
        </w:tc>
        <w:tc>
          <w:tcPr>
            <w:tcW w:w="482" w:type="pct"/>
            <w:tcBorders>
              <w:top w:val="nil"/>
              <w:left w:val="nil"/>
              <w:right w:val="nil"/>
            </w:tcBorders>
            <w:noWrap/>
            <w:vAlign w:val="bottom"/>
            <w:hideMark/>
          </w:tcPr>
          <w:p w:rsidRPr="00B52D66" w:rsidR="00B52D66" w:rsidP="00FC2172" w:rsidRDefault="00B52D66" w14:paraId="6EF352D3" w14:textId="77777777">
            <w:pPr>
              <w:spacing w:line="240" w:lineRule="auto"/>
              <w:jc w:val="right"/>
              <w:rPr>
                <w:rFonts w:cs="Arial"/>
                <w:szCs w:val="18"/>
                <w:lang w:val="en-GB" w:eastAsia="en-GB"/>
              </w:rPr>
            </w:pPr>
            <w:r w:rsidRPr="00B52D66">
              <w:rPr>
                <w:rFonts w:cs="Arial"/>
                <w:szCs w:val="18"/>
                <w:lang w:val="en-GB" w:eastAsia="en-GB"/>
              </w:rPr>
              <w:t>1.579</w:t>
            </w:r>
          </w:p>
        </w:tc>
        <w:tc>
          <w:tcPr>
            <w:tcW w:w="482" w:type="pct"/>
            <w:tcBorders>
              <w:top w:val="nil"/>
              <w:left w:val="nil"/>
              <w:right w:val="nil"/>
            </w:tcBorders>
            <w:noWrap/>
            <w:vAlign w:val="bottom"/>
            <w:hideMark/>
          </w:tcPr>
          <w:p w:rsidRPr="00B52D66" w:rsidR="00B52D66" w:rsidP="00FC2172" w:rsidRDefault="00B52D66" w14:paraId="07BD4E2F" w14:textId="77777777">
            <w:pPr>
              <w:spacing w:line="240" w:lineRule="auto"/>
              <w:jc w:val="right"/>
              <w:rPr>
                <w:rFonts w:cs="Arial"/>
                <w:szCs w:val="18"/>
                <w:lang w:val="en-GB" w:eastAsia="en-GB"/>
              </w:rPr>
            </w:pPr>
            <w:r w:rsidRPr="00B52D66">
              <w:rPr>
                <w:rFonts w:cs="Arial"/>
                <w:szCs w:val="18"/>
                <w:lang w:val="en-GB" w:eastAsia="en-GB"/>
              </w:rPr>
              <w:t>1.571</w:t>
            </w:r>
          </w:p>
        </w:tc>
      </w:tr>
      <w:tr w:rsidRPr="00B52D66" w:rsidR="00B52D66" w:rsidTr="00B52D66" w14:paraId="0F3CFC09" w14:textId="77777777">
        <w:trPr>
          <w:trHeight w:val="280"/>
        </w:trPr>
        <w:tc>
          <w:tcPr>
            <w:tcW w:w="2105" w:type="pct"/>
            <w:tcBorders>
              <w:top w:val="nil"/>
              <w:left w:val="nil"/>
              <w:right w:val="nil"/>
            </w:tcBorders>
            <w:noWrap/>
            <w:vAlign w:val="bottom"/>
            <w:hideMark/>
          </w:tcPr>
          <w:p w:rsidRPr="00B52D66" w:rsidR="00B52D66" w:rsidP="00FC2172" w:rsidRDefault="00B52D66" w14:paraId="68722E9E" w14:textId="77777777">
            <w:pPr>
              <w:spacing w:line="240" w:lineRule="auto"/>
              <w:rPr>
                <w:rFonts w:cs="Arial"/>
                <w:szCs w:val="18"/>
                <w:lang w:val="en-GB" w:eastAsia="en-GB"/>
              </w:rPr>
            </w:pPr>
            <w:r w:rsidRPr="00B52D66">
              <w:rPr>
                <w:rFonts w:cs="Arial"/>
                <w:szCs w:val="18"/>
                <w:lang w:val="en-GB" w:eastAsia="en-GB"/>
              </w:rPr>
              <w:t xml:space="preserve">   M&amp;T</w:t>
            </w:r>
          </w:p>
        </w:tc>
        <w:tc>
          <w:tcPr>
            <w:tcW w:w="482" w:type="pct"/>
            <w:tcBorders>
              <w:top w:val="nil"/>
              <w:left w:val="nil"/>
              <w:right w:val="nil"/>
            </w:tcBorders>
            <w:noWrap/>
            <w:vAlign w:val="bottom"/>
            <w:hideMark/>
          </w:tcPr>
          <w:p w:rsidRPr="00B52D66" w:rsidR="00B52D66" w:rsidP="00FC2172" w:rsidRDefault="00B52D66" w14:paraId="7F734194" w14:textId="77777777">
            <w:pPr>
              <w:spacing w:line="240" w:lineRule="auto"/>
              <w:jc w:val="right"/>
              <w:rPr>
                <w:rFonts w:cs="Arial"/>
                <w:szCs w:val="18"/>
                <w:lang w:val="en-GB" w:eastAsia="en-GB"/>
              </w:rPr>
            </w:pPr>
            <w:r w:rsidRPr="00B52D66">
              <w:rPr>
                <w:rFonts w:cs="Arial"/>
                <w:szCs w:val="18"/>
                <w:lang w:val="en-GB" w:eastAsia="en-GB"/>
              </w:rPr>
              <w:t>1.671</w:t>
            </w:r>
          </w:p>
        </w:tc>
        <w:tc>
          <w:tcPr>
            <w:tcW w:w="482" w:type="pct"/>
            <w:tcBorders>
              <w:top w:val="nil"/>
              <w:left w:val="nil"/>
              <w:right w:val="nil"/>
            </w:tcBorders>
            <w:noWrap/>
            <w:vAlign w:val="bottom"/>
            <w:hideMark/>
          </w:tcPr>
          <w:p w:rsidRPr="00B52D66" w:rsidR="00B52D66" w:rsidP="00FC2172" w:rsidRDefault="00B52D66" w14:paraId="03A7D756" w14:textId="77777777">
            <w:pPr>
              <w:spacing w:line="240" w:lineRule="auto"/>
              <w:jc w:val="right"/>
              <w:rPr>
                <w:rFonts w:cs="Arial"/>
                <w:szCs w:val="18"/>
                <w:lang w:val="en-GB" w:eastAsia="en-GB"/>
              </w:rPr>
            </w:pPr>
            <w:r w:rsidRPr="00B52D66">
              <w:rPr>
                <w:rFonts w:cs="Arial"/>
                <w:szCs w:val="18"/>
                <w:lang w:val="en-GB" w:eastAsia="en-GB"/>
              </w:rPr>
              <w:t>1.505</w:t>
            </w:r>
          </w:p>
        </w:tc>
        <w:tc>
          <w:tcPr>
            <w:tcW w:w="482" w:type="pct"/>
            <w:tcBorders>
              <w:top w:val="nil"/>
              <w:left w:val="nil"/>
              <w:right w:val="nil"/>
            </w:tcBorders>
            <w:noWrap/>
            <w:vAlign w:val="bottom"/>
            <w:hideMark/>
          </w:tcPr>
          <w:p w:rsidRPr="00B52D66" w:rsidR="00B52D66" w:rsidP="00FC2172" w:rsidRDefault="00B52D66" w14:paraId="58FCA86D" w14:textId="77777777">
            <w:pPr>
              <w:spacing w:line="240" w:lineRule="auto"/>
              <w:jc w:val="right"/>
              <w:rPr>
                <w:rFonts w:cs="Arial"/>
                <w:szCs w:val="18"/>
                <w:lang w:val="en-GB" w:eastAsia="en-GB"/>
              </w:rPr>
            </w:pPr>
            <w:r w:rsidRPr="00B52D66">
              <w:rPr>
                <w:rFonts w:cs="Arial"/>
                <w:szCs w:val="18"/>
                <w:lang w:val="en-GB" w:eastAsia="en-GB"/>
              </w:rPr>
              <w:t>1.602</w:t>
            </w:r>
          </w:p>
        </w:tc>
        <w:tc>
          <w:tcPr>
            <w:tcW w:w="482" w:type="pct"/>
            <w:tcBorders>
              <w:top w:val="nil"/>
              <w:left w:val="nil"/>
              <w:right w:val="nil"/>
            </w:tcBorders>
            <w:noWrap/>
            <w:vAlign w:val="bottom"/>
            <w:hideMark/>
          </w:tcPr>
          <w:p w:rsidRPr="00B52D66" w:rsidR="00B52D66" w:rsidP="00FC2172" w:rsidRDefault="00B52D66" w14:paraId="6FD6418D" w14:textId="77777777">
            <w:pPr>
              <w:spacing w:line="240" w:lineRule="auto"/>
              <w:jc w:val="right"/>
              <w:rPr>
                <w:rFonts w:cs="Arial"/>
                <w:szCs w:val="18"/>
                <w:lang w:val="en-GB" w:eastAsia="en-GB"/>
              </w:rPr>
            </w:pPr>
            <w:r w:rsidRPr="00B52D66">
              <w:rPr>
                <w:rFonts w:cs="Arial"/>
                <w:szCs w:val="18"/>
                <w:lang w:val="en-GB" w:eastAsia="en-GB"/>
              </w:rPr>
              <w:t>1.525</w:t>
            </w:r>
          </w:p>
        </w:tc>
        <w:tc>
          <w:tcPr>
            <w:tcW w:w="482" w:type="pct"/>
            <w:tcBorders>
              <w:top w:val="nil"/>
              <w:left w:val="nil"/>
              <w:right w:val="nil"/>
            </w:tcBorders>
            <w:noWrap/>
            <w:vAlign w:val="bottom"/>
            <w:hideMark/>
          </w:tcPr>
          <w:p w:rsidRPr="00B52D66" w:rsidR="00B52D66" w:rsidP="00FC2172" w:rsidRDefault="00B52D66" w14:paraId="099DA3E7" w14:textId="77777777">
            <w:pPr>
              <w:spacing w:line="240" w:lineRule="auto"/>
              <w:jc w:val="right"/>
              <w:rPr>
                <w:rFonts w:cs="Arial"/>
                <w:szCs w:val="18"/>
                <w:lang w:val="en-GB" w:eastAsia="en-GB"/>
              </w:rPr>
            </w:pPr>
            <w:r w:rsidRPr="00B52D66">
              <w:rPr>
                <w:rFonts w:cs="Arial"/>
                <w:szCs w:val="18"/>
                <w:lang w:val="en-GB" w:eastAsia="en-GB"/>
              </w:rPr>
              <w:t>1.600</w:t>
            </w:r>
          </w:p>
        </w:tc>
        <w:tc>
          <w:tcPr>
            <w:tcW w:w="482" w:type="pct"/>
            <w:tcBorders>
              <w:top w:val="nil"/>
              <w:left w:val="nil"/>
              <w:right w:val="nil"/>
            </w:tcBorders>
            <w:noWrap/>
            <w:vAlign w:val="bottom"/>
            <w:hideMark/>
          </w:tcPr>
          <w:p w:rsidRPr="00B52D66" w:rsidR="00B52D66" w:rsidP="00FC2172" w:rsidRDefault="00B52D66" w14:paraId="7FA59B1F" w14:textId="77777777">
            <w:pPr>
              <w:spacing w:line="240" w:lineRule="auto"/>
              <w:jc w:val="right"/>
              <w:rPr>
                <w:rFonts w:cs="Arial"/>
                <w:szCs w:val="18"/>
                <w:lang w:val="en-GB" w:eastAsia="en-GB"/>
              </w:rPr>
            </w:pPr>
            <w:r w:rsidRPr="00B52D66">
              <w:rPr>
                <w:rFonts w:cs="Arial"/>
                <w:szCs w:val="18"/>
                <w:lang w:val="en-GB" w:eastAsia="en-GB"/>
              </w:rPr>
              <w:t>1.510</w:t>
            </w:r>
          </w:p>
        </w:tc>
      </w:tr>
      <w:tr w:rsidRPr="00B52D66" w:rsidR="00B52D66" w:rsidTr="00B52D66" w14:paraId="74AA94D8" w14:textId="77777777">
        <w:trPr>
          <w:trHeight w:val="280"/>
        </w:trPr>
        <w:tc>
          <w:tcPr>
            <w:tcW w:w="2105" w:type="pct"/>
            <w:tcBorders>
              <w:top w:val="nil"/>
              <w:left w:val="nil"/>
              <w:right w:val="nil"/>
            </w:tcBorders>
            <w:noWrap/>
            <w:vAlign w:val="bottom"/>
            <w:hideMark/>
          </w:tcPr>
          <w:p w:rsidRPr="00B52D66" w:rsidR="00B52D66" w:rsidP="00FC2172" w:rsidRDefault="00B52D66" w14:paraId="319D9DD7" w14:textId="77777777">
            <w:pPr>
              <w:spacing w:line="240" w:lineRule="auto"/>
              <w:rPr>
                <w:rFonts w:cs="Arial"/>
                <w:szCs w:val="18"/>
                <w:lang w:val="en-GB" w:eastAsia="en-GB"/>
              </w:rPr>
            </w:pPr>
            <w:r w:rsidRPr="00B52D66">
              <w:rPr>
                <w:rFonts w:cs="Arial"/>
                <w:szCs w:val="18"/>
                <w:lang w:val="en-GB" w:eastAsia="en-GB"/>
              </w:rPr>
              <w:t xml:space="preserve">   PIE</w:t>
            </w:r>
          </w:p>
        </w:tc>
        <w:tc>
          <w:tcPr>
            <w:tcW w:w="482" w:type="pct"/>
            <w:tcBorders>
              <w:top w:val="nil"/>
              <w:left w:val="nil"/>
              <w:right w:val="nil"/>
            </w:tcBorders>
            <w:noWrap/>
            <w:vAlign w:val="bottom"/>
            <w:hideMark/>
          </w:tcPr>
          <w:p w:rsidRPr="00B52D66" w:rsidR="00B52D66" w:rsidP="00FC2172" w:rsidRDefault="00B52D66" w14:paraId="06BD2045" w14:textId="77777777">
            <w:pPr>
              <w:spacing w:line="240" w:lineRule="auto"/>
              <w:jc w:val="right"/>
              <w:rPr>
                <w:rFonts w:cs="Arial"/>
                <w:szCs w:val="18"/>
                <w:lang w:val="en-GB" w:eastAsia="en-GB"/>
              </w:rPr>
            </w:pPr>
            <w:r w:rsidRPr="00B52D66">
              <w:rPr>
                <w:rFonts w:cs="Arial"/>
                <w:szCs w:val="18"/>
                <w:lang w:val="en-GB" w:eastAsia="en-GB"/>
              </w:rPr>
              <w:t>5.434</w:t>
            </w:r>
          </w:p>
        </w:tc>
        <w:tc>
          <w:tcPr>
            <w:tcW w:w="482" w:type="pct"/>
            <w:tcBorders>
              <w:top w:val="nil"/>
              <w:left w:val="nil"/>
              <w:right w:val="nil"/>
            </w:tcBorders>
            <w:noWrap/>
            <w:vAlign w:val="bottom"/>
            <w:hideMark/>
          </w:tcPr>
          <w:p w:rsidRPr="00B52D66" w:rsidR="00B52D66" w:rsidP="00FC2172" w:rsidRDefault="00B52D66" w14:paraId="208B9E68" w14:textId="77777777">
            <w:pPr>
              <w:spacing w:line="240" w:lineRule="auto"/>
              <w:jc w:val="right"/>
              <w:rPr>
                <w:rFonts w:cs="Arial"/>
                <w:szCs w:val="18"/>
                <w:lang w:val="en-GB" w:eastAsia="en-GB"/>
              </w:rPr>
            </w:pPr>
            <w:r w:rsidRPr="00B52D66">
              <w:rPr>
                <w:rFonts w:cs="Arial"/>
                <w:szCs w:val="18"/>
                <w:lang w:val="en-GB" w:eastAsia="en-GB"/>
              </w:rPr>
              <w:t>4.806</w:t>
            </w:r>
          </w:p>
        </w:tc>
        <w:tc>
          <w:tcPr>
            <w:tcW w:w="482" w:type="pct"/>
            <w:tcBorders>
              <w:top w:val="nil"/>
              <w:left w:val="nil"/>
              <w:right w:val="nil"/>
            </w:tcBorders>
            <w:noWrap/>
            <w:vAlign w:val="bottom"/>
            <w:hideMark/>
          </w:tcPr>
          <w:p w:rsidRPr="00B52D66" w:rsidR="00B52D66" w:rsidP="00FC2172" w:rsidRDefault="00B52D66" w14:paraId="2748BD1F" w14:textId="77777777">
            <w:pPr>
              <w:spacing w:line="240" w:lineRule="auto"/>
              <w:jc w:val="right"/>
              <w:rPr>
                <w:rFonts w:cs="Arial"/>
                <w:szCs w:val="18"/>
                <w:lang w:val="en-GB" w:eastAsia="en-GB"/>
              </w:rPr>
            </w:pPr>
            <w:r w:rsidRPr="00B52D66">
              <w:rPr>
                <w:rFonts w:cs="Arial"/>
                <w:szCs w:val="18"/>
                <w:lang w:val="en-GB" w:eastAsia="en-GB"/>
              </w:rPr>
              <w:t>4.539</w:t>
            </w:r>
          </w:p>
        </w:tc>
        <w:tc>
          <w:tcPr>
            <w:tcW w:w="482" w:type="pct"/>
            <w:tcBorders>
              <w:top w:val="nil"/>
              <w:left w:val="nil"/>
              <w:right w:val="nil"/>
            </w:tcBorders>
            <w:noWrap/>
            <w:vAlign w:val="bottom"/>
            <w:hideMark/>
          </w:tcPr>
          <w:p w:rsidRPr="00B52D66" w:rsidR="00B52D66" w:rsidP="00FC2172" w:rsidRDefault="00B52D66" w14:paraId="2C8C10BA" w14:textId="77777777">
            <w:pPr>
              <w:spacing w:line="240" w:lineRule="auto"/>
              <w:jc w:val="right"/>
              <w:rPr>
                <w:rFonts w:cs="Arial"/>
                <w:szCs w:val="18"/>
                <w:lang w:val="en-GB" w:eastAsia="en-GB"/>
              </w:rPr>
            </w:pPr>
            <w:r w:rsidRPr="00B52D66">
              <w:rPr>
                <w:rFonts w:cs="Arial"/>
                <w:szCs w:val="18"/>
                <w:lang w:val="en-GB" w:eastAsia="en-GB"/>
              </w:rPr>
              <w:t>4.614</w:t>
            </w:r>
          </w:p>
        </w:tc>
        <w:tc>
          <w:tcPr>
            <w:tcW w:w="482" w:type="pct"/>
            <w:tcBorders>
              <w:top w:val="nil"/>
              <w:left w:val="nil"/>
              <w:right w:val="nil"/>
            </w:tcBorders>
            <w:noWrap/>
            <w:vAlign w:val="bottom"/>
            <w:hideMark/>
          </w:tcPr>
          <w:p w:rsidRPr="00B52D66" w:rsidR="00B52D66" w:rsidP="00FC2172" w:rsidRDefault="00B52D66" w14:paraId="146A6778" w14:textId="77777777">
            <w:pPr>
              <w:spacing w:line="240" w:lineRule="auto"/>
              <w:jc w:val="right"/>
              <w:rPr>
                <w:rFonts w:cs="Arial"/>
                <w:szCs w:val="18"/>
                <w:lang w:val="en-GB" w:eastAsia="en-GB"/>
              </w:rPr>
            </w:pPr>
            <w:r w:rsidRPr="00B52D66">
              <w:rPr>
                <w:rFonts w:cs="Arial"/>
                <w:szCs w:val="18"/>
                <w:lang w:val="en-GB" w:eastAsia="en-GB"/>
              </w:rPr>
              <w:t>4.968</w:t>
            </w:r>
          </w:p>
        </w:tc>
        <w:tc>
          <w:tcPr>
            <w:tcW w:w="482" w:type="pct"/>
            <w:tcBorders>
              <w:top w:val="nil"/>
              <w:left w:val="nil"/>
              <w:right w:val="nil"/>
            </w:tcBorders>
            <w:noWrap/>
            <w:vAlign w:val="bottom"/>
            <w:hideMark/>
          </w:tcPr>
          <w:p w:rsidRPr="00B52D66" w:rsidR="00B52D66" w:rsidP="00FC2172" w:rsidRDefault="00B52D66" w14:paraId="51102D66" w14:textId="77777777">
            <w:pPr>
              <w:spacing w:line="240" w:lineRule="auto"/>
              <w:jc w:val="right"/>
              <w:rPr>
                <w:rFonts w:cs="Arial"/>
                <w:szCs w:val="18"/>
                <w:lang w:val="en-GB" w:eastAsia="en-GB"/>
              </w:rPr>
            </w:pPr>
            <w:r w:rsidRPr="00B52D66">
              <w:rPr>
                <w:rFonts w:cs="Arial"/>
                <w:szCs w:val="18"/>
                <w:lang w:val="en-GB" w:eastAsia="en-GB"/>
              </w:rPr>
              <w:t>4.862</w:t>
            </w:r>
          </w:p>
        </w:tc>
      </w:tr>
      <w:tr w:rsidRPr="00B52D66" w:rsidR="00B52D66" w:rsidTr="00B52D66" w14:paraId="10E74C5F" w14:textId="77777777">
        <w:trPr>
          <w:trHeight w:val="280"/>
        </w:trPr>
        <w:tc>
          <w:tcPr>
            <w:tcW w:w="2105" w:type="pct"/>
            <w:tcBorders>
              <w:top w:val="nil"/>
              <w:left w:val="nil"/>
              <w:right w:val="nil"/>
            </w:tcBorders>
            <w:noWrap/>
            <w:vAlign w:val="bottom"/>
            <w:hideMark/>
          </w:tcPr>
          <w:p w:rsidRPr="00B52D66" w:rsidR="00B52D66" w:rsidP="00FC2172" w:rsidRDefault="00B52D66" w14:paraId="4F1D06CC" w14:textId="77777777">
            <w:pPr>
              <w:spacing w:line="240" w:lineRule="auto"/>
              <w:rPr>
                <w:rFonts w:cs="Arial"/>
                <w:b/>
                <w:bCs/>
                <w:szCs w:val="18"/>
                <w:lang w:val="en-GB" w:eastAsia="en-GB"/>
              </w:rPr>
            </w:pPr>
            <w:r w:rsidRPr="00B52D66">
              <w:rPr>
                <w:rFonts w:cs="Arial"/>
                <w:b/>
                <w:bCs/>
                <w:szCs w:val="18"/>
                <w:lang w:val="en-GB" w:eastAsia="en-GB"/>
              </w:rPr>
              <w:t xml:space="preserve">  Totaal niet-techniek</w:t>
            </w:r>
          </w:p>
        </w:tc>
        <w:tc>
          <w:tcPr>
            <w:tcW w:w="482" w:type="pct"/>
            <w:tcBorders>
              <w:top w:val="nil"/>
              <w:left w:val="nil"/>
              <w:right w:val="nil"/>
            </w:tcBorders>
            <w:noWrap/>
            <w:vAlign w:val="bottom"/>
            <w:hideMark/>
          </w:tcPr>
          <w:p w:rsidRPr="00B52D66" w:rsidR="00B52D66" w:rsidP="00FC2172" w:rsidRDefault="00B52D66" w14:paraId="279AA258" w14:textId="77777777">
            <w:pPr>
              <w:spacing w:line="240" w:lineRule="auto"/>
              <w:jc w:val="right"/>
              <w:rPr>
                <w:rFonts w:cs="Arial"/>
                <w:b/>
                <w:bCs/>
                <w:szCs w:val="18"/>
                <w:lang w:val="en-GB" w:eastAsia="en-GB"/>
              </w:rPr>
            </w:pPr>
            <w:r w:rsidRPr="00B52D66">
              <w:rPr>
                <w:rFonts w:cs="Arial"/>
                <w:b/>
                <w:bCs/>
                <w:szCs w:val="18"/>
                <w:lang w:val="en-GB" w:eastAsia="en-GB"/>
              </w:rPr>
              <w:t>51.043</w:t>
            </w:r>
          </w:p>
        </w:tc>
        <w:tc>
          <w:tcPr>
            <w:tcW w:w="482" w:type="pct"/>
            <w:tcBorders>
              <w:top w:val="nil"/>
              <w:left w:val="nil"/>
              <w:right w:val="nil"/>
            </w:tcBorders>
            <w:noWrap/>
            <w:vAlign w:val="bottom"/>
            <w:hideMark/>
          </w:tcPr>
          <w:p w:rsidRPr="00B52D66" w:rsidR="00B52D66" w:rsidP="00FC2172" w:rsidRDefault="00B52D66" w14:paraId="7252C276" w14:textId="77777777">
            <w:pPr>
              <w:spacing w:line="240" w:lineRule="auto"/>
              <w:jc w:val="right"/>
              <w:rPr>
                <w:rFonts w:cs="Arial"/>
                <w:b/>
                <w:bCs/>
                <w:szCs w:val="18"/>
                <w:lang w:val="en-GB" w:eastAsia="en-GB"/>
              </w:rPr>
            </w:pPr>
            <w:r w:rsidRPr="00B52D66">
              <w:rPr>
                <w:rFonts w:cs="Arial"/>
                <w:b/>
                <w:bCs/>
                <w:szCs w:val="18"/>
                <w:lang w:val="en-GB" w:eastAsia="en-GB"/>
              </w:rPr>
              <w:t>49.034</w:t>
            </w:r>
          </w:p>
        </w:tc>
        <w:tc>
          <w:tcPr>
            <w:tcW w:w="482" w:type="pct"/>
            <w:tcBorders>
              <w:top w:val="nil"/>
              <w:left w:val="nil"/>
              <w:right w:val="nil"/>
            </w:tcBorders>
            <w:noWrap/>
            <w:vAlign w:val="bottom"/>
            <w:hideMark/>
          </w:tcPr>
          <w:p w:rsidRPr="00B52D66" w:rsidR="00B52D66" w:rsidP="00FC2172" w:rsidRDefault="00B52D66" w14:paraId="6BFB276B" w14:textId="77777777">
            <w:pPr>
              <w:spacing w:line="240" w:lineRule="auto"/>
              <w:jc w:val="right"/>
              <w:rPr>
                <w:rFonts w:cs="Arial"/>
                <w:b/>
                <w:bCs/>
                <w:szCs w:val="18"/>
                <w:lang w:val="en-GB" w:eastAsia="en-GB"/>
              </w:rPr>
            </w:pPr>
            <w:r w:rsidRPr="00B52D66">
              <w:rPr>
                <w:rFonts w:cs="Arial"/>
                <w:b/>
                <w:bCs/>
                <w:szCs w:val="18"/>
                <w:lang w:val="en-GB" w:eastAsia="en-GB"/>
              </w:rPr>
              <w:t>46.319</w:t>
            </w:r>
          </w:p>
        </w:tc>
        <w:tc>
          <w:tcPr>
            <w:tcW w:w="482" w:type="pct"/>
            <w:tcBorders>
              <w:top w:val="nil"/>
              <w:left w:val="nil"/>
              <w:right w:val="nil"/>
            </w:tcBorders>
            <w:noWrap/>
            <w:vAlign w:val="bottom"/>
            <w:hideMark/>
          </w:tcPr>
          <w:p w:rsidRPr="00B52D66" w:rsidR="00B52D66" w:rsidP="00FC2172" w:rsidRDefault="00B52D66" w14:paraId="1D242C22" w14:textId="77777777">
            <w:pPr>
              <w:spacing w:line="240" w:lineRule="auto"/>
              <w:jc w:val="right"/>
              <w:rPr>
                <w:rFonts w:cs="Arial"/>
                <w:b/>
                <w:bCs/>
                <w:szCs w:val="18"/>
                <w:lang w:val="en-GB" w:eastAsia="en-GB"/>
              </w:rPr>
            </w:pPr>
            <w:r w:rsidRPr="00B52D66">
              <w:rPr>
                <w:rFonts w:cs="Arial"/>
                <w:b/>
                <w:bCs/>
                <w:szCs w:val="18"/>
                <w:lang w:val="en-GB" w:eastAsia="en-GB"/>
              </w:rPr>
              <w:t>46.899</w:t>
            </w:r>
          </w:p>
        </w:tc>
        <w:tc>
          <w:tcPr>
            <w:tcW w:w="482" w:type="pct"/>
            <w:tcBorders>
              <w:top w:val="nil"/>
              <w:left w:val="nil"/>
              <w:right w:val="nil"/>
            </w:tcBorders>
            <w:noWrap/>
            <w:vAlign w:val="bottom"/>
            <w:hideMark/>
          </w:tcPr>
          <w:p w:rsidRPr="00B52D66" w:rsidR="00B52D66" w:rsidP="00FC2172" w:rsidRDefault="00B52D66" w14:paraId="0FBDDC5C" w14:textId="77777777">
            <w:pPr>
              <w:spacing w:line="240" w:lineRule="auto"/>
              <w:jc w:val="right"/>
              <w:rPr>
                <w:rFonts w:cs="Arial"/>
                <w:b/>
                <w:bCs/>
                <w:szCs w:val="18"/>
                <w:lang w:val="en-GB" w:eastAsia="en-GB"/>
              </w:rPr>
            </w:pPr>
            <w:r w:rsidRPr="00B52D66">
              <w:rPr>
                <w:rFonts w:cs="Arial"/>
                <w:b/>
                <w:bCs/>
                <w:szCs w:val="18"/>
                <w:lang w:val="en-GB" w:eastAsia="en-GB"/>
              </w:rPr>
              <w:t>49.420</w:t>
            </w:r>
          </w:p>
        </w:tc>
        <w:tc>
          <w:tcPr>
            <w:tcW w:w="482" w:type="pct"/>
            <w:tcBorders>
              <w:top w:val="nil"/>
              <w:left w:val="nil"/>
              <w:right w:val="nil"/>
            </w:tcBorders>
            <w:noWrap/>
            <w:vAlign w:val="bottom"/>
            <w:hideMark/>
          </w:tcPr>
          <w:p w:rsidRPr="00B52D66" w:rsidR="00B52D66" w:rsidP="00FC2172" w:rsidRDefault="00B52D66" w14:paraId="01BB7E42" w14:textId="77777777">
            <w:pPr>
              <w:spacing w:line="240" w:lineRule="auto"/>
              <w:jc w:val="right"/>
              <w:rPr>
                <w:rFonts w:cs="Arial"/>
                <w:b/>
                <w:bCs/>
                <w:szCs w:val="18"/>
                <w:lang w:val="en-GB" w:eastAsia="en-GB"/>
              </w:rPr>
            </w:pPr>
            <w:r w:rsidRPr="00B52D66">
              <w:rPr>
                <w:rFonts w:cs="Arial"/>
                <w:b/>
                <w:bCs/>
                <w:szCs w:val="18"/>
                <w:lang w:val="en-GB" w:eastAsia="en-GB"/>
              </w:rPr>
              <w:t>48.258</w:t>
            </w:r>
          </w:p>
        </w:tc>
      </w:tr>
      <w:tr w:rsidRPr="00B52D66" w:rsidR="00B52D66" w:rsidTr="00B52D66" w14:paraId="3D78D04C" w14:textId="77777777">
        <w:trPr>
          <w:trHeight w:val="280"/>
        </w:trPr>
        <w:tc>
          <w:tcPr>
            <w:tcW w:w="2105" w:type="pct"/>
            <w:tcBorders>
              <w:top w:val="nil"/>
              <w:left w:val="nil"/>
              <w:right w:val="nil"/>
            </w:tcBorders>
            <w:noWrap/>
            <w:vAlign w:val="bottom"/>
            <w:hideMark/>
          </w:tcPr>
          <w:p w:rsidRPr="00B52D66" w:rsidR="00B52D66" w:rsidP="00FC2172" w:rsidRDefault="00B52D66" w14:paraId="14699A4E" w14:textId="77777777">
            <w:pPr>
              <w:spacing w:line="240" w:lineRule="auto"/>
              <w:rPr>
                <w:rFonts w:cs="Arial"/>
                <w:szCs w:val="18"/>
                <w:lang w:val="en-GB" w:eastAsia="en-GB"/>
              </w:rPr>
            </w:pPr>
            <w:r w:rsidRPr="00B52D66">
              <w:rPr>
                <w:rFonts w:cs="Arial"/>
                <w:szCs w:val="18"/>
                <w:lang w:val="en-GB" w:eastAsia="en-GB"/>
              </w:rPr>
              <w:t xml:space="preserve">   D&amp;P</w:t>
            </w:r>
          </w:p>
        </w:tc>
        <w:tc>
          <w:tcPr>
            <w:tcW w:w="482" w:type="pct"/>
            <w:tcBorders>
              <w:top w:val="nil"/>
              <w:left w:val="nil"/>
              <w:right w:val="nil"/>
            </w:tcBorders>
            <w:noWrap/>
            <w:vAlign w:val="bottom"/>
            <w:hideMark/>
          </w:tcPr>
          <w:p w:rsidRPr="00B52D66" w:rsidR="00B52D66" w:rsidP="00FC2172" w:rsidRDefault="00B52D66" w14:paraId="325158E3" w14:textId="77777777">
            <w:pPr>
              <w:spacing w:line="240" w:lineRule="auto"/>
              <w:jc w:val="right"/>
              <w:rPr>
                <w:rFonts w:cs="Arial"/>
                <w:szCs w:val="18"/>
                <w:lang w:val="en-GB" w:eastAsia="en-GB"/>
              </w:rPr>
            </w:pPr>
            <w:r w:rsidRPr="00B52D66">
              <w:rPr>
                <w:rFonts w:cs="Arial"/>
                <w:szCs w:val="18"/>
                <w:lang w:val="en-GB" w:eastAsia="en-GB"/>
              </w:rPr>
              <w:t>19.673</w:t>
            </w:r>
          </w:p>
        </w:tc>
        <w:tc>
          <w:tcPr>
            <w:tcW w:w="482" w:type="pct"/>
            <w:tcBorders>
              <w:top w:val="nil"/>
              <w:left w:val="nil"/>
              <w:right w:val="nil"/>
            </w:tcBorders>
            <w:noWrap/>
            <w:vAlign w:val="bottom"/>
            <w:hideMark/>
          </w:tcPr>
          <w:p w:rsidRPr="00B52D66" w:rsidR="00B52D66" w:rsidP="00FC2172" w:rsidRDefault="00B52D66" w14:paraId="75CBB8EE" w14:textId="77777777">
            <w:pPr>
              <w:spacing w:line="240" w:lineRule="auto"/>
              <w:jc w:val="right"/>
              <w:rPr>
                <w:rFonts w:cs="Arial"/>
                <w:szCs w:val="18"/>
                <w:lang w:val="en-GB" w:eastAsia="en-GB"/>
              </w:rPr>
            </w:pPr>
            <w:r w:rsidRPr="00B52D66">
              <w:rPr>
                <w:rFonts w:cs="Arial"/>
                <w:szCs w:val="18"/>
                <w:lang w:val="en-GB" w:eastAsia="en-GB"/>
              </w:rPr>
              <w:t>18.869</w:t>
            </w:r>
          </w:p>
        </w:tc>
        <w:tc>
          <w:tcPr>
            <w:tcW w:w="482" w:type="pct"/>
            <w:tcBorders>
              <w:top w:val="nil"/>
              <w:left w:val="nil"/>
              <w:right w:val="nil"/>
            </w:tcBorders>
            <w:noWrap/>
            <w:vAlign w:val="bottom"/>
            <w:hideMark/>
          </w:tcPr>
          <w:p w:rsidRPr="00B52D66" w:rsidR="00B52D66" w:rsidP="00FC2172" w:rsidRDefault="00B52D66" w14:paraId="238272B5" w14:textId="77777777">
            <w:pPr>
              <w:spacing w:line="240" w:lineRule="auto"/>
              <w:jc w:val="right"/>
              <w:rPr>
                <w:rFonts w:cs="Arial"/>
                <w:szCs w:val="18"/>
                <w:lang w:val="en-GB" w:eastAsia="en-GB"/>
              </w:rPr>
            </w:pPr>
            <w:r w:rsidRPr="00B52D66">
              <w:rPr>
                <w:rFonts w:cs="Arial"/>
                <w:szCs w:val="18"/>
                <w:lang w:val="en-GB" w:eastAsia="en-GB"/>
              </w:rPr>
              <w:t>17.110</w:t>
            </w:r>
          </w:p>
        </w:tc>
        <w:tc>
          <w:tcPr>
            <w:tcW w:w="482" w:type="pct"/>
            <w:tcBorders>
              <w:top w:val="nil"/>
              <w:left w:val="nil"/>
              <w:right w:val="nil"/>
            </w:tcBorders>
            <w:noWrap/>
            <w:vAlign w:val="bottom"/>
            <w:hideMark/>
          </w:tcPr>
          <w:p w:rsidRPr="00B52D66" w:rsidR="00B52D66" w:rsidP="00FC2172" w:rsidRDefault="00B52D66" w14:paraId="5E774120" w14:textId="77777777">
            <w:pPr>
              <w:spacing w:line="240" w:lineRule="auto"/>
              <w:jc w:val="right"/>
              <w:rPr>
                <w:rFonts w:cs="Arial"/>
                <w:szCs w:val="18"/>
                <w:lang w:val="en-GB" w:eastAsia="en-GB"/>
              </w:rPr>
            </w:pPr>
            <w:r w:rsidRPr="00B52D66">
              <w:rPr>
                <w:rFonts w:cs="Arial"/>
                <w:szCs w:val="18"/>
                <w:lang w:val="en-GB" w:eastAsia="en-GB"/>
              </w:rPr>
              <w:t>16.836</w:t>
            </w:r>
          </w:p>
        </w:tc>
        <w:tc>
          <w:tcPr>
            <w:tcW w:w="482" w:type="pct"/>
            <w:tcBorders>
              <w:top w:val="nil"/>
              <w:left w:val="nil"/>
              <w:right w:val="nil"/>
            </w:tcBorders>
            <w:noWrap/>
            <w:vAlign w:val="bottom"/>
            <w:hideMark/>
          </w:tcPr>
          <w:p w:rsidRPr="00B52D66" w:rsidR="00B52D66" w:rsidP="00FC2172" w:rsidRDefault="00B52D66" w14:paraId="200A4B62" w14:textId="77777777">
            <w:pPr>
              <w:spacing w:line="240" w:lineRule="auto"/>
              <w:jc w:val="right"/>
              <w:rPr>
                <w:rFonts w:cs="Arial"/>
                <w:szCs w:val="18"/>
                <w:lang w:val="en-GB" w:eastAsia="en-GB"/>
              </w:rPr>
            </w:pPr>
            <w:r w:rsidRPr="00B52D66">
              <w:rPr>
                <w:rFonts w:cs="Arial"/>
                <w:szCs w:val="18"/>
                <w:lang w:val="en-GB" w:eastAsia="en-GB"/>
              </w:rPr>
              <w:t>17.811</w:t>
            </w:r>
          </w:p>
        </w:tc>
        <w:tc>
          <w:tcPr>
            <w:tcW w:w="482" w:type="pct"/>
            <w:tcBorders>
              <w:top w:val="nil"/>
              <w:left w:val="nil"/>
              <w:right w:val="nil"/>
            </w:tcBorders>
            <w:noWrap/>
            <w:vAlign w:val="bottom"/>
            <w:hideMark/>
          </w:tcPr>
          <w:p w:rsidRPr="00B52D66" w:rsidR="00B52D66" w:rsidP="00FC2172" w:rsidRDefault="00B52D66" w14:paraId="45FAB183" w14:textId="77777777">
            <w:pPr>
              <w:spacing w:line="240" w:lineRule="auto"/>
              <w:jc w:val="right"/>
              <w:rPr>
                <w:rFonts w:cs="Arial"/>
                <w:szCs w:val="18"/>
                <w:lang w:val="en-GB" w:eastAsia="en-GB"/>
              </w:rPr>
            </w:pPr>
            <w:r w:rsidRPr="00B52D66">
              <w:rPr>
                <w:rFonts w:cs="Arial"/>
                <w:szCs w:val="18"/>
                <w:lang w:val="en-GB" w:eastAsia="en-GB"/>
              </w:rPr>
              <w:t>16.956</w:t>
            </w:r>
          </w:p>
        </w:tc>
      </w:tr>
      <w:tr w:rsidRPr="00B52D66" w:rsidR="00B52D66" w:rsidTr="00B52D66" w14:paraId="7E75E25F" w14:textId="77777777">
        <w:trPr>
          <w:trHeight w:val="280"/>
        </w:trPr>
        <w:tc>
          <w:tcPr>
            <w:tcW w:w="2105" w:type="pct"/>
            <w:tcBorders>
              <w:top w:val="nil"/>
              <w:left w:val="nil"/>
              <w:right w:val="nil"/>
            </w:tcBorders>
            <w:noWrap/>
            <w:vAlign w:val="bottom"/>
            <w:hideMark/>
          </w:tcPr>
          <w:p w:rsidRPr="00B52D66" w:rsidR="00B52D66" w:rsidP="00FC2172" w:rsidRDefault="00B52D66" w14:paraId="5EDBC80D" w14:textId="77777777">
            <w:pPr>
              <w:spacing w:line="240" w:lineRule="auto"/>
              <w:rPr>
                <w:rFonts w:cs="Arial"/>
                <w:szCs w:val="18"/>
                <w:lang w:val="en-GB" w:eastAsia="en-GB"/>
              </w:rPr>
            </w:pPr>
            <w:r w:rsidRPr="00B52D66">
              <w:rPr>
                <w:rFonts w:cs="Arial"/>
                <w:szCs w:val="18"/>
                <w:lang w:val="en-GB" w:eastAsia="en-GB"/>
              </w:rPr>
              <w:t xml:space="preserve">   E&amp;O</w:t>
            </w:r>
          </w:p>
        </w:tc>
        <w:tc>
          <w:tcPr>
            <w:tcW w:w="482" w:type="pct"/>
            <w:tcBorders>
              <w:top w:val="nil"/>
              <w:left w:val="nil"/>
              <w:right w:val="nil"/>
            </w:tcBorders>
            <w:noWrap/>
            <w:vAlign w:val="bottom"/>
            <w:hideMark/>
          </w:tcPr>
          <w:p w:rsidRPr="00B52D66" w:rsidR="00B52D66" w:rsidP="00FC2172" w:rsidRDefault="00B52D66" w14:paraId="30968FC3" w14:textId="77777777">
            <w:pPr>
              <w:spacing w:line="240" w:lineRule="auto"/>
              <w:jc w:val="right"/>
              <w:rPr>
                <w:rFonts w:cs="Arial"/>
                <w:szCs w:val="18"/>
                <w:lang w:val="en-GB" w:eastAsia="en-GB"/>
              </w:rPr>
            </w:pPr>
            <w:r w:rsidRPr="00B52D66">
              <w:rPr>
                <w:rFonts w:cs="Arial"/>
                <w:szCs w:val="18"/>
                <w:lang w:val="en-GB" w:eastAsia="en-GB"/>
              </w:rPr>
              <w:t>7.575</w:t>
            </w:r>
          </w:p>
        </w:tc>
        <w:tc>
          <w:tcPr>
            <w:tcW w:w="482" w:type="pct"/>
            <w:tcBorders>
              <w:top w:val="nil"/>
              <w:left w:val="nil"/>
              <w:right w:val="nil"/>
            </w:tcBorders>
            <w:noWrap/>
            <w:vAlign w:val="bottom"/>
            <w:hideMark/>
          </w:tcPr>
          <w:p w:rsidRPr="00B52D66" w:rsidR="00B52D66" w:rsidP="00FC2172" w:rsidRDefault="00B52D66" w14:paraId="1B15FB0B" w14:textId="77777777">
            <w:pPr>
              <w:spacing w:line="240" w:lineRule="auto"/>
              <w:jc w:val="right"/>
              <w:rPr>
                <w:rFonts w:cs="Arial"/>
                <w:szCs w:val="18"/>
                <w:lang w:val="en-GB" w:eastAsia="en-GB"/>
              </w:rPr>
            </w:pPr>
            <w:r w:rsidRPr="00B52D66">
              <w:rPr>
                <w:rFonts w:cs="Arial"/>
                <w:szCs w:val="18"/>
                <w:lang w:val="en-GB" w:eastAsia="en-GB"/>
              </w:rPr>
              <w:t>6.973</w:t>
            </w:r>
          </w:p>
        </w:tc>
        <w:tc>
          <w:tcPr>
            <w:tcW w:w="482" w:type="pct"/>
            <w:tcBorders>
              <w:top w:val="nil"/>
              <w:left w:val="nil"/>
              <w:right w:val="nil"/>
            </w:tcBorders>
            <w:noWrap/>
            <w:vAlign w:val="bottom"/>
            <w:hideMark/>
          </w:tcPr>
          <w:p w:rsidRPr="00B52D66" w:rsidR="00B52D66" w:rsidP="00FC2172" w:rsidRDefault="00B52D66" w14:paraId="354C883F" w14:textId="77777777">
            <w:pPr>
              <w:spacing w:line="240" w:lineRule="auto"/>
              <w:jc w:val="right"/>
              <w:rPr>
                <w:rFonts w:cs="Arial"/>
                <w:szCs w:val="18"/>
                <w:lang w:val="en-GB" w:eastAsia="en-GB"/>
              </w:rPr>
            </w:pPr>
            <w:r w:rsidRPr="00B52D66">
              <w:rPr>
                <w:rFonts w:cs="Arial"/>
                <w:szCs w:val="18"/>
                <w:lang w:val="en-GB" w:eastAsia="en-GB"/>
              </w:rPr>
              <w:t>6.163</w:t>
            </w:r>
          </w:p>
        </w:tc>
        <w:tc>
          <w:tcPr>
            <w:tcW w:w="482" w:type="pct"/>
            <w:tcBorders>
              <w:top w:val="nil"/>
              <w:left w:val="nil"/>
              <w:right w:val="nil"/>
            </w:tcBorders>
            <w:noWrap/>
            <w:vAlign w:val="bottom"/>
            <w:hideMark/>
          </w:tcPr>
          <w:p w:rsidRPr="00B52D66" w:rsidR="00B52D66" w:rsidP="00FC2172" w:rsidRDefault="00B52D66" w14:paraId="5413BC04" w14:textId="77777777">
            <w:pPr>
              <w:spacing w:line="240" w:lineRule="auto"/>
              <w:jc w:val="right"/>
              <w:rPr>
                <w:rFonts w:cs="Arial"/>
                <w:szCs w:val="18"/>
                <w:lang w:val="en-GB" w:eastAsia="en-GB"/>
              </w:rPr>
            </w:pPr>
            <w:r w:rsidRPr="00B52D66">
              <w:rPr>
                <w:rFonts w:cs="Arial"/>
                <w:szCs w:val="18"/>
                <w:lang w:val="en-GB" w:eastAsia="en-GB"/>
              </w:rPr>
              <w:t>5.915</w:t>
            </w:r>
          </w:p>
        </w:tc>
        <w:tc>
          <w:tcPr>
            <w:tcW w:w="482" w:type="pct"/>
            <w:tcBorders>
              <w:top w:val="nil"/>
              <w:left w:val="nil"/>
              <w:right w:val="nil"/>
            </w:tcBorders>
            <w:noWrap/>
            <w:vAlign w:val="bottom"/>
            <w:hideMark/>
          </w:tcPr>
          <w:p w:rsidRPr="00B52D66" w:rsidR="00B52D66" w:rsidP="00FC2172" w:rsidRDefault="00B52D66" w14:paraId="1420CB35" w14:textId="77777777">
            <w:pPr>
              <w:spacing w:line="240" w:lineRule="auto"/>
              <w:jc w:val="right"/>
              <w:rPr>
                <w:rFonts w:cs="Arial"/>
                <w:szCs w:val="18"/>
                <w:lang w:val="en-GB" w:eastAsia="en-GB"/>
              </w:rPr>
            </w:pPr>
            <w:r w:rsidRPr="00B52D66">
              <w:rPr>
                <w:rFonts w:cs="Arial"/>
                <w:szCs w:val="18"/>
                <w:lang w:val="en-GB" w:eastAsia="en-GB"/>
              </w:rPr>
              <w:t>5.831</w:t>
            </w:r>
          </w:p>
        </w:tc>
        <w:tc>
          <w:tcPr>
            <w:tcW w:w="482" w:type="pct"/>
            <w:tcBorders>
              <w:top w:val="nil"/>
              <w:left w:val="nil"/>
              <w:right w:val="nil"/>
            </w:tcBorders>
            <w:noWrap/>
            <w:vAlign w:val="bottom"/>
            <w:hideMark/>
          </w:tcPr>
          <w:p w:rsidRPr="00B52D66" w:rsidR="00B52D66" w:rsidP="00FC2172" w:rsidRDefault="00B52D66" w14:paraId="49207D5B" w14:textId="77777777">
            <w:pPr>
              <w:spacing w:line="240" w:lineRule="auto"/>
              <w:jc w:val="right"/>
              <w:rPr>
                <w:rFonts w:cs="Arial"/>
                <w:szCs w:val="18"/>
                <w:lang w:val="en-GB" w:eastAsia="en-GB"/>
              </w:rPr>
            </w:pPr>
            <w:r w:rsidRPr="00B52D66">
              <w:rPr>
                <w:rFonts w:cs="Arial"/>
                <w:szCs w:val="18"/>
                <w:lang w:val="en-GB" w:eastAsia="en-GB"/>
              </w:rPr>
              <w:t>5.449</w:t>
            </w:r>
          </w:p>
        </w:tc>
      </w:tr>
      <w:tr w:rsidRPr="00B52D66" w:rsidR="00B52D66" w:rsidTr="00B52D66" w14:paraId="4668A878" w14:textId="77777777">
        <w:trPr>
          <w:trHeight w:val="280"/>
        </w:trPr>
        <w:tc>
          <w:tcPr>
            <w:tcW w:w="2105" w:type="pct"/>
            <w:tcBorders>
              <w:top w:val="nil"/>
              <w:left w:val="nil"/>
              <w:right w:val="nil"/>
            </w:tcBorders>
            <w:noWrap/>
            <w:vAlign w:val="bottom"/>
            <w:hideMark/>
          </w:tcPr>
          <w:p w:rsidRPr="00B52D66" w:rsidR="00B52D66" w:rsidP="00FC2172" w:rsidRDefault="00B52D66" w14:paraId="0B7A604F" w14:textId="77777777">
            <w:pPr>
              <w:spacing w:line="240" w:lineRule="auto"/>
              <w:rPr>
                <w:rFonts w:cs="Arial"/>
                <w:szCs w:val="18"/>
                <w:lang w:val="en-GB" w:eastAsia="en-GB"/>
              </w:rPr>
            </w:pPr>
            <w:r w:rsidRPr="00B52D66">
              <w:rPr>
                <w:rFonts w:cs="Arial"/>
                <w:szCs w:val="18"/>
                <w:lang w:val="en-GB" w:eastAsia="en-GB"/>
              </w:rPr>
              <w:t xml:space="preserve">   Groen</w:t>
            </w:r>
          </w:p>
        </w:tc>
        <w:tc>
          <w:tcPr>
            <w:tcW w:w="482" w:type="pct"/>
            <w:tcBorders>
              <w:top w:val="nil"/>
              <w:left w:val="nil"/>
              <w:right w:val="nil"/>
            </w:tcBorders>
            <w:noWrap/>
            <w:vAlign w:val="bottom"/>
            <w:hideMark/>
          </w:tcPr>
          <w:p w:rsidRPr="00B52D66" w:rsidR="00B52D66" w:rsidP="00FC2172" w:rsidRDefault="00B52D66" w14:paraId="70CD6BAC" w14:textId="77777777">
            <w:pPr>
              <w:spacing w:line="240" w:lineRule="auto"/>
              <w:jc w:val="right"/>
              <w:rPr>
                <w:rFonts w:cs="Arial"/>
                <w:szCs w:val="18"/>
                <w:lang w:val="en-GB" w:eastAsia="en-GB"/>
              </w:rPr>
            </w:pPr>
            <w:r w:rsidRPr="00B52D66">
              <w:rPr>
                <w:rFonts w:cs="Arial"/>
                <w:szCs w:val="18"/>
                <w:lang w:val="en-GB" w:eastAsia="en-GB"/>
              </w:rPr>
              <w:t>8.221</w:t>
            </w:r>
          </w:p>
        </w:tc>
        <w:tc>
          <w:tcPr>
            <w:tcW w:w="482" w:type="pct"/>
            <w:tcBorders>
              <w:top w:val="nil"/>
              <w:left w:val="nil"/>
              <w:right w:val="nil"/>
            </w:tcBorders>
            <w:noWrap/>
            <w:vAlign w:val="bottom"/>
            <w:hideMark/>
          </w:tcPr>
          <w:p w:rsidRPr="00B52D66" w:rsidR="00B52D66" w:rsidP="00FC2172" w:rsidRDefault="00B52D66" w14:paraId="13A88F70" w14:textId="77777777">
            <w:pPr>
              <w:spacing w:line="240" w:lineRule="auto"/>
              <w:jc w:val="right"/>
              <w:rPr>
                <w:rFonts w:cs="Arial"/>
                <w:szCs w:val="18"/>
                <w:lang w:val="en-GB" w:eastAsia="en-GB"/>
              </w:rPr>
            </w:pPr>
            <w:r w:rsidRPr="00B52D66">
              <w:rPr>
                <w:rFonts w:cs="Arial"/>
                <w:szCs w:val="18"/>
                <w:lang w:val="en-GB" w:eastAsia="en-GB"/>
              </w:rPr>
              <w:t>7.864</w:t>
            </w:r>
          </w:p>
        </w:tc>
        <w:tc>
          <w:tcPr>
            <w:tcW w:w="482" w:type="pct"/>
            <w:tcBorders>
              <w:top w:val="nil"/>
              <w:left w:val="nil"/>
              <w:right w:val="nil"/>
            </w:tcBorders>
            <w:noWrap/>
            <w:vAlign w:val="bottom"/>
            <w:hideMark/>
          </w:tcPr>
          <w:p w:rsidRPr="00B52D66" w:rsidR="00B52D66" w:rsidP="00FC2172" w:rsidRDefault="00B52D66" w14:paraId="4493692B" w14:textId="77777777">
            <w:pPr>
              <w:spacing w:line="240" w:lineRule="auto"/>
              <w:jc w:val="right"/>
              <w:rPr>
                <w:rFonts w:cs="Arial"/>
                <w:szCs w:val="18"/>
                <w:lang w:val="en-GB" w:eastAsia="en-GB"/>
              </w:rPr>
            </w:pPr>
            <w:r w:rsidRPr="00B52D66">
              <w:rPr>
                <w:rFonts w:cs="Arial"/>
                <w:szCs w:val="18"/>
                <w:lang w:val="en-GB" w:eastAsia="en-GB"/>
              </w:rPr>
              <w:t>7.824</w:t>
            </w:r>
          </w:p>
        </w:tc>
        <w:tc>
          <w:tcPr>
            <w:tcW w:w="482" w:type="pct"/>
            <w:tcBorders>
              <w:top w:val="nil"/>
              <w:left w:val="nil"/>
              <w:right w:val="nil"/>
            </w:tcBorders>
            <w:noWrap/>
            <w:vAlign w:val="bottom"/>
            <w:hideMark/>
          </w:tcPr>
          <w:p w:rsidRPr="00B52D66" w:rsidR="00B52D66" w:rsidP="00FC2172" w:rsidRDefault="00B52D66" w14:paraId="66367A46" w14:textId="77777777">
            <w:pPr>
              <w:spacing w:line="240" w:lineRule="auto"/>
              <w:jc w:val="right"/>
              <w:rPr>
                <w:rFonts w:cs="Arial"/>
                <w:szCs w:val="18"/>
                <w:lang w:val="en-GB" w:eastAsia="en-GB"/>
              </w:rPr>
            </w:pPr>
            <w:r w:rsidRPr="00B52D66">
              <w:rPr>
                <w:rFonts w:cs="Arial"/>
                <w:szCs w:val="18"/>
                <w:lang w:val="en-GB" w:eastAsia="en-GB"/>
              </w:rPr>
              <w:t>8.419</w:t>
            </w:r>
          </w:p>
        </w:tc>
        <w:tc>
          <w:tcPr>
            <w:tcW w:w="482" w:type="pct"/>
            <w:tcBorders>
              <w:top w:val="nil"/>
              <w:left w:val="nil"/>
              <w:right w:val="nil"/>
            </w:tcBorders>
            <w:noWrap/>
            <w:vAlign w:val="bottom"/>
            <w:hideMark/>
          </w:tcPr>
          <w:p w:rsidRPr="00B52D66" w:rsidR="00B52D66" w:rsidP="00FC2172" w:rsidRDefault="00B52D66" w14:paraId="52FDBF99" w14:textId="77777777">
            <w:pPr>
              <w:spacing w:line="240" w:lineRule="auto"/>
              <w:jc w:val="right"/>
              <w:rPr>
                <w:rFonts w:cs="Arial"/>
                <w:szCs w:val="18"/>
                <w:lang w:val="en-GB" w:eastAsia="en-GB"/>
              </w:rPr>
            </w:pPr>
            <w:r w:rsidRPr="00B52D66">
              <w:rPr>
                <w:rFonts w:cs="Arial"/>
                <w:szCs w:val="18"/>
                <w:lang w:val="en-GB" w:eastAsia="en-GB"/>
              </w:rPr>
              <w:t>9.043</w:t>
            </w:r>
          </w:p>
        </w:tc>
        <w:tc>
          <w:tcPr>
            <w:tcW w:w="482" w:type="pct"/>
            <w:tcBorders>
              <w:top w:val="nil"/>
              <w:left w:val="nil"/>
              <w:right w:val="nil"/>
            </w:tcBorders>
            <w:noWrap/>
            <w:vAlign w:val="bottom"/>
            <w:hideMark/>
          </w:tcPr>
          <w:p w:rsidRPr="00B52D66" w:rsidR="00B52D66" w:rsidP="00FC2172" w:rsidRDefault="00B52D66" w14:paraId="6BAC2732" w14:textId="77777777">
            <w:pPr>
              <w:spacing w:line="240" w:lineRule="auto"/>
              <w:jc w:val="right"/>
              <w:rPr>
                <w:rFonts w:cs="Arial"/>
                <w:szCs w:val="18"/>
                <w:lang w:val="en-GB" w:eastAsia="en-GB"/>
              </w:rPr>
            </w:pPr>
            <w:r w:rsidRPr="00B52D66">
              <w:rPr>
                <w:rFonts w:cs="Arial"/>
                <w:szCs w:val="18"/>
                <w:lang w:val="en-GB" w:eastAsia="en-GB"/>
              </w:rPr>
              <w:t>9.613</w:t>
            </w:r>
          </w:p>
        </w:tc>
      </w:tr>
      <w:tr w:rsidRPr="00B52D66" w:rsidR="00B52D66" w:rsidTr="00B52D66" w14:paraId="75C85768" w14:textId="77777777">
        <w:trPr>
          <w:trHeight w:val="280"/>
        </w:trPr>
        <w:tc>
          <w:tcPr>
            <w:tcW w:w="2105" w:type="pct"/>
            <w:tcBorders>
              <w:top w:val="nil"/>
              <w:left w:val="nil"/>
              <w:right w:val="nil"/>
            </w:tcBorders>
            <w:noWrap/>
            <w:vAlign w:val="bottom"/>
            <w:hideMark/>
          </w:tcPr>
          <w:p w:rsidRPr="00B52D66" w:rsidR="00B52D66" w:rsidP="00FC2172" w:rsidRDefault="00B52D66" w14:paraId="3813CE73" w14:textId="77777777">
            <w:pPr>
              <w:spacing w:line="240" w:lineRule="auto"/>
              <w:rPr>
                <w:rFonts w:cs="Arial"/>
                <w:szCs w:val="18"/>
                <w:lang w:val="en-GB" w:eastAsia="en-GB"/>
              </w:rPr>
            </w:pPr>
            <w:r w:rsidRPr="00B52D66">
              <w:rPr>
                <w:rFonts w:cs="Arial"/>
                <w:szCs w:val="18"/>
                <w:lang w:val="en-GB" w:eastAsia="en-GB"/>
              </w:rPr>
              <w:t xml:space="preserve">   HBR</w:t>
            </w:r>
          </w:p>
        </w:tc>
        <w:tc>
          <w:tcPr>
            <w:tcW w:w="482" w:type="pct"/>
            <w:tcBorders>
              <w:top w:val="nil"/>
              <w:left w:val="nil"/>
              <w:right w:val="nil"/>
            </w:tcBorders>
            <w:noWrap/>
            <w:vAlign w:val="bottom"/>
            <w:hideMark/>
          </w:tcPr>
          <w:p w:rsidRPr="00B52D66" w:rsidR="00B52D66" w:rsidP="00FC2172" w:rsidRDefault="00B52D66" w14:paraId="6AE3D6DC" w14:textId="77777777">
            <w:pPr>
              <w:spacing w:line="240" w:lineRule="auto"/>
              <w:jc w:val="right"/>
              <w:rPr>
                <w:rFonts w:cs="Arial"/>
                <w:szCs w:val="18"/>
                <w:lang w:val="en-GB" w:eastAsia="en-GB"/>
              </w:rPr>
            </w:pPr>
            <w:r w:rsidRPr="00B52D66">
              <w:rPr>
                <w:rFonts w:cs="Arial"/>
                <w:szCs w:val="18"/>
                <w:lang w:val="en-GB" w:eastAsia="en-GB"/>
              </w:rPr>
              <w:t>2.608</w:t>
            </w:r>
          </w:p>
        </w:tc>
        <w:tc>
          <w:tcPr>
            <w:tcW w:w="482" w:type="pct"/>
            <w:tcBorders>
              <w:top w:val="nil"/>
              <w:left w:val="nil"/>
              <w:right w:val="nil"/>
            </w:tcBorders>
            <w:noWrap/>
            <w:vAlign w:val="bottom"/>
            <w:hideMark/>
          </w:tcPr>
          <w:p w:rsidRPr="00B52D66" w:rsidR="00B52D66" w:rsidP="00FC2172" w:rsidRDefault="00B52D66" w14:paraId="41B6A1E5" w14:textId="77777777">
            <w:pPr>
              <w:spacing w:line="240" w:lineRule="auto"/>
              <w:jc w:val="right"/>
              <w:rPr>
                <w:rFonts w:cs="Arial"/>
                <w:szCs w:val="18"/>
                <w:lang w:val="en-GB" w:eastAsia="en-GB"/>
              </w:rPr>
            </w:pPr>
            <w:r w:rsidRPr="00B52D66">
              <w:rPr>
                <w:rFonts w:cs="Arial"/>
                <w:szCs w:val="18"/>
                <w:lang w:val="en-GB" w:eastAsia="en-GB"/>
              </w:rPr>
              <w:t>2.502</w:t>
            </w:r>
          </w:p>
        </w:tc>
        <w:tc>
          <w:tcPr>
            <w:tcW w:w="482" w:type="pct"/>
            <w:tcBorders>
              <w:top w:val="nil"/>
              <w:left w:val="nil"/>
              <w:right w:val="nil"/>
            </w:tcBorders>
            <w:noWrap/>
            <w:vAlign w:val="bottom"/>
            <w:hideMark/>
          </w:tcPr>
          <w:p w:rsidRPr="00B52D66" w:rsidR="00B52D66" w:rsidP="00FC2172" w:rsidRDefault="00B52D66" w14:paraId="166D9E4B" w14:textId="77777777">
            <w:pPr>
              <w:spacing w:line="240" w:lineRule="auto"/>
              <w:jc w:val="right"/>
              <w:rPr>
                <w:rFonts w:cs="Arial"/>
                <w:szCs w:val="18"/>
                <w:lang w:val="en-GB" w:eastAsia="en-GB"/>
              </w:rPr>
            </w:pPr>
            <w:r w:rsidRPr="00B52D66">
              <w:rPr>
                <w:rFonts w:cs="Arial"/>
                <w:szCs w:val="18"/>
                <w:lang w:val="en-GB" w:eastAsia="en-GB"/>
              </w:rPr>
              <w:t>2.380</w:t>
            </w:r>
          </w:p>
        </w:tc>
        <w:tc>
          <w:tcPr>
            <w:tcW w:w="482" w:type="pct"/>
            <w:tcBorders>
              <w:top w:val="nil"/>
              <w:left w:val="nil"/>
              <w:right w:val="nil"/>
            </w:tcBorders>
            <w:noWrap/>
            <w:vAlign w:val="bottom"/>
            <w:hideMark/>
          </w:tcPr>
          <w:p w:rsidRPr="00B52D66" w:rsidR="00B52D66" w:rsidP="00FC2172" w:rsidRDefault="00B52D66" w14:paraId="065E5D65" w14:textId="77777777">
            <w:pPr>
              <w:spacing w:line="240" w:lineRule="auto"/>
              <w:jc w:val="right"/>
              <w:rPr>
                <w:rFonts w:cs="Arial"/>
                <w:szCs w:val="18"/>
                <w:lang w:val="en-GB" w:eastAsia="en-GB"/>
              </w:rPr>
            </w:pPr>
            <w:r w:rsidRPr="00B52D66">
              <w:rPr>
                <w:rFonts w:cs="Arial"/>
                <w:szCs w:val="18"/>
                <w:lang w:val="en-GB" w:eastAsia="en-GB"/>
              </w:rPr>
              <w:t>2.377</w:t>
            </w:r>
          </w:p>
        </w:tc>
        <w:tc>
          <w:tcPr>
            <w:tcW w:w="482" w:type="pct"/>
            <w:tcBorders>
              <w:top w:val="nil"/>
              <w:left w:val="nil"/>
              <w:right w:val="nil"/>
            </w:tcBorders>
            <w:noWrap/>
            <w:vAlign w:val="bottom"/>
            <w:hideMark/>
          </w:tcPr>
          <w:p w:rsidRPr="00B52D66" w:rsidR="00B52D66" w:rsidP="00FC2172" w:rsidRDefault="00B52D66" w14:paraId="6D319D5E" w14:textId="77777777">
            <w:pPr>
              <w:spacing w:line="240" w:lineRule="auto"/>
              <w:jc w:val="right"/>
              <w:rPr>
                <w:rFonts w:cs="Arial"/>
                <w:szCs w:val="18"/>
                <w:lang w:val="en-GB" w:eastAsia="en-GB"/>
              </w:rPr>
            </w:pPr>
            <w:r w:rsidRPr="00B52D66">
              <w:rPr>
                <w:rFonts w:cs="Arial"/>
                <w:szCs w:val="18"/>
                <w:lang w:val="en-GB" w:eastAsia="en-GB"/>
              </w:rPr>
              <w:t>2.724</w:t>
            </w:r>
          </w:p>
        </w:tc>
        <w:tc>
          <w:tcPr>
            <w:tcW w:w="482" w:type="pct"/>
            <w:tcBorders>
              <w:top w:val="nil"/>
              <w:left w:val="nil"/>
              <w:right w:val="nil"/>
            </w:tcBorders>
            <w:noWrap/>
            <w:vAlign w:val="bottom"/>
            <w:hideMark/>
          </w:tcPr>
          <w:p w:rsidRPr="00B52D66" w:rsidR="00B52D66" w:rsidP="00FC2172" w:rsidRDefault="00B52D66" w14:paraId="236F0966" w14:textId="77777777">
            <w:pPr>
              <w:spacing w:line="240" w:lineRule="auto"/>
              <w:jc w:val="right"/>
              <w:rPr>
                <w:rFonts w:cs="Arial"/>
                <w:szCs w:val="18"/>
                <w:lang w:val="en-GB" w:eastAsia="en-GB"/>
              </w:rPr>
            </w:pPr>
            <w:r w:rsidRPr="00B52D66">
              <w:rPr>
                <w:rFonts w:cs="Arial"/>
                <w:szCs w:val="18"/>
                <w:lang w:val="en-GB" w:eastAsia="en-GB"/>
              </w:rPr>
              <w:t>2.756</w:t>
            </w:r>
          </w:p>
        </w:tc>
      </w:tr>
      <w:tr w:rsidRPr="00B52D66" w:rsidR="00B52D66" w:rsidTr="00B52D66" w14:paraId="627CDABF" w14:textId="77777777">
        <w:trPr>
          <w:trHeight w:val="280"/>
        </w:trPr>
        <w:tc>
          <w:tcPr>
            <w:tcW w:w="2105" w:type="pct"/>
            <w:tcBorders>
              <w:top w:val="nil"/>
              <w:left w:val="nil"/>
              <w:right w:val="nil"/>
            </w:tcBorders>
            <w:noWrap/>
            <w:vAlign w:val="bottom"/>
            <w:hideMark/>
          </w:tcPr>
          <w:p w:rsidRPr="00B52D66" w:rsidR="00B52D66" w:rsidP="00FC2172" w:rsidRDefault="00B52D66" w14:paraId="21CE2A51" w14:textId="77777777">
            <w:pPr>
              <w:spacing w:line="240" w:lineRule="auto"/>
              <w:rPr>
                <w:rFonts w:cs="Arial"/>
                <w:szCs w:val="18"/>
                <w:lang w:val="en-GB" w:eastAsia="en-GB"/>
              </w:rPr>
            </w:pPr>
            <w:r w:rsidRPr="00B52D66">
              <w:rPr>
                <w:rFonts w:cs="Arial"/>
                <w:szCs w:val="18"/>
                <w:lang w:val="en-GB" w:eastAsia="en-GB"/>
              </w:rPr>
              <w:t xml:space="preserve">   Z&amp;W</w:t>
            </w:r>
          </w:p>
        </w:tc>
        <w:tc>
          <w:tcPr>
            <w:tcW w:w="482" w:type="pct"/>
            <w:tcBorders>
              <w:top w:val="nil"/>
              <w:left w:val="nil"/>
              <w:right w:val="nil"/>
            </w:tcBorders>
            <w:noWrap/>
            <w:vAlign w:val="bottom"/>
            <w:hideMark/>
          </w:tcPr>
          <w:p w:rsidRPr="00B52D66" w:rsidR="00B52D66" w:rsidP="00FC2172" w:rsidRDefault="00B52D66" w14:paraId="7D3A30E0" w14:textId="77777777">
            <w:pPr>
              <w:spacing w:line="240" w:lineRule="auto"/>
              <w:jc w:val="right"/>
              <w:rPr>
                <w:rFonts w:cs="Arial"/>
                <w:szCs w:val="18"/>
                <w:lang w:val="en-GB" w:eastAsia="en-GB"/>
              </w:rPr>
            </w:pPr>
            <w:r w:rsidRPr="00B52D66">
              <w:rPr>
                <w:rFonts w:cs="Arial"/>
                <w:szCs w:val="18"/>
                <w:lang w:val="en-GB" w:eastAsia="en-GB"/>
              </w:rPr>
              <w:t>12.966</w:t>
            </w:r>
          </w:p>
        </w:tc>
        <w:tc>
          <w:tcPr>
            <w:tcW w:w="482" w:type="pct"/>
            <w:tcBorders>
              <w:top w:val="nil"/>
              <w:left w:val="nil"/>
              <w:right w:val="nil"/>
            </w:tcBorders>
            <w:noWrap/>
            <w:vAlign w:val="bottom"/>
            <w:hideMark/>
          </w:tcPr>
          <w:p w:rsidRPr="00B52D66" w:rsidR="00B52D66" w:rsidP="00FC2172" w:rsidRDefault="00B52D66" w14:paraId="3C71FE35" w14:textId="77777777">
            <w:pPr>
              <w:spacing w:line="240" w:lineRule="auto"/>
              <w:jc w:val="right"/>
              <w:rPr>
                <w:rFonts w:cs="Arial"/>
                <w:szCs w:val="18"/>
                <w:lang w:val="en-GB" w:eastAsia="en-GB"/>
              </w:rPr>
            </w:pPr>
            <w:r w:rsidRPr="00B52D66">
              <w:rPr>
                <w:rFonts w:cs="Arial"/>
                <w:szCs w:val="18"/>
                <w:lang w:val="en-GB" w:eastAsia="en-GB"/>
              </w:rPr>
              <w:t>12.826</w:t>
            </w:r>
          </w:p>
        </w:tc>
        <w:tc>
          <w:tcPr>
            <w:tcW w:w="482" w:type="pct"/>
            <w:tcBorders>
              <w:top w:val="nil"/>
              <w:left w:val="nil"/>
              <w:right w:val="nil"/>
            </w:tcBorders>
            <w:noWrap/>
            <w:vAlign w:val="bottom"/>
            <w:hideMark/>
          </w:tcPr>
          <w:p w:rsidRPr="00B52D66" w:rsidR="00B52D66" w:rsidP="00FC2172" w:rsidRDefault="00B52D66" w14:paraId="7C320267" w14:textId="77777777">
            <w:pPr>
              <w:spacing w:line="240" w:lineRule="auto"/>
              <w:jc w:val="right"/>
              <w:rPr>
                <w:rFonts w:cs="Arial"/>
                <w:szCs w:val="18"/>
                <w:lang w:val="en-GB" w:eastAsia="en-GB"/>
              </w:rPr>
            </w:pPr>
            <w:r w:rsidRPr="00B52D66">
              <w:rPr>
                <w:rFonts w:cs="Arial"/>
                <w:szCs w:val="18"/>
                <w:lang w:val="en-GB" w:eastAsia="en-GB"/>
              </w:rPr>
              <w:t>12.842</w:t>
            </w:r>
          </w:p>
        </w:tc>
        <w:tc>
          <w:tcPr>
            <w:tcW w:w="482" w:type="pct"/>
            <w:tcBorders>
              <w:top w:val="nil"/>
              <w:left w:val="nil"/>
              <w:right w:val="nil"/>
            </w:tcBorders>
            <w:noWrap/>
            <w:vAlign w:val="bottom"/>
            <w:hideMark/>
          </w:tcPr>
          <w:p w:rsidRPr="00B52D66" w:rsidR="00B52D66" w:rsidP="00FC2172" w:rsidRDefault="00B52D66" w14:paraId="259330BE" w14:textId="77777777">
            <w:pPr>
              <w:spacing w:line="240" w:lineRule="auto"/>
              <w:jc w:val="right"/>
              <w:rPr>
                <w:rFonts w:cs="Arial"/>
                <w:szCs w:val="18"/>
                <w:lang w:val="en-GB" w:eastAsia="en-GB"/>
              </w:rPr>
            </w:pPr>
            <w:r w:rsidRPr="00B52D66">
              <w:rPr>
                <w:rFonts w:cs="Arial"/>
                <w:szCs w:val="18"/>
                <w:lang w:val="en-GB" w:eastAsia="en-GB"/>
              </w:rPr>
              <w:t>13.352</w:t>
            </w:r>
          </w:p>
        </w:tc>
        <w:tc>
          <w:tcPr>
            <w:tcW w:w="482" w:type="pct"/>
            <w:tcBorders>
              <w:top w:val="nil"/>
              <w:left w:val="nil"/>
              <w:right w:val="nil"/>
            </w:tcBorders>
            <w:noWrap/>
            <w:vAlign w:val="bottom"/>
            <w:hideMark/>
          </w:tcPr>
          <w:p w:rsidRPr="00B52D66" w:rsidR="00B52D66" w:rsidP="00FC2172" w:rsidRDefault="00B52D66" w14:paraId="1AC19E4D" w14:textId="77777777">
            <w:pPr>
              <w:spacing w:line="240" w:lineRule="auto"/>
              <w:jc w:val="right"/>
              <w:rPr>
                <w:rFonts w:cs="Arial"/>
                <w:szCs w:val="18"/>
                <w:lang w:val="en-GB" w:eastAsia="en-GB"/>
              </w:rPr>
            </w:pPr>
            <w:r w:rsidRPr="00B52D66">
              <w:rPr>
                <w:rFonts w:cs="Arial"/>
                <w:szCs w:val="18"/>
                <w:lang w:val="en-GB" w:eastAsia="en-GB"/>
              </w:rPr>
              <w:t>14.011</w:t>
            </w:r>
          </w:p>
        </w:tc>
        <w:tc>
          <w:tcPr>
            <w:tcW w:w="482" w:type="pct"/>
            <w:tcBorders>
              <w:top w:val="nil"/>
              <w:left w:val="nil"/>
              <w:right w:val="nil"/>
            </w:tcBorders>
            <w:noWrap/>
            <w:vAlign w:val="bottom"/>
            <w:hideMark/>
          </w:tcPr>
          <w:p w:rsidRPr="00B52D66" w:rsidR="00B52D66" w:rsidP="00FC2172" w:rsidRDefault="00B52D66" w14:paraId="10E2A912" w14:textId="77777777">
            <w:pPr>
              <w:spacing w:line="240" w:lineRule="auto"/>
              <w:jc w:val="right"/>
              <w:rPr>
                <w:rFonts w:cs="Arial"/>
                <w:szCs w:val="18"/>
                <w:lang w:val="en-GB" w:eastAsia="en-GB"/>
              </w:rPr>
            </w:pPr>
            <w:r w:rsidRPr="00B52D66">
              <w:rPr>
                <w:rFonts w:cs="Arial"/>
                <w:szCs w:val="18"/>
                <w:lang w:val="en-GB" w:eastAsia="en-GB"/>
              </w:rPr>
              <w:t>13.484</w:t>
            </w:r>
          </w:p>
        </w:tc>
      </w:tr>
      <w:tr w:rsidRPr="00B52D66" w:rsidR="00B52D66" w:rsidTr="00B52D66" w14:paraId="73AFB7B0" w14:textId="77777777">
        <w:trPr>
          <w:trHeight w:val="280"/>
        </w:trPr>
        <w:tc>
          <w:tcPr>
            <w:tcW w:w="2105" w:type="pct"/>
            <w:tcBorders>
              <w:left w:val="nil"/>
              <w:right w:val="nil"/>
            </w:tcBorders>
            <w:noWrap/>
            <w:vAlign w:val="bottom"/>
            <w:hideMark/>
          </w:tcPr>
          <w:p w:rsidRPr="00B52D66" w:rsidR="00B52D66" w:rsidP="00FC2172" w:rsidRDefault="00B52D66" w14:paraId="6AE0CEF7" w14:textId="77777777">
            <w:pPr>
              <w:spacing w:line="240" w:lineRule="auto"/>
              <w:rPr>
                <w:rFonts w:cs="Arial"/>
                <w:b/>
                <w:bCs/>
                <w:szCs w:val="18"/>
                <w:lang w:eastAsia="en-GB"/>
              </w:rPr>
            </w:pPr>
            <w:r w:rsidRPr="00B52D66">
              <w:rPr>
                <w:rFonts w:cs="Arial"/>
                <w:b/>
                <w:bCs/>
                <w:szCs w:val="18"/>
                <w:lang w:eastAsia="en-GB"/>
              </w:rPr>
              <w:t xml:space="preserve"> Totaal afdelingsvakken en vakmanschaps-/beroepsroute</w:t>
            </w:r>
          </w:p>
        </w:tc>
        <w:tc>
          <w:tcPr>
            <w:tcW w:w="482" w:type="pct"/>
            <w:tcBorders>
              <w:left w:val="nil"/>
              <w:right w:val="nil"/>
            </w:tcBorders>
            <w:noWrap/>
            <w:vAlign w:val="bottom"/>
            <w:hideMark/>
          </w:tcPr>
          <w:p w:rsidRPr="00B52D66" w:rsidR="00B52D66" w:rsidP="00FC2172" w:rsidRDefault="00B52D66" w14:paraId="4D70C40E" w14:textId="77777777">
            <w:pPr>
              <w:spacing w:line="240" w:lineRule="auto"/>
              <w:jc w:val="right"/>
              <w:rPr>
                <w:rFonts w:cs="Arial"/>
                <w:b/>
                <w:bCs/>
                <w:szCs w:val="18"/>
                <w:lang w:val="en-GB" w:eastAsia="en-GB"/>
              </w:rPr>
            </w:pPr>
            <w:r w:rsidRPr="00B52D66">
              <w:rPr>
                <w:rFonts w:cs="Arial"/>
                <w:b/>
                <w:bCs/>
                <w:szCs w:val="18"/>
                <w:lang w:val="en-GB" w:eastAsia="en-GB"/>
              </w:rPr>
              <w:t>840</w:t>
            </w:r>
          </w:p>
        </w:tc>
        <w:tc>
          <w:tcPr>
            <w:tcW w:w="482" w:type="pct"/>
            <w:tcBorders>
              <w:left w:val="nil"/>
              <w:right w:val="nil"/>
            </w:tcBorders>
            <w:noWrap/>
            <w:vAlign w:val="bottom"/>
            <w:hideMark/>
          </w:tcPr>
          <w:p w:rsidRPr="00B52D66" w:rsidR="00B52D66" w:rsidP="00FC2172" w:rsidRDefault="00B52D66" w14:paraId="7A1E1D55" w14:textId="77777777">
            <w:pPr>
              <w:spacing w:line="240" w:lineRule="auto"/>
              <w:jc w:val="right"/>
              <w:rPr>
                <w:rFonts w:cs="Arial"/>
                <w:b/>
                <w:bCs/>
                <w:szCs w:val="18"/>
                <w:lang w:val="en-GB" w:eastAsia="en-GB"/>
              </w:rPr>
            </w:pPr>
            <w:r w:rsidRPr="00B52D66">
              <w:rPr>
                <w:rFonts w:cs="Arial"/>
                <w:b/>
                <w:bCs/>
                <w:szCs w:val="18"/>
                <w:lang w:val="en-GB" w:eastAsia="en-GB"/>
              </w:rPr>
              <w:t>771</w:t>
            </w:r>
          </w:p>
        </w:tc>
        <w:tc>
          <w:tcPr>
            <w:tcW w:w="482" w:type="pct"/>
            <w:tcBorders>
              <w:left w:val="nil"/>
              <w:right w:val="nil"/>
            </w:tcBorders>
            <w:noWrap/>
            <w:vAlign w:val="bottom"/>
            <w:hideMark/>
          </w:tcPr>
          <w:p w:rsidRPr="00B52D66" w:rsidR="00B52D66" w:rsidP="00FC2172" w:rsidRDefault="00B52D66" w14:paraId="70583452" w14:textId="77777777">
            <w:pPr>
              <w:spacing w:line="240" w:lineRule="auto"/>
              <w:jc w:val="right"/>
              <w:rPr>
                <w:rFonts w:cs="Arial"/>
                <w:b/>
                <w:bCs/>
                <w:szCs w:val="18"/>
                <w:lang w:val="en-GB" w:eastAsia="en-GB"/>
              </w:rPr>
            </w:pPr>
            <w:r w:rsidRPr="00B52D66">
              <w:rPr>
                <w:rFonts w:cs="Arial"/>
                <w:b/>
                <w:bCs/>
                <w:szCs w:val="18"/>
                <w:lang w:val="en-GB" w:eastAsia="en-GB"/>
              </w:rPr>
              <w:t>668</w:t>
            </w:r>
          </w:p>
        </w:tc>
        <w:tc>
          <w:tcPr>
            <w:tcW w:w="482" w:type="pct"/>
            <w:tcBorders>
              <w:left w:val="nil"/>
              <w:right w:val="nil"/>
            </w:tcBorders>
            <w:noWrap/>
            <w:vAlign w:val="bottom"/>
            <w:hideMark/>
          </w:tcPr>
          <w:p w:rsidRPr="00B52D66" w:rsidR="00B52D66" w:rsidP="00FC2172" w:rsidRDefault="00B52D66" w14:paraId="02DC241B" w14:textId="77777777">
            <w:pPr>
              <w:spacing w:line="240" w:lineRule="auto"/>
              <w:jc w:val="right"/>
              <w:rPr>
                <w:rFonts w:cs="Arial"/>
                <w:b/>
                <w:bCs/>
                <w:szCs w:val="18"/>
                <w:lang w:val="en-GB" w:eastAsia="en-GB"/>
              </w:rPr>
            </w:pPr>
            <w:r w:rsidRPr="00B52D66">
              <w:rPr>
                <w:rFonts w:cs="Arial"/>
                <w:b/>
                <w:bCs/>
                <w:szCs w:val="18"/>
                <w:lang w:val="en-GB" w:eastAsia="en-GB"/>
              </w:rPr>
              <w:t>97</w:t>
            </w:r>
          </w:p>
        </w:tc>
        <w:tc>
          <w:tcPr>
            <w:tcW w:w="482" w:type="pct"/>
            <w:tcBorders>
              <w:left w:val="nil"/>
              <w:right w:val="nil"/>
            </w:tcBorders>
            <w:noWrap/>
            <w:vAlign w:val="bottom"/>
            <w:hideMark/>
          </w:tcPr>
          <w:p w:rsidRPr="00B52D66" w:rsidR="00B52D66" w:rsidP="00FC2172" w:rsidRDefault="00B52D66" w14:paraId="5261CC17" w14:textId="77777777">
            <w:pPr>
              <w:spacing w:line="240" w:lineRule="auto"/>
              <w:jc w:val="right"/>
              <w:rPr>
                <w:rFonts w:cs="Arial"/>
                <w:b/>
                <w:bCs/>
                <w:szCs w:val="18"/>
                <w:lang w:val="en-GB" w:eastAsia="en-GB"/>
              </w:rPr>
            </w:pPr>
            <w:r w:rsidRPr="00B52D66">
              <w:rPr>
                <w:rFonts w:cs="Arial"/>
                <w:b/>
                <w:bCs/>
                <w:szCs w:val="18"/>
                <w:lang w:val="en-GB" w:eastAsia="en-GB"/>
              </w:rPr>
              <w:t>7</w:t>
            </w:r>
          </w:p>
        </w:tc>
        <w:tc>
          <w:tcPr>
            <w:tcW w:w="482" w:type="pct"/>
            <w:tcBorders>
              <w:left w:val="nil"/>
              <w:right w:val="nil"/>
            </w:tcBorders>
            <w:noWrap/>
            <w:vAlign w:val="bottom"/>
            <w:hideMark/>
          </w:tcPr>
          <w:p w:rsidRPr="00B52D66" w:rsidR="00B52D66" w:rsidP="00FC2172" w:rsidRDefault="00B52D66" w14:paraId="0CDF759D" w14:textId="77777777">
            <w:pPr>
              <w:spacing w:line="240" w:lineRule="auto"/>
              <w:jc w:val="right"/>
              <w:rPr>
                <w:rFonts w:cs="Arial"/>
                <w:b/>
                <w:bCs/>
                <w:szCs w:val="18"/>
                <w:lang w:val="en-GB" w:eastAsia="en-GB"/>
              </w:rPr>
            </w:pPr>
            <w:r w:rsidRPr="00B52D66">
              <w:rPr>
                <w:rFonts w:cs="Arial"/>
                <w:b/>
                <w:bCs/>
                <w:szCs w:val="18"/>
                <w:lang w:val="en-GB" w:eastAsia="en-GB"/>
              </w:rPr>
              <w:t>0</w:t>
            </w:r>
          </w:p>
        </w:tc>
      </w:tr>
      <w:tr w:rsidRPr="00B52D66" w:rsidR="00B52D66" w:rsidTr="00B52D66" w14:paraId="2730827B" w14:textId="77777777">
        <w:trPr>
          <w:trHeight w:val="280"/>
        </w:trPr>
        <w:tc>
          <w:tcPr>
            <w:tcW w:w="2105" w:type="pct"/>
            <w:tcBorders>
              <w:left w:val="nil"/>
              <w:bottom w:val="single" w:color="auto" w:sz="4" w:space="0"/>
              <w:right w:val="nil"/>
            </w:tcBorders>
            <w:noWrap/>
            <w:vAlign w:val="bottom"/>
          </w:tcPr>
          <w:p w:rsidRPr="00B52D66" w:rsidR="00B52D66" w:rsidP="00FC2172" w:rsidRDefault="00B52D66" w14:paraId="3726C8DC" w14:textId="77777777">
            <w:pPr>
              <w:spacing w:line="240" w:lineRule="auto"/>
              <w:rPr>
                <w:rFonts w:cs="Arial"/>
                <w:szCs w:val="18"/>
                <w:lang w:eastAsia="en-GB"/>
              </w:rPr>
            </w:pPr>
            <w:r w:rsidRPr="00B52D66">
              <w:rPr>
                <w:rFonts w:cs="Arial"/>
                <w:szCs w:val="18"/>
                <w:lang w:eastAsia="en-GB"/>
              </w:rPr>
              <w:t>Aandeel techniek (in procenten)</w:t>
            </w:r>
          </w:p>
        </w:tc>
        <w:tc>
          <w:tcPr>
            <w:tcW w:w="482" w:type="pct"/>
            <w:tcBorders>
              <w:left w:val="nil"/>
              <w:bottom w:val="single" w:color="auto" w:sz="4" w:space="0"/>
              <w:right w:val="nil"/>
            </w:tcBorders>
            <w:noWrap/>
            <w:vAlign w:val="bottom"/>
          </w:tcPr>
          <w:p w:rsidRPr="00B52D66" w:rsidR="00B52D66" w:rsidP="00FC2172" w:rsidRDefault="00B52D66" w14:paraId="65F46561" w14:textId="77777777">
            <w:pPr>
              <w:spacing w:line="240" w:lineRule="auto"/>
              <w:jc w:val="right"/>
              <w:rPr>
                <w:rFonts w:cs="Arial"/>
                <w:szCs w:val="18"/>
                <w:lang w:eastAsia="en-GB"/>
              </w:rPr>
            </w:pPr>
            <w:r w:rsidRPr="00B52D66">
              <w:rPr>
                <w:rFonts w:cs="Arial"/>
                <w:szCs w:val="18"/>
                <w:lang w:eastAsia="en-GB"/>
              </w:rPr>
              <w:t>19,3</w:t>
            </w:r>
          </w:p>
        </w:tc>
        <w:tc>
          <w:tcPr>
            <w:tcW w:w="482" w:type="pct"/>
            <w:tcBorders>
              <w:left w:val="nil"/>
              <w:bottom w:val="single" w:color="auto" w:sz="4" w:space="0"/>
              <w:right w:val="nil"/>
            </w:tcBorders>
            <w:noWrap/>
            <w:vAlign w:val="bottom"/>
          </w:tcPr>
          <w:p w:rsidRPr="00B52D66" w:rsidR="00B52D66" w:rsidP="00FC2172" w:rsidRDefault="00B52D66" w14:paraId="6BE222B0" w14:textId="77777777">
            <w:pPr>
              <w:spacing w:line="240" w:lineRule="auto"/>
              <w:jc w:val="right"/>
              <w:rPr>
                <w:rFonts w:cs="Arial"/>
                <w:szCs w:val="18"/>
                <w:lang w:eastAsia="en-GB"/>
              </w:rPr>
            </w:pPr>
            <w:r w:rsidRPr="00B52D66">
              <w:rPr>
                <w:rFonts w:cs="Arial"/>
                <w:szCs w:val="18"/>
                <w:lang w:eastAsia="en-GB"/>
              </w:rPr>
              <w:t>18,7</w:t>
            </w:r>
          </w:p>
        </w:tc>
        <w:tc>
          <w:tcPr>
            <w:tcW w:w="482" w:type="pct"/>
            <w:tcBorders>
              <w:left w:val="nil"/>
              <w:bottom w:val="single" w:color="auto" w:sz="4" w:space="0"/>
              <w:right w:val="nil"/>
            </w:tcBorders>
            <w:noWrap/>
            <w:vAlign w:val="bottom"/>
          </w:tcPr>
          <w:p w:rsidRPr="00B52D66" w:rsidR="00B52D66" w:rsidP="00FC2172" w:rsidRDefault="00B52D66" w14:paraId="5D599BB8" w14:textId="77777777">
            <w:pPr>
              <w:spacing w:line="240" w:lineRule="auto"/>
              <w:jc w:val="right"/>
              <w:rPr>
                <w:rFonts w:cs="Arial"/>
                <w:szCs w:val="18"/>
                <w:lang w:eastAsia="en-GB"/>
              </w:rPr>
            </w:pPr>
            <w:r w:rsidRPr="00B52D66">
              <w:rPr>
                <w:rFonts w:cs="Arial"/>
                <w:szCs w:val="18"/>
                <w:lang w:eastAsia="en-GB"/>
              </w:rPr>
              <w:t>19,4</w:t>
            </w:r>
          </w:p>
        </w:tc>
        <w:tc>
          <w:tcPr>
            <w:tcW w:w="482" w:type="pct"/>
            <w:tcBorders>
              <w:left w:val="nil"/>
              <w:bottom w:val="single" w:color="auto" w:sz="4" w:space="0"/>
              <w:right w:val="nil"/>
            </w:tcBorders>
            <w:noWrap/>
            <w:vAlign w:val="bottom"/>
          </w:tcPr>
          <w:p w:rsidRPr="00B52D66" w:rsidR="00B52D66" w:rsidP="00FC2172" w:rsidRDefault="00B52D66" w14:paraId="51B7BD55" w14:textId="77777777">
            <w:pPr>
              <w:spacing w:line="240" w:lineRule="auto"/>
              <w:jc w:val="right"/>
              <w:rPr>
                <w:rFonts w:cs="Arial"/>
                <w:szCs w:val="18"/>
                <w:lang w:eastAsia="en-GB"/>
              </w:rPr>
            </w:pPr>
            <w:r w:rsidRPr="00B52D66">
              <w:rPr>
                <w:rFonts w:cs="Arial"/>
                <w:szCs w:val="18"/>
                <w:lang w:eastAsia="en-GB"/>
              </w:rPr>
              <w:t>19,5</w:t>
            </w:r>
          </w:p>
        </w:tc>
        <w:tc>
          <w:tcPr>
            <w:tcW w:w="482" w:type="pct"/>
            <w:tcBorders>
              <w:left w:val="nil"/>
              <w:bottom w:val="single" w:color="auto" w:sz="4" w:space="0"/>
              <w:right w:val="nil"/>
            </w:tcBorders>
            <w:noWrap/>
            <w:vAlign w:val="bottom"/>
          </w:tcPr>
          <w:p w:rsidRPr="00B52D66" w:rsidR="00B52D66" w:rsidP="00FC2172" w:rsidRDefault="00B52D66" w14:paraId="10E73767" w14:textId="77777777">
            <w:pPr>
              <w:spacing w:line="240" w:lineRule="auto"/>
              <w:jc w:val="right"/>
              <w:rPr>
                <w:rFonts w:cs="Arial"/>
                <w:szCs w:val="18"/>
                <w:lang w:eastAsia="en-GB"/>
              </w:rPr>
            </w:pPr>
            <w:r w:rsidRPr="00B52D66">
              <w:rPr>
                <w:rFonts w:cs="Arial"/>
                <w:szCs w:val="18"/>
                <w:lang w:eastAsia="en-GB"/>
              </w:rPr>
              <w:t>20,2</w:t>
            </w:r>
          </w:p>
        </w:tc>
        <w:tc>
          <w:tcPr>
            <w:tcW w:w="482" w:type="pct"/>
            <w:tcBorders>
              <w:left w:val="nil"/>
              <w:bottom w:val="single" w:color="auto" w:sz="4" w:space="0"/>
              <w:right w:val="nil"/>
            </w:tcBorders>
            <w:noWrap/>
            <w:vAlign w:val="bottom"/>
          </w:tcPr>
          <w:p w:rsidRPr="00B52D66" w:rsidR="00B52D66" w:rsidP="00FC2172" w:rsidRDefault="00B52D66" w14:paraId="114535E0" w14:textId="77777777">
            <w:pPr>
              <w:spacing w:line="240" w:lineRule="auto"/>
              <w:jc w:val="right"/>
              <w:rPr>
                <w:rFonts w:cs="Arial"/>
                <w:szCs w:val="18"/>
                <w:lang w:eastAsia="en-GB"/>
              </w:rPr>
            </w:pPr>
            <w:r w:rsidRPr="00B52D66">
              <w:rPr>
                <w:rFonts w:cs="Arial"/>
                <w:szCs w:val="18"/>
                <w:lang w:eastAsia="en-GB"/>
              </w:rPr>
              <w:t>20,1</w:t>
            </w:r>
          </w:p>
        </w:tc>
      </w:tr>
    </w:tbl>
    <w:p w:rsidRPr="00B52D66" w:rsidR="00B52D66" w:rsidP="00B52D66" w:rsidRDefault="00B52D66" w14:paraId="0B0A73B1" w14:textId="77777777">
      <w:pPr>
        <w:rPr>
          <w:szCs w:val="18"/>
        </w:rPr>
      </w:pPr>
      <w:r w:rsidRPr="00B52D66">
        <w:rPr>
          <w:i/>
          <w:szCs w:val="18"/>
        </w:rPr>
        <w:t>Bron: DUO (eigen bewerking ROA).</w:t>
      </w:r>
    </w:p>
    <w:p w:rsidRPr="00B52D66" w:rsidR="00B52D66" w:rsidP="00B52D66" w:rsidRDefault="00B52D66" w14:paraId="2B04F9F6" w14:textId="77777777">
      <w:pPr>
        <w:spacing w:after="160" w:line="259" w:lineRule="auto"/>
        <w:rPr>
          <w:rFonts w:eastAsiaTheme="minorHAnsi" w:cstheme="minorBidi"/>
          <w:szCs w:val="18"/>
          <w:lang w:eastAsia="en-US"/>
        </w:rPr>
      </w:pPr>
      <w:r w:rsidRPr="00B52D66">
        <w:rPr>
          <w:rFonts w:eastAsiaTheme="minorHAnsi" w:cstheme="minorBidi"/>
          <w:szCs w:val="18"/>
          <w:lang w:eastAsia="en-US"/>
        </w:rPr>
        <w:br w:type="page"/>
      </w:r>
    </w:p>
    <w:p w:rsidRPr="00B52D66" w:rsidR="00B52D66" w:rsidP="00C43FA5" w:rsidRDefault="006C62B6" w14:paraId="78F60FBB" w14:textId="12F1CEA0">
      <w:r>
        <w:lastRenderedPageBreak/>
        <w:t>Tabel</w:t>
      </w:r>
      <w:r w:rsidRPr="00B52D66">
        <w:t xml:space="preserve"> </w:t>
      </w:r>
      <w:r>
        <w:t>B</w:t>
      </w:r>
      <w:r w:rsidR="00277065">
        <w:t>3</w:t>
      </w:r>
      <w:r w:rsidRPr="00B52D66" w:rsidR="00B52D66">
        <w:t>.</w:t>
      </w:r>
      <w:r>
        <w:t>13</w:t>
      </w:r>
      <w:r w:rsidRPr="00B52D66" w:rsidR="00B52D66">
        <w:t>. Aandeel vrouwelijke derdejaarsleerlingen naar leerweg en profiel, onderverdeeld in technische en niet-technische profielen: schooljaar 2018/2019 tot 2023/2024</w:t>
      </w:r>
    </w:p>
    <w:tbl>
      <w:tblPr>
        <w:tblW w:w="5000" w:type="pct"/>
        <w:tblLook w:val="04A0" w:firstRow="1" w:lastRow="0" w:firstColumn="1" w:lastColumn="0" w:noHBand="0" w:noVBand="1"/>
      </w:tblPr>
      <w:tblGrid>
        <w:gridCol w:w="2732"/>
        <w:gridCol w:w="1104"/>
        <w:gridCol w:w="1104"/>
        <w:gridCol w:w="1105"/>
        <w:gridCol w:w="1105"/>
        <w:gridCol w:w="1105"/>
        <w:gridCol w:w="1105"/>
      </w:tblGrid>
      <w:tr w:rsidRPr="00B52D66" w:rsidR="00B52D66" w:rsidTr="00B52D66" w14:paraId="4BDAAEE4" w14:textId="77777777">
        <w:trPr>
          <w:trHeight w:val="280"/>
        </w:trPr>
        <w:tc>
          <w:tcPr>
            <w:tcW w:w="2105" w:type="pct"/>
            <w:tcBorders>
              <w:top w:val="single" w:color="auto" w:sz="4" w:space="0"/>
              <w:left w:val="nil"/>
              <w:bottom w:val="single" w:color="auto" w:sz="4" w:space="0"/>
              <w:right w:val="nil"/>
            </w:tcBorders>
            <w:noWrap/>
            <w:vAlign w:val="bottom"/>
            <w:hideMark/>
          </w:tcPr>
          <w:p w:rsidRPr="00B52D66" w:rsidR="00B52D66" w:rsidP="00FC2172" w:rsidRDefault="00B52D66" w14:paraId="12C67013" w14:textId="77777777">
            <w:pPr>
              <w:spacing w:line="240" w:lineRule="auto"/>
              <w:rPr>
                <w:rFonts w:cs="Arial"/>
                <w:b/>
                <w:bCs/>
                <w:szCs w:val="18"/>
                <w:lang w:val="en-GB" w:eastAsia="en-GB"/>
              </w:rPr>
            </w:pPr>
            <w:r w:rsidRPr="00B52D66">
              <w:rPr>
                <w:rFonts w:cs="Arial"/>
                <w:b/>
                <w:bCs/>
                <w:szCs w:val="18"/>
                <w:lang w:val="en-GB" w:eastAsia="en-GB"/>
              </w:rPr>
              <w:t>In procenten</w:t>
            </w:r>
          </w:p>
        </w:tc>
        <w:tc>
          <w:tcPr>
            <w:tcW w:w="482" w:type="pct"/>
            <w:tcBorders>
              <w:top w:val="single" w:color="auto" w:sz="4" w:space="0"/>
              <w:left w:val="nil"/>
              <w:bottom w:val="single" w:color="auto" w:sz="4" w:space="0"/>
              <w:right w:val="nil"/>
            </w:tcBorders>
            <w:noWrap/>
            <w:vAlign w:val="bottom"/>
            <w:hideMark/>
          </w:tcPr>
          <w:p w:rsidRPr="00B52D66" w:rsidR="00B52D66" w:rsidP="00FC2172" w:rsidRDefault="00B52D66" w14:paraId="61C6352F" w14:textId="77777777">
            <w:pPr>
              <w:spacing w:line="240" w:lineRule="auto"/>
              <w:jc w:val="center"/>
              <w:rPr>
                <w:rFonts w:cs="Arial"/>
                <w:b/>
                <w:bCs/>
                <w:szCs w:val="18"/>
                <w:lang w:val="en-GB" w:eastAsia="en-GB"/>
              </w:rPr>
            </w:pPr>
            <w:r w:rsidRPr="00B52D66">
              <w:rPr>
                <w:rFonts w:cs="Arial"/>
                <w:b/>
                <w:bCs/>
                <w:szCs w:val="18"/>
                <w:lang w:val="en-GB" w:eastAsia="en-GB"/>
              </w:rPr>
              <w:t>2018/2019</w:t>
            </w:r>
          </w:p>
        </w:tc>
        <w:tc>
          <w:tcPr>
            <w:tcW w:w="482" w:type="pct"/>
            <w:tcBorders>
              <w:top w:val="single" w:color="auto" w:sz="4" w:space="0"/>
              <w:left w:val="nil"/>
              <w:bottom w:val="single" w:color="auto" w:sz="4" w:space="0"/>
              <w:right w:val="nil"/>
            </w:tcBorders>
            <w:noWrap/>
            <w:vAlign w:val="bottom"/>
            <w:hideMark/>
          </w:tcPr>
          <w:p w:rsidRPr="00B52D66" w:rsidR="00B52D66" w:rsidP="00FC2172" w:rsidRDefault="00B52D66" w14:paraId="0BF33354" w14:textId="77777777">
            <w:pPr>
              <w:spacing w:line="240" w:lineRule="auto"/>
              <w:jc w:val="center"/>
              <w:rPr>
                <w:rFonts w:cs="Arial"/>
                <w:b/>
                <w:bCs/>
                <w:szCs w:val="18"/>
                <w:lang w:val="en-GB" w:eastAsia="en-GB"/>
              </w:rPr>
            </w:pPr>
            <w:r w:rsidRPr="00B52D66">
              <w:rPr>
                <w:rFonts w:cs="Arial"/>
                <w:b/>
                <w:bCs/>
                <w:szCs w:val="18"/>
                <w:lang w:val="en-GB" w:eastAsia="en-GB"/>
              </w:rPr>
              <w:t>2019/2020</w:t>
            </w:r>
          </w:p>
        </w:tc>
        <w:tc>
          <w:tcPr>
            <w:tcW w:w="482" w:type="pct"/>
            <w:tcBorders>
              <w:top w:val="single" w:color="auto" w:sz="4" w:space="0"/>
              <w:left w:val="nil"/>
              <w:bottom w:val="single" w:color="auto" w:sz="4" w:space="0"/>
              <w:right w:val="nil"/>
            </w:tcBorders>
            <w:noWrap/>
            <w:vAlign w:val="bottom"/>
            <w:hideMark/>
          </w:tcPr>
          <w:p w:rsidRPr="00B52D66" w:rsidR="00B52D66" w:rsidP="00FC2172" w:rsidRDefault="00B52D66" w14:paraId="0C04DC89" w14:textId="77777777">
            <w:pPr>
              <w:spacing w:line="240" w:lineRule="auto"/>
              <w:jc w:val="center"/>
              <w:rPr>
                <w:rFonts w:cs="Arial"/>
                <w:b/>
                <w:bCs/>
                <w:szCs w:val="18"/>
                <w:lang w:val="en-GB" w:eastAsia="en-GB"/>
              </w:rPr>
            </w:pPr>
            <w:r w:rsidRPr="00B52D66">
              <w:rPr>
                <w:rFonts w:cs="Arial"/>
                <w:b/>
                <w:bCs/>
                <w:szCs w:val="18"/>
                <w:lang w:val="en-GB" w:eastAsia="en-GB"/>
              </w:rPr>
              <w:t>2020/2021</w:t>
            </w:r>
          </w:p>
        </w:tc>
        <w:tc>
          <w:tcPr>
            <w:tcW w:w="482" w:type="pct"/>
            <w:tcBorders>
              <w:top w:val="single" w:color="auto" w:sz="4" w:space="0"/>
              <w:left w:val="nil"/>
              <w:bottom w:val="single" w:color="auto" w:sz="4" w:space="0"/>
              <w:right w:val="nil"/>
            </w:tcBorders>
            <w:noWrap/>
            <w:vAlign w:val="bottom"/>
            <w:hideMark/>
          </w:tcPr>
          <w:p w:rsidRPr="00B52D66" w:rsidR="00B52D66" w:rsidP="00FC2172" w:rsidRDefault="00B52D66" w14:paraId="318D1E08" w14:textId="77777777">
            <w:pPr>
              <w:spacing w:line="240" w:lineRule="auto"/>
              <w:jc w:val="center"/>
              <w:rPr>
                <w:rFonts w:cs="Arial"/>
                <w:b/>
                <w:bCs/>
                <w:szCs w:val="18"/>
                <w:lang w:val="en-GB" w:eastAsia="en-GB"/>
              </w:rPr>
            </w:pPr>
            <w:r w:rsidRPr="00B52D66">
              <w:rPr>
                <w:rFonts w:cs="Arial"/>
                <w:b/>
                <w:bCs/>
                <w:szCs w:val="18"/>
                <w:lang w:val="en-GB" w:eastAsia="en-GB"/>
              </w:rPr>
              <w:t>2021/2022</w:t>
            </w:r>
          </w:p>
        </w:tc>
        <w:tc>
          <w:tcPr>
            <w:tcW w:w="482" w:type="pct"/>
            <w:tcBorders>
              <w:top w:val="single" w:color="auto" w:sz="4" w:space="0"/>
              <w:left w:val="nil"/>
              <w:bottom w:val="single" w:color="auto" w:sz="4" w:space="0"/>
              <w:right w:val="nil"/>
            </w:tcBorders>
            <w:noWrap/>
            <w:vAlign w:val="bottom"/>
            <w:hideMark/>
          </w:tcPr>
          <w:p w:rsidRPr="00B52D66" w:rsidR="00B52D66" w:rsidP="00FC2172" w:rsidRDefault="00B52D66" w14:paraId="0DC5DD78" w14:textId="77777777">
            <w:pPr>
              <w:spacing w:line="240" w:lineRule="auto"/>
              <w:jc w:val="center"/>
              <w:rPr>
                <w:rFonts w:cs="Arial"/>
                <w:b/>
                <w:bCs/>
                <w:szCs w:val="18"/>
                <w:lang w:val="en-GB" w:eastAsia="en-GB"/>
              </w:rPr>
            </w:pPr>
            <w:r w:rsidRPr="00B52D66">
              <w:rPr>
                <w:rFonts w:cs="Arial"/>
                <w:b/>
                <w:bCs/>
                <w:szCs w:val="18"/>
                <w:lang w:val="en-GB" w:eastAsia="en-GB"/>
              </w:rPr>
              <w:t>2022/2023</w:t>
            </w:r>
          </w:p>
        </w:tc>
        <w:tc>
          <w:tcPr>
            <w:tcW w:w="482" w:type="pct"/>
            <w:tcBorders>
              <w:top w:val="single" w:color="auto" w:sz="4" w:space="0"/>
              <w:left w:val="nil"/>
              <w:bottom w:val="single" w:color="auto" w:sz="4" w:space="0"/>
              <w:right w:val="nil"/>
            </w:tcBorders>
            <w:noWrap/>
            <w:vAlign w:val="bottom"/>
            <w:hideMark/>
          </w:tcPr>
          <w:p w:rsidRPr="00B52D66" w:rsidR="00B52D66" w:rsidP="00FC2172" w:rsidRDefault="00B52D66" w14:paraId="7ACDFFC9" w14:textId="77777777">
            <w:pPr>
              <w:spacing w:line="240" w:lineRule="auto"/>
              <w:jc w:val="center"/>
              <w:rPr>
                <w:rFonts w:cs="Arial"/>
                <w:b/>
                <w:bCs/>
                <w:szCs w:val="18"/>
                <w:lang w:val="en-GB" w:eastAsia="en-GB"/>
              </w:rPr>
            </w:pPr>
            <w:r w:rsidRPr="00B52D66">
              <w:rPr>
                <w:rFonts w:cs="Arial"/>
                <w:b/>
                <w:bCs/>
                <w:szCs w:val="18"/>
                <w:lang w:val="en-GB" w:eastAsia="en-GB"/>
              </w:rPr>
              <w:t>2023/2024</w:t>
            </w:r>
          </w:p>
        </w:tc>
      </w:tr>
      <w:tr w:rsidRPr="00B52D66" w:rsidR="00B52D66" w:rsidTr="00B52D66" w14:paraId="60C0175B"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1F7437D2" w14:textId="77777777">
            <w:pPr>
              <w:spacing w:line="240" w:lineRule="auto"/>
              <w:rPr>
                <w:rFonts w:cs="Arial"/>
                <w:b/>
                <w:bCs/>
                <w:szCs w:val="18"/>
                <w:lang w:val="en-GB" w:eastAsia="en-GB"/>
              </w:rPr>
            </w:pPr>
            <w:r w:rsidRPr="00B52D66">
              <w:rPr>
                <w:rFonts w:cs="Arial"/>
                <w:b/>
                <w:bCs/>
                <w:szCs w:val="18"/>
                <w:lang w:val="en-GB" w:eastAsia="en-GB"/>
              </w:rPr>
              <w:t>Basisberoepsgerichte leerweg</w:t>
            </w:r>
          </w:p>
        </w:tc>
        <w:tc>
          <w:tcPr>
            <w:tcW w:w="482" w:type="pct"/>
            <w:tcBorders>
              <w:top w:val="nil"/>
              <w:left w:val="nil"/>
              <w:bottom w:val="nil"/>
              <w:right w:val="nil"/>
            </w:tcBorders>
            <w:noWrap/>
            <w:vAlign w:val="bottom"/>
            <w:hideMark/>
          </w:tcPr>
          <w:p w:rsidRPr="00B52D66" w:rsidR="00B52D66" w:rsidP="00FC2172" w:rsidRDefault="00B52D66" w14:paraId="488E48B5"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1588244B"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22E5113D"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48D30948"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6317EADE"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279A2D14" w14:textId="77777777">
            <w:pPr>
              <w:spacing w:line="240" w:lineRule="auto"/>
              <w:jc w:val="center"/>
              <w:rPr>
                <w:rFonts w:cs="Arial"/>
                <w:b/>
                <w:bCs/>
                <w:szCs w:val="18"/>
                <w:lang w:val="en-GB" w:eastAsia="en-GB"/>
              </w:rPr>
            </w:pPr>
            <w:r w:rsidRPr="00B52D66">
              <w:rPr>
                <w:rFonts w:cs="Arial"/>
                <w:b/>
                <w:bCs/>
                <w:szCs w:val="18"/>
                <w:lang w:val="en-GB" w:eastAsia="en-GB"/>
              </w:rPr>
              <w:t> </w:t>
            </w:r>
          </w:p>
        </w:tc>
      </w:tr>
      <w:tr w:rsidRPr="00B52D66" w:rsidR="00B52D66" w:rsidTr="00B52D66" w14:paraId="28079995"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444CD5A6" w14:textId="77777777">
            <w:pPr>
              <w:spacing w:line="240" w:lineRule="auto"/>
              <w:rPr>
                <w:rFonts w:cs="Arial"/>
                <w:b/>
                <w:bCs/>
                <w:szCs w:val="18"/>
                <w:lang w:val="en-GB" w:eastAsia="en-GB"/>
              </w:rPr>
            </w:pPr>
            <w:r w:rsidRPr="00B52D66">
              <w:rPr>
                <w:rFonts w:cs="Arial"/>
                <w:b/>
                <w:bCs/>
                <w:szCs w:val="18"/>
                <w:lang w:val="en-GB" w:eastAsia="en-GB"/>
              </w:rPr>
              <w:t xml:space="preserve">  Techniek</w:t>
            </w:r>
          </w:p>
        </w:tc>
        <w:tc>
          <w:tcPr>
            <w:tcW w:w="482" w:type="pct"/>
            <w:tcBorders>
              <w:top w:val="nil"/>
              <w:left w:val="nil"/>
              <w:bottom w:val="nil"/>
              <w:right w:val="nil"/>
            </w:tcBorders>
            <w:noWrap/>
            <w:vAlign w:val="bottom"/>
            <w:hideMark/>
          </w:tcPr>
          <w:p w:rsidRPr="00B52D66" w:rsidR="00B52D66" w:rsidP="00FC2172" w:rsidRDefault="00B52D66" w14:paraId="52AD281B"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57E875BD"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0BF9BD03"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06D4DE68"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2F64E5BE"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4CCE7913" w14:textId="77777777">
            <w:pPr>
              <w:spacing w:line="240" w:lineRule="auto"/>
              <w:jc w:val="center"/>
              <w:rPr>
                <w:rFonts w:cs="Arial"/>
                <w:b/>
                <w:bCs/>
                <w:szCs w:val="18"/>
                <w:lang w:val="en-GB" w:eastAsia="en-GB"/>
              </w:rPr>
            </w:pPr>
            <w:r w:rsidRPr="00B52D66">
              <w:rPr>
                <w:rFonts w:cs="Arial"/>
                <w:b/>
                <w:bCs/>
                <w:szCs w:val="18"/>
                <w:lang w:val="en-GB" w:eastAsia="en-GB"/>
              </w:rPr>
              <w:t> </w:t>
            </w:r>
          </w:p>
        </w:tc>
      </w:tr>
      <w:tr w:rsidRPr="00B52D66" w:rsidR="00B52D66" w:rsidTr="00B52D66" w14:paraId="66DBEB33" w14:textId="77777777">
        <w:trPr>
          <w:trHeight w:val="280"/>
        </w:trPr>
        <w:tc>
          <w:tcPr>
            <w:tcW w:w="2105" w:type="pct"/>
            <w:tcBorders>
              <w:top w:val="nil"/>
              <w:left w:val="nil"/>
              <w:bottom w:val="nil"/>
              <w:right w:val="nil"/>
            </w:tcBorders>
            <w:noWrap/>
            <w:hideMark/>
          </w:tcPr>
          <w:p w:rsidRPr="00B52D66" w:rsidR="00B52D66" w:rsidP="00FC2172" w:rsidRDefault="00B52D66" w14:paraId="469BAE23" w14:textId="77777777">
            <w:pPr>
              <w:spacing w:line="240" w:lineRule="auto"/>
              <w:rPr>
                <w:rFonts w:cs="Arial"/>
                <w:szCs w:val="18"/>
                <w:lang w:val="en-GB" w:eastAsia="en-GB"/>
              </w:rPr>
            </w:pPr>
            <w:r w:rsidRPr="00B52D66">
              <w:rPr>
                <w:rFonts w:cs="Arial"/>
                <w:szCs w:val="18"/>
                <w:lang w:val="en-GB" w:eastAsia="en-GB"/>
              </w:rPr>
              <w:t xml:space="preserve">   BWI</w:t>
            </w:r>
          </w:p>
        </w:tc>
        <w:tc>
          <w:tcPr>
            <w:tcW w:w="482" w:type="pct"/>
            <w:tcBorders>
              <w:top w:val="nil"/>
              <w:left w:val="nil"/>
              <w:bottom w:val="nil"/>
              <w:right w:val="nil"/>
            </w:tcBorders>
            <w:noWrap/>
            <w:vAlign w:val="bottom"/>
            <w:hideMark/>
          </w:tcPr>
          <w:p w:rsidRPr="00B52D66" w:rsidR="00B52D66" w:rsidP="00FC2172" w:rsidRDefault="00B52D66" w14:paraId="5D7459B7" w14:textId="77777777">
            <w:pPr>
              <w:spacing w:line="240" w:lineRule="auto"/>
              <w:jc w:val="center"/>
              <w:rPr>
                <w:rFonts w:cs="Arial"/>
                <w:szCs w:val="18"/>
                <w:lang w:val="en-GB" w:eastAsia="en-GB"/>
              </w:rPr>
            </w:pPr>
            <w:r w:rsidRPr="00B52D66">
              <w:rPr>
                <w:rFonts w:cs="Arial"/>
                <w:szCs w:val="18"/>
                <w:lang w:val="en-GB" w:eastAsia="en-GB"/>
              </w:rPr>
              <w:t>9,2</w:t>
            </w:r>
          </w:p>
        </w:tc>
        <w:tc>
          <w:tcPr>
            <w:tcW w:w="482" w:type="pct"/>
            <w:tcBorders>
              <w:top w:val="nil"/>
              <w:left w:val="nil"/>
              <w:bottom w:val="nil"/>
              <w:right w:val="nil"/>
            </w:tcBorders>
            <w:noWrap/>
            <w:vAlign w:val="bottom"/>
            <w:hideMark/>
          </w:tcPr>
          <w:p w:rsidRPr="00B52D66" w:rsidR="00B52D66" w:rsidP="00FC2172" w:rsidRDefault="00B52D66" w14:paraId="53A2BBFD" w14:textId="77777777">
            <w:pPr>
              <w:spacing w:line="240" w:lineRule="auto"/>
              <w:jc w:val="center"/>
              <w:rPr>
                <w:rFonts w:cs="Arial"/>
                <w:szCs w:val="18"/>
                <w:lang w:val="en-GB" w:eastAsia="en-GB"/>
              </w:rPr>
            </w:pPr>
            <w:r w:rsidRPr="00B52D66">
              <w:rPr>
                <w:rFonts w:cs="Arial"/>
                <w:szCs w:val="18"/>
                <w:lang w:val="en-GB" w:eastAsia="en-GB"/>
              </w:rPr>
              <w:t>10,9</w:t>
            </w:r>
          </w:p>
        </w:tc>
        <w:tc>
          <w:tcPr>
            <w:tcW w:w="482" w:type="pct"/>
            <w:tcBorders>
              <w:top w:val="nil"/>
              <w:left w:val="nil"/>
              <w:bottom w:val="nil"/>
              <w:right w:val="nil"/>
            </w:tcBorders>
            <w:noWrap/>
            <w:vAlign w:val="bottom"/>
            <w:hideMark/>
          </w:tcPr>
          <w:p w:rsidRPr="00B52D66" w:rsidR="00B52D66" w:rsidP="00FC2172" w:rsidRDefault="00B52D66" w14:paraId="2512B214" w14:textId="77777777">
            <w:pPr>
              <w:spacing w:line="240" w:lineRule="auto"/>
              <w:jc w:val="center"/>
              <w:rPr>
                <w:rFonts w:cs="Arial"/>
                <w:szCs w:val="18"/>
                <w:lang w:val="en-GB" w:eastAsia="en-GB"/>
              </w:rPr>
            </w:pPr>
            <w:r w:rsidRPr="00B52D66">
              <w:rPr>
                <w:rFonts w:cs="Arial"/>
                <w:szCs w:val="18"/>
                <w:lang w:val="en-GB" w:eastAsia="en-GB"/>
              </w:rPr>
              <w:t>12,6</w:t>
            </w:r>
          </w:p>
        </w:tc>
        <w:tc>
          <w:tcPr>
            <w:tcW w:w="482" w:type="pct"/>
            <w:tcBorders>
              <w:top w:val="nil"/>
              <w:left w:val="nil"/>
              <w:bottom w:val="nil"/>
              <w:right w:val="nil"/>
            </w:tcBorders>
            <w:noWrap/>
            <w:vAlign w:val="bottom"/>
            <w:hideMark/>
          </w:tcPr>
          <w:p w:rsidRPr="00B52D66" w:rsidR="00B52D66" w:rsidP="00FC2172" w:rsidRDefault="00B52D66" w14:paraId="59466296" w14:textId="77777777">
            <w:pPr>
              <w:spacing w:line="240" w:lineRule="auto"/>
              <w:jc w:val="center"/>
              <w:rPr>
                <w:rFonts w:cs="Arial"/>
                <w:szCs w:val="18"/>
                <w:lang w:val="en-GB" w:eastAsia="en-GB"/>
              </w:rPr>
            </w:pPr>
            <w:r w:rsidRPr="00B52D66">
              <w:rPr>
                <w:rFonts w:cs="Arial"/>
                <w:szCs w:val="18"/>
                <w:lang w:val="en-GB" w:eastAsia="en-GB"/>
              </w:rPr>
              <w:t>10,7</w:t>
            </w:r>
          </w:p>
        </w:tc>
        <w:tc>
          <w:tcPr>
            <w:tcW w:w="482" w:type="pct"/>
            <w:tcBorders>
              <w:top w:val="nil"/>
              <w:left w:val="nil"/>
              <w:bottom w:val="nil"/>
              <w:right w:val="nil"/>
            </w:tcBorders>
            <w:noWrap/>
            <w:vAlign w:val="bottom"/>
            <w:hideMark/>
          </w:tcPr>
          <w:p w:rsidRPr="00B52D66" w:rsidR="00B52D66" w:rsidP="00FC2172" w:rsidRDefault="00B52D66" w14:paraId="7C40EC9B" w14:textId="77777777">
            <w:pPr>
              <w:spacing w:line="240" w:lineRule="auto"/>
              <w:jc w:val="center"/>
              <w:rPr>
                <w:rFonts w:cs="Arial"/>
                <w:szCs w:val="18"/>
                <w:lang w:val="en-GB" w:eastAsia="en-GB"/>
              </w:rPr>
            </w:pPr>
            <w:r w:rsidRPr="00B52D66">
              <w:rPr>
                <w:rFonts w:cs="Arial"/>
                <w:szCs w:val="18"/>
                <w:lang w:val="en-GB" w:eastAsia="en-GB"/>
              </w:rPr>
              <w:t>12,8</w:t>
            </w:r>
          </w:p>
        </w:tc>
        <w:tc>
          <w:tcPr>
            <w:tcW w:w="482" w:type="pct"/>
            <w:tcBorders>
              <w:top w:val="nil"/>
              <w:left w:val="nil"/>
              <w:bottom w:val="nil"/>
              <w:right w:val="nil"/>
            </w:tcBorders>
            <w:noWrap/>
            <w:vAlign w:val="bottom"/>
            <w:hideMark/>
          </w:tcPr>
          <w:p w:rsidRPr="00B52D66" w:rsidR="00B52D66" w:rsidP="00FC2172" w:rsidRDefault="00B52D66" w14:paraId="61C1E786" w14:textId="77777777">
            <w:pPr>
              <w:spacing w:line="240" w:lineRule="auto"/>
              <w:jc w:val="center"/>
              <w:rPr>
                <w:rFonts w:cs="Arial"/>
                <w:szCs w:val="18"/>
                <w:lang w:val="en-GB" w:eastAsia="en-GB"/>
              </w:rPr>
            </w:pPr>
            <w:r w:rsidRPr="00B52D66">
              <w:rPr>
                <w:rFonts w:cs="Arial"/>
                <w:szCs w:val="18"/>
                <w:lang w:val="en-GB" w:eastAsia="en-GB"/>
              </w:rPr>
              <w:t>14,1</w:t>
            </w:r>
          </w:p>
        </w:tc>
      </w:tr>
      <w:tr w:rsidRPr="00B52D66" w:rsidR="00B52D66" w:rsidTr="00B52D66" w14:paraId="4DB7A15B" w14:textId="77777777">
        <w:trPr>
          <w:trHeight w:val="280"/>
        </w:trPr>
        <w:tc>
          <w:tcPr>
            <w:tcW w:w="2105" w:type="pct"/>
            <w:tcBorders>
              <w:top w:val="nil"/>
              <w:left w:val="nil"/>
              <w:bottom w:val="nil"/>
              <w:right w:val="nil"/>
            </w:tcBorders>
            <w:noWrap/>
            <w:hideMark/>
          </w:tcPr>
          <w:p w:rsidRPr="00B52D66" w:rsidR="00B52D66" w:rsidP="00FC2172" w:rsidRDefault="00B52D66" w14:paraId="1DDAF678" w14:textId="77777777">
            <w:pPr>
              <w:spacing w:line="240" w:lineRule="auto"/>
              <w:rPr>
                <w:rFonts w:cs="Arial"/>
                <w:szCs w:val="18"/>
                <w:lang w:val="en-GB" w:eastAsia="en-GB"/>
              </w:rPr>
            </w:pPr>
            <w:r w:rsidRPr="00B52D66">
              <w:rPr>
                <w:rFonts w:cs="Arial"/>
                <w:szCs w:val="18"/>
                <w:lang w:val="en-GB" w:eastAsia="en-GB"/>
              </w:rPr>
              <w:t xml:space="preserve">   MaT</w:t>
            </w:r>
          </w:p>
        </w:tc>
        <w:tc>
          <w:tcPr>
            <w:tcW w:w="482" w:type="pct"/>
            <w:tcBorders>
              <w:top w:val="nil"/>
              <w:left w:val="nil"/>
              <w:bottom w:val="nil"/>
              <w:right w:val="nil"/>
            </w:tcBorders>
            <w:noWrap/>
            <w:vAlign w:val="bottom"/>
            <w:hideMark/>
          </w:tcPr>
          <w:p w:rsidRPr="00B52D66" w:rsidR="00B52D66" w:rsidP="00FC2172" w:rsidRDefault="00B52D66" w14:paraId="742E257E" w14:textId="77777777">
            <w:pPr>
              <w:spacing w:line="240" w:lineRule="auto"/>
              <w:jc w:val="center"/>
              <w:rPr>
                <w:rFonts w:cs="Arial"/>
                <w:szCs w:val="18"/>
                <w:lang w:val="en-GB" w:eastAsia="en-GB"/>
              </w:rPr>
            </w:pPr>
            <w:r w:rsidRPr="00B52D66">
              <w:rPr>
                <w:rFonts w:cs="Arial"/>
                <w:szCs w:val="18"/>
                <w:lang w:val="en-GB" w:eastAsia="en-GB"/>
              </w:rPr>
              <w:t>6,9</w:t>
            </w:r>
          </w:p>
        </w:tc>
        <w:tc>
          <w:tcPr>
            <w:tcW w:w="482" w:type="pct"/>
            <w:tcBorders>
              <w:top w:val="nil"/>
              <w:left w:val="nil"/>
              <w:bottom w:val="nil"/>
              <w:right w:val="nil"/>
            </w:tcBorders>
            <w:noWrap/>
            <w:vAlign w:val="bottom"/>
            <w:hideMark/>
          </w:tcPr>
          <w:p w:rsidRPr="00B52D66" w:rsidR="00B52D66" w:rsidP="00FC2172" w:rsidRDefault="00B52D66" w14:paraId="2961530D" w14:textId="77777777">
            <w:pPr>
              <w:spacing w:line="240" w:lineRule="auto"/>
              <w:jc w:val="center"/>
              <w:rPr>
                <w:rFonts w:cs="Arial"/>
                <w:szCs w:val="18"/>
                <w:lang w:val="en-GB" w:eastAsia="en-GB"/>
              </w:rPr>
            </w:pPr>
            <w:r w:rsidRPr="00B52D66">
              <w:rPr>
                <w:rFonts w:cs="Arial"/>
                <w:szCs w:val="18"/>
                <w:lang w:val="en-GB" w:eastAsia="en-GB"/>
              </w:rPr>
              <w:t>4,7</w:t>
            </w:r>
          </w:p>
        </w:tc>
        <w:tc>
          <w:tcPr>
            <w:tcW w:w="482" w:type="pct"/>
            <w:tcBorders>
              <w:top w:val="nil"/>
              <w:left w:val="nil"/>
              <w:bottom w:val="nil"/>
              <w:right w:val="nil"/>
            </w:tcBorders>
            <w:noWrap/>
            <w:vAlign w:val="bottom"/>
            <w:hideMark/>
          </w:tcPr>
          <w:p w:rsidRPr="00B52D66" w:rsidR="00B52D66" w:rsidP="00FC2172" w:rsidRDefault="00B52D66" w14:paraId="15BBF25E" w14:textId="77777777">
            <w:pPr>
              <w:spacing w:line="240" w:lineRule="auto"/>
              <w:jc w:val="center"/>
              <w:rPr>
                <w:rFonts w:cs="Arial"/>
                <w:szCs w:val="18"/>
                <w:lang w:val="en-GB" w:eastAsia="en-GB"/>
              </w:rPr>
            </w:pPr>
            <w:r w:rsidRPr="00B52D66">
              <w:rPr>
                <w:rFonts w:cs="Arial"/>
                <w:szCs w:val="18"/>
                <w:lang w:val="en-GB" w:eastAsia="en-GB"/>
              </w:rPr>
              <w:t>11,9</w:t>
            </w:r>
          </w:p>
        </w:tc>
        <w:tc>
          <w:tcPr>
            <w:tcW w:w="482" w:type="pct"/>
            <w:tcBorders>
              <w:top w:val="nil"/>
              <w:left w:val="nil"/>
              <w:bottom w:val="nil"/>
              <w:right w:val="nil"/>
            </w:tcBorders>
            <w:noWrap/>
            <w:vAlign w:val="bottom"/>
            <w:hideMark/>
          </w:tcPr>
          <w:p w:rsidRPr="00B52D66" w:rsidR="00B52D66" w:rsidP="00FC2172" w:rsidRDefault="00B52D66" w14:paraId="664DAF0D" w14:textId="77777777">
            <w:pPr>
              <w:spacing w:line="240" w:lineRule="auto"/>
              <w:jc w:val="center"/>
              <w:rPr>
                <w:rFonts w:cs="Arial"/>
                <w:szCs w:val="18"/>
                <w:lang w:val="en-GB" w:eastAsia="en-GB"/>
              </w:rPr>
            </w:pPr>
            <w:r w:rsidRPr="00B52D66">
              <w:rPr>
                <w:rFonts w:cs="Arial"/>
                <w:szCs w:val="18"/>
                <w:lang w:val="en-GB" w:eastAsia="en-GB"/>
              </w:rPr>
              <w:t>13,0</w:t>
            </w:r>
          </w:p>
        </w:tc>
        <w:tc>
          <w:tcPr>
            <w:tcW w:w="482" w:type="pct"/>
            <w:tcBorders>
              <w:top w:val="nil"/>
              <w:left w:val="nil"/>
              <w:bottom w:val="nil"/>
              <w:right w:val="nil"/>
            </w:tcBorders>
            <w:noWrap/>
            <w:vAlign w:val="bottom"/>
            <w:hideMark/>
          </w:tcPr>
          <w:p w:rsidRPr="00B52D66" w:rsidR="00B52D66" w:rsidP="00FC2172" w:rsidRDefault="00B52D66" w14:paraId="4D417AAF" w14:textId="77777777">
            <w:pPr>
              <w:spacing w:line="240" w:lineRule="auto"/>
              <w:jc w:val="center"/>
              <w:rPr>
                <w:rFonts w:cs="Arial"/>
                <w:szCs w:val="18"/>
                <w:lang w:val="en-GB" w:eastAsia="en-GB"/>
              </w:rPr>
            </w:pPr>
            <w:r w:rsidRPr="00B52D66">
              <w:rPr>
                <w:rFonts w:cs="Arial"/>
                <w:szCs w:val="18"/>
                <w:lang w:val="en-GB" w:eastAsia="en-GB"/>
              </w:rPr>
              <w:t>7,0</w:t>
            </w:r>
          </w:p>
        </w:tc>
        <w:tc>
          <w:tcPr>
            <w:tcW w:w="482" w:type="pct"/>
            <w:tcBorders>
              <w:top w:val="nil"/>
              <w:left w:val="nil"/>
              <w:bottom w:val="nil"/>
              <w:right w:val="nil"/>
            </w:tcBorders>
            <w:noWrap/>
            <w:vAlign w:val="bottom"/>
            <w:hideMark/>
          </w:tcPr>
          <w:p w:rsidRPr="00B52D66" w:rsidR="00B52D66" w:rsidP="00FC2172" w:rsidRDefault="00B52D66" w14:paraId="640C7A2B" w14:textId="77777777">
            <w:pPr>
              <w:spacing w:line="240" w:lineRule="auto"/>
              <w:jc w:val="center"/>
              <w:rPr>
                <w:rFonts w:cs="Arial"/>
                <w:szCs w:val="18"/>
                <w:lang w:val="en-GB" w:eastAsia="en-GB"/>
              </w:rPr>
            </w:pPr>
            <w:r w:rsidRPr="00B52D66">
              <w:rPr>
                <w:rFonts w:cs="Arial"/>
                <w:szCs w:val="18"/>
                <w:lang w:val="en-GB" w:eastAsia="en-GB"/>
              </w:rPr>
              <w:t>3,8</w:t>
            </w:r>
          </w:p>
        </w:tc>
      </w:tr>
      <w:tr w:rsidRPr="00B52D66" w:rsidR="00B52D66" w:rsidTr="00B52D66" w14:paraId="36450920" w14:textId="77777777">
        <w:trPr>
          <w:trHeight w:val="280"/>
        </w:trPr>
        <w:tc>
          <w:tcPr>
            <w:tcW w:w="2105" w:type="pct"/>
            <w:tcBorders>
              <w:top w:val="nil"/>
              <w:left w:val="nil"/>
              <w:bottom w:val="nil"/>
              <w:right w:val="nil"/>
            </w:tcBorders>
            <w:noWrap/>
            <w:hideMark/>
          </w:tcPr>
          <w:p w:rsidRPr="00B52D66" w:rsidR="00B52D66" w:rsidP="00FC2172" w:rsidRDefault="00B52D66" w14:paraId="18B602D1" w14:textId="77777777">
            <w:pPr>
              <w:spacing w:line="240" w:lineRule="auto"/>
              <w:rPr>
                <w:rFonts w:cs="Arial"/>
                <w:szCs w:val="18"/>
                <w:lang w:val="en-GB" w:eastAsia="en-GB"/>
              </w:rPr>
            </w:pPr>
            <w:r w:rsidRPr="00B52D66">
              <w:rPr>
                <w:rFonts w:cs="Arial"/>
                <w:szCs w:val="18"/>
                <w:lang w:val="en-GB" w:eastAsia="en-GB"/>
              </w:rPr>
              <w:t xml:space="preserve">   MVI</w:t>
            </w:r>
          </w:p>
        </w:tc>
        <w:tc>
          <w:tcPr>
            <w:tcW w:w="482" w:type="pct"/>
            <w:tcBorders>
              <w:top w:val="nil"/>
              <w:left w:val="nil"/>
              <w:bottom w:val="nil"/>
              <w:right w:val="nil"/>
            </w:tcBorders>
            <w:noWrap/>
            <w:vAlign w:val="bottom"/>
            <w:hideMark/>
          </w:tcPr>
          <w:p w:rsidRPr="00B52D66" w:rsidR="00B52D66" w:rsidP="00FC2172" w:rsidRDefault="00B52D66" w14:paraId="1996CED7" w14:textId="77777777">
            <w:pPr>
              <w:spacing w:line="240" w:lineRule="auto"/>
              <w:jc w:val="center"/>
              <w:rPr>
                <w:rFonts w:cs="Arial"/>
                <w:szCs w:val="18"/>
                <w:lang w:val="en-GB" w:eastAsia="en-GB"/>
              </w:rPr>
            </w:pPr>
            <w:r w:rsidRPr="00B52D66">
              <w:rPr>
                <w:rFonts w:cs="Arial"/>
                <w:szCs w:val="18"/>
                <w:lang w:val="en-GB" w:eastAsia="en-GB"/>
              </w:rPr>
              <w:t>18,1</w:t>
            </w:r>
          </w:p>
        </w:tc>
        <w:tc>
          <w:tcPr>
            <w:tcW w:w="482" w:type="pct"/>
            <w:tcBorders>
              <w:top w:val="nil"/>
              <w:left w:val="nil"/>
              <w:bottom w:val="nil"/>
              <w:right w:val="nil"/>
            </w:tcBorders>
            <w:noWrap/>
            <w:vAlign w:val="bottom"/>
            <w:hideMark/>
          </w:tcPr>
          <w:p w:rsidRPr="00B52D66" w:rsidR="00B52D66" w:rsidP="00FC2172" w:rsidRDefault="00B52D66" w14:paraId="4989C973" w14:textId="77777777">
            <w:pPr>
              <w:spacing w:line="240" w:lineRule="auto"/>
              <w:jc w:val="center"/>
              <w:rPr>
                <w:rFonts w:cs="Arial"/>
                <w:szCs w:val="18"/>
                <w:lang w:val="en-GB" w:eastAsia="en-GB"/>
              </w:rPr>
            </w:pPr>
            <w:r w:rsidRPr="00B52D66">
              <w:rPr>
                <w:rFonts w:cs="Arial"/>
                <w:szCs w:val="18"/>
                <w:lang w:val="en-GB" w:eastAsia="en-GB"/>
              </w:rPr>
              <w:t>18,5</w:t>
            </w:r>
          </w:p>
        </w:tc>
        <w:tc>
          <w:tcPr>
            <w:tcW w:w="482" w:type="pct"/>
            <w:tcBorders>
              <w:top w:val="nil"/>
              <w:left w:val="nil"/>
              <w:bottom w:val="nil"/>
              <w:right w:val="nil"/>
            </w:tcBorders>
            <w:noWrap/>
            <w:vAlign w:val="bottom"/>
            <w:hideMark/>
          </w:tcPr>
          <w:p w:rsidRPr="00B52D66" w:rsidR="00B52D66" w:rsidP="00FC2172" w:rsidRDefault="00B52D66" w14:paraId="46021539" w14:textId="77777777">
            <w:pPr>
              <w:spacing w:line="240" w:lineRule="auto"/>
              <w:jc w:val="center"/>
              <w:rPr>
                <w:rFonts w:cs="Arial"/>
                <w:szCs w:val="18"/>
                <w:lang w:val="en-GB" w:eastAsia="en-GB"/>
              </w:rPr>
            </w:pPr>
            <w:r w:rsidRPr="00B52D66">
              <w:rPr>
                <w:rFonts w:cs="Arial"/>
                <w:szCs w:val="18"/>
                <w:lang w:val="en-GB" w:eastAsia="en-GB"/>
              </w:rPr>
              <w:t>20,0</w:t>
            </w:r>
          </w:p>
        </w:tc>
        <w:tc>
          <w:tcPr>
            <w:tcW w:w="482" w:type="pct"/>
            <w:tcBorders>
              <w:top w:val="nil"/>
              <w:left w:val="nil"/>
              <w:bottom w:val="nil"/>
              <w:right w:val="nil"/>
            </w:tcBorders>
            <w:noWrap/>
            <w:vAlign w:val="bottom"/>
            <w:hideMark/>
          </w:tcPr>
          <w:p w:rsidRPr="00B52D66" w:rsidR="00B52D66" w:rsidP="00FC2172" w:rsidRDefault="00B52D66" w14:paraId="58F4FA61" w14:textId="77777777">
            <w:pPr>
              <w:spacing w:line="240" w:lineRule="auto"/>
              <w:jc w:val="center"/>
              <w:rPr>
                <w:rFonts w:cs="Arial"/>
                <w:szCs w:val="18"/>
                <w:lang w:val="en-GB" w:eastAsia="en-GB"/>
              </w:rPr>
            </w:pPr>
            <w:r w:rsidRPr="00B52D66">
              <w:rPr>
                <w:rFonts w:cs="Arial"/>
                <w:szCs w:val="18"/>
                <w:lang w:val="en-GB" w:eastAsia="en-GB"/>
              </w:rPr>
              <w:t>15,9</w:t>
            </w:r>
          </w:p>
        </w:tc>
        <w:tc>
          <w:tcPr>
            <w:tcW w:w="482" w:type="pct"/>
            <w:tcBorders>
              <w:top w:val="nil"/>
              <w:left w:val="nil"/>
              <w:bottom w:val="nil"/>
              <w:right w:val="nil"/>
            </w:tcBorders>
            <w:noWrap/>
            <w:vAlign w:val="bottom"/>
            <w:hideMark/>
          </w:tcPr>
          <w:p w:rsidRPr="00B52D66" w:rsidR="00B52D66" w:rsidP="00FC2172" w:rsidRDefault="00B52D66" w14:paraId="493650CD" w14:textId="77777777">
            <w:pPr>
              <w:spacing w:line="240" w:lineRule="auto"/>
              <w:jc w:val="center"/>
              <w:rPr>
                <w:rFonts w:cs="Arial"/>
                <w:szCs w:val="18"/>
                <w:lang w:val="en-GB" w:eastAsia="en-GB"/>
              </w:rPr>
            </w:pPr>
            <w:r w:rsidRPr="00B52D66">
              <w:rPr>
                <w:rFonts w:cs="Arial"/>
                <w:szCs w:val="18"/>
                <w:lang w:val="en-GB" w:eastAsia="en-GB"/>
              </w:rPr>
              <w:t>25,4</w:t>
            </w:r>
          </w:p>
        </w:tc>
        <w:tc>
          <w:tcPr>
            <w:tcW w:w="482" w:type="pct"/>
            <w:tcBorders>
              <w:top w:val="nil"/>
              <w:left w:val="nil"/>
              <w:bottom w:val="nil"/>
              <w:right w:val="nil"/>
            </w:tcBorders>
            <w:noWrap/>
            <w:vAlign w:val="bottom"/>
            <w:hideMark/>
          </w:tcPr>
          <w:p w:rsidRPr="00B52D66" w:rsidR="00B52D66" w:rsidP="00FC2172" w:rsidRDefault="00B52D66" w14:paraId="43C6A216" w14:textId="77777777">
            <w:pPr>
              <w:spacing w:line="240" w:lineRule="auto"/>
              <w:jc w:val="center"/>
              <w:rPr>
                <w:rFonts w:cs="Arial"/>
                <w:szCs w:val="18"/>
                <w:lang w:val="en-GB" w:eastAsia="en-GB"/>
              </w:rPr>
            </w:pPr>
            <w:r w:rsidRPr="00B52D66">
              <w:rPr>
                <w:rFonts w:cs="Arial"/>
                <w:szCs w:val="18"/>
                <w:lang w:val="en-GB" w:eastAsia="en-GB"/>
              </w:rPr>
              <w:t>22,6</w:t>
            </w:r>
          </w:p>
        </w:tc>
      </w:tr>
      <w:tr w:rsidRPr="00B52D66" w:rsidR="00B52D66" w:rsidTr="00B52D66" w14:paraId="5057B050" w14:textId="77777777">
        <w:trPr>
          <w:trHeight w:val="280"/>
        </w:trPr>
        <w:tc>
          <w:tcPr>
            <w:tcW w:w="2105" w:type="pct"/>
            <w:tcBorders>
              <w:top w:val="nil"/>
              <w:left w:val="nil"/>
              <w:bottom w:val="nil"/>
              <w:right w:val="nil"/>
            </w:tcBorders>
            <w:noWrap/>
            <w:hideMark/>
          </w:tcPr>
          <w:p w:rsidRPr="00B52D66" w:rsidR="00B52D66" w:rsidP="00FC2172" w:rsidRDefault="00B52D66" w14:paraId="117BD004" w14:textId="77777777">
            <w:pPr>
              <w:spacing w:line="240" w:lineRule="auto"/>
              <w:rPr>
                <w:rFonts w:cs="Arial"/>
                <w:szCs w:val="18"/>
                <w:lang w:val="en-GB" w:eastAsia="en-GB"/>
              </w:rPr>
            </w:pPr>
            <w:r w:rsidRPr="00B52D66">
              <w:rPr>
                <w:rFonts w:cs="Arial"/>
                <w:szCs w:val="18"/>
                <w:lang w:val="en-GB" w:eastAsia="en-GB"/>
              </w:rPr>
              <w:t xml:space="preserve">   M&amp;T</w:t>
            </w:r>
          </w:p>
        </w:tc>
        <w:tc>
          <w:tcPr>
            <w:tcW w:w="482" w:type="pct"/>
            <w:tcBorders>
              <w:top w:val="nil"/>
              <w:left w:val="nil"/>
              <w:bottom w:val="nil"/>
              <w:right w:val="nil"/>
            </w:tcBorders>
            <w:noWrap/>
            <w:vAlign w:val="bottom"/>
            <w:hideMark/>
          </w:tcPr>
          <w:p w:rsidRPr="00B52D66" w:rsidR="00B52D66" w:rsidP="00FC2172" w:rsidRDefault="00B52D66" w14:paraId="55E7F68E" w14:textId="77777777">
            <w:pPr>
              <w:spacing w:line="240" w:lineRule="auto"/>
              <w:jc w:val="center"/>
              <w:rPr>
                <w:rFonts w:cs="Arial"/>
                <w:szCs w:val="18"/>
                <w:lang w:val="en-GB" w:eastAsia="en-GB"/>
              </w:rPr>
            </w:pPr>
            <w:r w:rsidRPr="00B52D66">
              <w:rPr>
                <w:rFonts w:cs="Arial"/>
                <w:szCs w:val="18"/>
                <w:lang w:val="en-GB" w:eastAsia="en-GB"/>
              </w:rPr>
              <w:t>3,9</w:t>
            </w:r>
          </w:p>
        </w:tc>
        <w:tc>
          <w:tcPr>
            <w:tcW w:w="482" w:type="pct"/>
            <w:tcBorders>
              <w:top w:val="nil"/>
              <w:left w:val="nil"/>
              <w:bottom w:val="nil"/>
              <w:right w:val="nil"/>
            </w:tcBorders>
            <w:noWrap/>
            <w:vAlign w:val="bottom"/>
            <w:hideMark/>
          </w:tcPr>
          <w:p w:rsidRPr="00B52D66" w:rsidR="00B52D66" w:rsidP="00FC2172" w:rsidRDefault="00B52D66" w14:paraId="3EEA7BE7" w14:textId="77777777">
            <w:pPr>
              <w:spacing w:line="240" w:lineRule="auto"/>
              <w:jc w:val="center"/>
              <w:rPr>
                <w:rFonts w:cs="Arial"/>
                <w:szCs w:val="18"/>
                <w:lang w:val="en-GB" w:eastAsia="en-GB"/>
              </w:rPr>
            </w:pPr>
            <w:r w:rsidRPr="00B52D66">
              <w:rPr>
                <w:rFonts w:cs="Arial"/>
                <w:szCs w:val="18"/>
                <w:lang w:val="en-GB" w:eastAsia="en-GB"/>
              </w:rPr>
              <w:t>2,6</w:t>
            </w:r>
          </w:p>
        </w:tc>
        <w:tc>
          <w:tcPr>
            <w:tcW w:w="482" w:type="pct"/>
            <w:tcBorders>
              <w:top w:val="nil"/>
              <w:left w:val="nil"/>
              <w:bottom w:val="nil"/>
              <w:right w:val="nil"/>
            </w:tcBorders>
            <w:noWrap/>
            <w:vAlign w:val="bottom"/>
            <w:hideMark/>
          </w:tcPr>
          <w:p w:rsidRPr="00B52D66" w:rsidR="00B52D66" w:rsidP="00FC2172" w:rsidRDefault="00B52D66" w14:paraId="44A03059" w14:textId="77777777">
            <w:pPr>
              <w:spacing w:line="240" w:lineRule="auto"/>
              <w:jc w:val="center"/>
              <w:rPr>
                <w:rFonts w:cs="Arial"/>
                <w:szCs w:val="18"/>
                <w:lang w:val="en-GB" w:eastAsia="en-GB"/>
              </w:rPr>
            </w:pPr>
            <w:r w:rsidRPr="00B52D66">
              <w:rPr>
                <w:rFonts w:cs="Arial"/>
                <w:szCs w:val="18"/>
                <w:lang w:val="en-GB" w:eastAsia="en-GB"/>
              </w:rPr>
              <w:t>2,4</w:t>
            </w:r>
          </w:p>
        </w:tc>
        <w:tc>
          <w:tcPr>
            <w:tcW w:w="482" w:type="pct"/>
            <w:tcBorders>
              <w:top w:val="nil"/>
              <w:left w:val="nil"/>
              <w:bottom w:val="nil"/>
              <w:right w:val="nil"/>
            </w:tcBorders>
            <w:noWrap/>
            <w:vAlign w:val="bottom"/>
            <w:hideMark/>
          </w:tcPr>
          <w:p w:rsidRPr="00B52D66" w:rsidR="00B52D66" w:rsidP="00FC2172" w:rsidRDefault="00B52D66" w14:paraId="506BA198" w14:textId="77777777">
            <w:pPr>
              <w:spacing w:line="240" w:lineRule="auto"/>
              <w:jc w:val="center"/>
              <w:rPr>
                <w:rFonts w:cs="Arial"/>
                <w:szCs w:val="18"/>
                <w:lang w:val="en-GB" w:eastAsia="en-GB"/>
              </w:rPr>
            </w:pPr>
            <w:r w:rsidRPr="00B52D66">
              <w:rPr>
                <w:rFonts w:cs="Arial"/>
                <w:szCs w:val="18"/>
                <w:lang w:val="en-GB" w:eastAsia="en-GB"/>
              </w:rPr>
              <w:t>3,9</w:t>
            </w:r>
          </w:p>
        </w:tc>
        <w:tc>
          <w:tcPr>
            <w:tcW w:w="482" w:type="pct"/>
            <w:tcBorders>
              <w:top w:val="nil"/>
              <w:left w:val="nil"/>
              <w:bottom w:val="nil"/>
              <w:right w:val="nil"/>
            </w:tcBorders>
            <w:noWrap/>
            <w:vAlign w:val="bottom"/>
            <w:hideMark/>
          </w:tcPr>
          <w:p w:rsidRPr="00B52D66" w:rsidR="00B52D66" w:rsidP="00FC2172" w:rsidRDefault="00B52D66" w14:paraId="4C232733" w14:textId="77777777">
            <w:pPr>
              <w:spacing w:line="240" w:lineRule="auto"/>
              <w:jc w:val="center"/>
              <w:rPr>
                <w:rFonts w:cs="Arial"/>
                <w:szCs w:val="18"/>
                <w:lang w:val="en-GB" w:eastAsia="en-GB"/>
              </w:rPr>
            </w:pPr>
            <w:r w:rsidRPr="00B52D66">
              <w:rPr>
                <w:rFonts w:cs="Arial"/>
                <w:szCs w:val="18"/>
                <w:lang w:val="en-GB" w:eastAsia="en-GB"/>
              </w:rPr>
              <w:t>4,9</w:t>
            </w:r>
          </w:p>
        </w:tc>
        <w:tc>
          <w:tcPr>
            <w:tcW w:w="482" w:type="pct"/>
            <w:tcBorders>
              <w:top w:val="nil"/>
              <w:left w:val="nil"/>
              <w:bottom w:val="nil"/>
              <w:right w:val="nil"/>
            </w:tcBorders>
            <w:noWrap/>
            <w:vAlign w:val="bottom"/>
            <w:hideMark/>
          </w:tcPr>
          <w:p w:rsidRPr="00B52D66" w:rsidR="00B52D66" w:rsidP="00FC2172" w:rsidRDefault="00B52D66" w14:paraId="7BA3A757" w14:textId="77777777">
            <w:pPr>
              <w:spacing w:line="240" w:lineRule="auto"/>
              <w:jc w:val="center"/>
              <w:rPr>
                <w:rFonts w:cs="Arial"/>
                <w:szCs w:val="18"/>
                <w:lang w:val="en-GB" w:eastAsia="en-GB"/>
              </w:rPr>
            </w:pPr>
            <w:r w:rsidRPr="00B52D66">
              <w:rPr>
                <w:rFonts w:cs="Arial"/>
                <w:szCs w:val="18"/>
                <w:lang w:val="en-GB" w:eastAsia="en-GB"/>
              </w:rPr>
              <w:t>5,8</w:t>
            </w:r>
          </w:p>
        </w:tc>
      </w:tr>
      <w:tr w:rsidRPr="00B52D66" w:rsidR="00B52D66" w:rsidTr="00B52D66" w14:paraId="7802F3A8" w14:textId="77777777">
        <w:trPr>
          <w:trHeight w:val="280"/>
        </w:trPr>
        <w:tc>
          <w:tcPr>
            <w:tcW w:w="2105" w:type="pct"/>
            <w:tcBorders>
              <w:top w:val="nil"/>
              <w:left w:val="nil"/>
              <w:bottom w:val="nil"/>
              <w:right w:val="nil"/>
            </w:tcBorders>
            <w:noWrap/>
            <w:hideMark/>
          </w:tcPr>
          <w:p w:rsidRPr="00B52D66" w:rsidR="00B52D66" w:rsidP="00FC2172" w:rsidRDefault="00B52D66" w14:paraId="4F13C2B4" w14:textId="77777777">
            <w:pPr>
              <w:spacing w:line="240" w:lineRule="auto"/>
              <w:rPr>
                <w:rFonts w:cs="Arial"/>
                <w:szCs w:val="18"/>
                <w:lang w:val="en-GB" w:eastAsia="en-GB"/>
              </w:rPr>
            </w:pPr>
            <w:r w:rsidRPr="00B52D66">
              <w:rPr>
                <w:rFonts w:cs="Arial"/>
                <w:szCs w:val="18"/>
                <w:lang w:val="en-GB" w:eastAsia="en-GB"/>
              </w:rPr>
              <w:t xml:space="preserve">   PIE</w:t>
            </w:r>
          </w:p>
        </w:tc>
        <w:tc>
          <w:tcPr>
            <w:tcW w:w="482" w:type="pct"/>
            <w:tcBorders>
              <w:top w:val="nil"/>
              <w:left w:val="nil"/>
              <w:bottom w:val="nil"/>
              <w:right w:val="nil"/>
            </w:tcBorders>
            <w:noWrap/>
            <w:vAlign w:val="bottom"/>
            <w:hideMark/>
          </w:tcPr>
          <w:p w:rsidRPr="00B52D66" w:rsidR="00B52D66" w:rsidP="00FC2172" w:rsidRDefault="00B52D66" w14:paraId="442164D5" w14:textId="77777777">
            <w:pPr>
              <w:spacing w:line="240" w:lineRule="auto"/>
              <w:jc w:val="center"/>
              <w:rPr>
                <w:rFonts w:cs="Arial"/>
                <w:szCs w:val="18"/>
                <w:lang w:val="en-GB" w:eastAsia="en-GB"/>
              </w:rPr>
            </w:pPr>
            <w:r w:rsidRPr="00B52D66">
              <w:rPr>
                <w:rFonts w:cs="Arial"/>
                <w:szCs w:val="18"/>
                <w:lang w:val="en-GB" w:eastAsia="en-GB"/>
              </w:rPr>
              <w:t>3,3</w:t>
            </w:r>
          </w:p>
        </w:tc>
        <w:tc>
          <w:tcPr>
            <w:tcW w:w="482" w:type="pct"/>
            <w:tcBorders>
              <w:top w:val="nil"/>
              <w:left w:val="nil"/>
              <w:bottom w:val="nil"/>
              <w:right w:val="nil"/>
            </w:tcBorders>
            <w:noWrap/>
            <w:vAlign w:val="bottom"/>
            <w:hideMark/>
          </w:tcPr>
          <w:p w:rsidRPr="00B52D66" w:rsidR="00B52D66" w:rsidP="00FC2172" w:rsidRDefault="00B52D66" w14:paraId="5026195E" w14:textId="77777777">
            <w:pPr>
              <w:spacing w:line="240" w:lineRule="auto"/>
              <w:jc w:val="center"/>
              <w:rPr>
                <w:rFonts w:cs="Arial"/>
                <w:szCs w:val="18"/>
                <w:lang w:val="en-GB" w:eastAsia="en-GB"/>
              </w:rPr>
            </w:pPr>
            <w:r w:rsidRPr="00B52D66">
              <w:rPr>
                <w:rFonts w:cs="Arial"/>
                <w:szCs w:val="18"/>
                <w:lang w:val="en-GB" w:eastAsia="en-GB"/>
              </w:rPr>
              <w:t>3,3</w:t>
            </w:r>
          </w:p>
        </w:tc>
        <w:tc>
          <w:tcPr>
            <w:tcW w:w="482" w:type="pct"/>
            <w:tcBorders>
              <w:top w:val="nil"/>
              <w:left w:val="nil"/>
              <w:bottom w:val="nil"/>
              <w:right w:val="nil"/>
            </w:tcBorders>
            <w:noWrap/>
            <w:vAlign w:val="bottom"/>
            <w:hideMark/>
          </w:tcPr>
          <w:p w:rsidRPr="00B52D66" w:rsidR="00B52D66" w:rsidP="00FC2172" w:rsidRDefault="00B52D66" w14:paraId="60A80AC1" w14:textId="77777777">
            <w:pPr>
              <w:spacing w:line="240" w:lineRule="auto"/>
              <w:jc w:val="center"/>
              <w:rPr>
                <w:rFonts w:cs="Arial"/>
                <w:szCs w:val="18"/>
                <w:lang w:val="en-GB" w:eastAsia="en-GB"/>
              </w:rPr>
            </w:pPr>
            <w:r w:rsidRPr="00B52D66">
              <w:rPr>
                <w:rFonts w:cs="Arial"/>
                <w:szCs w:val="18"/>
                <w:lang w:val="en-GB" w:eastAsia="en-GB"/>
              </w:rPr>
              <w:t>3,5</w:t>
            </w:r>
          </w:p>
        </w:tc>
        <w:tc>
          <w:tcPr>
            <w:tcW w:w="482" w:type="pct"/>
            <w:tcBorders>
              <w:top w:val="nil"/>
              <w:left w:val="nil"/>
              <w:bottom w:val="nil"/>
              <w:right w:val="nil"/>
            </w:tcBorders>
            <w:noWrap/>
            <w:vAlign w:val="bottom"/>
            <w:hideMark/>
          </w:tcPr>
          <w:p w:rsidRPr="00B52D66" w:rsidR="00B52D66" w:rsidP="00FC2172" w:rsidRDefault="00B52D66" w14:paraId="29B185A0" w14:textId="77777777">
            <w:pPr>
              <w:spacing w:line="240" w:lineRule="auto"/>
              <w:jc w:val="center"/>
              <w:rPr>
                <w:rFonts w:cs="Arial"/>
                <w:szCs w:val="18"/>
                <w:lang w:val="en-GB" w:eastAsia="en-GB"/>
              </w:rPr>
            </w:pPr>
            <w:r w:rsidRPr="00B52D66">
              <w:rPr>
                <w:rFonts w:cs="Arial"/>
                <w:szCs w:val="18"/>
                <w:lang w:val="en-GB" w:eastAsia="en-GB"/>
              </w:rPr>
              <w:t>3,9</w:t>
            </w:r>
          </w:p>
        </w:tc>
        <w:tc>
          <w:tcPr>
            <w:tcW w:w="482" w:type="pct"/>
            <w:tcBorders>
              <w:top w:val="nil"/>
              <w:left w:val="nil"/>
              <w:bottom w:val="nil"/>
              <w:right w:val="nil"/>
            </w:tcBorders>
            <w:noWrap/>
            <w:vAlign w:val="bottom"/>
            <w:hideMark/>
          </w:tcPr>
          <w:p w:rsidRPr="00B52D66" w:rsidR="00B52D66" w:rsidP="00FC2172" w:rsidRDefault="00B52D66" w14:paraId="1A601A1A" w14:textId="77777777">
            <w:pPr>
              <w:spacing w:line="240" w:lineRule="auto"/>
              <w:jc w:val="center"/>
              <w:rPr>
                <w:rFonts w:cs="Arial"/>
                <w:szCs w:val="18"/>
                <w:lang w:val="en-GB" w:eastAsia="en-GB"/>
              </w:rPr>
            </w:pPr>
            <w:r w:rsidRPr="00B52D66">
              <w:rPr>
                <w:rFonts w:cs="Arial"/>
                <w:szCs w:val="18"/>
                <w:lang w:val="en-GB" w:eastAsia="en-GB"/>
              </w:rPr>
              <w:t>4,0</w:t>
            </w:r>
          </w:p>
        </w:tc>
        <w:tc>
          <w:tcPr>
            <w:tcW w:w="482" w:type="pct"/>
            <w:tcBorders>
              <w:top w:val="nil"/>
              <w:left w:val="nil"/>
              <w:bottom w:val="nil"/>
              <w:right w:val="nil"/>
            </w:tcBorders>
            <w:noWrap/>
            <w:vAlign w:val="bottom"/>
            <w:hideMark/>
          </w:tcPr>
          <w:p w:rsidRPr="00B52D66" w:rsidR="00B52D66" w:rsidP="00FC2172" w:rsidRDefault="00B52D66" w14:paraId="73D61C27" w14:textId="77777777">
            <w:pPr>
              <w:spacing w:line="240" w:lineRule="auto"/>
              <w:jc w:val="center"/>
              <w:rPr>
                <w:rFonts w:cs="Arial"/>
                <w:szCs w:val="18"/>
                <w:lang w:val="en-GB" w:eastAsia="en-GB"/>
              </w:rPr>
            </w:pPr>
            <w:r w:rsidRPr="00B52D66">
              <w:rPr>
                <w:rFonts w:cs="Arial"/>
                <w:szCs w:val="18"/>
                <w:lang w:val="en-GB" w:eastAsia="en-GB"/>
              </w:rPr>
              <w:t>4,9</w:t>
            </w:r>
          </w:p>
        </w:tc>
      </w:tr>
      <w:tr w:rsidRPr="00B52D66" w:rsidR="00B52D66" w:rsidTr="00B52D66" w14:paraId="3BD03F69"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244A7F06" w14:textId="77777777">
            <w:pPr>
              <w:spacing w:line="240" w:lineRule="auto"/>
              <w:rPr>
                <w:rFonts w:cs="Arial"/>
                <w:b/>
                <w:bCs/>
                <w:szCs w:val="18"/>
                <w:lang w:val="en-GB" w:eastAsia="en-GB"/>
              </w:rPr>
            </w:pPr>
            <w:r w:rsidRPr="00B52D66">
              <w:rPr>
                <w:rFonts w:cs="Arial"/>
                <w:b/>
                <w:bCs/>
                <w:szCs w:val="18"/>
                <w:lang w:val="en-GB" w:eastAsia="en-GB"/>
              </w:rPr>
              <w:t xml:space="preserve">  Niet-techniek</w:t>
            </w:r>
          </w:p>
        </w:tc>
        <w:tc>
          <w:tcPr>
            <w:tcW w:w="482" w:type="pct"/>
            <w:tcBorders>
              <w:top w:val="nil"/>
              <w:left w:val="nil"/>
              <w:bottom w:val="nil"/>
              <w:right w:val="nil"/>
            </w:tcBorders>
            <w:noWrap/>
            <w:vAlign w:val="bottom"/>
            <w:hideMark/>
          </w:tcPr>
          <w:p w:rsidRPr="00B52D66" w:rsidR="00B52D66" w:rsidP="00FC2172" w:rsidRDefault="00B52D66" w14:paraId="58F7E0EB"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387C8C1C"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1D17E7DD"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3926CD05"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20941A73"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6CC77B40" w14:textId="77777777">
            <w:pPr>
              <w:spacing w:line="240" w:lineRule="auto"/>
              <w:jc w:val="center"/>
              <w:rPr>
                <w:rFonts w:cs="Arial"/>
                <w:b/>
                <w:bCs/>
                <w:szCs w:val="18"/>
                <w:lang w:val="en-GB" w:eastAsia="en-GB"/>
              </w:rPr>
            </w:pPr>
            <w:r w:rsidRPr="00B52D66">
              <w:rPr>
                <w:rFonts w:cs="Arial"/>
                <w:b/>
                <w:bCs/>
                <w:szCs w:val="18"/>
                <w:lang w:val="en-GB" w:eastAsia="en-GB"/>
              </w:rPr>
              <w:t> </w:t>
            </w:r>
          </w:p>
        </w:tc>
      </w:tr>
      <w:tr w:rsidRPr="00B52D66" w:rsidR="00B52D66" w:rsidTr="00B52D66" w14:paraId="315E9F74"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3F1D6E0B" w14:textId="77777777">
            <w:pPr>
              <w:spacing w:line="240" w:lineRule="auto"/>
              <w:rPr>
                <w:rFonts w:cs="Arial"/>
                <w:szCs w:val="18"/>
                <w:lang w:val="en-GB" w:eastAsia="en-GB"/>
              </w:rPr>
            </w:pPr>
            <w:r w:rsidRPr="00B52D66">
              <w:rPr>
                <w:rFonts w:cs="Arial"/>
                <w:szCs w:val="18"/>
                <w:lang w:val="en-GB" w:eastAsia="en-GB"/>
              </w:rPr>
              <w:t xml:space="preserve">   D&amp;P</w:t>
            </w:r>
          </w:p>
        </w:tc>
        <w:tc>
          <w:tcPr>
            <w:tcW w:w="482" w:type="pct"/>
            <w:tcBorders>
              <w:top w:val="nil"/>
              <w:left w:val="nil"/>
              <w:bottom w:val="nil"/>
              <w:right w:val="nil"/>
            </w:tcBorders>
            <w:noWrap/>
            <w:vAlign w:val="bottom"/>
            <w:hideMark/>
          </w:tcPr>
          <w:p w:rsidRPr="00B52D66" w:rsidR="00B52D66" w:rsidP="00FC2172" w:rsidRDefault="00B52D66" w14:paraId="67138019" w14:textId="77777777">
            <w:pPr>
              <w:spacing w:line="240" w:lineRule="auto"/>
              <w:jc w:val="center"/>
              <w:rPr>
                <w:rFonts w:cs="Arial"/>
                <w:szCs w:val="18"/>
                <w:lang w:val="en-GB" w:eastAsia="en-GB"/>
              </w:rPr>
            </w:pPr>
            <w:r w:rsidRPr="00B52D66">
              <w:rPr>
                <w:rFonts w:cs="Arial"/>
                <w:szCs w:val="18"/>
                <w:lang w:val="en-GB" w:eastAsia="en-GB"/>
              </w:rPr>
              <w:t>36,7</w:t>
            </w:r>
          </w:p>
        </w:tc>
        <w:tc>
          <w:tcPr>
            <w:tcW w:w="482" w:type="pct"/>
            <w:tcBorders>
              <w:top w:val="nil"/>
              <w:left w:val="nil"/>
              <w:bottom w:val="nil"/>
              <w:right w:val="nil"/>
            </w:tcBorders>
            <w:noWrap/>
            <w:vAlign w:val="bottom"/>
            <w:hideMark/>
          </w:tcPr>
          <w:p w:rsidRPr="00B52D66" w:rsidR="00B52D66" w:rsidP="00FC2172" w:rsidRDefault="00B52D66" w14:paraId="722632B2" w14:textId="77777777">
            <w:pPr>
              <w:spacing w:line="240" w:lineRule="auto"/>
              <w:jc w:val="center"/>
              <w:rPr>
                <w:rFonts w:cs="Arial"/>
                <w:szCs w:val="18"/>
                <w:lang w:val="en-GB" w:eastAsia="en-GB"/>
              </w:rPr>
            </w:pPr>
            <w:r w:rsidRPr="00B52D66">
              <w:rPr>
                <w:rFonts w:cs="Arial"/>
                <w:szCs w:val="18"/>
                <w:lang w:val="en-GB" w:eastAsia="en-GB"/>
              </w:rPr>
              <w:t>35,6</w:t>
            </w:r>
          </w:p>
        </w:tc>
        <w:tc>
          <w:tcPr>
            <w:tcW w:w="482" w:type="pct"/>
            <w:tcBorders>
              <w:top w:val="nil"/>
              <w:left w:val="nil"/>
              <w:bottom w:val="nil"/>
              <w:right w:val="nil"/>
            </w:tcBorders>
            <w:noWrap/>
            <w:vAlign w:val="bottom"/>
            <w:hideMark/>
          </w:tcPr>
          <w:p w:rsidRPr="00B52D66" w:rsidR="00B52D66" w:rsidP="00FC2172" w:rsidRDefault="00B52D66" w14:paraId="3E73BAEB" w14:textId="77777777">
            <w:pPr>
              <w:spacing w:line="240" w:lineRule="auto"/>
              <w:jc w:val="center"/>
              <w:rPr>
                <w:rFonts w:cs="Arial"/>
                <w:szCs w:val="18"/>
                <w:lang w:val="en-GB" w:eastAsia="en-GB"/>
              </w:rPr>
            </w:pPr>
            <w:r w:rsidRPr="00B52D66">
              <w:rPr>
                <w:rFonts w:cs="Arial"/>
                <w:szCs w:val="18"/>
                <w:lang w:val="en-GB" w:eastAsia="en-GB"/>
              </w:rPr>
              <w:t>35,3</w:t>
            </w:r>
          </w:p>
        </w:tc>
        <w:tc>
          <w:tcPr>
            <w:tcW w:w="482" w:type="pct"/>
            <w:tcBorders>
              <w:top w:val="nil"/>
              <w:left w:val="nil"/>
              <w:bottom w:val="nil"/>
              <w:right w:val="nil"/>
            </w:tcBorders>
            <w:noWrap/>
            <w:vAlign w:val="bottom"/>
            <w:hideMark/>
          </w:tcPr>
          <w:p w:rsidRPr="00B52D66" w:rsidR="00B52D66" w:rsidP="00FC2172" w:rsidRDefault="00B52D66" w14:paraId="78D6A4B5" w14:textId="77777777">
            <w:pPr>
              <w:spacing w:line="240" w:lineRule="auto"/>
              <w:jc w:val="center"/>
              <w:rPr>
                <w:rFonts w:cs="Arial"/>
                <w:szCs w:val="18"/>
                <w:lang w:val="en-GB" w:eastAsia="en-GB"/>
              </w:rPr>
            </w:pPr>
            <w:r w:rsidRPr="00B52D66">
              <w:rPr>
                <w:rFonts w:cs="Arial"/>
                <w:szCs w:val="18"/>
                <w:lang w:val="en-GB" w:eastAsia="en-GB"/>
              </w:rPr>
              <w:t>36,7</w:t>
            </w:r>
          </w:p>
        </w:tc>
        <w:tc>
          <w:tcPr>
            <w:tcW w:w="482" w:type="pct"/>
            <w:tcBorders>
              <w:top w:val="nil"/>
              <w:left w:val="nil"/>
              <w:bottom w:val="nil"/>
              <w:right w:val="nil"/>
            </w:tcBorders>
            <w:noWrap/>
            <w:vAlign w:val="bottom"/>
            <w:hideMark/>
          </w:tcPr>
          <w:p w:rsidRPr="00B52D66" w:rsidR="00B52D66" w:rsidP="00FC2172" w:rsidRDefault="00B52D66" w14:paraId="5D799DB3" w14:textId="77777777">
            <w:pPr>
              <w:spacing w:line="240" w:lineRule="auto"/>
              <w:jc w:val="center"/>
              <w:rPr>
                <w:rFonts w:cs="Arial"/>
                <w:szCs w:val="18"/>
                <w:lang w:val="en-GB" w:eastAsia="en-GB"/>
              </w:rPr>
            </w:pPr>
            <w:r w:rsidRPr="00B52D66">
              <w:rPr>
                <w:rFonts w:cs="Arial"/>
                <w:szCs w:val="18"/>
                <w:lang w:val="en-GB" w:eastAsia="en-GB"/>
              </w:rPr>
              <w:t>37,1</w:t>
            </w:r>
          </w:p>
        </w:tc>
        <w:tc>
          <w:tcPr>
            <w:tcW w:w="482" w:type="pct"/>
            <w:tcBorders>
              <w:top w:val="nil"/>
              <w:left w:val="nil"/>
              <w:bottom w:val="nil"/>
              <w:right w:val="nil"/>
            </w:tcBorders>
            <w:noWrap/>
            <w:vAlign w:val="bottom"/>
            <w:hideMark/>
          </w:tcPr>
          <w:p w:rsidRPr="00B52D66" w:rsidR="00B52D66" w:rsidP="00FC2172" w:rsidRDefault="00B52D66" w14:paraId="1DA3D63D" w14:textId="77777777">
            <w:pPr>
              <w:spacing w:line="240" w:lineRule="auto"/>
              <w:jc w:val="center"/>
              <w:rPr>
                <w:rFonts w:cs="Arial"/>
                <w:szCs w:val="18"/>
                <w:lang w:val="en-GB" w:eastAsia="en-GB"/>
              </w:rPr>
            </w:pPr>
            <w:r w:rsidRPr="00B52D66">
              <w:rPr>
                <w:rFonts w:cs="Arial"/>
                <w:szCs w:val="18"/>
                <w:lang w:val="en-GB" w:eastAsia="en-GB"/>
              </w:rPr>
              <w:t>38,8</w:t>
            </w:r>
          </w:p>
        </w:tc>
      </w:tr>
      <w:tr w:rsidRPr="00B52D66" w:rsidR="00B52D66" w:rsidTr="00B52D66" w14:paraId="02FCFF88"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1617EEF3" w14:textId="77777777">
            <w:pPr>
              <w:spacing w:line="240" w:lineRule="auto"/>
              <w:rPr>
                <w:rFonts w:cs="Arial"/>
                <w:szCs w:val="18"/>
                <w:lang w:val="en-GB" w:eastAsia="en-GB"/>
              </w:rPr>
            </w:pPr>
            <w:r w:rsidRPr="00B52D66">
              <w:rPr>
                <w:rFonts w:cs="Arial"/>
                <w:szCs w:val="18"/>
                <w:lang w:val="en-GB" w:eastAsia="en-GB"/>
              </w:rPr>
              <w:t xml:space="preserve">   E&amp;O</w:t>
            </w:r>
          </w:p>
        </w:tc>
        <w:tc>
          <w:tcPr>
            <w:tcW w:w="482" w:type="pct"/>
            <w:tcBorders>
              <w:top w:val="nil"/>
              <w:left w:val="nil"/>
              <w:bottom w:val="nil"/>
              <w:right w:val="nil"/>
            </w:tcBorders>
            <w:noWrap/>
            <w:vAlign w:val="bottom"/>
            <w:hideMark/>
          </w:tcPr>
          <w:p w:rsidRPr="00B52D66" w:rsidR="00B52D66" w:rsidP="00FC2172" w:rsidRDefault="00B52D66" w14:paraId="2F369088" w14:textId="77777777">
            <w:pPr>
              <w:spacing w:line="240" w:lineRule="auto"/>
              <w:jc w:val="center"/>
              <w:rPr>
                <w:rFonts w:cs="Arial"/>
                <w:szCs w:val="18"/>
                <w:lang w:val="en-GB" w:eastAsia="en-GB"/>
              </w:rPr>
            </w:pPr>
            <w:r w:rsidRPr="00B52D66">
              <w:rPr>
                <w:rFonts w:cs="Arial"/>
                <w:szCs w:val="18"/>
                <w:lang w:val="en-GB" w:eastAsia="en-GB"/>
              </w:rPr>
              <w:t>30,3</w:t>
            </w:r>
          </w:p>
        </w:tc>
        <w:tc>
          <w:tcPr>
            <w:tcW w:w="482" w:type="pct"/>
            <w:tcBorders>
              <w:top w:val="nil"/>
              <w:left w:val="nil"/>
              <w:bottom w:val="nil"/>
              <w:right w:val="nil"/>
            </w:tcBorders>
            <w:noWrap/>
            <w:vAlign w:val="bottom"/>
            <w:hideMark/>
          </w:tcPr>
          <w:p w:rsidRPr="00B52D66" w:rsidR="00B52D66" w:rsidP="00FC2172" w:rsidRDefault="00B52D66" w14:paraId="5B538A58" w14:textId="77777777">
            <w:pPr>
              <w:spacing w:line="240" w:lineRule="auto"/>
              <w:jc w:val="center"/>
              <w:rPr>
                <w:rFonts w:cs="Arial"/>
                <w:szCs w:val="18"/>
                <w:lang w:val="en-GB" w:eastAsia="en-GB"/>
              </w:rPr>
            </w:pPr>
            <w:r w:rsidRPr="00B52D66">
              <w:rPr>
                <w:rFonts w:cs="Arial"/>
                <w:szCs w:val="18"/>
                <w:lang w:val="en-GB" w:eastAsia="en-GB"/>
              </w:rPr>
              <w:t>30,0</w:t>
            </w:r>
          </w:p>
        </w:tc>
        <w:tc>
          <w:tcPr>
            <w:tcW w:w="482" w:type="pct"/>
            <w:tcBorders>
              <w:top w:val="nil"/>
              <w:left w:val="nil"/>
              <w:bottom w:val="nil"/>
              <w:right w:val="nil"/>
            </w:tcBorders>
            <w:noWrap/>
            <w:vAlign w:val="bottom"/>
            <w:hideMark/>
          </w:tcPr>
          <w:p w:rsidRPr="00B52D66" w:rsidR="00B52D66" w:rsidP="00FC2172" w:rsidRDefault="00B52D66" w14:paraId="2EEF431D" w14:textId="77777777">
            <w:pPr>
              <w:spacing w:line="240" w:lineRule="auto"/>
              <w:jc w:val="center"/>
              <w:rPr>
                <w:rFonts w:cs="Arial"/>
                <w:szCs w:val="18"/>
                <w:lang w:val="en-GB" w:eastAsia="en-GB"/>
              </w:rPr>
            </w:pPr>
            <w:r w:rsidRPr="00B52D66">
              <w:rPr>
                <w:rFonts w:cs="Arial"/>
                <w:szCs w:val="18"/>
                <w:lang w:val="en-GB" w:eastAsia="en-GB"/>
              </w:rPr>
              <w:t>28,8</w:t>
            </w:r>
          </w:p>
        </w:tc>
        <w:tc>
          <w:tcPr>
            <w:tcW w:w="482" w:type="pct"/>
            <w:tcBorders>
              <w:top w:val="nil"/>
              <w:left w:val="nil"/>
              <w:bottom w:val="nil"/>
              <w:right w:val="nil"/>
            </w:tcBorders>
            <w:noWrap/>
            <w:vAlign w:val="bottom"/>
            <w:hideMark/>
          </w:tcPr>
          <w:p w:rsidRPr="00B52D66" w:rsidR="00B52D66" w:rsidP="00FC2172" w:rsidRDefault="00B52D66" w14:paraId="2BEE6DA7" w14:textId="77777777">
            <w:pPr>
              <w:spacing w:line="240" w:lineRule="auto"/>
              <w:jc w:val="center"/>
              <w:rPr>
                <w:rFonts w:cs="Arial"/>
                <w:szCs w:val="18"/>
                <w:lang w:val="en-GB" w:eastAsia="en-GB"/>
              </w:rPr>
            </w:pPr>
            <w:r w:rsidRPr="00B52D66">
              <w:rPr>
                <w:rFonts w:cs="Arial"/>
                <w:szCs w:val="18"/>
                <w:lang w:val="en-GB" w:eastAsia="en-GB"/>
              </w:rPr>
              <w:t>25,6</w:t>
            </w:r>
          </w:p>
        </w:tc>
        <w:tc>
          <w:tcPr>
            <w:tcW w:w="482" w:type="pct"/>
            <w:tcBorders>
              <w:top w:val="nil"/>
              <w:left w:val="nil"/>
              <w:bottom w:val="nil"/>
              <w:right w:val="nil"/>
            </w:tcBorders>
            <w:noWrap/>
            <w:vAlign w:val="bottom"/>
            <w:hideMark/>
          </w:tcPr>
          <w:p w:rsidRPr="00B52D66" w:rsidR="00B52D66" w:rsidP="00FC2172" w:rsidRDefault="00B52D66" w14:paraId="74F16965" w14:textId="77777777">
            <w:pPr>
              <w:spacing w:line="240" w:lineRule="auto"/>
              <w:jc w:val="center"/>
              <w:rPr>
                <w:rFonts w:cs="Arial"/>
                <w:szCs w:val="18"/>
                <w:lang w:val="en-GB" w:eastAsia="en-GB"/>
              </w:rPr>
            </w:pPr>
            <w:r w:rsidRPr="00B52D66">
              <w:rPr>
                <w:rFonts w:cs="Arial"/>
                <w:szCs w:val="18"/>
                <w:lang w:val="en-GB" w:eastAsia="en-GB"/>
              </w:rPr>
              <w:t>32,5</w:t>
            </w:r>
          </w:p>
        </w:tc>
        <w:tc>
          <w:tcPr>
            <w:tcW w:w="482" w:type="pct"/>
            <w:tcBorders>
              <w:top w:val="nil"/>
              <w:left w:val="nil"/>
              <w:bottom w:val="nil"/>
              <w:right w:val="nil"/>
            </w:tcBorders>
            <w:noWrap/>
            <w:vAlign w:val="bottom"/>
            <w:hideMark/>
          </w:tcPr>
          <w:p w:rsidRPr="00B52D66" w:rsidR="00B52D66" w:rsidP="00FC2172" w:rsidRDefault="00B52D66" w14:paraId="6C653DB3" w14:textId="77777777">
            <w:pPr>
              <w:spacing w:line="240" w:lineRule="auto"/>
              <w:jc w:val="center"/>
              <w:rPr>
                <w:rFonts w:cs="Arial"/>
                <w:szCs w:val="18"/>
                <w:lang w:val="en-GB" w:eastAsia="en-GB"/>
              </w:rPr>
            </w:pPr>
            <w:r w:rsidRPr="00B52D66">
              <w:rPr>
                <w:rFonts w:cs="Arial"/>
                <w:szCs w:val="18"/>
                <w:lang w:val="en-GB" w:eastAsia="en-GB"/>
              </w:rPr>
              <w:t>29,8</w:t>
            </w:r>
          </w:p>
        </w:tc>
      </w:tr>
      <w:tr w:rsidRPr="00B52D66" w:rsidR="00B52D66" w:rsidTr="00B52D66" w14:paraId="672395D5"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3EE3AF7E" w14:textId="77777777">
            <w:pPr>
              <w:spacing w:line="240" w:lineRule="auto"/>
              <w:rPr>
                <w:rFonts w:cs="Arial"/>
                <w:szCs w:val="18"/>
                <w:lang w:val="en-GB" w:eastAsia="en-GB"/>
              </w:rPr>
            </w:pPr>
            <w:r w:rsidRPr="00B52D66">
              <w:rPr>
                <w:rFonts w:cs="Arial"/>
                <w:szCs w:val="18"/>
                <w:lang w:val="en-GB" w:eastAsia="en-GB"/>
              </w:rPr>
              <w:t xml:space="preserve">   Groen</w:t>
            </w:r>
          </w:p>
        </w:tc>
        <w:tc>
          <w:tcPr>
            <w:tcW w:w="482" w:type="pct"/>
            <w:tcBorders>
              <w:top w:val="nil"/>
              <w:left w:val="nil"/>
              <w:bottom w:val="nil"/>
              <w:right w:val="nil"/>
            </w:tcBorders>
            <w:noWrap/>
            <w:vAlign w:val="bottom"/>
            <w:hideMark/>
          </w:tcPr>
          <w:p w:rsidRPr="00B52D66" w:rsidR="00B52D66" w:rsidP="00FC2172" w:rsidRDefault="00B52D66" w14:paraId="3FD03943" w14:textId="77777777">
            <w:pPr>
              <w:spacing w:line="240" w:lineRule="auto"/>
              <w:jc w:val="center"/>
              <w:rPr>
                <w:rFonts w:cs="Arial"/>
                <w:szCs w:val="18"/>
                <w:lang w:val="en-GB" w:eastAsia="en-GB"/>
              </w:rPr>
            </w:pPr>
            <w:r w:rsidRPr="00B52D66">
              <w:rPr>
                <w:rFonts w:cs="Arial"/>
                <w:szCs w:val="18"/>
                <w:lang w:val="en-GB" w:eastAsia="en-GB"/>
              </w:rPr>
              <w:t>45,5</w:t>
            </w:r>
          </w:p>
        </w:tc>
        <w:tc>
          <w:tcPr>
            <w:tcW w:w="482" w:type="pct"/>
            <w:tcBorders>
              <w:top w:val="nil"/>
              <w:left w:val="nil"/>
              <w:bottom w:val="nil"/>
              <w:right w:val="nil"/>
            </w:tcBorders>
            <w:noWrap/>
            <w:vAlign w:val="bottom"/>
            <w:hideMark/>
          </w:tcPr>
          <w:p w:rsidRPr="00B52D66" w:rsidR="00B52D66" w:rsidP="00FC2172" w:rsidRDefault="00B52D66" w14:paraId="32318A92" w14:textId="77777777">
            <w:pPr>
              <w:spacing w:line="240" w:lineRule="auto"/>
              <w:jc w:val="center"/>
              <w:rPr>
                <w:rFonts w:cs="Arial"/>
                <w:szCs w:val="18"/>
                <w:lang w:val="en-GB" w:eastAsia="en-GB"/>
              </w:rPr>
            </w:pPr>
            <w:r w:rsidRPr="00B52D66">
              <w:rPr>
                <w:rFonts w:cs="Arial"/>
                <w:szCs w:val="18"/>
                <w:lang w:val="en-GB" w:eastAsia="en-GB"/>
              </w:rPr>
              <w:t>49,1</w:t>
            </w:r>
          </w:p>
        </w:tc>
        <w:tc>
          <w:tcPr>
            <w:tcW w:w="482" w:type="pct"/>
            <w:tcBorders>
              <w:top w:val="nil"/>
              <w:left w:val="nil"/>
              <w:bottom w:val="nil"/>
              <w:right w:val="nil"/>
            </w:tcBorders>
            <w:noWrap/>
            <w:vAlign w:val="bottom"/>
            <w:hideMark/>
          </w:tcPr>
          <w:p w:rsidRPr="00B52D66" w:rsidR="00B52D66" w:rsidP="00FC2172" w:rsidRDefault="00B52D66" w14:paraId="319DC49A" w14:textId="77777777">
            <w:pPr>
              <w:spacing w:line="240" w:lineRule="auto"/>
              <w:jc w:val="center"/>
              <w:rPr>
                <w:rFonts w:cs="Arial"/>
                <w:szCs w:val="18"/>
                <w:lang w:val="en-GB" w:eastAsia="en-GB"/>
              </w:rPr>
            </w:pPr>
            <w:r w:rsidRPr="00B52D66">
              <w:rPr>
                <w:rFonts w:cs="Arial"/>
                <w:szCs w:val="18"/>
                <w:lang w:val="en-GB" w:eastAsia="en-GB"/>
              </w:rPr>
              <w:t>47,3</w:t>
            </w:r>
          </w:p>
        </w:tc>
        <w:tc>
          <w:tcPr>
            <w:tcW w:w="482" w:type="pct"/>
            <w:tcBorders>
              <w:top w:val="nil"/>
              <w:left w:val="nil"/>
              <w:bottom w:val="nil"/>
              <w:right w:val="nil"/>
            </w:tcBorders>
            <w:noWrap/>
            <w:vAlign w:val="bottom"/>
            <w:hideMark/>
          </w:tcPr>
          <w:p w:rsidRPr="00B52D66" w:rsidR="00B52D66" w:rsidP="00FC2172" w:rsidRDefault="00B52D66" w14:paraId="0C8C1F51" w14:textId="77777777">
            <w:pPr>
              <w:spacing w:line="240" w:lineRule="auto"/>
              <w:jc w:val="center"/>
              <w:rPr>
                <w:rFonts w:cs="Arial"/>
                <w:szCs w:val="18"/>
                <w:lang w:val="en-GB" w:eastAsia="en-GB"/>
              </w:rPr>
            </w:pPr>
            <w:r w:rsidRPr="00B52D66">
              <w:rPr>
                <w:rFonts w:cs="Arial"/>
                <w:szCs w:val="18"/>
                <w:lang w:val="en-GB" w:eastAsia="en-GB"/>
              </w:rPr>
              <w:t>46,2</w:t>
            </w:r>
          </w:p>
        </w:tc>
        <w:tc>
          <w:tcPr>
            <w:tcW w:w="482" w:type="pct"/>
            <w:tcBorders>
              <w:top w:val="nil"/>
              <w:left w:val="nil"/>
              <w:bottom w:val="nil"/>
              <w:right w:val="nil"/>
            </w:tcBorders>
            <w:noWrap/>
            <w:vAlign w:val="bottom"/>
            <w:hideMark/>
          </w:tcPr>
          <w:p w:rsidRPr="00B52D66" w:rsidR="00B52D66" w:rsidP="00FC2172" w:rsidRDefault="00B52D66" w14:paraId="769A11F5" w14:textId="77777777">
            <w:pPr>
              <w:spacing w:line="240" w:lineRule="auto"/>
              <w:jc w:val="center"/>
              <w:rPr>
                <w:rFonts w:cs="Arial"/>
                <w:szCs w:val="18"/>
                <w:lang w:val="en-GB" w:eastAsia="en-GB"/>
              </w:rPr>
            </w:pPr>
            <w:r w:rsidRPr="00B52D66">
              <w:rPr>
                <w:rFonts w:cs="Arial"/>
                <w:szCs w:val="18"/>
                <w:lang w:val="en-GB" w:eastAsia="en-GB"/>
              </w:rPr>
              <w:t>47,5</w:t>
            </w:r>
          </w:p>
        </w:tc>
        <w:tc>
          <w:tcPr>
            <w:tcW w:w="482" w:type="pct"/>
            <w:tcBorders>
              <w:top w:val="nil"/>
              <w:left w:val="nil"/>
              <w:bottom w:val="nil"/>
              <w:right w:val="nil"/>
            </w:tcBorders>
            <w:noWrap/>
            <w:vAlign w:val="bottom"/>
            <w:hideMark/>
          </w:tcPr>
          <w:p w:rsidRPr="00B52D66" w:rsidR="00B52D66" w:rsidP="00FC2172" w:rsidRDefault="00B52D66" w14:paraId="0FAFD24D" w14:textId="77777777">
            <w:pPr>
              <w:spacing w:line="240" w:lineRule="auto"/>
              <w:jc w:val="center"/>
              <w:rPr>
                <w:rFonts w:cs="Arial"/>
                <w:szCs w:val="18"/>
                <w:lang w:val="en-GB" w:eastAsia="en-GB"/>
              </w:rPr>
            </w:pPr>
            <w:r w:rsidRPr="00B52D66">
              <w:rPr>
                <w:rFonts w:cs="Arial"/>
                <w:szCs w:val="18"/>
                <w:lang w:val="en-GB" w:eastAsia="en-GB"/>
              </w:rPr>
              <w:t>46,9</w:t>
            </w:r>
          </w:p>
        </w:tc>
      </w:tr>
      <w:tr w:rsidRPr="00B52D66" w:rsidR="00B52D66" w:rsidTr="00B52D66" w14:paraId="0F536079"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5B37FF9E" w14:textId="77777777">
            <w:pPr>
              <w:spacing w:line="240" w:lineRule="auto"/>
              <w:rPr>
                <w:rFonts w:cs="Arial"/>
                <w:szCs w:val="18"/>
                <w:lang w:val="en-GB" w:eastAsia="en-GB"/>
              </w:rPr>
            </w:pPr>
            <w:r w:rsidRPr="00B52D66">
              <w:rPr>
                <w:rFonts w:cs="Arial"/>
                <w:szCs w:val="18"/>
                <w:lang w:val="en-GB" w:eastAsia="en-GB"/>
              </w:rPr>
              <w:t xml:space="preserve">   HBR</w:t>
            </w:r>
          </w:p>
        </w:tc>
        <w:tc>
          <w:tcPr>
            <w:tcW w:w="482" w:type="pct"/>
            <w:tcBorders>
              <w:top w:val="nil"/>
              <w:left w:val="nil"/>
              <w:bottom w:val="nil"/>
              <w:right w:val="nil"/>
            </w:tcBorders>
            <w:noWrap/>
            <w:vAlign w:val="bottom"/>
            <w:hideMark/>
          </w:tcPr>
          <w:p w:rsidRPr="00B52D66" w:rsidR="00B52D66" w:rsidP="00FC2172" w:rsidRDefault="00B52D66" w14:paraId="0E56382D" w14:textId="77777777">
            <w:pPr>
              <w:spacing w:line="240" w:lineRule="auto"/>
              <w:jc w:val="center"/>
              <w:rPr>
                <w:rFonts w:cs="Arial"/>
                <w:szCs w:val="18"/>
                <w:lang w:val="en-GB" w:eastAsia="en-GB"/>
              </w:rPr>
            </w:pPr>
            <w:r w:rsidRPr="00B52D66">
              <w:rPr>
                <w:rFonts w:cs="Arial"/>
                <w:szCs w:val="18"/>
                <w:lang w:val="en-GB" w:eastAsia="en-GB"/>
              </w:rPr>
              <w:t>38,6</w:t>
            </w:r>
          </w:p>
        </w:tc>
        <w:tc>
          <w:tcPr>
            <w:tcW w:w="482" w:type="pct"/>
            <w:tcBorders>
              <w:top w:val="nil"/>
              <w:left w:val="nil"/>
              <w:bottom w:val="nil"/>
              <w:right w:val="nil"/>
            </w:tcBorders>
            <w:noWrap/>
            <w:vAlign w:val="bottom"/>
            <w:hideMark/>
          </w:tcPr>
          <w:p w:rsidRPr="00B52D66" w:rsidR="00B52D66" w:rsidP="00FC2172" w:rsidRDefault="00B52D66" w14:paraId="1CB5DFC8" w14:textId="77777777">
            <w:pPr>
              <w:spacing w:line="240" w:lineRule="auto"/>
              <w:jc w:val="center"/>
              <w:rPr>
                <w:rFonts w:cs="Arial"/>
                <w:szCs w:val="18"/>
                <w:lang w:val="en-GB" w:eastAsia="en-GB"/>
              </w:rPr>
            </w:pPr>
            <w:r w:rsidRPr="00B52D66">
              <w:rPr>
                <w:rFonts w:cs="Arial"/>
                <w:szCs w:val="18"/>
                <w:lang w:val="en-GB" w:eastAsia="en-GB"/>
              </w:rPr>
              <w:t>39,5</w:t>
            </w:r>
          </w:p>
        </w:tc>
        <w:tc>
          <w:tcPr>
            <w:tcW w:w="482" w:type="pct"/>
            <w:tcBorders>
              <w:top w:val="nil"/>
              <w:left w:val="nil"/>
              <w:bottom w:val="nil"/>
              <w:right w:val="nil"/>
            </w:tcBorders>
            <w:noWrap/>
            <w:vAlign w:val="bottom"/>
            <w:hideMark/>
          </w:tcPr>
          <w:p w:rsidRPr="00B52D66" w:rsidR="00B52D66" w:rsidP="00FC2172" w:rsidRDefault="00B52D66" w14:paraId="0856AF6F" w14:textId="77777777">
            <w:pPr>
              <w:spacing w:line="240" w:lineRule="auto"/>
              <w:jc w:val="center"/>
              <w:rPr>
                <w:rFonts w:cs="Arial"/>
                <w:szCs w:val="18"/>
                <w:lang w:val="en-GB" w:eastAsia="en-GB"/>
              </w:rPr>
            </w:pPr>
            <w:r w:rsidRPr="00B52D66">
              <w:rPr>
                <w:rFonts w:cs="Arial"/>
                <w:szCs w:val="18"/>
                <w:lang w:val="en-GB" w:eastAsia="en-GB"/>
              </w:rPr>
              <w:t>36,3</w:t>
            </w:r>
          </w:p>
        </w:tc>
        <w:tc>
          <w:tcPr>
            <w:tcW w:w="482" w:type="pct"/>
            <w:tcBorders>
              <w:top w:val="nil"/>
              <w:left w:val="nil"/>
              <w:bottom w:val="nil"/>
              <w:right w:val="nil"/>
            </w:tcBorders>
            <w:noWrap/>
            <w:vAlign w:val="bottom"/>
            <w:hideMark/>
          </w:tcPr>
          <w:p w:rsidRPr="00B52D66" w:rsidR="00B52D66" w:rsidP="00FC2172" w:rsidRDefault="00B52D66" w14:paraId="0094FC83" w14:textId="77777777">
            <w:pPr>
              <w:spacing w:line="240" w:lineRule="auto"/>
              <w:jc w:val="center"/>
              <w:rPr>
                <w:rFonts w:cs="Arial"/>
                <w:szCs w:val="18"/>
                <w:lang w:val="en-GB" w:eastAsia="en-GB"/>
              </w:rPr>
            </w:pPr>
            <w:r w:rsidRPr="00B52D66">
              <w:rPr>
                <w:rFonts w:cs="Arial"/>
                <w:szCs w:val="18"/>
                <w:lang w:val="en-GB" w:eastAsia="en-GB"/>
              </w:rPr>
              <w:t>38,7</w:t>
            </w:r>
          </w:p>
        </w:tc>
        <w:tc>
          <w:tcPr>
            <w:tcW w:w="482" w:type="pct"/>
            <w:tcBorders>
              <w:top w:val="nil"/>
              <w:left w:val="nil"/>
              <w:bottom w:val="nil"/>
              <w:right w:val="nil"/>
            </w:tcBorders>
            <w:noWrap/>
            <w:vAlign w:val="bottom"/>
            <w:hideMark/>
          </w:tcPr>
          <w:p w:rsidRPr="00B52D66" w:rsidR="00B52D66" w:rsidP="00FC2172" w:rsidRDefault="00B52D66" w14:paraId="6EA7D021" w14:textId="77777777">
            <w:pPr>
              <w:spacing w:line="240" w:lineRule="auto"/>
              <w:jc w:val="center"/>
              <w:rPr>
                <w:rFonts w:cs="Arial"/>
                <w:szCs w:val="18"/>
                <w:lang w:val="en-GB" w:eastAsia="en-GB"/>
              </w:rPr>
            </w:pPr>
            <w:r w:rsidRPr="00B52D66">
              <w:rPr>
                <w:rFonts w:cs="Arial"/>
                <w:szCs w:val="18"/>
                <w:lang w:val="en-GB" w:eastAsia="en-GB"/>
              </w:rPr>
              <w:t>45,2</w:t>
            </w:r>
          </w:p>
        </w:tc>
        <w:tc>
          <w:tcPr>
            <w:tcW w:w="482" w:type="pct"/>
            <w:tcBorders>
              <w:top w:val="nil"/>
              <w:left w:val="nil"/>
              <w:bottom w:val="nil"/>
              <w:right w:val="nil"/>
            </w:tcBorders>
            <w:noWrap/>
            <w:vAlign w:val="bottom"/>
            <w:hideMark/>
          </w:tcPr>
          <w:p w:rsidRPr="00B52D66" w:rsidR="00B52D66" w:rsidP="00FC2172" w:rsidRDefault="00B52D66" w14:paraId="36E87814" w14:textId="77777777">
            <w:pPr>
              <w:spacing w:line="240" w:lineRule="auto"/>
              <w:jc w:val="center"/>
              <w:rPr>
                <w:rFonts w:cs="Arial"/>
                <w:szCs w:val="18"/>
                <w:lang w:val="en-GB" w:eastAsia="en-GB"/>
              </w:rPr>
            </w:pPr>
            <w:r w:rsidRPr="00B52D66">
              <w:rPr>
                <w:rFonts w:cs="Arial"/>
                <w:szCs w:val="18"/>
                <w:lang w:val="en-GB" w:eastAsia="en-GB"/>
              </w:rPr>
              <w:t>46,9</w:t>
            </w:r>
          </w:p>
        </w:tc>
      </w:tr>
      <w:tr w:rsidRPr="00B52D66" w:rsidR="00B52D66" w:rsidTr="00B52D66" w14:paraId="7313B77D"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0CA8C732" w14:textId="77777777">
            <w:pPr>
              <w:spacing w:line="240" w:lineRule="auto"/>
              <w:rPr>
                <w:rFonts w:cs="Arial"/>
                <w:szCs w:val="18"/>
                <w:lang w:val="en-GB" w:eastAsia="en-GB"/>
              </w:rPr>
            </w:pPr>
            <w:r w:rsidRPr="00B52D66">
              <w:rPr>
                <w:rFonts w:cs="Arial"/>
                <w:szCs w:val="18"/>
                <w:lang w:val="en-GB" w:eastAsia="en-GB"/>
              </w:rPr>
              <w:t xml:space="preserve">   Z&amp;W</w:t>
            </w:r>
          </w:p>
        </w:tc>
        <w:tc>
          <w:tcPr>
            <w:tcW w:w="482" w:type="pct"/>
            <w:tcBorders>
              <w:top w:val="nil"/>
              <w:left w:val="nil"/>
              <w:bottom w:val="nil"/>
              <w:right w:val="nil"/>
            </w:tcBorders>
            <w:noWrap/>
            <w:vAlign w:val="bottom"/>
            <w:hideMark/>
          </w:tcPr>
          <w:p w:rsidRPr="00B52D66" w:rsidR="00B52D66" w:rsidP="00FC2172" w:rsidRDefault="00B52D66" w14:paraId="41EE7659" w14:textId="77777777">
            <w:pPr>
              <w:spacing w:line="240" w:lineRule="auto"/>
              <w:jc w:val="center"/>
              <w:rPr>
                <w:rFonts w:cs="Arial"/>
                <w:szCs w:val="18"/>
                <w:lang w:val="en-GB" w:eastAsia="en-GB"/>
              </w:rPr>
            </w:pPr>
            <w:r w:rsidRPr="00B52D66">
              <w:rPr>
                <w:rFonts w:cs="Arial"/>
                <w:szCs w:val="18"/>
                <w:lang w:val="en-GB" w:eastAsia="en-GB"/>
              </w:rPr>
              <w:t>78,8</w:t>
            </w:r>
          </w:p>
        </w:tc>
        <w:tc>
          <w:tcPr>
            <w:tcW w:w="482" w:type="pct"/>
            <w:tcBorders>
              <w:top w:val="nil"/>
              <w:left w:val="nil"/>
              <w:bottom w:val="nil"/>
              <w:right w:val="nil"/>
            </w:tcBorders>
            <w:noWrap/>
            <w:vAlign w:val="bottom"/>
            <w:hideMark/>
          </w:tcPr>
          <w:p w:rsidRPr="00B52D66" w:rsidR="00B52D66" w:rsidP="00FC2172" w:rsidRDefault="00B52D66" w14:paraId="743EFC1C" w14:textId="77777777">
            <w:pPr>
              <w:spacing w:line="240" w:lineRule="auto"/>
              <w:jc w:val="center"/>
              <w:rPr>
                <w:rFonts w:cs="Arial"/>
                <w:szCs w:val="18"/>
                <w:lang w:val="en-GB" w:eastAsia="en-GB"/>
              </w:rPr>
            </w:pPr>
            <w:r w:rsidRPr="00B52D66">
              <w:rPr>
                <w:rFonts w:cs="Arial"/>
                <w:szCs w:val="18"/>
                <w:lang w:val="en-GB" w:eastAsia="en-GB"/>
              </w:rPr>
              <w:t>77,9</w:t>
            </w:r>
          </w:p>
        </w:tc>
        <w:tc>
          <w:tcPr>
            <w:tcW w:w="482" w:type="pct"/>
            <w:tcBorders>
              <w:top w:val="nil"/>
              <w:left w:val="nil"/>
              <w:bottom w:val="nil"/>
              <w:right w:val="nil"/>
            </w:tcBorders>
            <w:noWrap/>
            <w:vAlign w:val="bottom"/>
            <w:hideMark/>
          </w:tcPr>
          <w:p w:rsidRPr="00B52D66" w:rsidR="00B52D66" w:rsidP="00FC2172" w:rsidRDefault="00B52D66" w14:paraId="2F5ABED3" w14:textId="77777777">
            <w:pPr>
              <w:spacing w:line="240" w:lineRule="auto"/>
              <w:jc w:val="center"/>
              <w:rPr>
                <w:rFonts w:cs="Arial"/>
                <w:szCs w:val="18"/>
                <w:lang w:val="en-GB" w:eastAsia="en-GB"/>
              </w:rPr>
            </w:pPr>
            <w:r w:rsidRPr="00B52D66">
              <w:rPr>
                <w:rFonts w:cs="Arial"/>
                <w:szCs w:val="18"/>
                <w:lang w:val="en-GB" w:eastAsia="en-GB"/>
              </w:rPr>
              <w:t>78,4</w:t>
            </w:r>
          </w:p>
        </w:tc>
        <w:tc>
          <w:tcPr>
            <w:tcW w:w="482" w:type="pct"/>
            <w:tcBorders>
              <w:top w:val="nil"/>
              <w:left w:val="nil"/>
              <w:bottom w:val="nil"/>
              <w:right w:val="nil"/>
            </w:tcBorders>
            <w:noWrap/>
            <w:vAlign w:val="bottom"/>
            <w:hideMark/>
          </w:tcPr>
          <w:p w:rsidRPr="00B52D66" w:rsidR="00B52D66" w:rsidP="00FC2172" w:rsidRDefault="00B52D66" w14:paraId="475779D8" w14:textId="77777777">
            <w:pPr>
              <w:spacing w:line="240" w:lineRule="auto"/>
              <w:jc w:val="center"/>
              <w:rPr>
                <w:rFonts w:cs="Arial"/>
                <w:szCs w:val="18"/>
                <w:lang w:val="en-GB" w:eastAsia="en-GB"/>
              </w:rPr>
            </w:pPr>
            <w:r w:rsidRPr="00B52D66">
              <w:rPr>
                <w:rFonts w:cs="Arial"/>
                <w:szCs w:val="18"/>
                <w:lang w:val="en-GB" w:eastAsia="en-GB"/>
              </w:rPr>
              <w:t>76,4</w:t>
            </w:r>
          </w:p>
        </w:tc>
        <w:tc>
          <w:tcPr>
            <w:tcW w:w="482" w:type="pct"/>
            <w:tcBorders>
              <w:top w:val="nil"/>
              <w:left w:val="nil"/>
              <w:bottom w:val="nil"/>
              <w:right w:val="nil"/>
            </w:tcBorders>
            <w:noWrap/>
            <w:vAlign w:val="bottom"/>
            <w:hideMark/>
          </w:tcPr>
          <w:p w:rsidRPr="00B52D66" w:rsidR="00B52D66" w:rsidP="00FC2172" w:rsidRDefault="00B52D66" w14:paraId="01EA4178" w14:textId="77777777">
            <w:pPr>
              <w:spacing w:line="240" w:lineRule="auto"/>
              <w:jc w:val="center"/>
              <w:rPr>
                <w:rFonts w:cs="Arial"/>
                <w:szCs w:val="18"/>
                <w:lang w:val="en-GB" w:eastAsia="en-GB"/>
              </w:rPr>
            </w:pPr>
            <w:r w:rsidRPr="00B52D66">
              <w:rPr>
                <w:rFonts w:cs="Arial"/>
                <w:szCs w:val="18"/>
                <w:lang w:val="en-GB" w:eastAsia="en-GB"/>
              </w:rPr>
              <w:t>77,3</w:t>
            </w:r>
          </w:p>
        </w:tc>
        <w:tc>
          <w:tcPr>
            <w:tcW w:w="482" w:type="pct"/>
            <w:tcBorders>
              <w:top w:val="nil"/>
              <w:left w:val="nil"/>
              <w:bottom w:val="nil"/>
              <w:right w:val="nil"/>
            </w:tcBorders>
            <w:noWrap/>
            <w:vAlign w:val="bottom"/>
            <w:hideMark/>
          </w:tcPr>
          <w:p w:rsidRPr="00B52D66" w:rsidR="00B52D66" w:rsidP="00FC2172" w:rsidRDefault="00B52D66" w14:paraId="12DE3E96" w14:textId="77777777">
            <w:pPr>
              <w:spacing w:line="240" w:lineRule="auto"/>
              <w:jc w:val="center"/>
              <w:rPr>
                <w:rFonts w:cs="Arial"/>
                <w:szCs w:val="18"/>
                <w:lang w:val="en-GB" w:eastAsia="en-GB"/>
              </w:rPr>
            </w:pPr>
            <w:r w:rsidRPr="00B52D66">
              <w:rPr>
                <w:rFonts w:cs="Arial"/>
                <w:szCs w:val="18"/>
                <w:lang w:val="en-GB" w:eastAsia="en-GB"/>
              </w:rPr>
              <w:t>76,7</w:t>
            </w:r>
          </w:p>
        </w:tc>
      </w:tr>
      <w:tr w:rsidRPr="00B52D66" w:rsidR="00B52D66" w:rsidTr="00B52D66" w14:paraId="035AC370"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567333B0" w14:textId="77777777">
            <w:pPr>
              <w:spacing w:line="240" w:lineRule="auto"/>
              <w:rPr>
                <w:rFonts w:cs="Arial"/>
                <w:b/>
                <w:bCs/>
                <w:szCs w:val="18"/>
                <w:lang w:val="en-GB" w:eastAsia="en-GB"/>
              </w:rPr>
            </w:pPr>
            <w:r w:rsidRPr="00B52D66">
              <w:rPr>
                <w:rFonts w:cs="Arial"/>
                <w:b/>
                <w:bCs/>
                <w:szCs w:val="18"/>
                <w:lang w:val="en-GB" w:eastAsia="en-GB"/>
              </w:rPr>
              <w:t>Kaderberoepsgerichte leerweg</w:t>
            </w:r>
          </w:p>
        </w:tc>
        <w:tc>
          <w:tcPr>
            <w:tcW w:w="482" w:type="pct"/>
            <w:tcBorders>
              <w:top w:val="nil"/>
              <w:left w:val="nil"/>
              <w:bottom w:val="nil"/>
              <w:right w:val="nil"/>
            </w:tcBorders>
            <w:noWrap/>
            <w:vAlign w:val="bottom"/>
            <w:hideMark/>
          </w:tcPr>
          <w:p w:rsidRPr="00B52D66" w:rsidR="00B52D66" w:rsidP="00FC2172" w:rsidRDefault="00B52D66" w14:paraId="1C92DBC1"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49053568"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67DEBCC2"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66FC407B"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76429F00"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74DAA78D" w14:textId="77777777">
            <w:pPr>
              <w:spacing w:line="240" w:lineRule="auto"/>
              <w:jc w:val="center"/>
              <w:rPr>
                <w:rFonts w:cs="Arial"/>
                <w:b/>
                <w:bCs/>
                <w:szCs w:val="18"/>
                <w:lang w:val="en-GB" w:eastAsia="en-GB"/>
              </w:rPr>
            </w:pPr>
            <w:r w:rsidRPr="00B52D66">
              <w:rPr>
                <w:rFonts w:cs="Arial"/>
                <w:b/>
                <w:bCs/>
                <w:szCs w:val="18"/>
                <w:lang w:val="en-GB" w:eastAsia="en-GB"/>
              </w:rPr>
              <w:t> </w:t>
            </w:r>
          </w:p>
        </w:tc>
      </w:tr>
      <w:tr w:rsidRPr="00B52D66" w:rsidR="00B52D66" w:rsidTr="00B52D66" w14:paraId="51AB1987"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4C0852DD" w14:textId="77777777">
            <w:pPr>
              <w:spacing w:line="240" w:lineRule="auto"/>
              <w:rPr>
                <w:rFonts w:cs="Arial"/>
                <w:b/>
                <w:bCs/>
                <w:szCs w:val="18"/>
                <w:lang w:val="en-GB" w:eastAsia="en-GB"/>
              </w:rPr>
            </w:pPr>
            <w:r w:rsidRPr="00B52D66">
              <w:rPr>
                <w:rFonts w:cs="Arial"/>
                <w:b/>
                <w:bCs/>
                <w:szCs w:val="18"/>
                <w:lang w:val="en-GB" w:eastAsia="en-GB"/>
              </w:rPr>
              <w:t xml:space="preserve">  Techniek</w:t>
            </w:r>
          </w:p>
        </w:tc>
        <w:tc>
          <w:tcPr>
            <w:tcW w:w="482" w:type="pct"/>
            <w:tcBorders>
              <w:top w:val="nil"/>
              <w:left w:val="nil"/>
              <w:bottom w:val="nil"/>
              <w:right w:val="nil"/>
            </w:tcBorders>
            <w:noWrap/>
            <w:vAlign w:val="bottom"/>
            <w:hideMark/>
          </w:tcPr>
          <w:p w:rsidRPr="00B52D66" w:rsidR="00B52D66" w:rsidP="00FC2172" w:rsidRDefault="00B52D66" w14:paraId="765FC472"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53003349"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49BC6AAF"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5C559C61"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5B5D2927"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200096EF" w14:textId="77777777">
            <w:pPr>
              <w:spacing w:line="240" w:lineRule="auto"/>
              <w:jc w:val="center"/>
              <w:rPr>
                <w:rFonts w:cs="Arial"/>
                <w:b/>
                <w:bCs/>
                <w:szCs w:val="18"/>
                <w:lang w:val="en-GB" w:eastAsia="en-GB"/>
              </w:rPr>
            </w:pPr>
            <w:r w:rsidRPr="00B52D66">
              <w:rPr>
                <w:rFonts w:cs="Arial"/>
                <w:b/>
                <w:bCs/>
                <w:szCs w:val="18"/>
                <w:lang w:val="en-GB" w:eastAsia="en-GB"/>
              </w:rPr>
              <w:t> </w:t>
            </w:r>
          </w:p>
        </w:tc>
      </w:tr>
      <w:tr w:rsidRPr="00B52D66" w:rsidR="00B52D66" w:rsidTr="00B52D66" w14:paraId="420D22EA" w14:textId="77777777">
        <w:trPr>
          <w:trHeight w:val="280"/>
        </w:trPr>
        <w:tc>
          <w:tcPr>
            <w:tcW w:w="2105" w:type="pct"/>
            <w:tcBorders>
              <w:top w:val="nil"/>
              <w:left w:val="nil"/>
              <w:bottom w:val="nil"/>
              <w:right w:val="nil"/>
            </w:tcBorders>
            <w:noWrap/>
            <w:hideMark/>
          </w:tcPr>
          <w:p w:rsidRPr="00B52D66" w:rsidR="00B52D66" w:rsidP="00FC2172" w:rsidRDefault="00B52D66" w14:paraId="2BFF2D8E" w14:textId="77777777">
            <w:pPr>
              <w:spacing w:line="240" w:lineRule="auto"/>
              <w:rPr>
                <w:rFonts w:cs="Arial"/>
                <w:szCs w:val="18"/>
                <w:lang w:val="en-GB" w:eastAsia="en-GB"/>
              </w:rPr>
            </w:pPr>
            <w:r w:rsidRPr="00B52D66">
              <w:rPr>
                <w:rFonts w:cs="Arial"/>
                <w:szCs w:val="18"/>
                <w:lang w:val="en-GB" w:eastAsia="en-GB"/>
              </w:rPr>
              <w:t xml:space="preserve">   BWI</w:t>
            </w:r>
          </w:p>
        </w:tc>
        <w:tc>
          <w:tcPr>
            <w:tcW w:w="482" w:type="pct"/>
            <w:tcBorders>
              <w:top w:val="nil"/>
              <w:left w:val="nil"/>
              <w:bottom w:val="nil"/>
              <w:right w:val="nil"/>
            </w:tcBorders>
            <w:noWrap/>
            <w:vAlign w:val="bottom"/>
            <w:hideMark/>
          </w:tcPr>
          <w:p w:rsidRPr="00B52D66" w:rsidR="00B52D66" w:rsidP="00FC2172" w:rsidRDefault="00B52D66" w14:paraId="77836E6F" w14:textId="77777777">
            <w:pPr>
              <w:spacing w:line="240" w:lineRule="auto"/>
              <w:jc w:val="center"/>
              <w:rPr>
                <w:rFonts w:cs="Arial"/>
                <w:szCs w:val="18"/>
                <w:lang w:val="en-GB" w:eastAsia="en-GB"/>
              </w:rPr>
            </w:pPr>
            <w:r w:rsidRPr="00B52D66">
              <w:rPr>
                <w:rFonts w:cs="Arial"/>
                <w:szCs w:val="18"/>
                <w:lang w:val="en-GB" w:eastAsia="en-GB"/>
              </w:rPr>
              <w:t>15,9</w:t>
            </w:r>
          </w:p>
        </w:tc>
        <w:tc>
          <w:tcPr>
            <w:tcW w:w="482" w:type="pct"/>
            <w:tcBorders>
              <w:top w:val="nil"/>
              <w:left w:val="nil"/>
              <w:bottom w:val="nil"/>
              <w:right w:val="nil"/>
            </w:tcBorders>
            <w:noWrap/>
            <w:vAlign w:val="bottom"/>
            <w:hideMark/>
          </w:tcPr>
          <w:p w:rsidRPr="00B52D66" w:rsidR="00B52D66" w:rsidP="00FC2172" w:rsidRDefault="00B52D66" w14:paraId="08308DF7" w14:textId="77777777">
            <w:pPr>
              <w:spacing w:line="240" w:lineRule="auto"/>
              <w:jc w:val="center"/>
              <w:rPr>
                <w:rFonts w:cs="Arial"/>
                <w:szCs w:val="18"/>
                <w:lang w:val="en-GB" w:eastAsia="en-GB"/>
              </w:rPr>
            </w:pPr>
            <w:r w:rsidRPr="00B52D66">
              <w:rPr>
                <w:rFonts w:cs="Arial"/>
                <w:szCs w:val="18"/>
                <w:lang w:val="en-GB" w:eastAsia="en-GB"/>
              </w:rPr>
              <w:t>14,1</w:t>
            </w:r>
          </w:p>
        </w:tc>
        <w:tc>
          <w:tcPr>
            <w:tcW w:w="482" w:type="pct"/>
            <w:tcBorders>
              <w:top w:val="nil"/>
              <w:left w:val="nil"/>
              <w:bottom w:val="nil"/>
              <w:right w:val="nil"/>
            </w:tcBorders>
            <w:noWrap/>
            <w:vAlign w:val="bottom"/>
            <w:hideMark/>
          </w:tcPr>
          <w:p w:rsidRPr="00B52D66" w:rsidR="00B52D66" w:rsidP="00FC2172" w:rsidRDefault="00B52D66" w14:paraId="49C2F719" w14:textId="77777777">
            <w:pPr>
              <w:spacing w:line="240" w:lineRule="auto"/>
              <w:jc w:val="center"/>
              <w:rPr>
                <w:rFonts w:cs="Arial"/>
                <w:szCs w:val="18"/>
                <w:lang w:val="en-GB" w:eastAsia="en-GB"/>
              </w:rPr>
            </w:pPr>
            <w:r w:rsidRPr="00B52D66">
              <w:rPr>
                <w:rFonts w:cs="Arial"/>
                <w:szCs w:val="18"/>
                <w:lang w:val="en-GB" w:eastAsia="en-GB"/>
              </w:rPr>
              <w:t>14,3</w:t>
            </w:r>
          </w:p>
        </w:tc>
        <w:tc>
          <w:tcPr>
            <w:tcW w:w="482" w:type="pct"/>
            <w:tcBorders>
              <w:top w:val="nil"/>
              <w:left w:val="nil"/>
              <w:bottom w:val="nil"/>
              <w:right w:val="nil"/>
            </w:tcBorders>
            <w:noWrap/>
            <w:vAlign w:val="bottom"/>
            <w:hideMark/>
          </w:tcPr>
          <w:p w:rsidRPr="00B52D66" w:rsidR="00B52D66" w:rsidP="00FC2172" w:rsidRDefault="00B52D66" w14:paraId="578E6707" w14:textId="77777777">
            <w:pPr>
              <w:spacing w:line="240" w:lineRule="auto"/>
              <w:jc w:val="center"/>
              <w:rPr>
                <w:rFonts w:cs="Arial"/>
                <w:szCs w:val="18"/>
                <w:lang w:val="en-GB" w:eastAsia="en-GB"/>
              </w:rPr>
            </w:pPr>
            <w:r w:rsidRPr="00B52D66">
              <w:rPr>
                <w:rFonts w:cs="Arial"/>
                <w:szCs w:val="18"/>
                <w:lang w:val="en-GB" w:eastAsia="en-GB"/>
              </w:rPr>
              <w:t>15,7</w:t>
            </w:r>
          </w:p>
        </w:tc>
        <w:tc>
          <w:tcPr>
            <w:tcW w:w="482" w:type="pct"/>
            <w:tcBorders>
              <w:top w:val="nil"/>
              <w:left w:val="nil"/>
              <w:bottom w:val="nil"/>
              <w:right w:val="nil"/>
            </w:tcBorders>
            <w:noWrap/>
            <w:vAlign w:val="bottom"/>
            <w:hideMark/>
          </w:tcPr>
          <w:p w:rsidRPr="00B52D66" w:rsidR="00B52D66" w:rsidP="00FC2172" w:rsidRDefault="00B52D66" w14:paraId="0D13556E" w14:textId="77777777">
            <w:pPr>
              <w:spacing w:line="240" w:lineRule="auto"/>
              <w:jc w:val="center"/>
              <w:rPr>
                <w:rFonts w:cs="Arial"/>
                <w:szCs w:val="18"/>
                <w:lang w:val="en-GB" w:eastAsia="en-GB"/>
              </w:rPr>
            </w:pPr>
            <w:r w:rsidRPr="00B52D66">
              <w:rPr>
                <w:rFonts w:cs="Arial"/>
                <w:szCs w:val="18"/>
                <w:lang w:val="en-GB" w:eastAsia="en-GB"/>
              </w:rPr>
              <w:t>17,7</w:t>
            </w:r>
          </w:p>
        </w:tc>
        <w:tc>
          <w:tcPr>
            <w:tcW w:w="482" w:type="pct"/>
            <w:tcBorders>
              <w:top w:val="nil"/>
              <w:left w:val="nil"/>
              <w:bottom w:val="nil"/>
              <w:right w:val="nil"/>
            </w:tcBorders>
            <w:noWrap/>
            <w:vAlign w:val="bottom"/>
            <w:hideMark/>
          </w:tcPr>
          <w:p w:rsidRPr="00B52D66" w:rsidR="00B52D66" w:rsidP="00FC2172" w:rsidRDefault="00B52D66" w14:paraId="39C1274A" w14:textId="77777777">
            <w:pPr>
              <w:spacing w:line="240" w:lineRule="auto"/>
              <w:jc w:val="center"/>
              <w:rPr>
                <w:rFonts w:cs="Arial"/>
                <w:szCs w:val="18"/>
                <w:lang w:val="en-GB" w:eastAsia="en-GB"/>
              </w:rPr>
            </w:pPr>
            <w:r w:rsidRPr="00B52D66">
              <w:rPr>
                <w:rFonts w:cs="Arial"/>
                <w:szCs w:val="18"/>
                <w:lang w:val="en-GB" w:eastAsia="en-GB"/>
              </w:rPr>
              <w:t>16,1</w:t>
            </w:r>
          </w:p>
        </w:tc>
      </w:tr>
      <w:tr w:rsidRPr="00B52D66" w:rsidR="00B52D66" w:rsidTr="00B52D66" w14:paraId="11614C26" w14:textId="77777777">
        <w:trPr>
          <w:trHeight w:val="280"/>
        </w:trPr>
        <w:tc>
          <w:tcPr>
            <w:tcW w:w="2105" w:type="pct"/>
            <w:tcBorders>
              <w:top w:val="nil"/>
              <w:left w:val="nil"/>
              <w:bottom w:val="nil"/>
              <w:right w:val="nil"/>
            </w:tcBorders>
            <w:noWrap/>
            <w:hideMark/>
          </w:tcPr>
          <w:p w:rsidRPr="00B52D66" w:rsidR="00B52D66" w:rsidP="00FC2172" w:rsidRDefault="00B52D66" w14:paraId="0D014D78" w14:textId="77777777">
            <w:pPr>
              <w:spacing w:line="240" w:lineRule="auto"/>
              <w:rPr>
                <w:rFonts w:cs="Arial"/>
                <w:szCs w:val="18"/>
                <w:lang w:val="en-GB" w:eastAsia="en-GB"/>
              </w:rPr>
            </w:pPr>
            <w:r w:rsidRPr="00B52D66">
              <w:rPr>
                <w:rFonts w:cs="Arial"/>
                <w:szCs w:val="18"/>
                <w:lang w:val="en-GB" w:eastAsia="en-GB"/>
              </w:rPr>
              <w:t xml:space="preserve">   MaT</w:t>
            </w:r>
          </w:p>
        </w:tc>
        <w:tc>
          <w:tcPr>
            <w:tcW w:w="482" w:type="pct"/>
            <w:tcBorders>
              <w:top w:val="nil"/>
              <w:left w:val="nil"/>
              <w:bottom w:val="nil"/>
              <w:right w:val="nil"/>
            </w:tcBorders>
            <w:noWrap/>
            <w:vAlign w:val="bottom"/>
            <w:hideMark/>
          </w:tcPr>
          <w:p w:rsidRPr="00B52D66" w:rsidR="00B52D66" w:rsidP="00FC2172" w:rsidRDefault="00B52D66" w14:paraId="06059BA3" w14:textId="77777777">
            <w:pPr>
              <w:spacing w:line="240" w:lineRule="auto"/>
              <w:jc w:val="center"/>
              <w:rPr>
                <w:rFonts w:cs="Arial"/>
                <w:szCs w:val="18"/>
                <w:lang w:val="en-GB" w:eastAsia="en-GB"/>
              </w:rPr>
            </w:pPr>
            <w:r w:rsidRPr="00B52D66">
              <w:rPr>
                <w:rFonts w:cs="Arial"/>
                <w:szCs w:val="18"/>
                <w:lang w:val="en-GB" w:eastAsia="en-GB"/>
              </w:rPr>
              <w:t>8,7</w:t>
            </w:r>
          </w:p>
        </w:tc>
        <w:tc>
          <w:tcPr>
            <w:tcW w:w="482" w:type="pct"/>
            <w:tcBorders>
              <w:top w:val="nil"/>
              <w:left w:val="nil"/>
              <w:bottom w:val="nil"/>
              <w:right w:val="nil"/>
            </w:tcBorders>
            <w:noWrap/>
            <w:vAlign w:val="bottom"/>
            <w:hideMark/>
          </w:tcPr>
          <w:p w:rsidRPr="00B52D66" w:rsidR="00B52D66" w:rsidP="00FC2172" w:rsidRDefault="00B52D66" w14:paraId="203061AE" w14:textId="77777777">
            <w:pPr>
              <w:spacing w:line="240" w:lineRule="auto"/>
              <w:jc w:val="center"/>
              <w:rPr>
                <w:rFonts w:cs="Arial"/>
                <w:szCs w:val="18"/>
                <w:lang w:val="en-GB" w:eastAsia="en-GB"/>
              </w:rPr>
            </w:pPr>
            <w:r w:rsidRPr="00B52D66">
              <w:rPr>
                <w:rFonts w:cs="Arial"/>
                <w:szCs w:val="18"/>
                <w:lang w:val="en-GB" w:eastAsia="en-GB"/>
              </w:rPr>
              <w:t>11,7</w:t>
            </w:r>
          </w:p>
        </w:tc>
        <w:tc>
          <w:tcPr>
            <w:tcW w:w="482" w:type="pct"/>
            <w:tcBorders>
              <w:top w:val="nil"/>
              <w:left w:val="nil"/>
              <w:bottom w:val="nil"/>
              <w:right w:val="nil"/>
            </w:tcBorders>
            <w:noWrap/>
            <w:vAlign w:val="bottom"/>
            <w:hideMark/>
          </w:tcPr>
          <w:p w:rsidRPr="00B52D66" w:rsidR="00B52D66" w:rsidP="00FC2172" w:rsidRDefault="00B52D66" w14:paraId="7B202327" w14:textId="77777777">
            <w:pPr>
              <w:spacing w:line="240" w:lineRule="auto"/>
              <w:jc w:val="center"/>
              <w:rPr>
                <w:rFonts w:cs="Arial"/>
                <w:szCs w:val="18"/>
                <w:lang w:val="en-GB" w:eastAsia="en-GB"/>
              </w:rPr>
            </w:pPr>
            <w:r w:rsidRPr="00B52D66">
              <w:rPr>
                <w:rFonts w:cs="Arial"/>
                <w:szCs w:val="18"/>
                <w:lang w:val="en-GB" w:eastAsia="en-GB"/>
              </w:rPr>
              <w:t>15,2</w:t>
            </w:r>
          </w:p>
        </w:tc>
        <w:tc>
          <w:tcPr>
            <w:tcW w:w="482" w:type="pct"/>
            <w:tcBorders>
              <w:top w:val="nil"/>
              <w:left w:val="nil"/>
              <w:bottom w:val="nil"/>
              <w:right w:val="nil"/>
            </w:tcBorders>
            <w:noWrap/>
            <w:vAlign w:val="bottom"/>
            <w:hideMark/>
          </w:tcPr>
          <w:p w:rsidRPr="00B52D66" w:rsidR="00B52D66" w:rsidP="00FC2172" w:rsidRDefault="00B52D66" w14:paraId="1AF1924C" w14:textId="77777777">
            <w:pPr>
              <w:spacing w:line="240" w:lineRule="auto"/>
              <w:jc w:val="center"/>
              <w:rPr>
                <w:rFonts w:cs="Arial"/>
                <w:szCs w:val="18"/>
                <w:lang w:val="en-GB" w:eastAsia="en-GB"/>
              </w:rPr>
            </w:pPr>
            <w:r w:rsidRPr="00B52D66">
              <w:rPr>
                <w:rFonts w:cs="Arial"/>
                <w:szCs w:val="18"/>
                <w:lang w:val="en-GB" w:eastAsia="en-GB"/>
              </w:rPr>
              <w:t>9,4</w:t>
            </w:r>
          </w:p>
        </w:tc>
        <w:tc>
          <w:tcPr>
            <w:tcW w:w="482" w:type="pct"/>
            <w:tcBorders>
              <w:top w:val="nil"/>
              <w:left w:val="nil"/>
              <w:bottom w:val="nil"/>
              <w:right w:val="nil"/>
            </w:tcBorders>
            <w:noWrap/>
            <w:vAlign w:val="bottom"/>
            <w:hideMark/>
          </w:tcPr>
          <w:p w:rsidRPr="00B52D66" w:rsidR="00B52D66" w:rsidP="00FC2172" w:rsidRDefault="00B52D66" w14:paraId="40861C4A" w14:textId="77777777">
            <w:pPr>
              <w:spacing w:line="240" w:lineRule="auto"/>
              <w:jc w:val="center"/>
              <w:rPr>
                <w:rFonts w:cs="Arial"/>
                <w:szCs w:val="18"/>
                <w:lang w:val="en-GB" w:eastAsia="en-GB"/>
              </w:rPr>
            </w:pPr>
            <w:r w:rsidRPr="00B52D66">
              <w:rPr>
                <w:rFonts w:cs="Arial"/>
                <w:szCs w:val="18"/>
                <w:lang w:val="en-GB" w:eastAsia="en-GB"/>
              </w:rPr>
              <w:t>5,3</w:t>
            </w:r>
          </w:p>
        </w:tc>
        <w:tc>
          <w:tcPr>
            <w:tcW w:w="482" w:type="pct"/>
            <w:tcBorders>
              <w:top w:val="nil"/>
              <w:left w:val="nil"/>
              <w:bottom w:val="nil"/>
              <w:right w:val="nil"/>
            </w:tcBorders>
            <w:noWrap/>
            <w:vAlign w:val="bottom"/>
            <w:hideMark/>
          </w:tcPr>
          <w:p w:rsidRPr="00B52D66" w:rsidR="00B52D66" w:rsidP="00FC2172" w:rsidRDefault="00B52D66" w14:paraId="73F822F0" w14:textId="77777777">
            <w:pPr>
              <w:spacing w:line="240" w:lineRule="auto"/>
              <w:jc w:val="center"/>
              <w:rPr>
                <w:rFonts w:cs="Arial"/>
                <w:szCs w:val="18"/>
                <w:lang w:val="en-GB" w:eastAsia="en-GB"/>
              </w:rPr>
            </w:pPr>
            <w:r w:rsidRPr="00B52D66">
              <w:rPr>
                <w:rFonts w:cs="Arial"/>
                <w:szCs w:val="18"/>
                <w:lang w:val="en-GB" w:eastAsia="en-GB"/>
              </w:rPr>
              <w:t>10,2</w:t>
            </w:r>
          </w:p>
        </w:tc>
      </w:tr>
      <w:tr w:rsidRPr="00B52D66" w:rsidR="00B52D66" w:rsidTr="00B52D66" w14:paraId="6A6D74A9" w14:textId="77777777">
        <w:trPr>
          <w:trHeight w:val="280"/>
        </w:trPr>
        <w:tc>
          <w:tcPr>
            <w:tcW w:w="2105" w:type="pct"/>
            <w:tcBorders>
              <w:top w:val="nil"/>
              <w:left w:val="nil"/>
              <w:bottom w:val="nil"/>
              <w:right w:val="nil"/>
            </w:tcBorders>
            <w:noWrap/>
            <w:hideMark/>
          </w:tcPr>
          <w:p w:rsidRPr="00B52D66" w:rsidR="00B52D66" w:rsidP="00FC2172" w:rsidRDefault="00B52D66" w14:paraId="5CB30420" w14:textId="77777777">
            <w:pPr>
              <w:spacing w:line="240" w:lineRule="auto"/>
              <w:rPr>
                <w:rFonts w:cs="Arial"/>
                <w:szCs w:val="18"/>
                <w:lang w:val="en-GB" w:eastAsia="en-GB"/>
              </w:rPr>
            </w:pPr>
            <w:r w:rsidRPr="00B52D66">
              <w:rPr>
                <w:rFonts w:cs="Arial"/>
                <w:szCs w:val="18"/>
                <w:lang w:val="en-GB" w:eastAsia="en-GB"/>
              </w:rPr>
              <w:t xml:space="preserve">   MVI</w:t>
            </w:r>
          </w:p>
        </w:tc>
        <w:tc>
          <w:tcPr>
            <w:tcW w:w="482" w:type="pct"/>
            <w:tcBorders>
              <w:top w:val="nil"/>
              <w:left w:val="nil"/>
              <w:bottom w:val="nil"/>
              <w:right w:val="nil"/>
            </w:tcBorders>
            <w:noWrap/>
            <w:vAlign w:val="bottom"/>
            <w:hideMark/>
          </w:tcPr>
          <w:p w:rsidRPr="00B52D66" w:rsidR="00B52D66" w:rsidP="00FC2172" w:rsidRDefault="00B52D66" w14:paraId="5AB233EA" w14:textId="77777777">
            <w:pPr>
              <w:spacing w:line="240" w:lineRule="auto"/>
              <w:jc w:val="center"/>
              <w:rPr>
                <w:rFonts w:cs="Arial"/>
                <w:szCs w:val="18"/>
                <w:lang w:val="en-GB" w:eastAsia="en-GB"/>
              </w:rPr>
            </w:pPr>
            <w:r w:rsidRPr="00B52D66">
              <w:rPr>
                <w:rFonts w:cs="Arial"/>
                <w:szCs w:val="18"/>
                <w:lang w:val="en-GB" w:eastAsia="en-GB"/>
              </w:rPr>
              <w:t>26,4</w:t>
            </w:r>
          </w:p>
        </w:tc>
        <w:tc>
          <w:tcPr>
            <w:tcW w:w="482" w:type="pct"/>
            <w:tcBorders>
              <w:top w:val="nil"/>
              <w:left w:val="nil"/>
              <w:bottom w:val="nil"/>
              <w:right w:val="nil"/>
            </w:tcBorders>
            <w:noWrap/>
            <w:vAlign w:val="bottom"/>
            <w:hideMark/>
          </w:tcPr>
          <w:p w:rsidRPr="00B52D66" w:rsidR="00B52D66" w:rsidP="00FC2172" w:rsidRDefault="00B52D66" w14:paraId="017E6E41" w14:textId="77777777">
            <w:pPr>
              <w:spacing w:line="240" w:lineRule="auto"/>
              <w:jc w:val="center"/>
              <w:rPr>
                <w:rFonts w:cs="Arial"/>
                <w:szCs w:val="18"/>
                <w:lang w:val="en-GB" w:eastAsia="en-GB"/>
              </w:rPr>
            </w:pPr>
            <w:r w:rsidRPr="00B52D66">
              <w:rPr>
                <w:rFonts w:cs="Arial"/>
                <w:szCs w:val="18"/>
                <w:lang w:val="en-GB" w:eastAsia="en-GB"/>
              </w:rPr>
              <w:t>28,4</w:t>
            </w:r>
          </w:p>
        </w:tc>
        <w:tc>
          <w:tcPr>
            <w:tcW w:w="482" w:type="pct"/>
            <w:tcBorders>
              <w:top w:val="nil"/>
              <w:left w:val="nil"/>
              <w:bottom w:val="nil"/>
              <w:right w:val="nil"/>
            </w:tcBorders>
            <w:noWrap/>
            <w:vAlign w:val="bottom"/>
            <w:hideMark/>
          </w:tcPr>
          <w:p w:rsidRPr="00B52D66" w:rsidR="00B52D66" w:rsidP="00FC2172" w:rsidRDefault="00B52D66" w14:paraId="6A5869B6" w14:textId="77777777">
            <w:pPr>
              <w:spacing w:line="240" w:lineRule="auto"/>
              <w:jc w:val="center"/>
              <w:rPr>
                <w:rFonts w:cs="Arial"/>
                <w:szCs w:val="18"/>
                <w:lang w:val="en-GB" w:eastAsia="en-GB"/>
              </w:rPr>
            </w:pPr>
            <w:r w:rsidRPr="00B52D66">
              <w:rPr>
                <w:rFonts w:cs="Arial"/>
                <w:szCs w:val="18"/>
                <w:lang w:val="en-GB" w:eastAsia="en-GB"/>
              </w:rPr>
              <w:t>27,9</w:t>
            </w:r>
          </w:p>
        </w:tc>
        <w:tc>
          <w:tcPr>
            <w:tcW w:w="482" w:type="pct"/>
            <w:tcBorders>
              <w:top w:val="nil"/>
              <w:left w:val="nil"/>
              <w:bottom w:val="nil"/>
              <w:right w:val="nil"/>
            </w:tcBorders>
            <w:noWrap/>
            <w:vAlign w:val="bottom"/>
            <w:hideMark/>
          </w:tcPr>
          <w:p w:rsidRPr="00B52D66" w:rsidR="00B52D66" w:rsidP="00FC2172" w:rsidRDefault="00B52D66" w14:paraId="5CDC4A80" w14:textId="77777777">
            <w:pPr>
              <w:spacing w:line="240" w:lineRule="auto"/>
              <w:jc w:val="center"/>
              <w:rPr>
                <w:rFonts w:cs="Arial"/>
                <w:szCs w:val="18"/>
                <w:lang w:val="en-GB" w:eastAsia="en-GB"/>
              </w:rPr>
            </w:pPr>
            <w:r w:rsidRPr="00B52D66">
              <w:rPr>
                <w:rFonts w:cs="Arial"/>
                <w:szCs w:val="18"/>
                <w:lang w:val="en-GB" w:eastAsia="en-GB"/>
              </w:rPr>
              <w:t>31,6</w:t>
            </w:r>
          </w:p>
        </w:tc>
        <w:tc>
          <w:tcPr>
            <w:tcW w:w="482" w:type="pct"/>
            <w:tcBorders>
              <w:top w:val="nil"/>
              <w:left w:val="nil"/>
              <w:bottom w:val="nil"/>
              <w:right w:val="nil"/>
            </w:tcBorders>
            <w:noWrap/>
            <w:vAlign w:val="bottom"/>
            <w:hideMark/>
          </w:tcPr>
          <w:p w:rsidRPr="00B52D66" w:rsidR="00B52D66" w:rsidP="00FC2172" w:rsidRDefault="00B52D66" w14:paraId="0A22FE93" w14:textId="77777777">
            <w:pPr>
              <w:spacing w:line="240" w:lineRule="auto"/>
              <w:jc w:val="center"/>
              <w:rPr>
                <w:rFonts w:cs="Arial"/>
                <w:szCs w:val="18"/>
                <w:lang w:val="en-GB" w:eastAsia="en-GB"/>
              </w:rPr>
            </w:pPr>
            <w:r w:rsidRPr="00B52D66">
              <w:rPr>
                <w:rFonts w:cs="Arial"/>
                <w:szCs w:val="18"/>
                <w:lang w:val="en-GB" w:eastAsia="en-GB"/>
              </w:rPr>
              <w:t>33,0</w:t>
            </w:r>
          </w:p>
        </w:tc>
        <w:tc>
          <w:tcPr>
            <w:tcW w:w="482" w:type="pct"/>
            <w:tcBorders>
              <w:top w:val="nil"/>
              <w:left w:val="nil"/>
              <w:bottom w:val="nil"/>
              <w:right w:val="nil"/>
            </w:tcBorders>
            <w:noWrap/>
            <w:vAlign w:val="bottom"/>
            <w:hideMark/>
          </w:tcPr>
          <w:p w:rsidRPr="00B52D66" w:rsidR="00B52D66" w:rsidP="00FC2172" w:rsidRDefault="00B52D66" w14:paraId="7B8CFA5B" w14:textId="77777777">
            <w:pPr>
              <w:spacing w:line="240" w:lineRule="auto"/>
              <w:jc w:val="center"/>
              <w:rPr>
                <w:rFonts w:cs="Arial"/>
                <w:szCs w:val="18"/>
                <w:lang w:val="en-GB" w:eastAsia="en-GB"/>
              </w:rPr>
            </w:pPr>
            <w:r w:rsidRPr="00B52D66">
              <w:rPr>
                <w:rFonts w:cs="Arial"/>
                <w:szCs w:val="18"/>
                <w:lang w:val="en-GB" w:eastAsia="en-GB"/>
              </w:rPr>
              <w:t>34,1</w:t>
            </w:r>
          </w:p>
        </w:tc>
      </w:tr>
      <w:tr w:rsidRPr="00B52D66" w:rsidR="00B52D66" w:rsidTr="00B52D66" w14:paraId="0F8BF3FF" w14:textId="77777777">
        <w:trPr>
          <w:trHeight w:val="280"/>
        </w:trPr>
        <w:tc>
          <w:tcPr>
            <w:tcW w:w="2105" w:type="pct"/>
            <w:tcBorders>
              <w:top w:val="nil"/>
              <w:left w:val="nil"/>
              <w:bottom w:val="nil"/>
              <w:right w:val="nil"/>
            </w:tcBorders>
            <w:noWrap/>
            <w:hideMark/>
          </w:tcPr>
          <w:p w:rsidRPr="00B52D66" w:rsidR="00B52D66" w:rsidP="00FC2172" w:rsidRDefault="00B52D66" w14:paraId="04215E20" w14:textId="77777777">
            <w:pPr>
              <w:spacing w:line="240" w:lineRule="auto"/>
              <w:rPr>
                <w:rFonts w:cs="Arial"/>
                <w:szCs w:val="18"/>
                <w:lang w:val="en-GB" w:eastAsia="en-GB"/>
              </w:rPr>
            </w:pPr>
            <w:r w:rsidRPr="00B52D66">
              <w:rPr>
                <w:rFonts w:cs="Arial"/>
                <w:szCs w:val="18"/>
                <w:lang w:val="en-GB" w:eastAsia="en-GB"/>
              </w:rPr>
              <w:t xml:space="preserve">   M&amp;T</w:t>
            </w:r>
          </w:p>
        </w:tc>
        <w:tc>
          <w:tcPr>
            <w:tcW w:w="482" w:type="pct"/>
            <w:tcBorders>
              <w:top w:val="nil"/>
              <w:left w:val="nil"/>
              <w:bottom w:val="nil"/>
              <w:right w:val="nil"/>
            </w:tcBorders>
            <w:noWrap/>
            <w:vAlign w:val="bottom"/>
            <w:hideMark/>
          </w:tcPr>
          <w:p w:rsidRPr="00B52D66" w:rsidR="00B52D66" w:rsidP="00FC2172" w:rsidRDefault="00B52D66" w14:paraId="0F24A63A" w14:textId="77777777">
            <w:pPr>
              <w:spacing w:line="240" w:lineRule="auto"/>
              <w:jc w:val="center"/>
              <w:rPr>
                <w:rFonts w:cs="Arial"/>
                <w:szCs w:val="18"/>
                <w:lang w:val="en-GB" w:eastAsia="en-GB"/>
              </w:rPr>
            </w:pPr>
            <w:r w:rsidRPr="00B52D66">
              <w:rPr>
                <w:rFonts w:cs="Arial"/>
                <w:szCs w:val="18"/>
                <w:lang w:val="en-GB" w:eastAsia="en-GB"/>
              </w:rPr>
              <w:t>4,4</w:t>
            </w:r>
          </w:p>
        </w:tc>
        <w:tc>
          <w:tcPr>
            <w:tcW w:w="482" w:type="pct"/>
            <w:tcBorders>
              <w:top w:val="nil"/>
              <w:left w:val="nil"/>
              <w:bottom w:val="nil"/>
              <w:right w:val="nil"/>
            </w:tcBorders>
            <w:noWrap/>
            <w:vAlign w:val="bottom"/>
            <w:hideMark/>
          </w:tcPr>
          <w:p w:rsidRPr="00B52D66" w:rsidR="00B52D66" w:rsidP="00FC2172" w:rsidRDefault="00B52D66" w14:paraId="0C09C62E" w14:textId="77777777">
            <w:pPr>
              <w:spacing w:line="240" w:lineRule="auto"/>
              <w:jc w:val="center"/>
              <w:rPr>
                <w:rFonts w:cs="Arial"/>
                <w:szCs w:val="18"/>
                <w:lang w:val="en-GB" w:eastAsia="en-GB"/>
              </w:rPr>
            </w:pPr>
            <w:r w:rsidRPr="00B52D66">
              <w:rPr>
                <w:rFonts w:cs="Arial"/>
                <w:szCs w:val="18"/>
                <w:lang w:val="en-GB" w:eastAsia="en-GB"/>
              </w:rPr>
              <w:t>3,2</w:t>
            </w:r>
          </w:p>
        </w:tc>
        <w:tc>
          <w:tcPr>
            <w:tcW w:w="482" w:type="pct"/>
            <w:tcBorders>
              <w:top w:val="nil"/>
              <w:left w:val="nil"/>
              <w:bottom w:val="nil"/>
              <w:right w:val="nil"/>
            </w:tcBorders>
            <w:noWrap/>
            <w:vAlign w:val="bottom"/>
            <w:hideMark/>
          </w:tcPr>
          <w:p w:rsidRPr="00B52D66" w:rsidR="00B52D66" w:rsidP="00FC2172" w:rsidRDefault="00B52D66" w14:paraId="6E0494A5" w14:textId="77777777">
            <w:pPr>
              <w:spacing w:line="240" w:lineRule="auto"/>
              <w:jc w:val="center"/>
              <w:rPr>
                <w:rFonts w:cs="Arial"/>
                <w:szCs w:val="18"/>
                <w:lang w:val="en-GB" w:eastAsia="en-GB"/>
              </w:rPr>
            </w:pPr>
            <w:r w:rsidRPr="00B52D66">
              <w:rPr>
                <w:rFonts w:cs="Arial"/>
                <w:szCs w:val="18"/>
                <w:lang w:val="en-GB" w:eastAsia="en-GB"/>
              </w:rPr>
              <w:t>3,0</w:t>
            </w:r>
          </w:p>
        </w:tc>
        <w:tc>
          <w:tcPr>
            <w:tcW w:w="482" w:type="pct"/>
            <w:tcBorders>
              <w:top w:val="nil"/>
              <w:left w:val="nil"/>
              <w:bottom w:val="nil"/>
              <w:right w:val="nil"/>
            </w:tcBorders>
            <w:noWrap/>
            <w:vAlign w:val="bottom"/>
            <w:hideMark/>
          </w:tcPr>
          <w:p w:rsidRPr="00B52D66" w:rsidR="00B52D66" w:rsidP="00FC2172" w:rsidRDefault="00B52D66" w14:paraId="40C77826" w14:textId="77777777">
            <w:pPr>
              <w:spacing w:line="240" w:lineRule="auto"/>
              <w:jc w:val="center"/>
              <w:rPr>
                <w:rFonts w:cs="Arial"/>
                <w:szCs w:val="18"/>
                <w:lang w:val="en-GB" w:eastAsia="en-GB"/>
              </w:rPr>
            </w:pPr>
            <w:r w:rsidRPr="00B52D66">
              <w:rPr>
                <w:rFonts w:cs="Arial"/>
                <w:szCs w:val="18"/>
                <w:lang w:val="en-GB" w:eastAsia="en-GB"/>
              </w:rPr>
              <w:t>4,7</w:t>
            </w:r>
          </w:p>
        </w:tc>
        <w:tc>
          <w:tcPr>
            <w:tcW w:w="482" w:type="pct"/>
            <w:tcBorders>
              <w:top w:val="nil"/>
              <w:left w:val="nil"/>
              <w:bottom w:val="nil"/>
              <w:right w:val="nil"/>
            </w:tcBorders>
            <w:noWrap/>
            <w:vAlign w:val="bottom"/>
            <w:hideMark/>
          </w:tcPr>
          <w:p w:rsidRPr="00B52D66" w:rsidR="00B52D66" w:rsidP="00FC2172" w:rsidRDefault="00B52D66" w14:paraId="3F592D89" w14:textId="77777777">
            <w:pPr>
              <w:spacing w:line="240" w:lineRule="auto"/>
              <w:jc w:val="center"/>
              <w:rPr>
                <w:rFonts w:cs="Arial"/>
                <w:szCs w:val="18"/>
                <w:lang w:val="en-GB" w:eastAsia="en-GB"/>
              </w:rPr>
            </w:pPr>
            <w:r w:rsidRPr="00B52D66">
              <w:rPr>
                <w:rFonts w:cs="Arial"/>
                <w:szCs w:val="18"/>
                <w:lang w:val="en-GB" w:eastAsia="en-GB"/>
              </w:rPr>
              <w:t>6,8</w:t>
            </w:r>
          </w:p>
        </w:tc>
        <w:tc>
          <w:tcPr>
            <w:tcW w:w="482" w:type="pct"/>
            <w:tcBorders>
              <w:top w:val="nil"/>
              <w:left w:val="nil"/>
              <w:bottom w:val="nil"/>
              <w:right w:val="nil"/>
            </w:tcBorders>
            <w:noWrap/>
            <w:vAlign w:val="bottom"/>
            <w:hideMark/>
          </w:tcPr>
          <w:p w:rsidRPr="00B52D66" w:rsidR="00B52D66" w:rsidP="00FC2172" w:rsidRDefault="00B52D66" w14:paraId="5B34B18A" w14:textId="77777777">
            <w:pPr>
              <w:spacing w:line="240" w:lineRule="auto"/>
              <w:jc w:val="center"/>
              <w:rPr>
                <w:rFonts w:cs="Arial"/>
                <w:szCs w:val="18"/>
                <w:lang w:val="en-GB" w:eastAsia="en-GB"/>
              </w:rPr>
            </w:pPr>
            <w:r w:rsidRPr="00B52D66">
              <w:rPr>
                <w:rFonts w:cs="Arial"/>
                <w:szCs w:val="18"/>
                <w:lang w:val="en-GB" w:eastAsia="en-GB"/>
              </w:rPr>
              <w:t>7,5</w:t>
            </w:r>
          </w:p>
        </w:tc>
      </w:tr>
      <w:tr w:rsidRPr="00B52D66" w:rsidR="00B52D66" w:rsidTr="00B52D66" w14:paraId="4BC6D487" w14:textId="77777777">
        <w:trPr>
          <w:trHeight w:val="280"/>
        </w:trPr>
        <w:tc>
          <w:tcPr>
            <w:tcW w:w="2105" w:type="pct"/>
            <w:tcBorders>
              <w:top w:val="nil"/>
              <w:left w:val="nil"/>
              <w:bottom w:val="nil"/>
              <w:right w:val="nil"/>
            </w:tcBorders>
            <w:noWrap/>
            <w:hideMark/>
          </w:tcPr>
          <w:p w:rsidRPr="00B52D66" w:rsidR="00B52D66" w:rsidP="00FC2172" w:rsidRDefault="00B52D66" w14:paraId="071C3097" w14:textId="77777777">
            <w:pPr>
              <w:spacing w:line="240" w:lineRule="auto"/>
              <w:rPr>
                <w:rFonts w:cs="Arial"/>
                <w:szCs w:val="18"/>
                <w:lang w:val="en-GB" w:eastAsia="en-GB"/>
              </w:rPr>
            </w:pPr>
            <w:r w:rsidRPr="00B52D66">
              <w:rPr>
                <w:rFonts w:cs="Arial"/>
                <w:szCs w:val="18"/>
                <w:lang w:val="en-GB" w:eastAsia="en-GB"/>
              </w:rPr>
              <w:t xml:space="preserve">   PIE</w:t>
            </w:r>
          </w:p>
        </w:tc>
        <w:tc>
          <w:tcPr>
            <w:tcW w:w="482" w:type="pct"/>
            <w:tcBorders>
              <w:top w:val="nil"/>
              <w:left w:val="nil"/>
              <w:bottom w:val="nil"/>
              <w:right w:val="nil"/>
            </w:tcBorders>
            <w:noWrap/>
            <w:vAlign w:val="bottom"/>
            <w:hideMark/>
          </w:tcPr>
          <w:p w:rsidRPr="00B52D66" w:rsidR="00B52D66" w:rsidP="00FC2172" w:rsidRDefault="00B52D66" w14:paraId="5F80D81C" w14:textId="77777777">
            <w:pPr>
              <w:spacing w:line="240" w:lineRule="auto"/>
              <w:jc w:val="center"/>
              <w:rPr>
                <w:rFonts w:cs="Arial"/>
                <w:szCs w:val="18"/>
                <w:lang w:val="en-GB" w:eastAsia="en-GB"/>
              </w:rPr>
            </w:pPr>
            <w:r w:rsidRPr="00B52D66">
              <w:rPr>
                <w:rFonts w:cs="Arial"/>
                <w:szCs w:val="18"/>
                <w:lang w:val="en-GB" w:eastAsia="en-GB"/>
              </w:rPr>
              <w:t>4,0</w:t>
            </w:r>
          </w:p>
        </w:tc>
        <w:tc>
          <w:tcPr>
            <w:tcW w:w="482" w:type="pct"/>
            <w:tcBorders>
              <w:top w:val="nil"/>
              <w:left w:val="nil"/>
              <w:bottom w:val="nil"/>
              <w:right w:val="nil"/>
            </w:tcBorders>
            <w:noWrap/>
            <w:vAlign w:val="bottom"/>
            <w:hideMark/>
          </w:tcPr>
          <w:p w:rsidRPr="00B52D66" w:rsidR="00B52D66" w:rsidP="00FC2172" w:rsidRDefault="00B52D66" w14:paraId="6CEFA068" w14:textId="77777777">
            <w:pPr>
              <w:spacing w:line="240" w:lineRule="auto"/>
              <w:jc w:val="center"/>
              <w:rPr>
                <w:rFonts w:cs="Arial"/>
                <w:szCs w:val="18"/>
                <w:lang w:val="en-GB" w:eastAsia="en-GB"/>
              </w:rPr>
            </w:pPr>
            <w:r w:rsidRPr="00B52D66">
              <w:rPr>
                <w:rFonts w:cs="Arial"/>
                <w:szCs w:val="18"/>
                <w:lang w:val="en-GB" w:eastAsia="en-GB"/>
              </w:rPr>
              <w:t>5,1</w:t>
            </w:r>
          </w:p>
        </w:tc>
        <w:tc>
          <w:tcPr>
            <w:tcW w:w="482" w:type="pct"/>
            <w:tcBorders>
              <w:top w:val="nil"/>
              <w:left w:val="nil"/>
              <w:bottom w:val="nil"/>
              <w:right w:val="nil"/>
            </w:tcBorders>
            <w:noWrap/>
            <w:vAlign w:val="bottom"/>
            <w:hideMark/>
          </w:tcPr>
          <w:p w:rsidRPr="00B52D66" w:rsidR="00B52D66" w:rsidP="00FC2172" w:rsidRDefault="00B52D66" w14:paraId="3FE9A7BF" w14:textId="77777777">
            <w:pPr>
              <w:spacing w:line="240" w:lineRule="auto"/>
              <w:jc w:val="center"/>
              <w:rPr>
                <w:rFonts w:cs="Arial"/>
                <w:szCs w:val="18"/>
                <w:lang w:val="en-GB" w:eastAsia="en-GB"/>
              </w:rPr>
            </w:pPr>
            <w:r w:rsidRPr="00B52D66">
              <w:rPr>
                <w:rFonts w:cs="Arial"/>
                <w:szCs w:val="18"/>
                <w:lang w:val="en-GB" w:eastAsia="en-GB"/>
              </w:rPr>
              <w:t>3,4</w:t>
            </w:r>
          </w:p>
        </w:tc>
        <w:tc>
          <w:tcPr>
            <w:tcW w:w="482" w:type="pct"/>
            <w:tcBorders>
              <w:top w:val="nil"/>
              <w:left w:val="nil"/>
              <w:bottom w:val="nil"/>
              <w:right w:val="nil"/>
            </w:tcBorders>
            <w:noWrap/>
            <w:vAlign w:val="bottom"/>
            <w:hideMark/>
          </w:tcPr>
          <w:p w:rsidRPr="00B52D66" w:rsidR="00B52D66" w:rsidP="00FC2172" w:rsidRDefault="00B52D66" w14:paraId="01D52EDF" w14:textId="77777777">
            <w:pPr>
              <w:spacing w:line="240" w:lineRule="auto"/>
              <w:jc w:val="center"/>
              <w:rPr>
                <w:rFonts w:cs="Arial"/>
                <w:szCs w:val="18"/>
                <w:lang w:val="en-GB" w:eastAsia="en-GB"/>
              </w:rPr>
            </w:pPr>
            <w:r w:rsidRPr="00B52D66">
              <w:rPr>
                <w:rFonts w:cs="Arial"/>
                <w:szCs w:val="18"/>
                <w:lang w:val="en-GB" w:eastAsia="en-GB"/>
              </w:rPr>
              <w:t>5,2</w:t>
            </w:r>
          </w:p>
        </w:tc>
        <w:tc>
          <w:tcPr>
            <w:tcW w:w="482" w:type="pct"/>
            <w:tcBorders>
              <w:top w:val="nil"/>
              <w:left w:val="nil"/>
              <w:bottom w:val="nil"/>
              <w:right w:val="nil"/>
            </w:tcBorders>
            <w:noWrap/>
            <w:vAlign w:val="bottom"/>
            <w:hideMark/>
          </w:tcPr>
          <w:p w:rsidRPr="00B52D66" w:rsidR="00B52D66" w:rsidP="00FC2172" w:rsidRDefault="00B52D66" w14:paraId="6A73C460" w14:textId="77777777">
            <w:pPr>
              <w:spacing w:line="240" w:lineRule="auto"/>
              <w:jc w:val="center"/>
              <w:rPr>
                <w:rFonts w:cs="Arial"/>
                <w:szCs w:val="18"/>
                <w:lang w:val="en-GB" w:eastAsia="en-GB"/>
              </w:rPr>
            </w:pPr>
            <w:r w:rsidRPr="00B52D66">
              <w:rPr>
                <w:rFonts w:cs="Arial"/>
                <w:szCs w:val="18"/>
                <w:lang w:val="en-GB" w:eastAsia="en-GB"/>
              </w:rPr>
              <w:t>5,9</w:t>
            </w:r>
          </w:p>
        </w:tc>
        <w:tc>
          <w:tcPr>
            <w:tcW w:w="482" w:type="pct"/>
            <w:tcBorders>
              <w:top w:val="nil"/>
              <w:left w:val="nil"/>
              <w:bottom w:val="nil"/>
              <w:right w:val="nil"/>
            </w:tcBorders>
            <w:noWrap/>
            <w:vAlign w:val="bottom"/>
            <w:hideMark/>
          </w:tcPr>
          <w:p w:rsidRPr="00B52D66" w:rsidR="00B52D66" w:rsidP="00FC2172" w:rsidRDefault="00B52D66" w14:paraId="76418CE3" w14:textId="77777777">
            <w:pPr>
              <w:spacing w:line="240" w:lineRule="auto"/>
              <w:jc w:val="center"/>
              <w:rPr>
                <w:rFonts w:cs="Arial"/>
                <w:szCs w:val="18"/>
                <w:lang w:val="en-GB" w:eastAsia="en-GB"/>
              </w:rPr>
            </w:pPr>
            <w:r w:rsidRPr="00B52D66">
              <w:rPr>
                <w:rFonts w:cs="Arial"/>
                <w:szCs w:val="18"/>
                <w:lang w:val="en-GB" w:eastAsia="en-GB"/>
              </w:rPr>
              <w:t>5,3</w:t>
            </w:r>
          </w:p>
        </w:tc>
      </w:tr>
      <w:tr w:rsidRPr="00B52D66" w:rsidR="00B52D66" w:rsidTr="00B52D66" w14:paraId="146799A5"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25D426D2" w14:textId="77777777">
            <w:pPr>
              <w:spacing w:line="240" w:lineRule="auto"/>
              <w:rPr>
                <w:rFonts w:cs="Arial"/>
                <w:b/>
                <w:bCs/>
                <w:szCs w:val="18"/>
                <w:lang w:val="en-GB" w:eastAsia="en-GB"/>
              </w:rPr>
            </w:pPr>
            <w:r w:rsidRPr="00B52D66">
              <w:rPr>
                <w:rFonts w:cs="Arial"/>
                <w:b/>
                <w:bCs/>
                <w:szCs w:val="18"/>
                <w:lang w:val="en-GB" w:eastAsia="en-GB"/>
              </w:rPr>
              <w:t xml:space="preserve">  Niet-techniek</w:t>
            </w:r>
          </w:p>
        </w:tc>
        <w:tc>
          <w:tcPr>
            <w:tcW w:w="482" w:type="pct"/>
            <w:tcBorders>
              <w:top w:val="nil"/>
              <w:left w:val="nil"/>
              <w:bottom w:val="nil"/>
              <w:right w:val="nil"/>
            </w:tcBorders>
            <w:noWrap/>
            <w:vAlign w:val="bottom"/>
            <w:hideMark/>
          </w:tcPr>
          <w:p w:rsidRPr="00B52D66" w:rsidR="00B52D66" w:rsidP="00FC2172" w:rsidRDefault="00B52D66" w14:paraId="56E20FB8"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3981DFFC"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467A8DBB"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669C07D6"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0AE592D5"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243EB30C" w14:textId="77777777">
            <w:pPr>
              <w:spacing w:line="240" w:lineRule="auto"/>
              <w:jc w:val="center"/>
              <w:rPr>
                <w:rFonts w:cs="Arial"/>
                <w:b/>
                <w:bCs/>
                <w:szCs w:val="18"/>
                <w:lang w:val="en-GB" w:eastAsia="en-GB"/>
              </w:rPr>
            </w:pPr>
            <w:r w:rsidRPr="00B52D66">
              <w:rPr>
                <w:rFonts w:cs="Arial"/>
                <w:b/>
                <w:bCs/>
                <w:szCs w:val="18"/>
                <w:lang w:val="en-GB" w:eastAsia="en-GB"/>
              </w:rPr>
              <w:t> </w:t>
            </w:r>
          </w:p>
        </w:tc>
      </w:tr>
      <w:tr w:rsidRPr="00B52D66" w:rsidR="00B52D66" w:rsidTr="00B52D66" w14:paraId="4A667044"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657E10F4" w14:textId="77777777">
            <w:pPr>
              <w:spacing w:line="240" w:lineRule="auto"/>
              <w:rPr>
                <w:rFonts w:cs="Arial"/>
                <w:szCs w:val="18"/>
                <w:lang w:val="en-GB" w:eastAsia="en-GB"/>
              </w:rPr>
            </w:pPr>
            <w:r w:rsidRPr="00B52D66">
              <w:rPr>
                <w:rFonts w:cs="Arial"/>
                <w:szCs w:val="18"/>
                <w:lang w:val="en-GB" w:eastAsia="en-GB"/>
              </w:rPr>
              <w:t xml:space="preserve">   D&amp;P</w:t>
            </w:r>
          </w:p>
        </w:tc>
        <w:tc>
          <w:tcPr>
            <w:tcW w:w="482" w:type="pct"/>
            <w:tcBorders>
              <w:top w:val="nil"/>
              <w:left w:val="nil"/>
              <w:bottom w:val="nil"/>
              <w:right w:val="nil"/>
            </w:tcBorders>
            <w:noWrap/>
            <w:vAlign w:val="bottom"/>
            <w:hideMark/>
          </w:tcPr>
          <w:p w:rsidRPr="00B52D66" w:rsidR="00B52D66" w:rsidP="00FC2172" w:rsidRDefault="00B52D66" w14:paraId="305D3B74" w14:textId="77777777">
            <w:pPr>
              <w:spacing w:line="240" w:lineRule="auto"/>
              <w:jc w:val="center"/>
              <w:rPr>
                <w:rFonts w:cs="Arial"/>
                <w:szCs w:val="18"/>
                <w:lang w:val="en-GB" w:eastAsia="en-GB"/>
              </w:rPr>
            </w:pPr>
            <w:r w:rsidRPr="00B52D66">
              <w:rPr>
                <w:rFonts w:cs="Arial"/>
                <w:szCs w:val="18"/>
                <w:lang w:val="en-GB" w:eastAsia="en-GB"/>
              </w:rPr>
              <w:t>42,1</w:t>
            </w:r>
          </w:p>
        </w:tc>
        <w:tc>
          <w:tcPr>
            <w:tcW w:w="482" w:type="pct"/>
            <w:tcBorders>
              <w:top w:val="nil"/>
              <w:left w:val="nil"/>
              <w:bottom w:val="nil"/>
              <w:right w:val="nil"/>
            </w:tcBorders>
            <w:noWrap/>
            <w:vAlign w:val="bottom"/>
            <w:hideMark/>
          </w:tcPr>
          <w:p w:rsidRPr="00B52D66" w:rsidR="00B52D66" w:rsidP="00FC2172" w:rsidRDefault="00B52D66" w14:paraId="03BEB0AE" w14:textId="77777777">
            <w:pPr>
              <w:spacing w:line="240" w:lineRule="auto"/>
              <w:jc w:val="center"/>
              <w:rPr>
                <w:rFonts w:cs="Arial"/>
                <w:szCs w:val="18"/>
                <w:lang w:val="en-GB" w:eastAsia="en-GB"/>
              </w:rPr>
            </w:pPr>
            <w:r w:rsidRPr="00B52D66">
              <w:rPr>
                <w:rFonts w:cs="Arial"/>
                <w:szCs w:val="18"/>
                <w:lang w:val="en-GB" w:eastAsia="en-GB"/>
              </w:rPr>
              <w:t>40,8</w:t>
            </w:r>
          </w:p>
        </w:tc>
        <w:tc>
          <w:tcPr>
            <w:tcW w:w="482" w:type="pct"/>
            <w:tcBorders>
              <w:top w:val="nil"/>
              <w:left w:val="nil"/>
              <w:bottom w:val="nil"/>
              <w:right w:val="nil"/>
            </w:tcBorders>
            <w:noWrap/>
            <w:vAlign w:val="bottom"/>
            <w:hideMark/>
          </w:tcPr>
          <w:p w:rsidRPr="00B52D66" w:rsidR="00B52D66" w:rsidP="00FC2172" w:rsidRDefault="00B52D66" w14:paraId="458CA707" w14:textId="77777777">
            <w:pPr>
              <w:spacing w:line="240" w:lineRule="auto"/>
              <w:jc w:val="center"/>
              <w:rPr>
                <w:rFonts w:cs="Arial"/>
                <w:szCs w:val="18"/>
                <w:lang w:val="en-GB" w:eastAsia="en-GB"/>
              </w:rPr>
            </w:pPr>
            <w:r w:rsidRPr="00B52D66">
              <w:rPr>
                <w:rFonts w:cs="Arial"/>
                <w:szCs w:val="18"/>
                <w:lang w:val="en-GB" w:eastAsia="en-GB"/>
              </w:rPr>
              <w:t>40,8</w:t>
            </w:r>
          </w:p>
        </w:tc>
        <w:tc>
          <w:tcPr>
            <w:tcW w:w="482" w:type="pct"/>
            <w:tcBorders>
              <w:top w:val="nil"/>
              <w:left w:val="nil"/>
              <w:bottom w:val="nil"/>
              <w:right w:val="nil"/>
            </w:tcBorders>
            <w:noWrap/>
            <w:vAlign w:val="bottom"/>
            <w:hideMark/>
          </w:tcPr>
          <w:p w:rsidRPr="00B52D66" w:rsidR="00B52D66" w:rsidP="00FC2172" w:rsidRDefault="00B52D66" w14:paraId="3FF08AA4" w14:textId="77777777">
            <w:pPr>
              <w:spacing w:line="240" w:lineRule="auto"/>
              <w:jc w:val="center"/>
              <w:rPr>
                <w:rFonts w:cs="Arial"/>
                <w:szCs w:val="18"/>
                <w:lang w:val="en-GB" w:eastAsia="en-GB"/>
              </w:rPr>
            </w:pPr>
            <w:r w:rsidRPr="00B52D66">
              <w:rPr>
                <w:rFonts w:cs="Arial"/>
                <w:szCs w:val="18"/>
                <w:lang w:val="en-GB" w:eastAsia="en-GB"/>
              </w:rPr>
              <w:t>41,9</w:t>
            </w:r>
          </w:p>
        </w:tc>
        <w:tc>
          <w:tcPr>
            <w:tcW w:w="482" w:type="pct"/>
            <w:tcBorders>
              <w:top w:val="nil"/>
              <w:left w:val="nil"/>
              <w:bottom w:val="nil"/>
              <w:right w:val="nil"/>
            </w:tcBorders>
            <w:noWrap/>
            <w:vAlign w:val="bottom"/>
            <w:hideMark/>
          </w:tcPr>
          <w:p w:rsidRPr="00B52D66" w:rsidR="00B52D66" w:rsidP="00FC2172" w:rsidRDefault="00B52D66" w14:paraId="0A0379EB" w14:textId="77777777">
            <w:pPr>
              <w:spacing w:line="240" w:lineRule="auto"/>
              <w:jc w:val="center"/>
              <w:rPr>
                <w:rFonts w:cs="Arial"/>
                <w:szCs w:val="18"/>
                <w:lang w:val="en-GB" w:eastAsia="en-GB"/>
              </w:rPr>
            </w:pPr>
            <w:r w:rsidRPr="00B52D66">
              <w:rPr>
                <w:rFonts w:cs="Arial"/>
                <w:szCs w:val="18"/>
                <w:lang w:val="en-GB" w:eastAsia="en-GB"/>
              </w:rPr>
              <w:t>42,6</w:t>
            </w:r>
          </w:p>
        </w:tc>
        <w:tc>
          <w:tcPr>
            <w:tcW w:w="482" w:type="pct"/>
            <w:tcBorders>
              <w:top w:val="nil"/>
              <w:left w:val="nil"/>
              <w:bottom w:val="nil"/>
              <w:right w:val="nil"/>
            </w:tcBorders>
            <w:noWrap/>
            <w:vAlign w:val="bottom"/>
            <w:hideMark/>
          </w:tcPr>
          <w:p w:rsidRPr="00B52D66" w:rsidR="00B52D66" w:rsidP="00FC2172" w:rsidRDefault="00B52D66" w14:paraId="4268D2A9" w14:textId="77777777">
            <w:pPr>
              <w:spacing w:line="240" w:lineRule="auto"/>
              <w:jc w:val="center"/>
              <w:rPr>
                <w:rFonts w:cs="Arial"/>
                <w:szCs w:val="18"/>
                <w:lang w:val="en-GB" w:eastAsia="en-GB"/>
              </w:rPr>
            </w:pPr>
            <w:r w:rsidRPr="00B52D66">
              <w:rPr>
                <w:rFonts w:cs="Arial"/>
                <w:szCs w:val="18"/>
                <w:lang w:val="en-GB" w:eastAsia="en-GB"/>
              </w:rPr>
              <w:t>42,1</w:t>
            </w:r>
          </w:p>
        </w:tc>
      </w:tr>
      <w:tr w:rsidRPr="00B52D66" w:rsidR="00B52D66" w:rsidTr="00B52D66" w14:paraId="11D69D34"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56EDB67F" w14:textId="77777777">
            <w:pPr>
              <w:spacing w:line="240" w:lineRule="auto"/>
              <w:rPr>
                <w:rFonts w:cs="Arial"/>
                <w:szCs w:val="18"/>
                <w:lang w:val="en-GB" w:eastAsia="en-GB"/>
              </w:rPr>
            </w:pPr>
            <w:r w:rsidRPr="00B52D66">
              <w:rPr>
                <w:rFonts w:cs="Arial"/>
                <w:szCs w:val="18"/>
                <w:lang w:val="en-GB" w:eastAsia="en-GB"/>
              </w:rPr>
              <w:t xml:space="preserve">   E&amp;O</w:t>
            </w:r>
          </w:p>
        </w:tc>
        <w:tc>
          <w:tcPr>
            <w:tcW w:w="482" w:type="pct"/>
            <w:tcBorders>
              <w:top w:val="nil"/>
              <w:left w:val="nil"/>
              <w:bottom w:val="nil"/>
              <w:right w:val="nil"/>
            </w:tcBorders>
            <w:noWrap/>
            <w:vAlign w:val="bottom"/>
            <w:hideMark/>
          </w:tcPr>
          <w:p w:rsidRPr="00B52D66" w:rsidR="00B52D66" w:rsidP="00FC2172" w:rsidRDefault="00B52D66" w14:paraId="787EFF26" w14:textId="77777777">
            <w:pPr>
              <w:spacing w:line="240" w:lineRule="auto"/>
              <w:jc w:val="center"/>
              <w:rPr>
                <w:rFonts w:cs="Arial"/>
                <w:szCs w:val="18"/>
                <w:lang w:val="en-GB" w:eastAsia="en-GB"/>
              </w:rPr>
            </w:pPr>
            <w:r w:rsidRPr="00B52D66">
              <w:rPr>
                <w:rFonts w:cs="Arial"/>
                <w:szCs w:val="18"/>
                <w:lang w:val="en-GB" w:eastAsia="en-GB"/>
              </w:rPr>
              <w:t>35,1</w:t>
            </w:r>
          </w:p>
        </w:tc>
        <w:tc>
          <w:tcPr>
            <w:tcW w:w="482" w:type="pct"/>
            <w:tcBorders>
              <w:top w:val="nil"/>
              <w:left w:val="nil"/>
              <w:bottom w:val="nil"/>
              <w:right w:val="nil"/>
            </w:tcBorders>
            <w:noWrap/>
            <w:vAlign w:val="bottom"/>
            <w:hideMark/>
          </w:tcPr>
          <w:p w:rsidRPr="00B52D66" w:rsidR="00B52D66" w:rsidP="00FC2172" w:rsidRDefault="00B52D66" w14:paraId="3B0F4CEA" w14:textId="77777777">
            <w:pPr>
              <w:spacing w:line="240" w:lineRule="auto"/>
              <w:jc w:val="center"/>
              <w:rPr>
                <w:rFonts w:cs="Arial"/>
                <w:szCs w:val="18"/>
                <w:lang w:val="en-GB" w:eastAsia="en-GB"/>
              </w:rPr>
            </w:pPr>
            <w:r w:rsidRPr="00B52D66">
              <w:rPr>
                <w:rFonts w:cs="Arial"/>
                <w:szCs w:val="18"/>
                <w:lang w:val="en-GB" w:eastAsia="en-GB"/>
              </w:rPr>
              <w:t>35,0</w:t>
            </w:r>
          </w:p>
        </w:tc>
        <w:tc>
          <w:tcPr>
            <w:tcW w:w="482" w:type="pct"/>
            <w:tcBorders>
              <w:top w:val="nil"/>
              <w:left w:val="nil"/>
              <w:bottom w:val="nil"/>
              <w:right w:val="nil"/>
            </w:tcBorders>
            <w:noWrap/>
            <w:vAlign w:val="bottom"/>
            <w:hideMark/>
          </w:tcPr>
          <w:p w:rsidRPr="00B52D66" w:rsidR="00B52D66" w:rsidP="00FC2172" w:rsidRDefault="00B52D66" w14:paraId="55068D71" w14:textId="77777777">
            <w:pPr>
              <w:spacing w:line="240" w:lineRule="auto"/>
              <w:jc w:val="center"/>
              <w:rPr>
                <w:rFonts w:cs="Arial"/>
                <w:szCs w:val="18"/>
                <w:lang w:val="en-GB" w:eastAsia="en-GB"/>
              </w:rPr>
            </w:pPr>
            <w:r w:rsidRPr="00B52D66">
              <w:rPr>
                <w:rFonts w:cs="Arial"/>
                <w:szCs w:val="18"/>
                <w:lang w:val="en-GB" w:eastAsia="en-GB"/>
              </w:rPr>
              <w:t>36,3</w:t>
            </w:r>
          </w:p>
        </w:tc>
        <w:tc>
          <w:tcPr>
            <w:tcW w:w="482" w:type="pct"/>
            <w:tcBorders>
              <w:top w:val="nil"/>
              <w:left w:val="nil"/>
              <w:bottom w:val="nil"/>
              <w:right w:val="nil"/>
            </w:tcBorders>
            <w:noWrap/>
            <w:vAlign w:val="bottom"/>
            <w:hideMark/>
          </w:tcPr>
          <w:p w:rsidRPr="00B52D66" w:rsidR="00B52D66" w:rsidP="00FC2172" w:rsidRDefault="00B52D66" w14:paraId="776CF91F" w14:textId="77777777">
            <w:pPr>
              <w:spacing w:line="240" w:lineRule="auto"/>
              <w:jc w:val="center"/>
              <w:rPr>
                <w:rFonts w:cs="Arial"/>
                <w:szCs w:val="18"/>
                <w:lang w:val="en-GB" w:eastAsia="en-GB"/>
              </w:rPr>
            </w:pPr>
            <w:r w:rsidRPr="00B52D66">
              <w:rPr>
                <w:rFonts w:cs="Arial"/>
                <w:szCs w:val="18"/>
                <w:lang w:val="en-GB" w:eastAsia="en-GB"/>
              </w:rPr>
              <w:t>33,4</w:t>
            </w:r>
          </w:p>
        </w:tc>
        <w:tc>
          <w:tcPr>
            <w:tcW w:w="482" w:type="pct"/>
            <w:tcBorders>
              <w:top w:val="nil"/>
              <w:left w:val="nil"/>
              <w:bottom w:val="nil"/>
              <w:right w:val="nil"/>
            </w:tcBorders>
            <w:noWrap/>
            <w:vAlign w:val="bottom"/>
            <w:hideMark/>
          </w:tcPr>
          <w:p w:rsidRPr="00B52D66" w:rsidR="00B52D66" w:rsidP="00FC2172" w:rsidRDefault="00B52D66" w14:paraId="2A9E08A2" w14:textId="77777777">
            <w:pPr>
              <w:spacing w:line="240" w:lineRule="auto"/>
              <w:jc w:val="center"/>
              <w:rPr>
                <w:rFonts w:cs="Arial"/>
                <w:szCs w:val="18"/>
                <w:lang w:val="en-GB" w:eastAsia="en-GB"/>
              </w:rPr>
            </w:pPr>
            <w:r w:rsidRPr="00B52D66">
              <w:rPr>
                <w:rFonts w:cs="Arial"/>
                <w:szCs w:val="18"/>
                <w:lang w:val="en-GB" w:eastAsia="en-GB"/>
              </w:rPr>
              <w:t>34,3</w:t>
            </w:r>
          </w:p>
        </w:tc>
        <w:tc>
          <w:tcPr>
            <w:tcW w:w="482" w:type="pct"/>
            <w:tcBorders>
              <w:top w:val="nil"/>
              <w:left w:val="nil"/>
              <w:bottom w:val="nil"/>
              <w:right w:val="nil"/>
            </w:tcBorders>
            <w:noWrap/>
            <w:vAlign w:val="bottom"/>
            <w:hideMark/>
          </w:tcPr>
          <w:p w:rsidRPr="00B52D66" w:rsidR="00B52D66" w:rsidP="00FC2172" w:rsidRDefault="00B52D66" w14:paraId="0BBDF7C3" w14:textId="77777777">
            <w:pPr>
              <w:spacing w:line="240" w:lineRule="auto"/>
              <w:jc w:val="center"/>
              <w:rPr>
                <w:rFonts w:cs="Arial"/>
                <w:szCs w:val="18"/>
                <w:lang w:val="en-GB" w:eastAsia="en-GB"/>
              </w:rPr>
            </w:pPr>
            <w:r w:rsidRPr="00B52D66">
              <w:rPr>
                <w:rFonts w:cs="Arial"/>
                <w:szCs w:val="18"/>
                <w:lang w:val="en-GB" w:eastAsia="en-GB"/>
              </w:rPr>
              <w:t>34,5</w:t>
            </w:r>
          </w:p>
        </w:tc>
      </w:tr>
      <w:tr w:rsidRPr="00B52D66" w:rsidR="00B52D66" w:rsidTr="00B52D66" w14:paraId="752EAD78"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7159918E" w14:textId="77777777">
            <w:pPr>
              <w:spacing w:line="240" w:lineRule="auto"/>
              <w:rPr>
                <w:rFonts w:cs="Arial"/>
                <w:szCs w:val="18"/>
                <w:lang w:val="en-GB" w:eastAsia="en-GB"/>
              </w:rPr>
            </w:pPr>
            <w:r w:rsidRPr="00B52D66">
              <w:rPr>
                <w:rFonts w:cs="Arial"/>
                <w:szCs w:val="18"/>
                <w:lang w:val="en-GB" w:eastAsia="en-GB"/>
              </w:rPr>
              <w:t xml:space="preserve">   Groen</w:t>
            </w:r>
          </w:p>
        </w:tc>
        <w:tc>
          <w:tcPr>
            <w:tcW w:w="482" w:type="pct"/>
            <w:tcBorders>
              <w:top w:val="nil"/>
              <w:left w:val="nil"/>
              <w:bottom w:val="nil"/>
              <w:right w:val="nil"/>
            </w:tcBorders>
            <w:noWrap/>
            <w:vAlign w:val="bottom"/>
            <w:hideMark/>
          </w:tcPr>
          <w:p w:rsidRPr="00B52D66" w:rsidR="00B52D66" w:rsidP="00FC2172" w:rsidRDefault="00B52D66" w14:paraId="1431E13C" w14:textId="77777777">
            <w:pPr>
              <w:spacing w:line="240" w:lineRule="auto"/>
              <w:jc w:val="center"/>
              <w:rPr>
                <w:rFonts w:cs="Arial"/>
                <w:szCs w:val="18"/>
                <w:lang w:val="en-GB" w:eastAsia="en-GB"/>
              </w:rPr>
            </w:pPr>
            <w:r w:rsidRPr="00B52D66">
              <w:rPr>
                <w:rFonts w:cs="Arial"/>
                <w:szCs w:val="18"/>
                <w:lang w:val="en-GB" w:eastAsia="en-GB"/>
              </w:rPr>
              <w:t>52,4</w:t>
            </w:r>
          </w:p>
        </w:tc>
        <w:tc>
          <w:tcPr>
            <w:tcW w:w="482" w:type="pct"/>
            <w:tcBorders>
              <w:top w:val="nil"/>
              <w:left w:val="nil"/>
              <w:bottom w:val="nil"/>
              <w:right w:val="nil"/>
            </w:tcBorders>
            <w:noWrap/>
            <w:vAlign w:val="bottom"/>
            <w:hideMark/>
          </w:tcPr>
          <w:p w:rsidRPr="00B52D66" w:rsidR="00B52D66" w:rsidP="00FC2172" w:rsidRDefault="00B52D66" w14:paraId="589A7CF5" w14:textId="77777777">
            <w:pPr>
              <w:spacing w:line="240" w:lineRule="auto"/>
              <w:jc w:val="center"/>
              <w:rPr>
                <w:rFonts w:cs="Arial"/>
                <w:szCs w:val="18"/>
                <w:lang w:val="en-GB" w:eastAsia="en-GB"/>
              </w:rPr>
            </w:pPr>
            <w:r w:rsidRPr="00B52D66">
              <w:rPr>
                <w:rFonts w:cs="Arial"/>
                <w:szCs w:val="18"/>
                <w:lang w:val="en-GB" w:eastAsia="en-GB"/>
              </w:rPr>
              <w:t>52,7</w:t>
            </w:r>
          </w:p>
        </w:tc>
        <w:tc>
          <w:tcPr>
            <w:tcW w:w="482" w:type="pct"/>
            <w:tcBorders>
              <w:top w:val="nil"/>
              <w:left w:val="nil"/>
              <w:bottom w:val="nil"/>
              <w:right w:val="nil"/>
            </w:tcBorders>
            <w:noWrap/>
            <w:vAlign w:val="bottom"/>
            <w:hideMark/>
          </w:tcPr>
          <w:p w:rsidRPr="00B52D66" w:rsidR="00B52D66" w:rsidP="00FC2172" w:rsidRDefault="00B52D66" w14:paraId="39B8ABC1" w14:textId="77777777">
            <w:pPr>
              <w:spacing w:line="240" w:lineRule="auto"/>
              <w:jc w:val="center"/>
              <w:rPr>
                <w:rFonts w:cs="Arial"/>
                <w:szCs w:val="18"/>
                <w:lang w:val="en-GB" w:eastAsia="en-GB"/>
              </w:rPr>
            </w:pPr>
            <w:r w:rsidRPr="00B52D66">
              <w:rPr>
                <w:rFonts w:cs="Arial"/>
                <w:szCs w:val="18"/>
                <w:lang w:val="en-GB" w:eastAsia="en-GB"/>
              </w:rPr>
              <w:t>52,9</w:t>
            </w:r>
          </w:p>
        </w:tc>
        <w:tc>
          <w:tcPr>
            <w:tcW w:w="482" w:type="pct"/>
            <w:tcBorders>
              <w:top w:val="nil"/>
              <w:left w:val="nil"/>
              <w:bottom w:val="nil"/>
              <w:right w:val="nil"/>
            </w:tcBorders>
            <w:noWrap/>
            <w:vAlign w:val="bottom"/>
            <w:hideMark/>
          </w:tcPr>
          <w:p w:rsidRPr="00B52D66" w:rsidR="00B52D66" w:rsidP="00FC2172" w:rsidRDefault="00B52D66" w14:paraId="7CA1E267" w14:textId="77777777">
            <w:pPr>
              <w:spacing w:line="240" w:lineRule="auto"/>
              <w:jc w:val="center"/>
              <w:rPr>
                <w:rFonts w:cs="Arial"/>
                <w:szCs w:val="18"/>
                <w:lang w:val="en-GB" w:eastAsia="en-GB"/>
              </w:rPr>
            </w:pPr>
            <w:r w:rsidRPr="00B52D66">
              <w:rPr>
                <w:rFonts w:cs="Arial"/>
                <w:szCs w:val="18"/>
                <w:lang w:val="en-GB" w:eastAsia="en-GB"/>
              </w:rPr>
              <w:t>52,8</w:t>
            </w:r>
          </w:p>
        </w:tc>
        <w:tc>
          <w:tcPr>
            <w:tcW w:w="482" w:type="pct"/>
            <w:tcBorders>
              <w:top w:val="nil"/>
              <w:left w:val="nil"/>
              <w:bottom w:val="nil"/>
              <w:right w:val="nil"/>
            </w:tcBorders>
            <w:noWrap/>
            <w:vAlign w:val="bottom"/>
            <w:hideMark/>
          </w:tcPr>
          <w:p w:rsidRPr="00B52D66" w:rsidR="00B52D66" w:rsidP="00FC2172" w:rsidRDefault="00B52D66" w14:paraId="69777AB5" w14:textId="77777777">
            <w:pPr>
              <w:spacing w:line="240" w:lineRule="auto"/>
              <w:jc w:val="center"/>
              <w:rPr>
                <w:rFonts w:cs="Arial"/>
                <w:szCs w:val="18"/>
                <w:lang w:val="en-GB" w:eastAsia="en-GB"/>
              </w:rPr>
            </w:pPr>
            <w:r w:rsidRPr="00B52D66">
              <w:rPr>
                <w:rFonts w:cs="Arial"/>
                <w:szCs w:val="18"/>
                <w:lang w:val="en-GB" w:eastAsia="en-GB"/>
              </w:rPr>
              <w:t>52,4</w:t>
            </w:r>
          </w:p>
        </w:tc>
        <w:tc>
          <w:tcPr>
            <w:tcW w:w="482" w:type="pct"/>
            <w:tcBorders>
              <w:top w:val="nil"/>
              <w:left w:val="nil"/>
              <w:bottom w:val="nil"/>
              <w:right w:val="nil"/>
            </w:tcBorders>
            <w:noWrap/>
            <w:vAlign w:val="bottom"/>
            <w:hideMark/>
          </w:tcPr>
          <w:p w:rsidRPr="00B52D66" w:rsidR="00B52D66" w:rsidP="00FC2172" w:rsidRDefault="00B52D66" w14:paraId="27AB642C" w14:textId="77777777">
            <w:pPr>
              <w:spacing w:line="240" w:lineRule="auto"/>
              <w:jc w:val="center"/>
              <w:rPr>
                <w:rFonts w:cs="Arial"/>
                <w:szCs w:val="18"/>
                <w:lang w:val="en-GB" w:eastAsia="en-GB"/>
              </w:rPr>
            </w:pPr>
            <w:r w:rsidRPr="00B52D66">
              <w:rPr>
                <w:rFonts w:cs="Arial"/>
                <w:szCs w:val="18"/>
                <w:lang w:val="en-GB" w:eastAsia="en-GB"/>
              </w:rPr>
              <w:t>54,3</w:t>
            </w:r>
          </w:p>
        </w:tc>
      </w:tr>
      <w:tr w:rsidRPr="00B52D66" w:rsidR="00B52D66" w:rsidTr="00B52D66" w14:paraId="7B2B8A2F"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1AC1CB5C" w14:textId="77777777">
            <w:pPr>
              <w:spacing w:line="240" w:lineRule="auto"/>
              <w:rPr>
                <w:rFonts w:cs="Arial"/>
                <w:szCs w:val="18"/>
                <w:lang w:val="en-GB" w:eastAsia="en-GB"/>
              </w:rPr>
            </w:pPr>
            <w:r w:rsidRPr="00B52D66">
              <w:rPr>
                <w:rFonts w:cs="Arial"/>
                <w:szCs w:val="18"/>
                <w:lang w:val="en-GB" w:eastAsia="en-GB"/>
              </w:rPr>
              <w:t xml:space="preserve">   HBR</w:t>
            </w:r>
          </w:p>
        </w:tc>
        <w:tc>
          <w:tcPr>
            <w:tcW w:w="482" w:type="pct"/>
            <w:tcBorders>
              <w:top w:val="nil"/>
              <w:left w:val="nil"/>
              <w:bottom w:val="nil"/>
              <w:right w:val="nil"/>
            </w:tcBorders>
            <w:noWrap/>
            <w:vAlign w:val="bottom"/>
            <w:hideMark/>
          </w:tcPr>
          <w:p w:rsidRPr="00B52D66" w:rsidR="00B52D66" w:rsidP="00FC2172" w:rsidRDefault="00B52D66" w14:paraId="17A33827" w14:textId="77777777">
            <w:pPr>
              <w:spacing w:line="240" w:lineRule="auto"/>
              <w:jc w:val="center"/>
              <w:rPr>
                <w:rFonts w:cs="Arial"/>
                <w:szCs w:val="18"/>
                <w:lang w:val="en-GB" w:eastAsia="en-GB"/>
              </w:rPr>
            </w:pPr>
            <w:r w:rsidRPr="00B52D66">
              <w:rPr>
                <w:rFonts w:cs="Arial"/>
                <w:szCs w:val="18"/>
                <w:lang w:val="en-GB" w:eastAsia="en-GB"/>
              </w:rPr>
              <w:t>47,5</w:t>
            </w:r>
          </w:p>
        </w:tc>
        <w:tc>
          <w:tcPr>
            <w:tcW w:w="482" w:type="pct"/>
            <w:tcBorders>
              <w:top w:val="nil"/>
              <w:left w:val="nil"/>
              <w:bottom w:val="nil"/>
              <w:right w:val="nil"/>
            </w:tcBorders>
            <w:noWrap/>
            <w:vAlign w:val="bottom"/>
            <w:hideMark/>
          </w:tcPr>
          <w:p w:rsidRPr="00B52D66" w:rsidR="00B52D66" w:rsidP="00FC2172" w:rsidRDefault="00B52D66" w14:paraId="6BADFEB1" w14:textId="77777777">
            <w:pPr>
              <w:spacing w:line="240" w:lineRule="auto"/>
              <w:jc w:val="center"/>
              <w:rPr>
                <w:rFonts w:cs="Arial"/>
                <w:szCs w:val="18"/>
                <w:lang w:val="en-GB" w:eastAsia="en-GB"/>
              </w:rPr>
            </w:pPr>
            <w:r w:rsidRPr="00B52D66">
              <w:rPr>
                <w:rFonts w:cs="Arial"/>
                <w:szCs w:val="18"/>
                <w:lang w:val="en-GB" w:eastAsia="en-GB"/>
              </w:rPr>
              <w:t>44,2</w:t>
            </w:r>
          </w:p>
        </w:tc>
        <w:tc>
          <w:tcPr>
            <w:tcW w:w="482" w:type="pct"/>
            <w:tcBorders>
              <w:top w:val="nil"/>
              <w:left w:val="nil"/>
              <w:bottom w:val="nil"/>
              <w:right w:val="nil"/>
            </w:tcBorders>
            <w:noWrap/>
            <w:vAlign w:val="bottom"/>
            <w:hideMark/>
          </w:tcPr>
          <w:p w:rsidRPr="00B52D66" w:rsidR="00B52D66" w:rsidP="00FC2172" w:rsidRDefault="00B52D66" w14:paraId="0D10B3EE" w14:textId="77777777">
            <w:pPr>
              <w:spacing w:line="240" w:lineRule="auto"/>
              <w:jc w:val="center"/>
              <w:rPr>
                <w:rFonts w:cs="Arial"/>
                <w:szCs w:val="18"/>
                <w:lang w:val="en-GB" w:eastAsia="en-GB"/>
              </w:rPr>
            </w:pPr>
            <w:r w:rsidRPr="00B52D66">
              <w:rPr>
                <w:rFonts w:cs="Arial"/>
                <w:szCs w:val="18"/>
                <w:lang w:val="en-GB" w:eastAsia="en-GB"/>
              </w:rPr>
              <w:t>45,1</w:t>
            </w:r>
          </w:p>
        </w:tc>
        <w:tc>
          <w:tcPr>
            <w:tcW w:w="482" w:type="pct"/>
            <w:tcBorders>
              <w:top w:val="nil"/>
              <w:left w:val="nil"/>
              <w:bottom w:val="nil"/>
              <w:right w:val="nil"/>
            </w:tcBorders>
            <w:noWrap/>
            <w:vAlign w:val="bottom"/>
            <w:hideMark/>
          </w:tcPr>
          <w:p w:rsidRPr="00B52D66" w:rsidR="00B52D66" w:rsidP="00FC2172" w:rsidRDefault="00B52D66" w14:paraId="54D36D07" w14:textId="77777777">
            <w:pPr>
              <w:spacing w:line="240" w:lineRule="auto"/>
              <w:jc w:val="center"/>
              <w:rPr>
                <w:rFonts w:cs="Arial"/>
                <w:szCs w:val="18"/>
                <w:lang w:val="en-GB" w:eastAsia="en-GB"/>
              </w:rPr>
            </w:pPr>
            <w:r w:rsidRPr="00B52D66">
              <w:rPr>
                <w:rFonts w:cs="Arial"/>
                <w:szCs w:val="18"/>
                <w:lang w:val="en-GB" w:eastAsia="en-GB"/>
              </w:rPr>
              <w:t>47,5</w:t>
            </w:r>
          </w:p>
        </w:tc>
        <w:tc>
          <w:tcPr>
            <w:tcW w:w="482" w:type="pct"/>
            <w:tcBorders>
              <w:top w:val="nil"/>
              <w:left w:val="nil"/>
              <w:bottom w:val="nil"/>
              <w:right w:val="nil"/>
            </w:tcBorders>
            <w:noWrap/>
            <w:vAlign w:val="bottom"/>
            <w:hideMark/>
          </w:tcPr>
          <w:p w:rsidRPr="00B52D66" w:rsidR="00B52D66" w:rsidP="00FC2172" w:rsidRDefault="00B52D66" w14:paraId="4E0A8EE4" w14:textId="77777777">
            <w:pPr>
              <w:spacing w:line="240" w:lineRule="auto"/>
              <w:jc w:val="center"/>
              <w:rPr>
                <w:rFonts w:cs="Arial"/>
                <w:szCs w:val="18"/>
                <w:lang w:val="en-GB" w:eastAsia="en-GB"/>
              </w:rPr>
            </w:pPr>
            <w:r w:rsidRPr="00B52D66">
              <w:rPr>
                <w:rFonts w:cs="Arial"/>
                <w:szCs w:val="18"/>
                <w:lang w:val="en-GB" w:eastAsia="en-GB"/>
              </w:rPr>
              <w:t>48,7</w:t>
            </w:r>
          </w:p>
        </w:tc>
        <w:tc>
          <w:tcPr>
            <w:tcW w:w="482" w:type="pct"/>
            <w:tcBorders>
              <w:top w:val="nil"/>
              <w:left w:val="nil"/>
              <w:bottom w:val="nil"/>
              <w:right w:val="nil"/>
            </w:tcBorders>
            <w:noWrap/>
            <w:vAlign w:val="bottom"/>
            <w:hideMark/>
          </w:tcPr>
          <w:p w:rsidRPr="00B52D66" w:rsidR="00B52D66" w:rsidP="00FC2172" w:rsidRDefault="00B52D66" w14:paraId="0618A982" w14:textId="77777777">
            <w:pPr>
              <w:spacing w:line="240" w:lineRule="auto"/>
              <w:jc w:val="center"/>
              <w:rPr>
                <w:rFonts w:cs="Arial"/>
                <w:szCs w:val="18"/>
                <w:lang w:val="en-GB" w:eastAsia="en-GB"/>
              </w:rPr>
            </w:pPr>
            <w:r w:rsidRPr="00B52D66">
              <w:rPr>
                <w:rFonts w:cs="Arial"/>
                <w:szCs w:val="18"/>
                <w:lang w:val="en-GB" w:eastAsia="en-GB"/>
              </w:rPr>
              <w:t>52,7</w:t>
            </w:r>
          </w:p>
        </w:tc>
      </w:tr>
      <w:tr w:rsidRPr="00B52D66" w:rsidR="00B52D66" w:rsidTr="00B52D66" w14:paraId="33A54875"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5061227C" w14:textId="77777777">
            <w:pPr>
              <w:spacing w:line="240" w:lineRule="auto"/>
              <w:rPr>
                <w:rFonts w:cs="Arial"/>
                <w:szCs w:val="18"/>
                <w:lang w:val="en-GB" w:eastAsia="en-GB"/>
              </w:rPr>
            </w:pPr>
            <w:r w:rsidRPr="00B52D66">
              <w:rPr>
                <w:rFonts w:cs="Arial"/>
                <w:szCs w:val="18"/>
                <w:lang w:val="en-GB" w:eastAsia="en-GB"/>
              </w:rPr>
              <w:t xml:space="preserve">   Z&amp;W</w:t>
            </w:r>
          </w:p>
        </w:tc>
        <w:tc>
          <w:tcPr>
            <w:tcW w:w="482" w:type="pct"/>
            <w:tcBorders>
              <w:top w:val="nil"/>
              <w:left w:val="nil"/>
              <w:bottom w:val="nil"/>
              <w:right w:val="nil"/>
            </w:tcBorders>
            <w:noWrap/>
            <w:vAlign w:val="bottom"/>
            <w:hideMark/>
          </w:tcPr>
          <w:p w:rsidRPr="00B52D66" w:rsidR="00B52D66" w:rsidP="00FC2172" w:rsidRDefault="00B52D66" w14:paraId="3974E12A" w14:textId="77777777">
            <w:pPr>
              <w:spacing w:line="240" w:lineRule="auto"/>
              <w:jc w:val="center"/>
              <w:rPr>
                <w:rFonts w:cs="Arial"/>
                <w:szCs w:val="18"/>
                <w:lang w:val="en-GB" w:eastAsia="en-GB"/>
              </w:rPr>
            </w:pPr>
            <w:r w:rsidRPr="00B52D66">
              <w:rPr>
                <w:rFonts w:cs="Arial"/>
                <w:szCs w:val="18"/>
                <w:lang w:val="en-GB" w:eastAsia="en-GB"/>
              </w:rPr>
              <w:t>84,9</w:t>
            </w:r>
          </w:p>
        </w:tc>
        <w:tc>
          <w:tcPr>
            <w:tcW w:w="482" w:type="pct"/>
            <w:tcBorders>
              <w:top w:val="nil"/>
              <w:left w:val="nil"/>
              <w:bottom w:val="nil"/>
              <w:right w:val="nil"/>
            </w:tcBorders>
            <w:noWrap/>
            <w:vAlign w:val="bottom"/>
            <w:hideMark/>
          </w:tcPr>
          <w:p w:rsidRPr="00B52D66" w:rsidR="00B52D66" w:rsidP="00FC2172" w:rsidRDefault="00B52D66" w14:paraId="53EED43C" w14:textId="77777777">
            <w:pPr>
              <w:spacing w:line="240" w:lineRule="auto"/>
              <w:jc w:val="center"/>
              <w:rPr>
                <w:rFonts w:cs="Arial"/>
                <w:szCs w:val="18"/>
                <w:lang w:val="en-GB" w:eastAsia="en-GB"/>
              </w:rPr>
            </w:pPr>
            <w:r w:rsidRPr="00B52D66">
              <w:rPr>
                <w:rFonts w:cs="Arial"/>
                <w:szCs w:val="18"/>
                <w:lang w:val="en-GB" w:eastAsia="en-GB"/>
              </w:rPr>
              <w:t>82,4</w:t>
            </w:r>
          </w:p>
        </w:tc>
        <w:tc>
          <w:tcPr>
            <w:tcW w:w="482" w:type="pct"/>
            <w:tcBorders>
              <w:top w:val="nil"/>
              <w:left w:val="nil"/>
              <w:bottom w:val="nil"/>
              <w:right w:val="nil"/>
            </w:tcBorders>
            <w:noWrap/>
            <w:vAlign w:val="bottom"/>
            <w:hideMark/>
          </w:tcPr>
          <w:p w:rsidRPr="00B52D66" w:rsidR="00B52D66" w:rsidP="00FC2172" w:rsidRDefault="00B52D66" w14:paraId="0C50E2AF" w14:textId="77777777">
            <w:pPr>
              <w:spacing w:line="240" w:lineRule="auto"/>
              <w:jc w:val="center"/>
              <w:rPr>
                <w:rFonts w:cs="Arial"/>
                <w:szCs w:val="18"/>
                <w:lang w:val="en-GB" w:eastAsia="en-GB"/>
              </w:rPr>
            </w:pPr>
            <w:r w:rsidRPr="00B52D66">
              <w:rPr>
                <w:rFonts w:cs="Arial"/>
                <w:szCs w:val="18"/>
                <w:lang w:val="en-GB" w:eastAsia="en-GB"/>
              </w:rPr>
              <w:t>83,6</w:t>
            </w:r>
          </w:p>
        </w:tc>
        <w:tc>
          <w:tcPr>
            <w:tcW w:w="482" w:type="pct"/>
            <w:tcBorders>
              <w:top w:val="nil"/>
              <w:left w:val="nil"/>
              <w:bottom w:val="nil"/>
              <w:right w:val="nil"/>
            </w:tcBorders>
            <w:noWrap/>
            <w:vAlign w:val="bottom"/>
            <w:hideMark/>
          </w:tcPr>
          <w:p w:rsidRPr="00B52D66" w:rsidR="00B52D66" w:rsidP="00FC2172" w:rsidRDefault="00B52D66" w14:paraId="161501BC" w14:textId="77777777">
            <w:pPr>
              <w:spacing w:line="240" w:lineRule="auto"/>
              <w:jc w:val="center"/>
              <w:rPr>
                <w:rFonts w:cs="Arial"/>
                <w:szCs w:val="18"/>
                <w:lang w:val="en-GB" w:eastAsia="en-GB"/>
              </w:rPr>
            </w:pPr>
            <w:r w:rsidRPr="00B52D66">
              <w:rPr>
                <w:rFonts w:cs="Arial"/>
                <w:szCs w:val="18"/>
                <w:lang w:val="en-GB" w:eastAsia="en-GB"/>
              </w:rPr>
              <w:t>82,6</w:t>
            </w:r>
          </w:p>
        </w:tc>
        <w:tc>
          <w:tcPr>
            <w:tcW w:w="482" w:type="pct"/>
            <w:tcBorders>
              <w:top w:val="nil"/>
              <w:left w:val="nil"/>
              <w:bottom w:val="nil"/>
              <w:right w:val="nil"/>
            </w:tcBorders>
            <w:noWrap/>
            <w:vAlign w:val="bottom"/>
            <w:hideMark/>
          </w:tcPr>
          <w:p w:rsidRPr="00B52D66" w:rsidR="00B52D66" w:rsidP="00FC2172" w:rsidRDefault="00B52D66" w14:paraId="3EF03894" w14:textId="77777777">
            <w:pPr>
              <w:spacing w:line="240" w:lineRule="auto"/>
              <w:jc w:val="center"/>
              <w:rPr>
                <w:rFonts w:cs="Arial"/>
                <w:szCs w:val="18"/>
                <w:lang w:val="en-GB" w:eastAsia="en-GB"/>
              </w:rPr>
            </w:pPr>
            <w:r w:rsidRPr="00B52D66">
              <w:rPr>
                <w:rFonts w:cs="Arial"/>
                <w:szCs w:val="18"/>
                <w:lang w:val="en-GB" w:eastAsia="en-GB"/>
              </w:rPr>
              <w:t>83,0</w:t>
            </w:r>
          </w:p>
        </w:tc>
        <w:tc>
          <w:tcPr>
            <w:tcW w:w="482" w:type="pct"/>
            <w:tcBorders>
              <w:top w:val="nil"/>
              <w:left w:val="nil"/>
              <w:bottom w:val="nil"/>
              <w:right w:val="nil"/>
            </w:tcBorders>
            <w:noWrap/>
            <w:vAlign w:val="bottom"/>
            <w:hideMark/>
          </w:tcPr>
          <w:p w:rsidRPr="00B52D66" w:rsidR="00B52D66" w:rsidP="00FC2172" w:rsidRDefault="00B52D66" w14:paraId="20B750D9" w14:textId="77777777">
            <w:pPr>
              <w:spacing w:line="240" w:lineRule="auto"/>
              <w:jc w:val="center"/>
              <w:rPr>
                <w:rFonts w:cs="Arial"/>
                <w:szCs w:val="18"/>
                <w:lang w:val="en-GB" w:eastAsia="en-GB"/>
              </w:rPr>
            </w:pPr>
            <w:r w:rsidRPr="00B52D66">
              <w:rPr>
                <w:rFonts w:cs="Arial"/>
                <w:szCs w:val="18"/>
                <w:lang w:val="en-GB" w:eastAsia="en-GB"/>
              </w:rPr>
              <w:t>84,2</w:t>
            </w:r>
          </w:p>
        </w:tc>
      </w:tr>
      <w:tr w:rsidRPr="00B52D66" w:rsidR="00B52D66" w:rsidTr="00B52D66" w14:paraId="4330B1DB"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66D9901C" w14:textId="77777777">
            <w:pPr>
              <w:spacing w:line="240" w:lineRule="auto"/>
              <w:rPr>
                <w:rFonts w:cs="Arial"/>
                <w:b/>
                <w:bCs/>
                <w:szCs w:val="18"/>
                <w:lang w:val="en-GB" w:eastAsia="en-GB"/>
              </w:rPr>
            </w:pPr>
            <w:r w:rsidRPr="00B52D66">
              <w:rPr>
                <w:rFonts w:cs="Arial"/>
                <w:b/>
                <w:bCs/>
                <w:szCs w:val="18"/>
                <w:lang w:val="en-GB" w:eastAsia="en-GB"/>
              </w:rPr>
              <w:t>Gemengde leerweg</w:t>
            </w:r>
          </w:p>
        </w:tc>
        <w:tc>
          <w:tcPr>
            <w:tcW w:w="482" w:type="pct"/>
            <w:tcBorders>
              <w:top w:val="nil"/>
              <w:left w:val="nil"/>
              <w:bottom w:val="nil"/>
              <w:right w:val="nil"/>
            </w:tcBorders>
            <w:noWrap/>
            <w:vAlign w:val="bottom"/>
            <w:hideMark/>
          </w:tcPr>
          <w:p w:rsidRPr="00B52D66" w:rsidR="00B52D66" w:rsidP="00FC2172" w:rsidRDefault="00B52D66" w14:paraId="437A79AF"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4C9AFD8C"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70FDCEEE"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53F86FF4"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7CEBC844"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7C6ED6BB" w14:textId="77777777">
            <w:pPr>
              <w:spacing w:line="240" w:lineRule="auto"/>
              <w:jc w:val="center"/>
              <w:rPr>
                <w:rFonts w:cs="Arial"/>
                <w:b/>
                <w:bCs/>
                <w:szCs w:val="18"/>
                <w:lang w:val="en-GB" w:eastAsia="en-GB"/>
              </w:rPr>
            </w:pPr>
            <w:r w:rsidRPr="00B52D66">
              <w:rPr>
                <w:rFonts w:cs="Arial"/>
                <w:b/>
                <w:bCs/>
                <w:szCs w:val="18"/>
                <w:lang w:val="en-GB" w:eastAsia="en-GB"/>
              </w:rPr>
              <w:t> </w:t>
            </w:r>
          </w:p>
        </w:tc>
      </w:tr>
      <w:tr w:rsidRPr="00B52D66" w:rsidR="00B52D66" w:rsidTr="00B52D66" w14:paraId="49677AF0"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3E23E404" w14:textId="77777777">
            <w:pPr>
              <w:spacing w:line="240" w:lineRule="auto"/>
              <w:rPr>
                <w:rFonts w:cs="Arial"/>
                <w:b/>
                <w:bCs/>
                <w:szCs w:val="18"/>
                <w:lang w:val="en-GB" w:eastAsia="en-GB"/>
              </w:rPr>
            </w:pPr>
            <w:r w:rsidRPr="00B52D66">
              <w:rPr>
                <w:rFonts w:cs="Arial"/>
                <w:b/>
                <w:bCs/>
                <w:szCs w:val="18"/>
                <w:lang w:val="en-GB" w:eastAsia="en-GB"/>
              </w:rPr>
              <w:t xml:space="preserve">  Techniek</w:t>
            </w:r>
          </w:p>
        </w:tc>
        <w:tc>
          <w:tcPr>
            <w:tcW w:w="482" w:type="pct"/>
            <w:tcBorders>
              <w:top w:val="nil"/>
              <w:left w:val="nil"/>
              <w:bottom w:val="nil"/>
              <w:right w:val="nil"/>
            </w:tcBorders>
            <w:noWrap/>
            <w:vAlign w:val="bottom"/>
            <w:hideMark/>
          </w:tcPr>
          <w:p w:rsidRPr="00B52D66" w:rsidR="00B52D66" w:rsidP="00FC2172" w:rsidRDefault="00B52D66" w14:paraId="01EF55E8"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55BF60B3"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29ED8E72"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197E669C"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2133352E"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448BFCA1" w14:textId="77777777">
            <w:pPr>
              <w:spacing w:line="240" w:lineRule="auto"/>
              <w:jc w:val="center"/>
              <w:rPr>
                <w:rFonts w:cs="Arial"/>
                <w:b/>
                <w:bCs/>
                <w:szCs w:val="18"/>
                <w:lang w:val="en-GB" w:eastAsia="en-GB"/>
              </w:rPr>
            </w:pPr>
            <w:r w:rsidRPr="00B52D66">
              <w:rPr>
                <w:rFonts w:cs="Arial"/>
                <w:b/>
                <w:bCs/>
                <w:szCs w:val="18"/>
                <w:lang w:val="en-GB" w:eastAsia="en-GB"/>
              </w:rPr>
              <w:t> </w:t>
            </w:r>
          </w:p>
        </w:tc>
      </w:tr>
      <w:tr w:rsidRPr="00B52D66" w:rsidR="00B52D66" w:rsidTr="00B52D66" w14:paraId="598B8DDA" w14:textId="77777777">
        <w:trPr>
          <w:trHeight w:val="280"/>
        </w:trPr>
        <w:tc>
          <w:tcPr>
            <w:tcW w:w="2105" w:type="pct"/>
            <w:tcBorders>
              <w:top w:val="nil"/>
              <w:left w:val="nil"/>
              <w:bottom w:val="nil"/>
              <w:right w:val="nil"/>
            </w:tcBorders>
            <w:noWrap/>
            <w:hideMark/>
          </w:tcPr>
          <w:p w:rsidRPr="00B52D66" w:rsidR="00B52D66" w:rsidP="00FC2172" w:rsidRDefault="00B52D66" w14:paraId="21E429D9" w14:textId="77777777">
            <w:pPr>
              <w:spacing w:line="240" w:lineRule="auto"/>
              <w:rPr>
                <w:rFonts w:cs="Arial"/>
                <w:szCs w:val="18"/>
                <w:lang w:val="en-GB" w:eastAsia="en-GB"/>
              </w:rPr>
            </w:pPr>
            <w:r w:rsidRPr="00B52D66">
              <w:rPr>
                <w:rFonts w:cs="Arial"/>
                <w:szCs w:val="18"/>
                <w:lang w:val="en-GB" w:eastAsia="en-GB"/>
              </w:rPr>
              <w:t xml:space="preserve">   BWI</w:t>
            </w:r>
          </w:p>
        </w:tc>
        <w:tc>
          <w:tcPr>
            <w:tcW w:w="482" w:type="pct"/>
            <w:tcBorders>
              <w:top w:val="nil"/>
              <w:left w:val="nil"/>
              <w:bottom w:val="nil"/>
              <w:right w:val="nil"/>
            </w:tcBorders>
            <w:noWrap/>
            <w:vAlign w:val="bottom"/>
            <w:hideMark/>
          </w:tcPr>
          <w:p w:rsidRPr="00B52D66" w:rsidR="00B52D66" w:rsidP="00FC2172" w:rsidRDefault="00B52D66" w14:paraId="49262972" w14:textId="77777777">
            <w:pPr>
              <w:spacing w:line="240" w:lineRule="auto"/>
              <w:jc w:val="center"/>
              <w:rPr>
                <w:rFonts w:cs="Arial"/>
                <w:szCs w:val="18"/>
                <w:lang w:val="en-GB" w:eastAsia="en-GB"/>
              </w:rPr>
            </w:pPr>
            <w:r w:rsidRPr="00B52D66">
              <w:rPr>
                <w:rFonts w:cs="Arial"/>
                <w:szCs w:val="18"/>
                <w:lang w:val="en-GB" w:eastAsia="en-GB"/>
              </w:rPr>
              <w:t>24,8</w:t>
            </w:r>
          </w:p>
        </w:tc>
        <w:tc>
          <w:tcPr>
            <w:tcW w:w="482" w:type="pct"/>
            <w:tcBorders>
              <w:top w:val="nil"/>
              <w:left w:val="nil"/>
              <w:bottom w:val="nil"/>
              <w:right w:val="nil"/>
            </w:tcBorders>
            <w:noWrap/>
            <w:vAlign w:val="bottom"/>
            <w:hideMark/>
          </w:tcPr>
          <w:p w:rsidRPr="00B52D66" w:rsidR="00B52D66" w:rsidP="00FC2172" w:rsidRDefault="00B52D66" w14:paraId="5810DC6B" w14:textId="77777777">
            <w:pPr>
              <w:spacing w:line="240" w:lineRule="auto"/>
              <w:jc w:val="center"/>
              <w:rPr>
                <w:rFonts w:cs="Arial"/>
                <w:szCs w:val="18"/>
                <w:lang w:val="en-GB" w:eastAsia="en-GB"/>
              </w:rPr>
            </w:pPr>
            <w:r w:rsidRPr="00B52D66">
              <w:rPr>
                <w:rFonts w:cs="Arial"/>
                <w:szCs w:val="18"/>
                <w:lang w:val="en-GB" w:eastAsia="en-GB"/>
              </w:rPr>
              <w:t>22,3</w:t>
            </w:r>
          </w:p>
        </w:tc>
        <w:tc>
          <w:tcPr>
            <w:tcW w:w="482" w:type="pct"/>
            <w:tcBorders>
              <w:top w:val="nil"/>
              <w:left w:val="nil"/>
              <w:bottom w:val="nil"/>
              <w:right w:val="nil"/>
            </w:tcBorders>
            <w:noWrap/>
            <w:vAlign w:val="bottom"/>
            <w:hideMark/>
          </w:tcPr>
          <w:p w:rsidRPr="00B52D66" w:rsidR="00B52D66" w:rsidP="00FC2172" w:rsidRDefault="00B52D66" w14:paraId="19E4E531" w14:textId="77777777">
            <w:pPr>
              <w:spacing w:line="240" w:lineRule="auto"/>
              <w:jc w:val="center"/>
              <w:rPr>
                <w:rFonts w:cs="Arial"/>
                <w:szCs w:val="18"/>
                <w:lang w:val="en-GB" w:eastAsia="en-GB"/>
              </w:rPr>
            </w:pPr>
            <w:r w:rsidRPr="00B52D66">
              <w:rPr>
                <w:rFonts w:cs="Arial"/>
                <w:szCs w:val="18"/>
                <w:lang w:val="en-GB" w:eastAsia="en-GB"/>
              </w:rPr>
              <w:t>21,1</w:t>
            </w:r>
          </w:p>
        </w:tc>
        <w:tc>
          <w:tcPr>
            <w:tcW w:w="482" w:type="pct"/>
            <w:tcBorders>
              <w:top w:val="nil"/>
              <w:left w:val="nil"/>
              <w:bottom w:val="nil"/>
              <w:right w:val="nil"/>
            </w:tcBorders>
            <w:noWrap/>
            <w:vAlign w:val="bottom"/>
            <w:hideMark/>
          </w:tcPr>
          <w:p w:rsidRPr="00B52D66" w:rsidR="00B52D66" w:rsidP="00FC2172" w:rsidRDefault="00B52D66" w14:paraId="7D3946FD" w14:textId="77777777">
            <w:pPr>
              <w:spacing w:line="240" w:lineRule="auto"/>
              <w:jc w:val="center"/>
              <w:rPr>
                <w:rFonts w:cs="Arial"/>
                <w:szCs w:val="18"/>
                <w:lang w:val="en-GB" w:eastAsia="en-GB"/>
              </w:rPr>
            </w:pPr>
            <w:r w:rsidRPr="00B52D66">
              <w:rPr>
                <w:rFonts w:cs="Arial"/>
                <w:szCs w:val="18"/>
                <w:lang w:val="en-GB" w:eastAsia="en-GB"/>
              </w:rPr>
              <w:t>26,9</w:t>
            </w:r>
          </w:p>
        </w:tc>
        <w:tc>
          <w:tcPr>
            <w:tcW w:w="482" w:type="pct"/>
            <w:tcBorders>
              <w:top w:val="nil"/>
              <w:left w:val="nil"/>
              <w:bottom w:val="nil"/>
              <w:right w:val="nil"/>
            </w:tcBorders>
            <w:noWrap/>
            <w:vAlign w:val="bottom"/>
            <w:hideMark/>
          </w:tcPr>
          <w:p w:rsidRPr="00B52D66" w:rsidR="00B52D66" w:rsidP="00FC2172" w:rsidRDefault="00B52D66" w14:paraId="19654EF9" w14:textId="77777777">
            <w:pPr>
              <w:spacing w:line="240" w:lineRule="auto"/>
              <w:jc w:val="center"/>
              <w:rPr>
                <w:rFonts w:cs="Arial"/>
                <w:szCs w:val="18"/>
                <w:lang w:val="en-GB" w:eastAsia="en-GB"/>
              </w:rPr>
            </w:pPr>
            <w:r w:rsidRPr="00B52D66">
              <w:rPr>
                <w:rFonts w:cs="Arial"/>
                <w:szCs w:val="18"/>
                <w:lang w:val="en-GB" w:eastAsia="en-GB"/>
              </w:rPr>
              <w:t>25,0</w:t>
            </w:r>
          </w:p>
        </w:tc>
        <w:tc>
          <w:tcPr>
            <w:tcW w:w="482" w:type="pct"/>
            <w:tcBorders>
              <w:top w:val="nil"/>
              <w:left w:val="nil"/>
              <w:bottom w:val="nil"/>
              <w:right w:val="nil"/>
            </w:tcBorders>
            <w:noWrap/>
            <w:vAlign w:val="bottom"/>
            <w:hideMark/>
          </w:tcPr>
          <w:p w:rsidRPr="00B52D66" w:rsidR="00B52D66" w:rsidP="00FC2172" w:rsidRDefault="00B52D66" w14:paraId="5E93720F" w14:textId="77777777">
            <w:pPr>
              <w:spacing w:line="240" w:lineRule="auto"/>
              <w:jc w:val="center"/>
              <w:rPr>
                <w:rFonts w:cs="Arial"/>
                <w:szCs w:val="18"/>
                <w:lang w:val="en-GB" w:eastAsia="en-GB"/>
              </w:rPr>
            </w:pPr>
            <w:r w:rsidRPr="00B52D66">
              <w:rPr>
                <w:rFonts w:cs="Arial"/>
                <w:szCs w:val="18"/>
                <w:lang w:val="en-GB" w:eastAsia="en-GB"/>
              </w:rPr>
              <w:t>17,4</w:t>
            </w:r>
          </w:p>
        </w:tc>
      </w:tr>
      <w:tr w:rsidRPr="00B52D66" w:rsidR="00B52D66" w:rsidTr="00B52D66" w14:paraId="7EE5CFC0" w14:textId="77777777">
        <w:trPr>
          <w:trHeight w:val="280"/>
        </w:trPr>
        <w:tc>
          <w:tcPr>
            <w:tcW w:w="2105" w:type="pct"/>
            <w:tcBorders>
              <w:top w:val="nil"/>
              <w:left w:val="nil"/>
              <w:bottom w:val="nil"/>
              <w:right w:val="nil"/>
            </w:tcBorders>
            <w:noWrap/>
            <w:hideMark/>
          </w:tcPr>
          <w:p w:rsidRPr="00B52D66" w:rsidR="00B52D66" w:rsidP="00FC2172" w:rsidRDefault="00B52D66" w14:paraId="59CDCD52" w14:textId="77777777">
            <w:pPr>
              <w:spacing w:line="240" w:lineRule="auto"/>
              <w:rPr>
                <w:rFonts w:cs="Arial"/>
                <w:szCs w:val="18"/>
                <w:lang w:val="en-GB" w:eastAsia="en-GB"/>
              </w:rPr>
            </w:pPr>
            <w:r w:rsidRPr="00B52D66">
              <w:rPr>
                <w:rFonts w:cs="Arial"/>
                <w:szCs w:val="18"/>
                <w:lang w:val="en-GB" w:eastAsia="en-GB"/>
              </w:rPr>
              <w:t xml:space="preserve">   MaT</w:t>
            </w:r>
          </w:p>
        </w:tc>
        <w:tc>
          <w:tcPr>
            <w:tcW w:w="482" w:type="pct"/>
            <w:tcBorders>
              <w:top w:val="nil"/>
              <w:left w:val="nil"/>
              <w:bottom w:val="nil"/>
              <w:right w:val="nil"/>
            </w:tcBorders>
            <w:noWrap/>
            <w:vAlign w:val="bottom"/>
            <w:hideMark/>
          </w:tcPr>
          <w:p w:rsidRPr="00B52D66" w:rsidR="00B52D66" w:rsidP="00FC2172" w:rsidRDefault="00B52D66" w14:paraId="474A968F" w14:textId="77777777">
            <w:pPr>
              <w:spacing w:line="240" w:lineRule="auto"/>
              <w:jc w:val="center"/>
              <w:rPr>
                <w:rFonts w:cs="Arial"/>
                <w:szCs w:val="18"/>
                <w:lang w:val="en-GB" w:eastAsia="en-GB"/>
              </w:rPr>
            </w:pPr>
            <w:r w:rsidRPr="00B52D66">
              <w:rPr>
                <w:rFonts w:cs="Arial"/>
                <w:szCs w:val="18"/>
                <w:lang w:val="en-GB" w:eastAsia="en-GB"/>
              </w:rPr>
              <w:t>13,9</w:t>
            </w:r>
          </w:p>
        </w:tc>
        <w:tc>
          <w:tcPr>
            <w:tcW w:w="482" w:type="pct"/>
            <w:tcBorders>
              <w:top w:val="nil"/>
              <w:left w:val="nil"/>
              <w:bottom w:val="nil"/>
              <w:right w:val="nil"/>
            </w:tcBorders>
            <w:noWrap/>
            <w:vAlign w:val="bottom"/>
            <w:hideMark/>
          </w:tcPr>
          <w:p w:rsidRPr="00B52D66" w:rsidR="00B52D66" w:rsidP="00FC2172" w:rsidRDefault="00B52D66" w14:paraId="137EC8A3" w14:textId="77777777">
            <w:pPr>
              <w:spacing w:line="240" w:lineRule="auto"/>
              <w:jc w:val="center"/>
              <w:rPr>
                <w:rFonts w:cs="Arial"/>
                <w:szCs w:val="18"/>
                <w:lang w:val="en-GB" w:eastAsia="en-GB"/>
              </w:rPr>
            </w:pPr>
            <w:r w:rsidRPr="00B52D66">
              <w:rPr>
                <w:rFonts w:cs="Arial"/>
                <w:szCs w:val="18"/>
                <w:lang w:val="en-GB" w:eastAsia="en-GB"/>
              </w:rPr>
              <w:t>14,1</w:t>
            </w:r>
          </w:p>
        </w:tc>
        <w:tc>
          <w:tcPr>
            <w:tcW w:w="482" w:type="pct"/>
            <w:tcBorders>
              <w:top w:val="nil"/>
              <w:left w:val="nil"/>
              <w:bottom w:val="nil"/>
              <w:right w:val="nil"/>
            </w:tcBorders>
            <w:noWrap/>
            <w:vAlign w:val="bottom"/>
            <w:hideMark/>
          </w:tcPr>
          <w:p w:rsidRPr="00B52D66" w:rsidR="00B52D66" w:rsidP="00FC2172" w:rsidRDefault="00B52D66" w14:paraId="01E3E325" w14:textId="77777777">
            <w:pPr>
              <w:spacing w:line="240" w:lineRule="auto"/>
              <w:jc w:val="center"/>
              <w:rPr>
                <w:rFonts w:cs="Arial"/>
                <w:szCs w:val="18"/>
                <w:lang w:val="en-GB" w:eastAsia="en-GB"/>
              </w:rPr>
            </w:pPr>
            <w:r w:rsidRPr="00B52D66">
              <w:rPr>
                <w:rFonts w:cs="Arial"/>
                <w:szCs w:val="18"/>
                <w:lang w:val="en-GB" w:eastAsia="en-GB"/>
              </w:rPr>
              <w:t>20,0</w:t>
            </w:r>
          </w:p>
        </w:tc>
        <w:tc>
          <w:tcPr>
            <w:tcW w:w="482" w:type="pct"/>
            <w:tcBorders>
              <w:top w:val="nil"/>
              <w:left w:val="nil"/>
              <w:bottom w:val="nil"/>
              <w:right w:val="nil"/>
            </w:tcBorders>
            <w:noWrap/>
            <w:vAlign w:val="bottom"/>
            <w:hideMark/>
          </w:tcPr>
          <w:p w:rsidRPr="00B52D66" w:rsidR="00B52D66" w:rsidP="00FC2172" w:rsidRDefault="00B52D66" w14:paraId="1E8DB253" w14:textId="77777777">
            <w:pPr>
              <w:spacing w:line="240" w:lineRule="auto"/>
              <w:jc w:val="center"/>
              <w:rPr>
                <w:rFonts w:cs="Arial"/>
                <w:szCs w:val="18"/>
                <w:lang w:val="en-GB" w:eastAsia="en-GB"/>
              </w:rPr>
            </w:pPr>
            <w:r w:rsidRPr="00B52D66">
              <w:rPr>
                <w:rFonts w:cs="Arial"/>
                <w:szCs w:val="18"/>
                <w:lang w:val="en-GB" w:eastAsia="en-GB"/>
              </w:rPr>
              <w:t>16,5</w:t>
            </w:r>
          </w:p>
        </w:tc>
        <w:tc>
          <w:tcPr>
            <w:tcW w:w="482" w:type="pct"/>
            <w:tcBorders>
              <w:top w:val="nil"/>
              <w:left w:val="nil"/>
              <w:bottom w:val="nil"/>
              <w:right w:val="nil"/>
            </w:tcBorders>
            <w:noWrap/>
            <w:vAlign w:val="bottom"/>
            <w:hideMark/>
          </w:tcPr>
          <w:p w:rsidRPr="00B52D66" w:rsidR="00B52D66" w:rsidP="00FC2172" w:rsidRDefault="00B52D66" w14:paraId="3CFED041" w14:textId="77777777">
            <w:pPr>
              <w:spacing w:line="240" w:lineRule="auto"/>
              <w:jc w:val="center"/>
              <w:rPr>
                <w:rFonts w:cs="Arial"/>
                <w:szCs w:val="18"/>
                <w:lang w:val="en-GB" w:eastAsia="en-GB"/>
              </w:rPr>
            </w:pPr>
            <w:r w:rsidRPr="00B52D66">
              <w:rPr>
                <w:rFonts w:cs="Arial"/>
                <w:szCs w:val="18"/>
                <w:lang w:val="en-GB" w:eastAsia="en-GB"/>
              </w:rPr>
              <w:t>19,0</w:t>
            </w:r>
          </w:p>
        </w:tc>
        <w:tc>
          <w:tcPr>
            <w:tcW w:w="482" w:type="pct"/>
            <w:tcBorders>
              <w:top w:val="nil"/>
              <w:left w:val="nil"/>
              <w:bottom w:val="nil"/>
              <w:right w:val="nil"/>
            </w:tcBorders>
            <w:noWrap/>
            <w:vAlign w:val="bottom"/>
            <w:hideMark/>
          </w:tcPr>
          <w:p w:rsidRPr="00B52D66" w:rsidR="00B52D66" w:rsidP="00FC2172" w:rsidRDefault="00B52D66" w14:paraId="16881DA4" w14:textId="77777777">
            <w:pPr>
              <w:spacing w:line="240" w:lineRule="auto"/>
              <w:jc w:val="center"/>
              <w:rPr>
                <w:rFonts w:cs="Arial"/>
                <w:szCs w:val="18"/>
                <w:lang w:val="en-GB" w:eastAsia="en-GB"/>
              </w:rPr>
            </w:pPr>
            <w:r w:rsidRPr="00B52D66">
              <w:rPr>
                <w:rFonts w:cs="Arial"/>
                <w:szCs w:val="18"/>
                <w:lang w:val="en-GB" w:eastAsia="en-GB"/>
              </w:rPr>
              <w:t>15,1</w:t>
            </w:r>
          </w:p>
        </w:tc>
      </w:tr>
      <w:tr w:rsidRPr="00B52D66" w:rsidR="00B52D66" w:rsidTr="00B52D66" w14:paraId="42FEA68D" w14:textId="77777777">
        <w:trPr>
          <w:trHeight w:val="280"/>
        </w:trPr>
        <w:tc>
          <w:tcPr>
            <w:tcW w:w="2105" w:type="pct"/>
            <w:tcBorders>
              <w:top w:val="nil"/>
              <w:left w:val="nil"/>
              <w:bottom w:val="nil"/>
              <w:right w:val="nil"/>
            </w:tcBorders>
            <w:noWrap/>
            <w:hideMark/>
          </w:tcPr>
          <w:p w:rsidRPr="00B52D66" w:rsidR="00B52D66" w:rsidP="00FC2172" w:rsidRDefault="00B52D66" w14:paraId="515FFB46" w14:textId="77777777">
            <w:pPr>
              <w:spacing w:line="240" w:lineRule="auto"/>
              <w:rPr>
                <w:rFonts w:cs="Arial"/>
                <w:szCs w:val="18"/>
                <w:lang w:val="en-GB" w:eastAsia="en-GB"/>
              </w:rPr>
            </w:pPr>
            <w:r w:rsidRPr="00B52D66">
              <w:rPr>
                <w:rFonts w:cs="Arial"/>
                <w:szCs w:val="18"/>
                <w:lang w:val="en-GB" w:eastAsia="en-GB"/>
              </w:rPr>
              <w:t xml:space="preserve">   MVI</w:t>
            </w:r>
          </w:p>
        </w:tc>
        <w:tc>
          <w:tcPr>
            <w:tcW w:w="482" w:type="pct"/>
            <w:tcBorders>
              <w:top w:val="nil"/>
              <w:left w:val="nil"/>
              <w:bottom w:val="nil"/>
              <w:right w:val="nil"/>
            </w:tcBorders>
            <w:noWrap/>
            <w:vAlign w:val="bottom"/>
            <w:hideMark/>
          </w:tcPr>
          <w:p w:rsidRPr="00B52D66" w:rsidR="00B52D66" w:rsidP="00FC2172" w:rsidRDefault="00B52D66" w14:paraId="6A379673" w14:textId="77777777">
            <w:pPr>
              <w:spacing w:line="240" w:lineRule="auto"/>
              <w:jc w:val="center"/>
              <w:rPr>
                <w:rFonts w:cs="Arial"/>
                <w:szCs w:val="18"/>
                <w:lang w:val="en-GB" w:eastAsia="en-GB"/>
              </w:rPr>
            </w:pPr>
            <w:r w:rsidRPr="00B52D66">
              <w:rPr>
                <w:rFonts w:cs="Arial"/>
                <w:szCs w:val="18"/>
                <w:lang w:val="en-GB" w:eastAsia="en-GB"/>
              </w:rPr>
              <w:t>43,0</w:t>
            </w:r>
          </w:p>
        </w:tc>
        <w:tc>
          <w:tcPr>
            <w:tcW w:w="482" w:type="pct"/>
            <w:tcBorders>
              <w:top w:val="nil"/>
              <w:left w:val="nil"/>
              <w:bottom w:val="nil"/>
              <w:right w:val="nil"/>
            </w:tcBorders>
            <w:noWrap/>
            <w:vAlign w:val="bottom"/>
            <w:hideMark/>
          </w:tcPr>
          <w:p w:rsidRPr="00B52D66" w:rsidR="00B52D66" w:rsidP="00FC2172" w:rsidRDefault="00B52D66" w14:paraId="7193BACD" w14:textId="77777777">
            <w:pPr>
              <w:spacing w:line="240" w:lineRule="auto"/>
              <w:jc w:val="center"/>
              <w:rPr>
                <w:rFonts w:cs="Arial"/>
                <w:szCs w:val="18"/>
                <w:lang w:val="en-GB" w:eastAsia="en-GB"/>
              </w:rPr>
            </w:pPr>
            <w:r w:rsidRPr="00B52D66">
              <w:rPr>
                <w:rFonts w:cs="Arial"/>
                <w:szCs w:val="18"/>
                <w:lang w:val="en-GB" w:eastAsia="en-GB"/>
              </w:rPr>
              <w:t>46,3</w:t>
            </w:r>
          </w:p>
        </w:tc>
        <w:tc>
          <w:tcPr>
            <w:tcW w:w="482" w:type="pct"/>
            <w:tcBorders>
              <w:top w:val="nil"/>
              <w:left w:val="nil"/>
              <w:bottom w:val="nil"/>
              <w:right w:val="nil"/>
            </w:tcBorders>
            <w:noWrap/>
            <w:vAlign w:val="bottom"/>
            <w:hideMark/>
          </w:tcPr>
          <w:p w:rsidRPr="00B52D66" w:rsidR="00B52D66" w:rsidP="00FC2172" w:rsidRDefault="00B52D66" w14:paraId="4B72426F" w14:textId="77777777">
            <w:pPr>
              <w:spacing w:line="240" w:lineRule="auto"/>
              <w:jc w:val="center"/>
              <w:rPr>
                <w:rFonts w:cs="Arial"/>
                <w:szCs w:val="18"/>
                <w:lang w:val="en-GB" w:eastAsia="en-GB"/>
              </w:rPr>
            </w:pPr>
            <w:r w:rsidRPr="00B52D66">
              <w:rPr>
                <w:rFonts w:cs="Arial"/>
                <w:szCs w:val="18"/>
                <w:lang w:val="en-GB" w:eastAsia="en-GB"/>
              </w:rPr>
              <w:t>52,5</w:t>
            </w:r>
          </w:p>
        </w:tc>
        <w:tc>
          <w:tcPr>
            <w:tcW w:w="482" w:type="pct"/>
            <w:tcBorders>
              <w:top w:val="nil"/>
              <w:left w:val="nil"/>
              <w:bottom w:val="nil"/>
              <w:right w:val="nil"/>
            </w:tcBorders>
            <w:noWrap/>
            <w:vAlign w:val="bottom"/>
            <w:hideMark/>
          </w:tcPr>
          <w:p w:rsidRPr="00B52D66" w:rsidR="00B52D66" w:rsidP="00FC2172" w:rsidRDefault="00B52D66" w14:paraId="796B6ED1" w14:textId="77777777">
            <w:pPr>
              <w:spacing w:line="240" w:lineRule="auto"/>
              <w:jc w:val="center"/>
              <w:rPr>
                <w:rFonts w:cs="Arial"/>
                <w:szCs w:val="18"/>
                <w:lang w:val="en-GB" w:eastAsia="en-GB"/>
              </w:rPr>
            </w:pPr>
            <w:r w:rsidRPr="00B52D66">
              <w:rPr>
                <w:rFonts w:cs="Arial"/>
                <w:szCs w:val="18"/>
                <w:lang w:val="en-GB" w:eastAsia="en-GB"/>
              </w:rPr>
              <w:t>51,1</w:t>
            </w:r>
          </w:p>
        </w:tc>
        <w:tc>
          <w:tcPr>
            <w:tcW w:w="482" w:type="pct"/>
            <w:tcBorders>
              <w:top w:val="nil"/>
              <w:left w:val="nil"/>
              <w:bottom w:val="nil"/>
              <w:right w:val="nil"/>
            </w:tcBorders>
            <w:noWrap/>
            <w:vAlign w:val="bottom"/>
            <w:hideMark/>
          </w:tcPr>
          <w:p w:rsidRPr="00B52D66" w:rsidR="00B52D66" w:rsidP="00FC2172" w:rsidRDefault="00B52D66" w14:paraId="2987479B" w14:textId="77777777">
            <w:pPr>
              <w:spacing w:line="240" w:lineRule="auto"/>
              <w:jc w:val="center"/>
              <w:rPr>
                <w:rFonts w:cs="Arial"/>
                <w:szCs w:val="18"/>
                <w:lang w:val="en-GB" w:eastAsia="en-GB"/>
              </w:rPr>
            </w:pPr>
            <w:r w:rsidRPr="00B52D66">
              <w:rPr>
                <w:rFonts w:cs="Arial"/>
                <w:szCs w:val="18"/>
                <w:lang w:val="en-GB" w:eastAsia="en-GB"/>
              </w:rPr>
              <w:t>50,1</w:t>
            </w:r>
          </w:p>
        </w:tc>
        <w:tc>
          <w:tcPr>
            <w:tcW w:w="482" w:type="pct"/>
            <w:tcBorders>
              <w:top w:val="nil"/>
              <w:left w:val="nil"/>
              <w:bottom w:val="nil"/>
              <w:right w:val="nil"/>
            </w:tcBorders>
            <w:noWrap/>
            <w:vAlign w:val="bottom"/>
            <w:hideMark/>
          </w:tcPr>
          <w:p w:rsidRPr="00B52D66" w:rsidR="00B52D66" w:rsidP="00FC2172" w:rsidRDefault="00B52D66" w14:paraId="45D2CC91" w14:textId="77777777">
            <w:pPr>
              <w:spacing w:line="240" w:lineRule="auto"/>
              <w:jc w:val="center"/>
              <w:rPr>
                <w:rFonts w:cs="Arial"/>
                <w:szCs w:val="18"/>
                <w:lang w:val="en-GB" w:eastAsia="en-GB"/>
              </w:rPr>
            </w:pPr>
            <w:r w:rsidRPr="00B52D66">
              <w:rPr>
                <w:rFonts w:cs="Arial"/>
                <w:szCs w:val="18"/>
                <w:lang w:val="en-GB" w:eastAsia="en-GB"/>
              </w:rPr>
              <w:t>55,1</w:t>
            </w:r>
          </w:p>
        </w:tc>
      </w:tr>
      <w:tr w:rsidRPr="00B52D66" w:rsidR="00B52D66" w:rsidTr="00B52D66" w14:paraId="2D689BB3" w14:textId="77777777">
        <w:trPr>
          <w:trHeight w:val="280"/>
        </w:trPr>
        <w:tc>
          <w:tcPr>
            <w:tcW w:w="2105" w:type="pct"/>
            <w:tcBorders>
              <w:top w:val="nil"/>
              <w:left w:val="nil"/>
              <w:bottom w:val="nil"/>
              <w:right w:val="nil"/>
            </w:tcBorders>
            <w:noWrap/>
            <w:hideMark/>
          </w:tcPr>
          <w:p w:rsidRPr="00B52D66" w:rsidR="00B52D66" w:rsidP="00FC2172" w:rsidRDefault="00B52D66" w14:paraId="3E483AD3" w14:textId="77777777">
            <w:pPr>
              <w:spacing w:line="240" w:lineRule="auto"/>
              <w:rPr>
                <w:rFonts w:cs="Arial"/>
                <w:szCs w:val="18"/>
                <w:lang w:val="en-GB" w:eastAsia="en-GB"/>
              </w:rPr>
            </w:pPr>
            <w:r w:rsidRPr="00B52D66">
              <w:rPr>
                <w:rFonts w:cs="Arial"/>
                <w:szCs w:val="18"/>
                <w:lang w:val="en-GB" w:eastAsia="en-GB"/>
              </w:rPr>
              <w:t xml:space="preserve">   M&amp;T</w:t>
            </w:r>
          </w:p>
        </w:tc>
        <w:tc>
          <w:tcPr>
            <w:tcW w:w="482" w:type="pct"/>
            <w:tcBorders>
              <w:top w:val="nil"/>
              <w:left w:val="nil"/>
              <w:bottom w:val="nil"/>
              <w:right w:val="nil"/>
            </w:tcBorders>
            <w:noWrap/>
            <w:vAlign w:val="bottom"/>
            <w:hideMark/>
          </w:tcPr>
          <w:p w:rsidRPr="00B52D66" w:rsidR="00B52D66" w:rsidP="00FC2172" w:rsidRDefault="00B52D66" w14:paraId="7405950E" w14:textId="77777777">
            <w:pPr>
              <w:spacing w:line="240" w:lineRule="auto"/>
              <w:jc w:val="center"/>
              <w:rPr>
                <w:rFonts w:cs="Arial"/>
                <w:szCs w:val="18"/>
                <w:lang w:val="en-GB" w:eastAsia="en-GB"/>
              </w:rPr>
            </w:pPr>
            <w:r w:rsidRPr="00B52D66">
              <w:rPr>
                <w:rFonts w:cs="Arial"/>
                <w:szCs w:val="18"/>
                <w:lang w:val="en-GB" w:eastAsia="en-GB"/>
              </w:rPr>
              <w:t>0,8</w:t>
            </w:r>
          </w:p>
        </w:tc>
        <w:tc>
          <w:tcPr>
            <w:tcW w:w="482" w:type="pct"/>
            <w:tcBorders>
              <w:top w:val="nil"/>
              <w:left w:val="nil"/>
              <w:bottom w:val="nil"/>
              <w:right w:val="nil"/>
            </w:tcBorders>
            <w:noWrap/>
            <w:vAlign w:val="bottom"/>
            <w:hideMark/>
          </w:tcPr>
          <w:p w:rsidRPr="00B52D66" w:rsidR="00B52D66" w:rsidP="00FC2172" w:rsidRDefault="00B52D66" w14:paraId="15342337" w14:textId="77777777">
            <w:pPr>
              <w:spacing w:line="240" w:lineRule="auto"/>
              <w:jc w:val="center"/>
              <w:rPr>
                <w:rFonts w:cs="Arial"/>
                <w:szCs w:val="18"/>
                <w:lang w:val="en-GB" w:eastAsia="en-GB"/>
              </w:rPr>
            </w:pPr>
            <w:r w:rsidRPr="00B52D66">
              <w:rPr>
                <w:rFonts w:cs="Arial"/>
                <w:szCs w:val="18"/>
                <w:lang w:val="en-GB" w:eastAsia="en-GB"/>
              </w:rPr>
              <w:t>1,9</w:t>
            </w:r>
          </w:p>
        </w:tc>
        <w:tc>
          <w:tcPr>
            <w:tcW w:w="482" w:type="pct"/>
            <w:tcBorders>
              <w:top w:val="nil"/>
              <w:left w:val="nil"/>
              <w:bottom w:val="nil"/>
              <w:right w:val="nil"/>
            </w:tcBorders>
            <w:noWrap/>
            <w:vAlign w:val="bottom"/>
            <w:hideMark/>
          </w:tcPr>
          <w:p w:rsidRPr="00B52D66" w:rsidR="00B52D66" w:rsidP="00FC2172" w:rsidRDefault="00B52D66" w14:paraId="0C37A277" w14:textId="77777777">
            <w:pPr>
              <w:spacing w:line="240" w:lineRule="auto"/>
              <w:jc w:val="center"/>
              <w:rPr>
                <w:rFonts w:cs="Arial"/>
                <w:szCs w:val="18"/>
                <w:lang w:val="en-GB" w:eastAsia="en-GB"/>
              </w:rPr>
            </w:pPr>
            <w:r w:rsidRPr="00B52D66">
              <w:rPr>
                <w:rFonts w:cs="Arial"/>
                <w:szCs w:val="18"/>
                <w:lang w:val="en-GB" w:eastAsia="en-GB"/>
              </w:rPr>
              <w:t>3,1</w:t>
            </w:r>
          </w:p>
        </w:tc>
        <w:tc>
          <w:tcPr>
            <w:tcW w:w="482" w:type="pct"/>
            <w:tcBorders>
              <w:top w:val="nil"/>
              <w:left w:val="nil"/>
              <w:bottom w:val="nil"/>
              <w:right w:val="nil"/>
            </w:tcBorders>
            <w:noWrap/>
            <w:vAlign w:val="bottom"/>
            <w:hideMark/>
          </w:tcPr>
          <w:p w:rsidRPr="00B52D66" w:rsidR="00B52D66" w:rsidP="00FC2172" w:rsidRDefault="00B52D66" w14:paraId="4D606C85" w14:textId="77777777">
            <w:pPr>
              <w:spacing w:line="240" w:lineRule="auto"/>
              <w:jc w:val="center"/>
              <w:rPr>
                <w:rFonts w:cs="Arial"/>
                <w:szCs w:val="18"/>
                <w:lang w:val="en-GB" w:eastAsia="en-GB"/>
              </w:rPr>
            </w:pPr>
            <w:r w:rsidRPr="00B52D66">
              <w:rPr>
                <w:rFonts w:cs="Arial"/>
                <w:szCs w:val="18"/>
                <w:lang w:val="en-GB" w:eastAsia="en-GB"/>
              </w:rPr>
              <w:t>8,0</w:t>
            </w:r>
          </w:p>
        </w:tc>
        <w:tc>
          <w:tcPr>
            <w:tcW w:w="482" w:type="pct"/>
            <w:tcBorders>
              <w:top w:val="nil"/>
              <w:left w:val="nil"/>
              <w:bottom w:val="nil"/>
              <w:right w:val="nil"/>
            </w:tcBorders>
            <w:noWrap/>
            <w:vAlign w:val="bottom"/>
            <w:hideMark/>
          </w:tcPr>
          <w:p w:rsidRPr="00B52D66" w:rsidR="00B52D66" w:rsidP="00FC2172" w:rsidRDefault="00B52D66" w14:paraId="07301A7D" w14:textId="77777777">
            <w:pPr>
              <w:spacing w:line="240" w:lineRule="auto"/>
              <w:jc w:val="center"/>
              <w:rPr>
                <w:rFonts w:cs="Arial"/>
                <w:szCs w:val="18"/>
                <w:lang w:val="en-GB" w:eastAsia="en-GB"/>
              </w:rPr>
            </w:pPr>
            <w:r w:rsidRPr="00B52D66">
              <w:rPr>
                <w:rFonts w:cs="Arial"/>
                <w:szCs w:val="18"/>
                <w:lang w:val="en-GB" w:eastAsia="en-GB"/>
              </w:rPr>
              <w:t>15,1</w:t>
            </w:r>
          </w:p>
        </w:tc>
        <w:tc>
          <w:tcPr>
            <w:tcW w:w="482" w:type="pct"/>
            <w:tcBorders>
              <w:top w:val="nil"/>
              <w:left w:val="nil"/>
              <w:bottom w:val="nil"/>
              <w:right w:val="nil"/>
            </w:tcBorders>
            <w:noWrap/>
            <w:vAlign w:val="bottom"/>
            <w:hideMark/>
          </w:tcPr>
          <w:p w:rsidRPr="00B52D66" w:rsidR="00B52D66" w:rsidP="00FC2172" w:rsidRDefault="00B52D66" w14:paraId="5B74DDAA" w14:textId="77777777">
            <w:pPr>
              <w:spacing w:line="240" w:lineRule="auto"/>
              <w:jc w:val="center"/>
              <w:rPr>
                <w:rFonts w:cs="Arial"/>
                <w:szCs w:val="18"/>
                <w:lang w:val="en-GB" w:eastAsia="en-GB"/>
              </w:rPr>
            </w:pPr>
            <w:r w:rsidRPr="00B52D66">
              <w:rPr>
                <w:rFonts w:cs="Arial"/>
                <w:szCs w:val="18"/>
                <w:lang w:val="en-GB" w:eastAsia="en-GB"/>
              </w:rPr>
              <w:t>15,0</w:t>
            </w:r>
          </w:p>
        </w:tc>
      </w:tr>
      <w:tr w:rsidRPr="00B52D66" w:rsidR="00B52D66" w:rsidTr="00B52D66" w14:paraId="14CC9313" w14:textId="77777777">
        <w:trPr>
          <w:trHeight w:val="280"/>
        </w:trPr>
        <w:tc>
          <w:tcPr>
            <w:tcW w:w="2105" w:type="pct"/>
            <w:tcBorders>
              <w:top w:val="nil"/>
              <w:left w:val="nil"/>
              <w:bottom w:val="nil"/>
              <w:right w:val="nil"/>
            </w:tcBorders>
            <w:noWrap/>
            <w:hideMark/>
          </w:tcPr>
          <w:p w:rsidRPr="00B52D66" w:rsidR="00B52D66" w:rsidP="00FC2172" w:rsidRDefault="00B52D66" w14:paraId="2129ECCF" w14:textId="77777777">
            <w:pPr>
              <w:spacing w:line="240" w:lineRule="auto"/>
              <w:rPr>
                <w:rFonts w:cs="Arial"/>
                <w:szCs w:val="18"/>
                <w:lang w:val="en-GB" w:eastAsia="en-GB"/>
              </w:rPr>
            </w:pPr>
            <w:r w:rsidRPr="00B52D66">
              <w:rPr>
                <w:rFonts w:cs="Arial"/>
                <w:szCs w:val="18"/>
                <w:lang w:val="en-GB" w:eastAsia="en-GB"/>
              </w:rPr>
              <w:t xml:space="preserve">   PIE</w:t>
            </w:r>
          </w:p>
        </w:tc>
        <w:tc>
          <w:tcPr>
            <w:tcW w:w="482" w:type="pct"/>
            <w:tcBorders>
              <w:top w:val="nil"/>
              <w:left w:val="nil"/>
              <w:bottom w:val="nil"/>
              <w:right w:val="nil"/>
            </w:tcBorders>
            <w:noWrap/>
            <w:vAlign w:val="bottom"/>
            <w:hideMark/>
          </w:tcPr>
          <w:p w:rsidRPr="00B52D66" w:rsidR="00B52D66" w:rsidP="00FC2172" w:rsidRDefault="00B52D66" w14:paraId="606E7F50" w14:textId="77777777">
            <w:pPr>
              <w:spacing w:line="240" w:lineRule="auto"/>
              <w:jc w:val="center"/>
              <w:rPr>
                <w:rFonts w:cs="Arial"/>
                <w:szCs w:val="18"/>
                <w:lang w:val="en-GB" w:eastAsia="en-GB"/>
              </w:rPr>
            </w:pPr>
            <w:r w:rsidRPr="00B52D66">
              <w:rPr>
                <w:rFonts w:cs="Arial"/>
                <w:szCs w:val="18"/>
                <w:lang w:val="en-GB" w:eastAsia="en-GB"/>
              </w:rPr>
              <w:t>6,4</w:t>
            </w:r>
          </w:p>
        </w:tc>
        <w:tc>
          <w:tcPr>
            <w:tcW w:w="482" w:type="pct"/>
            <w:tcBorders>
              <w:top w:val="nil"/>
              <w:left w:val="nil"/>
              <w:bottom w:val="nil"/>
              <w:right w:val="nil"/>
            </w:tcBorders>
            <w:noWrap/>
            <w:vAlign w:val="bottom"/>
            <w:hideMark/>
          </w:tcPr>
          <w:p w:rsidRPr="00B52D66" w:rsidR="00B52D66" w:rsidP="00FC2172" w:rsidRDefault="00B52D66" w14:paraId="0A171029" w14:textId="77777777">
            <w:pPr>
              <w:spacing w:line="240" w:lineRule="auto"/>
              <w:jc w:val="center"/>
              <w:rPr>
                <w:rFonts w:cs="Arial"/>
                <w:szCs w:val="18"/>
                <w:lang w:val="en-GB" w:eastAsia="en-GB"/>
              </w:rPr>
            </w:pPr>
            <w:r w:rsidRPr="00B52D66">
              <w:rPr>
                <w:rFonts w:cs="Arial"/>
                <w:szCs w:val="18"/>
                <w:lang w:val="en-GB" w:eastAsia="en-GB"/>
              </w:rPr>
              <w:t>8,5</w:t>
            </w:r>
          </w:p>
        </w:tc>
        <w:tc>
          <w:tcPr>
            <w:tcW w:w="482" w:type="pct"/>
            <w:tcBorders>
              <w:top w:val="nil"/>
              <w:left w:val="nil"/>
              <w:bottom w:val="nil"/>
              <w:right w:val="nil"/>
            </w:tcBorders>
            <w:noWrap/>
            <w:vAlign w:val="bottom"/>
            <w:hideMark/>
          </w:tcPr>
          <w:p w:rsidRPr="00B52D66" w:rsidR="00B52D66" w:rsidP="00FC2172" w:rsidRDefault="00B52D66" w14:paraId="31D39E2E" w14:textId="77777777">
            <w:pPr>
              <w:spacing w:line="240" w:lineRule="auto"/>
              <w:jc w:val="center"/>
              <w:rPr>
                <w:rFonts w:cs="Arial"/>
                <w:szCs w:val="18"/>
                <w:lang w:val="en-GB" w:eastAsia="en-GB"/>
              </w:rPr>
            </w:pPr>
            <w:r w:rsidRPr="00B52D66">
              <w:rPr>
                <w:rFonts w:cs="Arial"/>
                <w:szCs w:val="18"/>
                <w:lang w:val="en-GB" w:eastAsia="en-GB"/>
              </w:rPr>
              <w:t>6,1</w:t>
            </w:r>
          </w:p>
        </w:tc>
        <w:tc>
          <w:tcPr>
            <w:tcW w:w="482" w:type="pct"/>
            <w:tcBorders>
              <w:top w:val="nil"/>
              <w:left w:val="nil"/>
              <w:bottom w:val="nil"/>
              <w:right w:val="nil"/>
            </w:tcBorders>
            <w:noWrap/>
            <w:vAlign w:val="bottom"/>
            <w:hideMark/>
          </w:tcPr>
          <w:p w:rsidRPr="00B52D66" w:rsidR="00B52D66" w:rsidP="00FC2172" w:rsidRDefault="00B52D66" w14:paraId="1E6827C6" w14:textId="77777777">
            <w:pPr>
              <w:spacing w:line="240" w:lineRule="auto"/>
              <w:jc w:val="center"/>
              <w:rPr>
                <w:rFonts w:cs="Arial"/>
                <w:szCs w:val="18"/>
                <w:lang w:val="en-GB" w:eastAsia="en-GB"/>
              </w:rPr>
            </w:pPr>
            <w:r w:rsidRPr="00B52D66">
              <w:rPr>
                <w:rFonts w:cs="Arial"/>
                <w:szCs w:val="18"/>
                <w:lang w:val="en-GB" w:eastAsia="en-GB"/>
              </w:rPr>
              <w:t>7,0</w:t>
            </w:r>
          </w:p>
        </w:tc>
        <w:tc>
          <w:tcPr>
            <w:tcW w:w="482" w:type="pct"/>
            <w:tcBorders>
              <w:top w:val="nil"/>
              <w:left w:val="nil"/>
              <w:bottom w:val="nil"/>
              <w:right w:val="nil"/>
            </w:tcBorders>
            <w:noWrap/>
            <w:vAlign w:val="bottom"/>
            <w:hideMark/>
          </w:tcPr>
          <w:p w:rsidRPr="00B52D66" w:rsidR="00B52D66" w:rsidP="00FC2172" w:rsidRDefault="00B52D66" w14:paraId="1CCAA156" w14:textId="77777777">
            <w:pPr>
              <w:spacing w:line="240" w:lineRule="auto"/>
              <w:jc w:val="center"/>
              <w:rPr>
                <w:rFonts w:cs="Arial"/>
                <w:szCs w:val="18"/>
                <w:lang w:val="en-GB" w:eastAsia="en-GB"/>
              </w:rPr>
            </w:pPr>
            <w:r w:rsidRPr="00B52D66">
              <w:rPr>
                <w:rFonts w:cs="Arial"/>
                <w:szCs w:val="18"/>
                <w:lang w:val="en-GB" w:eastAsia="en-GB"/>
              </w:rPr>
              <w:t>9,2</w:t>
            </w:r>
          </w:p>
        </w:tc>
        <w:tc>
          <w:tcPr>
            <w:tcW w:w="482" w:type="pct"/>
            <w:tcBorders>
              <w:top w:val="nil"/>
              <w:left w:val="nil"/>
              <w:bottom w:val="nil"/>
              <w:right w:val="nil"/>
            </w:tcBorders>
            <w:noWrap/>
            <w:vAlign w:val="bottom"/>
            <w:hideMark/>
          </w:tcPr>
          <w:p w:rsidRPr="00B52D66" w:rsidR="00B52D66" w:rsidP="00FC2172" w:rsidRDefault="00B52D66" w14:paraId="249C21E2" w14:textId="77777777">
            <w:pPr>
              <w:spacing w:line="240" w:lineRule="auto"/>
              <w:jc w:val="center"/>
              <w:rPr>
                <w:rFonts w:cs="Arial"/>
                <w:szCs w:val="18"/>
                <w:lang w:val="en-GB" w:eastAsia="en-GB"/>
              </w:rPr>
            </w:pPr>
            <w:r w:rsidRPr="00B52D66">
              <w:rPr>
                <w:rFonts w:cs="Arial"/>
                <w:szCs w:val="18"/>
                <w:lang w:val="en-GB" w:eastAsia="en-GB"/>
              </w:rPr>
              <w:t>7,1</w:t>
            </w:r>
          </w:p>
        </w:tc>
      </w:tr>
      <w:tr w:rsidRPr="00B52D66" w:rsidR="00B52D66" w:rsidTr="00B52D66" w14:paraId="2AC3FF28"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07330DAF" w14:textId="77777777">
            <w:pPr>
              <w:spacing w:line="240" w:lineRule="auto"/>
              <w:rPr>
                <w:rFonts w:cs="Arial"/>
                <w:b/>
                <w:bCs/>
                <w:szCs w:val="18"/>
                <w:lang w:val="en-GB" w:eastAsia="en-GB"/>
              </w:rPr>
            </w:pPr>
            <w:r w:rsidRPr="00B52D66">
              <w:rPr>
                <w:rFonts w:cs="Arial"/>
                <w:b/>
                <w:bCs/>
                <w:szCs w:val="18"/>
                <w:lang w:val="en-GB" w:eastAsia="en-GB"/>
              </w:rPr>
              <w:t xml:space="preserve">  Niet-techniek</w:t>
            </w:r>
          </w:p>
        </w:tc>
        <w:tc>
          <w:tcPr>
            <w:tcW w:w="482" w:type="pct"/>
            <w:tcBorders>
              <w:top w:val="nil"/>
              <w:left w:val="nil"/>
              <w:bottom w:val="nil"/>
              <w:right w:val="nil"/>
            </w:tcBorders>
            <w:noWrap/>
            <w:vAlign w:val="bottom"/>
            <w:hideMark/>
          </w:tcPr>
          <w:p w:rsidRPr="00B52D66" w:rsidR="00B52D66" w:rsidP="00FC2172" w:rsidRDefault="00B52D66" w14:paraId="4CA09484"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476E70A8"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72E4BBAA"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4C005268"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43663E1E"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4469D2AD" w14:textId="77777777">
            <w:pPr>
              <w:spacing w:line="240" w:lineRule="auto"/>
              <w:jc w:val="center"/>
              <w:rPr>
                <w:rFonts w:cs="Arial"/>
                <w:b/>
                <w:bCs/>
                <w:szCs w:val="18"/>
                <w:lang w:val="en-GB" w:eastAsia="en-GB"/>
              </w:rPr>
            </w:pPr>
            <w:r w:rsidRPr="00B52D66">
              <w:rPr>
                <w:rFonts w:cs="Arial"/>
                <w:b/>
                <w:bCs/>
                <w:szCs w:val="18"/>
                <w:lang w:val="en-GB" w:eastAsia="en-GB"/>
              </w:rPr>
              <w:t> </w:t>
            </w:r>
          </w:p>
        </w:tc>
      </w:tr>
      <w:tr w:rsidRPr="00B52D66" w:rsidR="00B52D66" w:rsidTr="00B52D66" w14:paraId="19B3B66C"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3C205FDF" w14:textId="77777777">
            <w:pPr>
              <w:spacing w:line="240" w:lineRule="auto"/>
              <w:rPr>
                <w:rFonts w:cs="Arial"/>
                <w:szCs w:val="18"/>
                <w:lang w:val="en-GB" w:eastAsia="en-GB"/>
              </w:rPr>
            </w:pPr>
            <w:r w:rsidRPr="00B52D66">
              <w:rPr>
                <w:rFonts w:cs="Arial"/>
                <w:szCs w:val="18"/>
                <w:lang w:val="en-GB" w:eastAsia="en-GB"/>
              </w:rPr>
              <w:t xml:space="preserve">   D&amp;P</w:t>
            </w:r>
          </w:p>
        </w:tc>
        <w:tc>
          <w:tcPr>
            <w:tcW w:w="482" w:type="pct"/>
            <w:tcBorders>
              <w:top w:val="nil"/>
              <w:left w:val="nil"/>
              <w:bottom w:val="nil"/>
              <w:right w:val="nil"/>
            </w:tcBorders>
            <w:noWrap/>
            <w:vAlign w:val="bottom"/>
            <w:hideMark/>
          </w:tcPr>
          <w:p w:rsidRPr="00B52D66" w:rsidR="00B52D66" w:rsidP="00FC2172" w:rsidRDefault="00B52D66" w14:paraId="410ACCA5" w14:textId="77777777">
            <w:pPr>
              <w:spacing w:line="240" w:lineRule="auto"/>
              <w:jc w:val="center"/>
              <w:rPr>
                <w:rFonts w:cs="Arial"/>
                <w:szCs w:val="18"/>
                <w:lang w:val="en-GB" w:eastAsia="en-GB"/>
              </w:rPr>
            </w:pPr>
            <w:r w:rsidRPr="00B52D66">
              <w:rPr>
                <w:rFonts w:cs="Arial"/>
                <w:szCs w:val="18"/>
                <w:lang w:val="en-GB" w:eastAsia="en-GB"/>
              </w:rPr>
              <w:t>49,5</w:t>
            </w:r>
          </w:p>
        </w:tc>
        <w:tc>
          <w:tcPr>
            <w:tcW w:w="482" w:type="pct"/>
            <w:tcBorders>
              <w:top w:val="nil"/>
              <w:left w:val="nil"/>
              <w:bottom w:val="nil"/>
              <w:right w:val="nil"/>
            </w:tcBorders>
            <w:noWrap/>
            <w:vAlign w:val="bottom"/>
            <w:hideMark/>
          </w:tcPr>
          <w:p w:rsidRPr="00B52D66" w:rsidR="00B52D66" w:rsidP="00FC2172" w:rsidRDefault="00B52D66" w14:paraId="5659BF97" w14:textId="77777777">
            <w:pPr>
              <w:spacing w:line="240" w:lineRule="auto"/>
              <w:jc w:val="center"/>
              <w:rPr>
                <w:rFonts w:cs="Arial"/>
                <w:szCs w:val="18"/>
                <w:lang w:val="en-GB" w:eastAsia="en-GB"/>
              </w:rPr>
            </w:pPr>
            <w:r w:rsidRPr="00B52D66">
              <w:rPr>
                <w:rFonts w:cs="Arial"/>
                <w:szCs w:val="18"/>
                <w:lang w:val="en-GB" w:eastAsia="en-GB"/>
              </w:rPr>
              <w:t>50,3</w:t>
            </w:r>
          </w:p>
        </w:tc>
        <w:tc>
          <w:tcPr>
            <w:tcW w:w="482" w:type="pct"/>
            <w:tcBorders>
              <w:top w:val="nil"/>
              <w:left w:val="nil"/>
              <w:bottom w:val="nil"/>
              <w:right w:val="nil"/>
            </w:tcBorders>
            <w:noWrap/>
            <w:vAlign w:val="bottom"/>
            <w:hideMark/>
          </w:tcPr>
          <w:p w:rsidRPr="00B52D66" w:rsidR="00B52D66" w:rsidP="00FC2172" w:rsidRDefault="00B52D66" w14:paraId="4C17E20A" w14:textId="77777777">
            <w:pPr>
              <w:spacing w:line="240" w:lineRule="auto"/>
              <w:jc w:val="center"/>
              <w:rPr>
                <w:rFonts w:cs="Arial"/>
                <w:szCs w:val="18"/>
                <w:lang w:val="en-GB" w:eastAsia="en-GB"/>
              </w:rPr>
            </w:pPr>
            <w:r w:rsidRPr="00B52D66">
              <w:rPr>
                <w:rFonts w:cs="Arial"/>
                <w:szCs w:val="18"/>
                <w:lang w:val="en-GB" w:eastAsia="en-GB"/>
              </w:rPr>
              <w:t>49,6</w:t>
            </w:r>
          </w:p>
        </w:tc>
        <w:tc>
          <w:tcPr>
            <w:tcW w:w="482" w:type="pct"/>
            <w:tcBorders>
              <w:top w:val="nil"/>
              <w:left w:val="nil"/>
              <w:bottom w:val="nil"/>
              <w:right w:val="nil"/>
            </w:tcBorders>
            <w:noWrap/>
            <w:vAlign w:val="bottom"/>
            <w:hideMark/>
          </w:tcPr>
          <w:p w:rsidRPr="00B52D66" w:rsidR="00B52D66" w:rsidP="00FC2172" w:rsidRDefault="00B52D66" w14:paraId="4B477FD6" w14:textId="77777777">
            <w:pPr>
              <w:spacing w:line="240" w:lineRule="auto"/>
              <w:jc w:val="center"/>
              <w:rPr>
                <w:rFonts w:cs="Arial"/>
                <w:szCs w:val="18"/>
                <w:lang w:val="en-GB" w:eastAsia="en-GB"/>
              </w:rPr>
            </w:pPr>
            <w:r w:rsidRPr="00B52D66">
              <w:rPr>
                <w:rFonts w:cs="Arial"/>
                <w:szCs w:val="18"/>
                <w:lang w:val="en-GB" w:eastAsia="en-GB"/>
              </w:rPr>
              <w:t>49,9</w:t>
            </w:r>
          </w:p>
        </w:tc>
        <w:tc>
          <w:tcPr>
            <w:tcW w:w="482" w:type="pct"/>
            <w:tcBorders>
              <w:top w:val="nil"/>
              <w:left w:val="nil"/>
              <w:bottom w:val="nil"/>
              <w:right w:val="nil"/>
            </w:tcBorders>
            <w:noWrap/>
            <w:vAlign w:val="bottom"/>
            <w:hideMark/>
          </w:tcPr>
          <w:p w:rsidRPr="00B52D66" w:rsidR="00B52D66" w:rsidP="00FC2172" w:rsidRDefault="00B52D66" w14:paraId="1100054B" w14:textId="77777777">
            <w:pPr>
              <w:spacing w:line="240" w:lineRule="auto"/>
              <w:jc w:val="center"/>
              <w:rPr>
                <w:rFonts w:cs="Arial"/>
                <w:szCs w:val="18"/>
                <w:lang w:val="en-GB" w:eastAsia="en-GB"/>
              </w:rPr>
            </w:pPr>
            <w:r w:rsidRPr="00B52D66">
              <w:rPr>
                <w:rFonts w:cs="Arial"/>
                <w:szCs w:val="18"/>
                <w:lang w:val="en-GB" w:eastAsia="en-GB"/>
              </w:rPr>
              <w:t>50,9</w:t>
            </w:r>
          </w:p>
        </w:tc>
        <w:tc>
          <w:tcPr>
            <w:tcW w:w="482" w:type="pct"/>
            <w:tcBorders>
              <w:top w:val="nil"/>
              <w:left w:val="nil"/>
              <w:bottom w:val="nil"/>
              <w:right w:val="nil"/>
            </w:tcBorders>
            <w:noWrap/>
            <w:vAlign w:val="bottom"/>
            <w:hideMark/>
          </w:tcPr>
          <w:p w:rsidRPr="00B52D66" w:rsidR="00B52D66" w:rsidP="00FC2172" w:rsidRDefault="00B52D66" w14:paraId="48D7CBD6" w14:textId="77777777">
            <w:pPr>
              <w:spacing w:line="240" w:lineRule="auto"/>
              <w:jc w:val="center"/>
              <w:rPr>
                <w:rFonts w:cs="Arial"/>
                <w:szCs w:val="18"/>
                <w:lang w:val="en-GB" w:eastAsia="en-GB"/>
              </w:rPr>
            </w:pPr>
            <w:r w:rsidRPr="00B52D66">
              <w:rPr>
                <w:rFonts w:cs="Arial"/>
                <w:szCs w:val="18"/>
                <w:lang w:val="en-GB" w:eastAsia="en-GB"/>
              </w:rPr>
              <w:t>50,4</w:t>
            </w:r>
          </w:p>
        </w:tc>
      </w:tr>
      <w:tr w:rsidRPr="00B52D66" w:rsidR="00B52D66" w:rsidTr="00B52D66" w14:paraId="12199857"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1E6A135F" w14:textId="77777777">
            <w:pPr>
              <w:spacing w:line="240" w:lineRule="auto"/>
              <w:rPr>
                <w:rFonts w:cs="Arial"/>
                <w:szCs w:val="18"/>
                <w:lang w:val="en-GB" w:eastAsia="en-GB"/>
              </w:rPr>
            </w:pPr>
            <w:r w:rsidRPr="00B52D66">
              <w:rPr>
                <w:rFonts w:cs="Arial"/>
                <w:szCs w:val="18"/>
                <w:lang w:val="en-GB" w:eastAsia="en-GB"/>
              </w:rPr>
              <w:t xml:space="preserve">   E&amp;O</w:t>
            </w:r>
          </w:p>
        </w:tc>
        <w:tc>
          <w:tcPr>
            <w:tcW w:w="482" w:type="pct"/>
            <w:tcBorders>
              <w:top w:val="nil"/>
              <w:left w:val="nil"/>
              <w:bottom w:val="nil"/>
              <w:right w:val="nil"/>
            </w:tcBorders>
            <w:noWrap/>
            <w:vAlign w:val="bottom"/>
            <w:hideMark/>
          </w:tcPr>
          <w:p w:rsidRPr="00B52D66" w:rsidR="00B52D66" w:rsidP="00FC2172" w:rsidRDefault="00B52D66" w14:paraId="6675D796" w14:textId="77777777">
            <w:pPr>
              <w:spacing w:line="240" w:lineRule="auto"/>
              <w:jc w:val="center"/>
              <w:rPr>
                <w:rFonts w:cs="Arial"/>
                <w:szCs w:val="18"/>
                <w:lang w:val="en-GB" w:eastAsia="en-GB"/>
              </w:rPr>
            </w:pPr>
            <w:r w:rsidRPr="00B52D66">
              <w:rPr>
                <w:rFonts w:cs="Arial"/>
                <w:szCs w:val="18"/>
                <w:lang w:val="en-GB" w:eastAsia="en-GB"/>
              </w:rPr>
              <w:t>43,2</w:t>
            </w:r>
          </w:p>
        </w:tc>
        <w:tc>
          <w:tcPr>
            <w:tcW w:w="482" w:type="pct"/>
            <w:tcBorders>
              <w:top w:val="nil"/>
              <w:left w:val="nil"/>
              <w:bottom w:val="nil"/>
              <w:right w:val="nil"/>
            </w:tcBorders>
            <w:noWrap/>
            <w:vAlign w:val="bottom"/>
            <w:hideMark/>
          </w:tcPr>
          <w:p w:rsidRPr="00B52D66" w:rsidR="00B52D66" w:rsidP="00FC2172" w:rsidRDefault="00B52D66" w14:paraId="51DC788C" w14:textId="77777777">
            <w:pPr>
              <w:spacing w:line="240" w:lineRule="auto"/>
              <w:jc w:val="center"/>
              <w:rPr>
                <w:rFonts w:cs="Arial"/>
                <w:szCs w:val="18"/>
                <w:lang w:val="en-GB" w:eastAsia="en-GB"/>
              </w:rPr>
            </w:pPr>
            <w:r w:rsidRPr="00B52D66">
              <w:rPr>
                <w:rFonts w:cs="Arial"/>
                <w:szCs w:val="18"/>
                <w:lang w:val="en-GB" w:eastAsia="en-GB"/>
              </w:rPr>
              <w:t>41,0</w:t>
            </w:r>
          </w:p>
        </w:tc>
        <w:tc>
          <w:tcPr>
            <w:tcW w:w="482" w:type="pct"/>
            <w:tcBorders>
              <w:top w:val="nil"/>
              <w:left w:val="nil"/>
              <w:bottom w:val="nil"/>
              <w:right w:val="nil"/>
            </w:tcBorders>
            <w:noWrap/>
            <w:vAlign w:val="bottom"/>
            <w:hideMark/>
          </w:tcPr>
          <w:p w:rsidRPr="00B52D66" w:rsidR="00B52D66" w:rsidP="00FC2172" w:rsidRDefault="00B52D66" w14:paraId="120971A6" w14:textId="77777777">
            <w:pPr>
              <w:spacing w:line="240" w:lineRule="auto"/>
              <w:jc w:val="center"/>
              <w:rPr>
                <w:rFonts w:cs="Arial"/>
                <w:szCs w:val="18"/>
                <w:lang w:val="en-GB" w:eastAsia="en-GB"/>
              </w:rPr>
            </w:pPr>
            <w:r w:rsidRPr="00B52D66">
              <w:rPr>
                <w:rFonts w:cs="Arial"/>
                <w:szCs w:val="18"/>
                <w:lang w:val="en-GB" w:eastAsia="en-GB"/>
              </w:rPr>
              <w:t>38,9</w:t>
            </w:r>
          </w:p>
        </w:tc>
        <w:tc>
          <w:tcPr>
            <w:tcW w:w="482" w:type="pct"/>
            <w:tcBorders>
              <w:top w:val="nil"/>
              <w:left w:val="nil"/>
              <w:bottom w:val="nil"/>
              <w:right w:val="nil"/>
            </w:tcBorders>
            <w:noWrap/>
            <w:vAlign w:val="bottom"/>
            <w:hideMark/>
          </w:tcPr>
          <w:p w:rsidRPr="00B52D66" w:rsidR="00B52D66" w:rsidP="00FC2172" w:rsidRDefault="00B52D66" w14:paraId="0F59982B" w14:textId="77777777">
            <w:pPr>
              <w:spacing w:line="240" w:lineRule="auto"/>
              <w:jc w:val="center"/>
              <w:rPr>
                <w:rFonts w:cs="Arial"/>
                <w:szCs w:val="18"/>
                <w:lang w:val="en-GB" w:eastAsia="en-GB"/>
              </w:rPr>
            </w:pPr>
            <w:r w:rsidRPr="00B52D66">
              <w:rPr>
                <w:rFonts w:cs="Arial"/>
                <w:szCs w:val="18"/>
                <w:lang w:val="en-GB" w:eastAsia="en-GB"/>
              </w:rPr>
              <w:t>37,5</w:t>
            </w:r>
          </w:p>
        </w:tc>
        <w:tc>
          <w:tcPr>
            <w:tcW w:w="482" w:type="pct"/>
            <w:tcBorders>
              <w:top w:val="nil"/>
              <w:left w:val="nil"/>
              <w:bottom w:val="nil"/>
              <w:right w:val="nil"/>
            </w:tcBorders>
            <w:noWrap/>
            <w:vAlign w:val="bottom"/>
            <w:hideMark/>
          </w:tcPr>
          <w:p w:rsidRPr="00B52D66" w:rsidR="00B52D66" w:rsidP="00FC2172" w:rsidRDefault="00B52D66" w14:paraId="7B2F5933" w14:textId="77777777">
            <w:pPr>
              <w:spacing w:line="240" w:lineRule="auto"/>
              <w:jc w:val="center"/>
              <w:rPr>
                <w:rFonts w:cs="Arial"/>
                <w:szCs w:val="18"/>
                <w:lang w:val="en-GB" w:eastAsia="en-GB"/>
              </w:rPr>
            </w:pPr>
            <w:r w:rsidRPr="00B52D66">
              <w:rPr>
                <w:rFonts w:cs="Arial"/>
                <w:szCs w:val="18"/>
                <w:lang w:val="en-GB" w:eastAsia="en-GB"/>
              </w:rPr>
              <w:t>42,8</w:t>
            </w:r>
          </w:p>
        </w:tc>
        <w:tc>
          <w:tcPr>
            <w:tcW w:w="482" w:type="pct"/>
            <w:tcBorders>
              <w:top w:val="nil"/>
              <w:left w:val="nil"/>
              <w:bottom w:val="nil"/>
              <w:right w:val="nil"/>
            </w:tcBorders>
            <w:noWrap/>
            <w:vAlign w:val="bottom"/>
            <w:hideMark/>
          </w:tcPr>
          <w:p w:rsidRPr="00B52D66" w:rsidR="00B52D66" w:rsidP="00FC2172" w:rsidRDefault="00B52D66" w14:paraId="627DE07A" w14:textId="77777777">
            <w:pPr>
              <w:spacing w:line="240" w:lineRule="auto"/>
              <w:jc w:val="center"/>
              <w:rPr>
                <w:rFonts w:cs="Arial"/>
                <w:szCs w:val="18"/>
                <w:lang w:val="en-GB" w:eastAsia="en-GB"/>
              </w:rPr>
            </w:pPr>
            <w:r w:rsidRPr="00B52D66">
              <w:rPr>
                <w:rFonts w:cs="Arial"/>
                <w:szCs w:val="18"/>
                <w:lang w:val="en-GB" w:eastAsia="en-GB"/>
              </w:rPr>
              <w:t>41,0</w:t>
            </w:r>
          </w:p>
        </w:tc>
      </w:tr>
      <w:tr w:rsidRPr="00B52D66" w:rsidR="00B52D66" w:rsidTr="00B52D66" w14:paraId="00F92F47"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7AF60A48" w14:textId="77777777">
            <w:pPr>
              <w:spacing w:line="240" w:lineRule="auto"/>
              <w:rPr>
                <w:rFonts w:cs="Arial"/>
                <w:szCs w:val="18"/>
                <w:lang w:val="en-GB" w:eastAsia="en-GB"/>
              </w:rPr>
            </w:pPr>
            <w:r w:rsidRPr="00B52D66">
              <w:rPr>
                <w:rFonts w:cs="Arial"/>
                <w:szCs w:val="18"/>
                <w:lang w:val="en-GB" w:eastAsia="en-GB"/>
              </w:rPr>
              <w:t xml:space="preserve">   Groen</w:t>
            </w:r>
          </w:p>
        </w:tc>
        <w:tc>
          <w:tcPr>
            <w:tcW w:w="482" w:type="pct"/>
            <w:tcBorders>
              <w:top w:val="nil"/>
              <w:left w:val="nil"/>
              <w:bottom w:val="nil"/>
              <w:right w:val="nil"/>
            </w:tcBorders>
            <w:noWrap/>
            <w:vAlign w:val="bottom"/>
            <w:hideMark/>
          </w:tcPr>
          <w:p w:rsidRPr="00B52D66" w:rsidR="00B52D66" w:rsidP="00FC2172" w:rsidRDefault="00B52D66" w14:paraId="4BF573B3" w14:textId="77777777">
            <w:pPr>
              <w:spacing w:line="240" w:lineRule="auto"/>
              <w:jc w:val="center"/>
              <w:rPr>
                <w:rFonts w:cs="Arial"/>
                <w:szCs w:val="18"/>
                <w:lang w:val="en-GB" w:eastAsia="en-GB"/>
              </w:rPr>
            </w:pPr>
            <w:r w:rsidRPr="00B52D66">
              <w:rPr>
                <w:rFonts w:cs="Arial"/>
                <w:szCs w:val="18"/>
                <w:lang w:val="en-GB" w:eastAsia="en-GB"/>
              </w:rPr>
              <w:t>57,5</w:t>
            </w:r>
          </w:p>
        </w:tc>
        <w:tc>
          <w:tcPr>
            <w:tcW w:w="482" w:type="pct"/>
            <w:tcBorders>
              <w:top w:val="nil"/>
              <w:left w:val="nil"/>
              <w:bottom w:val="nil"/>
              <w:right w:val="nil"/>
            </w:tcBorders>
            <w:noWrap/>
            <w:vAlign w:val="bottom"/>
            <w:hideMark/>
          </w:tcPr>
          <w:p w:rsidRPr="00B52D66" w:rsidR="00B52D66" w:rsidP="00FC2172" w:rsidRDefault="00B52D66" w14:paraId="22648A7F" w14:textId="77777777">
            <w:pPr>
              <w:spacing w:line="240" w:lineRule="auto"/>
              <w:jc w:val="center"/>
              <w:rPr>
                <w:rFonts w:cs="Arial"/>
                <w:szCs w:val="18"/>
                <w:lang w:val="en-GB" w:eastAsia="en-GB"/>
              </w:rPr>
            </w:pPr>
            <w:r w:rsidRPr="00B52D66">
              <w:rPr>
                <w:rFonts w:cs="Arial"/>
                <w:szCs w:val="18"/>
                <w:lang w:val="en-GB" w:eastAsia="en-GB"/>
              </w:rPr>
              <w:t>58,6</w:t>
            </w:r>
          </w:p>
        </w:tc>
        <w:tc>
          <w:tcPr>
            <w:tcW w:w="482" w:type="pct"/>
            <w:tcBorders>
              <w:top w:val="nil"/>
              <w:left w:val="nil"/>
              <w:bottom w:val="nil"/>
              <w:right w:val="nil"/>
            </w:tcBorders>
            <w:noWrap/>
            <w:vAlign w:val="bottom"/>
            <w:hideMark/>
          </w:tcPr>
          <w:p w:rsidRPr="00B52D66" w:rsidR="00B52D66" w:rsidP="00FC2172" w:rsidRDefault="00B52D66" w14:paraId="0621F645" w14:textId="77777777">
            <w:pPr>
              <w:spacing w:line="240" w:lineRule="auto"/>
              <w:jc w:val="center"/>
              <w:rPr>
                <w:rFonts w:cs="Arial"/>
                <w:szCs w:val="18"/>
                <w:lang w:val="en-GB" w:eastAsia="en-GB"/>
              </w:rPr>
            </w:pPr>
            <w:r w:rsidRPr="00B52D66">
              <w:rPr>
                <w:rFonts w:cs="Arial"/>
                <w:szCs w:val="18"/>
                <w:lang w:val="en-GB" w:eastAsia="en-GB"/>
              </w:rPr>
              <w:t>60,7</w:t>
            </w:r>
          </w:p>
        </w:tc>
        <w:tc>
          <w:tcPr>
            <w:tcW w:w="482" w:type="pct"/>
            <w:tcBorders>
              <w:top w:val="nil"/>
              <w:left w:val="nil"/>
              <w:bottom w:val="nil"/>
              <w:right w:val="nil"/>
            </w:tcBorders>
            <w:noWrap/>
            <w:vAlign w:val="bottom"/>
            <w:hideMark/>
          </w:tcPr>
          <w:p w:rsidRPr="00B52D66" w:rsidR="00B52D66" w:rsidP="00FC2172" w:rsidRDefault="00B52D66" w14:paraId="5FF15728" w14:textId="77777777">
            <w:pPr>
              <w:spacing w:line="240" w:lineRule="auto"/>
              <w:jc w:val="center"/>
              <w:rPr>
                <w:rFonts w:cs="Arial"/>
                <w:szCs w:val="18"/>
                <w:lang w:val="en-GB" w:eastAsia="en-GB"/>
              </w:rPr>
            </w:pPr>
            <w:r w:rsidRPr="00B52D66">
              <w:rPr>
                <w:rFonts w:cs="Arial"/>
                <w:szCs w:val="18"/>
                <w:lang w:val="en-GB" w:eastAsia="en-GB"/>
              </w:rPr>
              <w:t>57,5</w:t>
            </w:r>
          </w:p>
        </w:tc>
        <w:tc>
          <w:tcPr>
            <w:tcW w:w="482" w:type="pct"/>
            <w:tcBorders>
              <w:top w:val="nil"/>
              <w:left w:val="nil"/>
              <w:bottom w:val="nil"/>
              <w:right w:val="nil"/>
            </w:tcBorders>
            <w:noWrap/>
            <w:vAlign w:val="bottom"/>
            <w:hideMark/>
          </w:tcPr>
          <w:p w:rsidRPr="00B52D66" w:rsidR="00B52D66" w:rsidP="00FC2172" w:rsidRDefault="00B52D66" w14:paraId="48A98C2C" w14:textId="77777777">
            <w:pPr>
              <w:spacing w:line="240" w:lineRule="auto"/>
              <w:jc w:val="center"/>
              <w:rPr>
                <w:rFonts w:cs="Arial"/>
                <w:szCs w:val="18"/>
                <w:lang w:val="en-GB" w:eastAsia="en-GB"/>
              </w:rPr>
            </w:pPr>
            <w:r w:rsidRPr="00B52D66">
              <w:rPr>
                <w:rFonts w:cs="Arial"/>
                <w:szCs w:val="18"/>
                <w:lang w:val="en-GB" w:eastAsia="en-GB"/>
              </w:rPr>
              <w:t>59,5</w:t>
            </w:r>
          </w:p>
        </w:tc>
        <w:tc>
          <w:tcPr>
            <w:tcW w:w="482" w:type="pct"/>
            <w:tcBorders>
              <w:top w:val="nil"/>
              <w:left w:val="nil"/>
              <w:bottom w:val="nil"/>
              <w:right w:val="nil"/>
            </w:tcBorders>
            <w:noWrap/>
            <w:vAlign w:val="bottom"/>
            <w:hideMark/>
          </w:tcPr>
          <w:p w:rsidRPr="00B52D66" w:rsidR="00B52D66" w:rsidP="00FC2172" w:rsidRDefault="00B52D66" w14:paraId="2B734A61" w14:textId="77777777">
            <w:pPr>
              <w:spacing w:line="240" w:lineRule="auto"/>
              <w:jc w:val="center"/>
              <w:rPr>
                <w:rFonts w:cs="Arial"/>
                <w:szCs w:val="18"/>
                <w:lang w:val="en-GB" w:eastAsia="en-GB"/>
              </w:rPr>
            </w:pPr>
            <w:r w:rsidRPr="00B52D66">
              <w:rPr>
                <w:rFonts w:cs="Arial"/>
                <w:szCs w:val="18"/>
                <w:lang w:val="en-GB" w:eastAsia="en-GB"/>
              </w:rPr>
              <w:t>59,5</w:t>
            </w:r>
          </w:p>
        </w:tc>
      </w:tr>
      <w:tr w:rsidRPr="00B52D66" w:rsidR="00B52D66" w:rsidTr="00B52D66" w14:paraId="28F71E6E"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72976792" w14:textId="77777777">
            <w:pPr>
              <w:spacing w:line="240" w:lineRule="auto"/>
              <w:rPr>
                <w:rFonts w:cs="Arial"/>
                <w:szCs w:val="18"/>
                <w:lang w:val="en-GB" w:eastAsia="en-GB"/>
              </w:rPr>
            </w:pPr>
            <w:r w:rsidRPr="00B52D66">
              <w:rPr>
                <w:rFonts w:cs="Arial"/>
                <w:szCs w:val="18"/>
                <w:lang w:val="en-GB" w:eastAsia="en-GB"/>
              </w:rPr>
              <w:t xml:space="preserve">   HBR</w:t>
            </w:r>
          </w:p>
        </w:tc>
        <w:tc>
          <w:tcPr>
            <w:tcW w:w="482" w:type="pct"/>
            <w:tcBorders>
              <w:top w:val="nil"/>
              <w:left w:val="nil"/>
              <w:bottom w:val="nil"/>
              <w:right w:val="nil"/>
            </w:tcBorders>
            <w:noWrap/>
            <w:vAlign w:val="bottom"/>
            <w:hideMark/>
          </w:tcPr>
          <w:p w:rsidRPr="00B52D66" w:rsidR="00B52D66" w:rsidP="00FC2172" w:rsidRDefault="00B52D66" w14:paraId="356D2F65" w14:textId="77777777">
            <w:pPr>
              <w:spacing w:line="240" w:lineRule="auto"/>
              <w:jc w:val="center"/>
              <w:rPr>
                <w:rFonts w:cs="Arial"/>
                <w:szCs w:val="18"/>
                <w:lang w:val="en-GB" w:eastAsia="en-GB"/>
              </w:rPr>
            </w:pPr>
            <w:r w:rsidRPr="00B52D66">
              <w:rPr>
                <w:rFonts w:cs="Arial"/>
                <w:szCs w:val="18"/>
                <w:lang w:val="en-GB" w:eastAsia="en-GB"/>
              </w:rPr>
              <w:t>58,3</w:t>
            </w:r>
          </w:p>
        </w:tc>
        <w:tc>
          <w:tcPr>
            <w:tcW w:w="482" w:type="pct"/>
            <w:tcBorders>
              <w:top w:val="nil"/>
              <w:left w:val="nil"/>
              <w:bottom w:val="nil"/>
              <w:right w:val="nil"/>
            </w:tcBorders>
            <w:noWrap/>
            <w:vAlign w:val="bottom"/>
            <w:hideMark/>
          </w:tcPr>
          <w:p w:rsidRPr="00B52D66" w:rsidR="00B52D66" w:rsidP="00FC2172" w:rsidRDefault="00B52D66" w14:paraId="38C01587" w14:textId="77777777">
            <w:pPr>
              <w:spacing w:line="240" w:lineRule="auto"/>
              <w:jc w:val="center"/>
              <w:rPr>
                <w:rFonts w:cs="Arial"/>
                <w:szCs w:val="18"/>
                <w:lang w:val="en-GB" w:eastAsia="en-GB"/>
              </w:rPr>
            </w:pPr>
            <w:r w:rsidRPr="00B52D66">
              <w:rPr>
                <w:rFonts w:cs="Arial"/>
                <w:szCs w:val="18"/>
                <w:lang w:val="en-GB" w:eastAsia="en-GB"/>
              </w:rPr>
              <w:t>62,2</w:t>
            </w:r>
          </w:p>
        </w:tc>
        <w:tc>
          <w:tcPr>
            <w:tcW w:w="482" w:type="pct"/>
            <w:tcBorders>
              <w:top w:val="nil"/>
              <w:left w:val="nil"/>
              <w:bottom w:val="nil"/>
              <w:right w:val="nil"/>
            </w:tcBorders>
            <w:noWrap/>
            <w:vAlign w:val="bottom"/>
            <w:hideMark/>
          </w:tcPr>
          <w:p w:rsidRPr="00B52D66" w:rsidR="00B52D66" w:rsidP="00FC2172" w:rsidRDefault="00B52D66" w14:paraId="3C069BBC" w14:textId="77777777">
            <w:pPr>
              <w:spacing w:line="240" w:lineRule="auto"/>
              <w:jc w:val="center"/>
              <w:rPr>
                <w:rFonts w:cs="Arial"/>
                <w:szCs w:val="18"/>
                <w:lang w:val="en-GB" w:eastAsia="en-GB"/>
              </w:rPr>
            </w:pPr>
            <w:r w:rsidRPr="00B52D66">
              <w:rPr>
                <w:rFonts w:cs="Arial"/>
                <w:szCs w:val="18"/>
                <w:lang w:val="en-GB" w:eastAsia="en-GB"/>
              </w:rPr>
              <w:t>60,7</w:t>
            </w:r>
          </w:p>
        </w:tc>
        <w:tc>
          <w:tcPr>
            <w:tcW w:w="482" w:type="pct"/>
            <w:tcBorders>
              <w:top w:val="nil"/>
              <w:left w:val="nil"/>
              <w:bottom w:val="nil"/>
              <w:right w:val="nil"/>
            </w:tcBorders>
            <w:noWrap/>
            <w:vAlign w:val="bottom"/>
            <w:hideMark/>
          </w:tcPr>
          <w:p w:rsidRPr="00B52D66" w:rsidR="00B52D66" w:rsidP="00FC2172" w:rsidRDefault="00B52D66" w14:paraId="64913DE8" w14:textId="77777777">
            <w:pPr>
              <w:spacing w:line="240" w:lineRule="auto"/>
              <w:jc w:val="center"/>
              <w:rPr>
                <w:rFonts w:cs="Arial"/>
                <w:szCs w:val="18"/>
                <w:lang w:val="en-GB" w:eastAsia="en-GB"/>
              </w:rPr>
            </w:pPr>
            <w:r w:rsidRPr="00B52D66">
              <w:rPr>
                <w:rFonts w:cs="Arial"/>
                <w:szCs w:val="18"/>
                <w:lang w:val="en-GB" w:eastAsia="en-GB"/>
              </w:rPr>
              <w:t>59,0</w:t>
            </w:r>
          </w:p>
        </w:tc>
        <w:tc>
          <w:tcPr>
            <w:tcW w:w="482" w:type="pct"/>
            <w:tcBorders>
              <w:top w:val="nil"/>
              <w:left w:val="nil"/>
              <w:bottom w:val="nil"/>
              <w:right w:val="nil"/>
            </w:tcBorders>
            <w:noWrap/>
            <w:vAlign w:val="bottom"/>
            <w:hideMark/>
          </w:tcPr>
          <w:p w:rsidRPr="00B52D66" w:rsidR="00B52D66" w:rsidP="00FC2172" w:rsidRDefault="00B52D66" w14:paraId="3300D97B" w14:textId="77777777">
            <w:pPr>
              <w:spacing w:line="240" w:lineRule="auto"/>
              <w:jc w:val="center"/>
              <w:rPr>
                <w:rFonts w:cs="Arial"/>
                <w:szCs w:val="18"/>
                <w:lang w:val="en-GB" w:eastAsia="en-GB"/>
              </w:rPr>
            </w:pPr>
            <w:r w:rsidRPr="00B52D66">
              <w:rPr>
                <w:rFonts w:cs="Arial"/>
                <w:szCs w:val="18"/>
                <w:lang w:val="en-GB" w:eastAsia="en-GB"/>
              </w:rPr>
              <w:t>60,6</w:t>
            </w:r>
          </w:p>
        </w:tc>
        <w:tc>
          <w:tcPr>
            <w:tcW w:w="482" w:type="pct"/>
            <w:tcBorders>
              <w:top w:val="nil"/>
              <w:left w:val="nil"/>
              <w:bottom w:val="nil"/>
              <w:right w:val="nil"/>
            </w:tcBorders>
            <w:noWrap/>
            <w:vAlign w:val="bottom"/>
            <w:hideMark/>
          </w:tcPr>
          <w:p w:rsidRPr="00B52D66" w:rsidR="00B52D66" w:rsidP="00FC2172" w:rsidRDefault="00B52D66" w14:paraId="42A40240" w14:textId="77777777">
            <w:pPr>
              <w:spacing w:line="240" w:lineRule="auto"/>
              <w:jc w:val="center"/>
              <w:rPr>
                <w:rFonts w:cs="Arial"/>
                <w:szCs w:val="18"/>
                <w:lang w:val="en-GB" w:eastAsia="en-GB"/>
              </w:rPr>
            </w:pPr>
            <w:r w:rsidRPr="00B52D66">
              <w:rPr>
                <w:rFonts w:cs="Arial"/>
                <w:szCs w:val="18"/>
                <w:lang w:val="en-GB" w:eastAsia="en-GB"/>
              </w:rPr>
              <w:t>59,4</w:t>
            </w:r>
          </w:p>
        </w:tc>
      </w:tr>
      <w:tr w:rsidRPr="00B52D66" w:rsidR="00B52D66" w:rsidTr="00B52D66" w14:paraId="6C839221" w14:textId="77777777">
        <w:trPr>
          <w:trHeight w:val="280"/>
        </w:trPr>
        <w:tc>
          <w:tcPr>
            <w:tcW w:w="2105" w:type="pct"/>
            <w:tcBorders>
              <w:top w:val="nil"/>
              <w:left w:val="nil"/>
              <w:bottom w:val="single" w:color="auto" w:sz="4" w:space="0"/>
              <w:right w:val="nil"/>
            </w:tcBorders>
            <w:noWrap/>
            <w:vAlign w:val="bottom"/>
            <w:hideMark/>
          </w:tcPr>
          <w:p w:rsidRPr="00B52D66" w:rsidR="00B52D66" w:rsidP="00FC2172" w:rsidRDefault="00B52D66" w14:paraId="2B5718E3" w14:textId="77777777">
            <w:pPr>
              <w:spacing w:line="240" w:lineRule="auto"/>
              <w:rPr>
                <w:rFonts w:cs="Arial"/>
                <w:szCs w:val="18"/>
                <w:lang w:val="en-GB" w:eastAsia="en-GB"/>
              </w:rPr>
            </w:pPr>
            <w:r w:rsidRPr="00B52D66">
              <w:rPr>
                <w:rFonts w:cs="Arial"/>
                <w:szCs w:val="18"/>
                <w:lang w:val="en-GB" w:eastAsia="en-GB"/>
              </w:rPr>
              <w:t xml:space="preserve">   Z&amp;W</w:t>
            </w:r>
          </w:p>
        </w:tc>
        <w:tc>
          <w:tcPr>
            <w:tcW w:w="482" w:type="pct"/>
            <w:tcBorders>
              <w:top w:val="nil"/>
              <w:left w:val="nil"/>
              <w:bottom w:val="single" w:color="auto" w:sz="4" w:space="0"/>
              <w:right w:val="nil"/>
            </w:tcBorders>
            <w:noWrap/>
            <w:vAlign w:val="bottom"/>
            <w:hideMark/>
          </w:tcPr>
          <w:p w:rsidRPr="00B52D66" w:rsidR="00B52D66" w:rsidP="00FC2172" w:rsidRDefault="00B52D66" w14:paraId="47627569" w14:textId="77777777">
            <w:pPr>
              <w:spacing w:line="240" w:lineRule="auto"/>
              <w:jc w:val="center"/>
              <w:rPr>
                <w:rFonts w:cs="Arial"/>
                <w:szCs w:val="18"/>
                <w:lang w:val="en-GB" w:eastAsia="en-GB"/>
              </w:rPr>
            </w:pPr>
            <w:r w:rsidRPr="00B52D66">
              <w:rPr>
                <w:rFonts w:cs="Arial"/>
                <w:szCs w:val="18"/>
                <w:lang w:val="en-GB" w:eastAsia="en-GB"/>
              </w:rPr>
              <w:t>86,7</w:t>
            </w:r>
          </w:p>
        </w:tc>
        <w:tc>
          <w:tcPr>
            <w:tcW w:w="482" w:type="pct"/>
            <w:tcBorders>
              <w:top w:val="nil"/>
              <w:left w:val="nil"/>
              <w:bottom w:val="single" w:color="auto" w:sz="4" w:space="0"/>
              <w:right w:val="nil"/>
            </w:tcBorders>
            <w:noWrap/>
            <w:vAlign w:val="bottom"/>
            <w:hideMark/>
          </w:tcPr>
          <w:p w:rsidRPr="00B52D66" w:rsidR="00B52D66" w:rsidP="00FC2172" w:rsidRDefault="00B52D66" w14:paraId="273F18C9" w14:textId="77777777">
            <w:pPr>
              <w:spacing w:line="240" w:lineRule="auto"/>
              <w:jc w:val="center"/>
              <w:rPr>
                <w:rFonts w:cs="Arial"/>
                <w:szCs w:val="18"/>
                <w:lang w:val="en-GB" w:eastAsia="en-GB"/>
              </w:rPr>
            </w:pPr>
            <w:r w:rsidRPr="00B52D66">
              <w:rPr>
                <w:rFonts w:cs="Arial"/>
                <w:szCs w:val="18"/>
                <w:lang w:val="en-GB" w:eastAsia="en-GB"/>
              </w:rPr>
              <w:t>87,3</w:t>
            </w:r>
          </w:p>
        </w:tc>
        <w:tc>
          <w:tcPr>
            <w:tcW w:w="482" w:type="pct"/>
            <w:tcBorders>
              <w:top w:val="nil"/>
              <w:left w:val="nil"/>
              <w:bottom w:val="single" w:color="auto" w:sz="4" w:space="0"/>
              <w:right w:val="nil"/>
            </w:tcBorders>
            <w:noWrap/>
            <w:vAlign w:val="bottom"/>
            <w:hideMark/>
          </w:tcPr>
          <w:p w:rsidRPr="00B52D66" w:rsidR="00B52D66" w:rsidP="00FC2172" w:rsidRDefault="00B52D66" w14:paraId="3AA6901E" w14:textId="77777777">
            <w:pPr>
              <w:spacing w:line="240" w:lineRule="auto"/>
              <w:jc w:val="center"/>
              <w:rPr>
                <w:rFonts w:cs="Arial"/>
                <w:szCs w:val="18"/>
                <w:lang w:val="en-GB" w:eastAsia="en-GB"/>
              </w:rPr>
            </w:pPr>
            <w:r w:rsidRPr="00B52D66">
              <w:rPr>
                <w:rFonts w:cs="Arial"/>
                <w:szCs w:val="18"/>
                <w:lang w:val="en-GB" w:eastAsia="en-GB"/>
              </w:rPr>
              <w:t>84,0</w:t>
            </w:r>
          </w:p>
        </w:tc>
        <w:tc>
          <w:tcPr>
            <w:tcW w:w="482" w:type="pct"/>
            <w:tcBorders>
              <w:top w:val="nil"/>
              <w:left w:val="nil"/>
              <w:bottom w:val="single" w:color="auto" w:sz="4" w:space="0"/>
              <w:right w:val="nil"/>
            </w:tcBorders>
            <w:noWrap/>
            <w:vAlign w:val="bottom"/>
            <w:hideMark/>
          </w:tcPr>
          <w:p w:rsidRPr="00B52D66" w:rsidR="00B52D66" w:rsidP="00FC2172" w:rsidRDefault="00B52D66" w14:paraId="22F3921C" w14:textId="77777777">
            <w:pPr>
              <w:spacing w:line="240" w:lineRule="auto"/>
              <w:jc w:val="center"/>
              <w:rPr>
                <w:rFonts w:cs="Arial"/>
                <w:szCs w:val="18"/>
                <w:lang w:val="en-GB" w:eastAsia="en-GB"/>
              </w:rPr>
            </w:pPr>
            <w:r w:rsidRPr="00B52D66">
              <w:rPr>
                <w:rFonts w:cs="Arial"/>
                <w:szCs w:val="18"/>
                <w:lang w:val="en-GB" w:eastAsia="en-GB"/>
              </w:rPr>
              <w:t>87,0</w:t>
            </w:r>
          </w:p>
        </w:tc>
        <w:tc>
          <w:tcPr>
            <w:tcW w:w="482" w:type="pct"/>
            <w:tcBorders>
              <w:top w:val="nil"/>
              <w:left w:val="nil"/>
              <w:bottom w:val="single" w:color="auto" w:sz="4" w:space="0"/>
              <w:right w:val="nil"/>
            </w:tcBorders>
            <w:noWrap/>
            <w:vAlign w:val="bottom"/>
            <w:hideMark/>
          </w:tcPr>
          <w:p w:rsidRPr="00B52D66" w:rsidR="00B52D66" w:rsidP="00FC2172" w:rsidRDefault="00B52D66" w14:paraId="75391363" w14:textId="77777777">
            <w:pPr>
              <w:spacing w:line="240" w:lineRule="auto"/>
              <w:jc w:val="center"/>
              <w:rPr>
                <w:rFonts w:cs="Arial"/>
                <w:szCs w:val="18"/>
                <w:lang w:val="en-GB" w:eastAsia="en-GB"/>
              </w:rPr>
            </w:pPr>
            <w:r w:rsidRPr="00B52D66">
              <w:rPr>
                <w:rFonts w:cs="Arial"/>
                <w:szCs w:val="18"/>
                <w:lang w:val="en-GB" w:eastAsia="en-GB"/>
              </w:rPr>
              <w:t>84,1</w:t>
            </w:r>
          </w:p>
        </w:tc>
        <w:tc>
          <w:tcPr>
            <w:tcW w:w="482" w:type="pct"/>
            <w:tcBorders>
              <w:top w:val="nil"/>
              <w:left w:val="nil"/>
              <w:bottom w:val="single" w:color="auto" w:sz="4" w:space="0"/>
              <w:right w:val="nil"/>
            </w:tcBorders>
            <w:noWrap/>
            <w:vAlign w:val="bottom"/>
            <w:hideMark/>
          </w:tcPr>
          <w:p w:rsidRPr="00B52D66" w:rsidR="00B52D66" w:rsidP="00FC2172" w:rsidRDefault="00B52D66" w14:paraId="29A9A74A" w14:textId="77777777">
            <w:pPr>
              <w:spacing w:line="240" w:lineRule="auto"/>
              <w:jc w:val="center"/>
              <w:rPr>
                <w:rFonts w:cs="Arial"/>
                <w:szCs w:val="18"/>
                <w:lang w:val="en-GB" w:eastAsia="en-GB"/>
              </w:rPr>
            </w:pPr>
            <w:r w:rsidRPr="00B52D66">
              <w:rPr>
                <w:rFonts w:cs="Arial"/>
                <w:szCs w:val="18"/>
                <w:lang w:val="en-GB" w:eastAsia="en-GB"/>
              </w:rPr>
              <w:t>85,7</w:t>
            </w:r>
          </w:p>
        </w:tc>
      </w:tr>
    </w:tbl>
    <w:p w:rsidRPr="00B52D66" w:rsidR="00B52D66" w:rsidP="00B52D66" w:rsidRDefault="00B52D66" w14:paraId="0E89EA70" w14:textId="77777777">
      <w:pPr>
        <w:rPr>
          <w:szCs w:val="18"/>
        </w:rPr>
      </w:pPr>
      <w:r w:rsidRPr="00B52D66">
        <w:rPr>
          <w:i/>
          <w:szCs w:val="18"/>
        </w:rPr>
        <w:t>Bron: DUO (eigen bewerking ROA).</w:t>
      </w:r>
    </w:p>
    <w:p w:rsidRPr="00B52D66" w:rsidR="00B52D66" w:rsidP="00B52D66" w:rsidRDefault="00B52D66" w14:paraId="5BF37445" w14:textId="77777777">
      <w:pPr>
        <w:spacing w:after="160" w:line="259" w:lineRule="auto"/>
        <w:rPr>
          <w:rFonts w:eastAsiaTheme="minorHAnsi" w:cstheme="minorBidi"/>
          <w:szCs w:val="18"/>
          <w:lang w:eastAsia="en-US"/>
        </w:rPr>
      </w:pPr>
    </w:p>
    <w:p w:rsidRPr="00B52D66" w:rsidR="00B52D66" w:rsidP="00C43FA5" w:rsidRDefault="006C62B6" w14:paraId="25C07401" w14:textId="37E04E25">
      <w:r>
        <w:lastRenderedPageBreak/>
        <w:t>Tabel</w:t>
      </w:r>
      <w:r w:rsidRPr="00B52D66">
        <w:t xml:space="preserve"> </w:t>
      </w:r>
      <w:r>
        <w:t>B</w:t>
      </w:r>
      <w:r w:rsidR="00277065">
        <w:t>3</w:t>
      </w:r>
      <w:r w:rsidRPr="00B52D66" w:rsidR="00B52D66">
        <w:t>.</w:t>
      </w:r>
      <w:r>
        <w:t>14</w:t>
      </w:r>
      <w:r w:rsidRPr="00B52D66" w:rsidR="00B52D66">
        <w:t>. Aandeel derdejaarsleerlingen met migratieachtergrond naar leerweg en profiel, onderverdeeld in technische en niet-technische profielen: schooljaar 2018/2019 tot 2023/2024</w:t>
      </w:r>
    </w:p>
    <w:tbl>
      <w:tblPr>
        <w:tblW w:w="5000" w:type="pct"/>
        <w:tblLook w:val="04A0" w:firstRow="1" w:lastRow="0" w:firstColumn="1" w:lastColumn="0" w:noHBand="0" w:noVBand="1"/>
      </w:tblPr>
      <w:tblGrid>
        <w:gridCol w:w="2732"/>
        <w:gridCol w:w="1104"/>
        <w:gridCol w:w="1104"/>
        <w:gridCol w:w="1105"/>
        <w:gridCol w:w="1105"/>
        <w:gridCol w:w="1105"/>
        <w:gridCol w:w="1105"/>
      </w:tblGrid>
      <w:tr w:rsidRPr="00B52D66" w:rsidR="00B52D66" w:rsidTr="00B52D66" w14:paraId="0EE4706F" w14:textId="77777777">
        <w:trPr>
          <w:trHeight w:val="280"/>
        </w:trPr>
        <w:tc>
          <w:tcPr>
            <w:tcW w:w="2105" w:type="pct"/>
            <w:tcBorders>
              <w:top w:val="single" w:color="auto" w:sz="4" w:space="0"/>
              <w:left w:val="nil"/>
              <w:bottom w:val="single" w:color="auto" w:sz="4" w:space="0"/>
              <w:right w:val="nil"/>
            </w:tcBorders>
            <w:noWrap/>
            <w:vAlign w:val="bottom"/>
            <w:hideMark/>
          </w:tcPr>
          <w:p w:rsidRPr="00B52D66" w:rsidR="00B52D66" w:rsidP="00FC2172" w:rsidRDefault="00B52D66" w14:paraId="632F0448" w14:textId="77777777">
            <w:pPr>
              <w:spacing w:line="240" w:lineRule="auto"/>
              <w:rPr>
                <w:rFonts w:cs="Arial"/>
                <w:b/>
                <w:bCs/>
                <w:szCs w:val="18"/>
                <w:lang w:val="en-GB" w:eastAsia="en-GB"/>
              </w:rPr>
            </w:pPr>
            <w:r w:rsidRPr="00B52D66">
              <w:rPr>
                <w:rFonts w:cs="Arial"/>
                <w:b/>
                <w:bCs/>
                <w:szCs w:val="18"/>
                <w:lang w:val="en-GB" w:eastAsia="en-GB"/>
              </w:rPr>
              <w:t>Schooljaar</w:t>
            </w:r>
          </w:p>
        </w:tc>
        <w:tc>
          <w:tcPr>
            <w:tcW w:w="482" w:type="pct"/>
            <w:tcBorders>
              <w:top w:val="single" w:color="auto" w:sz="4" w:space="0"/>
              <w:left w:val="nil"/>
              <w:bottom w:val="single" w:color="auto" w:sz="4" w:space="0"/>
              <w:right w:val="nil"/>
            </w:tcBorders>
            <w:noWrap/>
            <w:vAlign w:val="bottom"/>
            <w:hideMark/>
          </w:tcPr>
          <w:p w:rsidRPr="00B52D66" w:rsidR="00B52D66" w:rsidP="00FC2172" w:rsidRDefault="00B52D66" w14:paraId="1DC427A8" w14:textId="77777777">
            <w:pPr>
              <w:spacing w:line="240" w:lineRule="auto"/>
              <w:jc w:val="center"/>
              <w:rPr>
                <w:rFonts w:cs="Arial"/>
                <w:b/>
                <w:bCs/>
                <w:szCs w:val="18"/>
                <w:lang w:val="en-GB" w:eastAsia="en-GB"/>
              </w:rPr>
            </w:pPr>
            <w:r w:rsidRPr="00B52D66">
              <w:rPr>
                <w:rFonts w:cs="Arial"/>
                <w:b/>
                <w:bCs/>
                <w:szCs w:val="18"/>
                <w:lang w:val="en-GB" w:eastAsia="en-GB"/>
              </w:rPr>
              <w:t>2018/2019</w:t>
            </w:r>
          </w:p>
        </w:tc>
        <w:tc>
          <w:tcPr>
            <w:tcW w:w="482" w:type="pct"/>
            <w:tcBorders>
              <w:top w:val="single" w:color="auto" w:sz="4" w:space="0"/>
              <w:left w:val="nil"/>
              <w:bottom w:val="single" w:color="auto" w:sz="4" w:space="0"/>
              <w:right w:val="nil"/>
            </w:tcBorders>
            <w:noWrap/>
            <w:vAlign w:val="bottom"/>
            <w:hideMark/>
          </w:tcPr>
          <w:p w:rsidRPr="00B52D66" w:rsidR="00B52D66" w:rsidP="00FC2172" w:rsidRDefault="00B52D66" w14:paraId="09322848" w14:textId="77777777">
            <w:pPr>
              <w:spacing w:line="240" w:lineRule="auto"/>
              <w:jc w:val="center"/>
              <w:rPr>
                <w:rFonts w:cs="Arial"/>
                <w:b/>
                <w:bCs/>
                <w:szCs w:val="18"/>
                <w:lang w:val="en-GB" w:eastAsia="en-GB"/>
              </w:rPr>
            </w:pPr>
            <w:r w:rsidRPr="00B52D66">
              <w:rPr>
                <w:rFonts w:cs="Arial"/>
                <w:b/>
                <w:bCs/>
                <w:szCs w:val="18"/>
                <w:lang w:val="en-GB" w:eastAsia="en-GB"/>
              </w:rPr>
              <w:t>2019/2020</w:t>
            </w:r>
          </w:p>
        </w:tc>
        <w:tc>
          <w:tcPr>
            <w:tcW w:w="482" w:type="pct"/>
            <w:tcBorders>
              <w:top w:val="single" w:color="auto" w:sz="4" w:space="0"/>
              <w:left w:val="nil"/>
              <w:bottom w:val="single" w:color="auto" w:sz="4" w:space="0"/>
              <w:right w:val="nil"/>
            </w:tcBorders>
            <w:noWrap/>
            <w:vAlign w:val="bottom"/>
            <w:hideMark/>
          </w:tcPr>
          <w:p w:rsidRPr="00B52D66" w:rsidR="00B52D66" w:rsidP="00FC2172" w:rsidRDefault="00B52D66" w14:paraId="64401A3C" w14:textId="77777777">
            <w:pPr>
              <w:spacing w:line="240" w:lineRule="auto"/>
              <w:jc w:val="center"/>
              <w:rPr>
                <w:rFonts w:cs="Arial"/>
                <w:b/>
                <w:bCs/>
                <w:szCs w:val="18"/>
                <w:lang w:val="en-GB" w:eastAsia="en-GB"/>
              </w:rPr>
            </w:pPr>
            <w:r w:rsidRPr="00B52D66">
              <w:rPr>
                <w:rFonts w:cs="Arial"/>
                <w:b/>
                <w:bCs/>
                <w:szCs w:val="18"/>
                <w:lang w:val="en-GB" w:eastAsia="en-GB"/>
              </w:rPr>
              <w:t>2020/2021</w:t>
            </w:r>
          </w:p>
        </w:tc>
        <w:tc>
          <w:tcPr>
            <w:tcW w:w="482" w:type="pct"/>
            <w:tcBorders>
              <w:top w:val="single" w:color="auto" w:sz="4" w:space="0"/>
              <w:left w:val="nil"/>
              <w:bottom w:val="single" w:color="auto" w:sz="4" w:space="0"/>
              <w:right w:val="nil"/>
            </w:tcBorders>
            <w:noWrap/>
            <w:vAlign w:val="bottom"/>
            <w:hideMark/>
          </w:tcPr>
          <w:p w:rsidRPr="00B52D66" w:rsidR="00B52D66" w:rsidP="00FC2172" w:rsidRDefault="00B52D66" w14:paraId="0A3B65F6" w14:textId="77777777">
            <w:pPr>
              <w:spacing w:line="240" w:lineRule="auto"/>
              <w:jc w:val="center"/>
              <w:rPr>
                <w:rFonts w:cs="Arial"/>
                <w:b/>
                <w:bCs/>
                <w:szCs w:val="18"/>
                <w:lang w:val="en-GB" w:eastAsia="en-GB"/>
              </w:rPr>
            </w:pPr>
            <w:r w:rsidRPr="00B52D66">
              <w:rPr>
                <w:rFonts w:cs="Arial"/>
                <w:b/>
                <w:bCs/>
                <w:szCs w:val="18"/>
                <w:lang w:val="en-GB" w:eastAsia="en-GB"/>
              </w:rPr>
              <w:t>2021/2022</w:t>
            </w:r>
          </w:p>
        </w:tc>
        <w:tc>
          <w:tcPr>
            <w:tcW w:w="482" w:type="pct"/>
            <w:tcBorders>
              <w:top w:val="single" w:color="auto" w:sz="4" w:space="0"/>
              <w:left w:val="nil"/>
              <w:bottom w:val="single" w:color="auto" w:sz="4" w:space="0"/>
              <w:right w:val="nil"/>
            </w:tcBorders>
            <w:noWrap/>
            <w:vAlign w:val="bottom"/>
            <w:hideMark/>
          </w:tcPr>
          <w:p w:rsidRPr="00B52D66" w:rsidR="00B52D66" w:rsidP="00FC2172" w:rsidRDefault="00B52D66" w14:paraId="23C35301" w14:textId="77777777">
            <w:pPr>
              <w:spacing w:line="240" w:lineRule="auto"/>
              <w:jc w:val="center"/>
              <w:rPr>
                <w:rFonts w:cs="Arial"/>
                <w:b/>
                <w:bCs/>
                <w:szCs w:val="18"/>
                <w:lang w:val="en-GB" w:eastAsia="en-GB"/>
              </w:rPr>
            </w:pPr>
            <w:r w:rsidRPr="00B52D66">
              <w:rPr>
                <w:rFonts w:cs="Arial"/>
                <w:b/>
                <w:bCs/>
                <w:szCs w:val="18"/>
                <w:lang w:val="en-GB" w:eastAsia="en-GB"/>
              </w:rPr>
              <w:t>2022/2023</w:t>
            </w:r>
          </w:p>
        </w:tc>
        <w:tc>
          <w:tcPr>
            <w:tcW w:w="482" w:type="pct"/>
            <w:tcBorders>
              <w:top w:val="single" w:color="auto" w:sz="4" w:space="0"/>
              <w:left w:val="nil"/>
              <w:bottom w:val="single" w:color="auto" w:sz="4" w:space="0"/>
              <w:right w:val="nil"/>
            </w:tcBorders>
            <w:noWrap/>
            <w:vAlign w:val="bottom"/>
            <w:hideMark/>
          </w:tcPr>
          <w:p w:rsidRPr="00B52D66" w:rsidR="00B52D66" w:rsidP="00FC2172" w:rsidRDefault="00B52D66" w14:paraId="17540F87" w14:textId="77777777">
            <w:pPr>
              <w:spacing w:line="240" w:lineRule="auto"/>
              <w:jc w:val="center"/>
              <w:rPr>
                <w:rFonts w:cs="Arial"/>
                <w:b/>
                <w:bCs/>
                <w:szCs w:val="18"/>
                <w:lang w:val="en-GB" w:eastAsia="en-GB"/>
              </w:rPr>
            </w:pPr>
            <w:r w:rsidRPr="00B52D66">
              <w:rPr>
                <w:rFonts w:cs="Arial"/>
                <w:b/>
                <w:bCs/>
                <w:szCs w:val="18"/>
                <w:lang w:val="en-GB" w:eastAsia="en-GB"/>
              </w:rPr>
              <w:t>2023/2024</w:t>
            </w:r>
          </w:p>
        </w:tc>
      </w:tr>
      <w:tr w:rsidRPr="00B52D66" w:rsidR="00B52D66" w:rsidTr="00B52D66" w14:paraId="7067F2D6"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6CBA0340" w14:textId="77777777">
            <w:pPr>
              <w:spacing w:line="240" w:lineRule="auto"/>
              <w:rPr>
                <w:rFonts w:cs="Arial"/>
                <w:b/>
                <w:bCs/>
                <w:szCs w:val="18"/>
                <w:lang w:val="en-GB" w:eastAsia="en-GB"/>
              </w:rPr>
            </w:pPr>
            <w:r w:rsidRPr="00B52D66">
              <w:rPr>
                <w:rFonts w:cs="Arial"/>
                <w:b/>
                <w:bCs/>
                <w:szCs w:val="18"/>
                <w:lang w:val="en-GB" w:eastAsia="en-GB"/>
              </w:rPr>
              <w:t>Basisberoepsgerichte leerweg</w:t>
            </w:r>
          </w:p>
        </w:tc>
        <w:tc>
          <w:tcPr>
            <w:tcW w:w="482" w:type="pct"/>
            <w:tcBorders>
              <w:top w:val="nil"/>
              <w:left w:val="nil"/>
              <w:bottom w:val="nil"/>
              <w:right w:val="nil"/>
            </w:tcBorders>
            <w:noWrap/>
            <w:vAlign w:val="bottom"/>
            <w:hideMark/>
          </w:tcPr>
          <w:p w:rsidRPr="00B52D66" w:rsidR="00B52D66" w:rsidP="00FC2172" w:rsidRDefault="00B52D66" w14:paraId="371B9F8B"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39C4638D"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3E2BD9B6"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334BEB84"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0296FCFA"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7573A403" w14:textId="77777777">
            <w:pPr>
              <w:spacing w:line="240" w:lineRule="auto"/>
              <w:jc w:val="center"/>
              <w:rPr>
                <w:rFonts w:cs="Arial"/>
                <w:b/>
                <w:bCs/>
                <w:szCs w:val="18"/>
                <w:lang w:val="en-GB" w:eastAsia="en-GB"/>
              </w:rPr>
            </w:pPr>
            <w:r w:rsidRPr="00B52D66">
              <w:rPr>
                <w:rFonts w:cs="Arial"/>
                <w:b/>
                <w:bCs/>
                <w:szCs w:val="18"/>
                <w:lang w:val="en-GB" w:eastAsia="en-GB"/>
              </w:rPr>
              <w:t> </w:t>
            </w:r>
          </w:p>
        </w:tc>
      </w:tr>
      <w:tr w:rsidRPr="00B52D66" w:rsidR="00B52D66" w:rsidTr="00B52D66" w14:paraId="55DDB075"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5EDBF44D" w14:textId="77777777">
            <w:pPr>
              <w:spacing w:line="240" w:lineRule="auto"/>
              <w:rPr>
                <w:rFonts w:cs="Arial"/>
                <w:b/>
                <w:bCs/>
                <w:szCs w:val="18"/>
                <w:lang w:val="en-GB" w:eastAsia="en-GB"/>
              </w:rPr>
            </w:pPr>
            <w:r w:rsidRPr="00B52D66">
              <w:rPr>
                <w:rFonts w:cs="Arial"/>
                <w:b/>
                <w:bCs/>
                <w:szCs w:val="18"/>
                <w:lang w:val="en-GB" w:eastAsia="en-GB"/>
              </w:rPr>
              <w:t xml:space="preserve">  Techniek</w:t>
            </w:r>
          </w:p>
        </w:tc>
        <w:tc>
          <w:tcPr>
            <w:tcW w:w="482" w:type="pct"/>
            <w:tcBorders>
              <w:top w:val="nil"/>
              <w:left w:val="nil"/>
              <w:bottom w:val="nil"/>
              <w:right w:val="nil"/>
            </w:tcBorders>
            <w:noWrap/>
            <w:vAlign w:val="bottom"/>
            <w:hideMark/>
          </w:tcPr>
          <w:p w:rsidRPr="00B52D66" w:rsidR="00B52D66" w:rsidP="00FC2172" w:rsidRDefault="00B52D66" w14:paraId="373811DA"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7D11B6E7"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2BA2AC89"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1AC1DDE9"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1A6AFAD4"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15255FEC" w14:textId="77777777">
            <w:pPr>
              <w:spacing w:line="240" w:lineRule="auto"/>
              <w:jc w:val="center"/>
              <w:rPr>
                <w:rFonts w:cs="Arial"/>
                <w:b/>
                <w:bCs/>
                <w:szCs w:val="18"/>
                <w:lang w:val="en-GB" w:eastAsia="en-GB"/>
              </w:rPr>
            </w:pPr>
            <w:r w:rsidRPr="00B52D66">
              <w:rPr>
                <w:rFonts w:cs="Arial"/>
                <w:b/>
                <w:bCs/>
                <w:szCs w:val="18"/>
                <w:lang w:val="en-GB" w:eastAsia="en-GB"/>
              </w:rPr>
              <w:t> </w:t>
            </w:r>
          </w:p>
        </w:tc>
      </w:tr>
      <w:tr w:rsidRPr="00B52D66" w:rsidR="00B52D66" w:rsidTr="00B52D66" w14:paraId="5506F42A" w14:textId="77777777">
        <w:trPr>
          <w:trHeight w:val="280"/>
        </w:trPr>
        <w:tc>
          <w:tcPr>
            <w:tcW w:w="2105" w:type="pct"/>
            <w:tcBorders>
              <w:top w:val="nil"/>
              <w:left w:val="nil"/>
              <w:bottom w:val="nil"/>
              <w:right w:val="nil"/>
            </w:tcBorders>
            <w:noWrap/>
            <w:hideMark/>
          </w:tcPr>
          <w:p w:rsidRPr="00B52D66" w:rsidR="00B52D66" w:rsidP="00FC2172" w:rsidRDefault="00B52D66" w14:paraId="34C75C89" w14:textId="77777777">
            <w:pPr>
              <w:spacing w:line="240" w:lineRule="auto"/>
              <w:rPr>
                <w:rFonts w:cs="Arial"/>
                <w:szCs w:val="18"/>
                <w:lang w:val="en-GB" w:eastAsia="en-GB"/>
              </w:rPr>
            </w:pPr>
            <w:r w:rsidRPr="00B52D66">
              <w:rPr>
                <w:rFonts w:cs="Arial"/>
                <w:szCs w:val="18"/>
                <w:lang w:val="en-GB" w:eastAsia="en-GB"/>
              </w:rPr>
              <w:t xml:space="preserve">   BWI</w:t>
            </w:r>
          </w:p>
        </w:tc>
        <w:tc>
          <w:tcPr>
            <w:tcW w:w="482" w:type="pct"/>
            <w:tcBorders>
              <w:top w:val="nil"/>
              <w:left w:val="nil"/>
              <w:bottom w:val="nil"/>
              <w:right w:val="nil"/>
            </w:tcBorders>
            <w:noWrap/>
            <w:vAlign w:val="bottom"/>
            <w:hideMark/>
          </w:tcPr>
          <w:p w:rsidRPr="00B52D66" w:rsidR="00B52D66" w:rsidP="00FC2172" w:rsidRDefault="00B52D66" w14:paraId="5F35BA0D" w14:textId="77777777">
            <w:pPr>
              <w:spacing w:line="240" w:lineRule="auto"/>
              <w:jc w:val="center"/>
              <w:rPr>
                <w:rFonts w:cs="Arial"/>
                <w:szCs w:val="18"/>
                <w:lang w:val="en-GB" w:eastAsia="en-GB"/>
              </w:rPr>
            </w:pPr>
            <w:r w:rsidRPr="00B52D66">
              <w:rPr>
                <w:rFonts w:cs="Arial"/>
                <w:szCs w:val="18"/>
                <w:lang w:val="en-GB" w:eastAsia="en-GB"/>
              </w:rPr>
              <w:t>16,4</w:t>
            </w:r>
          </w:p>
        </w:tc>
        <w:tc>
          <w:tcPr>
            <w:tcW w:w="482" w:type="pct"/>
            <w:tcBorders>
              <w:top w:val="nil"/>
              <w:left w:val="nil"/>
              <w:bottom w:val="nil"/>
              <w:right w:val="nil"/>
            </w:tcBorders>
            <w:noWrap/>
            <w:vAlign w:val="bottom"/>
            <w:hideMark/>
          </w:tcPr>
          <w:p w:rsidRPr="00B52D66" w:rsidR="00B52D66" w:rsidP="00FC2172" w:rsidRDefault="00B52D66" w14:paraId="2B2F6D19" w14:textId="77777777">
            <w:pPr>
              <w:spacing w:line="240" w:lineRule="auto"/>
              <w:jc w:val="center"/>
              <w:rPr>
                <w:rFonts w:cs="Arial"/>
                <w:szCs w:val="18"/>
                <w:lang w:val="en-GB" w:eastAsia="en-GB"/>
              </w:rPr>
            </w:pPr>
            <w:r w:rsidRPr="00B52D66">
              <w:rPr>
                <w:rFonts w:cs="Arial"/>
                <w:szCs w:val="18"/>
                <w:lang w:val="en-GB" w:eastAsia="en-GB"/>
              </w:rPr>
              <w:t>17,4</w:t>
            </w:r>
          </w:p>
        </w:tc>
        <w:tc>
          <w:tcPr>
            <w:tcW w:w="482" w:type="pct"/>
            <w:tcBorders>
              <w:top w:val="nil"/>
              <w:left w:val="nil"/>
              <w:bottom w:val="nil"/>
              <w:right w:val="nil"/>
            </w:tcBorders>
            <w:noWrap/>
            <w:vAlign w:val="bottom"/>
            <w:hideMark/>
          </w:tcPr>
          <w:p w:rsidRPr="00B52D66" w:rsidR="00B52D66" w:rsidP="00FC2172" w:rsidRDefault="00B52D66" w14:paraId="557932E5" w14:textId="77777777">
            <w:pPr>
              <w:spacing w:line="240" w:lineRule="auto"/>
              <w:jc w:val="center"/>
              <w:rPr>
                <w:rFonts w:cs="Arial"/>
                <w:szCs w:val="18"/>
                <w:lang w:val="en-GB" w:eastAsia="en-GB"/>
              </w:rPr>
            </w:pPr>
            <w:r w:rsidRPr="00B52D66">
              <w:rPr>
                <w:rFonts w:cs="Arial"/>
                <w:szCs w:val="18"/>
                <w:lang w:val="en-GB" w:eastAsia="en-GB"/>
              </w:rPr>
              <w:t>18,9</w:t>
            </w:r>
          </w:p>
        </w:tc>
        <w:tc>
          <w:tcPr>
            <w:tcW w:w="482" w:type="pct"/>
            <w:tcBorders>
              <w:top w:val="nil"/>
              <w:left w:val="nil"/>
              <w:bottom w:val="nil"/>
              <w:right w:val="nil"/>
            </w:tcBorders>
            <w:noWrap/>
            <w:vAlign w:val="bottom"/>
            <w:hideMark/>
          </w:tcPr>
          <w:p w:rsidRPr="00B52D66" w:rsidR="00B52D66" w:rsidP="00FC2172" w:rsidRDefault="00B52D66" w14:paraId="25A25ABA" w14:textId="77777777">
            <w:pPr>
              <w:spacing w:line="240" w:lineRule="auto"/>
              <w:jc w:val="center"/>
              <w:rPr>
                <w:rFonts w:cs="Arial"/>
                <w:szCs w:val="18"/>
                <w:lang w:val="en-GB" w:eastAsia="en-GB"/>
              </w:rPr>
            </w:pPr>
            <w:r w:rsidRPr="00B52D66">
              <w:rPr>
                <w:rFonts w:cs="Arial"/>
                <w:szCs w:val="18"/>
                <w:lang w:val="en-GB" w:eastAsia="en-GB"/>
              </w:rPr>
              <w:t>21,4</w:t>
            </w:r>
          </w:p>
        </w:tc>
        <w:tc>
          <w:tcPr>
            <w:tcW w:w="482" w:type="pct"/>
            <w:tcBorders>
              <w:top w:val="nil"/>
              <w:left w:val="nil"/>
              <w:bottom w:val="nil"/>
              <w:right w:val="nil"/>
            </w:tcBorders>
            <w:noWrap/>
            <w:vAlign w:val="bottom"/>
            <w:hideMark/>
          </w:tcPr>
          <w:p w:rsidRPr="00B52D66" w:rsidR="00B52D66" w:rsidP="00FC2172" w:rsidRDefault="00B52D66" w14:paraId="607F5BBF" w14:textId="77777777">
            <w:pPr>
              <w:spacing w:line="240" w:lineRule="auto"/>
              <w:jc w:val="center"/>
              <w:rPr>
                <w:rFonts w:cs="Arial"/>
                <w:szCs w:val="18"/>
                <w:lang w:val="en-GB" w:eastAsia="en-GB"/>
              </w:rPr>
            </w:pPr>
            <w:r w:rsidRPr="00B52D66">
              <w:rPr>
                <w:rFonts w:cs="Arial"/>
                <w:szCs w:val="18"/>
                <w:lang w:val="en-GB" w:eastAsia="en-GB"/>
              </w:rPr>
              <w:t>18,6</w:t>
            </w:r>
          </w:p>
        </w:tc>
        <w:tc>
          <w:tcPr>
            <w:tcW w:w="482" w:type="pct"/>
            <w:tcBorders>
              <w:top w:val="nil"/>
              <w:left w:val="nil"/>
              <w:bottom w:val="nil"/>
              <w:right w:val="nil"/>
            </w:tcBorders>
            <w:noWrap/>
            <w:vAlign w:val="bottom"/>
            <w:hideMark/>
          </w:tcPr>
          <w:p w:rsidRPr="00B52D66" w:rsidR="00B52D66" w:rsidP="00FC2172" w:rsidRDefault="00B52D66" w14:paraId="10EFA7D9" w14:textId="77777777">
            <w:pPr>
              <w:spacing w:line="240" w:lineRule="auto"/>
              <w:jc w:val="center"/>
              <w:rPr>
                <w:rFonts w:cs="Arial"/>
                <w:szCs w:val="18"/>
                <w:lang w:val="en-GB" w:eastAsia="en-GB"/>
              </w:rPr>
            </w:pPr>
            <w:r w:rsidRPr="00B52D66">
              <w:rPr>
                <w:rFonts w:cs="Arial"/>
                <w:szCs w:val="18"/>
                <w:lang w:val="en-GB" w:eastAsia="en-GB"/>
              </w:rPr>
              <w:t>21,4</w:t>
            </w:r>
          </w:p>
        </w:tc>
      </w:tr>
      <w:tr w:rsidRPr="00B52D66" w:rsidR="00B52D66" w:rsidTr="00B52D66" w14:paraId="3847599F" w14:textId="77777777">
        <w:trPr>
          <w:trHeight w:val="280"/>
        </w:trPr>
        <w:tc>
          <w:tcPr>
            <w:tcW w:w="2105" w:type="pct"/>
            <w:tcBorders>
              <w:top w:val="nil"/>
              <w:left w:val="nil"/>
              <w:bottom w:val="nil"/>
              <w:right w:val="nil"/>
            </w:tcBorders>
            <w:noWrap/>
            <w:hideMark/>
          </w:tcPr>
          <w:p w:rsidRPr="00B52D66" w:rsidR="00B52D66" w:rsidP="00FC2172" w:rsidRDefault="00B52D66" w14:paraId="06D1E247" w14:textId="77777777">
            <w:pPr>
              <w:spacing w:line="240" w:lineRule="auto"/>
              <w:rPr>
                <w:rFonts w:cs="Arial"/>
                <w:szCs w:val="18"/>
                <w:lang w:val="en-GB" w:eastAsia="en-GB"/>
              </w:rPr>
            </w:pPr>
            <w:r w:rsidRPr="00B52D66">
              <w:rPr>
                <w:rFonts w:cs="Arial"/>
                <w:szCs w:val="18"/>
                <w:lang w:val="en-GB" w:eastAsia="en-GB"/>
              </w:rPr>
              <w:t xml:space="preserve">   MaT</w:t>
            </w:r>
          </w:p>
        </w:tc>
        <w:tc>
          <w:tcPr>
            <w:tcW w:w="482" w:type="pct"/>
            <w:tcBorders>
              <w:top w:val="nil"/>
              <w:left w:val="nil"/>
              <w:bottom w:val="nil"/>
              <w:right w:val="nil"/>
            </w:tcBorders>
            <w:noWrap/>
            <w:vAlign w:val="bottom"/>
            <w:hideMark/>
          </w:tcPr>
          <w:p w:rsidRPr="00B52D66" w:rsidR="00B52D66" w:rsidP="00FC2172" w:rsidRDefault="00B52D66" w14:paraId="3CE26A4D" w14:textId="77777777">
            <w:pPr>
              <w:spacing w:line="240" w:lineRule="auto"/>
              <w:jc w:val="center"/>
              <w:rPr>
                <w:rFonts w:cs="Arial"/>
                <w:szCs w:val="18"/>
                <w:lang w:val="en-GB" w:eastAsia="en-GB"/>
              </w:rPr>
            </w:pPr>
            <w:r w:rsidRPr="00B52D66">
              <w:rPr>
                <w:rFonts w:cs="Arial"/>
                <w:szCs w:val="18"/>
                <w:lang w:val="en-GB" w:eastAsia="en-GB"/>
              </w:rPr>
              <w:t>40,2</w:t>
            </w:r>
          </w:p>
        </w:tc>
        <w:tc>
          <w:tcPr>
            <w:tcW w:w="482" w:type="pct"/>
            <w:tcBorders>
              <w:top w:val="nil"/>
              <w:left w:val="nil"/>
              <w:bottom w:val="nil"/>
              <w:right w:val="nil"/>
            </w:tcBorders>
            <w:noWrap/>
            <w:vAlign w:val="bottom"/>
            <w:hideMark/>
          </w:tcPr>
          <w:p w:rsidRPr="00B52D66" w:rsidR="00B52D66" w:rsidP="00FC2172" w:rsidRDefault="00B52D66" w14:paraId="5514E1C4" w14:textId="77777777">
            <w:pPr>
              <w:spacing w:line="240" w:lineRule="auto"/>
              <w:jc w:val="center"/>
              <w:rPr>
                <w:rFonts w:cs="Arial"/>
                <w:szCs w:val="18"/>
                <w:lang w:val="en-GB" w:eastAsia="en-GB"/>
              </w:rPr>
            </w:pPr>
            <w:r w:rsidRPr="00B52D66">
              <w:rPr>
                <w:rFonts w:cs="Arial"/>
                <w:szCs w:val="18"/>
                <w:lang w:val="en-GB" w:eastAsia="en-GB"/>
              </w:rPr>
              <w:t>35,3</w:t>
            </w:r>
          </w:p>
        </w:tc>
        <w:tc>
          <w:tcPr>
            <w:tcW w:w="482" w:type="pct"/>
            <w:tcBorders>
              <w:top w:val="nil"/>
              <w:left w:val="nil"/>
              <w:bottom w:val="nil"/>
              <w:right w:val="nil"/>
            </w:tcBorders>
            <w:noWrap/>
            <w:vAlign w:val="bottom"/>
            <w:hideMark/>
          </w:tcPr>
          <w:p w:rsidRPr="00B52D66" w:rsidR="00B52D66" w:rsidP="00FC2172" w:rsidRDefault="00B52D66" w14:paraId="1D25F538" w14:textId="77777777">
            <w:pPr>
              <w:spacing w:line="240" w:lineRule="auto"/>
              <w:jc w:val="center"/>
              <w:rPr>
                <w:rFonts w:cs="Arial"/>
                <w:szCs w:val="18"/>
                <w:lang w:val="en-GB" w:eastAsia="en-GB"/>
              </w:rPr>
            </w:pPr>
            <w:r w:rsidRPr="00B52D66">
              <w:rPr>
                <w:rFonts w:cs="Arial"/>
                <w:szCs w:val="18"/>
                <w:lang w:val="en-GB" w:eastAsia="en-GB"/>
              </w:rPr>
              <w:t>37,3</w:t>
            </w:r>
          </w:p>
        </w:tc>
        <w:tc>
          <w:tcPr>
            <w:tcW w:w="482" w:type="pct"/>
            <w:tcBorders>
              <w:top w:val="nil"/>
              <w:left w:val="nil"/>
              <w:bottom w:val="nil"/>
              <w:right w:val="nil"/>
            </w:tcBorders>
            <w:noWrap/>
            <w:vAlign w:val="bottom"/>
            <w:hideMark/>
          </w:tcPr>
          <w:p w:rsidRPr="00B52D66" w:rsidR="00B52D66" w:rsidP="00FC2172" w:rsidRDefault="00B52D66" w14:paraId="543D3717" w14:textId="77777777">
            <w:pPr>
              <w:spacing w:line="240" w:lineRule="auto"/>
              <w:jc w:val="center"/>
              <w:rPr>
                <w:rFonts w:cs="Arial"/>
                <w:szCs w:val="18"/>
                <w:lang w:val="en-GB" w:eastAsia="en-GB"/>
              </w:rPr>
            </w:pPr>
            <w:r w:rsidRPr="00B52D66">
              <w:rPr>
                <w:rFonts w:cs="Arial"/>
                <w:szCs w:val="18"/>
                <w:lang w:val="en-GB" w:eastAsia="en-GB"/>
              </w:rPr>
              <w:t>47,8</w:t>
            </w:r>
          </w:p>
        </w:tc>
        <w:tc>
          <w:tcPr>
            <w:tcW w:w="482" w:type="pct"/>
            <w:tcBorders>
              <w:top w:val="nil"/>
              <w:left w:val="nil"/>
              <w:bottom w:val="nil"/>
              <w:right w:val="nil"/>
            </w:tcBorders>
            <w:noWrap/>
            <w:vAlign w:val="bottom"/>
            <w:hideMark/>
          </w:tcPr>
          <w:p w:rsidRPr="00B52D66" w:rsidR="00B52D66" w:rsidP="00FC2172" w:rsidRDefault="00B52D66" w14:paraId="4B774DB6" w14:textId="77777777">
            <w:pPr>
              <w:spacing w:line="240" w:lineRule="auto"/>
              <w:jc w:val="center"/>
              <w:rPr>
                <w:rFonts w:cs="Arial"/>
                <w:szCs w:val="18"/>
                <w:lang w:val="en-GB" w:eastAsia="en-GB"/>
              </w:rPr>
            </w:pPr>
            <w:r w:rsidRPr="00B52D66">
              <w:rPr>
                <w:rFonts w:cs="Arial"/>
                <w:szCs w:val="18"/>
                <w:lang w:val="en-GB" w:eastAsia="en-GB"/>
              </w:rPr>
              <w:t>54,4</w:t>
            </w:r>
          </w:p>
        </w:tc>
        <w:tc>
          <w:tcPr>
            <w:tcW w:w="482" w:type="pct"/>
            <w:tcBorders>
              <w:top w:val="nil"/>
              <w:left w:val="nil"/>
              <w:bottom w:val="nil"/>
              <w:right w:val="nil"/>
            </w:tcBorders>
            <w:noWrap/>
            <w:vAlign w:val="bottom"/>
            <w:hideMark/>
          </w:tcPr>
          <w:p w:rsidRPr="00B52D66" w:rsidR="00B52D66" w:rsidP="00FC2172" w:rsidRDefault="00B52D66" w14:paraId="3AED2F96" w14:textId="77777777">
            <w:pPr>
              <w:spacing w:line="240" w:lineRule="auto"/>
              <w:jc w:val="center"/>
              <w:rPr>
                <w:rFonts w:cs="Arial"/>
                <w:szCs w:val="18"/>
                <w:lang w:val="en-GB" w:eastAsia="en-GB"/>
              </w:rPr>
            </w:pPr>
            <w:r w:rsidRPr="00B52D66">
              <w:rPr>
                <w:rFonts w:cs="Arial"/>
                <w:szCs w:val="18"/>
                <w:lang w:val="en-GB" w:eastAsia="en-GB"/>
              </w:rPr>
              <w:t>42,3</w:t>
            </w:r>
          </w:p>
        </w:tc>
      </w:tr>
      <w:tr w:rsidRPr="00B52D66" w:rsidR="00B52D66" w:rsidTr="00B52D66" w14:paraId="5F4CF39E" w14:textId="77777777">
        <w:trPr>
          <w:trHeight w:val="280"/>
        </w:trPr>
        <w:tc>
          <w:tcPr>
            <w:tcW w:w="2105" w:type="pct"/>
            <w:tcBorders>
              <w:top w:val="nil"/>
              <w:left w:val="nil"/>
              <w:bottom w:val="nil"/>
              <w:right w:val="nil"/>
            </w:tcBorders>
            <w:noWrap/>
            <w:hideMark/>
          </w:tcPr>
          <w:p w:rsidRPr="00B52D66" w:rsidR="00B52D66" w:rsidP="00FC2172" w:rsidRDefault="00B52D66" w14:paraId="2445F138" w14:textId="77777777">
            <w:pPr>
              <w:spacing w:line="240" w:lineRule="auto"/>
              <w:rPr>
                <w:rFonts w:cs="Arial"/>
                <w:szCs w:val="18"/>
                <w:lang w:val="en-GB" w:eastAsia="en-GB"/>
              </w:rPr>
            </w:pPr>
            <w:r w:rsidRPr="00B52D66">
              <w:rPr>
                <w:rFonts w:cs="Arial"/>
                <w:szCs w:val="18"/>
                <w:lang w:val="en-GB" w:eastAsia="en-GB"/>
              </w:rPr>
              <w:t xml:space="preserve">   MVI</w:t>
            </w:r>
          </w:p>
        </w:tc>
        <w:tc>
          <w:tcPr>
            <w:tcW w:w="482" w:type="pct"/>
            <w:tcBorders>
              <w:top w:val="nil"/>
              <w:left w:val="nil"/>
              <w:bottom w:val="nil"/>
              <w:right w:val="nil"/>
            </w:tcBorders>
            <w:noWrap/>
            <w:vAlign w:val="bottom"/>
            <w:hideMark/>
          </w:tcPr>
          <w:p w:rsidRPr="00B52D66" w:rsidR="00B52D66" w:rsidP="00FC2172" w:rsidRDefault="00B52D66" w14:paraId="2A43BD9F" w14:textId="77777777">
            <w:pPr>
              <w:spacing w:line="240" w:lineRule="auto"/>
              <w:jc w:val="center"/>
              <w:rPr>
                <w:rFonts w:cs="Arial"/>
                <w:szCs w:val="18"/>
                <w:lang w:val="en-GB" w:eastAsia="en-GB"/>
              </w:rPr>
            </w:pPr>
            <w:r w:rsidRPr="00B52D66">
              <w:rPr>
                <w:rFonts w:cs="Arial"/>
                <w:szCs w:val="18"/>
                <w:lang w:val="en-GB" w:eastAsia="en-GB"/>
              </w:rPr>
              <w:t>46,3</w:t>
            </w:r>
          </w:p>
        </w:tc>
        <w:tc>
          <w:tcPr>
            <w:tcW w:w="482" w:type="pct"/>
            <w:tcBorders>
              <w:top w:val="nil"/>
              <w:left w:val="nil"/>
              <w:bottom w:val="nil"/>
              <w:right w:val="nil"/>
            </w:tcBorders>
            <w:noWrap/>
            <w:vAlign w:val="bottom"/>
            <w:hideMark/>
          </w:tcPr>
          <w:p w:rsidRPr="00B52D66" w:rsidR="00B52D66" w:rsidP="00FC2172" w:rsidRDefault="00B52D66" w14:paraId="03CE5328" w14:textId="77777777">
            <w:pPr>
              <w:spacing w:line="240" w:lineRule="auto"/>
              <w:jc w:val="center"/>
              <w:rPr>
                <w:rFonts w:cs="Arial"/>
                <w:szCs w:val="18"/>
                <w:lang w:val="en-GB" w:eastAsia="en-GB"/>
              </w:rPr>
            </w:pPr>
            <w:r w:rsidRPr="00B52D66">
              <w:rPr>
                <w:rFonts w:cs="Arial"/>
                <w:szCs w:val="18"/>
                <w:lang w:val="en-GB" w:eastAsia="en-GB"/>
              </w:rPr>
              <w:t>54,2</w:t>
            </w:r>
          </w:p>
        </w:tc>
        <w:tc>
          <w:tcPr>
            <w:tcW w:w="482" w:type="pct"/>
            <w:tcBorders>
              <w:top w:val="nil"/>
              <w:left w:val="nil"/>
              <w:bottom w:val="nil"/>
              <w:right w:val="nil"/>
            </w:tcBorders>
            <w:noWrap/>
            <w:vAlign w:val="bottom"/>
            <w:hideMark/>
          </w:tcPr>
          <w:p w:rsidRPr="00B52D66" w:rsidR="00B52D66" w:rsidP="00FC2172" w:rsidRDefault="00B52D66" w14:paraId="1D58E992" w14:textId="77777777">
            <w:pPr>
              <w:spacing w:line="240" w:lineRule="auto"/>
              <w:jc w:val="center"/>
              <w:rPr>
                <w:rFonts w:cs="Arial"/>
                <w:szCs w:val="18"/>
                <w:lang w:val="en-GB" w:eastAsia="en-GB"/>
              </w:rPr>
            </w:pPr>
            <w:r w:rsidRPr="00B52D66">
              <w:rPr>
                <w:rFonts w:cs="Arial"/>
                <w:szCs w:val="18"/>
                <w:lang w:val="en-GB" w:eastAsia="en-GB"/>
              </w:rPr>
              <w:t>56,2</w:t>
            </w:r>
          </w:p>
        </w:tc>
        <w:tc>
          <w:tcPr>
            <w:tcW w:w="482" w:type="pct"/>
            <w:tcBorders>
              <w:top w:val="nil"/>
              <w:left w:val="nil"/>
              <w:bottom w:val="nil"/>
              <w:right w:val="nil"/>
            </w:tcBorders>
            <w:noWrap/>
            <w:vAlign w:val="bottom"/>
            <w:hideMark/>
          </w:tcPr>
          <w:p w:rsidRPr="00B52D66" w:rsidR="00B52D66" w:rsidP="00FC2172" w:rsidRDefault="00B52D66" w14:paraId="770536D0" w14:textId="77777777">
            <w:pPr>
              <w:spacing w:line="240" w:lineRule="auto"/>
              <w:jc w:val="center"/>
              <w:rPr>
                <w:rFonts w:cs="Arial"/>
                <w:szCs w:val="18"/>
                <w:lang w:val="en-GB" w:eastAsia="en-GB"/>
              </w:rPr>
            </w:pPr>
            <w:r w:rsidRPr="00B52D66">
              <w:rPr>
                <w:rFonts w:cs="Arial"/>
                <w:szCs w:val="18"/>
                <w:lang w:val="en-GB" w:eastAsia="en-GB"/>
              </w:rPr>
              <w:t>64,2</w:t>
            </w:r>
          </w:p>
        </w:tc>
        <w:tc>
          <w:tcPr>
            <w:tcW w:w="482" w:type="pct"/>
            <w:tcBorders>
              <w:top w:val="nil"/>
              <w:left w:val="nil"/>
              <w:bottom w:val="nil"/>
              <w:right w:val="nil"/>
            </w:tcBorders>
            <w:noWrap/>
            <w:vAlign w:val="bottom"/>
            <w:hideMark/>
          </w:tcPr>
          <w:p w:rsidRPr="00B52D66" w:rsidR="00B52D66" w:rsidP="00FC2172" w:rsidRDefault="00B52D66" w14:paraId="1E14D348" w14:textId="77777777">
            <w:pPr>
              <w:spacing w:line="240" w:lineRule="auto"/>
              <w:jc w:val="center"/>
              <w:rPr>
                <w:rFonts w:cs="Arial"/>
                <w:szCs w:val="18"/>
                <w:lang w:val="en-GB" w:eastAsia="en-GB"/>
              </w:rPr>
            </w:pPr>
            <w:r w:rsidRPr="00B52D66">
              <w:rPr>
                <w:rFonts w:cs="Arial"/>
                <w:szCs w:val="18"/>
                <w:lang w:val="en-GB" w:eastAsia="en-GB"/>
              </w:rPr>
              <w:t>60,6</w:t>
            </w:r>
          </w:p>
        </w:tc>
        <w:tc>
          <w:tcPr>
            <w:tcW w:w="482" w:type="pct"/>
            <w:tcBorders>
              <w:top w:val="nil"/>
              <w:left w:val="nil"/>
              <w:bottom w:val="nil"/>
              <w:right w:val="nil"/>
            </w:tcBorders>
            <w:noWrap/>
            <w:vAlign w:val="bottom"/>
            <w:hideMark/>
          </w:tcPr>
          <w:p w:rsidRPr="00B52D66" w:rsidR="00B52D66" w:rsidP="00FC2172" w:rsidRDefault="00B52D66" w14:paraId="1FFA459A" w14:textId="77777777">
            <w:pPr>
              <w:spacing w:line="240" w:lineRule="auto"/>
              <w:jc w:val="center"/>
              <w:rPr>
                <w:rFonts w:cs="Arial"/>
                <w:szCs w:val="18"/>
                <w:lang w:val="en-GB" w:eastAsia="en-GB"/>
              </w:rPr>
            </w:pPr>
            <w:r w:rsidRPr="00B52D66">
              <w:rPr>
                <w:rFonts w:cs="Arial"/>
                <w:szCs w:val="18"/>
                <w:lang w:val="en-GB" w:eastAsia="en-GB"/>
              </w:rPr>
              <w:t>61,9</w:t>
            </w:r>
          </w:p>
        </w:tc>
      </w:tr>
      <w:tr w:rsidRPr="00B52D66" w:rsidR="00B52D66" w:rsidTr="00B52D66" w14:paraId="113FD909" w14:textId="77777777">
        <w:trPr>
          <w:trHeight w:val="280"/>
        </w:trPr>
        <w:tc>
          <w:tcPr>
            <w:tcW w:w="2105" w:type="pct"/>
            <w:tcBorders>
              <w:top w:val="nil"/>
              <w:left w:val="nil"/>
              <w:bottom w:val="nil"/>
              <w:right w:val="nil"/>
            </w:tcBorders>
            <w:noWrap/>
            <w:hideMark/>
          </w:tcPr>
          <w:p w:rsidRPr="00B52D66" w:rsidR="00B52D66" w:rsidP="00FC2172" w:rsidRDefault="00B52D66" w14:paraId="262AE9F6" w14:textId="77777777">
            <w:pPr>
              <w:spacing w:line="240" w:lineRule="auto"/>
              <w:rPr>
                <w:rFonts w:cs="Arial"/>
                <w:szCs w:val="18"/>
                <w:lang w:val="en-GB" w:eastAsia="en-GB"/>
              </w:rPr>
            </w:pPr>
            <w:r w:rsidRPr="00B52D66">
              <w:rPr>
                <w:rFonts w:cs="Arial"/>
                <w:szCs w:val="18"/>
                <w:lang w:val="en-GB" w:eastAsia="en-GB"/>
              </w:rPr>
              <w:t xml:space="preserve">   M&amp;T</w:t>
            </w:r>
          </w:p>
        </w:tc>
        <w:tc>
          <w:tcPr>
            <w:tcW w:w="482" w:type="pct"/>
            <w:tcBorders>
              <w:top w:val="nil"/>
              <w:left w:val="nil"/>
              <w:bottom w:val="nil"/>
              <w:right w:val="nil"/>
            </w:tcBorders>
            <w:noWrap/>
            <w:vAlign w:val="bottom"/>
            <w:hideMark/>
          </w:tcPr>
          <w:p w:rsidRPr="00B52D66" w:rsidR="00B52D66" w:rsidP="00FC2172" w:rsidRDefault="00B52D66" w14:paraId="575E5BFB" w14:textId="77777777">
            <w:pPr>
              <w:spacing w:line="240" w:lineRule="auto"/>
              <w:jc w:val="center"/>
              <w:rPr>
                <w:rFonts w:cs="Arial"/>
                <w:szCs w:val="18"/>
                <w:lang w:val="en-GB" w:eastAsia="en-GB"/>
              </w:rPr>
            </w:pPr>
            <w:r w:rsidRPr="00B52D66">
              <w:rPr>
                <w:rFonts w:cs="Arial"/>
                <w:szCs w:val="18"/>
                <w:lang w:val="en-GB" w:eastAsia="en-GB"/>
              </w:rPr>
              <w:t>23,5</w:t>
            </w:r>
          </w:p>
        </w:tc>
        <w:tc>
          <w:tcPr>
            <w:tcW w:w="482" w:type="pct"/>
            <w:tcBorders>
              <w:top w:val="nil"/>
              <w:left w:val="nil"/>
              <w:bottom w:val="nil"/>
              <w:right w:val="nil"/>
            </w:tcBorders>
            <w:noWrap/>
            <w:vAlign w:val="bottom"/>
            <w:hideMark/>
          </w:tcPr>
          <w:p w:rsidRPr="00B52D66" w:rsidR="00B52D66" w:rsidP="00FC2172" w:rsidRDefault="00B52D66" w14:paraId="59FB8F50" w14:textId="77777777">
            <w:pPr>
              <w:spacing w:line="240" w:lineRule="auto"/>
              <w:jc w:val="center"/>
              <w:rPr>
                <w:rFonts w:cs="Arial"/>
                <w:szCs w:val="18"/>
                <w:lang w:val="en-GB" w:eastAsia="en-GB"/>
              </w:rPr>
            </w:pPr>
            <w:r w:rsidRPr="00B52D66">
              <w:rPr>
                <w:rFonts w:cs="Arial"/>
                <w:szCs w:val="18"/>
                <w:lang w:val="en-GB" w:eastAsia="en-GB"/>
              </w:rPr>
              <w:t>21,5</w:t>
            </w:r>
          </w:p>
        </w:tc>
        <w:tc>
          <w:tcPr>
            <w:tcW w:w="482" w:type="pct"/>
            <w:tcBorders>
              <w:top w:val="nil"/>
              <w:left w:val="nil"/>
              <w:bottom w:val="nil"/>
              <w:right w:val="nil"/>
            </w:tcBorders>
            <w:noWrap/>
            <w:vAlign w:val="bottom"/>
            <w:hideMark/>
          </w:tcPr>
          <w:p w:rsidRPr="00B52D66" w:rsidR="00B52D66" w:rsidP="00FC2172" w:rsidRDefault="00B52D66" w14:paraId="22B5D5D1" w14:textId="77777777">
            <w:pPr>
              <w:spacing w:line="240" w:lineRule="auto"/>
              <w:jc w:val="center"/>
              <w:rPr>
                <w:rFonts w:cs="Arial"/>
                <w:szCs w:val="18"/>
                <w:lang w:val="en-GB" w:eastAsia="en-GB"/>
              </w:rPr>
            </w:pPr>
            <w:r w:rsidRPr="00B52D66">
              <w:rPr>
                <w:rFonts w:cs="Arial"/>
                <w:szCs w:val="18"/>
                <w:lang w:val="en-GB" w:eastAsia="en-GB"/>
              </w:rPr>
              <w:t>27,1</w:t>
            </w:r>
          </w:p>
        </w:tc>
        <w:tc>
          <w:tcPr>
            <w:tcW w:w="482" w:type="pct"/>
            <w:tcBorders>
              <w:top w:val="nil"/>
              <w:left w:val="nil"/>
              <w:bottom w:val="nil"/>
              <w:right w:val="nil"/>
            </w:tcBorders>
            <w:noWrap/>
            <w:vAlign w:val="bottom"/>
            <w:hideMark/>
          </w:tcPr>
          <w:p w:rsidRPr="00B52D66" w:rsidR="00B52D66" w:rsidP="00FC2172" w:rsidRDefault="00B52D66" w14:paraId="34D88007" w14:textId="77777777">
            <w:pPr>
              <w:spacing w:line="240" w:lineRule="auto"/>
              <w:jc w:val="center"/>
              <w:rPr>
                <w:rFonts w:cs="Arial"/>
                <w:szCs w:val="18"/>
                <w:lang w:val="en-GB" w:eastAsia="en-GB"/>
              </w:rPr>
            </w:pPr>
            <w:r w:rsidRPr="00B52D66">
              <w:rPr>
                <w:rFonts w:cs="Arial"/>
                <w:szCs w:val="18"/>
                <w:lang w:val="en-GB" w:eastAsia="en-GB"/>
              </w:rPr>
              <w:t>25,3</w:t>
            </w:r>
          </w:p>
        </w:tc>
        <w:tc>
          <w:tcPr>
            <w:tcW w:w="482" w:type="pct"/>
            <w:tcBorders>
              <w:top w:val="nil"/>
              <w:left w:val="nil"/>
              <w:bottom w:val="nil"/>
              <w:right w:val="nil"/>
            </w:tcBorders>
            <w:noWrap/>
            <w:vAlign w:val="bottom"/>
            <w:hideMark/>
          </w:tcPr>
          <w:p w:rsidRPr="00B52D66" w:rsidR="00B52D66" w:rsidP="00FC2172" w:rsidRDefault="00B52D66" w14:paraId="70B462DC" w14:textId="77777777">
            <w:pPr>
              <w:spacing w:line="240" w:lineRule="auto"/>
              <w:jc w:val="center"/>
              <w:rPr>
                <w:rFonts w:cs="Arial"/>
                <w:szCs w:val="18"/>
                <w:lang w:val="en-GB" w:eastAsia="en-GB"/>
              </w:rPr>
            </w:pPr>
            <w:r w:rsidRPr="00B52D66">
              <w:rPr>
                <w:rFonts w:cs="Arial"/>
                <w:szCs w:val="18"/>
                <w:lang w:val="en-GB" w:eastAsia="en-GB"/>
              </w:rPr>
              <w:t>24,7</w:t>
            </w:r>
          </w:p>
        </w:tc>
        <w:tc>
          <w:tcPr>
            <w:tcW w:w="482" w:type="pct"/>
            <w:tcBorders>
              <w:top w:val="nil"/>
              <w:left w:val="nil"/>
              <w:bottom w:val="nil"/>
              <w:right w:val="nil"/>
            </w:tcBorders>
            <w:noWrap/>
            <w:vAlign w:val="bottom"/>
            <w:hideMark/>
          </w:tcPr>
          <w:p w:rsidRPr="00B52D66" w:rsidR="00B52D66" w:rsidP="00FC2172" w:rsidRDefault="00B52D66" w14:paraId="5341755A" w14:textId="77777777">
            <w:pPr>
              <w:spacing w:line="240" w:lineRule="auto"/>
              <w:jc w:val="center"/>
              <w:rPr>
                <w:rFonts w:cs="Arial"/>
                <w:szCs w:val="18"/>
                <w:lang w:val="en-GB" w:eastAsia="en-GB"/>
              </w:rPr>
            </w:pPr>
            <w:r w:rsidRPr="00B52D66">
              <w:rPr>
                <w:rFonts w:cs="Arial"/>
                <w:szCs w:val="18"/>
                <w:lang w:val="en-GB" w:eastAsia="en-GB"/>
              </w:rPr>
              <w:t>26,7</w:t>
            </w:r>
          </w:p>
        </w:tc>
      </w:tr>
      <w:tr w:rsidRPr="00B52D66" w:rsidR="00B52D66" w:rsidTr="00B52D66" w14:paraId="6E7CB178" w14:textId="77777777">
        <w:trPr>
          <w:trHeight w:val="280"/>
        </w:trPr>
        <w:tc>
          <w:tcPr>
            <w:tcW w:w="2105" w:type="pct"/>
            <w:tcBorders>
              <w:top w:val="nil"/>
              <w:left w:val="nil"/>
              <w:bottom w:val="nil"/>
              <w:right w:val="nil"/>
            </w:tcBorders>
            <w:noWrap/>
            <w:hideMark/>
          </w:tcPr>
          <w:p w:rsidRPr="00B52D66" w:rsidR="00B52D66" w:rsidP="00FC2172" w:rsidRDefault="00B52D66" w14:paraId="5975F1DB" w14:textId="77777777">
            <w:pPr>
              <w:spacing w:line="240" w:lineRule="auto"/>
              <w:rPr>
                <w:rFonts w:cs="Arial"/>
                <w:szCs w:val="18"/>
                <w:lang w:val="en-GB" w:eastAsia="en-GB"/>
              </w:rPr>
            </w:pPr>
            <w:r w:rsidRPr="00B52D66">
              <w:rPr>
                <w:rFonts w:cs="Arial"/>
                <w:szCs w:val="18"/>
                <w:lang w:val="en-GB" w:eastAsia="en-GB"/>
              </w:rPr>
              <w:t xml:space="preserve">   PIE</w:t>
            </w:r>
          </w:p>
        </w:tc>
        <w:tc>
          <w:tcPr>
            <w:tcW w:w="482" w:type="pct"/>
            <w:tcBorders>
              <w:top w:val="nil"/>
              <w:left w:val="nil"/>
              <w:bottom w:val="nil"/>
              <w:right w:val="nil"/>
            </w:tcBorders>
            <w:noWrap/>
            <w:vAlign w:val="bottom"/>
            <w:hideMark/>
          </w:tcPr>
          <w:p w:rsidRPr="00B52D66" w:rsidR="00B52D66" w:rsidP="00FC2172" w:rsidRDefault="00B52D66" w14:paraId="1CCC3242" w14:textId="77777777">
            <w:pPr>
              <w:spacing w:line="240" w:lineRule="auto"/>
              <w:jc w:val="center"/>
              <w:rPr>
                <w:rFonts w:cs="Arial"/>
                <w:szCs w:val="18"/>
                <w:lang w:val="en-GB" w:eastAsia="en-GB"/>
              </w:rPr>
            </w:pPr>
            <w:r w:rsidRPr="00B52D66">
              <w:rPr>
                <w:rFonts w:cs="Arial"/>
                <w:szCs w:val="18"/>
                <w:lang w:val="en-GB" w:eastAsia="en-GB"/>
              </w:rPr>
              <w:t>30,0</w:t>
            </w:r>
          </w:p>
        </w:tc>
        <w:tc>
          <w:tcPr>
            <w:tcW w:w="482" w:type="pct"/>
            <w:tcBorders>
              <w:top w:val="nil"/>
              <w:left w:val="nil"/>
              <w:bottom w:val="nil"/>
              <w:right w:val="nil"/>
            </w:tcBorders>
            <w:noWrap/>
            <w:vAlign w:val="bottom"/>
            <w:hideMark/>
          </w:tcPr>
          <w:p w:rsidRPr="00B52D66" w:rsidR="00B52D66" w:rsidP="00FC2172" w:rsidRDefault="00B52D66" w14:paraId="60B0BD54" w14:textId="77777777">
            <w:pPr>
              <w:spacing w:line="240" w:lineRule="auto"/>
              <w:jc w:val="center"/>
              <w:rPr>
                <w:rFonts w:cs="Arial"/>
                <w:szCs w:val="18"/>
                <w:lang w:val="en-GB" w:eastAsia="en-GB"/>
              </w:rPr>
            </w:pPr>
            <w:r w:rsidRPr="00B52D66">
              <w:rPr>
                <w:rFonts w:cs="Arial"/>
                <w:szCs w:val="18"/>
                <w:lang w:val="en-GB" w:eastAsia="en-GB"/>
              </w:rPr>
              <w:t>31,5</w:t>
            </w:r>
          </w:p>
        </w:tc>
        <w:tc>
          <w:tcPr>
            <w:tcW w:w="482" w:type="pct"/>
            <w:tcBorders>
              <w:top w:val="nil"/>
              <w:left w:val="nil"/>
              <w:bottom w:val="nil"/>
              <w:right w:val="nil"/>
            </w:tcBorders>
            <w:noWrap/>
            <w:vAlign w:val="bottom"/>
            <w:hideMark/>
          </w:tcPr>
          <w:p w:rsidRPr="00B52D66" w:rsidR="00B52D66" w:rsidP="00FC2172" w:rsidRDefault="00B52D66" w14:paraId="775C37EC" w14:textId="77777777">
            <w:pPr>
              <w:spacing w:line="240" w:lineRule="auto"/>
              <w:jc w:val="center"/>
              <w:rPr>
                <w:rFonts w:cs="Arial"/>
                <w:szCs w:val="18"/>
                <w:lang w:val="en-GB" w:eastAsia="en-GB"/>
              </w:rPr>
            </w:pPr>
            <w:r w:rsidRPr="00B52D66">
              <w:rPr>
                <w:rFonts w:cs="Arial"/>
                <w:szCs w:val="18"/>
                <w:lang w:val="en-GB" w:eastAsia="en-GB"/>
              </w:rPr>
              <w:t>35,6</w:t>
            </w:r>
          </w:p>
        </w:tc>
        <w:tc>
          <w:tcPr>
            <w:tcW w:w="482" w:type="pct"/>
            <w:tcBorders>
              <w:top w:val="nil"/>
              <w:left w:val="nil"/>
              <w:bottom w:val="nil"/>
              <w:right w:val="nil"/>
            </w:tcBorders>
            <w:noWrap/>
            <w:vAlign w:val="bottom"/>
            <w:hideMark/>
          </w:tcPr>
          <w:p w:rsidRPr="00B52D66" w:rsidR="00B52D66" w:rsidP="00FC2172" w:rsidRDefault="00B52D66" w14:paraId="27DA54F8" w14:textId="77777777">
            <w:pPr>
              <w:spacing w:line="240" w:lineRule="auto"/>
              <w:jc w:val="center"/>
              <w:rPr>
                <w:rFonts w:cs="Arial"/>
                <w:szCs w:val="18"/>
                <w:lang w:val="en-GB" w:eastAsia="en-GB"/>
              </w:rPr>
            </w:pPr>
            <w:r w:rsidRPr="00B52D66">
              <w:rPr>
                <w:rFonts w:cs="Arial"/>
                <w:szCs w:val="18"/>
                <w:lang w:val="en-GB" w:eastAsia="en-GB"/>
              </w:rPr>
              <w:t>32,3</w:t>
            </w:r>
          </w:p>
        </w:tc>
        <w:tc>
          <w:tcPr>
            <w:tcW w:w="482" w:type="pct"/>
            <w:tcBorders>
              <w:top w:val="nil"/>
              <w:left w:val="nil"/>
              <w:bottom w:val="nil"/>
              <w:right w:val="nil"/>
            </w:tcBorders>
            <w:noWrap/>
            <w:vAlign w:val="bottom"/>
            <w:hideMark/>
          </w:tcPr>
          <w:p w:rsidRPr="00B52D66" w:rsidR="00B52D66" w:rsidP="00FC2172" w:rsidRDefault="00B52D66" w14:paraId="7DFA67DC" w14:textId="77777777">
            <w:pPr>
              <w:spacing w:line="240" w:lineRule="auto"/>
              <w:jc w:val="center"/>
              <w:rPr>
                <w:rFonts w:cs="Arial"/>
                <w:szCs w:val="18"/>
                <w:lang w:val="en-GB" w:eastAsia="en-GB"/>
              </w:rPr>
            </w:pPr>
            <w:r w:rsidRPr="00B52D66">
              <w:rPr>
                <w:rFonts w:cs="Arial"/>
                <w:szCs w:val="18"/>
                <w:lang w:val="en-GB" w:eastAsia="en-GB"/>
              </w:rPr>
              <w:t>32,5</w:t>
            </w:r>
          </w:p>
        </w:tc>
        <w:tc>
          <w:tcPr>
            <w:tcW w:w="482" w:type="pct"/>
            <w:tcBorders>
              <w:top w:val="nil"/>
              <w:left w:val="nil"/>
              <w:bottom w:val="nil"/>
              <w:right w:val="nil"/>
            </w:tcBorders>
            <w:noWrap/>
            <w:vAlign w:val="bottom"/>
            <w:hideMark/>
          </w:tcPr>
          <w:p w:rsidRPr="00B52D66" w:rsidR="00B52D66" w:rsidP="00FC2172" w:rsidRDefault="00B52D66" w14:paraId="0A6F64DA" w14:textId="77777777">
            <w:pPr>
              <w:spacing w:line="240" w:lineRule="auto"/>
              <w:jc w:val="center"/>
              <w:rPr>
                <w:rFonts w:cs="Arial"/>
                <w:szCs w:val="18"/>
                <w:lang w:val="en-GB" w:eastAsia="en-GB"/>
              </w:rPr>
            </w:pPr>
            <w:r w:rsidRPr="00B52D66">
              <w:rPr>
                <w:rFonts w:cs="Arial"/>
                <w:szCs w:val="18"/>
                <w:lang w:val="en-GB" w:eastAsia="en-GB"/>
              </w:rPr>
              <w:t>34,7</w:t>
            </w:r>
          </w:p>
        </w:tc>
      </w:tr>
      <w:tr w:rsidRPr="00B52D66" w:rsidR="00B52D66" w:rsidTr="00B52D66" w14:paraId="10A114E2"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40B1443A" w14:textId="77777777">
            <w:pPr>
              <w:spacing w:line="240" w:lineRule="auto"/>
              <w:rPr>
                <w:rFonts w:cs="Arial"/>
                <w:b/>
                <w:bCs/>
                <w:szCs w:val="18"/>
                <w:lang w:val="en-GB" w:eastAsia="en-GB"/>
              </w:rPr>
            </w:pPr>
            <w:r w:rsidRPr="00B52D66">
              <w:rPr>
                <w:rFonts w:cs="Arial"/>
                <w:b/>
                <w:bCs/>
                <w:szCs w:val="18"/>
                <w:lang w:val="en-GB" w:eastAsia="en-GB"/>
              </w:rPr>
              <w:t xml:space="preserve">  Niet-techniek</w:t>
            </w:r>
          </w:p>
        </w:tc>
        <w:tc>
          <w:tcPr>
            <w:tcW w:w="482" w:type="pct"/>
            <w:tcBorders>
              <w:top w:val="nil"/>
              <w:left w:val="nil"/>
              <w:bottom w:val="nil"/>
              <w:right w:val="nil"/>
            </w:tcBorders>
            <w:noWrap/>
            <w:vAlign w:val="bottom"/>
            <w:hideMark/>
          </w:tcPr>
          <w:p w:rsidRPr="00B52D66" w:rsidR="00B52D66" w:rsidP="00FC2172" w:rsidRDefault="00B52D66" w14:paraId="6B9333D1"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0937D576"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3E04BF26"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5725DFE2"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630ABB17"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2DB840F7" w14:textId="77777777">
            <w:pPr>
              <w:spacing w:line="240" w:lineRule="auto"/>
              <w:jc w:val="center"/>
              <w:rPr>
                <w:rFonts w:cs="Arial"/>
                <w:b/>
                <w:bCs/>
                <w:szCs w:val="18"/>
                <w:lang w:val="en-GB" w:eastAsia="en-GB"/>
              </w:rPr>
            </w:pPr>
            <w:r w:rsidRPr="00B52D66">
              <w:rPr>
                <w:rFonts w:cs="Arial"/>
                <w:b/>
                <w:bCs/>
                <w:szCs w:val="18"/>
                <w:lang w:val="en-GB" w:eastAsia="en-GB"/>
              </w:rPr>
              <w:t> </w:t>
            </w:r>
          </w:p>
        </w:tc>
      </w:tr>
      <w:tr w:rsidRPr="00B52D66" w:rsidR="00B52D66" w:rsidTr="00B52D66" w14:paraId="3FFE4C91"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0EAACAB7" w14:textId="77777777">
            <w:pPr>
              <w:spacing w:line="240" w:lineRule="auto"/>
              <w:rPr>
                <w:rFonts w:cs="Arial"/>
                <w:szCs w:val="18"/>
                <w:lang w:val="en-GB" w:eastAsia="en-GB"/>
              </w:rPr>
            </w:pPr>
            <w:r w:rsidRPr="00B52D66">
              <w:rPr>
                <w:rFonts w:cs="Arial"/>
                <w:szCs w:val="18"/>
                <w:lang w:val="en-GB" w:eastAsia="en-GB"/>
              </w:rPr>
              <w:t xml:space="preserve">   D&amp;P</w:t>
            </w:r>
          </w:p>
        </w:tc>
        <w:tc>
          <w:tcPr>
            <w:tcW w:w="482" w:type="pct"/>
            <w:tcBorders>
              <w:top w:val="nil"/>
              <w:left w:val="nil"/>
              <w:bottom w:val="nil"/>
              <w:right w:val="nil"/>
            </w:tcBorders>
            <w:noWrap/>
            <w:vAlign w:val="bottom"/>
            <w:hideMark/>
          </w:tcPr>
          <w:p w:rsidRPr="00B52D66" w:rsidR="00B52D66" w:rsidP="00FC2172" w:rsidRDefault="00B52D66" w14:paraId="492F9331" w14:textId="77777777">
            <w:pPr>
              <w:spacing w:line="240" w:lineRule="auto"/>
              <w:jc w:val="center"/>
              <w:rPr>
                <w:rFonts w:cs="Arial"/>
                <w:szCs w:val="18"/>
                <w:lang w:val="en-GB" w:eastAsia="en-GB"/>
              </w:rPr>
            </w:pPr>
            <w:r w:rsidRPr="00B52D66">
              <w:rPr>
                <w:rFonts w:cs="Arial"/>
                <w:szCs w:val="18"/>
                <w:lang w:val="en-GB" w:eastAsia="en-GB"/>
              </w:rPr>
              <w:t>42,7</w:t>
            </w:r>
          </w:p>
        </w:tc>
        <w:tc>
          <w:tcPr>
            <w:tcW w:w="482" w:type="pct"/>
            <w:tcBorders>
              <w:top w:val="nil"/>
              <w:left w:val="nil"/>
              <w:bottom w:val="nil"/>
              <w:right w:val="nil"/>
            </w:tcBorders>
            <w:noWrap/>
            <w:vAlign w:val="bottom"/>
            <w:hideMark/>
          </w:tcPr>
          <w:p w:rsidRPr="00B52D66" w:rsidR="00B52D66" w:rsidP="00FC2172" w:rsidRDefault="00B52D66" w14:paraId="412E87EE" w14:textId="77777777">
            <w:pPr>
              <w:spacing w:line="240" w:lineRule="auto"/>
              <w:jc w:val="center"/>
              <w:rPr>
                <w:rFonts w:cs="Arial"/>
                <w:szCs w:val="18"/>
                <w:lang w:val="en-GB" w:eastAsia="en-GB"/>
              </w:rPr>
            </w:pPr>
            <w:r w:rsidRPr="00B52D66">
              <w:rPr>
                <w:rFonts w:cs="Arial"/>
                <w:szCs w:val="18"/>
                <w:lang w:val="en-GB" w:eastAsia="en-GB"/>
              </w:rPr>
              <w:t>44,3</w:t>
            </w:r>
          </w:p>
        </w:tc>
        <w:tc>
          <w:tcPr>
            <w:tcW w:w="482" w:type="pct"/>
            <w:tcBorders>
              <w:top w:val="nil"/>
              <w:left w:val="nil"/>
              <w:bottom w:val="nil"/>
              <w:right w:val="nil"/>
            </w:tcBorders>
            <w:noWrap/>
            <w:vAlign w:val="bottom"/>
            <w:hideMark/>
          </w:tcPr>
          <w:p w:rsidRPr="00B52D66" w:rsidR="00B52D66" w:rsidP="00FC2172" w:rsidRDefault="00B52D66" w14:paraId="31219A17" w14:textId="77777777">
            <w:pPr>
              <w:spacing w:line="240" w:lineRule="auto"/>
              <w:jc w:val="center"/>
              <w:rPr>
                <w:rFonts w:cs="Arial"/>
                <w:szCs w:val="18"/>
                <w:lang w:val="en-GB" w:eastAsia="en-GB"/>
              </w:rPr>
            </w:pPr>
            <w:r w:rsidRPr="00B52D66">
              <w:rPr>
                <w:rFonts w:cs="Arial"/>
                <w:szCs w:val="18"/>
                <w:lang w:val="en-GB" w:eastAsia="en-GB"/>
              </w:rPr>
              <w:t>43,8</w:t>
            </w:r>
          </w:p>
        </w:tc>
        <w:tc>
          <w:tcPr>
            <w:tcW w:w="482" w:type="pct"/>
            <w:tcBorders>
              <w:top w:val="nil"/>
              <w:left w:val="nil"/>
              <w:bottom w:val="nil"/>
              <w:right w:val="nil"/>
            </w:tcBorders>
            <w:noWrap/>
            <w:vAlign w:val="bottom"/>
            <w:hideMark/>
          </w:tcPr>
          <w:p w:rsidRPr="00B52D66" w:rsidR="00B52D66" w:rsidP="00FC2172" w:rsidRDefault="00B52D66" w14:paraId="71213C05" w14:textId="77777777">
            <w:pPr>
              <w:spacing w:line="240" w:lineRule="auto"/>
              <w:jc w:val="center"/>
              <w:rPr>
                <w:rFonts w:cs="Arial"/>
                <w:szCs w:val="18"/>
                <w:lang w:val="en-GB" w:eastAsia="en-GB"/>
              </w:rPr>
            </w:pPr>
            <w:r w:rsidRPr="00B52D66">
              <w:rPr>
                <w:rFonts w:cs="Arial"/>
                <w:szCs w:val="18"/>
                <w:lang w:val="en-GB" w:eastAsia="en-GB"/>
              </w:rPr>
              <w:t>45,2</w:t>
            </w:r>
          </w:p>
        </w:tc>
        <w:tc>
          <w:tcPr>
            <w:tcW w:w="482" w:type="pct"/>
            <w:tcBorders>
              <w:top w:val="nil"/>
              <w:left w:val="nil"/>
              <w:bottom w:val="nil"/>
              <w:right w:val="nil"/>
            </w:tcBorders>
            <w:noWrap/>
            <w:vAlign w:val="bottom"/>
            <w:hideMark/>
          </w:tcPr>
          <w:p w:rsidRPr="00B52D66" w:rsidR="00B52D66" w:rsidP="00FC2172" w:rsidRDefault="00B52D66" w14:paraId="23087997" w14:textId="77777777">
            <w:pPr>
              <w:spacing w:line="240" w:lineRule="auto"/>
              <w:jc w:val="center"/>
              <w:rPr>
                <w:rFonts w:cs="Arial"/>
                <w:szCs w:val="18"/>
                <w:lang w:val="en-GB" w:eastAsia="en-GB"/>
              </w:rPr>
            </w:pPr>
            <w:r w:rsidRPr="00B52D66">
              <w:rPr>
                <w:rFonts w:cs="Arial"/>
                <w:szCs w:val="18"/>
                <w:lang w:val="en-GB" w:eastAsia="en-GB"/>
              </w:rPr>
              <w:t>44,2</w:t>
            </w:r>
          </w:p>
        </w:tc>
        <w:tc>
          <w:tcPr>
            <w:tcW w:w="482" w:type="pct"/>
            <w:tcBorders>
              <w:top w:val="nil"/>
              <w:left w:val="nil"/>
              <w:bottom w:val="nil"/>
              <w:right w:val="nil"/>
            </w:tcBorders>
            <w:noWrap/>
            <w:vAlign w:val="bottom"/>
            <w:hideMark/>
          </w:tcPr>
          <w:p w:rsidRPr="00B52D66" w:rsidR="00B52D66" w:rsidP="00FC2172" w:rsidRDefault="00B52D66" w14:paraId="172D4D61" w14:textId="77777777">
            <w:pPr>
              <w:spacing w:line="240" w:lineRule="auto"/>
              <w:jc w:val="center"/>
              <w:rPr>
                <w:rFonts w:cs="Arial"/>
                <w:szCs w:val="18"/>
                <w:lang w:val="en-GB" w:eastAsia="en-GB"/>
              </w:rPr>
            </w:pPr>
            <w:r w:rsidRPr="00B52D66">
              <w:rPr>
                <w:rFonts w:cs="Arial"/>
                <w:szCs w:val="18"/>
                <w:lang w:val="en-GB" w:eastAsia="en-GB"/>
              </w:rPr>
              <w:t>44,5</w:t>
            </w:r>
          </w:p>
        </w:tc>
      </w:tr>
      <w:tr w:rsidRPr="00B52D66" w:rsidR="00B52D66" w:rsidTr="00B52D66" w14:paraId="0689BCDB"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19CC37B6" w14:textId="77777777">
            <w:pPr>
              <w:spacing w:line="240" w:lineRule="auto"/>
              <w:rPr>
                <w:rFonts w:cs="Arial"/>
                <w:szCs w:val="18"/>
                <w:lang w:val="en-GB" w:eastAsia="en-GB"/>
              </w:rPr>
            </w:pPr>
            <w:r w:rsidRPr="00B52D66">
              <w:rPr>
                <w:rFonts w:cs="Arial"/>
                <w:szCs w:val="18"/>
                <w:lang w:val="en-GB" w:eastAsia="en-GB"/>
              </w:rPr>
              <w:t xml:space="preserve">   E&amp;O</w:t>
            </w:r>
          </w:p>
        </w:tc>
        <w:tc>
          <w:tcPr>
            <w:tcW w:w="482" w:type="pct"/>
            <w:tcBorders>
              <w:top w:val="nil"/>
              <w:left w:val="nil"/>
              <w:bottom w:val="nil"/>
              <w:right w:val="nil"/>
            </w:tcBorders>
            <w:noWrap/>
            <w:vAlign w:val="bottom"/>
            <w:hideMark/>
          </w:tcPr>
          <w:p w:rsidRPr="00B52D66" w:rsidR="00B52D66" w:rsidP="00FC2172" w:rsidRDefault="00B52D66" w14:paraId="4A81FD36" w14:textId="77777777">
            <w:pPr>
              <w:spacing w:line="240" w:lineRule="auto"/>
              <w:jc w:val="center"/>
              <w:rPr>
                <w:rFonts w:cs="Arial"/>
                <w:szCs w:val="18"/>
                <w:lang w:val="en-GB" w:eastAsia="en-GB"/>
              </w:rPr>
            </w:pPr>
            <w:r w:rsidRPr="00B52D66">
              <w:rPr>
                <w:rFonts w:cs="Arial"/>
                <w:szCs w:val="18"/>
                <w:lang w:val="en-GB" w:eastAsia="en-GB"/>
              </w:rPr>
              <w:t>60,8</w:t>
            </w:r>
          </w:p>
        </w:tc>
        <w:tc>
          <w:tcPr>
            <w:tcW w:w="482" w:type="pct"/>
            <w:tcBorders>
              <w:top w:val="nil"/>
              <w:left w:val="nil"/>
              <w:bottom w:val="nil"/>
              <w:right w:val="nil"/>
            </w:tcBorders>
            <w:noWrap/>
            <w:vAlign w:val="bottom"/>
            <w:hideMark/>
          </w:tcPr>
          <w:p w:rsidRPr="00B52D66" w:rsidR="00B52D66" w:rsidP="00FC2172" w:rsidRDefault="00B52D66" w14:paraId="77DBCE04" w14:textId="77777777">
            <w:pPr>
              <w:spacing w:line="240" w:lineRule="auto"/>
              <w:jc w:val="center"/>
              <w:rPr>
                <w:rFonts w:cs="Arial"/>
                <w:szCs w:val="18"/>
                <w:lang w:val="en-GB" w:eastAsia="en-GB"/>
              </w:rPr>
            </w:pPr>
            <w:r w:rsidRPr="00B52D66">
              <w:rPr>
                <w:rFonts w:cs="Arial"/>
                <w:szCs w:val="18"/>
                <w:lang w:val="en-GB" w:eastAsia="en-GB"/>
              </w:rPr>
              <w:t>58,9</w:t>
            </w:r>
          </w:p>
        </w:tc>
        <w:tc>
          <w:tcPr>
            <w:tcW w:w="482" w:type="pct"/>
            <w:tcBorders>
              <w:top w:val="nil"/>
              <w:left w:val="nil"/>
              <w:bottom w:val="nil"/>
              <w:right w:val="nil"/>
            </w:tcBorders>
            <w:noWrap/>
            <w:vAlign w:val="bottom"/>
            <w:hideMark/>
          </w:tcPr>
          <w:p w:rsidRPr="00B52D66" w:rsidR="00B52D66" w:rsidP="00FC2172" w:rsidRDefault="00B52D66" w14:paraId="467B61A5" w14:textId="77777777">
            <w:pPr>
              <w:spacing w:line="240" w:lineRule="auto"/>
              <w:jc w:val="center"/>
              <w:rPr>
                <w:rFonts w:cs="Arial"/>
                <w:szCs w:val="18"/>
                <w:lang w:val="en-GB" w:eastAsia="en-GB"/>
              </w:rPr>
            </w:pPr>
            <w:r w:rsidRPr="00B52D66">
              <w:rPr>
                <w:rFonts w:cs="Arial"/>
                <w:szCs w:val="18"/>
                <w:lang w:val="en-GB" w:eastAsia="en-GB"/>
              </w:rPr>
              <w:t>62,0</w:t>
            </w:r>
          </w:p>
        </w:tc>
        <w:tc>
          <w:tcPr>
            <w:tcW w:w="482" w:type="pct"/>
            <w:tcBorders>
              <w:top w:val="nil"/>
              <w:left w:val="nil"/>
              <w:bottom w:val="nil"/>
              <w:right w:val="nil"/>
            </w:tcBorders>
            <w:noWrap/>
            <w:vAlign w:val="bottom"/>
            <w:hideMark/>
          </w:tcPr>
          <w:p w:rsidRPr="00B52D66" w:rsidR="00B52D66" w:rsidP="00FC2172" w:rsidRDefault="00B52D66" w14:paraId="065DC9E4" w14:textId="77777777">
            <w:pPr>
              <w:spacing w:line="240" w:lineRule="auto"/>
              <w:jc w:val="center"/>
              <w:rPr>
                <w:rFonts w:cs="Arial"/>
                <w:szCs w:val="18"/>
                <w:lang w:val="en-GB" w:eastAsia="en-GB"/>
              </w:rPr>
            </w:pPr>
            <w:r w:rsidRPr="00B52D66">
              <w:rPr>
                <w:rFonts w:cs="Arial"/>
                <w:szCs w:val="18"/>
                <w:lang w:val="en-GB" w:eastAsia="en-GB"/>
              </w:rPr>
              <w:t>63,8</w:t>
            </w:r>
          </w:p>
        </w:tc>
        <w:tc>
          <w:tcPr>
            <w:tcW w:w="482" w:type="pct"/>
            <w:tcBorders>
              <w:top w:val="nil"/>
              <w:left w:val="nil"/>
              <w:bottom w:val="nil"/>
              <w:right w:val="nil"/>
            </w:tcBorders>
            <w:noWrap/>
            <w:vAlign w:val="bottom"/>
            <w:hideMark/>
          </w:tcPr>
          <w:p w:rsidRPr="00B52D66" w:rsidR="00B52D66" w:rsidP="00FC2172" w:rsidRDefault="00B52D66" w14:paraId="5716E63A" w14:textId="77777777">
            <w:pPr>
              <w:spacing w:line="240" w:lineRule="auto"/>
              <w:jc w:val="center"/>
              <w:rPr>
                <w:rFonts w:cs="Arial"/>
                <w:szCs w:val="18"/>
                <w:lang w:val="en-GB" w:eastAsia="en-GB"/>
              </w:rPr>
            </w:pPr>
            <w:r w:rsidRPr="00B52D66">
              <w:rPr>
                <w:rFonts w:cs="Arial"/>
                <w:szCs w:val="18"/>
                <w:lang w:val="en-GB" w:eastAsia="en-GB"/>
              </w:rPr>
              <w:t>59,4</w:t>
            </w:r>
          </w:p>
        </w:tc>
        <w:tc>
          <w:tcPr>
            <w:tcW w:w="482" w:type="pct"/>
            <w:tcBorders>
              <w:top w:val="nil"/>
              <w:left w:val="nil"/>
              <w:bottom w:val="nil"/>
              <w:right w:val="nil"/>
            </w:tcBorders>
            <w:noWrap/>
            <w:vAlign w:val="bottom"/>
            <w:hideMark/>
          </w:tcPr>
          <w:p w:rsidRPr="00B52D66" w:rsidR="00B52D66" w:rsidP="00FC2172" w:rsidRDefault="00B52D66" w14:paraId="248B13F7" w14:textId="77777777">
            <w:pPr>
              <w:spacing w:line="240" w:lineRule="auto"/>
              <w:jc w:val="center"/>
              <w:rPr>
                <w:rFonts w:cs="Arial"/>
                <w:szCs w:val="18"/>
                <w:lang w:val="en-GB" w:eastAsia="en-GB"/>
              </w:rPr>
            </w:pPr>
            <w:r w:rsidRPr="00B52D66">
              <w:rPr>
                <w:rFonts w:cs="Arial"/>
                <w:szCs w:val="18"/>
                <w:lang w:val="en-GB" w:eastAsia="en-GB"/>
              </w:rPr>
              <w:t>61,6</w:t>
            </w:r>
          </w:p>
        </w:tc>
      </w:tr>
      <w:tr w:rsidRPr="00B52D66" w:rsidR="00B52D66" w:rsidTr="00B52D66" w14:paraId="10B8A4E2"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6D1ED407" w14:textId="77777777">
            <w:pPr>
              <w:spacing w:line="240" w:lineRule="auto"/>
              <w:rPr>
                <w:rFonts w:cs="Arial"/>
                <w:szCs w:val="18"/>
                <w:lang w:val="en-GB" w:eastAsia="en-GB"/>
              </w:rPr>
            </w:pPr>
            <w:r w:rsidRPr="00B52D66">
              <w:rPr>
                <w:rFonts w:cs="Arial"/>
                <w:szCs w:val="18"/>
                <w:lang w:val="en-GB" w:eastAsia="en-GB"/>
              </w:rPr>
              <w:t xml:space="preserve">   Groen</w:t>
            </w:r>
          </w:p>
        </w:tc>
        <w:tc>
          <w:tcPr>
            <w:tcW w:w="482" w:type="pct"/>
            <w:tcBorders>
              <w:top w:val="nil"/>
              <w:left w:val="nil"/>
              <w:bottom w:val="nil"/>
              <w:right w:val="nil"/>
            </w:tcBorders>
            <w:noWrap/>
            <w:vAlign w:val="bottom"/>
            <w:hideMark/>
          </w:tcPr>
          <w:p w:rsidRPr="00B52D66" w:rsidR="00B52D66" w:rsidP="00FC2172" w:rsidRDefault="00B52D66" w14:paraId="52B912C4" w14:textId="77777777">
            <w:pPr>
              <w:spacing w:line="240" w:lineRule="auto"/>
              <w:jc w:val="center"/>
              <w:rPr>
                <w:rFonts w:cs="Arial"/>
                <w:szCs w:val="18"/>
                <w:lang w:val="en-GB" w:eastAsia="en-GB"/>
              </w:rPr>
            </w:pPr>
            <w:r w:rsidRPr="00B52D66">
              <w:rPr>
                <w:rFonts w:cs="Arial"/>
                <w:szCs w:val="18"/>
                <w:lang w:val="en-GB" w:eastAsia="en-GB"/>
              </w:rPr>
              <w:t>13,5</w:t>
            </w:r>
          </w:p>
        </w:tc>
        <w:tc>
          <w:tcPr>
            <w:tcW w:w="482" w:type="pct"/>
            <w:tcBorders>
              <w:top w:val="nil"/>
              <w:left w:val="nil"/>
              <w:bottom w:val="nil"/>
              <w:right w:val="nil"/>
            </w:tcBorders>
            <w:noWrap/>
            <w:vAlign w:val="bottom"/>
            <w:hideMark/>
          </w:tcPr>
          <w:p w:rsidRPr="00B52D66" w:rsidR="00B52D66" w:rsidP="00FC2172" w:rsidRDefault="00B52D66" w14:paraId="2111DDB8" w14:textId="77777777">
            <w:pPr>
              <w:spacing w:line="240" w:lineRule="auto"/>
              <w:jc w:val="center"/>
              <w:rPr>
                <w:rFonts w:cs="Arial"/>
                <w:szCs w:val="18"/>
                <w:lang w:val="en-GB" w:eastAsia="en-GB"/>
              </w:rPr>
            </w:pPr>
            <w:r w:rsidRPr="00B52D66">
              <w:rPr>
                <w:rFonts w:cs="Arial"/>
                <w:szCs w:val="18"/>
                <w:lang w:val="en-GB" w:eastAsia="en-GB"/>
              </w:rPr>
              <w:t>14,6</w:t>
            </w:r>
          </w:p>
        </w:tc>
        <w:tc>
          <w:tcPr>
            <w:tcW w:w="482" w:type="pct"/>
            <w:tcBorders>
              <w:top w:val="nil"/>
              <w:left w:val="nil"/>
              <w:bottom w:val="nil"/>
              <w:right w:val="nil"/>
            </w:tcBorders>
            <w:noWrap/>
            <w:vAlign w:val="bottom"/>
            <w:hideMark/>
          </w:tcPr>
          <w:p w:rsidRPr="00B52D66" w:rsidR="00B52D66" w:rsidP="00FC2172" w:rsidRDefault="00B52D66" w14:paraId="4573A0A1" w14:textId="77777777">
            <w:pPr>
              <w:spacing w:line="240" w:lineRule="auto"/>
              <w:jc w:val="center"/>
              <w:rPr>
                <w:rFonts w:cs="Arial"/>
                <w:szCs w:val="18"/>
                <w:lang w:val="en-GB" w:eastAsia="en-GB"/>
              </w:rPr>
            </w:pPr>
            <w:r w:rsidRPr="00B52D66">
              <w:rPr>
                <w:rFonts w:cs="Arial"/>
                <w:szCs w:val="18"/>
                <w:lang w:val="en-GB" w:eastAsia="en-GB"/>
              </w:rPr>
              <w:t>16,2</w:t>
            </w:r>
          </w:p>
        </w:tc>
        <w:tc>
          <w:tcPr>
            <w:tcW w:w="482" w:type="pct"/>
            <w:tcBorders>
              <w:top w:val="nil"/>
              <w:left w:val="nil"/>
              <w:bottom w:val="nil"/>
              <w:right w:val="nil"/>
            </w:tcBorders>
            <w:noWrap/>
            <w:vAlign w:val="bottom"/>
            <w:hideMark/>
          </w:tcPr>
          <w:p w:rsidRPr="00B52D66" w:rsidR="00B52D66" w:rsidP="00FC2172" w:rsidRDefault="00B52D66" w14:paraId="7FE61095" w14:textId="77777777">
            <w:pPr>
              <w:spacing w:line="240" w:lineRule="auto"/>
              <w:jc w:val="center"/>
              <w:rPr>
                <w:rFonts w:cs="Arial"/>
                <w:szCs w:val="18"/>
                <w:lang w:val="en-GB" w:eastAsia="en-GB"/>
              </w:rPr>
            </w:pPr>
            <w:r w:rsidRPr="00B52D66">
              <w:rPr>
                <w:rFonts w:cs="Arial"/>
                <w:szCs w:val="18"/>
                <w:lang w:val="en-GB" w:eastAsia="en-GB"/>
              </w:rPr>
              <w:t>14,8</w:t>
            </w:r>
          </w:p>
        </w:tc>
        <w:tc>
          <w:tcPr>
            <w:tcW w:w="482" w:type="pct"/>
            <w:tcBorders>
              <w:top w:val="nil"/>
              <w:left w:val="nil"/>
              <w:bottom w:val="nil"/>
              <w:right w:val="nil"/>
            </w:tcBorders>
            <w:noWrap/>
            <w:vAlign w:val="bottom"/>
            <w:hideMark/>
          </w:tcPr>
          <w:p w:rsidRPr="00B52D66" w:rsidR="00B52D66" w:rsidP="00FC2172" w:rsidRDefault="00B52D66" w14:paraId="38172B00" w14:textId="77777777">
            <w:pPr>
              <w:spacing w:line="240" w:lineRule="auto"/>
              <w:jc w:val="center"/>
              <w:rPr>
                <w:rFonts w:cs="Arial"/>
                <w:szCs w:val="18"/>
                <w:lang w:val="en-GB" w:eastAsia="en-GB"/>
              </w:rPr>
            </w:pPr>
            <w:r w:rsidRPr="00B52D66">
              <w:rPr>
                <w:rFonts w:cs="Arial"/>
                <w:szCs w:val="18"/>
                <w:lang w:val="en-GB" w:eastAsia="en-GB"/>
              </w:rPr>
              <w:t>16,0</w:t>
            </w:r>
          </w:p>
        </w:tc>
        <w:tc>
          <w:tcPr>
            <w:tcW w:w="482" w:type="pct"/>
            <w:tcBorders>
              <w:top w:val="nil"/>
              <w:left w:val="nil"/>
              <w:bottom w:val="nil"/>
              <w:right w:val="nil"/>
            </w:tcBorders>
            <w:noWrap/>
            <w:vAlign w:val="bottom"/>
            <w:hideMark/>
          </w:tcPr>
          <w:p w:rsidRPr="00B52D66" w:rsidR="00B52D66" w:rsidP="00FC2172" w:rsidRDefault="00B52D66" w14:paraId="6BD9770A" w14:textId="77777777">
            <w:pPr>
              <w:spacing w:line="240" w:lineRule="auto"/>
              <w:jc w:val="center"/>
              <w:rPr>
                <w:rFonts w:cs="Arial"/>
                <w:szCs w:val="18"/>
                <w:lang w:val="en-GB" w:eastAsia="en-GB"/>
              </w:rPr>
            </w:pPr>
            <w:r w:rsidRPr="00B52D66">
              <w:rPr>
                <w:rFonts w:cs="Arial"/>
                <w:szCs w:val="18"/>
                <w:lang w:val="en-GB" w:eastAsia="en-GB"/>
              </w:rPr>
              <w:t>15,5</w:t>
            </w:r>
          </w:p>
        </w:tc>
      </w:tr>
      <w:tr w:rsidRPr="00B52D66" w:rsidR="00B52D66" w:rsidTr="00B52D66" w14:paraId="620F2C17"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169A3B76" w14:textId="77777777">
            <w:pPr>
              <w:spacing w:line="240" w:lineRule="auto"/>
              <w:rPr>
                <w:rFonts w:cs="Arial"/>
                <w:szCs w:val="18"/>
                <w:lang w:val="en-GB" w:eastAsia="en-GB"/>
              </w:rPr>
            </w:pPr>
            <w:r w:rsidRPr="00B52D66">
              <w:rPr>
                <w:rFonts w:cs="Arial"/>
                <w:szCs w:val="18"/>
                <w:lang w:val="en-GB" w:eastAsia="en-GB"/>
              </w:rPr>
              <w:t xml:space="preserve">   HBR</w:t>
            </w:r>
          </w:p>
        </w:tc>
        <w:tc>
          <w:tcPr>
            <w:tcW w:w="482" w:type="pct"/>
            <w:tcBorders>
              <w:top w:val="nil"/>
              <w:left w:val="nil"/>
              <w:bottom w:val="nil"/>
              <w:right w:val="nil"/>
            </w:tcBorders>
            <w:noWrap/>
            <w:vAlign w:val="bottom"/>
            <w:hideMark/>
          </w:tcPr>
          <w:p w:rsidRPr="00B52D66" w:rsidR="00B52D66" w:rsidP="00FC2172" w:rsidRDefault="00B52D66" w14:paraId="35E7CAAD" w14:textId="77777777">
            <w:pPr>
              <w:spacing w:line="240" w:lineRule="auto"/>
              <w:jc w:val="center"/>
              <w:rPr>
                <w:rFonts w:cs="Arial"/>
                <w:szCs w:val="18"/>
                <w:lang w:val="en-GB" w:eastAsia="en-GB"/>
              </w:rPr>
            </w:pPr>
            <w:r w:rsidRPr="00B52D66">
              <w:rPr>
                <w:rFonts w:cs="Arial"/>
                <w:szCs w:val="18"/>
                <w:lang w:val="en-GB" w:eastAsia="en-GB"/>
              </w:rPr>
              <w:t>28,3</w:t>
            </w:r>
          </w:p>
        </w:tc>
        <w:tc>
          <w:tcPr>
            <w:tcW w:w="482" w:type="pct"/>
            <w:tcBorders>
              <w:top w:val="nil"/>
              <w:left w:val="nil"/>
              <w:bottom w:val="nil"/>
              <w:right w:val="nil"/>
            </w:tcBorders>
            <w:noWrap/>
            <w:vAlign w:val="bottom"/>
            <w:hideMark/>
          </w:tcPr>
          <w:p w:rsidRPr="00B52D66" w:rsidR="00B52D66" w:rsidP="00FC2172" w:rsidRDefault="00B52D66" w14:paraId="18571A27" w14:textId="77777777">
            <w:pPr>
              <w:spacing w:line="240" w:lineRule="auto"/>
              <w:jc w:val="center"/>
              <w:rPr>
                <w:rFonts w:cs="Arial"/>
                <w:szCs w:val="18"/>
                <w:lang w:val="en-GB" w:eastAsia="en-GB"/>
              </w:rPr>
            </w:pPr>
            <w:r w:rsidRPr="00B52D66">
              <w:rPr>
                <w:rFonts w:cs="Arial"/>
                <w:szCs w:val="18"/>
                <w:lang w:val="en-GB" w:eastAsia="en-GB"/>
              </w:rPr>
              <w:t>25,6</w:t>
            </w:r>
          </w:p>
        </w:tc>
        <w:tc>
          <w:tcPr>
            <w:tcW w:w="482" w:type="pct"/>
            <w:tcBorders>
              <w:top w:val="nil"/>
              <w:left w:val="nil"/>
              <w:bottom w:val="nil"/>
              <w:right w:val="nil"/>
            </w:tcBorders>
            <w:noWrap/>
            <w:vAlign w:val="bottom"/>
            <w:hideMark/>
          </w:tcPr>
          <w:p w:rsidRPr="00B52D66" w:rsidR="00B52D66" w:rsidP="00FC2172" w:rsidRDefault="00B52D66" w14:paraId="609312B2" w14:textId="77777777">
            <w:pPr>
              <w:spacing w:line="240" w:lineRule="auto"/>
              <w:jc w:val="center"/>
              <w:rPr>
                <w:rFonts w:cs="Arial"/>
                <w:szCs w:val="18"/>
                <w:lang w:val="en-GB" w:eastAsia="en-GB"/>
              </w:rPr>
            </w:pPr>
            <w:r w:rsidRPr="00B52D66">
              <w:rPr>
                <w:rFonts w:cs="Arial"/>
                <w:szCs w:val="18"/>
                <w:lang w:val="en-GB" w:eastAsia="en-GB"/>
              </w:rPr>
              <w:t>26,9</w:t>
            </w:r>
          </w:p>
        </w:tc>
        <w:tc>
          <w:tcPr>
            <w:tcW w:w="482" w:type="pct"/>
            <w:tcBorders>
              <w:top w:val="nil"/>
              <w:left w:val="nil"/>
              <w:bottom w:val="nil"/>
              <w:right w:val="nil"/>
            </w:tcBorders>
            <w:noWrap/>
            <w:vAlign w:val="bottom"/>
            <w:hideMark/>
          </w:tcPr>
          <w:p w:rsidRPr="00B52D66" w:rsidR="00B52D66" w:rsidP="00FC2172" w:rsidRDefault="00B52D66" w14:paraId="05413047" w14:textId="77777777">
            <w:pPr>
              <w:spacing w:line="240" w:lineRule="auto"/>
              <w:jc w:val="center"/>
              <w:rPr>
                <w:rFonts w:cs="Arial"/>
                <w:szCs w:val="18"/>
                <w:lang w:val="en-GB" w:eastAsia="en-GB"/>
              </w:rPr>
            </w:pPr>
            <w:r w:rsidRPr="00B52D66">
              <w:rPr>
                <w:rFonts w:cs="Arial"/>
                <w:szCs w:val="18"/>
                <w:lang w:val="en-GB" w:eastAsia="en-GB"/>
              </w:rPr>
              <w:t>31,8</w:t>
            </w:r>
          </w:p>
        </w:tc>
        <w:tc>
          <w:tcPr>
            <w:tcW w:w="482" w:type="pct"/>
            <w:tcBorders>
              <w:top w:val="nil"/>
              <w:left w:val="nil"/>
              <w:bottom w:val="nil"/>
              <w:right w:val="nil"/>
            </w:tcBorders>
            <w:noWrap/>
            <w:vAlign w:val="bottom"/>
            <w:hideMark/>
          </w:tcPr>
          <w:p w:rsidRPr="00B52D66" w:rsidR="00B52D66" w:rsidP="00FC2172" w:rsidRDefault="00B52D66" w14:paraId="30E5BFB4" w14:textId="77777777">
            <w:pPr>
              <w:spacing w:line="240" w:lineRule="auto"/>
              <w:jc w:val="center"/>
              <w:rPr>
                <w:rFonts w:cs="Arial"/>
                <w:szCs w:val="18"/>
                <w:lang w:val="en-GB" w:eastAsia="en-GB"/>
              </w:rPr>
            </w:pPr>
            <w:r w:rsidRPr="00B52D66">
              <w:rPr>
                <w:rFonts w:cs="Arial"/>
                <w:szCs w:val="18"/>
                <w:lang w:val="en-GB" w:eastAsia="en-GB"/>
              </w:rPr>
              <w:t>32,1</w:t>
            </w:r>
          </w:p>
        </w:tc>
        <w:tc>
          <w:tcPr>
            <w:tcW w:w="482" w:type="pct"/>
            <w:tcBorders>
              <w:top w:val="nil"/>
              <w:left w:val="nil"/>
              <w:bottom w:val="nil"/>
              <w:right w:val="nil"/>
            </w:tcBorders>
            <w:noWrap/>
            <w:vAlign w:val="bottom"/>
            <w:hideMark/>
          </w:tcPr>
          <w:p w:rsidRPr="00B52D66" w:rsidR="00B52D66" w:rsidP="00FC2172" w:rsidRDefault="00B52D66" w14:paraId="78F820CC" w14:textId="77777777">
            <w:pPr>
              <w:spacing w:line="240" w:lineRule="auto"/>
              <w:jc w:val="center"/>
              <w:rPr>
                <w:rFonts w:cs="Arial"/>
                <w:szCs w:val="18"/>
                <w:lang w:val="en-GB" w:eastAsia="en-GB"/>
              </w:rPr>
            </w:pPr>
            <w:r w:rsidRPr="00B52D66">
              <w:rPr>
                <w:rFonts w:cs="Arial"/>
                <w:szCs w:val="18"/>
                <w:lang w:val="en-GB" w:eastAsia="en-GB"/>
              </w:rPr>
              <w:t>32,5</w:t>
            </w:r>
          </w:p>
        </w:tc>
      </w:tr>
      <w:tr w:rsidRPr="00B52D66" w:rsidR="00B52D66" w:rsidTr="00B52D66" w14:paraId="448AED54"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7B1B6377" w14:textId="77777777">
            <w:pPr>
              <w:spacing w:line="240" w:lineRule="auto"/>
              <w:rPr>
                <w:rFonts w:cs="Arial"/>
                <w:szCs w:val="18"/>
                <w:lang w:val="en-GB" w:eastAsia="en-GB"/>
              </w:rPr>
            </w:pPr>
            <w:r w:rsidRPr="00B52D66">
              <w:rPr>
                <w:rFonts w:cs="Arial"/>
                <w:szCs w:val="18"/>
                <w:lang w:val="en-GB" w:eastAsia="en-GB"/>
              </w:rPr>
              <w:t xml:space="preserve">   Z&amp;W</w:t>
            </w:r>
          </w:p>
        </w:tc>
        <w:tc>
          <w:tcPr>
            <w:tcW w:w="482" w:type="pct"/>
            <w:tcBorders>
              <w:top w:val="nil"/>
              <w:left w:val="nil"/>
              <w:bottom w:val="nil"/>
              <w:right w:val="nil"/>
            </w:tcBorders>
            <w:noWrap/>
            <w:vAlign w:val="bottom"/>
            <w:hideMark/>
          </w:tcPr>
          <w:p w:rsidRPr="00B52D66" w:rsidR="00B52D66" w:rsidP="00FC2172" w:rsidRDefault="00B52D66" w14:paraId="64C3C8C2" w14:textId="77777777">
            <w:pPr>
              <w:spacing w:line="240" w:lineRule="auto"/>
              <w:jc w:val="center"/>
              <w:rPr>
                <w:rFonts w:cs="Arial"/>
                <w:szCs w:val="18"/>
                <w:lang w:val="en-GB" w:eastAsia="en-GB"/>
              </w:rPr>
            </w:pPr>
            <w:r w:rsidRPr="00B52D66">
              <w:rPr>
                <w:rFonts w:cs="Arial"/>
                <w:szCs w:val="18"/>
                <w:lang w:val="en-GB" w:eastAsia="en-GB"/>
              </w:rPr>
              <w:t>40,8</w:t>
            </w:r>
          </w:p>
        </w:tc>
        <w:tc>
          <w:tcPr>
            <w:tcW w:w="482" w:type="pct"/>
            <w:tcBorders>
              <w:top w:val="nil"/>
              <w:left w:val="nil"/>
              <w:bottom w:val="nil"/>
              <w:right w:val="nil"/>
            </w:tcBorders>
            <w:noWrap/>
            <w:vAlign w:val="bottom"/>
            <w:hideMark/>
          </w:tcPr>
          <w:p w:rsidRPr="00B52D66" w:rsidR="00B52D66" w:rsidP="00FC2172" w:rsidRDefault="00B52D66" w14:paraId="45F9B67C" w14:textId="77777777">
            <w:pPr>
              <w:spacing w:line="240" w:lineRule="auto"/>
              <w:jc w:val="center"/>
              <w:rPr>
                <w:rFonts w:cs="Arial"/>
                <w:szCs w:val="18"/>
                <w:lang w:val="en-GB" w:eastAsia="en-GB"/>
              </w:rPr>
            </w:pPr>
            <w:r w:rsidRPr="00B52D66">
              <w:rPr>
                <w:rFonts w:cs="Arial"/>
                <w:szCs w:val="18"/>
                <w:lang w:val="en-GB" w:eastAsia="en-GB"/>
              </w:rPr>
              <w:t>44,1</w:t>
            </w:r>
          </w:p>
        </w:tc>
        <w:tc>
          <w:tcPr>
            <w:tcW w:w="482" w:type="pct"/>
            <w:tcBorders>
              <w:top w:val="nil"/>
              <w:left w:val="nil"/>
              <w:bottom w:val="nil"/>
              <w:right w:val="nil"/>
            </w:tcBorders>
            <w:noWrap/>
            <w:vAlign w:val="bottom"/>
            <w:hideMark/>
          </w:tcPr>
          <w:p w:rsidRPr="00B52D66" w:rsidR="00B52D66" w:rsidP="00FC2172" w:rsidRDefault="00B52D66" w14:paraId="17DA7E21" w14:textId="77777777">
            <w:pPr>
              <w:spacing w:line="240" w:lineRule="auto"/>
              <w:jc w:val="center"/>
              <w:rPr>
                <w:rFonts w:cs="Arial"/>
                <w:szCs w:val="18"/>
                <w:lang w:val="en-GB" w:eastAsia="en-GB"/>
              </w:rPr>
            </w:pPr>
            <w:r w:rsidRPr="00B52D66">
              <w:rPr>
                <w:rFonts w:cs="Arial"/>
                <w:szCs w:val="18"/>
                <w:lang w:val="en-GB" w:eastAsia="en-GB"/>
              </w:rPr>
              <w:t>45,8</w:t>
            </w:r>
          </w:p>
        </w:tc>
        <w:tc>
          <w:tcPr>
            <w:tcW w:w="482" w:type="pct"/>
            <w:tcBorders>
              <w:top w:val="nil"/>
              <w:left w:val="nil"/>
              <w:bottom w:val="nil"/>
              <w:right w:val="nil"/>
            </w:tcBorders>
            <w:noWrap/>
            <w:vAlign w:val="bottom"/>
            <w:hideMark/>
          </w:tcPr>
          <w:p w:rsidRPr="00B52D66" w:rsidR="00B52D66" w:rsidP="00FC2172" w:rsidRDefault="00B52D66" w14:paraId="34256B9D" w14:textId="77777777">
            <w:pPr>
              <w:spacing w:line="240" w:lineRule="auto"/>
              <w:jc w:val="center"/>
              <w:rPr>
                <w:rFonts w:cs="Arial"/>
                <w:szCs w:val="18"/>
                <w:lang w:val="en-GB" w:eastAsia="en-GB"/>
              </w:rPr>
            </w:pPr>
            <w:r w:rsidRPr="00B52D66">
              <w:rPr>
                <w:rFonts w:cs="Arial"/>
                <w:szCs w:val="18"/>
                <w:lang w:val="en-GB" w:eastAsia="en-GB"/>
              </w:rPr>
              <w:t>46,5</w:t>
            </w:r>
          </w:p>
        </w:tc>
        <w:tc>
          <w:tcPr>
            <w:tcW w:w="482" w:type="pct"/>
            <w:tcBorders>
              <w:top w:val="nil"/>
              <w:left w:val="nil"/>
              <w:bottom w:val="nil"/>
              <w:right w:val="nil"/>
            </w:tcBorders>
            <w:noWrap/>
            <w:vAlign w:val="bottom"/>
            <w:hideMark/>
          </w:tcPr>
          <w:p w:rsidRPr="00B52D66" w:rsidR="00B52D66" w:rsidP="00FC2172" w:rsidRDefault="00B52D66" w14:paraId="1A9E45A5" w14:textId="77777777">
            <w:pPr>
              <w:spacing w:line="240" w:lineRule="auto"/>
              <w:jc w:val="center"/>
              <w:rPr>
                <w:rFonts w:cs="Arial"/>
                <w:szCs w:val="18"/>
                <w:lang w:val="en-GB" w:eastAsia="en-GB"/>
              </w:rPr>
            </w:pPr>
            <w:r w:rsidRPr="00B52D66">
              <w:rPr>
                <w:rFonts w:cs="Arial"/>
                <w:szCs w:val="18"/>
                <w:lang w:val="en-GB" w:eastAsia="en-GB"/>
              </w:rPr>
              <w:t>43,9</w:t>
            </w:r>
          </w:p>
        </w:tc>
        <w:tc>
          <w:tcPr>
            <w:tcW w:w="482" w:type="pct"/>
            <w:tcBorders>
              <w:top w:val="nil"/>
              <w:left w:val="nil"/>
              <w:bottom w:val="nil"/>
              <w:right w:val="nil"/>
            </w:tcBorders>
            <w:noWrap/>
            <w:vAlign w:val="bottom"/>
            <w:hideMark/>
          </w:tcPr>
          <w:p w:rsidRPr="00B52D66" w:rsidR="00B52D66" w:rsidP="00FC2172" w:rsidRDefault="00B52D66" w14:paraId="44E29C17" w14:textId="77777777">
            <w:pPr>
              <w:spacing w:line="240" w:lineRule="auto"/>
              <w:jc w:val="center"/>
              <w:rPr>
                <w:rFonts w:cs="Arial"/>
                <w:szCs w:val="18"/>
                <w:lang w:val="en-GB" w:eastAsia="en-GB"/>
              </w:rPr>
            </w:pPr>
            <w:r w:rsidRPr="00B52D66">
              <w:rPr>
                <w:rFonts w:cs="Arial"/>
                <w:szCs w:val="18"/>
                <w:lang w:val="en-GB" w:eastAsia="en-GB"/>
              </w:rPr>
              <w:t>47,2</w:t>
            </w:r>
          </w:p>
        </w:tc>
      </w:tr>
      <w:tr w:rsidRPr="00B52D66" w:rsidR="00B52D66" w:rsidTr="00B52D66" w14:paraId="5C3FBA8D"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20BF9A97" w14:textId="77777777">
            <w:pPr>
              <w:spacing w:line="240" w:lineRule="auto"/>
              <w:rPr>
                <w:rFonts w:cs="Arial"/>
                <w:b/>
                <w:bCs/>
                <w:szCs w:val="18"/>
                <w:lang w:val="en-GB" w:eastAsia="en-GB"/>
              </w:rPr>
            </w:pPr>
            <w:r w:rsidRPr="00B52D66">
              <w:rPr>
                <w:rFonts w:cs="Arial"/>
                <w:b/>
                <w:bCs/>
                <w:szCs w:val="18"/>
                <w:lang w:val="en-GB" w:eastAsia="en-GB"/>
              </w:rPr>
              <w:t>Kaderberoepsgerichte leerweg</w:t>
            </w:r>
          </w:p>
        </w:tc>
        <w:tc>
          <w:tcPr>
            <w:tcW w:w="482" w:type="pct"/>
            <w:tcBorders>
              <w:top w:val="nil"/>
              <w:left w:val="nil"/>
              <w:bottom w:val="nil"/>
              <w:right w:val="nil"/>
            </w:tcBorders>
            <w:noWrap/>
            <w:vAlign w:val="bottom"/>
            <w:hideMark/>
          </w:tcPr>
          <w:p w:rsidRPr="00B52D66" w:rsidR="00B52D66" w:rsidP="00FC2172" w:rsidRDefault="00B52D66" w14:paraId="719A5BFC"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49C7B72D"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0DCB1118"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425B6DBB"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488D789F"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765955DB" w14:textId="77777777">
            <w:pPr>
              <w:spacing w:line="240" w:lineRule="auto"/>
              <w:jc w:val="center"/>
              <w:rPr>
                <w:rFonts w:cs="Arial"/>
                <w:b/>
                <w:bCs/>
                <w:szCs w:val="18"/>
                <w:lang w:val="en-GB" w:eastAsia="en-GB"/>
              </w:rPr>
            </w:pPr>
            <w:r w:rsidRPr="00B52D66">
              <w:rPr>
                <w:rFonts w:cs="Arial"/>
                <w:b/>
                <w:bCs/>
                <w:szCs w:val="18"/>
                <w:lang w:val="en-GB" w:eastAsia="en-GB"/>
              </w:rPr>
              <w:t> </w:t>
            </w:r>
          </w:p>
        </w:tc>
      </w:tr>
      <w:tr w:rsidRPr="00B52D66" w:rsidR="00B52D66" w:rsidTr="00B52D66" w14:paraId="248C80C7"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13E4A724" w14:textId="77777777">
            <w:pPr>
              <w:spacing w:line="240" w:lineRule="auto"/>
              <w:rPr>
                <w:rFonts w:cs="Arial"/>
                <w:b/>
                <w:bCs/>
                <w:szCs w:val="18"/>
                <w:lang w:val="en-GB" w:eastAsia="en-GB"/>
              </w:rPr>
            </w:pPr>
            <w:r w:rsidRPr="00B52D66">
              <w:rPr>
                <w:rFonts w:cs="Arial"/>
                <w:b/>
                <w:bCs/>
                <w:szCs w:val="18"/>
                <w:lang w:val="en-GB" w:eastAsia="en-GB"/>
              </w:rPr>
              <w:t xml:space="preserve">  Techniek</w:t>
            </w:r>
          </w:p>
        </w:tc>
        <w:tc>
          <w:tcPr>
            <w:tcW w:w="482" w:type="pct"/>
            <w:tcBorders>
              <w:top w:val="nil"/>
              <w:left w:val="nil"/>
              <w:bottom w:val="nil"/>
              <w:right w:val="nil"/>
            </w:tcBorders>
            <w:noWrap/>
            <w:vAlign w:val="bottom"/>
            <w:hideMark/>
          </w:tcPr>
          <w:p w:rsidRPr="00B52D66" w:rsidR="00B52D66" w:rsidP="00FC2172" w:rsidRDefault="00B52D66" w14:paraId="45ECC37B"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27141064"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47C5837A"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7F51AD2B"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7B6D4041"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294704B6" w14:textId="77777777">
            <w:pPr>
              <w:spacing w:line="240" w:lineRule="auto"/>
              <w:jc w:val="center"/>
              <w:rPr>
                <w:rFonts w:cs="Arial"/>
                <w:b/>
                <w:bCs/>
                <w:szCs w:val="18"/>
                <w:lang w:val="en-GB" w:eastAsia="en-GB"/>
              </w:rPr>
            </w:pPr>
            <w:r w:rsidRPr="00B52D66">
              <w:rPr>
                <w:rFonts w:cs="Arial"/>
                <w:b/>
                <w:bCs/>
                <w:szCs w:val="18"/>
                <w:lang w:val="en-GB" w:eastAsia="en-GB"/>
              </w:rPr>
              <w:t> </w:t>
            </w:r>
          </w:p>
        </w:tc>
      </w:tr>
      <w:tr w:rsidRPr="00B52D66" w:rsidR="00B52D66" w:rsidTr="00B52D66" w14:paraId="0402B9C6" w14:textId="77777777">
        <w:trPr>
          <w:trHeight w:val="280"/>
        </w:trPr>
        <w:tc>
          <w:tcPr>
            <w:tcW w:w="2105" w:type="pct"/>
            <w:tcBorders>
              <w:top w:val="nil"/>
              <w:left w:val="nil"/>
              <w:bottom w:val="nil"/>
              <w:right w:val="nil"/>
            </w:tcBorders>
            <w:noWrap/>
            <w:hideMark/>
          </w:tcPr>
          <w:p w:rsidRPr="00B52D66" w:rsidR="00B52D66" w:rsidP="00FC2172" w:rsidRDefault="00B52D66" w14:paraId="3D3510C9" w14:textId="77777777">
            <w:pPr>
              <w:spacing w:line="240" w:lineRule="auto"/>
              <w:rPr>
                <w:rFonts w:cs="Arial"/>
                <w:szCs w:val="18"/>
                <w:lang w:val="en-GB" w:eastAsia="en-GB"/>
              </w:rPr>
            </w:pPr>
            <w:r w:rsidRPr="00B52D66">
              <w:rPr>
                <w:rFonts w:cs="Arial"/>
                <w:szCs w:val="18"/>
                <w:lang w:val="en-GB" w:eastAsia="en-GB"/>
              </w:rPr>
              <w:t xml:space="preserve">   BWI</w:t>
            </w:r>
          </w:p>
        </w:tc>
        <w:tc>
          <w:tcPr>
            <w:tcW w:w="482" w:type="pct"/>
            <w:tcBorders>
              <w:top w:val="nil"/>
              <w:left w:val="nil"/>
              <w:bottom w:val="nil"/>
              <w:right w:val="nil"/>
            </w:tcBorders>
            <w:noWrap/>
            <w:vAlign w:val="bottom"/>
            <w:hideMark/>
          </w:tcPr>
          <w:p w:rsidRPr="00B52D66" w:rsidR="00B52D66" w:rsidP="00FC2172" w:rsidRDefault="00B52D66" w14:paraId="37D1B53A" w14:textId="77777777">
            <w:pPr>
              <w:spacing w:line="240" w:lineRule="auto"/>
              <w:jc w:val="center"/>
              <w:rPr>
                <w:rFonts w:cs="Arial"/>
                <w:szCs w:val="18"/>
                <w:lang w:val="en-GB" w:eastAsia="en-GB"/>
              </w:rPr>
            </w:pPr>
            <w:r w:rsidRPr="00B52D66">
              <w:rPr>
                <w:rFonts w:cs="Arial"/>
                <w:szCs w:val="18"/>
                <w:lang w:val="en-GB" w:eastAsia="en-GB"/>
              </w:rPr>
              <w:t>11,8</w:t>
            </w:r>
          </w:p>
        </w:tc>
        <w:tc>
          <w:tcPr>
            <w:tcW w:w="482" w:type="pct"/>
            <w:tcBorders>
              <w:top w:val="nil"/>
              <w:left w:val="nil"/>
              <w:bottom w:val="nil"/>
              <w:right w:val="nil"/>
            </w:tcBorders>
            <w:noWrap/>
            <w:vAlign w:val="bottom"/>
            <w:hideMark/>
          </w:tcPr>
          <w:p w:rsidRPr="00B52D66" w:rsidR="00B52D66" w:rsidP="00FC2172" w:rsidRDefault="00B52D66" w14:paraId="0322537B" w14:textId="77777777">
            <w:pPr>
              <w:spacing w:line="240" w:lineRule="auto"/>
              <w:jc w:val="center"/>
              <w:rPr>
                <w:rFonts w:cs="Arial"/>
                <w:szCs w:val="18"/>
                <w:lang w:val="en-GB" w:eastAsia="en-GB"/>
              </w:rPr>
            </w:pPr>
            <w:r w:rsidRPr="00B52D66">
              <w:rPr>
                <w:rFonts w:cs="Arial"/>
                <w:szCs w:val="18"/>
                <w:lang w:val="en-GB" w:eastAsia="en-GB"/>
              </w:rPr>
              <w:t>10,8</w:t>
            </w:r>
          </w:p>
        </w:tc>
        <w:tc>
          <w:tcPr>
            <w:tcW w:w="482" w:type="pct"/>
            <w:tcBorders>
              <w:top w:val="nil"/>
              <w:left w:val="nil"/>
              <w:bottom w:val="nil"/>
              <w:right w:val="nil"/>
            </w:tcBorders>
            <w:noWrap/>
            <w:vAlign w:val="bottom"/>
            <w:hideMark/>
          </w:tcPr>
          <w:p w:rsidRPr="00B52D66" w:rsidR="00B52D66" w:rsidP="00FC2172" w:rsidRDefault="00B52D66" w14:paraId="56E94E41" w14:textId="77777777">
            <w:pPr>
              <w:spacing w:line="240" w:lineRule="auto"/>
              <w:jc w:val="center"/>
              <w:rPr>
                <w:rFonts w:cs="Arial"/>
                <w:szCs w:val="18"/>
                <w:lang w:val="en-GB" w:eastAsia="en-GB"/>
              </w:rPr>
            </w:pPr>
            <w:r w:rsidRPr="00B52D66">
              <w:rPr>
                <w:rFonts w:cs="Arial"/>
                <w:szCs w:val="18"/>
                <w:lang w:val="en-GB" w:eastAsia="en-GB"/>
              </w:rPr>
              <w:t>11,2</w:t>
            </w:r>
          </w:p>
        </w:tc>
        <w:tc>
          <w:tcPr>
            <w:tcW w:w="482" w:type="pct"/>
            <w:tcBorders>
              <w:top w:val="nil"/>
              <w:left w:val="nil"/>
              <w:bottom w:val="nil"/>
              <w:right w:val="nil"/>
            </w:tcBorders>
            <w:noWrap/>
            <w:vAlign w:val="bottom"/>
            <w:hideMark/>
          </w:tcPr>
          <w:p w:rsidRPr="00B52D66" w:rsidR="00B52D66" w:rsidP="00FC2172" w:rsidRDefault="00B52D66" w14:paraId="4F6BF2C6" w14:textId="77777777">
            <w:pPr>
              <w:spacing w:line="240" w:lineRule="auto"/>
              <w:jc w:val="center"/>
              <w:rPr>
                <w:rFonts w:cs="Arial"/>
                <w:szCs w:val="18"/>
                <w:lang w:val="en-GB" w:eastAsia="en-GB"/>
              </w:rPr>
            </w:pPr>
            <w:r w:rsidRPr="00B52D66">
              <w:rPr>
                <w:rFonts w:cs="Arial"/>
                <w:szCs w:val="18"/>
                <w:lang w:val="en-GB" w:eastAsia="en-GB"/>
              </w:rPr>
              <w:t>11,8</w:t>
            </w:r>
          </w:p>
        </w:tc>
        <w:tc>
          <w:tcPr>
            <w:tcW w:w="482" w:type="pct"/>
            <w:tcBorders>
              <w:top w:val="nil"/>
              <w:left w:val="nil"/>
              <w:bottom w:val="nil"/>
              <w:right w:val="nil"/>
            </w:tcBorders>
            <w:noWrap/>
            <w:vAlign w:val="bottom"/>
            <w:hideMark/>
          </w:tcPr>
          <w:p w:rsidRPr="00B52D66" w:rsidR="00B52D66" w:rsidP="00FC2172" w:rsidRDefault="00B52D66" w14:paraId="7B4D7AA1" w14:textId="77777777">
            <w:pPr>
              <w:spacing w:line="240" w:lineRule="auto"/>
              <w:jc w:val="center"/>
              <w:rPr>
                <w:rFonts w:cs="Arial"/>
                <w:szCs w:val="18"/>
                <w:lang w:val="en-GB" w:eastAsia="en-GB"/>
              </w:rPr>
            </w:pPr>
            <w:r w:rsidRPr="00B52D66">
              <w:rPr>
                <w:rFonts w:cs="Arial"/>
                <w:szCs w:val="18"/>
                <w:lang w:val="en-GB" w:eastAsia="en-GB"/>
              </w:rPr>
              <w:t>13,5</w:t>
            </w:r>
          </w:p>
        </w:tc>
        <w:tc>
          <w:tcPr>
            <w:tcW w:w="482" w:type="pct"/>
            <w:tcBorders>
              <w:top w:val="nil"/>
              <w:left w:val="nil"/>
              <w:bottom w:val="nil"/>
              <w:right w:val="nil"/>
            </w:tcBorders>
            <w:noWrap/>
            <w:vAlign w:val="bottom"/>
            <w:hideMark/>
          </w:tcPr>
          <w:p w:rsidRPr="00B52D66" w:rsidR="00B52D66" w:rsidP="00FC2172" w:rsidRDefault="00B52D66" w14:paraId="6666777C" w14:textId="77777777">
            <w:pPr>
              <w:spacing w:line="240" w:lineRule="auto"/>
              <w:jc w:val="center"/>
              <w:rPr>
                <w:rFonts w:cs="Arial"/>
                <w:szCs w:val="18"/>
                <w:lang w:val="en-GB" w:eastAsia="en-GB"/>
              </w:rPr>
            </w:pPr>
            <w:r w:rsidRPr="00B52D66">
              <w:rPr>
                <w:rFonts w:cs="Arial"/>
                <w:szCs w:val="18"/>
                <w:lang w:val="en-GB" w:eastAsia="en-GB"/>
              </w:rPr>
              <w:t>13,2</w:t>
            </w:r>
          </w:p>
        </w:tc>
      </w:tr>
      <w:tr w:rsidRPr="00B52D66" w:rsidR="00B52D66" w:rsidTr="00B52D66" w14:paraId="3BEF8B9A" w14:textId="77777777">
        <w:trPr>
          <w:trHeight w:val="280"/>
        </w:trPr>
        <w:tc>
          <w:tcPr>
            <w:tcW w:w="2105" w:type="pct"/>
            <w:tcBorders>
              <w:top w:val="nil"/>
              <w:left w:val="nil"/>
              <w:bottom w:val="nil"/>
              <w:right w:val="nil"/>
            </w:tcBorders>
            <w:noWrap/>
            <w:hideMark/>
          </w:tcPr>
          <w:p w:rsidRPr="00B52D66" w:rsidR="00B52D66" w:rsidP="00FC2172" w:rsidRDefault="00B52D66" w14:paraId="779D9FB7" w14:textId="77777777">
            <w:pPr>
              <w:spacing w:line="240" w:lineRule="auto"/>
              <w:rPr>
                <w:rFonts w:cs="Arial"/>
                <w:szCs w:val="18"/>
                <w:lang w:val="en-GB" w:eastAsia="en-GB"/>
              </w:rPr>
            </w:pPr>
            <w:r w:rsidRPr="00B52D66">
              <w:rPr>
                <w:rFonts w:cs="Arial"/>
                <w:szCs w:val="18"/>
                <w:lang w:val="en-GB" w:eastAsia="en-GB"/>
              </w:rPr>
              <w:t xml:space="preserve">   MaT</w:t>
            </w:r>
          </w:p>
        </w:tc>
        <w:tc>
          <w:tcPr>
            <w:tcW w:w="482" w:type="pct"/>
            <w:tcBorders>
              <w:top w:val="nil"/>
              <w:left w:val="nil"/>
              <w:bottom w:val="nil"/>
              <w:right w:val="nil"/>
            </w:tcBorders>
            <w:noWrap/>
            <w:vAlign w:val="bottom"/>
            <w:hideMark/>
          </w:tcPr>
          <w:p w:rsidRPr="00B52D66" w:rsidR="00B52D66" w:rsidP="00FC2172" w:rsidRDefault="00B52D66" w14:paraId="750537EC" w14:textId="77777777">
            <w:pPr>
              <w:spacing w:line="240" w:lineRule="auto"/>
              <w:jc w:val="center"/>
              <w:rPr>
                <w:rFonts w:cs="Arial"/>
                <w:szCs w:val="18"/>
                <w:lang w:val="en-GB" w:eastAsia="en-GB"/>
              </w:rPr>
            </w:pPr>
            <w:r w:rsidRPr="00B52D66">
              <w:rPr>
                <w:rFonts w:cs="Arial"/>
                <w:szCs w:val="18"/>
                <w:lang w:val="en-GB" w:eastAsia="en-GB"/>
              </w:rPr>
              <w:t>37,9</w:t>
            </w:r>
          </w:p>
        </w:tc>
        <w:tc>
          <w:tcPr>
            <w:tcW w:w="482" w:type="pct"/>
            <w:tcBorders>
              <w:top w:val="nil"/>
              <w:left w:val="nil"/>
              <w:bottom w:val="nil"/>
              <w:right w:val="nil"/>
            </w:tcBorders>
            <w:noWrap/>
            <w:vAlign w:val="bottom"/>
            <w:hideMark/>
          </w:tcPr>
          <w:p w:rsidRPr="00B52D66" w:rsidR="00B52D66" w:rsidP="00FC2172" w:rsidRDefault="00B52D66" w14:paraId="643F5018" w14:textId="77777777">
            <w:pPr>
              <w:spacing w:line="240" w:lineRule="auto"/>
              <w:jc w:val="center"/>
              <w:rPr>
                <w:rFonts w:cs="Arial"/>
                <w:szCs w:val="18"/>
                <w:lang w:val="en-GB" w:eastAsia="en-GB"/>
              </w:rPr>
            </w:pPr>
            <w:r w:rsidRPr="00B52D66">
              <w:rPr>
                <w:rFonts w:cs="Arial"/>
                <w:szCs w:val="18"/>
                <w:lang w:val="en-GB" w:eastAsia="en-GB"/>
              </w:rPr>
              <w:t>50,5</w:t>
            </w:r>
          </w:p>
        </w:tc>
        <w:tc>
          <w:tcPr>
            <w:tcW w:w="482" w:type="pct"/>
            <w:tcBorders>
              <w:top w:val="nil"/>
              <w:left w:val="nil"/>
              <w:bottom w:val="nil"/>
              <w:right w:val="nil"/>
            </w:tcBorders>
            <w:noWrap/>
            <w:vAlign w:val="bottom"/>
            <w:hideMark/>
          </w:tcPr>
          <w:p w:rsidRPr="00B52D66" w:rsidR="00B52D66" w:rsidP="00FC2172" w:rsidRDefault="00B52D66" w14:paraId="6BF09031" w14:textId="77777777">
            <w:pPr>
              <w:spacing w:line="240" w:lineRule="auto"/>
              <w:jc w:val="center"/>
              <w:rPr>
                <w:rFonts w:cs="Arial"/>
                <w:szCs w:val="18"/>
                <w:lang w:val="en-GB" w:eastAsia="en-GB"/>
              </w:rPr>
            </w:pPr>
            <w:r w:rsidRPr="00B52D66">
              <w:rPr>
                <w:rFonts w:cs="Arial"/>
                <w:szCs w:val="18"/>
                <w:lang w:val="en-GB" w:eastAsia="en-GB"/>
              </w:rPr>
              <w:t>49,7</w:t>
            </w:r>
          </w:p>
        </w:tc>
        <w:tc>
          <w:tcPr>
            <w:tcW w:w="482" w:type="pct"/>
            <w:tcBorders>
              <w:top w:val="nil"/>
              <w:left w:val="nil"/>
              <w:bottom w:val="nil"/>
              <w:right w:val="nil"/>
            </w:tcBorders>
            <w:noWrap/>
            <w:vAlign w:val="bottom"/>
            <w:hideMark/>
          </w:tcPr>
          <w:p w:rsidRPr="00B52D66" w:rsidR="00B52D66" w:rsidP="00FC2172" w:rsidRDefault="00B52D66" w14:paraId="06D8A216" w14:textId="77777777">
            <w:pPr>
              <w:spacing w:line="240" w:lineRule="auto"/>
              <w:jc w:val="center"/>
              <w:rPr>
                <w:rFonts w:cs="Arial"/>
                <w:szCs w:val="18"/>
                <w:lang w:val="en-GB" w:eastAsia="en-GB"/>
              </w:rPr>
            </w:pPr>
            <w:r w:rsidRPr="00B52D66">
              <w:rPr>
                <w:rFonts w:cs="Arial"/>
                <w:szCs w:val="18"/>
                <w:lang w:val="en-GB" w:eastAsia="en-GB"/>
              </w:rPr>
              <w:t>42,7</w:t>
            </w:r>
          </w:p>
        </w:tc>
        <w:tc>
          <w:tcPr>
            <w:tcW w:w="482" w:type="pct"/>
            <w:tcBorders>
              <w:top w:val="nil"/>
              <w:left w:val="nil"/>
              <w:bottom w:val="nil"/>
              <w:right w:val="nil"/>
            </w:tcBorders>
            <w:noWrap/>
            <w:vAlign w:val="bottom"/>
            <w:hideMark/>
          </w:tcPr>
          <w:p w:rsidRPr="00B52D66" w:rsidR="00B52D66" w:rsidP="00FC2172" w:rsidRDefault="00B52D66" w14:paraId="3FCEEA41" w14:textId="77777777">
            <w:pPr>
              <w:spacing w:line="240" w:lineRule="auto"/>
              <w:jc w:val="center"/>
              <w:rPr>
                <w:rFonts w:cs="Arial"/>
                <w:szCs w:val="18"/>
                <w:lang w:val="en-GB" w:eastAsia="en-GB"/>
              </w:rPr>
            </w:pPr>
            <w:r w:rsidRPr="00B52D66">
              <w:rPr>
                <w:rFonts w:cs="Arial"/>
                <w:szCs w:val="18"/>
                <w:lang w:val="en-GB" w:eastAsia="en-GB"/>
              </w:rPr>
              <w:t>48,9</w:t>
            </w:r>
          </w:p>
        </w:tc>
        <w:tc>
          <w:tcPr>
            <w:tcW w:w="482" w:type="pct"/>
            <w:tcBorders>
              <w:top w:val="nil"/>
              <w:left w:val="nil"/>
              <w:bottom w:val="nil"/>
              <w:right w:val="nil"/>
            </w:tcBorders>
            <w:noWrap/>
            <w:vAlign w:val="bottom"/>
            <w:hideMark/>
          </w:tcPr>
          <w:p w:rsidRPr="00B52D66" w:rsidR="00B52D66" w:rsidP="00FC2172" w:rsidRDefault="00B52D66" w14:paraId="7FFD854B" w14:textId="77777777">
            <w:pPr>
              <w:spacing w:line="240" w:lineRule="auto"/>
              <w:jc w:val="center"/>
              <w:rPr>
                <w:rFonts w:cs="Arial"/>
                <w:szCs w:val="18"/>
                <w:lang w:val="en-GB" w:eastAsia="en-GB"/>
              </w:rPr>
            </w:pPr>
            <w:r w:rsidRPr="00B52D66">
              <w:rPr>
                <w:rFonts w:cs="Arial"/>
                <w:szCs w:val="18"/>
                <w:lang w:val="en-GB" w:eastAsia="en-GB"/>
              </w:rPr>
              <w:t>46,9</w:t>
            </w:r>
          </w:p>
        </w:tc>
      </w:tr>
      <w:tr w:rsidRPr="00B52D66" w:rsidR="00B52D66" w:rsidTr="00B52D66" w14:paraId="6024F35A" w14:textId="77777777">
        <w:trPr>
          <w:trHeight w:val="280"/>
        </w:trPr>
        <w:tc>
          <w:tcPr>
            <w:tcW w:w="2105" w:type="pct"/>
            <w:tcBorders>
              <w:top w:val="nil"/>
              <w:left w:val="nil"/>
              <w:bottom w:val="nil"/>
              <w:right w:val="nil"/>
            </w:tcBorders>
            <w:noWrap/>
            <w:hideMark/>
          </w:tcPr>
          <w:p w:rsidRPr="00B52D66" w:rsidR="00B52D66" w:rsidP="00FC2172" w:rsidRDefault="00B52D66" w14:paraId="6FCB6870" w14:textId="77777777">
            <w:pPr>
              <w:spacing w:line="240" w:lineRule="auto"/>
              <w:rPr>
                <w:rFonts w:cs="Arial"/>
                <w:szCs w:val="18"/>
                <w:lang w:val="en-GB" w:eastAsia="en-GB"/>
              </w:rPr>
            </w:pPr>
            <w:r w:rsidRPr="00B52D66">
              <w:rPr>
                <w:rFonts w:cs="Arial"/>
                <w:szCs w:val="18"/>
                <w:lang w:val="en-GB" w:eastAsia="en-GB"/>
              </w:rPr>
              <w:t xml:space="preserve">   MVI</w:t>
            </w:r>
          </w:p>
        </w:tc>
        <w:tc>
          <w:tcPr>
            <w:tcW w:w="482" w:type="pct"/>
            <w:tcBorders>
              <w:top w:val="nil"/>
              <w:left w:val="nil"/>
              <w:bottom w:val="nil"/>
              <w:right w:val="nil"/>
            </w:tcBorders>
            <w:noWrap/>
            <w:vAlign w:val="bottom"/>
            <w:hideMark/>
          </w:tcPr>
          <w:p w:rsidRPr="00B52D66" w:rsidR="00B52D66" w:rsidP="00FC2172" w:rsidRDefault="00B52D66" w14:paraId="69727431" w14:textId="77777777">
            <w:pPr>
              <w:spacing w:line="240" w:lineRule="auto"/>
              <w:jc w:val="center"/>
              <w:rPr>
                <w:rFonts w:cs="Arial"/>
                <w:szCs w:val="18"/>
                <w:lang w:val="en-GB" w:eastAsia="en-GB"/>
              </w:rPr>
            </w:pPr>
            <w:r w:rsidRPr="00B52D66">
              <w:rPr>
                <w:rFonts w:cs="Arial"/>
                <w:szCs w:val="18"/>
                <w:lang w:val="en-GB" w:eastAsia="en-GB"/>
              </w:rPr>
              <w:t>32,3</w:t>
            </w:r>
          </w:p>
        </w:tc>
        <w:tc>
          <w:tcPr>
            <w:tcW w:w="482" w:type="pct"/>
            <w:tcBorders>
              <w:top w:val="nil"/>
              <w:left w:val="nil"/>
              <w:bottom w:val="nil"/>
              <w:right w:val="nil"/>
            </w:tcBorders>
            <w:noWrap/>
            <w:vAlign w:val="bottom"/>
            <w:hideMark/>
          </w:tcPr>
          <w:p w:rsidRPr="00B52D66" w:rsidR="00B52D66" w:rsidP="00FC2172" w:rsidRDefault="00B52D66" w14:paraId="66E05E08" w14:textId="77777777">
            <w:pPr>
              <w:spacing w:line="240" w:lineRule="auto"/>
              <w:jc w:val="center"/>
              <w:rPr>
                <w:rFonts w:cs="Arial"/>
                <w:szCs w:val="18"/>
                <w:lang w:val="en-GB" w:eastAsia="en-GB"/>
              </w:rPr>
            </w:pPr>
            <w:r w:rsidRPr="00B52D66">
              <w:rPr>
                <w:rFonts w:cs="Arial"/>
                <w:szCs w:val="18"/>
                <w:lang w:val="en-GB" w:eastAsia="en-GB"/>
              </w:rPr>
              <w:t>36,8</w:t>
            </w:r>
          </w:p>
        </w:tc>
        <w:tc>
          <w:tcPr>
            <w:tcW w:w="482" w:type="pct"/>
            <w:tcBorders>
              <w:top w:val="nil"/>
              <w:left w:val="nil"/>
              <w:bottom w:val="nil"/>
              <w:right w:val="nil"/>
            </w:tcBorders>
            <w:noWrap/>
            <w:vAlign w:val="bottom"/>
            <w:hideMark/>
          </w:tcPr>
          <w:p w:rsidRPr="00B52D66" w:rsidR="00B52D66" w:rsidP="00FC2172" w:rsidRDefault="00B52D66" w14:paraId="488437C4" w14:textId="77777777">
            <w:pPr>
              <w:spacing w:line="240" w:lineRule="auto"/>
              <w:jc w:val="center"/>
              <w:rPr>
                <w:rFonts w:cs="Arial"/>
                <w:szCs w:val="18"/>
                <w:lang w:val="en-GB" w:eastAsia="en-GB"/>
              </w:rPr>
            </w:pPr>
            <w:r w:rsidRPr="00B52D66">
              <w:rPr>
                <w:rFonts w:cs="Arial"/>
                <w:szCs w:val="18"/>
                <w:lang w:val="en-GB" w:eastAsia="en-GB"/>
              </w:rPr>
              <w:t>40,4</w:t>
            </w:r>
          </w:p>
        </w:tc>
        <w:tc>
          <w:tcPr>
            <w:tcW w:w="482" w:type="pct"/>
            <w:tcBorders>
              <w:top w:val="nil"/>
              <w:left w:val="nil"/>
              <w:bottom w:val="nil"/>
              <w:right w:val="nil"/>
            </w:tcBorders>
            <w:noWrap/>
            <w:vAlign w:val="bottom"/>
            <w:hideMark/>
          </w:tcPr>
          <w:p w:rsidRPr="00B52D66" w:rsidR="00B52D66" w:rsidP="00FC2172" w:rsidRDefault="00B52D66" w14:paraId="135C3266" w14:textId="77777777">
            <w:pPr>
              <w:spacing w:line="240" w:lineRule="auto"/>
              <w:jc w:val="center"/>
              <w:rPr>
                <w:rFonts w:cs="Arial"/>
                <w:szCs w:val="18"/>
                <w:lang w:val="en-GB" w:eastAsia="en-GB"/>
              </w:rPr>
            </w:pPr>
            <w:r w:rsidRPr="00B52D66">
              <w:rPr>
                <w:rFonts w:cs="Arial"/>
                <w:szCs w:val="18"/>
                <w:lang w:val="en-GB" w:eastAsia="en-GB"/>
              </w:rPr>
              <w:t>45,1</w:t>
            </w:r>
          </w:p>
        </w:tc>
        <w:tc>
          <w:tcPr>
            <w:tcW w:w="482" w:type="pct"/>
            <w:tcBorders>
              <w:top w:val="nil"/>
              <w:left w:val="nil"/>
              <w:bottom w:val="nil"/>
              <w:right w:val="nil"/>
            </w:tcBorders>
            <w:noWrap/>
            <w:vAlign w:val="bottom"/>
            <w:hideMark/>
          </w:tcPr>
          <w:p w:rsidRPr="00B52D66" w:rsidR="00B52D66" w:rsidP="00FC2172" w:rsidRDefault="00B52D66" w14:paraId="53061E83" w14:textId="77777777">
            <w:pPr>
              <w:spacing w:line="240" w:lineRule="auto"/>
              <w:jc w:val="center"/>
              <w:rPr>
                <w:rFonts w:cs="Arial"/>
                <w:szCs w:val="18"/>
                <w:lang w:val="en-GB" w:eastAsia="en-GB"/>
              </w:rPr>
            </w:pPr>
            <w:r w:rsidRPr="00B52D66">
              <w:rPr>
                <w:rFonts w:cs="Arial"/>
                <w:szCs w:val="18"/>
                <w:lang w:val="en-GB" w:eastAsia="en-GB"/>
              </w:rPr>
              <w:t>43,9</w:t>
            </w:r>
          </w:p>
        </w:tc>
        <w:tc>
          <w:tcPr>
            <w:tcW w:w="482" w:type="pct"/>
            <w:tcBorders>
              <w:top w:val="nil"/>
              <w:left w:val="nil"/>
              <w:bottom w:val="nil"/>
              <w:right w:val="nil"/>
            </w:tcBorders>
            <w:noWrap/>
            <w:vAlign w:val="bottom"/>
            <w:hideMark/>
          </w:tcPr>
          <w:p w:rsidRPr="00B52D66" w:rsidR="00B52D66" w:rsidP="00FC2172" w:rsidRDefault="00B52D66" w14:paraId="2CCD6EEB" w14:textId="77777777">
            <w:pPr>
              <w:spacing w:line="240" w:lineRule="auto"/>
              <w:jc w:val="center"/>
              <w:rPr>
                <w:rFonts w:cs="Arial"/>
                <w:szCs w:val="18"/>
                <w:lang w:val="en-GB" w:eastAsia="en-GB"/>
              </w:rPr>
            </w:pPr>
            <w:r w:rsidRPr="00B52D66">
              <w:rPr>
                <w:rFonts w:cs="Arial"/>
                <w:szCs w:val="18"/>
                <w:lang w:val="en-GB" w:eastAsia="en-GB"/>
              </w:rPr>
              <w:t>45,3</w:t>
            </w:r>
          </w:p>
        </w:tc>
      </w:tr>
      <w:tr w:rsidRPr="00B52D66" w:rsidR="00B52D66" w:rsidTr="00B52D66" w14:paraId="7DA6D454" w14:textId="77777777">
        <w:trPr>
          <w:trHeight w:val="280"/>
        </w:trPr>
        <w:tc>
          <w:tcPr>
            <w:tcW w:w="2105" w:type="pct"/>
            <w:tcBorders>
              <w:top w:val="nil"/>
              <w:left w:val="nil"/>
              <w:bottom w:val="nil"/>
              <w:right w:val="nil"/>
            </w:tcBorders>
            <w:noWrap/>
            <w:hideMark/>
          </w:tcPr>
          <w:p w:rsidRPr="00B52D66" w:rsidR="00B52D66" w:rsidP="00FC2172" w:rsidRDefault="00B52D66" w14:paraId="0498B690" w14:textId="77777777">
            <w:pPr>
              <w:spacing w:line="240" w:lineRule="auto"/>
              <w:rPr>
                <w:rFonts w:cs="Arial"/>
                <w:szCs w:val="18"/>
                <w:lang w:val="en-GB" w:eastAsia="en-GB"/>
              </w:rPr>
            </w:pPr>
            <w:r w:rsidRPr="00B52D66">
              <w:rPr>
                <w:rFonts w:cs="Arial"/>
                <w:szCs w:val="18"/>
                <w:lang w:val="en-GB" w:eastAsia="en-GB"/>
              </w:rPr>
              <w:t xml:space="preserve">   M&amp;T</w:t>
            </w:r>
          </w:p>
        </w:tc>
        <w:tc>
          <w:tcPr>
            <w:tcW w:w="482" w:type="pct"/>
            <w:tcBorders>
              <w:top w:val="nil"/>
              <w:left w:val="nil"/>
              <w:bottom w:val="nil"/>
              <w:right w:val="nil"/>
            </w:tcBorders>
            <w:noWrap/>
            <w:vAlign w:val="bottom"/>
            <w:hideMark/>
          </w:tcPr>
          <w:p w:rsidRPr="00B52D66" w:rsidR="00B52D66" w:rsidP="00FC2172" w:rsidRDefault="00B52D66" w14:paraId="71A0773E" w14:textId="77777777">
            <w:pPr>
              <w:spacing w:line="240" w:lineRule="auto"/>
              <w:jc w:val="center"/>
              <w:rPr>
                <w:rFonts w:cs="Arial"/>
                <w:szCs w:val="18"/>
                <w:lang w:val="en-GB" w:eastAsia="en-GB"/>
              </w:rPr>
            </w:pPr>
            <w:r w:rsidRPr="00B52D66">
              <w:rPr>
                <w:rFonts w:cs="Arial"/>
                <w:szCs w:val="18"/>
                <w:lang w:val="en-GB" w:eastAsia="en-GB"/>
              </w:rPr>
              <w:t>13,8</w:t>
            </w:r>
          </w:p>
        </w:tc>
        <w:tc>
          <w:tcPr>
            <w:tcW w:w="482" w:type="pct"/>
            <w:tcBorders>
              <w:top w:val="nil"/>
              <w:left w:val="nil"/>
              <w:bottom w:val="nil"/>
              <w:right w:val="nil"/>
            </w:tcBorders>
            <w:noWrap/>
            <w:vAlign w:val="bottom"/>
            <w:hideMark/>
          </w:tcPr>
          <w:p w:rsidRPr="00B52D66" w:rsidR="00B52D66" w:rsidP="00FC2172" w:rsidRDefault="00B52D66" w14:paraId="340B89EC" w14:textId="77777777">
            <w:pPr>
              <w:spacing w:line="240" w:lineRule="auto"/>
              <w:jc w:val="center"/>
              <w:rPr>
                <w:rFonts w:cs="Arial"/>
                <w:szCs w:val="18"/>
                <w:lang w:val="en-GB" w:eastAsia="en-GB"/>
              </w:rPr>
            </w:pPr>
            <w:r w:rsidRPr="00B52D66">
              <w:rPr>
                <w:rFonts w:cs="Arial"/>
                <w:szCs w:val="18"/>
                <w:lang w:val="en-GB" w:eastAsia="en-GB"/>
              </w:rPr>
              <w:t>15,9</w:t>
            </w:r>
          </w:p>
        </w:tc>
        <w:tc>
          <w:tcPr>
            <w:tcW w:w="482" w:type="pct"/>
            <w:tcBorders>
              <w:top w:val="nil"/>
              <w:left w:val="nil"/>
              <w:bottom w:val="nil"/>
              <w:right w:val="nil"/>
            </w:tcBorders>
            <w:noWrap/>
            <w:vAlign w:val="bottom"/>
            <w:hideMark/>
          </w:tcPr>
          <w:p w:rsidRPr="00B52D66" w:rsidR="00B52D66" w:rsidP="00FC2172" w:rsidRDefault="00B52D66" w14:paraId="39B6FB13" w14:textId="77777777">
            <w:pPr>
              <w:spacing w:line="240" w:lineRule="auto"/>
              <w:jc w:val="center"/>
              <w:rPr>
                <w:rFonts w:cs="Arial"/>
                <w:szCs w:val="18"/>
                <w:lang w:val="en-GB" w:eastAsia="en-GB"/>
              </w:rPr>
            </w:pPr>
            <w:r w:rsidRPr="00B52D66">
              <w:rPr>
                <w:rFonts w:cs="Arial"/>
                <w:szCs w:val="18"/>
                <w:lang w:val="en-GB" w:eastAsia="en-GB"/>
              </w:rPr>
              <w:t>12,7</w:t>
            </w:r>
          </w:p>
        </w:tc>
        <w:tc>
          <w:tcPr>
            <w:tcW w:w="482" w:type="pct"/>
            <w:tcBorders>
              <w:top w:val="nil"/>
              <w:left w:val="nil"/>
              <w:bottom w:val="nil"/>
              <w:right w:val="nil"/>
            </w:tcBorders>
            <w:noWrap/>
            <w:vAlign w:val="bottom"/>
            <w:hideMark/>
          </w:tcPr>
          <w:p w:rsidRPr="00B52D66" w:rsidR="00B52D66" w:rsidP="00FC2172" w:rsidRDefault="00B52D66" w14:paraId="3BCAE7A9" w14:textId="77777777">
            <w:pPr>
              <w:spacing w:line="240" w:lineRule="auto"/>
              <w:jc w:val="center"/>
              <w:rPr>
                <w:rFonts w:cs="Arial"/>
                <w:szCs w:val="18"/>
                <w:lang w:val="en-GB" w:eastAsia="en-GB"/>
              </w:rPr>
            </w:pPr>
            <w:r w:rsidRPr="00B52D66">
              <w:rPr>
                <w:rFonts w:cs="Arial"/>
                <w:szCs w:val="18"/>
                <w:lang w:val="en-GB" w:eastAsia="en-GB"/>
              </w:rPr>
              <w:t>17,8</w:t>
            </w:r>
          </w:p>
        </w:tc>
        <w:tc>
          <w:tcPr>
            <w:tcW w:w="482" w:type="pct"/>
            <w:tcBorders>
              <w:top w:val="nil"/>
              <w:left w:val="nil"/>
              <w:bottom w:val="nil"/>
              <w:right w:val="nil"/>
            </w:tcBorders>
            <w:noWrap/>
            <w:vAlign w:val="bottom"/>
            <w:hideMark/>
          </w:tcPr>
          <w:p w:rsidRPr="00B52D66" w:rsidR="00B52D66" w:rsidP="00FC2172" w:rsidRDefault="00B52D66" w14:paraId="72261D7A" w14:textId="77777777">
            <w:pPr>
              <w:spacing w:line="240" w:lineRule="auto"/>
              <w:jc w:val="center"/>
              <w:rPr>
                <w:rFonts w:cs="Arial"/>
                <w:szCs w:val="18"/>
                <w:lang w:val="en-GB" w:eastAsia="en-GB"/>
              </w:rPr>
            </w:pPr>
            <w:r w:rsidRPr="00B52D66">
              <w:rPr>
                <w:rFonts w:cs="Arial"/>
                <w:szCs w:val="18"/>
                <w:lang w:val="en-GB" w:eastAsia="en-GB"/>
              </w:rPr>
              <w:t>16,7</w:t>
            </w:r>
          </w:p>
        </w:tc>
        <w:tc>
          <w:tcPr>
            <w:tcW w:w="482" w:type="pct"/>
            <w:tcBorders>
              <w:top w:val="nil"/>
              <w:left w:val="nil"/>
              <w:bottom w:val="nil"/>
              <w:right w:val="nil"/>
            </w:tcBorders>
            <w:noWrap/>
            <w:vAlign w:val="bottom"/>
            <w:hideMark/>
          </w:tcPr>
          <w:p w:rsidRPr="00B52D66" w:rsidR="00B52D66" w:rsidP="00FC2172" w:rsidRDefault="00B52D66" w14:paraId="3B45BE6B" w14:textId="77777777">
            <w:pPr>
              <w:spacing w:line="240" w:lineRule="auto"/>
              <w:jc w:val="center"/>
              <w:rPr>
                <w:rFonts w:cs="Arial"/>
                <w:szCs w:val="18"/>
                <w:lang w:val="en-GB" w:eastAsia="en-GB"/>
              </w:rPr>
            </w:pPr>
            <w:r w:rsidRPr="00B52D66">
              <w:rPr>
                <w:rFonts w:cs="Arial"/>
                <w:szCs w:val="18"/>
                <w:lang w:val="en-GB" w:eastAsia="en-GB"/>
              </w:rPr>
              <w:t>14,8</w:t>
            </w:r>
          </w:p>
        </w:tc>
      </w:tr>
      <w:tr w:rsidRPr="00B52D66" w:rsidR="00B52D66" w:rsidTr="00B52D66" w14:paraId="4D18062F" w14:textId="77777777">
        <w:trPr>
          <w:trHeight w:val="280"/>
        </w:trPr>
        <w:tc>
          <w:tcPr>
            <w:tcW w:w="2105" w:type="pct"/>
            <w:tcBorders>
              <w:top w:val="nil"/>
              <w:left w:val="nil"/>
              <w:bottom w:val="nil"/>
              <w:right w:val="nil"/>
            </w:tcBorders>
            <w:noWrap/>
            <w:hideMark/>
          </w:tcPr>
          <w:p w:rsidRPr="00B52D66" w:rsidR="00B52D66" w:rsidP="00FC2172" w:rsidRDefault="00B52D66" w14:paraId="042C82F8" w14:textId="77777777">
            <w:pPr>
              <w:spacing w:line="240" w:lineRule="auto"/>
              <w:rPr>
                <w:rFonts w:cs="Arial"/>
                <w:szCs w:val="18"/>
                <w:lang w:val="en-GB" w:eastAsia="en-GB"/>
              </w:rPr>
            </w:pPr>
            <w:r w:rsidRPr="00B52D66">
              <w:rPr>
                <w:rFonts w:cs="Arial"/>
                <w:szCs w:val="18"/>
                <w:lang w:val="en-GB" w:eastAsia="en-GB"/>
              </w:rPr>
              <w:t xml:space="preserve">   PIE</w:t>
            </w:r>
          </w:p>
        </w:tc>
        <w:tc>
          <w:tcPr>
            <w:tcW w:w="482" w:type="pct"/>
            <w:tcBorders>
              <w:top w:val="nil"/>
              <w:left w:val="nil"/>
              <w:bottom w:val="nil"/>
              <w:right w:val="nil"/>
            </w:tcBorders>
            <w:noWrap/>
            <w:vAlign w:val="bottom"/>
            <w:hideMark/>
          </w:tcPr>
          <w:p w:rsidRPr="00B52D66" w:rsidR="00B52D66" w:rsidP="00FC2172" w:rsidRDefault="00B52D66" w14:paraId="3AA91FAA" w14:textId="77777777">
            <w:pPr>
              <w:spacing w:line="240" w:lineRule="auto"/>
              <w:jc w:val="center"/>
              <w:rPr>
                <w:rFonts w:cs="Arial"/>
                <w:szCs w:val="18"/>
                <w:lang w:val="en-GB" w:eastAsia="en-GB"/>
              </w:rPr>
            </w:pPr>
            <w:r w:rsidRPr="00B52D66">
              <w:rPr>
                <w:rFonts w:cs="Arial"/>
                <w:szCs w:val="18"/>
                <w:lang w:val="en-GB" w:eastAsia="en-GB"/>
              </w:rPr>
              <w:t>18,7</w:t>
            </w:r>
          </w:p>
        </w:tc>
        <w:tc>
          <w:tcPr>
            <w:tcW w:w="482" w:type="pct"/>
            <w:tcBorders>
              <w:top w:val="nil"/>
              <w:left w:val="nil"/>
              <w:bottom w:val="nil"/>
              <w:right w:val="nil"/>
            </w:tcBorders>
            <w:noWrap/>
            <w:vAlign w:val="bottom"/>
            <w:hideMark/>
          </w:tcPr>
          <w:p w:rsidRPr="00B52D66" w:rsidR="00B52D66" w:rsidP="00FC2172" w:rsidRDefault="00B52D66" w14:paraId="05307FBF" w14:textId="77777777">
            <w:pPr>
              <w:spacing w:line="240" w:lineRule="auto"/>
              <w:jc w:val="center"/>
              <w:rPr>
                <w:rFonts w:cs="Arial"/>
                <w:szCs w:val="18"/>
                <w:lang w:val="en-GB" w:eastAsia="en-GB"/>
              </w:rPr>
            </w:pPr>
            <w:r w:rsidRPr="00B52D66">
              <w:rPr>
                <w:rFonts w:cs="Arial"/>
                <w:szCs w:val="18"/>
                <w:lang w:val="en-GB" w:eastAsia="en-GB"/>
              </w:rPr>
              <w:t>20,8</w:t>
            </w:r>
          </w:p>
        </w:tc>
        <w:tc>
          <w:tcPr>
            <w:tcW w:w="482" w:type="pct"/>
            <w:tcBorders>
              <w:top w:val="nil"/>
              <w:left w:val="nil"/>
              <w:bottom w:val="nil"/>
              <w:right w:val="nil"/>
            </w:tcBorders>
            <w:noWrap/>
            <w:vAlign w:val="bottom"/>
            <w:hideMark/>
          </w:tcPr>
          <w:p w:rsidRPr="00B52D66" w:rsidR="00B52D66" w:rsidP="00FC2172" w:rsidRDefault="00B52D66" w14:paraId="30A184B3" w14:textId="77777777">
            <w:pPr>
              <w:spacing w:line="240" w:lineRule="auto"/>
              <w:jc w:val="center"/>
              <w:rPr>
                <w:rFonts w:cs="Arial"/>
                <w:szCs w:val="18"/>
                <w:lang w:val="en-GB" w:eastAsia="en-GB"/>
              </w:rPr>
            </w:pPr>
            <w:r w:rsidRPr="00B52D66">
              <w:rPr>
                <w:rFonts w:cs="Arial"/>
                <w:szCs w:val="18"/>
                <w:lang w:val="en-GB" w:eastAsia="en-GB"/>
              </w:rPr>
              <w:t>22,6</w:t>
            </w:r>
          </w:p>
        </w:tc>
        <w:tc>
          <w:tcPr>
            <w:tcW w:w="482" w:type="pct"/>
            <w:tcBorders>
              <w:top w:val="nil"/>
              <w:left w:val="nil"/>
              <w:bottom w:val="nil"/>
              <w:right w:val="nil"/>
            </w:tcBorders>
            <w:noWrap/>
            <w:vAlign w:val="bottom"/>
            <w:hideMark/>
          </w:tcPr>
          <w:p w:rsidRPr="00B52D66" w:rsidR="00B52D66" w:rsidP="00FC2172" w:rsidRDefault="00B52D66" w14:paraId="3F6C975A" w14:textId="77777777">
            <w:pPr>
              <w:spacing w:line="240" w:lineRule="auto"/>
              <w:jc w:val="center"/>
              <w:rPr>
                <w:rFonts w:cs="Arial"/>
                <w:szCs w:val="18"/>
                <w:lang w:val="en-GB" w:eastAsia="en-GB"/>
              </w:rPr>
            </w:pPr>
            <w:r w:rsidRPr="00B52D66">
              <w:rPr>
                <w:rFonts w:cs="Arial"/>
                <w:szCs w:val="18"/>
                <w:lang w:val="en-GB" w:eastAsia="en-GB"/>
              </w:rPr>
              <w:t>22,7</w:t>
            </w:r>
          </w:p>
        </w:tc>
        <w:tc>
          <w:tcPr>
            <w:tcW w:w="482" w:type="pct"/>
            <w:tcBorders>
              <w:top w:val="nil"/>
              <w:left w:val="nil"/>
              <w:bottom w:val="nil"/>
              <w:right w:val="nil"/>
            </w:tcBorders>
            <w:noWrap/>
            <w:vAlign w:val="bottom"/>
            <w:hideMark/>
          </w:tcPr>
          <w:p w:rsidRPr="00B52D66" w:rsidR="00B52D66" w:rsidP="00FC2172" w:rsidRDefault="00B52D66" w14:paraId="43F726BF" w14:textId="77777777">
            <w:pPr>
              <w:spacing w:line="240" w:lineRule="auto"/>
              <w:jc w:val="center"/>
              <w:rPr>
                <w:rFonts w:cs="Arial"/>
                <w:szCs w:val="18"/>
                <w:lang w:val="en-GB" w:eastAsia="en-GB"/>
              </w:rPr>
            </w:pPr>
            <w:r w:rsidRPr="00B52D66">
              <w:rPr>
                <w:rFonts w:cs="Arial"/>
                <w:szCs w:val="18"/>
                <w:lang w:val="en-GB" w:eastAsia="en-GB"/>
              </w:rPr>
              <w:t>24,5</w:t>
            </w:r>
          </w:p>
        </w:tc>
        <w:tc>
          <w:tcPr>
            <w:tcW w:w="482" w:type="pct"/>
            <w:tcBorders>
              <w:top w:val="nil"/>
              <w:left w:val="nil"/>
              <w:bottom w:val="nil"/>
              <w:right w:val="nil"/>
            </w:tcBorders>
            <w:noWrap/>
            <w:vAlign w:val="bottom"/>
            <w:hideMark/>
          </w:tcPr>
          <w:p w:rsidRPr="00B52D66" w:rsidR="00B52D66" w:rsidP="00FC2172" w:rsidRDefault="00B52D66" w14:paraId="7B963910" w14:textId="77777777">
            <w:pPr>
              <w:spacing w:line="240" w:lineRule="auto"/>
              <w:jc w:val="center"/>
              <w:rPr>
                <w:rFonts w:cs="Arial"/>
                <w:szCs w:val="18"/>
                <w:lang w:val="en-GB" w:eastAsia="en-GB"/>
              </w:rPr>
            </w:pPr>
            <w:r w:rsidRPr="00B52D66">
              <w:rPr>
                <w:rFonts w:cs="Arial"/>
                <w:szCs w:val="18"/>
                <w:lang w:val="en-GB" w:eastAsia="en-GB"/>
              </w:rPr>
              <w:t>22,2</w:t>
            </w:r>
          </w:p>
        </w:tc>
      </w:tr>
      <w:tr w:rsidRPr="00B52D66" w:rsidR="00B52D66" w:rsidTr="00B52D66" w14:paraId="7E29E378"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2DB21E27" w14:textId="77777777">
            <w:pPr>
              <w:spacing w:line="240" w:lineRule="auto"/>
              <w:rPr>
                <w:rFonts w:cs="Arial"/>
                <w:b/>
                <w:bCs/>
                <w:szCs w:val="18"/>
                <w:lang w:val="en-GB" w:eastAsia="en-GB"/>
              </w:rPr>
            </w:pPr>
            <w:r w:rsidRPr="00B52D66">
              <w:rPr>
                <w:rFonts w:cs="Arial"/>
                <w:b/>
                <w:bCs/>
                <w:szCs w:val="18"/>
                <w:lang w:val="en-GB" w:eastAsia="en-GB"/>
              </w:rPr>
              <w:t xml:space="preserve">  Niet-techniek</w:t>
            </w:r>
          </w:p>
        </w:tc>
        <w:tc>
          <w:tcPr>
            <w:tcW w:w="482" w:type="pct"/>
            <w:tcBorders>
              <w:top w:val="nil"/>
              <w:left w:val="nil"/>
              <w:bottom w:val="nil"/>
              <w:right w:val="nil"/>
            </w:tcBorders>
            <w:noWrap/>
            <w:vAlign w:val="bottom"/>
            <w:hideMark/>
          </w:tcPr>
          <w:p w:rsidRPr="00B52D66" w:rsidR="00B52D66" w:rsidP="00FC2172" w:rsidRDefault="00B52D66" w14:paraId="253B9948"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7A743432"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57036896"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38D0173D"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22184359"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17DC6C0D" w14:textId="77777777">
            <w:pPr>
              <w:spacing w:line="240" w:lineRule="auto"/>
              <w:jc w:val="center"/>
              <w:rPr>
                <w:rFonts w:cs="Arial"/>
                <w:b/>
                <w:bCs/>
                <w:szCs w:val="18"/>
                <w:lang w:val="en-GB" w:eastAsia="en-GB"/>
              </w:rPr>
            </w:pPr>
            <w:r w:rsidRPr="00B52D66">
              <w:rPr>
                <w:rFonts w:cs="Arial"/>
                <w:b/>
                <w:bCs/>
                <w:szCs w:val="18"/>
                <w:lang w:val="en-GB" w:eastAsia="en-GB"/>
              </w:rPr>
              <w:t> </w:t>
            </w:r>
          </w:p>
        </w:tc>
      </w:tr>
      <w:tr w:rsidRPr="00B52D66" w:rsidR="00B52D66" w:rsidTr="00B52D66" w14:paraId="08F59D2D"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28086E01" w14:textId="77777777">
            <w:pPr>
              <w:spacing w:line="240" w:lineRule="auto"/>
              <w:rPr>
                <w:rFonts w:cs="Arial"/>
                <w:szCs w:val="18"/>
                <w:lang w:val="en-GB" w:eastAsia="en-GB"/>
              </w:rPr>
            </w:pPr>
            <w:r w:rsidRPr="00B52D66">
              <w:rPr>
                <w:rFonts w:cs="Arial"/>
                <w:szCs w:val="18"/>
                <w:lang w:val="en-GB" w:eastAsia="en-GB"/>
              </w:rPr>
              <w:t xml:space="preserve">   D&amp;P</w:t>
            </w:r>
          </w:p>
        </w:tc>
        <w:tc>
          <w:tcPr>
            <w:tcW w:w="482" w:type="pct"/>
            <w:tcBorders>
              <w:top w:val="nil"/>
              <w:left w:val="nil"/>
              <w:bottom w:val="nil"/>
              <w:right w:val="nil"/>
            </w:tcBorders>
            <w:noWrap/>
            <w:vAlign w:val="bottom"/>
            <w:hideMark/>
          </w:tcPr>
          <w:p w:rsidRPr="00B52D66" w:rsidR="00B52D66" w:rsidP="00FC2172" w:rsidRDefault="00B52D66" w14:paraId="6670D622" w14:textId="77777777">
            <w:pPr>
              <w:spacing w:line="240" w:lineRule="auto"/>
              <w:jc w:val="center"/>
              <w:rPr>
                <w:rFonts w:cs="Arial"/>
                <w:szCs w:val="18"/>
                <w:lang w:val="en-GB" w:eastAsia="en-GB"/>
              </w:rPr>
            </w:pPr>
            <w:r w:rsidRPr="00B52D66">
              <w:rPr>
                <w:rFonts w:cs="Arial"/>
                <w:szCs w:val="18"/>
                <w:lang w:val="en-GB" w:eastAsia="en-GB"/>
              </w:rPr>
              <w:t>31,1</w:t>
            </w:r>
          </w:p>
        </w:tc>
        <w:tc>
          <w:tcPr>
            <w:tcW w:w="482" w:type="pct"/>
            <w:tcBorders>
              <w:top w:val="nil"/>
              <w:left w:val="nil"/>
              <w:bottom w:val="nil"/>
              <w:right w:val="nil"/>
            </w:tcBorders>
            <w:noWrap/>
            <w:vAlign w:val="bottom"/>
            <w:hideMark/>
          </w:tcPr>
          <w:p w:rsidRPr="00B52D66" w:rsidR="00B52D66" w:rsidP="00FC2172" w:rsidRDefault="00B52D66" w14:paraId="11D3B1EB" w14:textId="77777777">
            <w:pPr>
              <w:spacing w:line="240" w:lineRule="auto"/>
              <w:jc w:val="center"/>
              <w:rPr>
                <w:rFonts w:cs="Arial"/>
                <w:szCs w:val="18"/>
                <w:lang w:val="en-GB" w:eastAsia="en-GB"/>
              </w:rPr>
            </w:pPr>
            <w:r w:rsidRPr="00B52D66">
              <w:rPr>
                <w:rFonts w:cs="Arial"/>
                <w:szCs w:val="18"/>
                <w:lang w:val="en-GB" w:eastAsia="en-GB"/>
              </w:rPr>
              <w:t>31,5</w:t>
            </w:r>
          </w:p>
        </w:tc>
        <w:tc>
          <w:tcPr>
            <w:tcW w:w="482" w:type="pct"/>
            <w:tcBorders>
              <w:top w:val="nil"/>
              <w:left w:val="nil"/>
              <w:bottom w:val="nil"/>
              <w:right w:val="nil"/>
            </w:tcBorders>
            <w:noWrap/>
            <w:vAlign w:val="bottom"/>
            <w:hideMark/>
          </w:tcPr>
          <w:p w:rsidRPr="00B52D66" w:rsidR="00B52D66" w:rsidP="00FC2172" w:rsidRDefault="00B52D66" w14:paraId="015D3681" w14:textId="77777777">
            <w:pPr>
              <w:spacing w:line="240" w:lineRule="auto"/>
              <w:jc w:val="center"/>
              <w:rPr>
                <w:rFonts w:cs="Arial"/>
                <w:szCs w:val="18"/>
                <w:lang w:val="en-GB" w:eastAsia="en-GB"/>
              </w:rPr>
            </w:pPr>
            <w:r w:rsidRPr="00B52D66">
              <w:rPr>
                <w:rFonts w:cs="Arial"/>
                <w:szCs w:val="18"/>
                <w:lang w:val="en-GB" w:eastAsia="en-GB"/>
              </w:rPr>
              <w:t>33,7</w:t>
            </w:r>
          </w:p>
        </w:tc>
        <w:tc>
          <w:tcPr>
            <w:tcW w:w="482" w:type="pct"/>
            <w:tcBorders>
              <w:top w:val="nil"/>
              <w:left w:val="nil"/>
              <w:bottom w:val="nil"/>
              <w:right w:val="nil"/>
            </w:tcBorders>
            <w:noWrap/>
            <w:vAlign w:val="bottom"/>
            <w:hideMark/>
          </w:tcPr>
          <w:p w:rsidRPr="00B52D66" w:rsidR="00B52D66" w:rsidP="00FC2172" w:rsidRDefault="00B52D66" w14:paraId="700093D4" w14:textId="77777777">
            <w:pPr>
              <w:spacing w:line="240" w:lineRule="auto"/>
              <w:jc w:val="center"/>
              <w:rPr>
                <w:rFonts w:cs="Arial"/>
                <w:szCs w:val="18"/>
                <w:lang w:val="en-GB" w:eastAsia="en-GB"/>
              </w:rPr>
            </w:pPr>
            <w:r w:rsidRPr="00B52D66">
              <w:rPr>
                <w:rFonts w:cs="Arial"/>
                <w:szCs w:val="18"/>
                <w:lang w:val="en-GB" w:eastAsia="en-GB"/>
              </w:rPr>
              <w:t>33,5</w:t>
            </w:r>
          </w:p>
        </w:tc>
        <w:tc>
          <w:tcPr>
            <w:tcW w:w="482" w:type="pct"/>
            <w:tcBorders>
              <w:top w:val="nil"/>
              <w:left w:val="nil"/>
              <w:bottom w:val="nil"/>
              <w:right w:val="nil"/>
            </w:tcBorders>
            <w:noWrap/>
            <w:vAlign w:val="bottom"/>
            <w:hideMark/>
          </w:tcPr>
          <w:p w:rsidRPr="00B52D66" w:rsidR="00B52D66" w:rsidP="00FC2172" w:rsidRDefault="00B52D66" w14:paraId="61342938" w14:textId="77777777">
            <w:pPr>
              <w:spacing w:line="240" w:lineRule="auto"/>
              <w:jc w:val="center"/>
              <w:rPr>
                <w:rFonts w:cs="Arial"/>
                <w:szCs w:val="18"/>
                <w:lang w:val="en-GB" w:eastAsia="en-GB"/>
              </w:rPr>
            </w:pPr>
            <w:r w:rsidRPr="00B52D66">
              <w:rPr>
                <w:rFonts w:cs="Arial"/>
                <w:szCs w:val="18"/>
                <w:lang w:val="en-GB" w:eastAsia="en-GB"/>
              </w:rPr>
              <w:t>34,5</w:t>
            </w:r>
          </w:p>
        </w:tc>
        <w:tc>
          <w:tcPr>
            <w:tcW w:w="482" w:type="pct"/>
            <w:tcBorders>
              <w:top w:val="nil"/>
              <w:left w:val="nil"/>
              <w:bottom w:val="nil"/>
              <w:right w:val="nil"/>
            </w:tcBorders>
            <w:noWrap/>
            <w:vAlign w:val="bottom"/>
            <w:hideMark/>
          </w:tcPr>
          <w:p w:rsidRPr="00B52D66" w:rsidR="00B52D66" w:rsidP="00FC2172" w:rsidRDefault="00B52D66" w14:paraId="291E42CE" w14:textId="77777777">
            <w:pPr>
              <w:spacing w:line="240" w:lineRule="auto"/>
              <w:jc w:val="center"/>
              <w:rPr>
                <w:rFonts w:cs="Arial"/>
                <w:szCs w:val="18"/>
                <w:lang w:val="en-GB" w:eastAsia="en-GB"/>
              </w:rPr>
            </w:pPr>
            <w:r w:rsidRPr="00B52D66">
              <w:rPr>
                <w:rFonts w:cs="Arial"/>
                <w:szCs w:val="18"/>
                <w:lang w:val="en-GB" w:eastAsia="en-GB"/>
              </w:rPr>
              <w:t>34,0</w:t>
            </w:r>
          </w:p>
        </w:tc>
      </w:tr>
      <w:tr w:rsidRPr="00B52D66" w:rsidR="00B52D66" w:rsidTr="00B52D66" w14:paraId="20517B40"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519B6DA3" w14:textId="77777777">
            <w:pPr>
              <w:spacing w:line="240" w:lineRule="auto"/>
              <w:rPr>
                <w:rFonts w:cs="Arial"/>
                <w:szCs w:val="18"/>
                <w:lang w:val="en-GB" w:eastAsia="en-GB"/>
              </w:rPr>
            </w:pPr>
            <w:r w:rsidRPr="00B52D66">
              <w:rPr>
                <w:rFonts w:cs="Arial"/>
                <w:szCs w:val="18"/>
                <w:lang w:val="en-GB" w:eastAsia="en-GB"/>
              </w:rPr>
              <w:t xml:space="preserve">   E&amp;O</w:t>
            </w:r>
          </w:p>
        </w:tc>
        <w:tc>
          <w:tcPr>
            <w:tcW w:w="482" w:type="pct"/>
            <w:tcBorders>
              <w:top w:val="nil"/>
              <w:left w:val="nil"/>
              <w:bottom w:val="nil"/>
              <w:right w:val="nil"/>
            </w:tcBorders>
            <w:noWrap/>
            <w:vAlign w:val="bottom"/>
            <w:hideMark/>
          </w:tcPr>
          <w:p w:rsidRPr="00B52D66" w:rsidR="00B52D66" w:rsidP="00FC2172" w:rsidRDefault="00B52D66" w14:paraId="52C9D916" w14:textId="77777777">
            <w:pPr>
              <w:spacing w:line="240" w:lineRule="auto"/>
              <w:jc w:val="center"/>
              <w:rPr>
                <w:rFonts w:cs="Arial"/>
                <w:szCs w:val="18"/>
                <w:lang w:val="en-GB" w:eastAsia="en-GB"/>
              </w:rPr>
            </w:pPr>
            <w:r w:rsidRPr="00B52D66">
              <w:rPr>
                <w:rFonts w:cs="Arial"/>
                <w:szCs w:val="18"/>
                <w:lang w:val="en-GB" w:eastAsia="en-GB"/>
              </w:rPr>
              <w:t>47,0</w:t>
            </w:r>
          </w:p>
        </w:tc>
        <w:tc>
          <w:tcPr>
            <w:tcW w:w="482" w:type="pct"/>
            <w:tcBorders>
              <w:top w:val="nil"/>
              <w:left w:val="nil"/>
              <w:bottom w:val="nil"/>
              <w:right w:val="nil"/>
            </w:tcBorders>
            <w:noWrap/>
            <w:vAlign w:val="bottom"/>
            <w:hideMark/>
          </w:tcPr>
          <w:p w:rsidRPr="00B52D66" w:rsidR="00B52D66" w:rsidP="00FC2172" w:rsidRDefault="00B52D66" w14:paraId="2499F6C9" w14:textId="77777777">
            <w:pPr>
              <w:spacing w:line="240" w:lineRule="auto"/>
              <w:jc w:val="center"/>
              <w:rPr>
                <w:rFonts w:cs="Arial"/>
                <w:szCs w:val="18"/>
                <w:lang w:val="en-GB" w:eastAsia="en-GB"/>
              </w:rPr>
            </w:pPr>
            <w:r w:rsidRPr="00B52D66">
              <w:rPr>
                <w:rFonts w:cs="Arial"/>
                <w:szCs w:val="18"/>
                <w:lang w:val="en-GB" w:eastAsia="en-GB"/>
              </w:rPr>
              <w:t>48,8</w:t>
            </w:r>
          </w:p>
        </w:tc>
        <w:tc>
          <w:tcPr>
            <w:tcW w:w="482" w:type="pct"/>
            <w:tcBorders>
              <w:top w:val="nil"/>
              <w:left w:val="nil"/>
              <w:bottom w:val="nil"/>
              <w:right w:val="nil"/>
            </w:tcBorders>
            <w:noWrap/>
            <w:vAlign w:val="bottom"/>
            <w:hideMark/>
          </w:tcPr>
          <w:p w:rsidRPr="00B52D66" w:rsidR="00B52D66" w:rsidP="00FC2172" w:rsidRDefault="00B52D66" w14:paraId="419D5609" w14:textId="77777777">
            <w:pPr>
              <w:spacing w:line="240" w:lineRule="auto"/>
              <w:jc w:val="center"/>
              <w:rPr>
                <w:rFonts w:cs="Arial"/>
                <w:szCs w:val="18"/>
                <w:lang w:val="en-GB" w:eastAsia="en-GB"/>
              </w:rPr>
            </w:pPr>
            <w:r w:rsidRPr="00B52D66">
              <w:rPr>
                <w:rFonts w:cs="Arial"/>
                <w:szCs w:val="18"/>
                <w:lang w:val="en-GB" w:eastAsia="en-GB"/>
              </w:rPr>
              <w:t>48,5</w:t>
            </w:r>
          </w:p>
        </w:tc>
        <w:tc>
          <w:tcPr>
            <w:tcW w:w="482" w:type="pct"/>
            <w:tcBorders>
              <w:top w:val="nil"/>
              <w:left w:val="nil"/>
              <w:bottom w:val="nil"/>
              <w:right w:val="nil"/>
            </w:tcBorders>
            <w:noWrap/>
            <w:vAlign w:val="bottom"/>
            <w:hideMark/>
          </w:tcPr>
          <w:p w:rsidRPr="00B52D66" w:rsidR="00B52D66" w:rsidP="00FC2172" w:rsidRDefault="00B52D66" w14:paraId="4BFA6904" w14:textId="77777777">
            <w:pPr>
              <w:spacing w:line="240" w:lineRule="auto"/>
              <w:jc w:val="center"/>
              <w:rPr>
                <w:rFonts w:cs="Arial"/>
                <w:szCs w:val="18"/>
                <w:lang w:val="en-GB" w:eastAsia="en-GB"/>
              </w:rPr>
            </w:pPr>
            <w:r w:rsidRPr="00B52D66">
              <w:rPr>
                <w:rFonts w:cs="Arial"/>
                <w:szCs w:val="18"/>
                <w:lang w:val="en-GB" w:eastAsia="en-GB"/>
              </w:rPr>
              <w:t>48,7</w:t>
            </w:r>
          </w:p>
        </w:tc>
        <w:tc>
          <w:tcPr>
            <w:tcW w:w="482" w:type="pct"/>
            <w:tcBorders>
              <w:top w:val="nil"/>
              <w:left w:val="nil"/>
              <w:bottom w:val="nil"/>
              <w:right w:val="nil"/>
            </w:tcBorders>
            <w:noWrap/>
            <w:vAlign w:val="bottom"/>
            <w:hideMark/>
          </w:tcPr>
          <w:p w:rsidRPr="00B52D66" w:rsidR="00B52D66" w:rsidP="00FC2172" w:rsidRDefault="00B52D66" w14:paraId="609B9ECF" w14:textId="77777777">
            <w:pPr>
              <w:spacing w:line="240" w:lineRule="auto"/>
              <w:jc w:val="center"/>
              <w:rPr>
                <w:rFonts w:cs="Arial"/>
                <w:szCs w:val="18"/>
                <w:lang w:val="en-GB" w:eastAsia="en-GB"/>
              </w:rPr>
            </w:pPr>
            <w:r w:rsidRPr="00B52D66">
              <w:rPr>
                <w:rFonts w:cs="Arial"/>
                <w:szCs w:val="18"/>
                <w:lang w:val="en-GB" w:eastAsia="en-GB"/>
              </w:rPr>
              <w:t>50,9</w:t>
            </w:r>
          </w:p>
        </w:tc>
        <w:tc>
          <w:tcPr>
            <w:tcW w:w="482" w:type="pct"/>
            <w:tcBorders>
              <w:top w:val="nil"/>
              <w:left w:val="nil"/>
              <w:bottom w:val="nil"/>
              <w:right w:val="nil"/>
            </w:tcBorders>
            <w:noWrap/>
            <w:vAlign w:val="bottom"/>
            <w:hideMark/>
          </w:tcPr>
          <w:p w:rsidRPr="00B52D66" w:rsidR="00B52D66" w:rsidP="00FC2172" w:rsidRDefault="00B52D66" w14:paraId="4D285BAB" w14:textId="77777777">
            <w:pPr>
              <w:spacing w:line="240" w:lineRule="auto"/>
              <w:jc w:val="center"/>
              <w:rPr>
                <w:rFonts w:cs="Arial"/>
                <w:szCs w:val="18"/>
                <w:lang w:val="en-GB" w:eastAsia="en-GB"/>
              </w:rPr>
            </w:pPr>
            <w:r w:rsidRPr="00B52D66">
              <w:rPr>
                <w:rFonts w:cs="Arial"/>
                <w:szCs w:val="18"/>
                <w:lang w:val="en-GB" w:eastAsia="en-GB"/>
              </w:rPr>
              <w:t>49,4</w:t>
            </w:r>
          </w:p>
        </w:tc>
      </w:tr>
      <w:tr w:rsidRPr="00B52D66" w:rsidR="00B52D66" w:rsidTr="00B52D66" w14:paraId="1ACBB7F3"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70F20EB4" w14:textId="77777777">
            <w:pPr>
              <w:spacing w:line="240" w:lineRule="auto"/>
              <w:rPr>
                <w:rFonts w:cs="Arial"/>
                <w:szCs w:val="18"/>
                <w:lang w:val="en-GB" w:eastAsia="en-GB"/>
              </w:rPr>
            </w:pPr>
            <w:r w:rsidRPr="00B52D66">
              <w:rPr>
                <w:rFonts w:cs="Arial"/>
                <w:szCs w:val="18"/>
                <w:lang w:val="en-GB" w:eastAsia="en-GB"/>
              </w:rPr>
              <w:t xml:space="preserve">   Groen</w:t>
            </w:r>
          </w:p>
        </w:tc>
        <w:tc>
          <w:tcPr>
            <w:tcW w:w="482" w:type="pct"/>
            <w:tcBorders>
              <w:top w:val="nil"/>
              <w:left w:val="nil"/>
              <w:bottom w:val="nil"/>
              <w:right w:val="nil"/>
            </w:tcBorders>
            <w:noWrap/>
            <w:vAlign w:val="bottom"/>
            <w:hideMark/>
          </w:tcPr>
          <w:p w:rsidRPr="00B52D66" w:rsidR="00B52D66" w:rsidP="00FC2172" w:rsidRDefault="00B52D66" w14:paraId="112B0209" w14:textId="77777777">
            <w:pPr>
              <w:spacing w:line="240" w:lineRule="auto"/>
              <w:jc w:val="center"/>
              <w:rPr>
                <w:rFonts w:cs="Arial"/>
                <w:szCs w:val="18"/>
                <w:lang w:val="en-GB" w:eastAsia="en-GB"/>
              </w:rPr>
            </w:pPr>
            <w:r w:rsidRPr="00B52D66">
              <w:rPr>
                <w:rFonts w:cs="Arial"/>
                <w:szCs w:val="18"/>
                <w:lang w:val="en-GB" w:eastAsia="en-GB"/>
              </w:rPr>
              <w:t>10,3</w:t>
            </w:r>
          </w:p>
        </w:tc>
        <w:tc>
          <w:tcPr>
            <w:tcW w:w="482" w:type="pct"/>
            <w:tcBorders>
              <w:top w:val="nil"/>
              <w:left w:val="nil"/>
              <w:bottom w:val="nil"/>
              <w:right w:val="nil"/>
            </w:tcBorders>
            <w:noWrap/>
            <w:vAlign w:val="bottom"/>
            <w:hideMark/>
          </w:tcPr>
          <w:p w:rsidRPr="00B52D66" w:rsidR="00B52D66" w:rsidP="00FC2172" w:rsidRDefault="00B52D66" w14:paraId="39F9C373" w14:textId="77777777">
            <w:pPr>
              <w:spacing w:line="240" w:lineRule="auto"/>
              <w:jc w:val="center"/>
              <w:rPr>
                <w:rFonts w:cs="Arial"/>
                <w:szCs w:val="18"/>
                <w:lang w:val="en-GB" w:eastAsia="en-GB"/>
              </w:rPr>
            </w:pPr>
            <w:r w:rsidRPr="00B52D66">
              <w:rPr>
                <w:rFonts w:cs="Arial"/>
                <w:szCs w:val="18"/>
                <w:lang w:val="en-GB" w:eastAsia="en-GB"/>
              </w:rPr>
              <w:t>11,9</w:t>
            </w:r>
          </w:p>
        </w:tc>
        <w:tc>
          <w:tcPr>
            <w:tcW w:w="482" w:type="pct"/>
            <w:tcBorders>
              <w:top w:val="nil"/>
              <w:left w:val="nil"/>
              <w:bottom w:val="nil"/>
              <w:right w:val="nil"/>
            </w:tcBorders>
            <w:noWrap/>
            <w:vAlign w:val="bottom"/>
            <w:hideMark/>
          </w:tcPr>
          <w:p w:rsidRPr="00B52D66" w:rsidR="00B52D66" w:rsidP="00FC2172" w:rsidRDefault="00B52D66" w14:paraId="3DCBE4C0" w14:textId="77777777">
            <w:pPr>
              <w:spacing w:line="240" w:lineRule="auto"/>
              <w:jc w:val="center"/>
              <w:rPr>
                <w:rFonts w:cs="Arial"/>
                <w:szCs w:val="18"/>
                <w:lang w:val="en-GB" w:eastAsia="en-GB"/>
              </w:rPr>
            </w:pPr>
            <w:r w:rsidRPr="00B52D66">
              <w:rPr>
                <w:rFonts w:cs="Arial"/>
                <w:szCs w:val="18"/>
                <w:lang w:val="en-GB" w:eastAsia="en-GB"/>
              </w:rPr>
              <w:t>12,7</w:t>
            </w:r>
          </w:p>
        </w:tc>
        <w:tc>
          <w:tcPr>
            <w:tcW w:w="482" w:type="pct"/>
            <w:tcBorders>
              <w:top w:val="nil"/>
              <w:left w:val="nil"/>
              <w:bottom w:val="nil"/>
              <w:right w:val="nil"/>
            </w:tcBorders>
            <w:noWrap/>
            <w:vAlign w:val="bottom"/>
            <w:hideMark/>
          </w:tcPr>
          <w:p w:rsidRPr="00B52D66" w:rsidR="00B52D66" w:rsidP="00FC2172" w:rsidRDefault="00B52D66" w14:paraId="521368A6" w14:textId="77777777">
            <w:pPr>
              <w:spacing w:line="240" w:lineRule="auto"/>
              <w:jc w:val="center"/>
              <w:rPr>
                <w:rFonts w:cs="Arial"/>
                <w:szCs w:val="18"/>
                <w:lang w:val="en-GB" w:eastAsia="en-GB"/>
              </w:rPr>
            </w:pPr>
            <w:r w:rsidRPr="00B52D66">
              <w:rPr>
                <w:rFonts w:cs="Arial"/>
                <w:szCs w:val="18"/>
                <w:lang w:val="en-GB" w:eastAsia="en-GB"/>
              </w:rPr>
              <w:t>14,1</w:t>
            </w:r>
          </w:p>
        </w:tc>
        <w:tc>
          <w:tcPr>
            <w:tcW w:w="482" w:type="pct"/>
            <w:tcBorders>
              <w:top w:val="nil"/>
              <w:left w:val="nil"/>
              <w:bottom w:val="nil"/>
              <w:right w:val="nil"/>
            </w:tcBorders>
            <w:noWrap/>
            <w:vAlign w:val="bottom"/>
            <w:hideMark/>
          </w:tcPr>
          <w:p w:rsidRPr="00B52D66" w:rsidR="00B52D66" w:rsidP="00FC2172" w:rsidRDefault="00B52D66" w14:paraId="4DA28C69" w14:textId="77777777">
            <w:pPr>
              <w:spacing w:line="240" w:lineRule="auto"/>
              <w:jc w:val="center"/>
              <w:rPr>
                <w:rFonts w:cs="Arial"/>
                <w:szCs w:val="18"/>
                <w:lang w:val="en-GB" w:eastAsia="en-GB"/>
              </w:rPr>
            </w:pPr>
            <w:r w:rsidRPr="00B52D66">
              <w:rPr>
                <w:rFonts w:cs="Arial"/>
                <w:szCs w:val="18"/>
                <w:lang w:val="en-GB" w:eastAsia="en-GB"/>
              </w:rPr>
              <w:t>13,3</w:t>
            </w:r>
          </w:p>
        </w:tc>
        <w:tc>
          <w:tcPr>
            <w:tcW w:w="482" w:type="pct"/>
            <w:tcBorders>
              <w:top w:val="nil"/>
              <w:left w:val="nil"/>
              <w:bottom w:val="nil"/>
              <w:right w:val="nil"/>
            </w:tcBorders>
            <w:noWrap/>
            <w:vAlign w:val="bottom"/>
            <w:hideMark/>
          </w:tcPr>
          <w:p w:rsidRPr="00B52D66" w:rsidR="00B52D66" w:rsidP="00FC2172" w:rsidRDefault="00B52D66" w14:paraId="6FF16565" w14:textId="77777777">
            <w:pPr>
              <w:spacing w:line="240" w:lineRule="auto"/>
              <w:jc w:val="center"/>
              <w:rPr>
                <w:rFonts w:cs="Arial"/>
                <w:szCs w:val="18"/>
                <w:lang w:val="en-GB" w:eastAsia="en-GB"/>
              </w:rPr>
            </w:pPr>
            <w:r w:rsidRPr="00B52D66">
              <w:rPr>
                <w:rFonts w:cs="Arial"/>
                <w:szCs w:val="18"/>
                <w:lang w:val="en-GB" w:eastAsia="en-GB"/>
              </w:rPr>
              <w:t>13,6</w:t>
            </w:r>
          </w:p>
        </w:tc>
      </w:tr>
      <w:tr w:rsidRPr="00B52D66" w:rsidR="00B52D66" w:rsidTr="00B52D66" w14:paraId="3F65C6B3"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145C9A41" w14:textId="77777777">
            <w:pPr>
              <w:spacing w:line="240" w:lineRule="auto"/>
              <w:rPr>
                <w:rFonts w:cs="Arial"/>
                <w:szCs w:val="18"/>
                <w:lang w:val="en-GB" w:eastAsia="en-GB"/>
              </w:rPr>
            </w:pPr>
            <w:r w:rsidRPr="00B52D66">
              <w:rPr>
                <w:rFonts w:cs="Arial"/>
                <w:szCs w:val="18"/>
                <w:lang w:val="en-GB" w:eastAsia="en-GB"/>
              </w:rPr>
              <w:t xml:space="preserve">   HBR</w:t>
            </w:r>
          </w:p>
        </w:tc>
        <w:tc>
          <w:tcPr>
            <w:tcW w:w="482" w:type="pct"/>
            <w:tcBorders>
              <w:top w:val="nil"/>
              <w:left w:val="nil"/>
              <w:bottom w:val="nil"/>
              <w:right w:val="nil"/>
            </w:tcBorders>
            <w:noWrap/>
            <w:vAlign w:val="bottom"/>
            <w:hideMark/>
          </w:tcPr>
          <w:p w:rsidRPr="00B52D66" w:rsidR="00B52D66" w:rsidP="00FC2172" w:rsidRDefault="00B52D66" w14:paraId="3F967333" w14:textId="77777777">
            <w:pPr>
              <w:spacing w:line="240" w:lineRule="auto"/>
              <w:jc w:val="center"/>
              <w:rPr>
                <w:rFonts w:cs="Arial"/>
                <w:szCs w:val="18"/>
                <w:lang w:val="en-GB" w:eastAsia="en-GB"/>
              </w:rPr>
            </w:pPr>
            <w:r w:rsidRPr="00B52D66">
              <w:rPr>
                <w:rFonts w:cs="Arial"/>
                <w:szCs w:val="18"/>
                <w:lang w:val="en-GB" w:eastAsia="en-GB"/>
              </w:rPr>
              <w:t>21,2</w:t>
            </w:r>
          </w:p>
        </w:tc>
        <w:tc>
          <w:tcPr>
            <w:tcW w:w="482" w:type="pct"/>
            <w:tcBorders>
              <w:top w:val="nil"/>
              <w:left w:val="nil"/>
              <w:bottom w:val="nil"/>
              <w:right w:val="nil"/>
            </w:tcBorders>
            <w:noWrap/>
            <w:vAlign w:val="bottom"/>
            <w:hideMark/>
          </w:tcPr>
          <w:p w:rsidRPr="00B52D66" w:rsidR="00B52D66" w:rsidP="00FC2172" w:rsidRDefault="00B52D66" w14:paraId="09CE3F3A" w14:textId="77777777">
            <w:pPr>
              <w:spacing w:line="240" w:lineRule="auto"/>
              <w:jc w:val="center"/>
              <w:rPr>
                <w:rFonts w:cs="Arial"/>
                <w:szCs w:val="18"/>
                <w:lang w:val="en-GB" w:eastAsia="en-GB"/>
              </w:rPr>
            </w:pPr>
            <w:r w:rsidRPr="00B52D66">
              <w:rPr>
                <w:rFonts w:cs="Arial"/>
                <w:szCs w:val="18"/>
                <w:lang w:val="en-GB" w:eastAsia="en-GB"/>
              </w:rPr>
              <w:t>20,0</w:t>
            </w:r>
          </w:p>
        </w:tc>
        <w:tc>
          <w:tcPr>
            <w:tcW w:w="482" w:type="pct"/>
            <w:tcBorders>
              <w:top w:val="nil"/>
              <w:left w:val="nil"/>
              <w:bottom w:val="nil"/>
              <w:right w:val="nil"/>
            </w:tcBorders>
            <w:noWrap/>
            <w:vAlign w:val="bottom"/>
            <w:hideMark/>
          </w:tcPr>
          <w:p w:rsidRPr="00B52D66" w:rsidR="00B52D66" w:rsidP="00FC2172" w:rsidRDefault="00B52D66" w14:paraId="485C436D" w14:textId="77777777">
            <w:pPr>
              <w:spacing w:line="240" w:lineRule="auto"/>
              <w:jc w:val="center"/>
              <w:rPr>
                <w:rFonts w:cs="Arial"/>
                <w:szCs w:val="18"/>
                <w:lang w:val="en-GB" w:eastAsia="en-GB"/>
              </w:rPr>
            </w:pPr>
            <w:r w:rsidRPr="00B52D66">
              <w:rPr>
                <w:rFonts w:cs="Arial"/>
                <w:szCs w:val="18"/>
                <w:lang w:val="en-GB" w:eastAsia="en-GB"/>
              </w:rPr>
              <w:t>21,4</w:t>
            </w:r>
          </w:p>
        </w:tc>
        <w:tc>
          <w:tcPr>
            <w:tcW w:w="482" w:type="pct"/>
            <w:tcBorders>
              <w:top w:val="nil"/>
              <w:left w:val="nil"/>
              <w:bottom w:val="nil"/>
              <w:right w:val="nil"/>
            </w:tcBorders>
            <w:noWrap/>
            <w:vAlign w:val="bottom"/>
            <w:hideMark/>
          </w:tcPr>
          <w:p w:rsidRPr="00B52D66" w:rsidR="00B52D66" w:rsidP="00FC2172" w:rsidRDefault="00B52D66" w14:paraId="16937EA6" w14:textId="77777777">
            <w:pPr>
              <w:spacing w:line="240" w:lineRule="auto"/>
              <w:jc w:val="center"/>
              <w:rPr>
                <w:rFonts w:cs="Arial"/>
                <w:szCs w:val="18"/>
                <w:lang w:val="en-GB" w:eastAsia="en-GB"/>
              </w:rPr>
            </w:pPr>
            <w:r w:rsidRPr="00B52D66">
              <w:rPr>
                <w:rFonts w:cs="Arial"/>
                <w:szCs w:val="18"/>
                <w:lang w:val="en-GB" w:eastAsia="en-GB"/>
              </w:rPr>
              <w:t>22,4</w:t>
            </w:r>
          </w:p>
        </w:tc>
        <w:tc>
          <w:tcPr>
            <w:tcW w:w="482" w:type="pct"/>
            <w:tcBorders>
              <w:top w:val="nil"/>
              <w:left w:val="nil"/>
              <w:bottom w:val="nil"/>
              <w:right w:val="nil"/>
            </w:tcBorders>
            <w:noWrap/>
            <w:vAlign w:val="bottom"/>
            <w:hideMark/>
          </w:tcPr>
          <w:p w:rsidRPr="00B52D66" w:rsidR="00B52D66" w:rsidP="00FC2172" w:rsidRDefault="00B52D66" w14:paraId="336E55CF" w14:textId="77777777">
            <w:pPr>
              <w:spacing w:line="240" w:lineRule="auto"/>
              <w:jc w:val="center"/>
              <w:rPr>
                <w:rFonts w:cs="Arial"/>
                <w:szCs w:val="18"/>
                <w:lang w:val="en-GB" w:eastAsia="en-GB"/>
              </w:rPr>
            </w:pPr>
            <w:r w:rsidRPr="00B52D66">
              <w:rPr>
                <w:rFonts w:cs="Arial"/>
                <w:szCs w:val="18"/>
                <w:lang w:val="en-GB" w:eastAsia="en-GB"/>
              </w:rPr>
              <w:t>20,2</w:t>
            </w:r>
          </w:p>
        </w:tc>
        <w:tc>
          <w:tcPr>
            <w:tcW w:w="482" w:type="pct"/>
            <w:tcBorders>
              <w:top w:val="nil"/>
              <w:left w:val="nil"/>
              <w:bottom w:val="nil"/>
              <w:right w:val="nil"/>
            </w:tcBorders>
            <w:noWrap/>
            <w:vAlign w:val="bottom"/>
            <w:hideMark/>
          </w:tcPr>
          <w:p w:rsidRPr="00B52D66" w:rsidR="00B52D66" w:rsidP="00FC2172" w:rsidRDefault="00B52D66" w14:paraId="2ADEC62F" w14:textId="77777777">
            <w:pPr>
              <w:spacing w:line="240" w:lineRule="auto"/>
              <w:jc w:val="center"/>
              <w:rPr>
                <w:rFonts w:cs="Arial"/>
                <w:szCs w:val="18"/>
                <w:lang w:val="en-GB" w:eastAsia="en-GB"/>
              </w:rPr>
            </w:pPr>
            <w:r w:rsidRPr="00B52D66">
              <w:rPr>
                <w:rFonts w:cs="Arial"/>
                <w:szCs w:val="18"/>
                <w:lang w:val="en-GB" w:eastAsia="en-GB"/>
              </w:rPr>
              <w:t>22,2</w:t>
            </w:r>
          </w:p>
        </w:tc>
      </w:tr>
      <w:tr w:rsidRPr="00B52D66" w:rsidR="00B52D66" w:rsidTr="00B52D66" w14:paraId="55D98307"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3E84A1C3" w14:textId="77777777">
            <w:pPr>
              <w:spacing w:line="240" w:lineRule="auto"/>
              <w:rPr>
                <w:rFonts w:cs="Arial"/>
                <w:szCs w:val="18"/>
                <w:lang w:val="en-GB" w:eastAsia="en-GB"/>
              </w:rPr>
            </w:pPr>
            <w:r w:rsidRPr="00B52D66">
              <w:rPr>
                <w:rFonts w:cs="Arial"/>
                <w:szCs w:val="18"/>
                <w:lang w:val="en-GB" w:eastAsia="en-GB"/>
              </w:rPr>
              <w:t xml:space="preserve">   Z&amp;W</w:t>
            </w:r>
          </w:p>
        </w:tc>
        <w:tc>
          <w:tcPr>
            <w:tcW w:w="482" w:type="pct"/>
            <w:tcBorders>
              <w:top w:val="nil"/>
              <w:left w:val="nil"/>
              <w:bottom w:val="nil"/>
              <w:right w:val="nil"/>
            </w:tcBorders>
            <w:noWrap/>
            <w:vAlign w:val="bottom"/>
            <w:hideMark/>
          </w:tcPr>
          <w:p w:rsidRPr="00B52D66" w:rsidR="00B52D66" w:rsidP="00FC2172" w:rsidRDefault="00B52D66" w14:paraId="013E7C6D" w14:textId="77777777">
            <w:pPr>
              <w:spacing w:line="240" w:lineRule="auto"/>
              <w:jc w:val="center"/>
              <w:rPr>
                <w:rFonts w:cs="Arial"/>
                <w:szCs w:val="18"/>
                <w:lang w:val="en-GB" w:eastAsia="en-GB"/>
              </w:rPr>
            </w:pPr>
            <w:r w:rsidRPr="00B52D66">
              <w:rPr>
                <w:rFonts w:cs="Arial"/>
                <w:szCs w:val="18"/>
                <w:lang w:val="en-GB" w:eastAsia="en-GB"/>
              </w:rPr>
              <w:t>27,4</w:t>
            </w:r>
          </w:p>
        </w:tc>
        <w:tc>
          <w:tcPr>
            <w:tcW w:w="482" w:type="pct"/>
            <w:tcBorders>
              <w:top w:val="nil"/>
              <w:left w:val="nil"/>
              <w:bottom w:val="nil"/>
              <w:right w:val="nil"/>
            </w:tcBorders>
            <w:noWrap/>
            <w:vAlign w:val="bottom"/>
            <w:hideMark/>
          </w:tcPr>
          <w:p w:rsidRPr="00B52D66" w:rsidR="00B52D66" w:rsidP="00FC2172" w:rsidRDefault="00B52D66" w14:paraId="5538191E" w14:textId="77777777">
            <w:pPr>
              <w:spacing w:line="240" w:lineRule="auto"/>
              <w:jc w:val="center"/>
              <w:rPr>
                <w:rFonts w:cs="Arial"/>
                <w:szCs w:val="18"/>
                <w:lang w:val="en-GB" w:eastAsia="en-GB"/>
              </w:rPr>
            </w:pPr>
            <w:r w:rsidRPr="00B52D66">
              <w:rPr>
                <w:rFonts w:cs="Arial"/>
                <w:szCs w:val="18"/>
                <w:lang w:val="en-GB" w:eastAsia="en-GB"/>
              </w:rPr>
              <w:t>28,7</w:t>
            </w:r>
          </w:p>
        </w:tc>
        <w:tc>
          <w:tcPr>
            <w:tcW w:w="482" w:type="pct"/>
            <w:tcBorders>
              <w:top w:val="nil"/>
              <w:left w:val="nil"/>
              <w:bottom w:val="nil"/>
              <w:right w:val="nil"/>
            </w:tcBorders>
            <w:noWrap/>
            <w:vAlign w:val="bottom"/>
            <w:hideMark/>
          </w:tcPr>
          <w:p w:rsidRPr="00B52D66" w:rsidR="00B52D66" w:rsidP="00FC2172" w:rsidRDefault="00B52D66" w14:paraId="64288497" w14:textId="77777777">
            <w:pPr>
              <w:spacing w:line="240" w:lineRule="auto"/>
              <w:jc w:val="center"/>
              <w:rPr>
                <w:rFonts w:cs="Arial"/>
                <w:szCs w:val="18"/>
                <w:lang w:val="en-GB" w:eastAsia="en-GB"/>
              </w:rPr>
            </w:pPr>
            <w:r w:rsidRPr="00B52D66">
              <w:rPr>
                <w:rFonts w:cs="Arial"/>
                <w:szCs w:val="18"/>
                <w:lang w:val="en-GB" w:eastAsia="en-GB"/>
              </w:rPr>
              <w:t>29,4</w:t>
            </w:r>
          </w:p>
        </w:tc>
        <w:tc>
          <w:tcPr>
            <w:tcW w:w="482" w:type="pct"/>
            <w:tcBorders>
              <w:top w:val="nil"/>
              <w:left w:val="nil"/>
              <w:bottom w:val="nil"/>
              <w:right w:val="nil"/>
            </w:tcBorders>
            <w:noWrap/>
            <w:vAlign w:val="bottom"/>
            <w:hideMark/>
          </w:tcPr>
          <w:p w:rsidRPr="00B52D66" w:rsidR="00B52D66" w:rsidP="00FC2172" w:rsidRDefault="00B52D66" w14:paraId="0173815B" w14:textId="77777777">
            <w:pPr>
              <w:spacing w:line="240" w:lineRule="auto"/>
              <w:jc w:val="center"/>
              <w:rPr>
                <w:rFonts w:cs="Arial"/>
                <w:szCs w:val="18"/>
                <w:lang w:val="en-GB" w:eastAsia="en-GB"/>
              </w:rPr>
            </w:pPr>
            <w:r w:rsidRPr="00B52D66">
              <w:rPr>
                <w:rFonts w:cs="Arial"/>
                <w:szCs w:val="18"/>
                <w:lang w:val="en-GB" w:eastAsia="en-GB"/>
              </w:rPr>
              <w:t>29,8</w:t>
            </w:r>
          </w:p>
        </w:tc>
        <w:tc>
          <w:tcPr>
            <w:tcW w:w="482" w:type="pct"/>
            <w:tcBorders>
              <w:top w:val="nil"/>
              <w:left w:val="nil"/>
              <w:bottom w:val="nil"/>
              <w:right w:val="nil"/>
            </w:tcBorders>
            <w:noWrap/>
            <w:vAlign w:val="bottom"/>
            <w:hideMark/>
          </w:tcPr>
          <w:p w:rsidRPr="00B52D66" w:rsidR="00B52D66" w:rsidP="00FC2172" w:rsidRDefault="00B52D66" w14:paraId="47363422" w14:textId="77777777">
            <w:pPr>
              <w:spacing w:line="240" w:lineRule="auto"/>
              <w:jc w:val="center"/>
              <w:rPr>
                <w:rFonts w:cs="Arial"/>
                <w:szCs w:val="18"/>
                <w:lang w:val="en-GB" w:eastAsia="en-GB"/>
              </w:rPr>
            </w:pPr>
            <w:r w:rsidRPr="00B52D66">
              <w:rPr>
                <w:rFonts w:cs="Arial"/>
                <w:szCs w:val="18"/>
                <w:lang w:val="en-GB" w:eastAsia="en-GB"/>
              </w:rPr>
              <w:t>30,1</w:t>
            </w:r>
          </w:p>
        </w:tc>
        <w:tc>
          <w:tcPr>
            <w:tcW w:w="482" w:type="pct"/>
            <w:tcBorders>
              <w:top w:val="nil"/>
              <w:left w:val="nil"/>
              <w:bottom w:val="nil"/>
              <w:right w:val="nil"/>
            </w:tcBorders>
            <w:noWrap/>
            <w:vAlign w:val="bottom"/>
            <w:hideMark/>
          </w:tcPr>
          <w:p w:rsidRPr="00B52D66" w:rsidR="00B52D66" w:rsidP="00FC2172" w:rsidRDefault="00B52D66" w14:paraId="057ADF69" w14:textId="77777777">
            <w:pPr>
              <w:spacing w:line="240" w:lineRule="auto"/>
              <w:jc w:val="center"/>
              <w:rPr>
                <w:rFonts w:cs="Arial"/>
                <w:szCs w:val="18"/>
                <w:lang w:val="en-GB" w:eastAsia="en-GB"/>
              </w:rPr>
            </w:pPr>
            <w:r w:rsidRPr="00B52D66">
              <w:rPr>
                <w:rFonts w:cs="Arial"/>
                <w:szCs w:val="18"/>
                <w:lang w:val="en-GB" w:eastAsia="en-GB"/>
              </w:rPr>
              <w:t>30,5</w:t>
            </w:r>
          </w:p>
        </w:tc>
      </w:tr>
      <w:tr w:rsidRPr="00B52D66" w:rsidR="00B52D66" w:rsidTr="00B52D66" w14:paraId="44880209"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1484931D" w14:textId="77777777">
            <w:pPr>
              <w:spacing w:line="240" w:lineRule="auto"/>
              <w:rPr>
                <w:rFonts w:cs="Arial"/>
                <w:b/>
                <w:bCs/>
                <w:szCs w:val="18"/>
                <w:lang w:val="en-GB" w:eastAsia="en-GB"/>
              </w:rPr>
            </w:pPr>
            <w:r w:rsidRPr="00B52D66">
              <w:rPr>
                <w:rFonts w:cs="Arial"/>
                <w:b/>
                <w:bCs/>
                <w:szCs w:val="18"/>
                <w:lang w:val="en-GB" w:eastAsia="en-GB"/>
              </w:rPr>
              <w:t>Gemengde leerweg</w:t>
            </w:r>
          </w:p>
        </w:tc>
        <w:tc>
          <w:tcPr>
            <w:tcW w:w="482" w:type="pct"/>
            <w:tcBorders>
              <w:top w:val="nil"/>
              <w:left w:val="nil"/>
              <w:bottom w:val="nil"/>
              <w:right w:val="nil"/>
            </w:tcBorders>
            <w:noWrap/>
            <w:vAlign w:val="bottom"/>
            <w:hideMark/>
          </w:tcPr>
          <w:p w:rsidRPr="00B52D66" w:rsidR="00B52D66" w:rsidP="00FC2172" w:rsidRDefault="00B52D66" w14:paraId="3D0C84C5"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244E4D1D"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6AF11950"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3E6512B7"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468BCBAD"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7C11737A" w14:textId="77777777">
            <w:pPr>
              <w:spacing w:line="240" w:lineRule="auto"/>
              <w:jc w:val="center"/>
              <w:rPr>
                <w:rFonts w:cs="Arial"/>
                <w:b/>
                <w:bCs/>
                <w:szCs w:val="18"/>
                <w:lang w:val="en-GB" w:eastAsia="en-GB"/>
              </w:rPr>
            </w:pPr>
            <w:r w:rsidRPr="00B52D66">
              <w:rPr>
                <w:rFonts w:cs="Arial"/>
                <w:b/>
                <w:bCs/>
                <w:szCs w:val="18"/>
                <w:lang w:val="en-GB" w:eastAsia="en-GB"/>
              </w:rPr>
              <w:t> </w:t>
            </w:r>
          </w:p>
        </w:tc>
      </w:tr>
      <w:tr w:rsidRPr="00B52D66" w:rsidR="00B52D66" w:rsidTr="00B52D66" w14:paraId="0C52FAC7"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30C2F0B5" w14:textId="77777777">
            <w:pPr>
              <w:spacing w:line="240" w:lineRule="auto"/>
              <w:rPr>
                <w:rFonts w:cs="Arial"/>
                <w:b/>
                <w:bCs/>
                <w:szCs w:val="18"/>
                <w:lang w:val="en-GB" w:eastAsia="en-GB"/>
              </w:rPr>
            </w:pPr>
            <w:r w:rsidRPr="00B52D66">
              <w:rPr>
                <w:rFonts w:cs="Arial"/>
                <w:b/>
                <w:bCs/>
                <w:szCs w:val="18"/>
                <w:lang w:val="en-GB" w:eastAsia="en-GB"/>
              </w:rPr>
              <w:t xml:space="preserve">  Techniek</w:t>
            </w:r>
          </w:p>
        </w:tc>
        <w:tc>
          <w:tcPr>
            <w:tcW w:w="482" w:type="pct"/>
            <w:tcBorders>
              <w:top w:val="nil"/>
              <w:left w:val="nil"/>
              <w:bottom w:val="nil"/>
              <w:right w:val="nil"/>
            </w:tcBorders>
            <w:noWrap/>
            <w:vAlign w:val="bottom"/>
            <w:hideMark/>
          </w:tcPr>
          <w:p w:rsidRPr="00B52D66" w:rsidR="00B52D66" w:rsidP="00FC2172" w:rsidRDefault="00B52D66" w14:paraId="419916A3"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29063E9D"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6F9CC6E1"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6C868844"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00269384"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62F5D756" w14:textId="77777777">
            <w:pPr>
              <w:spacing w:line="240" w:lineRule="auto"/>
              <w:jc w:val="center"/>
              <w:rPr>
                <w:rFonts w:cs="Arial"/>
                <w:b/>
                <w:bCs/>
                <w:szCs w:val="18"/>
                <w:lang w:val="en-GB" w:eastAsia="en-GB"/>
              </w:rPr>
            </w:pPr>
            <w:r w:rsidRPr="00B52D66">
              <w:rPr>
                <w:rFonts w:cs="Arial"/>
                <w:b/>
                <w:bCs/>
                <w:szCs w:val="18"/>
                <w:lang w:val="en-GB" w:eastAsia="en-GB"/>
              </w:rPr>
              <w:t> </w:t>
            </w:r>
          </w:p>
        </w:tc>
      </w:tr>
      <w:tr w:rsidRPr="00B52D66" w:rsidR="00B52D66" w:rsidTr="00B52D66" w14:paraId="1CB0966F" w14:textId="77777777">
        <w:trPr>
          <w:trHeight w:val="280"/>
        </w:trPr>
        <w:tc>
          <w:tcPr>
            <w:tcW w:w="2105" w:type="pct"/>
            <w:tcBorders>
              <w:top w:val="nil"/>
              <w:left w:val="nil"/>
              <w:bottom w:val="nil"/>
              <w:right w:val="nil"/>
            </w:tcBorders>
            <w:noWrap/>
            <w:hideMark/>
          </w:tcPr>
          <w:p w:rsidRPr="00B52D66" w:rsidR="00B52D66" w:rsidP="00FC2172" w:rsidRDefault="00B52D66" w14:paraId="666B61CF" w14:textId="77777777">
            <w:pPr>
              <w:spacing w:line="240" w:lineRule="auto"/>
              <w:rPr>
                <w:rFonts w:cs="Arial"/>
                <w:szCs w:val="18"/>
                <w:lang w:val="en-GB" w:eastAsia="en-GB"/>
              </w:rPr>
            </w:pPr>
            <w:r w:rsidRPr="00B52D66">
              <w:rPr>
                <w:rFonts w:cs="Arial"/>
                <w:szCs w:val="18"/>
                <w:lang w:val="en-GB" w:eastAsia="en-GB"/>
              </w:rPr>
              <w:t xml:space="preserve">   BWI</w:t>
            </w:r>
          </w:p>
        </w:tc>
        <w:tc>
          <w:tcPr>
            <w:tcW w:w="482" w:type="pct"/>
            <w:tcBorders>
              <w:top w:val="nil"/>
              <w:left w:val="nil"/>
              <w:bottom w:val="nil"/>
              <w:right w:val="nil"/>
            </w:tcBorders>
            <w:noWrap/>
            <w:vAlign w:val="bottom"/>
            <w:hideMark/>
          </w:tcPr>
          <w:p w:rsidRPr="00B52D66" w:rsidR="00B52D66" w:rsidP="00FC2172" w:rsidRDefault="00B52D66" w14:paraId="409420E9" w14:textId="77777777">
            <w:pPr>
              <w:spacing w:line="240" w:lineRule="auto"/>
              <w:jc w:val="center"/>
              <w:rPr>
                <w:rFonts w:cs="Arial"/>
                <w:szCs w:val="18"/>
                <w:lang w:val="en-GB" w:eastAsia="en-GB"/>
              </w:rPr>
            </w:pPr>
            <w:r w:rsidRPr="00B52D66">
              <w:rPr>
                <w:rFonts w:cs="Arial"/>
                <w:szCs w:val="18"/>
                <w:lang w:val="en-GB" w:eastAsia="en-GB"/>
              </w:rPr>
              <w:t>6,3</w:t>
            </w:r>
          </w:p>
        </w:tc>
        <w:tc>
          <w:tcPr>
            <w:tcW w:w="482" w:type="pct"/>
            <w:tcBorders>
              <w:top w:val="nil"/>
              <w:left w:val="nil"/>
              <w:bottom w:val="nil"/>
              <w:right w:val="nil"/>
            </w:tcBorders>
            <w:noWrap/>
            <w:vAlign w:val="bottom"/>
            <w:hideMark/>
          </w:tcPr>
          <w:p w:rsidRPr="00B52D66" w:rsidR="00B52D66" w:rsidP="00FC2172" w:rsidRDefault="00B52D66" w14:paraId="0DBF54E7" w14:textId="77777777">
            <w:pPr>
              <w:spacing w:line="240" w:lineRule="auto"/>
              <w:jc w:val="center"/>
              <w:rPr>
                <w:rFonts w:cs="Arial"/>
                <w:szCs w:val="18"/>
                <w:lang w:val="en-GB" w:eastAsia="en-GB"/>
              </w:rPr>
            </w:pPr>
            <w:r w:rsidRPr="00B52D66">
              <w:rPr>
                <w:rFonts w:cs="Arial"/>
                <w:szCs w:val="18"/>
                <w:lang w:val="en-GB" w:eastAsia="en-GB"/>
              </w:rPr>
              <w:t>7,2</w:t>
            </w:r>
          </w:p>
        </w:tc>
        <w:tc>
          <w:tcPr>
            <w:tcW w:w="482" w:type="pct"/>
            <w:tcBorders>
              <w:top w:val="nil"/>
              <w:left w:val="nil"/>
              <w:bottom w:val="nil"/>
              <w:right w:val="nil"/>
            </w:tcBorders>
            <w:noWrap/>
            <w:vAlign w:val="bottom"/>
            <w:hideMark/>
          </w:tcPr>
          <w:p w:rsidRPr="00B52D66" w:rsidR="00B52D66" w:rsidP="00FC2172" w:rsidRDefault="00B52D66" w14:paraId="0028D59F" w14:textId="77777777">
            <w:pPr>
              <w:spacing w:line="240" w:lineRule="auto"/>
              <w:jc w:val="center"/>
              <w:rPr>
                <w:rFonts w:cs="Arial"/>
                <w:szCs w:val="18"/>
                <w:lang w:val="en-GB" w:eastAsia="en-GB"/>
              </w:rPr>
            </w:pPr>
            <w:r w:rsidRPr="00B52D66">
              <w:rPr>
                <w:rFonts w:cs="Arial"/>
                <w:szCs w:val="18"/>
                <w:lang w:val="en-GB" w:eastAsia="en-GB"/>
              </w:rPr>
              <w:t>6,4</w:t>
            </w:r>
          </w:p>
        </w:tc>
        <w:tc>
          <w:tcPr>
            <w:tcW w:w="482" w:type="pct"/>
            <w:tcBorders>
              <w:top w:val="nil"/>
              <w:left w:val="nil"/>
              <w:bottom w:val="nil"/>
              <w:right w:val="nil"/>
            </w:tcBorders>
            <w:noWrap/>
            <w:vAlign w:val="bottom"/>
            <w:hideMark/>
          </w:tcPr>
          <w:p w:rsidRPr="00B52D66" w:rsidR="00B52D66" w:rsidP="00FC2172" w:rsidRDefault="00B52D66" w14:paraId="3997F4FA" w14:textId="77777777">
            <w:pPr>
              <w:spacing w:line="240" w:lineRule="auto"/>
              <w:jc w:val="center"/>
              <w:rPr>
                <w:rFonts w:cs="Arial"/>
                <w:szCs w:val="18"/>
                <w:lang w:val="en-GB" w:eastAsia="en-GB"/>
              </w:rPr>
            </w:pPr>
            <w:r w:rsidRPr="00B52D66">
              <w:rPr>
                <w:rFonts w:cs="Arial"/>
                <w:szCs w:val="18"/>
                <w:lang w:val="en-GB" w:eastAsia="en-GB"/>
              </w:rPr>
              <w:t>8,0</w:t>
            </w:r>
          </w:p>
        </w:tc>
        <w:tc>
          <w:tcPr>
            <w:tcW w:w="482" w:type="pct"/>
            <w:tcBorders>
              <w:top w:val="nil"/>
              <w:left w:val="nil"/>
              <w:bottom w:val="nil"/>
              <w:right w:val="nil"/>
            </w:tcBorders>
            <w:noWrap/>
            <w:vAlign w:val="bottom"/>
            <w:hideMark/>
          </w:tcPr>
          <w:p w:rsidRPr="00B52D66" w:rsidR="00B52D66" w:rsidP="00FC2172" w:rsidRDefault="00B52D66" w14:paraId="159DE7DA" w14:textId="77777777">
            <w:pPr>
              <w:spacing w:line="240" w:lineRule="auto"/>
              <w:jc w:val="center"/>
              <w:rPr>
                <w:rFonts w:cs="Arial"/>
                <w:szCs w:val="18"/>
                <w:lang w:val="en-GB" w:eastAsia="en-GB"/>
              </w:rPr>
            </w:pPr>
            <w:r w:rsidRPr="00B52D66">
              <w:rPr>
                <w:rFonts w:cs="Arial"/>
                <w:szCs w:val="18"/>
                <w:lang w:val="en-GB" w:eastAsia="en-GB"/>
              </w:rPr>
              <w:t>10,0</w:t>
            </w:r>
          </w:p>
        </w:tc>
        <w:tc>
          <w:tcPr>
            <w:tcW w:w="482" w:type="pct"/>
            <w:tcBorders>
              <w:top w:val="nil"/>
              <w:left w:val="nil"/>
              <w:bottom w:val="nil"/>
              <w:right w:val="nil"/>
            </w:tcBorders>
            <w:noWrap/>
            <w:vAlign w:val="bottom"/>
            <w:hideMark/>
          </w:tcPr>
          <w:p w:rsidRPr="00B52D66" w:rsidR="00B52D66" w:rsidP="00FC2172" w:rsidRDefault="00B52D66" w14:paraId="65D44D91" w14:textId="77777777">
            <w:pPr>
              <w:spacing w:line="240" w:lineRule="auto"/>
              <w:jc w:val="center"/>
              <w:rPr>
                <w:rFonts w:cs="Arial"/>
                <w:szCs w:val="18"/>
                <w:lang w:val="en-GB" w:eastAsia="en-GB"/>
              </w:rPr>
            </w:pPr>
            <w:r w:rsidRPr="00B52D66">
              <w:rPr>
                <w:rFonts w:cs="Arial"/>
                <w:szCs w:val="18"/>
                <w:lang w:val="en-GB" w:eastAsia="en-GB"/>
              </w:rPr>
              <w:t>7,1</w:t>
            </w:r>
          </w:p>
        </w:tc>
      </w:tr>
      <w:tr w:rsidRPr="00B52D66" w:rsidR="00B52D66" w:rsidTr="00B52D66" w14:paraId="60D74024" w14:textId="77777777">
        <w:trPr>
          <w:trHeight w:val="280"/>
        </w:trPr>
        <w:tc>
          <w:tcPr>
            <w:tcW w:w="2105" w:type="pct"/>
            <w:tcBorders>
              <w:top w:val="nil"/>
              <w:left w:val="nil"/>
              <w:bottom w:val="nil"/>
              <w:right w:val="nil"/>
            </w:tcBorders>
            <w:noWrap/>
            <w:hideMark/>
          </w:tcPr>
          <w:p w:rsidRPr="00B52D66" w:rsidR="00B52D66" w:rsidP="00FC2172" w:rsidRDefault="00B52D66" w14:paraId="3D87E33C" w14:textId="77777777">
            <w:pPr>
              <w:spacing w:line="240" w:lineRule="auto"/>
              <w:rPr>
                <w:rFonts w:cs="Arial"/>
                <w:szCs w:val="18"/>
                <w:lang w:val="en-GB" w:eastAsia="en-GB"/>
              </w:rPr>
            </w:pPr>
            <w:r w:rsidRPr="00B52D66">
              <w:rPr>
                <w:rFonts w:cs="Arial"/>
                <w:szCs w:val="18"/>
                <w:lang w:val="en-GB" w:eastAsia="en-GB"/>
              </w:rPr>
              <w:t xml:space="preserve">   MaT</w:t>
            </w:r>
          </w:p>
        </w:tc>
        <w:tc>
          <w:tcPr>
            <w:tcW w:w="482" w:type="pct"/>
            <w:tcBorders>
              <w:top w:val="nil"/>
              <w:left w:val="nil"/>
              <w:bottom w:val="nil"/>
              <w:right w:val="nil"/>
            </w:tcBorders>
            <w:noWrap/>
            <w:vAlign w:val="bottom"/>
            <w:hideMark/>
          </w:tcPr>
          <w:p w:rsidRPr="00B52D66" w:rsidR="00B52D66" w:rsidP="00FC2172" w:rsidRDefault="00B52D66" w14:paraId="21255681" w14:textId="77777777">
            <w:pPr>
              <w:spacing w:line="240" w:lineRule="auto"/>
              <w:jc w:val="center"/>
              <w:rPr>
                <w:rFonts w:cs="Arial"/>
                <w:szCs w:val="18"/>
                <w:lang w:val="en-GB" w:eastAsia="en-GB"/>
              </w:rPr>
            </w:pPr>
            <w:r w:rsidRPr="00B52D66">
              <w:rPr>
                <w:rFonts w:cs="Arial"/>
                <w:szCs w:val="18"/>
                <w:lang w:val="en-GB" w:eastAsia="en-GB"/>
              </w:rPr>
              <w:t>36,1</w:t>
            </w:r>
          </w:p>
        </w:tc>
        <w:tc>
          <w:tcPr>
            <w:tcW w:w="482" w:type="pct"/>
            <w:tcBorders>
              <w:top w:val="nil"/>
              <w:left w:val="nil"/>
              <w:bottom w:val="nil"/>
              <w:right w:val="nil"/>
            </w:tcBorders>
            <w:noWrap/>
            <w:vAlign w:val="bottom"/>
            <w:hideMark/>
          </w:tcPr>
          <w:p w:rsidRPr="00B52D66" w:rsidR="00B52D66" w:rsidP="00FC2172" w:rsidRDefault="00B52D66" w14:paraId="3074674F" w14:textId="77777777">
            <w:pPr>
              <w:spacing w:line="240" w:lineRule="auto"/>
              <w:jc w:val="center"/>
              <w:rPr>
                <w:rFonts w:cs="Arial"/>
                <w:szCs w:val="18"/>
                <w:lang w:val="en-GB" w:eastAsia="en-GB"/>
              </w:rPr>
            </w:pPr>
            <w:r w:rsidRPr="00B52D66">
              <w:rPr>
                <w:rFonts w:cs="Arial"/>
                <w:szCs w:val="18"/>
                <w:lang w:val="en-GB" w:eastAsia="en-GB"/>
              </w:rPr>
              <w:t>36,5</w:t>
            </w:r>
          </w:p>
        </w:tc>
        <w:tc>
          <w:tcPr>
            <w:tcW w:w="482" w:type="pct"/>
            <w:tcBorders>
              <w:top w:val="nil"/>
              <w:left w:val="nil"/>
              <w:bottom w:val="nil"/>
              <w:right w:val="nil"/>
            </w:tcBorders>
            <w:noWrap/>
            <w:vAlign w:val="bottom"/>
            <w:hideMark/>
          </w:tcPr>
          <w:p w:rsidRPr="00B52D66" w:rsidR="00B52D66" w:rsidP="00FC2172" w:rsidRDefault="00B52D66" w14:paraId="7CAC105F" w14:textId="77777777">
            <w:pPr>
              <w:spacing w:line="240" w:lineRule="auto"/>
              <w:jc w:val="center"/>
              <w:rPr>
                <w:rFonts w:cs="Arial"/>
                <w:szCs w:val="18"/>
                <w:lang w:val="en-GB" w:eastAsia="en-GB"/>
              </w:rPr>
            </w:pPr>
            <w:r w:rsidRPr="00B52D66">
              <w:rPr>
                <w:rFonts w:cs="Arial"/>
                <w:szCs w:val="18"/>
                <w:lang w:val="en-GB" w:eastAsia="en-GB"/>
              </w:rPr>
              <w:t>38,8</w:t>
            </w:r>
          </w:p>
        </w:tc>
        <w:tc>
          <w:tcPr>
            <w:tcW w:w="482" w:type="pct"/>
            <w:tcBorders>
              <w:top w:val="nil"/>
              <w:left w:val="nil"/>
              <w:bottom w:val="nil"/>
              <w:right w:val="nil"/>
            </w:tcBorders>
            <w:noWrap/>
            <w:vAlign w:val="bottom"/>
            <w:hideMark/>
          </w:tcPr>
          <w:p w:rsidRPr="00B52D66" w:rsidR="00B52D66" w:rsidP="00FC2172" w:rsidRDefault="00B52D66" w14:paraId="6FFD0212" w14:textId="77777777">
            <w:pPr>
              <w:spacing w:line="240" w:lineRule="auto"/>
              <w:jc w:val="center"/>
              <w:rPr>
                <w:rFonts w:cs="Arial"/>
                <w:szCs w:val="18"/>
                <w:lang w:val="en-GB" w:eastAsia="en-GB"/>
              </w:rPr>
            </w:pPr>
            <w:r w:rsidRPr="00B52D66">
              <w:rPr>
                <w:rFonts w:cs="Arial"/>
                <w:szCs w:val="18"/>
                <w:lang w:val="en-GB" w:eastAsia="en-GB"/>
              </w:rPr>
              <w:t>39,2</w:t>
            </w:r>
          </w:p>
        </w:tc>
        <w:tc>
          <w:tcPr>
            <w:tcW w:w="482" w:type="pct"/>
            <w:tcBorders>
              <w:top w:val="nil"/>
              <w:left w:val="nil"/>
              <w:bottom w:val="nil"/>
              <w:right w:val="nil"/>
            </w:tcBorders>
            <w:noWrap/>
            <w:vAlign w:val="bottom"/>
            <w:hideMark/>
          </w:tcPr>
          <w:p w:rsidRPr="00B52D66" w:rsidR="00B52D66" w:rsidP="00FC2172" w:rsidRDefault="00B52D66" w14:paraId="58456C97" w14:textId="77777777">
            <w:pPr>
              <w:spacing w:line="240" w:lineRule="auto"/>
              <w:jc w:val="center"/>
              <w:rPr>
                <w:rFonts w:cs="Arial"/>
                <w:szCs w:val="18"/>
                <w:lang w:val="en-GB" w:eastAsia="en-GB"/>
              </w:rPr>
            </w:pPr>
            <w:r w:rsidRPr="00B52D66">
              <w:rPr>
                <w:rFonts w:cs="Arial"/>
                <w:szCs w:val="18"/>
                <w:lang w:val="en-GB" w:eastAsia="en-GB"/>
              </w:rPr>
              <w:t>52,4</w:t>
            </w:r>
          </w:p>
        </w:tc>
        <w:tc>
          <w:tcPr>
            <w:tcW w:w="482" w:type="pct"/>
            <w:tcBorders>
              <w:top w:val="nil"/>
              <w:left w:val="nil"/>
              <w:bottom w:val="nil"/>
              <w:right w:val="nil"/>
            </w:tcBorders>
            <w:noWrap/>
            <w:vAlign w:val="bottom"/>
            <w:hideMark/>
          </w:tcPr>
          <w:p w:rsidRPr="00B52D66" w:rsidR="00B52D66" w:rsidP="00FC2172" w:rsidRDefault="00B52D66" w14:paraId="7A63C707" w14:textId="77777777">
            <w:pPr>
              <w:spacing w:line="240" w:lineRule="auto"/>
              <w:jc w:val="center"/>
              <w:rPr>
                <w:rFonts w:cs="Arial"/>
                <w:szCs w:val="18"/>
                <w:lang w:val="en-GB" w:eastAsia="en-GB"/>
              </w:rPr>
            </w:pPr>
            <w:r w:rsidRPr="00B52D66">
              <w:rPr>
                <w:rFonts w:cs="Arial"/>
                <w:szCs w:val="18"/>
                <w:lang w:val="en-GB" w:eastAsia="en-GB"/>
              </w:rPr>
              <w:t>30,2</w:t>
            </w:r>
          </w:p>
        </w:tc>
      </w:tr>
      <w:tr w:rsidRPr="00B52D66" w:rsidR="00B52D66" w:rsidTr="00B52D66" w14:paraId="1DE0C346" w14:textId="77777777">
        <w:trPr>
          <w:trHeight w:val="280"/>
        </w:trPr>
        <w:tc>
          <w:tcPr>
            <w:tcW w:w="2105" w:type="pct"/>
            <w:tcBorders>
              <w:top w:val="nil"/>
              <w:left w:val="nil"/>
              <w:bottom w:val="nil"/>
              <w:right w:val="nil"/>
            </w:tcBorders>
            <w:noWrap/>
            <w:hideMark/>
          </w:tcPr>
          <w:p w:rsidRPr="00B52D66" w:rsidR="00B52D66" w:rsidP="00FC2172" w:rsidRDefault="00B52D66" w14:paraId="3CC494CC" w14:textId="77777777">
            <w:pPr>
              <w:spacing w:line="240" w:lineRule="auto"/>
              <w:rPr>
                <w:rFonts w:cs="Arial"/>
                <w:szCs w:val="18"/>
                <w:lang w:val="en-GB" w:eastAsia="en-GB"/>
              </w:rPr>
            </w:pPr>
            <w:r w:rsidRPr="00B52D66">
              <w:rPr>
                <w:rFonts w:cs="Arial"/>
                <w:szCs w:val="18"/>
                <w:lang w:val="en-GB" w:eastAsia="en-GB"/>
              </w:rPr>
              <w:t xml:space="preserve">   MVI</w:t>
            </w:r>
          </w:p>
        </w:tc>
        <w:tc>
          <w:tcPr>
            <w:tcW w:w="482" w:type="pct"/>
            <w:tcBorders>
              <w:top w:val="nil"/>
              <w:left w:val="nil"/>
              <w:bottom w:val="nil"/>
              <w:right w:val="nil"/>
            </w:tcBorders>
            <w:noWrap/>
            <w:vAlign w:val="bottom"/>
            <w:hideMark/>
          </w:tcPr>
          <w:p w:rsidRPr="00B52D66" w:rsidR="00B52D66" w:rsidP="00FC2172" w:rsidRDefault="00B52D66" w14:paraId="5C8D2947" w14:textId="77777777">
            <w:pPr>
              <w:spacing w:line="240" w:lineRule="auto"/>
              <w:jc w:val="center"/>
              <w:rPr>
                <w:rFonts w:cs="Arial"/>
                <w:szCs w:val="18"/>
                <w:lang w:val="en-GB" w:eastAsia="en-GB"/>
              </w:rPr>
            </w:pPr>
            <w:r w:rsidRPr="00B52D66">
              <w:rPr>
                <w:rFonts w:cs="Arial"/>
                <w:szCs w:val="18"/>
                <w:lang w:val="en-GB" w:eastAsia="en-GB"/>
              </w:rPr>
              <w:t>31,9</w:t>
            </w:r>
          </w:p>
        </w:tc>
        <w:tc>
          <w:tcPr>
            <w:tcW w:w="482" w:type="pct"/>
            <w:tcBorders>
              <w:top w:val="nil"/>
              <w:left w:val="nil"/>
              <w:bottom w:val="nil"/>
              <w:right w:val="nil"/>
            </w:tcBorders>
            <w:noWrap/>
            <w:vAlign w:val="bottom"/>
            <w:hideMark/>
          </w:tcPr>
          <w:p w:rsidRPr="00B52D66" w:rsidR="00B52D66" w:rsidP="00FC2172" w:rsidRDefault="00B52D66" w14:paraId="2E757A76" w14:textId="77777777">
            <w:pPr>
              <w:spacing w:line="240" w:lineRule="auto"/>
              <w:jc w:val="center"/>
              <w:rPr>
                <w:rFonts w:cs="Arial"/>
                <w:szCs w:val="18"/>
                <w:lang w:val="en-GB" w:eastAsia="en-GB"/>
              </w:rPr>
            </w:pPr>
            <w:r w:rsidRPr="00B52D66">
              <w:rPr>
                <w:rFonts w:cs="Arial"/>
                <w:szCs w:val="18"/>
                <w:lang w:val="en-GB" w:eastAsia="en-GB"/>
              </w:rPr>
              <w:t>30,4</w:t>
            </w:r>
          </w:p>
        </w:tc>
        <w:tc>
          <w:tcPr>
            <w:tcW w:w="482" w:type="pct"/>
            <w:tcBorders>
              <w:top w:val="nil"/>
              <w:left w:val="nil"/>
              <w:bottom w:val="nil"/>
              <w:right w:val="nil"/>
            </w:tcBorders>
            <w:noWrap/>
            <w:vAlign w:val="bottom"/>
            <w:hideMark/>
          </w:tcPr>
          <w:p w:rsidRPr="00B52D66" w:rsidR="00B52D66" w:rsidP="00FC2172" w:rsidRDefault="00B52D66" w14:paraId="6BE7C965" w14:textId="77777777">
            <w:pPr>
              <w:spacing w:line="240" w:lineRule="auto"/>
              <w:jc w:val="center"/>
              <w:rPr>
                <w:rFonts w:cs="Arial"/>
                <w:szCs w:val="18"/>
                <w:lang w:val="en-GB" w:eastAsia="en-GB"/>
              </w:rPr>
            </w:pPr>
            <w:r w:rsidRPr="00B52D66">
              <w:rPr>
                <w:rFonts w:cs="Arial"/>
                <w:szCs w:val="18"/>
                <w:lang w:val="en-GB" w:eastAsia="en-GB"/>
              </w:rPr>
              <w:t>29,6</w:t>
            </w:r>
          </w:p>
        </w:tc>
        <w:tc>
          <w:tcPr>
            <w:tcW w:w="482" w:type="pct"/>
            <w:tcBorders>
              <w:top w:val="nil"/>
              <w:left w:val="nil"/>
              <w:bottom w:val="nil"/>
              <w:right w:val="nil"/>
            </w:tcBorders>
            <w:noWrap/>
            <w:vAlign w:val="bottom"/>
            <w:hideMark/>
          </w:tcPr>
          <w:p w:rsidRPr="00B52D66" w:rsidR="00B52D66" w:rsidP="00FC2172" w:rsidRDefault="00B52D66" w14:paraId="3626214D" w14:textId="77777777">
            <w:pPr>
              <w:spacing w:line="240" w:lineRule="auto"/>
              <w:jc w:val="center"/>
              <w:rPr>
                <w:rFonts w:cs="Arial"/>
                <w:szCs w:val="18"/>
                <w:lang w:val="en-GB" w:eastAsia="en-GB"/>
              </w:rPr>
            </w:pPr>
            <w:r w:rsidRPr="00B52D66">
              <w:rPr>
                <w:rFonts w:cs="Arial"/>
                <w:szCs w:val="18"/>
                <w:lang w:val="en-GB" w:eastAsia="en-GB"/>
              </w:rPr>
              <w:t>37,6</w:t>
            </w:r>
          </w:p>
        </w:tc>
        <w:tc>
          <w:tcPr>
            <w:tcW w:w="482" w:type="pct"/>
            <w:tcBorders>
              <w:top w:val="nil"/>
              <w:left w:val="nil"/>
              <w:bottom w:val="nil"/>
              <w:right w:val="nil"/>
            </w:tcBorders>
            <w:noWrap/>
            <w:vAlign w:val="bottom"/>
            <w:hideMark/>
          </w:tcPr>
          <w:p w:rsidRPr="00B52D66" w:rsidR="00B52D66" w:rsidP="00FC2172" w:rsidRDefault="00B52D66" w14:paraId="6FD85951" w14:textId="77777777">
            <w:pPr>
              <w:spacing w:line="240" w:lineRule="auto"/>
              <w:jc w:val="center"/>
              <w:rPr>
                <w:rFonts w:cs="Arial"/>
                <w:szCs w:val="18"/>
                <w:lang w:val="en-GB" w:eastAsia="en-GB"/>
              </w:rPr>
            </w:pPr>
            <w:r w:rsidRPr="00B52D66">
              <w:rPr>
                <w:rFonts w:cs="Arial"/>
                <w:szCs w:val="18"/>
                <w:lang w:val="en-GB" w:eastAsia="en-GB"/>
              </w:rPr>
              <w:t>33,9</w:t>
            </w:r>
          </w:p>
        </w:tc>
        <w:tc>
          <w:tcPr>
            <w:tcW w:w="482" w:type="pct"/>
            <w:tcBorders>
              <w:top w:val="nil"/>
              <w:left w:val="nil"/>
              <w:bottom w:val="nil"/>
              <w:right w:val="nil"/>
            </w:tcBorders>
            <w:noWrap/>
            <w:vAlign w:val="bottom"/>
            <w:hideMark/>
          </w:tcPr>
          <w:p w:rsidRPr="00B52D66" w:rsidR="00B52D66" w:rsidP="00FC2172" w:rsidRDefault="00B52D66" w14:paraId="59E76A2A" w14:textId="77777777">
            <w:pPr>
              <w:spacing w:line="240" w:lineRule="auto"/>
              <w:jc w:val="center"/>
              <w:rPr>
                <w:rFonts w:cs="Arial"/>
                <w:szCs w:val="18"/>
                <w:lang w:val="en-GB" w:eastAsia="en-GB"/>
              </w:rPr>
            </w:pPr>
            <w:r w:rsidRPr="00B52D66">
              <w:rPr>
                <w:rFonts w:cs="Arial"/>
                <w:szCs w:val="18"/>
                <w:lang w:val="en-GB" w:eastAsia="en-GB"/>
              </w:rPr>
              <w:t>36,1</w:t>
            </w:r>
          </w:p>
        </w:tc>
      </w:tr>
      <w:tr w:rsidRPr="00B52D66" w:rsidR="00B52D66" w:rsidTr="00B52D66" w14:paraId="09004AEA" w14:textId="77777777">
        <w:trPr>
          <w:trHeight w:val="280"/>
        </w:trPr>
        <w:tc>
          <w:tcPr>
            <w:tcW w:w="2105" w:type="pct"/>
            <w:tcBorders>
              <w:top w:val="nil"/>
              <w:left w:val="nil"/>
              <w:bottom w:val="nil"/>
              <w:right w:val="nil"/>
            </w:tcBorders>
            <w:noWrap/>
            <w:hideMark/>
          </w:tcPr>
          <w:p w:rsidRPr="00B52D66" w:rsidR="00B52D66" w:rsidP="00FC2172" w:rsidRDefault="00B52D66" w14:paraId="52B00B20" w14:textId="77777777">
            <w:pPr>
              <w:spacing w:line="240" w:lineRule="auto"/>
              <w:rPr>
                <w:rFonts w:cs="Arial"/>
                <w:szCs w:val="18"/>
                <w:lang w:val="en-GB" w:eastAsia="en-GB"/>
              </w:rPr>
            </w:pPr>
            <w:r w:rsidRPr="00B52D66">
              <w:rPr>
                <w:rFonts w:cs="Arial"/>
                <w:szCs w:val="18"/>
                <w:lang w:val="en-GB" w:eastAsia="en-GB"/>
              </w:rPr>
              <w:t xml:space="preserve">   M&amp;T</w:t>
            </w:r>
          </w:p>
        </w:tc>
        <w:tc>
          <w:tcPr>
            <w:tcW w:w="482" w:type="pct"/>
            <w:tcBorders>
              <w:top w:val="nil"/>
              <w:left w:val="nil"/>
              <w:bottom w:val="nil"/>
              <w:right w:val="nil"/>
            </w:tcBorders>
            <w:noWrap/>
            <w:vAlign w:val="bottom"/>
            <w:hideMark/>
          </w:tcPr>
          <w:p w:rsidRPr="00B52D66" w:rsidR="00B52D66" w:rsidP="00FC2172" w:rsidRDefault="00B52D66" w14:paraId="46A7BB64" w14:textId="77777777">
            <w:pPr>
              <w:spacing w:line="240" w:lineRule="auto"/>
              <w:jc w:val="center"/>
              <w:rPr>
                <w:rFonts w:cs="Arial"/>
                <w:szCs w:val="18"/>
                <w:lang w:val="en-GB" w:eastAsia="en-GB"/>
              </w:rPr>
            </w:pPr>
            <w:r w:rsidRPr="00B52D66">
              <w:rPr>
                <w:rFonts w:cs="Arial"/>
                <w:szCs w:val="18"/>
                <w:lang w:val="en-GB" w:eastAsia="en-GB"/>
              </w:rPr>
              <w:t>3,2</w:t>
            </w:r>
          </w:p>
        </w:tc>
        <w:tc>
          <w:tcPr>
            <w:tcW w:w="482" w:type="pct"/>
            <w:tcBorders>
              <w:top w:val="nil"/>
              <w:left w:val="nil"/>
              <w:bottom w:val="nil"/>
              <w:right w:val="nil"/>
            </w:tcBorders>
            <w:noWrap/>
            <w:vAlign w:val="bottom"/>
            <w:hideMark/>
          </w:tcPr>
          <w:p w:rsidRPr="00B52D66" w:rsidR="00B52D66" w:rsidP="00FC2172" w:rsidRDefault="00B52D66" w14:paraId="2BCCD355" w14:textId="77777777">
            <w:pPr>
              <w:spacing w:line="240" w:lineRule="auto"/>
              <w:jc w:val="center"/>
              <w:rPr>
                <w:rFonts w:cs="Arial"/>
                <w:szCs w:val="18"/>
                <w:lang w:val="en-GB" w:eastAsia="en-GB"/>
              </w:rPr>
            </w:pPr>
            <w:r w:rsidRPr="00B52D66">
              <w:rPr>
                <w:rFonts w:cs="Arial"/>
                <w:szCs w:val="18"/>
                <w:lang w:val="en-GB" w:eastAsia="en-GB"/>
              </w:rPr>
              <w:t>3,9</w:t>
            </w:r>
          </w:p>
        </w:tc>
        <w:tc>
          <w:tcPr>
            <w:tcW w:w="482" w:type="pct"/>
            <w:tcBorders>
              <w:top w:val="nil"/>
              <w:left w:val="nil"/>
              <w:bottom w:val="nil"/>
              <w:right w:val="nil"/>
            </w:tcBorders>
            <w:noWrap/>
            <w:vAlign w:val="bottom"/>
            <w:hideMark/>
          </w:tcPr>
          <w:p w:rsidRPr="00B52D66" w:rsidR="00B52D66" w:rsidP="00FC2172" w:rsidRDefault="00B52D66" w14:paraId="6BD41BD9" w14:textId="77777777">
            <w:pPr>
              <w:spacing w:line="240" w:lineRule="auto"/>
              <w:jc w:val="center"/>
              <w:rPr>
                <w:rFonts w:cs="Arial"/>
                <w:szCs w:val="18"/>
                <w:lang w:val="en-GB" w:eastAsia="en-GB"/>
              </w:rPr>
            </w:pPr>
            <w:r w:rsidRPr="00B52D66">
              <w:rPr>
                <w:rFonts w:cs="Arial"/>
                <w:szCs w:val="18"/>
                <w:lang w:val="en-GB" w:eastAsia="en-GB"/>
              </w:rPr>
              <w:t>6,3</w:t>
            </w:r>
          </w:p>
        </w:tc>
        <w:tc>
          <w:tcPr>
            <w:tcW w:w="482" w:type="pct"/>
            <w:tcBorders>
              <w:top w:val="nil"/>
              <w:left w:val="nil"/>
              <w:bottom w:val="nil"/>
              <w:right w:val="nil"/>
            </w:tcBorders>
            <w:noWrap/>
            <w:vAlign w:val="bottom"/>
            <w:hideMark/>
          </w:tcPr>
          <w:p w:rsidRPr="00B52D66" w:rsidR="00B52D66" w:rsidP="00FC2172" w:rsidRDefault="00B52D66" w14:paraId="433D47F9" w14:textId="77777777">
            <w:pPr>
              <w:spacing w:line="240" w:lineRule="auto"/>
              <w:jc w:val="center"/>
              <w:rPr>
                <w:rFonts w:cs="Arial"/>
                <w:szCs w:val="18"/>
                <w:lang w:val="en-GB" w:eastAsia="en-GB"/>
              </w:rPr>
            </w:pPr>
            <w:r w:rsidRPr="00B52D66">
              <w:rPr>
                <w:rFonts w:cs="Arial"/>
                <w:szCs w:val="18"/>
                <w:lang w:val="en-GB" w:eastAsia="en-GB"/>
              </w:rPr>
              <w:t>8,9</w:t>
            </w:r>
          </w:p>
        </w:tc>
        <w:tc>
          <w:tcPr>
            <w:tcW w:w="482" w:type="pct"/>
            <w:tcBorders>
              <w:top w:val="nil"/>
              <w:left w:val="nil"/>
              <w:bottom w:val="nil"/>
              <w:right w:val="nil"/>
            </w:tcBorders>
            <w:noWrap/>
            <w:vAlign w:val="bottom"/>
            <w:hideMark/>
          </w:tcPr>
          <w:p w:rsidRPr="00B52D66" w:rsidR="00B52D66" w:rsidP="00FC2172" w:rsidRDefault="00B52D66" w14:paraId="20FEE3EA" w14:textId="77777777">
            <w:pPr>
              <w:spacing w:line="240" w:lineRule="auto"/>
              <w:jc w:val="center"/>
              <w:rPr>
                <w:rFonts w:cs="Arial"/>
                <w:szCs w:val="18"/>
                <w:lang w:val="en-GB" w:eastAsia="en-GB"/>
              </w:rPr>
            </w:pPr>
            <w:r w:rsidRPr="00B52D66">
              <w:rPr>
                <w:rFonts w:cs="Arial"/>
                <w:szCs w:val="18"/>
                <w:lang w:val="en-GB" w:eastAsia="en-GB"/>
              </w:rPr>
              <w:t>4,4</w:t>
            </w:r>
          </w:p>
        </w:tc>
        <w:tc>
          <w:tcPr>
            <w:tcW w:w="482" w:type="pct"/>
            <w:tcBorders>
              <w:top w:val="nil"/>
              <w:left w:val="nil"/>
              <w:bottom w:val="nil"/>
              <w:right w:val="nil"/>
            </w:tcBorders>
            <w:noWrap/>
            <w:vAlign w:val="bottom"/>
            <w:hideMark/>
          </w:tcPr>
          <w:p w:rsidRPr="00B52D66" w:rsidR="00B52D66" w:rsidP="00FC2172" w:rsidRDefault="00B52D66" w14:paraId="6D7A5448" w14:textId="77777777">
            <w:pPr>
              <w:spacing w:line="240" w:lineRule="auto"/>
              <w:jc w:val="center"/>
              <w:rPr>
                <w:rFonts w:cs="Arial"/>
                <w:szCs w:val="18"/>
                <w:lang w:val="en-GB" w:eastAsia="en-GB"/>
              </w:rPr>
            </w:pPr>
            <w:r w:rsidRPr="00B52D66">
              <w:rPr>
                <w:rFonts w:cs="Arial"/>
                <w:szCs w:val="18"/>
                <w:lang w:val="en-GB" w:eastAsia="en-GB"/>
              </w:rPr>
              <w:t>3,9</w:t>
            </w:r>
          </w:p>
        </w:tc>
      </w:tr>
      <w:tr w:rsidRPr="00B52D66" w:rsidR="00B52D66" w:rsidTr="00B52D66" w14:paraId="2C4CAEFD" w14:textId="77777777">
        <w:trPr>
          <w:trHeight w:val="280"/>
        </w:trPr>
        <w:tc>
          <w:tcPr>
            <w:tcW w:w="2105" w:type="pct"/>
            <w:tcBorders>
              <w:top w:val="nil"/>
              <w:left w:val="nil"/>
              <w:bottom w:val="nil"/>
              <w:right w:val="nil"/>
            </w:tcBorders>
            <w:noWrap/>
            <w:hideMark/>
          </w:tcPr>
          <w:p w:rsidRPr="00B52D66" w:rsidR="00B52D66" w:rsidP="00FC2172" w:rsidRDefault="00B52D66" w14:paraId="6B46B71E" w14:textId="77777777">
            <w:pPr>
              <w:spacing w:line="240" w:lineRule="auto"/>
              <w:rPr>
                <w:rFonts w:cs="Arial"/>
                <w:szCs w:val="18"/>
                <w:lang w:val="en-GB" w:eastAsia="en-GB"/>
              </w:rPr>
            </w:pPr>
            <w:r w:rsidRPr="00B52D66">
              <w:rPr>
                <w:rFonts w:cs="Arial"/>
                <w:szCs w:val="18"/>
                <w:lang w:val="en-GB" w:eastAsia="en-GB"/>
              </w:rPr>
              <w:t xml:space="preserve">   PIE</w:t>
            </w:r>
          </w:p>
        </w:tc>
        <w:tc>
          <w:tcPr>
            <w:tcW w:w="482" w:type="pct"/>
            <w:tcBorders>
              <w:top w:val="nil"/>
              <w:left w:val="nil"/>
              <w:bottom w:val="nil"/>
              <w:right w:val="nil"/>
            </w:tcBorders>
            <w:noWrap/>
            <w:vAlign w:val="bottom"/>
            <w:hideMark/>
          </w:tcPr>
          <w:p w:rsidRPr="00B52D66" w:rsidR="00B52D66" w:rsidP="00FC2172" w:rsidRDefault="00B52D66" w14:paraId="12EBD803" w14:textId="77777777">
            <w:pPr>
              <w:spacing w:line="240" w:lineRule="auto"/>
              <w:jc w:val="center"/>
              <w:rPr>
                <w:rFonts w:cs="Arial"/>
                <w:szCs w:val="18"/>
                <w:lang w:val="en-GB" w:eastAsia="en-GB"/>
              </w:rPr>
            </w:pPr>
            <w:r w:rsidRPr="00B52D66">
              <w:rPr>
                <w:rFonts w:cs="Arial"/>
                <w:szCs w:val="18"/>
                <w:lang w:val="en-GB" w:eastAsia="en-GB"/>
              </w:rPr>
              <w:t>10,9</w:t>
            </w:r>
          </w:p>
        </w:tc>
        <w:tc>
          <w:tcPr>
            <w:tcW w:w="482" w:type="pct"/>
            <w:tcBorders>
              <w:top w:val="nil"/>
              <w:left w:val="nil"/>
              <w:bottom w:val="nil"/>
              <w:right w:val="nil"/>
            </w:tcBorders>
            <w:noWrap/>
            <w:vAlign w:val="bottom"/>
            <w:hideMark/>
          </w:tcPr>
          <w:p w:rsidRPr="00B52D66" w:rsidR="00B52D66" w:rsidP="00FC2172" w:rsidRDefault="00B52D66" w14:paraId="7CCAA3F5" w14:textId="77777777">
            <w:pPr>
              <w:spacing w:line="240" w:lineRule="auto"/>
              <w:jc w:val="center"/>
              <w:rPr>
                <w:rFonts w:cs="Arial"/>
                <w:szCs w:val="18"/>
                <w:lang w:val="en-GB" w:eastAsia="en-GB"/>
              </w:rPr>
            </w:pPr>
            <w:r w:rsidRPr="00B52D66">
              <w:rPr>
                <w:rFonts w:cs="Arial"/>
                <w:szCs w:val="18"/>
                <w:lang w:val="en-GB" w:eastAsia="en-GB"/>
              </w:rPr>
              <w:t>13,7</w:t>
            </w:r>
          </w:p>
        </w:tc>
        <w:tc>
          <w:tcPr>
            <w:tcW w:w="482" w:type="pct"/>
            <w:tcBorders>
              <w:top w:val="nil"/>
              <w:left w:val="nil"/>
              <w:bottom w:val="nil"/>
              <w:right w:val="nil"/>
            </w:tcBorders>
            <w:noWrap/>
            <w:vAlign w:val="bottom"/>
            <w:hideMark/>
          </w:tcPr>
          <w:p w:rsidRPr="00B52D66" w:rsidR="00B52D66" w:rsidP="00FC2172" w:rsidRDefault="00B52D66" w14:paraId="0500E90A" w14:textId="77777777">
            <w:pPr>
              <w:spacing w:line="240" w:lineRule="auto"/>
              <w:jc w:val="center"/>
              <w:rPr>
                <w:rFonts w:cs="Arial"/>
                <w:szCs w:val="18"/>
                <w:lang w:val="en-GB" w:eastAsia="en-GB"/>
              </w:rPr>
            </w:pPr>
            <w:r w:rsidRPr="00B52D66">
              <w:rPr>
                <w:rFonts w:cs="Arial"/>
                <w:szCs w:val="18"/>
                <w:lang w:val="en-GB" w:eastAsia="en-GB"/>
              </w:rPr>
              <w:t>11,4</w:t>
            </w:r>
          </w:p>
        </w:tc>
        <w:tc>
          <w:tcPr>
            <w:tcW w:w="482" w:type="pct"/>
            <w:tcBorders>
              <w:top w:val="nil"/>
              <w:left w:val="nil"/>
              <w:bottom w:val="nil"/>
              <w:right w:val="nil"/>
            </w:tcBorders>
            <w:noWrap/>
            <w:vAlign w:val="bottom"/>
            <w:hideMark/>
          </w:tcPr>
          <w:p w:rsidRPr="00B52D66" w:rsidR="00B52D66" w:rsidP="00FC2172" w:rsidRDefault="00B52D66" w14:paraId="0EF8E201" w14:textId="77777777">
            <w:pPr>
              <w:spacing w:line="240" w:lineRule="auto"/>
              <w:jc w:val="center"/>
              <w:rPr>
                <w:rFonts w:cs="Arial"/>
                <w:szCs w:val="18"/>
                <w:lang w:val="en-GB" w:eastAsia="en-GB"/>
              </w:rPr>
            </w:pPr>
            <w:r w:rsidRPr="00B52D66">
              <w:rPr>
                <w:rFonts w:cs="Arial"/>
                <w:szCs w:val="18"/>
                <w:lang w:val="en-GB" w:eastAsia="en-GB"/>
              </w:rPr>
              <w:t>12,9</w:t>
            </w:r>
          </w:p>
        </w:tc>
        <w:tc>
          <w:tcPr>
            <w:tcW w:w="482" w:type="pct"/>
            <w:tcBorders>
              <w:top w:val="nil"/>
              <w:left w:val="nil"/>
              <w:bottom w:val="nil"/>
              <w:right w:val="nil"/>
            </w:tcBorders>
            <w:noWrap/>
            <w:vAlign w:val="bottom"/>
            <w:hideMark/>
          </w:tcPr>
          <w:p w:rsidRPr="00B52D66" w:rsidR="00B52D66" w:rsidP="00FC2172" w:rsidRDefault="00B52D66" w14:paraId="7D02EAC5" w14:textId="77777777">
            <w:pPr>
              <w:spacing w:line="240" w:lineRule="auto"/>
              <w:jc w:val="center"/>
              <w:rPr>
                <w:rFonts w:cs="Arial"/>
                <w:szCs w:val="18"/>
                <w:lang w:val="en-GB" w:eastAsia="en-GB"/>
              </w:rPr>
            </w:pPr>
            <w:r w:rsidRPr="00B52D66">
              <w:rPr>
                <w:rFonts w:cs="Arial"/>
                <w:szCs w:val="18"/>
                <w:lang w:val="en-GB" w:eastAsia="en-GB"/>
              </w:rPr>
              <w:t>13,0</w:t>
            </w:r>
          </w:p>
        </w:tc>
        <w:tc>
          <w:tcPr>
            <w:tcW w:w="482" w:type="pct"/>
            <w:tcBorders>
              <w:top w:val="nil"/>
              <w:left w:val="nil"/>
              <w:bottom w:val="nil"/>
              <w:right w:val="nil"/>
            </w:tcBorders>
            <w:noWrap/>
            <w:vAlign w:val="bottom"/>
            <w:hideMark/>
          </w:tcPr>
          <w:p w:rsidRPr="00B52D66" w:rsidR="00B52D66" w:rsidP="00FC2172" w:rsidRDefault="00B52D66" w14:paraId="73F5806C" w14:textId="77777777">
            <w:pPr>
              <w:spacing w:line="240" w:lineRule="auto"/>
              <w:jc w:val="center"/>
              <w:rPr>
                <w:rFonts w:cs="Arial"/>
                <w:szCs w:val="18"/>
                <w:lang w:val="en-GB" w:eastAsia="en-GB"/>
              </w:rPr>
            </w:pPr>
            <w:r w:rsidRPr="00B52D66">
              <w:rPr>
                <w:rFonts w:cs="Arial"/>
                <w:szCs w:val="18"/>
                <w:lang w:val="en-GB" w:eastAsia="en-GB"/>
              </w:rPr>
              <w:t>15,8</w:t>
            </w:r>
          </w:p>
        </w:tc>
      </w:tr>
      <w:tr w:rsidRPr="00B52D66" w:rsidR="00B52D66" w:rsidTr="00B52D66" w14:paraId="451DE3FF"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14E1EE37" w14:textId="77777777">
            <w:pPr>
              <w:spacing w:line="240" w:lineRule="auto"/>
              <w:rPr>
                <w:rFonts w:cs="Arial"/>
                <w:b/>
                <w:bCs/>
                <w:szCs w:val="18"/>
                <w:lang w:val="en-GB" w:eastAsia="en-GB"/>
              </w:rPr>
            </w:pPr>
            <w:r w:rsidRPr="00B52D66">
              <w:rPr>
                <w:rFonts w:cs="Arial"/>
                <w:b/>
                <w:bCs/>
                <w:szCs w:val="18"/>
                <w:lang w:val="en-GB" w:eastAsia="en-GB"/>
              </w:rPr>
              <w:t xml:space="preserve">  Niet-techniek</w:t>
            </w:r>
          </w:p>
        </w:tc>
        <w:tc>
          <w:tcPr>
            <w:tcW w:w="482" w:type="pct"/>
            <w:tcBorders>
              <w:top w:val="nil"/>
              <w:left w:val="nil"/>
              <w:bottom w:val="nil"/>
              <w:right w:val="nil"/>
            </w:tcBorders>
            <w:noWrap/>
            <w:vAlign w:val="bottom"/>
            <w:hideMark/>
          </w:tcPr>
          <w:p w:rsidRPr="00B52D66" w:rsidR="00B52D66" w:rsidP="00FC2172" w:rsidRDefault="00B52D66" w14:paraId="3A7C6057"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5088B176"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270CDD20"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338BE5A0"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18F4EC2A" w14:textId="77777777">
            <w:pPr>
              <w:spacing w:line="240" w:lineRule="auto"/>
              <w:jc w:val="center"/>
              <w:rPr>
                <w:rFonts w:cs="Arial"/>
                <w:b/>
                <w:bCs/>
                <w:szCs w:val="18"/>
                <w:lang w:val="en-GB" w:eastAsia="en-GB"/>
              </w:rPr>
            </w:pPr>
            <w:r w:rsidRPr="00B52D66">
              <w:rPr>
                <w:rFonts w:cs="Arial"/>
                <w:b/>
                <w:bCs/>
                <w:szCs w:val="18"/>
                <w:lang w:val="en-GB" w:eastAsia="en-GB"/>
              </w:rPr>
              <w:t> </w:t>
            </w:r>
          </w:p>
        </w:tc>
        <w:tc>
          <w:tcPr>
            <w:tcW w:w="482" w:type="pct"/>
            <w:tcBorders>
              <w:top w:val="nil"/>
              <w:left w:val="nil"/>
              <w:bottom w:val="nil"/>
              <w:right w:val="nil"/>
            </w:tcBorders>
            <w:noWrap/>
            <w:vAlign w:val="bottom"/>
            <w:hideMark/>
          </w:tcPr>
          <w:p w:rsidRPr="00B52D66" w:rsidR="00B52D66" w:rsidP="00FC2172" w:rsidRDefault="00B52D66" w14:paraId="0714D437" w14:textId="77777777">
            <w:pPr>
              <w:spacing w:line="240" w:lineRule="auto"/>
              <w:jc w:val="center"/>
              <w:rPr>
                <w:rFonts w:cs="Arial"/>
                <w:b/>
                <w:bCs/>
                <w:szCs w:val="18"/>
                <w:lang w:val="en-GB" w:eastAsia="en-GB"/>
              </w:rPr>
            </w:pPr>
            <w:r w:rsidRPr="00B52D66">
              <w:rPr>
                <w:rFonts w:cs="Arial"/>
                <w:b/>
                <w:bCs/>
                <w:szCs w:val="18"/>
                <w:lang w:val="en-GB" w:eastAsia="en-GB"/>
              </w:rPr>
              <w:t> </w:t>
            </w:r>
          </w:p>
        </w:tc>
      </w:tr>
      <w:tr w:rsidRPr="00B52D66" w:rsidR="00B52D66" w:rsidTr="00B52D66" w14:paraId="6F65FDF2"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26C0994F" w14:textId="77777777">
            <w:pPr>
              <w:spacing w:line="240" w:lineRule="auto"/>
              <w:rPr>
                <w:rFonts w:cs="Arial"/>
                <w:szCs w:val="18"/>
                <w:lang w:val="en-GB" w:eastAsia="en-GB"/>
              </w:rPr>
            </w:pPr>
            <w:r w:rsidRPr="00B52D66">
              <w:rPr>
                <w:rFonts w:cs="Arial"/>
                <w:szCs w:val="18"/>
                <w:lang w:val="en-GB" w:eastAsia="en-GB"/>
              </w:rPr>
              <w:t xml:space="preserve">   D&amp;P</w:t>
            </w:r>
          </w:p>
        </w:tc>
        <w:tc>
          <w:tcPr>
            <w:tcW w:w="482" w:type="pct"/>
            <w:tcBorders>
              <w:top w:val="nil"/>
              <w:left w:val="nil"/>
              <w:bottom w:val="nil"/>
              <w:right w:val="nil"/>
            </w:tcBorders>
            <w:noWrap/>
            <w:vAlign w:val="bottom"/>
            <w:hideMark/>
          </w:tcPr>
          <w:p w:rsidRPr="00B52D66" w:rsidR="00B52D66" w:rsidP="00FC2172" w:rsidRDefault="00B52D66" w14:paraId="45C64636" w14:textId="77777777">
            <w:pPr>
              <w:spacing w:line="240" w:lineRule="auto"/>
              <w:jc w:val="center"/>
              <w:rPr>
                <w:rFonts w:cs="Arial"/>
                <w:szCs w:val="18"/>
                <w:lang w:val="en-GB" w:eastAsia="en-GB"/>
              </w:rPr>
            </w:pPr>
            <w:r w:rsidRPr="00B52D66">
              <w:rPr>
                <w:rFonts w:cs="Arial"/>
                <w:szCs w:val="18"/>
                <w:lang w:val="en-GB" w:eastAsia="en-GB"/>
              </w:rPr>
              <w:t>16,7</w:t>
            </w:r>
          </w:p>
        </w:tc>
        <w:tc>
          <w:tcPr>
            <w:tcW w:w="482" w:type="pct"/>
            <w:tcBorders>
              <w:top w:val="nil"/>
              <w:left w:val="nil"/>
              <w:bottom w:val="nil"/>
              <w:right w:val="nil"/>
            </w:tcBorders>
            <w:noWrap/>
            <w:vAlign w:val="bottom"/>
            <w:hideMark/>
          </w:tcPr>
          <w:p w:rsidRPr="00B52D66" w:rsidR="00B52D66" w:rsidP="00FC2172" w:rsidRDefault="00B52D66" w14:paraId="62806FA4" w14:textId="77777777">
            <w:pPr>
              <w:spacing w:line="240" w:lineRule="auto"/>
              <w:jc w:val="center"/>
              <w:rPr>
                <w:rFonts w:cs="Arial"/>
                <w:szCs w:val="18"/>
                <w:lang w:val="en-GB" w:eastAsia="en-GB"/>
              </w:rPr>
            </w:pPr>
            <w:r w:rsidRPr="00B52D66">
              <w:rPr>
                <w:rFonts w:cs="Arial"/>
                <w:szCs w:val="18"/>
                <w:lang w:val="en-GB" w:eastAsia="en-GB"/>
              </w:rPr>
              <w:t>17,0</w:t>
            </w:r>
          </w:p>
        </w:tc>
        <w:tc>
          <w:tcPr>
            <w:tcW w:w="482" w:type="pct"/>
            <w:tcBorders>
              <w:top w:val="nil"/>
              <w:left w:val="nil"/>
              <w:bottom w:val="nil"/>
              <w:right w:val="nil"/>
            </w:tcBorders>
            <w:noWrap/>
            <w:vAlign w:val="bottom"/>
            <w:hideMark/>
          </w:tcPr>
          <w:p w:rsidRPr="00B52D66" w:rsidR="00B52D66" w:rsidP="00FC2172" w:rsidRDefault="00B52D66" w14:paraId="7447C13D" w14:textId="77777777">
            <w:pPr>
              <w:spacing w:line="240" w:lineRule="auto"/>
              <w:jc w:val="center"/>
              <w:rPr>
                <w:rFonts w:cs="Arial"/>
                <w:szCs w:val="18"/>
                <w:lang w:val="en-GB" w:eastAsia="en-GB"/>
              </w:rPr>
            </w:pPr>
            <w:r w:rsidRPr="00B52D66">
              <w:rPr>
                <w:rFonts w:cs="Arial"/>
                <w:szCs w:val="18"/>
                <w:lang w:val="en-GB" w:eastAsia="en-GB"/>
              </w:rPr>
              <w:t>16,8</w:t>
            </w:r>
          </w:p>
        </w:tc>
        <w:tc>
          <w:tcPr>
            <w:tcW w:w="482" w:type="pct"/>
            <w:tcBorders>
              <w:top w:val="nil"/>
              <w:left w:val="nil"/>
              <w:bottom w:val="nil"/>
              <w:right w:val="nil"/>
            </w:tcBorders>
            <w:noWrap/>
            <w:vAlign w:val="bottom"/>
            <w:hideMark/>
          </w:tcPr>
          <w:p w:rsidRPr="00B52D66" w:rsidR="00B52D66" w:rsidP="00FC2172" w:rsidRDefault="00B52D66" w14:paraId="7FCD391E" w14:textId="77777777">
            <w:pPr>
              <w:spacing w:line="240" w:lineRule="auto"/>
              <w:jc w:val="center"/>
              <w:rPr>
                <w:rFonts w:cs="Arial"/>
                <w:szCs w:val="18"/>
                <w:lang w:val="en-GB" w:eastAsia="en-GB"/>
              </w:rPr>
            </w:pPr>
            <w:r w:rsidRPr="00B52D66">
              <w:rPr>
                <w:rFonts w:cs="Arial"/>
                <w:szCs w:val="18"/>
                <w:lang w:val="en-GB" w:eastAsia="en-GB"/>
              </w:rPr>
              <w:t>17,8</w:t>
            </w:r>
          </w:p>
        </w:tc>
        <w:tc>
          <w:tcPr>
            <w:tcW w:w="482" w:type="pct"/>
            <w:tcBorders>
              <w:top w:val="nil"/>
              <w:left w:val="nil"/>
              <w:bottom w:val="nil"/>
              <w:right w:val="nil"/>
            </w:tcBorders>
            <w:noWrap/>
            <w:vAlign w:val="bottom"/>
            <w:hideMark/>
          </w:tcPr>
          <w:p w:rsidRPr="00B52D66" w:rsidR="00B52D66" w:rsidP="00FC2172" w:rsidRDefault="00B52D66" w14:paraId="7F152CC1" w14:textId="77777777">
            <w:pPr>
              <w:spacing w:line="240" w:lineRule="auto"/>
              <w:jc w:val="center"/>
              <w:rPr>
                <w:rFonts w:cs="Arial"/>
                <w:szCs w:val="18"/>
                <w:lang w:val="en-GB" w:eastAsia="en-GB"/>
              </w:rPr>
            </w:pPr>
            <w:r w:rsidRPr="00B52D66">
              <w:rPr>
                <w:rFonts w:cs="Arial"/>
                <w:szCs w:val="18"/>
                <w:lang w:val="en-GB" w:eastAsia="en-GB"/>
              </w:rPr>
              <w:t>17,8</w:t>
            </w:r>
          </w:p>
        </w:tc>
        <w:tc>
          <w:tcPr>
            <w:tcW w:w="482" w:type="pct"/>
            <w:tcBorders>
              <w:top w:val="nil"/>
              <w:left w:val="nil"/>
              <w:bottom w:val="nil"/>
              <w:right w:val="nil"/>
            </w:tcBorders>
            <w:noWrap/>
            <w:vAlign w:val="bottom"/>
            <w:hideMark/>
          </w:tcPr>
          <w:p w:rsidRPr="00B52D66" w:rsidR="00B52D66" w:rsidP="00FC2172" w:rsidRDefault="00B52D66" w14:paraId="6A62E7DD" w14:textId="77777777">
            <w:pPr>
              <w:spacing w:line="240" w:lineRule="auto"/>
              <w:jc w:val="center"/>
              <w:rPr>
                <w:rFonts w:cs="Arial"/>
                <w:szCs w:val="18"/>
                <w:lang w:val="en-GB" w:eastAsia="en-GB"/>
              </w:rPr>
            </w:pPr>
            <w:r w:rsidRPr="00B52D66">
              <w:rPr>
                <w:rFonts w:cs="Arial"/>
                <w:szCs w:val="18"/>
                <w:lang w:val="en-GB" w:eastAsia="en-GB"/>
              </w:rPr>
              <w:t>18,7</w:t>
            </w:r>
          </w:p>
        </w:tc>
      </w:tr>
      <w:tr w:rsidRPr="00B52D66" w:rsidR="00B52D66" w:rsidTr="00B52D66" w14:paraId="60174773"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36CC2600" w14:textId="77777777">
            <w:pPr>
              <w:spacing w:line="240" w:lineRule="auto"/>
              <w:rPr>
                <w:rFonts w:cs="Arial"/>
                <w:szCs w:val="18"/>
                <w:lang w:val="en-GB" w:eastAsia="en-GB"/>
              </w:rPr>
            </w:pPr>
            <w:r w:rsidRPr="00B52D66">
              <w:rPr>
                <w:rFonts w:cs="Arial"/>
                <w:szCs w:val="18"/>
                <w:lang w:val="en-GB" w:eastAsia="en-GB"/>
              </w:rPr>
              <w:t xml:space="preserve">   E&amp;O</w:t>
            </w:r>
          </w:p>
        </w:tc>
        <w:tc>
          <w:tcPr>
            <w:tcW w:w="482" w:type="pct"/>
            <w:tcBorders>
              <w:top w:val="nil"/>
              <w:left w:val="nil"/>
              <w:bottom w:val="nil"/>
              <w:right w:val="nil"/>
            </w:tcBorders>
            <w:noWrap/>
            <w:vAlign w:val="bottom"/>
            <w:hideMark/>
          </w:tcPr>
          <w:p w:rsidRPr="00B52D66" w:rsidR="00B52D66" w:rsidP="00FC2172" w:rsidRDefault="00B52D66" w14:paraId="50DA95DB" w14:textId="77777777">
            <w:pPr>
              <w:spacing w:line="240" w:lineRule="auto"/>
              <w:jc w:val="center"/>
              <w:rPr>
                <w:rFonts w:cs="Arial"/>
                <w:szCs w:val="18"/>
                <w:lang w:val="en-GB" w:eastAsia="en-GB"/>
              </w:rPr>
            </w:pPr>
            <w:r w:rsidRPr="00B52D66">
              <w:rPr>
                <w:rFonts w:cs="Arial"/>
                <w:szCs w:val="18"/>
                <w:lang w:val="en-GB" w:eastAsia="en-GB"/>
              </w:rPr>
              <w:t>25,9</w:t>
            </w:r>
          </w:p>
        </w:tc>
        <w:tc>
          <w:tcPr>
            <w:tcW w:w="482" w:type="pct"/>
            <w:tcBorders>
              <w:top w:val="nil"/>
              <w:left w:val="nil"/>
              <w:bottom w:val="nil"/>
              <w:right w:val="nil"/>
            </w:tcBorders>
            <w:noWrap/>
            <w:vAlign w:val="bottom"/>
            <w:hideMark/>
          </w:tcPr>
          <w:p w:rsidRPr="00B52D66" w:rsidR="00B52D66" w:rsidP="00FC2172" w:rsidRDefault="00B52D66" w14:paraId="6CB3D3D0" w14:textId="77777777">
            <w:pPr>
              <w:spacing w:line="240" w:lineRule="auto"/>
              <w:jc w:val="center"/>
              <w:rPr>
                <w:rFonts w:cs="Arial"/>
                <w:szCs w:val="18"/>
                <w:lang w:val="en-GB" w:eastAsia="en-GB"/>
              </w:rPr>
            </w:pPr>
            <w:r w:rsidRPr="00B52D66">
              <w:rPr>
                <w:rFonts w:cs="Arial"/>
                <w:szCs w:val="18"/>
                <w:lang w:val="en-GB" w:eastAsia="en-GB"/>
              </w:rPr>
              <w:t>24,4</w:t>
            </w:r>
          </w:p>
        </w:tc>
        <w:tc>
          <w:tcPr>
            <w:tcW w:w="482" w:type="pct"/>
            <w:tcBorders>
              <w:top w:val="nil"/>
              <w:left w:val="nil"/>
              <w:bottom w:val="nil"/>
              <w:right w:val="nil"/>
            </w:tcBorders>
            <w:noWrap/>
            <w:vAlign w:val="bottom"/>
            <w:hideMark/>
          </w:tcPr>
          <w:p w:rsidRPr="00B52D66" w:rsidR="00B52D66" w:rsidP="00FC2172" w:rsidRDefault="00B52D66" w14:paraId="49D1C9EC" w14:textId="77777777">
            <w:pPr>
              <w:spacing w:line="240" w:lineRule="auto"/>
              <w:jc w:val="center"/>
              <w:rPr>
                <w:rFonts w:cs="Arial"/>
                <w:szCs w:val="18"/>
                <w:lang w:val="en-GB" w:eastAsia="en-GB"/>
              </w:rPr>
            </w:pPr>
            <w:r w:rsidRPr="00B52D66">
              <w:rPr>
                <w:rFonts w:cs="Arial"/>
                <w:szCs w:val="18"/>
                <w:lang w:val="en-GB" w:eastAsia="en-GB"/>
              </w:rPr>
              <w:t>27,2</w:t>
            </w:r>
          </w:p>
        </w:tc>
        <w:tc>
          <w:tcPr>
            <w:tcW w:w="482" w:type="pct"/>
            <w:tcBorders>
              <w:top w:val="nil"/>
              <w:left w:val="nil"/>
              <w:bottom w:val="nil"/>
              <w:right w:val="nil"/>
            </w:tcBorders>
            <w:noWrap/>
            <w:vAlign w:val="bottom"/>
            <w:hideMark/>
          </w:tcPr>
          <w:p w:rsidRPr="00B52D66" w:rsidR="00B52D66" w:rsidP="00FC2172" w:rsidRDefault="00B52D66" w14:paraId="103C4A37" w14:textId="77777777">
            <w:pPr>
              <w:spacing w:line="240" w:lineRule="auto"/>
              <w:jc w:val="center"/>
              <w:rPr>
                <w:rFonts w:cs="Arial"/>
                <w:szCs w:val="18"/>
                <w:lang w:val="en-GB" w:eastAsia="en-GB"/>
              </w:rPr>
            </w:pPr>
            <w:r w:rsidRPr="00B52D66">
              <w:rPr>
                <w:rFonts w:cs="Arial"/>
                <w:szCs w:val="18"/>
                <w:lang w:val="en-GB" w:eastAsia="en-GB"/>
              </w:rPr>
              <w:t>29,4</w:t>
            </w:r>
          </w:p>
        </w:tc>
        <w:tc>
          <w:tcPr>
            <w:tcW w:w="482" w:type="pct"/>
            <w:tcBorders>
              <w:top w:val="nil"/>
              <w:left w:val="nil"/>
              <w:bottom w:val="nil"/>
              <w:right w:val="nil"/>
            </w:tcBorders>
            <w:noWrap/>
            <w:vAlign w:val="bottom"/>
            <w:hideMark/>
          </w:tcPr>
          <w:p w:rsidRPr="00B52D66" w:rsidR="00B52D66" w:rsidP="00FC2172" w:rsidRDefault="00B52D66" w14:paraId="73F7CD89" w14:textId="77777777">
            <w:pPr>
              <w:spacing w:line="240" w:lineRule="auto"/>
              <w:jc w:val="center"/>
              <w:rPr>
                <w:rFonts w:cs="Arial"/>
                <w:szCs w:val="18"/>
                <w:lang w:val="en-GB" w:eastAsia="en-GB"/>
              </w:rPr>
            </w:pPr>
            <w:r w:rsidRPr="00B52D66">
              <w:rPr>
                <w:rFonts w:cs="Arial"/>
                <w:szCs w:val="18"/>
                <w:lang w:val="en-GB" w:eastAsia="en-GB"/>
              </w:rPr>
              <w:t>27,6</w:t>
            </w:r>
          </w:p>
        </w:tc>
        <w:tc>
          <w:tcPr>
            <w:tcW w:w="482" w:type="pct"/>
            <w:tcBorders>
              <w:top w:val="nil"/>
              <w:left w:val="nil"/>
              <w:bottom w:val="nil"/>
              <w:right w:val="nil"/>
            </w:tcBorders>
            <w:noWrap/>
            <w:vAlign w:val="bottom"/>
            <w:hideMark/>
          </w:tcPr>
          <w:p w:rsidRPr="00B52D66" w:rsidR="00B52D66" w:rsidP="00FC2172" w:rsidRDefault="00B52D66" w14:paraId="0494EB65" w14:textId="77777777">
            <w:pPr>
              <w:spacing w:line="240" w:lineRule="auto"/>
              <w:jc w:val="center"/>
              <w:rPr>
                <w:rFonts w:cs="Arial"/>
                <w:szCs w:val="18"/>
                <w:lang w:val="en-GB" w:eastAsia="en-GB"/>
              </w:rPr>
            </w:pPr>
            <w:r w:rsidRPr="00B52D66">
              <w:rPr>
                <w:rFonts w:cs="Arial"/>
                <w:szCs w:val="18"/>
                <w:lang w:val="en-GB" w:eastAsia="en-GB"/>
              </w:rPr>
              <w:t>29,5</w:t>
            </w:r>
          </w:p>
        </w:tc>
      </w:tr>
      <w:tr w:rsidRPr="00B52D66" w:rsidR="00B52D66" w:rsidTr="00B52D66" w14:paraId="11AA2FF0"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781CE4BC" w14:textId="77777777">
            <w:pPr>
              <w:spacing w:line="240" w:lineRule="auto"/>
              <w:rPr>
                <w:rFonts w:cs="Arial"/>
                <w:szCs w:val="18"/>
                <w:lang w:val="en-GB" w:eastAsia="en-GB"/>
              </w:rPr>
            </w:pPr>
            <w:r w:rsidRPr="00B52D66">
              <w:rPr>
                <w:rFonts w:cs="Arial"/>
                <w:szCs w:val="18"/>
                <w:lang w:val="en-GB" w:eastAsia="en-GB"/>
              </w:rPr>
              <w:t xml:space="preserve">   Groen</w:t>
            </w:r>
          </w:p>
        </w:tc>
        <w:tc>
          <w:tcPr>
            <w:tcW w:w="482" w:type="pct"/>
            <w:tcBorders>
              <w:top w:val="nil"/>
              <w:left w:val="nil"/>
              <w:bottom w:val="nil"/>
              <w:right w:val="nil"/>
            </w:tcBorders>
            <w:noWrap/>
            <w:vAlign w:val="bottom"/>
            <w:hideMark/>
          </w:tcPr>
          <w:p w:rsidRPr="00B52D66" w:rsidR="00B52D66" w:rsidP="00FC2172" w:rsidRDefault="00B52D66" w14:paraId="077FF7F6" w14:textId="77777777">
            <w:pPr>
              <w:spacing w:line="240" w:lineRule="auto"/>
              <w:jc w:val="center"/>
              <w:rPr>
                <w:rFonts w:cs="Arial"/>
                <w:szCs w:val="18"/>
                <w:lang w:val="en-GB" w:eastAsia="en-GB"/>
              </w:rPr>
            </w:pPr>
            <w:r w:rsidRPr="00B52D66">
              <w:rPr>
                <w:rFonts w:cs="Arial"/>
                <w:szCs w:val="18"/>
                <w:lang w:val="en-GB" w:eastAsia="en-GB"/>
              </w:rPr>
              <w:t>8,4</w:t>
            </w:r>
          </w:p>
        </w:tc>
        <w:tc>
          <w:tcPr>
            <w:tcW w:w="482" w:type="pct"/>
            <w:tcBorders>
              <w:top w:val="nil"/>
              <w:left w:val="nil"/>
              <w:bottom w:val="nil"/>
              <w:right w:val="nil"/>
            </w:tcBorders>
            <w:noWrap/>
            <w:vAlign w:val="bottom"/>
            <w:hideMark/>
          </w:tcPr>
          <w:p w:rsidRPr="00B52D66" w:rsidR="00B52D66" w:rsidP="00FC2172" w:rsidRDefault="00B52D66" w14:paraId="53584EFD" w14:textId="77777777">
            <w:pPr>
              <w:spacing w:line="240" w:lineRule="auto"/>
              <w:jc w:val="center"/>
              <w:rPr>
                <w:rFonts w:cs="Arial"/>
                <w:szCs w:val="18"/>
                <w:lang w:val="en-GB" w:eastAsia="en-GB"/>
              </w:rPr>
            </w:pPr>
            <w:r w:rsidRPr="00B52D66">
              <w:rPr>
                <w:rFonts w:cs="Arial"/>
                <w:szCs w:val="18"/>
                <w:lang w:val="en-GB" w:eastAsia="en-GB"/>
              </w:rPr>
              <w:t>8,2</w:t>
            </w:r>
          </w:p>
        </w:tc>
        <w:tc>
          <w:tcPr>
            <w:tcW w:w="482" w:type="pct"/>
            <w:tcBorders>
              <w:top w:val="nil"/>
              <w:left w:val="nil"/>
              <w:bottom w:val="nil"/>
              <w:right w:val="nil"/>
            </w:tcBorders>
            <w:noWrap/>
            <w:vAlign w:val="bottom"/>
            <w:hideMark/>
          </w:tcPr>
          <w:p w:rsidRPr="00B52D66" w:rsidR="00B52D66" w:rsidP="00FC2172" w:rsidRDefault="00B52D66" w14:paraId="7DDB29B5" w14:textId="77777777">
            <w:pPr>
              <w:spacing w:line="240" w:lineRule="auto"/>
              <w:jc w:val="center"/>
              <w:rPr>
                <w:rFonts w:cs="Arial"/>
                <w:szCs w:val="18"/>
                <w:lang w:val="en-GB" w:eastAsia="en-GB"/>
              </w:rPr>
            </w:pPr>
            <w:r w:rsidRPr="00B52D66">
              <w:rPr>
                <w:rFonts w:cs="Arial"/>
                <w:szCs w:val="18"/>
                <w:lang w:val="en-GB" w:eastAsia="en-GB"/>
              </w:rPr>
              <w:t>8,1</w:t>
            </w:r>
          </w:p>
        </w:tc>
        <w:tc>
          <w:tcPr>
            <w:tcW w:w="482" w:type="pct"/>
            <w:tcBorders>
              <w:top w:val="nil"/>
              <w:left w:val="nil"/>
              <w:bottom w:val="nil"/>
              <w:right w:val="nil"/>
            </w:tcBorders>
            <w:noWrap/>
            <w:vAlign w:val="bottom"/>
            <w:hideMark/>
          </w:tcPr>
          <w:p w:rsidRPr="00B52D66" w:rsidR="00B52D66" w:rsidP="00FC2172" w:rsidRDefault="00B52D66" w14:paraId="5BDBF0E0" w14:textId="77777777">
            <w:pPr>
              <w:spacing w:line="240" w:lineRule="auto"/>
              <w:jc w:val="center"/>
              <w:rPr>
                <w:rFonts w:cs="Arial"/>
                <w:szCs w:val="18"/>
                <w:lang w:val="en-GB" w:eastAsia="en-GB"/>
              </w:rPr>
            </w:pPr>
            <w:r w:rsidRPr="00B52D66">
              <w:rPr>
                <w:rFonts w:cs="Arial"/>
                <w:szCs w:val="18"/>
                <w:lang w:val="en-GB" w:eastAsia="en-GB"/>
              </w:rPr>
              <w:t>9,0</w:t>
            </w:r>
          </w:p>
        </w:tc>
        <w:tc>
          <w:tcPr>
            <w:tcW w:w="482" w:type="pct"/>
            <w:tcBorders>
              <w:top w:val="nil"/>
              <w:left w:val="nil"/>
              <w:bottom w:val="nil"/>
              <w:right w:val="nil"/>
            </w:tcBorders>
            <w:noWrap/>
            <w:vAlign w:val="bottom"/>
            <w:hideMark/>
          </w:tcPr>
          <w:p w:rsidRPr="00B52D66" w:rsidR="00B52D66" w:rsidP="00FC2172" w:rsidRDefault="00B52D66" w14:paraId="1FB49F6A" w14:textId="77777777">
            <w:pPr>
              <w:spacing w:line="240" w:lineRule="auto"/>
              <w:jc w:val="center"/>
              <w:rPr>
                <w:rFonts w:cs="Arial"/>
                <w:szCs w:val="18"/>
                <w:lang w:val="en-GB" w:eastAsia="en-GB"/>
              </w:rPr>
            </w:pPr>
            <w:r w:rsidRPr="00B52D66">
              <w:rPr>
                <w:rFonts w:cs="Arial"/>
                <w:szCs w:val="18"/>
                <w:lang w:val="en-GB" w:eastAsia="en-GB"/>
              </w:rPr>
              <w:t>9,4</w:t>
            </w:r>
          </w:p>
        </w:tc>
        <w:tc>
          <w:tcPr>
            <w:tcW w:w="482" w:type="pct"/>
            <w:tcBorders>
              <w:top w:val="nil"/>
              <w:left w:val="nil"/>
              <w:bottom w:val="nil"/>
              <w:right w:val="nil"/>
            </w:tcBorders>
            <w:noWrap/>
            <w:vAlign w:val="bottom"/>
            <w:hideMark/>
          </w:tcPr>
          <w:p w:rsidRPr="00B52D66" w:rsidR="00B52D66" w:rsidP="00FC2172" w:rsidRDefault="00B52D66" w14:paraId="6F545768" w14:textId="77777777">
            <w:pPr>
              <w:spacing w:line="240" w:lineRule="auto"/>
              <w:jc w:val="center"/>
              <w:rPr>
                <w:rFonts w:cs="Arial"/>
                <w:szCs w:val="18"/>
                <w:lang w:val="en-GB" w:eastAsia="en-GB"/>
              </w:rPr>
            </w:pPr>
            <w:r w:rsidRPr="00B52D66">
              <w:rPr>
                <w:rFonts w:cs="Arial"/>
                <w:szCs w:val="18"/>
                <w:lang w:val="en-GB" w:eastAsia="en-GB"/>
              </w:rPr>
              <w:t>8,7</w:t>
            </w:r>
          </w:p>
        </w:tc>
      </w:tr>
      <w:tr w:rsidRPr="00B52D66" w:rsidR="00B52D66" w:rsidTr="00B52D66" w14:paraId="24FF4EBD" w14:textId="77777777">
        <w:trPr>
          <w:trHeight w:val="280"/>
        </w:trPr>
        <w:tc>
          <w:tcPr>
            <w:tcW w:w="2105" w:type="pct"/>
            <w:tcBorders>
              <w:top w:val="nil"/>
              <w:left w:val="nil"/>
              <w:bottom w:val="nil"/>
              <w:right w:val="nil"/>
            </w:tcBorders>
            <w:noWrap/>
            <w:vAlign w:val="bottom"/>
            <w:hideMark/>
          </w:tcPr>
          <w:p w:rsidRPr="00B52D66" w:rsidR="00B52D66" w:rsidP="00FC2172" w:rsidRDefault="00B52D66" w14:paraId="48FDC71B" w14:textId="77777777">
            <w:pPr>
              <w:spacing w:line="240" w:lineRule="auto"/>
              <w:rPr>
                <w:rFonts w:cs="Arial"/>
                <w:szCs w:val="18"/>
                <w:lang w:val="en-GB" w:eastAsia="en-GB"/>
              </w:rPr>
            </w:pPr>
            <w:r w:rsidRPr="00B52D66">
              <w:rPr>
                <w:rFonts w:cs="Arial"/>
                <w:szCs w:val="18"/>
                <w:lang w:val="en-GB" w:eastAsia="en-GB"/>
              </w:rPr>
              <w:t xml:space="preserve">   HBR</w:t>
            </w:r>
          </w:p>
        </w:tc>
        <w:tc>
          <w:tcPr>
            <w:tcW w:w="482" w:type="pct"/>
            <w:tcBorders>
              <w:top w:val="nil"/>
              <w:left w:val="nil"/>
              <w:bottom w:val="nil"/>
              <w:right w:val="nil"/>
            </w:tcBorders>
            <w:noWrap/>
            <w:vAlign w:val="bottom"/>
            <w:hideMark/>
          </w:tcPr>
          <w:p w:rsidRPr="00B52D66" w:rsidR="00B52D66" w:rsidP="00FC2172" w:rsidRDefault="00B52D66" w14:paraId="4ACC2422" w14:textId="77777777">
            <w:pPr>
              <w:spacing w:line="240" w:lineRule="auto"/>
              <w:jc w:val="center"/>
              <w:rPr>
                <w:rFonts w:cs="Arial"/>
                <w:szCs w:val="18"/>
                <w:lang w:val="en-GB" w:eastAsia="en-GB"/>
              </w:rPr>
            </w:pPr>
            <w:r w:rsidRPr="00B52D66">
              <w:rPr>
                <w:rFonts w:cs="Arial"/>
                <w:szCs w:val="18"/>
                <w:lang w:val="en-GB" w:eastAsia="en-GB"/>
              </w:rPr>
              <w:t>13,2</w:t>
            </w:r>
          </w:p>
        </w:tc>
        <w:tc>
          <w:tcPr>
            <w:tcW w:w="482" w:type="pct"/>
            <w:tcBorders>
              <w:top w:val="nil"/>
              <w:left w:val="nil"/>
              <w:bottom w:val="nil"/>
              <w:right w:val="nil"/>
            </w:tcBorders>
            <w:noWrap/>
            <w:vAlign w:val="bottom"/>
            <w:hideMark/>
          </w:tcPr>
          <w:p w:rsidRPr="00B52D66" w:rsidR="00B52D66" w:rsidP="00FC2172" w:rsidRDefault="00B52D66" w14:paraId="14931794" w14:textId="77777777">
            <w:pPr>
              <w:spacing w:line="240" w:lineRule="auto"/>
              <w:jc w:val="center"/>
              <w:rPr>
                <w:rFonts w:cs="Arial"/>
                <w:szCs w:val="18"/>
                <w:lang w:val="en-GB" w:eastAsia="en-GB"/>
              </w:rPr>
            </w:pPr>
            <w:r w:rsidRPr="00B52D66">
              <w:rPr>
                <w:rFonts w:cs="Arial"/>
                <w:szCs w:val="18"/>
                <w:lang w:val="en-GB" w:eastAsia="en-GB"/>
              </w:rPr>
              <w:t>18,2</w:t>
            </w:r>
          </w:p>
        </w:tc>
        <w:tc>
          <w:tcPr>
            <w:tcW w:w="482" w:type="pct"/>
            <w:tcBorders>
              <w:top w:val="nil"/>
              <w:left w:val="nil"/>
              <w:bottom w:val="nil"/>
              <w:right w:val="nil"/>
            </w:tcBorders>
            <w:noWrap/>
            <w:vAlign w:val="bottom"/>
            <w:hideMark/>
          </w:tcPr>
          <w:p w:rsidRPr="00B52D66" w:rsidR="00B52D66" w:rsidP="00FC2172" w:rsidRDefault="00B52D66" w14:paraId="69FC3977" w14:textId="77777777">
            <w:pPr>
              <w:spacing w:line="240" w:lineRule="auto"/>
              <w:jc w:val="center"/>
              <w:rPr>
                <w:rFonts w:cs="Arial"/>
                <w:szCs w:val="18"/>
                <w:lang w:val="en-GB" w:eastAsia="en-GB"/>
              </w:rPr>
            </w:pPr>
            <w:r w:rsidRPr="00B52D66">
              <w:rPr>
                <w:rFonts w:cs="Arial"/>
                <w:szCs w:val="18"/>
                <w:lang w:val="en-GB" w:eastAsia="en-GB"/>
              </w:rPr>
              <w:t>17,5</w:t>
            </w:r>
          </w:p>
        </w:tc>
        <w:tc>
          <w:tcPr>
            <w:tcW w:w="482" w:type="pct"/>
            <w:tcBorders>
              <w:top w:val="nil"/>
              <w:left w:val="nil"/>
              <w:bottom w:val="nil"/>
              <w:right w:val="nil"/>
            </w:tcBorders>
            <w:noWrap/>
            <w:vAlign w:val="bottom"/>
            <w:hideMark/>
          </w:tcPr>
          <w:p w:rsidRPr="00B52D66" w:rsidR="00B52D66" w:rsidP="00FC2172" w:rsidRDefault="00B52D66" w14:paraId="0C358CFC" w14:textId="77777777">
            <w:pPr>
              <w:spacing w:line="240" w:lineRule="auto"/>
              <w:jc w:val="center"/>
              <w:rPr>
                <w:rFonts w:cs="Arial"/>
                <w:szCs w:val="18"/>
                <w:lang w:val="en-GB" w:eastAsia="en-GB"/>
              </w:rPr>
            </w:pPr>
            <w:r w:rsidRPr="00B52D66">
              <w:rPr>
                <w:rFonts w:cs="Arial"/>
                <w:szCs w:val="18"/>
                <w:lang w:val="en-GB" w:eastAsia="en-GB"/>
              </w:rPr>
              <w:t>15,7</w:t>
            </w:r>
          </w:p>
        </w:tc>
        <w:tc>
          <w:tcPr>
            <w:tcW w:w="482" w:type="pct"/>
            <w:tcBorders>
              <w:top w:val="nil"/>
              <w:left w:val="nil"/>
              <w:bottom w:val="nil"/>
              <w:right w:val="nil"/>
            </w:tcBorders>
            <w:noWrap/>
            <w:vAlign w:val="bottom"/>
            <w:hideMark/>
          </w:tcPr>
          <w:p w:rsidRPr="00B52D66" w:rsidR="00B52D66" w:rsidP="00FC2172" w:rsidRDefault="00B52D66" w14:paraId="7D6E5198" w14:textId="77777777">
            <w:pPr>
              <w:spacing w:line="240" w:lineRule="auto"/>
              <w:jc w:val="center"/>
              <w:rPr>
                <w:rFonts w:cs="Arial"/>
                <w:szCs w:val="18"/>
                <w:lang w:val="en-GB" w:eastAsia="en-GB"/>
              </w:rPr>
            </w:pPr>
            <w:r w:rsidRPr="00B52D66">
              <w:rPr>
                <w:rFonts w:cs="Arial"/>
                <w:szCs w:val="18"/>
                <w:lang w:val="en-GB" w:eastAsia="en-GB"/>
              </w:rPr>
              <w:t>20,3</w:t>
            </w:r>
          </w:p>
        </w:tc>
        <w:tc>
          <w:tcPr>
            <w:tcW w:w="482" w:type="pct"/>
            <w:tcBorders>
              <w:top w:val="nil"/>
              <w:left w:val="nil"/>
              <w:bottom w:val="nil"/>
              <w:right w:val="nil"/>
            </w:tcBorders>
            <w:noWrap/>
            <w:vAlign w:val="bottom"/>
            <w:hideMark/>
          </w:tcPr>
          <w:p w:rsidRPr="00B52D66" w:rsidR="00B52D66" w:rsidP="00FC2172" w:rsidRDefault="00B52D66" w14:paraId="0C3D4150" w14:textId="77777777">
            <w:pPr>
              <w:spacing w:line="240" w:lineRule="auto"/>
              <w:jc w:val="center"/>
              <w:rPr>
                <w:rFonts w:cs="Arial"/>
                <w:szCs w:val="18"/>
                <w:lang w:val="en-GB" w:eastAsia="en-GB"/>
              </w:rPr>
            </w:pPr>
            <w:r w:rsidRPr="00B52D66">
              <w:rPr>
                <w:rFonts w:cs="Arial"/>
                <w:szCs w:val="18"/>
                <w:lang w:val="en-GB" w:eastAsia="en-GB"/>
              </w:rPr>
              <w:t>16,4</w:t>
            </w:r>
          </w:p>
        </w:tc>
      </w:tr>
      <w:tr w:rsidRPr="00B52D66" w:rsidR="00B52D66" w:rsidTr="00B52D66" w14:paraId="153597E3" w14:textId="77777777">
        <w:trPr>
          <w:trHeight w:val="280"/>
        </w:trPr>
        <w:tc>
          <w:tcPr>
            <w:tcW w:w="2105" w:type="pct"/>
            <w:tcBorders>
              <w:top w:val="nil"/>
              <w:left w:val="nil"/>
              <w:bottom w:val="single" w:color="auto" w:sz="4" w:space="0"/>
              <w:right w:val="nil"/>
            </w:tcBorders>
            <w:noWrap/>
            <w:vAlign w:val="bottom"/>
            <w:hideMark/>
          </w:tcPr>
          <w:p w:rsidRPr="00B52D66" w:rsidR="00B52D66" w:rsidP="00FC2172" w:rsidRDefault="00B52D66" w14:paraId="717C76BC" w14:textId="77777777">
            <w:pPr>
              <w:spacing w:line="240" w:lineRule="auto"/>
              <w:rPr>
                <w:rFonts w:cs="Arial"/>
                <w:szCs w:val="18"/>
                <w:lang w:val="en-GB" w:eastAsia="en-GB"/>
              </w:rPr>
            </w:pPr>
            <w:r w:rsidRPr="00B52D66">
              <w:rPr>
                <w:rFonts w:cs="Arial"/>
                <w:szCs w:val="18"/>
                <w:lang w:val="en-GB" w:eastAsia="en-GB"/>
              </w:rPr>
              <w:t xml:space="preserve">   Z&amp;W</w:t>
            </w:r>
          </w:p>
        </w:tc>
        <w:tc>
          <w:tcPr>
            <w:tcW w:w="482" w:type="pct"/>
            <w:tcBorders>
              <w:top w:val="nil"/>
              <w:left w:val="nil"/>
              <w:bottom w:val="single" w:color="auto" w:sz="4" w:space="0"/>
              <w:right w:val="nil"/>
            </w:tcBorders>
            <w:noWrap/>
            <w:vAlign w:val="bottom"/>
            <w:hideMark/>
          </w:tcPr>
          <w:p w:rsidRPr="00B52D66" w:rsidR="00B52D66" w:rsidP="00FC2172" w:rsidRDefault="00B52D66" w14:paraId="4EE3EE7A" w14:textId="77777777">
            <w:pPr>
              <w:spacing w:line="240" w:lineRule="auto"/>
              <w:jc w:val="center"/>
              <w:rPr>
                <w:rFonts w:cs="Arial"/>
                <w:szCs w:val="18"/>
                <w:lang w:val="en-GB" w:eastAsia="en-GB"/>
              </w:rPr>
            </w:pPr>
            <w:r w:rsidRPr="00B52D66">
              <w:rPr>
                <w:rFonts w:cs="Arial"/>
                <w:szCs w:val="18"/>
                <w:lang w:val="en-GB" w:eastAsia="en-GB"/>
              </w:rPr>
              <w:t>14,2</w:t>
            </w:r>
          </w:p>
        </w:tc>
        <w:tc>
          <w:tcPr>
            <w:tcW w:w="482" w:type="pct"/>
            <w:tcBorders>
              <w:top w:val="nil"/>
              <w:left w:val="nil"/>
              <w:bottom w:val="single" w:color="auto" w:sz="4" w:space="0"/>
              <w:right w:val="nil"/>
            </w:tcBorders>
            <w:noWrap/>
            <w:vAlign w:val="bottom"/>
            <w:hideMark/>
          </w:tcPr>
          <w:p w:rsidRPr="00B52D66" w:rsidR="00B52D66" w:rsidP="00FC2172" w:rsidRDefault="00B52D66" w14:paraId="1940929E" w14:textId="77777777">
            <w:pPr>
              <w:spacing w:line="240" w:lineRule="auto"/>
              <w:jc w:val="center"/>
              <w:rPr>
                <w:rFonts w:cs="Arial"/>
                <w:szCs w:val="18"/>
                <w:lang w:val="en-GB" w:eastAsia="en-GB"/>
              </w:rPr>
            </w:pPr>
            <w:r w:rsidRPr="00B52D66">
              <w:rPr>
                <w:rFonts w:cs="Arial"/>
                <w:szCs w:val="18"/>
                <w:lang w:val="en-GB" w:eastAsia="en-GB"/>
              </w:rPr>
              <w:t>16,1</w:t>
            </w:r>
          </w:p>
        </w:tc>
        <w:tc>
          <w:tcPr>
            <w:tcW w:w="482" w:type="pct"/>
            <w:tcBorders>
              <w:top w:val="nil"/>
              <w:left w:val="nil"/>
              <w:bottom w:val="single" w:color="auto" w:sz="4" w:space="0"/>
              <w:right w:val="nil"/>
            </w:tcBorders>
            <w:noWrap/>
            <w:vAlign w:val="bottom"/>
            <w:hideMark/>
          </w:tcPr>
          <w:p w:rsidRPr="00B52D66" w:rsidR="00B52D66" w:rsidP="00FC2172" w:rsidRDefault="00B52D66" w14:paraId="5D457823" w14:textId="77777777">
            <w:pPr>
              <w:spacing w:line="240" w:lineRule="auto"/>
              <w:jc w:val="center"/>
              <w:rPr>
                <w:rFonts w:cs="Arial"/>
                <w:szCs w:val="18"/>
                <w:lang w:val="en-GB" w:eastAsia="en-GB"/>
              </w:rPr>
            </w:pPr>
            <w:r w:rsidRPr="00B52D66">
              <w:rPr>
                <w:rFonts w:cs="Arial"/>
                <w:szCs w:val="18"/>
                <w:lang w:val="en-GB" w:eastAsia="en-GB"/>
              </w:rPr>
              <w:t>17,8</w:t>
            </w:r>
          </w:p>
        </w:tc>
        <w:tc>
          <w:tcPr>
            <w:tcW w:w="482" w:type="pct"/>
            <w:tcBorders>
              <w:top w:val="nil"/>
              <w:left w:val="nil"/>
              <w:bottom w:val="single" w:color="auto" w:sz="4" w:space="0"/>
              <w:right w:val="nil"/>
            </w:tcBorders>
            <w:noWrap/>
            <w:vAlign w:val="bottom"/>
            <w:hideMark/>
          </w:tcPr>
          <w:p w:rsidRPr="00B52D66" w:rsidR="00B52D66" w:rsidP="00FC2172" w:rsidRDefault="00B52D66" w14:paraId="4D1EAE28" w14:textId="77777777">
            <w:pPr>
              <w:spacing w:line="240" w:lineRule="auto"/>
              <w:jc w:val="center"/>
              <w:rPr>
                <w:rFonts w:cs="Arial"/>
                <w:szCs w:val="18"/>
                <w:lang w:val="en-GB" w:eastAsia="en-GB"/>
              </w:rPr>
            </w:pPr>
            <w:r w:rsidRPr="00B52D66">
              <w:rPr>
                <w:rFonts w:cs="Arial"/>
                <w:szCs w:val="18"/>
                <w:lang w:val="en-GB" w:eastAsia="en-GB"/>
              </w:rPr>
              <w:t>19,4</w:t>
            </w:r>
          </w:p>
        </w:tc>
        <w:tc>
          <w:tcPr>
            <w:tcW w:w="482" w:type="pct"/>
            <w:tcBorders>
              <w:top w:val="nil"/>
              <w:left w:val="nil"/>
              <w:bottom w:val="single" w:color="auto" w:sz="4" w:space="0"/>
              <w:right w:val="nil"/>
            </w:tcBorders>
            <w:noWrap/>
            <w:vAlign w:val="bottom"/>
            <w:hideMark/>
          </w:tcPr>
          <w:p w:rsidRPr="00B52D66" w:rsidR="00B52D66" w:rsidP="00FC2172" w:rsidRDefault="00B52D66" w14:paraId="2D0C0D66" w14:textId="77777777">
            <w:pPr>
              <w:spacing w:line="240" w:lineRule="auto"/>
              <w:jc w:val="center"/>
              <w:rPr>
                <w:rFonts w:cs="Arial"/>
                <w:szCs w:val="18"/>
                <w:lang w:val="en-GB" w:eastAsia="en-GB"/>
              </w:rPr>
            </w:pPr>
            <w:r w:rsidRPr="00B52D66">
              <w:rPr>
                <w:rFonts w:cs="Arial"/>
                <w:szCs w:val="18"/>
                <w:lang w:val="en-GB" w:eastAsia="en-GB"/>
              </w:rPr>
              <w:t>18,1</w:t>
            </w:r>
          </w:p>
        </w:tc>
        <w:tc>
          <w:tcPr>
            <w:tcW w:w="482" w:type="pct"/>
            <w:tcBorders>
              <w:top w:val="nil"/>
              <w:left w:val="nil"/>
              <w:bottom w:val="single" w:color="auto" w:sz="4" w:space="0"/>
              <w:right w:val="nil"/>
            </w:tcBorders>
            <w:noWrap/>
            <w:vAlign w:val="bottom"/>
            <w:hideMark/>
          </w:tcPr>
          <w:p w:rsidRPr="00B52D66" w:rsidR="00B52D66" w:rsidP="00FC2172" w:rsidRDefault="00B52D66" w14:paraId="426AC5DD" w14:textId="77777777">
            <w:pPr>
              <w:spacing w:line="240" w:lineRule="auto"/>
              <w:jc w:val="center"/>
              <w:rPr>
                <w:rFonts w:cs="Arial"/>
                <w:szCs w:val="18"/>
                <w:lang w:val="en-GB" w:eastAsia="en-GB"/>
              </w:rPr>
            </w:pPr>
            <w:r w:rsidRPr="00B52D66">
              <w:rPr>
                <w:rFonts w:cs="Arial"/>
                <w:szCs w:val="18"/>
                <w:lang w:val="en-GB" w:eastAsia="en-GB"/>
              </w:rPr>
              <w:t>17,6</w:t>
            </w:r>
          </w:p>
        </w:tc>
      </w:tr>
    </w:tbl>
    <w:p w:rsidRPr="00B52D66" w:rsidR="00B52D66" w:rsidP="00B52D66" w:rsidRDefault="00B52D66" w14:paraId="4410A8D2" w14:textId="77777777">
      <w:pPr>
        <w:rPr>
          <w:szCs w:val="18"/>
        </w:rPr>
      </w:pPr>
      <w:r w:rsidRPr="00B52D66">
        <w:rPr>
          <w:i/>
          <w:szCs w:val="18"/>
        </w:rPr>
        <w:t>Bron: DUO (eigen bewerking ROA).</w:t>
      </w:r>
    </w:p>
    <w:p w:rsidRPr="00B52D66" w:rsidR="00B52D66" w:rsidP="00B52D66" w:rsidRDefault="00B52D66" w14:paraId="4E295375" w14:textId="77777777">
      <w:pPr>
        <w:spacing w:after="160" w:line="259" w:lineRule="auto"/>
        <w:rPr>
          <w:rFonts w:eastAsiaTheme="minorHAnsi" w:cstheme="minorBidi"/>
          <w:szCs w:val="18"/>
          <w:lang w:eastAsia="en-US"/>
        </w:rPr>
      </w:pPr>
    </w:p>
    <w:p w:rsidRPr="00B52D66" w:rsidR="00B52D66" w:rsidP="00B52D66" w:rsidRDefault="00B52D66" w14:paraId="2273A12C" w14:textId="77777777">
      <w:pPr>
        <w:spacing w:after="160" w:line="259" w:lineRule="auto"/>
        <w:rPr>
          <w:rFonts w:eastAsiaTheme="minorHAnsi" w:cstheme="minorBidi"/>
          <w:szCs w:val="18"/>
          <w:lang w:eastAsia="en-US"/>
        </w:rPr>
      </w:pPr>
      <w:r w:rsidRPr="00B52D66">
        <w:rPr>
          <w:rFonts w:eastAsiaTheme="minorHAnsi" w:cstheme="minorBidi"/>
          <w:szCs w:val="18"/>
          <w:lang w:eastAsia="en-US"/>
        </w:rPr>
        <w:br w:type="page"/>
      </w:r>
    </w:p>
    <w:p w:rsidRPr="00B52D66" w:rsidR="00B52D66" w:rsidP="00C43FA5" w:rsidRDefault="006C62B6" w14:paraId="48FADD84" w14:textId="01E4142A">
      <w:r>
        <w:lastRenderedPageBreak/>
        <w:t>Tabel</w:t>
      </w:r>
      <w:r w:rsidRPr="00B52D66">
        <w:t xml:space="preserve"> </w:t>
      </w:r>
      <w:r>
        <w:t>B</w:t>
      </w:r>
      <w:r w:rsidR="00277065">
        <w:t>3</w:t>
      </w:r>
      <w:r w:rsidRPr="00B52D66" w:rsidR="00B52D66">
        <w:t>.</w:t>
      </w:r>
      <w:r>
        <w:t>15</w:t>
      </w:r>
      <w:r w:rsidRPr="00B52D66" w:rsidR="00B52D66">
        <w:t xml:space="preserve">. </w:t>
      </w:r>
      <w:bookmarkStart w:name="_Hlk199231806" w:id="207"/>
      <w:r w:rsidRPr="00B52D66" w:rsidR="00B52D66">
        <w:t>Gemiddeld aandeel derdejaarsleerlingen techniek-leerlingen in STO-regio’s: schooljaar 2018/2019 tot 2023/2024</w:t>
      </w:r>
    </w:p>
    <w:tbl>
      <w:tblPr>
        <w:tblW w:w="5000" w:type="pct"/>
        <w:tblLook w:val="04A0" w:firstRow="1" w:lastRow="0" w:firstColumn="1" w:lastColumn="0" w:noHBand="0" w:noVBand="1"/>
      </w:tblPr>
      <w:tblGrid>
        <w:gridCol w:w="3666"/>
        <w:gridCol w:w="949"/>
        <w:gridCol w:w="949"/>
        <w:gridCol w:w="949"/>
        <w:gridCol w:w="949"/>
        <w:gridCol w:w="949"/>
        <w:gridCol w:w="949"/>
      </w:tblGrid>
      <w:tr w:rsidRPr="00B52D66" w:rsidR="00B52D66" w:rsidTr="00B52D66" w14:paraId="25E4A3D4" w14:textId="77777777">
        <w:trPr>
          <w:trHeight w:val="290"/>
        </w:trPr>
        <w:tc>
          <w:tcPr>
            <w:tcW w:w="2255" w:type="pct"/>
            <w:tcBorders>
              <w:top w:val="single" w:color="auto" w:sz="4" w:space="0"/>
              <w:left w:val="nil"/>
              <w:bottom w:val="nil"/>
              <w:right w:val="nil"/>
            </w:tcBorders>
            <w:noWrap/>
            <w:vAlign w:val="bottom"/>
            <w:hideMark/>
          </w:tcPr>
          <w:bookmarkEnd w:id="207"/>
          <w:p w:rsidRPr="00B52D66" w:rsidR="00B52D66" w:rsidP="00FC2172" w:rsidRDefault="00B52D66" w14:paraId="5B10E432" w14:textId="77777777">
            <w:pPr>
              <w:spacing w:line="240" w:lineRule="auto"/>
              <w:rPr>
                <w:rFonts w:cs="Arial"/>
                <w:b/>
                <w:bCs/>
                <w:szCs w:val="18"/>
                <w:lang w:eastAsia="en-GB"/>
              </w:rPr>
            </w:pPr>
            <w:r w:rsidRPr="00B52D66">
              <w:rPr>
                <w:rFonts w:cs="Arial"/>
                <w:b/>
                <w:bCs/>
                <w:szCs w:val="18"/>
                <w:lang w:eastAsia="en-GB"/>
              </w:rPr>
              <w:t> </w:t>
            </w:r>
          </w:p>
        </w:tc>
        <w:tc>
          <w:tcPr>
            <w:tcW w:w="457" w:type="pct"/>
            <w:tcBorders>
              <w:top w:val="single" w:color="auto" w:sz="4" w:space="0"/>
              <w:left w:val="nil"/>
              <w:bottom w:val="nil"/>
              <w:right w:val="nil"/>
            </w:tcBorders>
            <w:noWrap/>
            <w:vAlign w:val="bottom"/>
            <w:hideMark/>
          </w:tcPr>
          <w:p w:rsidRPr="00B52D66" w:rsidR="00B52D66" w:rsidP="00FC2172" w:rsidRDefault="00B52D66" w14:paraId="320F4ACD" w14:textId="77777777">
            <w:pPr>
              <w:spacing w:line="240" w:lineRule="auto"/>
              <w:rPr>
                <w:rFonts w:cs="Arial"/>
                <w:b/>
                <w:bCs/>
                <w:szCs w:val="18"/>
                <w:lang w:val="en-GB" w:eastAsia="en-GB"/>
              </w:rPr>
            </w:pPr>
            <w:r w:rsidRPr="00B52D66">
              <w:rPr>
                <w:rFonts w:cs="Arial"/>
                <w:b/>
                <w:bCs/>
                <w:szCs w:val="18"/>
                <w:lang w:val="en-GB" w:eastAsia="en-GB"/>
              </w:rPr>
              <w:t>2018/2019</w:t>
            </w:r>
          </w:p>
        </w:tc>
        <w:tc>
          <w:tcPr>
            <w:tcW w:w="457" w:type="pct"/>
            <w:tcBorders>
              <w:top w:val="single" w:color="auto" w:sz="4" w:space="0"/>
              <w:left w:val="nil"/>
              <w:bottom w:val="nil"/>
              <w:right w:val="nil"/>
            </w:tcBorders>
            <w:noWrap/>
            <w:vAlign w:val="bottom"/>
            <w:hideMark/>
          </w:tcPr>
          <w:p w:rsidRPr="00B52D66" w:rsidR="00B52D66" w:rsidP="00FC2172" w:rsidRDefault="00B52D66" w14:paraId="0FB55EE3" w14:textId="77777777">
            <w:pPr>
              <w:spacing w:line="240" w:lineRule="auto"/>
              <w:rPr>
                <w:rFonts w:cs="Arial"/>
                <w:b/>
                <w:bCs/>
                <w:szCs w:val="18"/>
                <w:lang w:val="en-GB" w:eastAsia="en-GB"/>
              </w:rPr>
            </w:pPr>
            <w:r w:rsidRPr="00B52D66">
              <w:rPr>
                <w:rFonts w:cs="Arial"/>
                <w:b/>
                <w:bCs/>
                <w:szCs w:val="18"/>
                <w:lang w:val="en-GB" w:eastAsia="en-GB"/>
              </w:rPr>
              <w:t>2019/2020</w:t>
            </w:r>
          </w:p>
        </w:tc>
        <w:tc>
          <w:tcPr>
            <w:tcW w:w="457" w:type="pct"/>
            <w:tcBorders>
              <w:top w:val="single" w:color="auto" w:sz="4" w:space="0"/>
              <w:left w:val="nil"/>
              <w:bottom w:val="nil"/>
              <w:right w:val="nil"/>
            </w:tcBorders>
            <w:noWrap/>
            <w:vAlign w:val="bottom"/>
            <w:hideMark/>
          </w:tcPr>
          <w:p w:rsidRPr="00B52D66" w:rsidR="00B52D66" w:rsidP="00FC2172" w:rsidRDefault="00B52D66" w14:paraId="3C05D7B9" w14:textId="77777777">
            <w:pPr>
              <w:spacing w:line="240" w:lineRule="auto"/>
              <w:rPr>
                <w:rFonts w:cs="Arial"/>
                <w:b/>
                <w:bCs/>
                <w:szCs w:val="18"/>
                <w:lang w:val="en-GB" w:eastAsia="en-GB"/>
              </w:rPr>
            </w:pPr>
            <w:r w:rsidRPr="00B52D66">
              <w:rPr>
                <w:rFonts w:cs="Arial"/>
                <w:b/>
                <w:bCs/>
                <w:szCs w:val="18"/>
                <w:lang w:val="en-GB" w:eastAsia="en-GB"/>
              </w:rPr>
              <w:t>2020/2021</w:t>
            </w:r>
          </w:p>
        </w:tc>
        <w:tc>
          <w:tcPr>
            <w:tcW w:w="457" w:type="pct"/>
            <w:tcBorders>
              <w:top w:val="single" w:color="auto" w:sz="4" w:space="0"/>
              <w:left w:val="nil"/>
              <w:bottom w:val="nil"/>
              <w:right w:val="nil"/>
            </w:tcBorders>
            <w:noWrap/>
            <w:vAlign w:val="bottom"/>
            <w:hideMark/>
          </w:tcPr>
          <w:p w:rsidRPr="00B52D66" w:rsidR="00B52D66" w:rsidP="00FC2172" w:rsidRDefault="00B52D66" w14:paraId="4731A2F5" w14:textId="77777777">
            <w:pPr>
              <w:spacing w:line="240" w:lineRule="auto"/>
              <w:rPr>
                <w:rFonts w:cs="Arial"/>
                <w:b/>
                <w:bCs/>
                <w:szCs w:val="18"/>
                <w:lang w:val="en-GB" w:eastAsia="en-GB"/>
              </w:rPr>
            </w:pPr>
            <w:r w:rsidRPr="00B52D66">
              <w:rPr>
                <w:rFonts w:cs="Arial"/>
                <w:b/>
                <w:bCs/>
                <w:szCs w:val="18"/>
                <w:lang w:val="en-GB" w:eastAsia="en-GB"/>
              </w:rPr>
              <w:t>2021/2022</w:t>
            </w:r>
          </w:p>
        </w:tc>
        <w:tc>
          <w:tcPr>
            <w:tcW w:w="457" w:type="pct"/>
            <w:tcBorders>
              <w:top w:val="single" w:color="auto" w:sz="4" w:space="0"/>
              <w:left w:val="nil"/>
              <w:bottom w:val="nil"/>
              <w:right w:val="nil"/>
            </w:tcBorders>
            <w:noWrap/>
            <w:vAlign w:val="bottom"/>
            <w:hideMark/>
          </w:tcPr>
          <w:p w:rsidRPr="00B52D66" w:rsidR="00B52D66" w:rsidP="00FC2172" w:rsidRDefault="00B52D66" w14:paraId="5645672C" w14:textId="77777777">
            <w:pPr>
              <w:spacing w:line="240" w:lineRule="auto"/>
              <w:rPr>
                <w:rFonts w:cs="Arial"/>
                <w:b/>
                <w:bCs/>
                <w:szCs w:val="18"/>
                <w:lang w:val="en-GB" w:eastAsia="en-GB"/>
              </w:rPr>
            </w:pPr>
            <w:r w:rsidRPr="00B52D66">
              <w:rPr>
                <w:rFonts w:cs="Arial"/>
                <w:b/>
                <w:bCs/>
                <w:szCs w:val="18"/>
                <w:lang w:val="en-GB" w:eastAsia="en-GB"/>
              </w:rPr>
              <w:t>2022/2023</w:t>
            </w:r>
          </w:p>
        </w:tc>
        <w:tc>
          <w:tcPr>
            <w:tcW w:w="457" w:type="pct"/>
            <w:tcBorders>
              <w:top w:val="single" w:color="auto" w:sz="4" w:space="0"/>
              <w:left w:val="nil"/>
              <w:bottom w:val="nil"/>
              <w:right w:val="nil"/>
            </w:tcBorders>
            <w:noWrap/>
            <w:vAlign w:val="bottom"/>
            <w:hideMark/>
          </w:tcPr>
          <w:p w:rsidRPr="00B52D66" w:rsidR="00B52D66" w:rsidP="00FC2172" w:rsidRDefault="00B52D66" w14:paraId="3F93D87A" w14:textId="77777777">
            <w:pPr>
              <w:spacing w:line="240" w:lineRule="auto"/>
              <w:rPr>
                <w:rFonts w:cs="Arial"/>
                <w:b/>
                <w:bCs/>
                <w:szCs w:val="18"/>
                <w:lang w:val="en-GB" w:eastAsia="en-GB"/>
              </w:rPr>
            </w:pPr>
            <w:r w:rsidRPr="00B52D66">
              <w:rPr>
                <w:rFonts w:cs="Arial"/>
                <w:b/>
                <w:bCs/>
                <w:szCs w:val="18"/>
                <w:lang w:val="en-GB" w:eastAsia="en-GB"/>
              </w:rPr>
              <w:t>2023/2024</w:t>
            </w:r>
          </w:p>
        </w:tc>
      </w:tr>
      <w:tr w:rsidRPr="00B52D66" w:rsidR="00B52D66" w:rsidTr="00B52D66" w14:paraId="7AF8DBDE" w14:textId="77777777">
        <w:trPr>
          <w:trHeight w:val="290"/>
        </w:trPr>
        <w:tc>
          <w:tcPr>
            <w:tcW w:w="2255" w:type="pct"/>
            <w:tcBorders>
              <w:top w:val="nil"/>
              <w:left w:val="nil"/>
              <w:bottom w:val="single" w:color="auto" w:sz="4" w:space="0"/>
              <w:right w:val="nil"/>
            </w:tcBorders>
            <w:noWrap/>
            <w:vAlign w:val="bottom"/>
            <w:hideMark/>
          </w:tcPr>
          <w:p w:rsidRPr="00B52D66" w:rsidR="00B52D66" w:rsidP="00FC2172" w:rsidRDefault="00B52D66" w14:paraId="4F6DB7E2" w14:textId="77777777">
            <w:pPr>
              <w:spacing w:line="240" w:lineRule="auto"/>
              <w:rPr>
                <w:rFonts w:cs="Arial"/>
                <w:szCs w:val="18"/>
                <w:lang w:eastAsia="en-GB"/>
              </w:rPr>
            </w:pPr>
            <w:r w:rsidRPr="00B52D66">
              <w:rPr>
                <w:rFonts w:cs="Arial"/>
                <w:szCs w:val="18"/>
                <w:lang w:eastAsia="en-GB"/>
              </w:rPr>
              <w:t>gemiddeld aandeel techniek-leerlingen in STO-regio's</w:t>
            </w:r>
          </w:p>
        </w:tc>
        <w:tc>
          <w:tcPr>
            <w:tcW w:w="457" w:type="pct"/>
            <w:tcBorders>
              <w:top w:val="nil"/>
              <w:left w:val="nil"/>
              <w:bottom w:val="single" w:color="auto" w:sz="4" w:space="0"/>
              <w:right w:val="nil"/>
            </w:tcBorders>
            <w:noWrap/>
            <w:vAlign w:val="bottom"/>
            <w:hideMark/>
          </w:tcPr>
          <w:p w:rsidRPr="00B52D66" w:rsidR="00B52D66" w:rsidP="00FC2172" w:rsidRDefault="00B52D66" w14:paraId="3F3437F6" w14:textId="77777777">
            <w:pPr>
              <w:spacing w:line="240" w:lineRule="auto"/>
              <w:jc w:val="right"/>
              <w:rPr>
                <w:rFonts w:cs="Arial"/>
                <w:szCs w:val="18"/>
                <w:lang w:val="en-GB" w:eastAsia="en-GB"/>
              </w:rPr>
            </w:pPr>
            <w:r w:rsidRPr="00B52D66">
              <w:rPr>
                <w:rFonts w:cs="Arial"/>
                <w:szCs w:val="18"/>
                <w:lang w:val="en-GB" w:eastAsia="en-GB"/>
              </w:rPr>
              <w:t>24</w:t>
            </w:r>
          </w:p>
        </w:tc>
        <w:tc>
          <w:tcPr>
            <w:tcW w:w="457" w:type="pct"/>
            <w:tcBorders>
              <w:top w:val="nil"/>
              <w:left w:val="nil"/>
              <w:bottom w:val="single" w:color="auto" w:sz="4" w:space="0"/>
              <w:right w:val="nil"/>
            </w:tcBorders>
            <w:noWrap/>
            <w:vAlign w:val="bottom"/>
            <w:hideMark/>
          </w:tcPr>
          <w:p w:rsidRPr="00B52D66" w:rsidR="00B52D66" w:rsidP="00FC2172" w:rsidRDefault="00B52D66" w14:paraId="5153B08F" w14:textId="77777777">
            <w:pPr>
              <w:spacing w:line="240" w:lineRule="auto"/>
              <w:jc w:val="right"/>
              <w:rPr>
                <w:rFonts w:cs="Arial"/>
                <w:szCs w:val="18"/>
                <w:lang w:val="en-GB" w:eastAsia="en-GB"/>
              </w:rPr>
            </w:pPr>
            <w:r w:rsidRPr="00B52D66">
              <w:rPr>
                <w:rFonts w:cs="Arial"/>
                <w:szCs w:val="18"/>
                <w:lang w:val="en-GB" w:eastAsia="en-GB"/>
              </w:rPr>
              <w:t>23</w:t>
            </w:r>
          </w:p>
        </w:tc>
        <w:tc>
          <w:tcPr>
            <w:tcW w:w="457" w:type="pct"/>
            <w:tcBorders>
              <w:top w:val="nil"/>
              <w:left w:val="nil"/>
              <w:bottom w:val="single" w:color="auto" w:sz="4" w:space="0"/>
              <w:right w:val="nil"/>
            </w:tcBorders>
            <w:noWrap/>
            <w:vAlign w:val="bottom"/>
            <w:hideMark/>
          </w:tcPr>
          <w:p w:rsidRPr="00B52D66" w:rsidR="00B52D66" w:rsidP="00FC2172" w:rsidRDefault="00B52D66" w14:paraId="12A92FC6" w14:textId="77777777">
            <w:pPr>
              <w:spacing w:line="240" w:lineRule="auto"/>
              <w:jc w:val="right"/>
              <w:rPr>
                <w:rFonts w:cs="Arial"/>
                <w:szCs w:val="18"/>
                <w:lang w:val="en-GB" w:eastAsia="en-GB"/>
              </w:rPr>
            </w:pPr>
            <w:r w:rsidRPr="00B52D66">
              <w:rPr>
                <w:rFonts w:cs="Arial"/>
                <w:szCs w:val="18"/>
                <w:lang w:val="en-GB" w:eastAsia="en-GB"/>
              </w:rPr>
              <w:t>23</w:t>
            </w:r>
          </w:p>
        </w:tc>
        <w:tc>
          <w:tcPr>
            <w:tcW w:w="457" w:type="pct"/>
            <w:tcBorders>
              <w:top w:val="nil"/>
              <w:left w:val="nil"/>
              <w:bottom w:val="single" w:color="auto" w:sz="4" w:space="0"/>
              <w:right w:val="nil"/>
            </w:tcBorders>
            <w:noWrap/>
            <w:vAlign w:val="bottom"/>
            <w:hideMark/>
          </w:tcPr>
          <w:p w:rsidRPr="00B52D66" w:rsidR="00B52D66" w:rsidP="00FC2172" w:rsidRDefault="00B52D66" w14:paraId="7F9A7FE4" w14:textId="77777777">
            <w:pPr>
              <w:spacing w:line="240" w:lineRule="auto"/>
              <w:jc w:val="right"/>
              <w:rPr>
                <w:rFonts w:cs="Arial"/>
                <w:szCs w:val="18"/>
                <w:lang w:val="en-GB" w:eastAsia="en-GB"/>
              </w:rPr>
            </w:pPr>
            <w:r w:rsidRPr="00B52D66">
              <w:rPr>
                <w:rFonts w:cs="Arial"/>
                <w:szCs w:val="18"/>
                <w:lang w:val="en-GB" w:eastAsia="en-GB"/>
              </w:rPr>
              <w:t>24</w:t>
            </w:r>
          </w:p>
        </w:tc>
        <w:tc>
          <w:tcPr>
            <w:tcW w:w="457" w:type="pct"/>
            <w:tcBorders>
              <w:top w:val="nil"/>
              <w:left w:val="nil"/>
              <w:bottom w:val="single" w:color="auto" w:sz="4" w:space="0"/>
              <w:right w:val="nil"/>
            </w:tcBorders>
            <w:noWrap/>
            <w:vAlign w:val="bottom"/>
            <w:hideMark/>
          </w:tcPr>
          <w:p w:rsidRPr="00B52D66" w:rsidR="00B52D66" w:rsidP="00FC2172" w:rsidRDefault="00B52D66" w14:paraId="65293A2C" w14:textId="77777777">
            <w:pPr>
              <w:spacing w:line="240" w:lineRule="auto"/>
              <w:jc w:val="right"/>
              <w:rPr>
                <w:rFonts w:cs="Arial"/>
                <w:szCs w:val="18"/>
                <w:lang w:val="en-GB" w:eastAsia="en-GB"/>
              </w:rPr>
            </w:pPr>
            <w:r w:rsidRPr="00B52D66">
              <w:rPr>
                <w:rFonts w:cs="Arial"/>
                <w:szCs w:val="18"/>
                <w:lang w:val="en-GB" w:eastAsia="en-GB"/>
              </w:rPr>
              <w:t>25</w:t>
            </w:r>
          </w:p>
        </w:tc>
        <w:tc>
          <w:tcPr>
            <w:tcW w:w="457" w:type="pct"/>
            <w:tcBorders>
              <w:top w:val="nil"/>
              <w:left w:val="nil"/>
              <w:bottom w:val="single" w:color="auto" w:sz="4" w:space="0"/>
              <w:right w:val="nil"/>
            </w:tcBorders>
            <w:noWrap/>
            <w:vAlign w:val="bottom"/>
            <w:hideMark/>
          </w:tcPr>
          <w:p w:rsidRPr="00B52D66" w:rsidR="00B52D66" w:rsidP="00FC2172" w:rsidRDefault="00B52D66" w14:paraId="79A99CFF" w14:textId="77777777">
            <w:pPr>
              <w:spacing w:line="240" w:lineRule="auto"/>
              <w:jc w:val="right"/>
              <w:rPr>
                <w:rFonts w:cs="Arial"/>
                <w:szCs w:val="18"/>
                <w:lang w:val="en-GB" w:eastAsia="en-GB"/>
              </w:rPr>
            </w:pPr>
            <w:r w:rsidRPr="00B52D66">
              <w:rPr>
                <w:rFonts w:cs="Arial"/>
                <w:szCs w:val="18"/>
                <w:lang w:val="en-GB" w:eastAsia="en-GB"/>
              </w:rPr>
              <w:t>25</w:t>
            </w:r>
          </w:p>
        </w:tc>
      </w:tr>
    </w:tbl>
    <w:p w:rsidRPr="00B52D66" w:rsidR="00B52D66" w:rsidP="00B52D66" w:rsidRDefault="00B52D66" w14:paraId="3817CFF5" w14:textId="77777777">
      <w:pPr>
        <w:rPr>
          <w:szCs w:val="18"/>
        </w:rPr>
      </w:pPr>
      <w:r w:rsidRPr="00B52D66">
        <w:rPr>
          <w:i/>
          <w:szCs w:val="18"/>
        </w:rPr>
        <w:t>Bron: DUO (eigen bewerking ROA).</w:t>
      </w:r>
    </w:p>
    <w:p w:rsidRPr="00B52D66" w:rsidR="00B52D66" w:rsidP="00B52D66" w:rsidRDefault="00B52D66" w14:paraId="0491AAAC" w14:textId="77777777">
      <w:pPr>
        <w:spacing w:after="160" w:line="259" w:lineRule="auto"/>
        <w:rPr>
          <w:rFonts w:eastAsiaTheme="minorHAnsi" w:cstheme="minorBidi"/>
          <w:szCs w:val="18"/>
          <w:lang w:eastAsia="en-US"/>
        </w:rPr>
      </w:pPr>
    </w:p>
    <w:p w:rsidRPr="00B52D66" w:rsidR="00B52D66" w:rsidP="00C43FA5" w:rsidRDefault="00B52D66" w14:paraId="634D3298" w14:textId="77777777">
      <w:pPr>
        <w:rPr>
          <w:rFonts w:eastAsiaTheme="minorHAnsi"/>
          <w:lang w:eastAsia="en-US"/>
        </w:rPr>
      </w:pPr>
    </w:p>
    <w:p w:rsidRPr="00B52D66" w:rsidR="00B52D66" w:rsidP="00C43FA5" w:rsidRDefault="006C62B6" w14:paraId="239ACE35" w14:textId="75B9932F">
      <w:pPr>
        <w:rPr>
          <w:rFonts w:eastAsiaTheme="minorHAnsi"/>
        </w:rPr>
      </w:pPr>
      <w:r>
        <w:rPr>
          <w:rFonts w:eastAsiaTheme="minorHAnsi"/>
        </w:rPr>
        <w:t>Figuur</w:t>
      </w:r>
      <w:r w:rsidRPr="00B52D66">
        <w:rPr>
          <w:rFonts w:eastAsiaTheme="minorHAnsi"/>
        </w:rPr>
        <w:t xml:space="preserve"> </w:t>
      </w:r>
      <w:r w:rsidR="00322D6C">
        <w:rPr>
          <w:rFonts w:eastAsiaTheme="minorHAnsi"/>
        </w:rPr>
        <w:t>B</w:t>
      </w:r>
      <w:r w:rsidR="00277065">
        <w:rPr>
          <w:rFonts w:eastAsiaTheme="minorHAnsi"/>
        </w:rPr>
        <w:t>3</w:t>
      </w:r>
      <w:r w:rsidRPr="00B52D66" w:rsidR="00B52D66">
        <w:rPr>
          <w:rFonts w:eastAsiaTheme="minorHAnsi"/>
        </w:rPr>
        <w:t>.</w:t>
      </w:r>
      <w:r>
        <w:rPr>
          <w:rFonts w:eastAsiaTheme="minorHAnsi"/>
        </w:rPr>
        <w:t>11</w:t>
      </w:r>
      <w:r w:rsidRPr="00B52D66" w:rsidR="00B52D66">
        <w:rPr>
          <w:rFonts w:eastAsiaTheme="minorHAnsi"/>
        </w:rPr>
        <w:t xml:space="preserve">. Procentuele verandering in aantal leerlingen in de bl en kl in technische versus niet-technische profielen per STO-regio: </w:t>
      </w:r>
      <w:r w:rsidRPr="00B52D66" w:rsidR="00B52D66">
        <w:t>schooljaar 2023/2024 t.o.v. 2018/2019</w:t>
      </w:r>
    </w:p>
    <w:p w:rsidRPr="00B52D66" w:rsidR="00B52D66" w:rsidP="00B52D66" w:rsidRDefault="00B52D66" w14:paraId="04E58AB1" w14:textId="77777777">
      <w:pPr>
        <w:pStyle w:val="Plattetekst"/>
        <w:rPr>
          <w:szCs w:val="18"/>
        </w:rPr>
      </w:pPr>
      <w:r w:rsidRPr="00B52D66">
        <w:rPr>
          <w:noProof/>
          <w:szCs w:val="18"/>
        </w:rPr>
        <w:drawing>
          <wp:inline distT="0" distB="0" distL="0" distR="0" wp14:anchorId="3C7A9952" wp14:editId="4658C597">
            <wp:extent cx="5456555" cy="40112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56555" cy="4011295"/>
                    </a:xfrm>
                    <a:prstGeom prst="rect">
                      <a:avLst/>
                    </a:prstGeom>
                    <a:noFill/>
                  </pic:spPr>
                </pic:pic>
              </a:graphicData>
            </a:graphic>
          </wp:inline>
        </w:drawing>
      </w:r>
    </w:p>
    <w:p w:rsidRPr="00B52D66" w:rsidR="00B52D66" w:rsidP="00B52D66" w:rsidRDefault="00B52D66" w14:paraId="75066E0E" w14:textId="77777777">
      <w:pPr>
        <w:rPr>
          <w:szCs w:val="18"/>
        </w:rPr>
      </w:pPr>
      <w:r w:rsidRPr="00B52D66">
        <w:rPr>
          <w:i/>
          <w:szCs w:val="18"/>
        </w:rPr>
        <w:t>Bron: DUO (eigen bewerking ROA).</w:t>
      </w:r>
    </w:p>
    <w:p w:rsidRPr="00B52D66" w:rsidR="00B52D66" w:rsidP="00B52D66" w:rsidRDefault="00B52D66" w14:paraId="12B9136A" w14:textId="77777777">
      <w:pPr>
        <w:spacing w:after="160" w:line="259" w:lineRule="auto"/>
        <w:rPr>
          <w:szCs w:val="18"/>
        </w:rPr>
      </w:pPr>
      <w:r w:rsidRPr="00B52D66">
        <w:rPr>
          <w:szCs w:val="18"/>
        </w:rPr>
        <w:br w:type="page"/>
      </w:r>
    </w:p>
    <w:p w:rsidRPr="00B52D66" w:rsidR="00B52D66" w:rsidP="00C43FA5" w:rsidRDefault="00B52D66" w14:paraId="612A7497" w14:textId="77777777"/>
    <w:p w:rsidRPr="00B52D66" w:rsidR="00B52D66" w:rsidP="00C43FA5" w:rsidRDefault="00322D6C" w14:paraId="34C7AFB4" w14:textId="56180463">
      <w:r>
        <w:t>Tabel B</w:t>
      </w:r>
      <w:r w:rsidR="00277065">
        <w:t>3</w:t>
      </w:r>
      <w:r w:rsidRPr="00B52D66" w:rsidR="00B52D66">
        <w:t>.</w:t>
      </w:r>
      <w:r>
        <w:t>16</w:t>
      </w:r>
      <w:r w:rsidRPr="00B52D66" w:rsidR="00B52D66">
        <w:t>. Aandeel STO-regio’s met meer dan 1 vestiging, naar leerweg en profiel: schooljaar 2018/2019 tot 2023/2024</w:t>
      </w:r>
    </w:p>
    <w:tbl>
      <w:tblPr>
        <w:tblW w:w="5000" w:type="pct"/>
        <w:tblLook w:val="04A0" w:firstRow="1" w:lastRow="0" w:firstColumn="1" w:lastColumn="0" w:noHBand="0" w:noVBand="1"/>
      </w:tblPr>
      <w:tblGrid>
        <w:gridCol w:w="1173"/>
        <w:gridCol w:w="832"/>
        <w:gridCol w:w="510"/>
        <w:gridCol w:w="832"/>
        <w:gridCol w:w="568"/>
        <w:gridCol w:w="832"/>
        <w:gridCol w:w="568"/>
        <w:gridCol w:w="773"/>
        <w:gridCol w:w="568"/>
        <w:gridCol w:w="784"/>
        <w:gridCol w:w="568"/>
        <w:gridCol w:w="784"/>
        <w:gridCol w:w="568"/>
      </w:tblGrid>
      <w:tr w:rsidRPr="00B52D66" w:rsidR="00B52D66" w:rsidTr="00B52D66" w14:paraId="61BD868D" w14:textId="77777777">
        <w:trPr>
          <w:trHeight w:val="230"/>
        </w:trPr>
        <w:tc>
          <w:tcPr>
            <w:tcW w:w="371" w:type="pct"/>
            <w:tcBorders>
              <w:top w:val="single" w:color="auto" w:sz="4" w:space="0"/>
              <w:left w:val="nil"/>
              <w:bottom w:val="nil"/>
              <w:right w:val="nil"/>
            </w:tcBorders>
            <w:noWrap/>
            <w:vAlign w:val="bottom"/>
            <w:hideMark/>
          </w:tcPr>
          <w:p w:rsidRPr="00B52D66" w:rsidR="00B52D66" w:rsidP="00FC2172" w:rsidRDefault="00B52D66" w14:paraId="6BAC66FA" w14:textId="77777777">
            <w:pPr>
              <w:spacing w:line="240" w:lineRule="auto"/>
              <w:rPr>
                <w:rFonts w:cs="Arial"/>
                <w:b/>
                <w:bCs/>
                <w:szCs w:val="18"/>
                <w:lang w:eastAsia="en-GB"/>
              </w:rPr>
            </w:pPr>
            <w:r w:rsidRPr="00B52D66">
              <w:rPr>
                <w:rFonts w:cs="Arial"/>
                <w:b/>
                <w:bCs/>
                <w:szCs w:val="18"/>
                <w:lang w:eastAsia="en-GB"/>
              </w:rPr>
              <w:t> </w:t>
            </w:r>
          </w:p>
        </w:tc>
        <w:tc>
          <w:tcPr>
            <w:tcW w:w="750" w:type="pct"/>
            <w:gridSpan w:val="2"/>
            <w:tcBorders>
              <w:top w:val="single" w:color="auto" w:sz="4" w:space="0"/>
              <w:left w:val="nil"/>
              <w:bottom w:val="nil"/>
              <w:right w:val="nil"/>
            </w:tcBorders>
            <w:noWrap/>
            <w:vAlign w:val="bottom"/>
            <w:hideMark/>
          </w:tcPr>
          <w:p w:rsidRPr="00B52D66" w:rsidR="00B52D66" w:rsidP="00FC2172" w:rsidRDefault="00B52D66" w14:paraId="4FF775D0" w14:textId="77777777">
            <w:pPr>
              <w:spacing w:line="240" w:lineRule="auto"/>
              <w:jc w:val="center"/>
              <w:rPr>
                <w:rFonts w:cs="Arial"/>
                <w:b/>
                <w:bCs/>
                <w:szCs w:val="18"/>
                <w:lang w:val="en-GB" w:eastAsia="en-GB"/>
              </w:rPr>
            </w:pPr>
            <w:r w:rsidRPr="00B52D66">
              <w:rPr>
                <w:rFonts w:cs="Arial"/>
                <w:b/>
                <w:bCs/>
                <w:szCs w:val="18"/>
                <w:lang w:val="en-GB" w:eastAsia="en-GB"/>
              </w:rPr>
              <w:t>2018/2019</w:t>
            </w:r>
          </w:p>
        </w:tc>
        <w:tc>
          <w:tcPr>
            <w:tcW w:w="776" w:type="pct"/>
            <w:gridSpan w:val="2"/>
            <w:tcBorders>
              <w:top w:val="single" w:color="auto" w:sz="4" w:space="0"/>
              <w:left w:val="nil"/>
              <w:bottom w:val="nil"/>
              <w:right w:val="nil"/>
            </w:tcBorders>
            <w:noWrap/>
            <w:vAlign w:val="bottom"/>
            <w:hideMark/>
          </w:tcPr>
          <w:p w:rsidRPr="00B52D66" w:rsidR="00B52D66" w:rsidP="00FC2172" w:rsidRDefault="00B52D66" w14:paraId="636F831A" w14:textId="77777777">
            <w:pPr>
              <w:spacing w:line="240" w:lineRule="auto"/>
              <w:jc w:val="center"/>
              <w:rPr>
                <w:rFonts w:cs="Arial"/>
                <w:b/>
                <w:bCs/>
                <w:szCs w:val="18"/>
                <w:lang w:val="en-GB" w:eastAsia="en-GB"/>
              </w:rPr>
            </w:pPr>
            <w:r w:rsidRPr="00B52D66">
              <w:rPr>
                <w:rFonts w:cs="Arial"/>
                <w:b/>
                <w:bCs/>
                <w:szCs w:val="18"/>
                <w:lang w:val="en-GB" w:eastAsia="en-GB"/>
              </w:rPr>
              <w:t>2019/2020</w:t>
            </w:r>
          </w:p>
        </w:tc>
        <w:tc>
          <w:tcPr>
            <w:tcW w:w="776" w:type="pct"/>
            <w:gridSpan w:val="2"/>
            <w:tcBorders>
              <w:top w:val="single" w:color="auto" w:sz="4" w:space="0"/>
              <w:left w:val="nil"/>
              <w:bottom w:val="nil"/>
              <w:right w:val="nil"/>
            </w:tcBorders>
            <w:noWrap/>
            <w:vAlign w:val="bottom"/>
            <w:hideMark/>
          </w:tcPr>
          <w:p w:rsidRPr="00B52D66" w:rsidR="00B52D66" w:rsidP="00FC2172" w:rsidRDefault="00B52D66" w14:paraId="480574C8" w14:textId="77777777">
            <w:pPr>
              <w:spacing w:line="240" w:lineRule="auto"/>
              <w:jc w:val="center"/>
              <w:rPr>
                <w:rFonts w:cs="Arial"/>
                <w:b/>
                <w:bCs/>
                <w:szCs w:val="18"/>
                <w:lang w:val="en-GB" w:eastAsia="en-GB"/>
              </w:rPr>
            </w:pPr>
            <w:r w:rsidRPr="00B52D66">
              <w:rPr>
                <w:rFonts w:cs="Arial"/>
                <w:b/>
                <w:bCs/>
                <w:szCs w:val="18"/>
                <w:lang w:val="en-GB" w:eastAsia="en-GB"/>
              </w:rPr>
              <w:t>2020/2021</w:t>
            </w:r>
          </w:p>
        </w:tc>
        <w:tc>
          <w:tcPr>
            <w:tcW w:w="776" w:type="pct"/>
            <w:gridSpan w:val="2"/>
            <w:tcBorders>
              <w:top w:val="single" w:color="auto" w:sz="4" w:space="0"/>
              <w:left w:val="nil"/>
              <w:bottom w:val="nil"/>
              <w:right w:val="nil"/>
            </w:tcBorders>
            <w:noWrap/>
            <w:vAlign w:val="bottom"/>
            <w:hideMark/>
          </w:tcPr>
          <w:p w:rsidRPr="00B52D66" w:rsidR="00B52D66" w:rsidP="00FC2172" w:rsidRDefault="00B52D66" w14:paraId="145DEB8F" w14:textId="77777777">
            <w:pPr>
              <w:spacing w:line="240" w:lineRule="auto"/>
              <w:jc w:val="center"/>
              <w:rPr>
                <w:rFonts w:cs="Arial"/>
                <w:b/>
                <w:bCs/>
                <w:szCs w:val="18"/>
                <w:lang w:val="en-GB" w:eastAsia="en-GB"/>
              </w:rPr>
            </w:pPr>
            <w:r w:rsidRPr="00B52D66">
              <w:rPr>
                <w:rFonts w:cs="Arial"/>
                <w:b/>
                <w:bCs/>
                <w:szCs w:val="18"/>
                <w:lang w:val="en-GB" w:eastAsia="en-GB"/>
              </w:rPr>
              <w:t>2021/2022</w:t>
            </w:r>
          </w:p>
        </w:tc>
        <w:tc>
          <w:tcPr>
            <w:tcW w:w="776" w:type="pct"/>
            <w:gridSpan w:val="2"/>
            <w:tcBorders>
              <w:top w:val="single" w:color="auto" w:sz="4" w:space="0"/>
              <w:left w:val="nil"/>
              <w:bottom w:val="nil"/>
              <w:right w:val="nil"/>
            </w:tcBorders>
            <w:noWrap/>
            <w:vAlign w:val="bottom"/>
            <w:hideMark/>
          </w:tcPr>
          <w:p w:rsidRPr="00B52D66" w:rsidR="00B52D66" w:rsidP="00FC2172" w:rsidRDefault="00B52D66" w14:paraId="72228AB0" w14:textId="77777777">
            <w:pPr>
              <w:spacing w:line="240" w:lineRule="auto"/>
              <w:jc w:val="center"/>
              <w:rPr>
                <w:rFonts w:cs="Arial"/>
                <w:b/>
                <w:bCs/>
                <w:szCs w:val="18"/>
                <w:lang w:val="en-GB" w:eastAsia="en-GB"/>
              </w:rPr>
            </w:pPr>
            <w:r w:rsidRPr="00B52D66">
              <w:rPr>
                <w:rFonts w:cs="Arial"/>
                <w:b/>
                <w:bCs/>
                <w:szCs w:val="18"/>
                <w:lang w:val="en-GB" w:eastAsia="en-GB"/>
              </w:rPr>
              <w:t>2022/2023</w:t>
            </w:r>
          </w:p>
        </w:tc>
        <w:tc>
          <w:tcPr>
            <w:tcW w:w="776" w:type="pct"/>
            <w:gridSpan w:val="2"/>
            <w:tcBorders>
              <w:top w:val="single" w:color="auto" w:sz="4" w:space="0"/>
              <w:left w:val="nil"/>
              <w:bottom w:val="nil"/>
              <w:right w:val="nil"/>
            </w:tcBorders>
            <w:noWrap/>
            <w:vAlign w:val="bottom"/>
            <w:hideMark/>
          </w:tcPr>
          <w:p w:rsidRPr="00B52D66" w:rsidR="00B52D66" w:rsidP="00FC2172" w:rsidRDefault="00B52D66" w14:paraId="322F758E" w14:textId="77777777">
            <w:pPr>
              <w:spacing w:line="240" w:lineRule="auto"/>
              <w:jc w:val="center"/>
              <w:rPr>
                <w:rFonts w:cs="Arial"/>
                <w:b/>
                <w:bCs/>
                <w:szCs w:val="18"/>
                <w:lang w:val="en-GB" w:eastAsia="en-GB"/>
              </w:rPr>
            </w:pPr>
            <w:r w:rsidRPr="00B52D66">
              <w:rPr>
                <w:rFonts w:cs="Arial"/>
                <w:b/>
                <w:bCs/>
                <w:szCs w:val="18"/>
                <w:lang w:val="en-GB" w:eastAsia="en-GB"/>
              </w:rPr>
              <w:t>2023/2024</w:t>
            </w:r>
          </w:p>
        </w:tc>
      </w:tr>
      <w:tr w:rsidRPr="00B52D66" w:rsidR="00B52D66" w:rsidTr="00B52D66" w14:paraId="7444FB62" w14:textId="77777777">
        <w:trPr>
          <w:trHeight w:val="460"/>
        </w:trPr>
        <w:tc>
          <w:tcPr>
            <w:tcW w:w="371" w:type="pct"/>
            <w:tcBorders>
              <w:top w:val="nil"/>
              <w:left w:val="nil"/>
              <w:bottom w:val="single" w:color="auto" w:sz="4" w:space="0"/>
              <w:right w:val="nil"/>
            </w:tcBorders>
            <w:noWrap/>
            <w:vAlign w:val="bottom"/>
            <w:hideMark/>
          </w:tcPr>
          <w:p w:rsidRPr="00B52D66" w:rsidR="00B52D66" w:rsidP="00FC2172" w:rsidRDefault="00B52D66" w14:paraId="3EDFB161" w14:textId="77777777">
            <w:pPr>
              <w:spacing w:line="240" w:lineRule="auto"/>
              <w:rPr>
                <w:rFonts w:cs="Arial"/>
                <w:szCs w:val="18"/>
                <w:lang w:val="en-GB" w:eastAsia="en-GB"/>
              </w:rPr>
            </w:pPr>
            <w:r w:rsidRPr="00B52D66">
              <w:rPr>
                <w:rFonts w:cs="Arial"/>
                <w:szCs w:val="18"/>
                <w:lang w:val="en-GB" w:eastAsia="en-GB"/>
              </w:rPr>
              <w:t> In procenten</w:t>
            </w:r>
          </w:p>
        </w:tc>
        <w:tc>
          <w:tcPr>
            <w:tcW w:w="347" w:type="pct"/>
            <w:tcBorders>
              <w:top w:val="nil"/>
              <w:left w:val="nil"/>
              <w:bottom w:val="single" w:color="auto" w:sz="4" w:space="0"/>
              <w:right w:val="nil"/>
            </w:tcBorders>
            <w:noWrap/>
            <w:vAlign w:val="bottom"/>
            <w:hideMark/>
          </w:tcPr>
          <w:p w:rsidRPr="00B52D66" w:rsidR="00B52D66" w:rsidP="00FC2172" w:rsidRDefault="00B52D66" w14:paraId="26A4AE22" w14:textId="77777777">
            <w:pPr>
              <w:spacing w:line="240" w:lineRule="auto"/>
              <w:rPr>
                <w:rFonts w:cs="Arial"/>
                <w:szCs w:val="18"/>
                <w:lang w:val="en-GB" w:eastAsia="en-GB"/>
              </w:rPr>
            </w:pPr>
            <w:r w:rsidRPr="00B52D66">
              <w:rPr>
                <w:rFonts w:cs="Arial"/>
                <w:szCs w:val="18"/>
                <w:lang w:val="en-GB" w:eastAsia="en-GB"/>
              </w:rPr>
              <w:t xml:space="preserve"> &gt;1 vest*</w:t>
            </w:r>
          </w:p>
        </w:tc>
        <w:tc>
          <w:tcPr>
            <w:tcW w:w="404" w:type="pct"/>
            <w:tcBorders>
              <w:top w:val="nil"/>
              <w:left w:val="nil"/>
              <w:bottom w:val="single" w:color="auto" w:sz="4" w:space="0"/>
              <w:right w:val="nil"/>
            </w:tcBorders>
            <w:vAlign w:val="bottom"/>
            <w:hideMark/>
          </w:tcPr>
          <w:p w:rsidRPr="00B52D66" w:rsidR="00B52D66" w:rsidP="00FC2172" w:rsidRDefault="00B52D66" w14:paraId="16B9044E" w14:textId="77777777">
            <w:pPr>
              <w:spacing w:line="240" w:lineRule="auto"/>
              <w:rPr>
                <w:rFonts w:cs="Arial"/>
                <w:szCs w:val="18"/>
                <w:lang w:val="en-GB" w:eastAsia="en-GB"/>
              </w:rPr>
            </w:pPr>
            <w:r w:rsidRPr="00B52D66">
              <w:rPr>
                <w:rFonts w:cs="Arial"/>
                <w:szCs w:val="18"/>
                <w:lang w:val="en-GB" w:eastAsia="en-GB"/>
              </w:rPr>
              <w:t>&gt;1 vest en &lt;11 lln*</w:t>
            </w:r>
          </w:p>
        </w:tc>
        <w:tc>
          <w:tcPr>
            <w:tcW w:w="347" w:type="pct"/>
            <w:tcBorders>
              <w:top w:val="nil"/>
              <w:left w:val="nil"/>
              <w:bottom w:val="single" w:color="auto" w:sz="4" w:space="0"/>
              <w:right w:val="nil"/>
            </w:tcBorders>
            <w:noWrap/>
            <w:vAlign w:val="bottom"/>
            <w:hideMark/>
          </w:tcPr>
          <w:p w:rsidRPr="00B52D66" w:rsidR="00B52D66" w:rsidP="00FC2172" w:rsidRDefault="00B52D66" w14:paraId="52E6CF6B" w14:textId="77777777">
            <w:pPr>
              <w:spacing w:line="240" w:lineRule="auto"/>
              <w:rPr>
                <w:rFonts w:cs="Arial"/>
                <w:szCs w:val="18"/>
                <w:lang w:val="en-GB" w:eastAsia="en-GB"/>
              </w:rPr>
            </w:pPr>
            <w:r w:rsidRPr="00B52D66">
              <w:rPr>
                <w:rFonts w:cs="Arial"/>
                <w:szCs w:val="18"/>
                <w:lang w:val="en-GB" w:eastAsia="en-GB"/>
              </w:rPr>
              <w:t xml:space="preserve"> &gt;1 vest*</w:t>
            </w:r>
          </w:p>
        </w:tc>
        <w:tc>
          <w:tcPr>
            <w:tcW w:w="429" w:type="pct"/>
            <w:tcBorders>
              <w:top w:val="nil"/>
              <w:left w:val="nil"/>
              <w:bottom w:val="single" w:color="auto" w:sz="4" w:space="0"/>
              <w:right w:val="nil"/>
            </w:tcBorders>
            <w:vAlign w:val="bottom"/>
            <w:hideMark/>
          </w:tcPr>
          <w:p w:rsidRPr="00B52D66" w:rsidR="00B52D66" w:rsidP="00FC2172" w:rsidRDefault="00B52D66" w14:paraId="7BB026B7" w14:textId="77777777">
            <w:pPr>
              <w:spacing w:line="240" w:lineRule="auto"/>
              <w:rPr>
                <w:rFonts w:cs="Arial"/>
                <w:szCs w:val="18"/>
                <w:lang w:val="en-GB" w:eastAsia="en-GB"/>
              </w:rPr>
            </w:pPr>
            <w:r w:rsidRPr="00B52D66">
              <w:rPr>
                <w:rFonts w:cs="Arial"/>
                <w:szCs w:val="18"/>
                <w:lang w:val="en-GB" w:eastAsia="en-GB"/>
              </w:rPr>
              <w:t>&gt;1 vest* en &lt;11 lln*</w:t>
            </w:r>
          </w:p>
        </w:tc>
        <w:tc>
          <w:tcPr>
            <w:tcW w:w="347" w:type="pct"/>
            <w:tcBorders>
              <w:top w:val="nil"/>
              <w:left w:val="nil"/>
              <w:bottom w:val="single" w:color="auto" w:sz="4" w:space="0"/>
              <w:right w:val="nil"/>
            </w:tcBorders>
            <w:noWrap/>
            <w:vAlign w:val="bottom"/>
            <w:hideMark/>
          </w:tcPr>
          <w:p w:rsidRPr="00B52D66" w:rsidR="00B52D66" w:rsidP="00FC2172" w:rsidRDefault="00B52D66" w14:paraId="2FCA3B6F" w14:textId="77777777">
            <w:pPr>
              <w:spacing w:line="240" w:lineRule="auto"/>
              <w:rPr>
                <w:rFonts w:cs="Arial"/>
                <w:szCs w:val="18"/>
                <w:lang w:val="en-GB" w:eastAsia="en-GB"/>
              </w:rPr>
            </w:pPr>
            <w:r w:rsidRPr="00B52D66">
              <w:rPr>
                <w:rFonts w:cs="Arial"/>
                <w:szCs w:val="18"/>
                <w:lang w:val="en-GB" w:eastAsia="en-GB"/>
              </w:rPr>
              <w:t xml:space="preserve"> &gt;1 vest*</w:t>
            </w:r>
          </w:p>
        </w:tc>
        <w:tc>
          <w:tcPr>
            <w:tcW w:w="429" w:type="pct"/>
            <w:tcBorders>
              <w:top w:val="nil"/>
              <w:left w:val="nil"/>
              <w:bottom w:val="single" w:color="auto" w:sz="4" w:space="0"/>
              <w:right w:val="nil"/>
            </w:tcBorders>
            <w:vAlign w:val="bottom"/>
            <w:hideMark/>
          </w:tcPr>
          <w:p w:rsidRPr="00B52D66" w:rsidR="00B52D66" w:rsidP="00FC2172" w:rsidRDefault="00B52D66" w14:paraId="7C56DC06" w14:textId="77777777">
            <w:pPr>
              <w:spacing w:line="240" w:lineRule="auto"/>
              <w:rPr>
                <w:rFonts w:cs="Arial"/>
                <w:szCs w:val="18"/>
                <w:lang w:val="en-GB" w:eastAsia="en-GB"/>
              </w:rPr>
            </w:pPr>
            <w:r w:rsidRPr="00B52D66">
              <w:rPr>
                <w:rFonts w:cs="Arial"/>
                <w:szCs w:val="18"/>
                <w:lang w:val="en-GB" w:eastAsia="en-GB"/>
              </w:rPr>
              <w:t>&gt;1 vest* en &lt;11 lln*</w:t>
            </w:r>
          </w:p>
        </w:tc>
        <w:tc>
          <w:tcPr>
            <w:tcW w:w="347" w:type="pct"/>
            <w:tcBorders>
              <w:top w:val="nil"/>
              <w:left w:val="nil"/>
              <w:bottom w:val="single" w:color="auto" w:sz="4" w:space="0"/>
              <w:right w:val="nil"/>
            </w:tcBorders>
            <w:noWrap/>
            <w:vAlign w:val="bottom"/>
            <w:hideMark/>
          </w:tcPr>
          <w:p w:rsidRPr="00B52D66" w:rsidR="00B52D66" w:rsidP="00FC2172" w:rsidRDefault="00B52D66" w14:paraId="2B43D60E" w14:textId="77777777">
            <w:pPr>
              <w:spacing w:line="240" w:lineRule="auto"/>
              <w:rPr>
                <w:rFonts w:cs="Arial"/>
                <w:szCs w:val="18"/>
                <w:lang w:val="en-GB" w:eastAsia="en-GB"/>
              </w:rPr>
            </w:pPr>
            <w:r w:rsidRPr="00B52D66">
              <w:rPr>
                <w:rFonts w:cs="Arial"/>
                <w:szCs w:val="18"/>
                <w:lang w:val="en-GB" w:eastAsia="en-GB"/>
              </w:rPr>
              <w:t xml:space="preserve"> &gt;1 vest</w:t>
            </w:r>
          </w:p>
        </w:tc>
        <w:tc>
          <w:tcPr>
            <w:tcW w:w="429" w:type="pct"/>
            <w:tcBorders>
              <w:top w:val="nil"/>
              <w:left w:val="nil"/>
              <w:bottom w:val="single" w:color="auto" w:sz="4" w:space="0"/>
              <w:right w:val="nil"/>
            </w:tcBorders>
            <w:vAlign w:val="bottom"/>
            <w:hideMark/>
          </w:tcPr>
          <w:p w:rsidRPr="00B52D66" w:rsidR="00B52D66" w:rsidP="00FC2172" w:rsidRDefault="00B52D66" w14:paraId="6477A4EF" w14:textId="77777777">
            <w:pPr>
              <w:spacing w:line="240" w:lineRule="auto"/>
              <w:rPr>
                <w:rFonts w:cs="Arial"/>
                <w:szCs w:val="18"/>
                <w:lang w:val="en-GB" w:eastAsia="en-GB"/>
              </w:rPr>
            </w:pPr>
            <w:r w:rsidRPr="00B52D66">
              <w:rPr>
                <w:rFonts w:cs="Arial"/>
                <w:szCs w:val="18"/>
                <w:lang w:val="en-GB" w:eastAsia="en-GB"/>
              </w:rPr>
              <w:t>&gt;1 vest* en &lt;11 lln*</w:t>
            </w:r>
          </w:p>
        </w:tc>
        <w:tc>
          <w:tcPr>
            <w:tcW w:w="347" w:type="pct"/>
            <w:tcBorders>
              <w:top w:val="nil"/>
              <w:left w:val="nil"/>
              <w:bottom w:val="single" w:color="auto" w:sz="4" w:space="0"/>
              <w:right w:val="nil"/>
            </w:tcBorders>
            <w:noWrap/>
            <w:vAlign w:val="bottom"/>
            <w:hideMark/>
          </w:tcPr>
          <w:p w:rsidRPr="00B52D66" w:rsidR="00B52D66" w:rsidP="00FC2172" w:rsidRDefault="00B52D66" w14:paraId="5CFF5A76" w14:textId="77777777">
            <w:pPr>
              <w:spacing w:line="240" w:lineRule="auto"/>
              <w:rPr>
                <w:rFonts w:cs="Arial"/>
                <w:szCs w:val="18"/>
                <w:lang w:val="en-GB" w:eastAsia="en-GB"/>
              </w:rPr>
            </w:pPr>
            <w:r w:rsidRPr="00B52D66">
              <w:rPr>
                <w:rFonts w:cs="Arial"/>
                <w:szCs w:val="18"/>
                <w:lang w:val="en-GB" w:eastAsia="en-GB"/>
              </w:rPr>
              <w:t>&gt;1 vest*</w:t>
            </w:r>
          </w:p>
        </w:tc>
        <w:tc>
          <w:tcPr>
            <w:tcW w:w="429" w:type="pct"/>
            <w:tcBorders>
              <w:top w:val="nil"/>
              <w:left w:val="nil"/>
              <w:bottom w:val="single" w:color="auto" w:sz="4" w:space="0"/>
              <w:right w:val="nil"/>
            </w:tcBorders>
            <w:vAlign w:val="bottom"/>
            <w:hideMark/>
          </w:tcPr>
          <w:p w:rsidRPr="00B52D66" w:rsidR="00B52D66" w:rsidP="00FC2172" w:rsidRDefault="00B52D66" w14:paraId="4B3E4173" w14:textId="77777777">
            <w:pPr>
              <w:spacing w:line="240" w:lineRule="auto"/>
              <w:rPr>
                <w:rFonts w:cs="Arial"/>
                <w:szCs w:val="18"/>
                <w:lang w:val="en-GB" w:eastAsia="en-GB"/>
              </w:rPr>
            </w:pPr>
            <w:r w:rsidRPr="00B52D66">
              <w:rPr>
                <w:rFonts w:cs="Arial"/>
                <w:szCs w:val="18"/>
                <w:lang w:val="en-GB" w:eastAsia="en-GB"/>
              </w:rPr>
              <w:t>&gt;1 vest* en &lt;11 lln*</w:t>
            </w:r>
          </w:p>
        </w:tc>
        <w:tc>
          <w:tcPr>
            <w:tcW w:w="347" w:type="pct"/>
            <w:tcBorders>
              <w:top w:val="nil"/>
              <w:left w:val="nil"/>
              <w:bottom w:val="single" w:color="auto" w:sz="4" w:space="0"/>
              <w:right w:val="nil"/>
            </w:tcBorders>
            <w:noWrap/>
            <w:vAlign w:val="bottom"/>
            <w:hideMark/>
          </w:tcPr>
          <w:p w:rsidRPr="00B52D66" w:rsidR="00B52D66" w:rsidP="00FC2172" w:rsidRDefault="00B52D66" w14:paraId="2E61B7CA" w14:textId="77777777">
            <w:pPr>
              <w:spacing w:line="240" w:lineRule="auto"/>
              <w:rPr>
                <w:rFonts w:cs="Arial"/>
                <w:szCs w:val="18"/>
                <w:lang w:val="en-GB" w:eastAsia="en-GB"/>
              </w:rPr>
            </w:pPr>
            <w:r w:rsidRPr="00B52D66">
              <w:rPr>
                <w:rFonts w:cs="Arial"/>
                <w:szCs w:val="18"/>
                <w:lang w:val="en-GB" w:eastAsia="en-GB"/>
              </w:rPr>
              <w:t>&gt;1 vest*</w:t>
            </w:r>
          </w:p>
        </w:tc>
        <w:tc>
          <w:tcPr>
            <w:tcW w:w="429" w:type="pct"/>
            <w:tcBorders>
              <w:top w:val="nil"/>
              <w:left w:val="nil"/>
              <w:bottom w:val="single" w:color="auto" w:sz="4" w:space="0"/>
              <w:right w:val="nil"/>
            </w:tcBorders>
            <w:vAlign w:val="bottom"/>
            <w:hideMark/>
          </w:tcPr>
          <w:p w:rsidRPr="00B52D66" w:rsidR="00B52D66" w:rsidP="00FC2172" w:rsidRDefault="00B52D66" w14:paraId="75D48025" w14:textId="77777777">
            <w:pPr>
              <w:spacing w:line="240" w:lineRule="auto"/>
              <w:rPr>
                <w:rFonts w:cs="Arial"/>
                <w:szCs w:val="18"/>
                <w:lang w:val="en-GB" w:eastAsia="en-GB"/>
              </w:rPr>
            </w:pPr>
            <w:r w:rsidRPr="00B52D66">
              <w:rPr>
                <w:rFonts w:cs="Arial"/>
                <w:szCs w:val="18"/>
                <w:lang w:val="en-GB" w:eastAsia="en-GB"/>
              </w:rPr>
              <w:t>&gt;1 vest* en &lt;11 lln*</w:t>
            </w:r>
          </w:p>
        </w:tc>
      </w:tr>
      <w:tr w:rsidRPr="00B52D66" w:rsidR="00B52D66" w:rsidTr="00B52D66" w14:paraId="3406CD82" w14:textId="77777777">
        <w:trPr>
          <w:trHeight w:val="230"/>
        </w:trPr>
        <w:tc>
          <w:tcPr>
            <w:tcW w:w="371" w:type="pct"/>
            <w:tcBorders>
              <w:top w:val="nil"/>
              <w:left w:val="nil"/>
              <w:bottom w:val="nil"/>
              <w:right w:val="nil"/>
            </w:tcBorders>
            <w:noWrap/>
            <w:vAlign w:val="bottom"/>
            <w:hideMark/>
          </w:tcPr>
          <w:p w:rsidRPr="00B52D66" w:rsidR="00B52D66" w:rsidP="00FC2172" w:rsidRDefault="00B52D66" w14:paraId="156CC6D4" w14:textId="77777777">
            <w:pPr>
              <w:spacing w:line="240" w:lineRule="auto"/>
              <w:rPr>
                <w:rFonts w:cs="Arial"/>
                <w:b/>
                <w:bCs/>
                <w:szCs w:val="18"/>
                <w:lang w:val="en-GB" w:eastAsia="en-GB"/>
              </w:rPr>
            </w:pPr>
            <w:r w:rsidRPr="00B52D66">
              <w:rPr>
                <w:rFonts w:cs="Arial"/>
                <w:b/>
                <w:bCs/>
                <w:szCs w:val="18"/>
                <w:lang w:val="en-GB" w:eastAsia="en-GB"/>
              </w:rPr>
              <w:t>bl</w:t>
            </w:r>
          </w:p>
        </w:tc>
        <w:tc>
          <w:tcPr>
            <w:tcW w:w="347" w:type="pct"/>
            <w:tcBorders>
              <w:top w:val="nil"/>
              <w:left w:val="nil"/>
              <w:bottom w:val="nil"/>
              <w:right w:val="nil"/>
            </w:tcBorders>
            <w:noWrap/>
            <w:vAlign w:val="bottom"/>
            <w:hideMark/>
          </w:tcPr>
          <w:p w:rsidRPr="00B52D66" w:rsidR="00B52D66" w:rsidP="00FC2172" w:rsidRDefault="00B52D66" w14:paraId="09147FF8" w14:textId="77777777">
            <w:pPr>
              <w:spacing w:line="240" w:lineRule="auto"/>
              <w:rPr>
                <w:rFonts w:cs="Arial"/>
                <w:b/>
                <w:bCs/>
                <w:szCs w:val="18"/>
                <w:lang w:val="en-GB" w:eastAsia="en-GB"/>
              </w:rPr>
            </w:pPr>
          </w:p>
        </w:tc>
        <w:tc>
          <w:tcPr>
            <w:tcW w:w="404" w:type="pct"/>
            <w:tcBorders>
              <w:top w:val="nil"/>
              <w:left w:val="nil"/>
              <w:bottom w:val="nil"/>
              <w:right w:val="nil"/>
            </w:tcBorders>
            <w:noWrap/>
            <w:vAlign w:val="bottom"/>
            <w:hideMark/>
          </w:tcPr>
          <w:p w:rsidRPr="00B52D66" w:rsidR="00B52D66" w:rsidP="00FC2172" w:rsidRDefault="00B52D66" w14:paraId="727E1579" w14:textId="77777777">
            <w:pPr>
              <w:spacing w:line="240" w:lineRule="auto"/>
              <w:rPr>
                <w:szCs w:val="18"/>
                <w:lang w:val="en-GB" w:eastAsia="en-GB"/>
              </w:rPr>
            </w:pPr>
          </w:p>
        </w:tc>
        <w:tc>
          <w:tcPr>
            <w:tcW w:w="347" w:type="pct"/>
            <w:tcBorders>
              <w:top w:val="nil"/>
              <w:left w:val="nil"/>
              <w:bottom w:val="nil"/>
              <w:right w:val="nil"/>
            </w:tcBorders>
            <w:noWrap/>
            <w:vAlign w:val="bottom"/>
            <w:hideMark/>
          </w:tcPr>
          <w:p w:rsidRPr="00B52D66" w:rsidR="00B52D66" w:rsidP="00FC2172" w:rsidRDefault="00B52D66" w14:paraId="6A0AAEA0" w14:textId="77777777">
            <w:pPr>
              <w:spacing w:line="240" w:lineRule="auto"/>
              <w:rPr>
                <w:szCs w:val="18"/>
                <w:lang w:val="en-GB" w:eastAsia="en-GB"/>
              </w:rPr>
            </w:pPr>
          </w:p>
        </w:tc>
        <w:tc>
          <w:tcPr>
            <w:tcW w:w="429" w:type="pct"/>
            <w:tcBorders>
              <w:top w:val="nil"/>
              <w:left w:val="nil"/>
              <w:bottom w:val="nil"/>
              <w:right w:val="nil"/>
            </w:tcBorders>
            <w:noWrap/>
            <w:vAlign w:val="bottom"/>
            <w:hideMark/>
          </w:tcPr>
          <w:p w:rsidRPr="00B52D66" w:rsidR="00B52D66" w:rsidP="00FC2172" w:rsidRDefault="00B52D66" w14:paraId="36DA3114" w14:textId="77777777">
            <w:pPr>
              <w:spacing w:line="240" w:lineRule="auto"/>
              <w:rPr>
                <w:szCs w:val="18"/>
                <w:lang w:val="en-GB" w:eastAsia="en-GB"/>
              </w:rPr>
            </w:pPr>
          </w:p>
        </w:tc>
        <w:tc>
          <w:tcPr>
            <w:tcW w:w="347" w:type="pct"/>
            <w:tcBorders>
              <w:top w:val="nil"/>
              <w:left w:val="nil"/>
              <w:bottom w:val="nil"/>
              <w:right w:val="nil"/>
            </w:tcBorders>
            <w:noWrap/>
            <w:vAlign w:val="bottom"/>
            <w:hideMark/>
          </w:tcPr>
          <w:p w:rsidRPr="00B52D66" w:rsidR="00B52D66" w:rsidP="00FC2172" w:rsidRDefault="00B52D66" w14:paraId="6B9996E4" w14:textId="77777777">
            <w:pPr>
              <w:spacing w:line="240" w:lineRule="auto"/>
              <w:rPr>
                <w:szCs w:val="18"/>
                <w:lang w:val="en-GB" w:eastAsia="en-GB"/>
              </w:rPr>
            </w:pPr>
          </w:p>
        </w:tc>
        <w:tc>
          <w:tcPr>
            <w:tcW w:w="429" w:type="pct"/>
            <w:tcBorders>
              <w:top w:val="nil"/>
              <w:left w:val="nil"/>
              <w:bottom w:val="nil"/>
              <w:right w:val="nil"/>
            </w:tcBorders>
            <w:noWrap/>
            <w:vAlign w:val="bottom"/>
            <w:hideMark/>
          </w:tcPr>
          <w:p w:rsidRPr="00B52D66" w:rsidR="00B52D66" w:rsidP="00FC2172" w:rsidRDefault="00B52D66" w14:paraId="7E3EA5BB" w14:textId="77777777">
            <w:pPr>
              <w:spacing w:line="240" w:lineRule="auto"/>
              <w:rPr>
                <w:szCs w:val="18"/>
                <w:lang w:val="en-GB" w:eastAsia="en-GB"/>
              </w:rPr>
            </w:pPr>
          </w:p>
        </w:tc>
        <w:tc>
          <w:tcPr>
            <w:tcW w:w="347" w:type="pct"/>
            <w:tcBorders>
              <w:top w:val="nil"/>
              <w:left w:val="nil"/>
              <w:bottom w:val="nil"/>
              <w:right w:val="nil"/>
            </w:tcBorders>
            <w:noWrap/>
            <w:vAlign w:val="bottom"/>
            <w:hideMark/>
          </w:tcPr>
          <w:p w:rsidRPr="00B52D66" w:rsidR="00B52D66" w:rsidP="00FC2172" w:rsidRDefault="00B52D66" w14:paraId="4468EF58" w14:textId="77777777">
            <w:pPr>
              <w:spacing w:line="240" w:lineRule="auto"/>
              <w:rPr>
                <w:szCs w:val="18"/>
                <w:lang w:val="en-GB" w:eastAsia="en-GB"/>
              </w:rPr>
            </w:pPr>
          </w:p>
        </w:tc>
        <w:tc>
          <w:tcPr>
            <w:tcW w:w="429" w:type="pct"/>
            <w:tcBorders>
              <w:top w:val="nil"/>
              <w:left w:val="nil"/>
              <w:bottom w:val="nil"/>
              <w:right w:val="nil"/>
            </w:tcBorders>
            <w:noWrap/>
            <w:vAlign w:val="bottom"/>
            <w:hideMark/>
          </w:tcPr>
          <w:p w:rsidRPr="00B52D66" w:rsidR="00B52D66" w:rsidP="00FC2172" w:rsidRDefault="00B52D66" w14:paraId="08B2D8EA" w14:textId="77777777">
            <w:pPr>
              <w:spacing w:line="240" w:lineRule="auto"/>
              <w:rPr>
                <w:szCs w:val="18"/>
                <w:lang w:val="en-GB" w:eastAsia="en-GB"/>
              </w:rPr>
            </w:pPr>
          </w:p>
        </w:tc>
        <w:tc>
          <w:tcPr>
            <w:tcW w:w="347" w:type="pct"/>
            <w:tcBorders>
              <w:top w:val="nil"/>
              <w:left w:val="nil"/>
              <w:bottom w:val="nil"/>
              <w:right w:val="nil"/>
            </w:tcBorders>
            <w:noWrap/>
            <w:vAlign w:val="bottom"/>
            <w:hideMark/>
          </w:tcPr>
          <w:p w:rsidRPr="00B52D66" w:rsidR="00B52D66" w:rsidP="00FC2172" w:rsidRDefault="00B52D66" w14:paraId="50384998" w14:textId="77777777">
            <w:pPr>
              <w:spacing w:line="240" w:lineRule="auto"/>
              <w:rPr>
                <w:szCs w:val="18"/>
                <w:lang w:val="en-GB" w:eastAsia="en-GB"/>
              </w:rPr>
            </w:pPr>
          </w:p>
        </w:tc>
        <w:tc>
          <w:tcPr>
            <w:tcW w:w="429" w:type="pct"/>
            <w:tcBorders>
              <w:top w:val="nil"/>
              <w:left w:val="nil"/>
              <w:bottom w:val="nil"/>
              <w:right w:val="nil"/>
            </w:tcBorders>
            <w:noWrap/>
            <w:vAlign w:val="bottom"/>
            <w:hideMark/>
          </w:tcPr>
          <w:p w:rsidRPr="00B52D66" w:rsidR="00B52D66" w:rsidP="00FC2172" w:rsidRDefault="00B52D66" w14:paraId="1A6C3C17" w14:textId="77777777">
            <w:pPr>
              <w:spacing w:line="240" w:lineRule="auto"/>
              <w:rPr>
                <w:szCs w:val="18"/>
                <w:lang w:val="en-GB" w:eastAsia="en-GB"/>
              </w:rPr>
            </w:pPr>
          </w:p>
        </w:tc>
        <w:tc>
          <w:tcPr>
            <w:tcW w:w="347" w:type="pct"/>
            <w:tcBorders>
              <w:top w:val="nil"/>
              <w:left w:val="nil"/>
              <w:bottom w:val="nil"/>
              <w:right w:val="nil"/>
            </w:tcBorders>
            <w:noWrap/>
            <w:vAlign w:val="bottom"/>
            <w:hideMark/>
          </w:tcPr>
          <w:p w:rsidRPr="00B52D66" w:rsidR="00B52D66" w:rsidP="00FC2172" w:rsidRDefault="00B52D66" w14:paraId="4549F919" w14:textId="77777777">
            <w:pPr>
              <w:spacing w:line="240" w:lineRule="auto"/>
              <w:rPr>
                <w:szCs w:val="18"/>
                <w:lang w:val="en-GB" w:eastAsia="en-GB"/>
              </w:rPr>
            </w:pPr>
          </w:p>
        </w:tc>
        <w:tc>
          <w:tcPr>
            <w:tcW w:w="429" w:type="pct"/>
            <w:tcBorders>
              <w:top w:val="nil"/>
              <w:left w:val="nil"/>
              <w:bottom w:val="nil"/>
              <w:right w:val="nil"/>
            </w:tcBorders>
            <w:noWrap/>
            <w:vAlign w:val="bottom"/>
            <w:hideMark/>
          </w:tcPr>
          <w:p w:rsidRPr="00B52D66" w:rsidR="00B52D66" w:rsidP="00FC2172" w:rsidRDefault="00B52D66" w14:paraId="41E61D82" w14:textId="77777777">
            <w:pPr>
              <w:spacing w:line="240" w:lineRule="auto"/>
              <w:rPr>
                <w:szCs w:val="18"/>
                <w:lang w:val="en-GB" w:eastAsia="en-GB"/>
              </w:rPr>
            </w:pPr>
          </w:p>
        </w:tc>
      </w:tr>
      <w:tr w:rsidRPr="00B52D66" w:rsidR="00B52D66" w:rsidTr="00B52D66" w14:paraId="26154A68" w14:textId="77777777">
        <w:trPr>
          <w:trHeight w:val="230"/>
        </w:trPr>
        <w:tc>
          <w:tcPr>
            <w:tcW w:w="371" w:type="pct"/>
            <w:tcBorders>
              <w:top w:val="nil"/>
              <w:left w:val="nil"/>
              <w:bottom w:val="nil"/>
              <w:right w:val="nil"/>
            </w:tcBorders>
            <w:noWrap/>
            <w:hideMark/>
          </w:tcPr>
          <w:p w:rsidRPr="00B52D66" w:rsidR="00B52D66" w:rsidP="00FC2172" w:rsidRDefault="00B52D66" w14:paraId="0406C06F" w14:textId="77777777">
            <w:pPr>
              <w:spacing w:line="240" w:lineRule="auto"/>
              <w:rPr>
                <w:rFonts w:cs="Arial"/>
                <w:szCs w:val="18"/>
                <w:lang w:val="en-GB" w:eastAsia="en-GB"/>
              </w:rPr>
            </w:pPr>
            <w:r w:rsidRPr="00B52D66">
              <w:rPr>
                <w:rFonts w:cs="Arial"/>
                <w:szCs w:val="18"/>
                <w:lang w:val="en-GB" w:eastAsia="en-GB"/>
              </w:rPr>
              <w:t xml:space="preserve">   BWI</w:t>
            </w:r>
          </w:p>
        </w:tc>
        <w:tc>
          <w:tcPr>
            <w:tcW w:w="347" w:type="pct"/>
            <w:tcBorders>
              <w:top w:val="nil"/>
              <w:left w:val="nil"/>
              <w:bottom w:val="nil"/>
              <w:right w:val="nil"/>
            </w:tcBorders>
            <w:noWrap/>
            <w:vAlign w:val="bottom"/>
            <w:hideMark/>
          </w:tcPr>
          <w:p w:rsidRPr="00B52D66" w:rsidR="00B52D66" w:rsidP="00FC2172" w:rsidRDefault="00B52D66" w14:paraId="12110B63" w14:textId="77777777">
            <w:pPr>
              <w:spacing w:line="240" w:lineRule="auto"/>
              <w:jc w:val="center"/>
              <w:rPr>
                <w:rFonts w:cs="Arial"/>
                <w:szCs w:val="18"/>
                <w:lang w:val="en-GB" w:eastAsia="en-GB"/>
              </w:rPr>
            </w:pPr>
            <w:r w:rsidRPr="00B52D66">
              <w:rPr>
                <w:rFonts w:cs="Arial"/>
                <w:szCs w:val="18"/>
                <w:lang w:val="en-GB" w:eastAsia="en-GB"/>
              </w:rPr>
              <w:t>61</w:t>
            </w:r>
          </w:p>
        </w:tc>
        <w:tc>
          <w:tcPr>
            <w:tcW w:w="404" w:type="pct"/>
            <w:tcBorders>
              <w:top w:val="nil"/>
              <w:left w:val="nil"/>
              <w:bottom w:val="nil"/>
              <w:right w:val="nil"/>
            </w:tcBorders>
            <w:noWrap/>
            <w:vAlign w:val="bottom"/>
            <w:hideMark/>
          </w:tcPr>
          <w:p w:rsidRPr="00B52D66" w:rsidR="00B52D66" w:rsidP="00FC2172" w:rsidRDefault="00B52D66" w14:paraId="32EE9D1F" w14:textId="77777777">
            <w:pPr>
              <w:spacing w:line="240" w:lineRule="auto"/>
              <w:jc w:val="center"/>
              <w:rPr>
                <w:rFonts w:cs="Arial"/>
                <w:szCs w:val="18"/>
                <w:lang w:val="en-GB" w:eastAsia="en-GB"/>
              </w:rPr>
            </w:pPr>
            <w:r w:rsidRPr="00B52D66">
              <w:rPr>
                <w:rFonts w:cs="Arial"/>
                <w:szCs w:val="18"/>
                <w:lang w:val="en-GB" w:eastAsia="en-GB"/>
              </w:rPr>
              <w:t>60</w:t>
            </w:r>
          </w:p>
        </w:tc>
        <w:tc>
          <w:tcPr>
            <w:tcW w:w="347" w:type="pct"/>
            <w:tcBorders>
              <w:top w:val="nil"/>
              <w:left w:val="nil"/>
              <w:bottom w:val="nil"/>
              <w:right w:val="nil"/>
            </w:tcBorders>
            <w:noWrap/>
            <w:vAlign w:val="bottom"/>
            <w:hideMark/>
          </w:tcPr>
          <w:p w:rsidRPr="00B52D66" w:rsidR="00B52D66" w:rsidP="00FC2172" w:rsidRDefault="00B52D66" w14:paraId="070E8508" w14:textId="77777777">
            <w:pPr>
              <w:spacing w:line="240" w:lineRule="auto"/>
              <w:jc w:val="center"/>
              <w:rPr>
                <w:rFonts w:cs="Arial"/>
                <w:szCs w:val="18"/>
                <w:lang w:val="en-GB" w:eastAsia="en-GB"/>
              </w:rPr>
            </w:pPr>
            <w:r w:rsidRPr="00B52D66">
              <w:rPr>
                <w:rFonts w:cs="Arial"/>
                <w:szCs w:val="18"/>
                <w:lang w:val="en-GB" w:eastAsia="en-GB"/>
              </w:rPr>
              <w:t>68</w:t>
            </w:r>
          </w:p>
        </w:tc>
        <w:tc>
          <w:tcPr>
            <w:tcW w:w="429" w:type="pct"/>
            <w:tcBorders>
              <w:top w:val="nil"/>
              <w:left w:val="nil"/>
              <w:bottom w:val="nil"/>
              <w:right w:val="nil"/>
            </w:tcBorders>
            <w:noWrap/>
            <w:vAlign w:val="bottom"/>
            <w:hideMark/>
          </w:tcPr>
          <w:p w:rsidRPr="00B52D66" w:rsidR="00B52D66" w:rsidP="00FC2172" w:rsidRDefault="00B52D66" w14:paraId="5312446B" w14:textId="77777777">
            <w:pPr>
              <w:spacing w:line="240" w:lineRule="auto"/>
              <w:jc w:val="center"/>
              <w:rPr>
                <w:rFonts w:cs="Arial"/>
                <w:szCs w:val="18"/>
                <w:lang w:val="en-GB" w:eastAsia="en-GB"/>
              </w:rPr>
            </w:pPr>
            <w:r w:rsidRPr="00B52D66">
              <w:rPr>
                <w:rFonts w:cs="Arial"/>
                <w:szCs w:val="18"/>
                <w:lang w:val="en-GB" w:eastAsia="en-GB"/>
              </w:rPr>
              <w:t>66</w:t>
            </w:r>
          </w:p>
        </w:tc>
        <w:tc>
          <w:tcPr>
            <w:tcW w:w="347" w:type="pct"/>
            <w:tcBorders>
              <w:top w:val="nil"/>
              <w:left w:val="nil"/>
              <w:bottom w:val="nil"/>
              <w:right w:val="nil"/>
            </w:tcBorders>
            <w:noWrap/>
            <w:vAlign w:val="bottom"/>
            <w:hideMark/>
          </w:tcPr>
          <w:p w:rsidRPr="00B52D66" w:rsidR="00B52D66" w:rsidP="00FC2172" w:rsidRDefault="00B52D66" w14:paraId="7ED7A5C4" w14:textId="77777777">
            <w:pPr>
              <w:spacing w:line="240" w:lineRule="auto"/>
              <w:jc w:val="center"/>
              <w:rPr>
                <w:rFonts w:cs="Arial"/>
                <w:szCs w:val="18"/>
                <w:lang w:val="en-GB" w:eastAsia="en-GB"/>
              </w:rPr>
            </w:pPr>
            <w:r w:rsidRPr="00B52D66">
              <w:rPr>
                <w:rFonts w:cs="Arial"/>
                <w:szCs w:val="18"/>
                <w:lang w:val="en-GB" w:eastAsia="en-GB"/>
              </w:rPr>
              <w:t>70</w:t>
            </w:r>
          </w:p>
        </w:tc>
        <w:tc>
          <w:tcPr>
            <w:tcW w:w="429" w:type="pct"/>
            <w:tcBorders>
              <w:top w:val="nil"/>
              <w:left w:val="nil"/>
              <w:bottom w:val="nil"/>
              <w:right w:val="nil"/>
            </w:tcBorders>
            <w:noWrap/>
            <w:vAlign w:val="bottom"/>
            <w:hideMark/>
          </w:tcPr>
          <w:p w:rsidRPr="00B52D66" w:rsidR="00B52D66" w:rsidP="00FC2172" w:rsidRDefault="00B52D66" w14:paraId="31FF5BCC" w14:textId="77777777">
            <w:pPr>
              <w:spacing w:line="240" w:lineRule="auto"/>
              <w:jc w:val="center"/>
              <w:rPr>
                <w:rFonts w:cs="Arial"/>
                <w:szCs w:val="18"/>
                <w:lang w:val="en-GB" w:eastAsia="en-GB"/>
              </w:rPr>
            </w:pPr>
            <w:r w:rsidRPr="00B52D66">
              <w:rPr>
                <w:rFonts w:cs="Arial"/>
                <w:szCs w:val="18"/>
                <w:lang w:val="en-GB" w:eastAsia="en-GB"/>
              </w:rPr>
              <w:t>68</w:t>
            </w:r>
          </w:p>
        </w:tc>
        <w:tc>
          <w:tcPr>
            <w:tcW w:w="347" w:type="pct"/>
            <w:tcBorders>
              <w:top w:val="nil"/>
              <w:left w:val="nil"/>
              <w:bottom w:val="nil"/>
              <w:right w:val="nil"/>
            </w:tcBorders>
            <w:noWrap/>
            <w:vAlign w:val="bottom"/>
            <w:hideMark/>
          </w:tcPr>
          <w:p w:rsidRPr="00B52D66" w:rsidR="00B52D66" w:rsidP="00FC2172" w:rsidRDefault="00B52D66" w14:paraId="2C7163DF" w14:textId="77777777">
            <w:pPr>
              <w:spacing w:line="240" w:lineRule="auto"/>
              <w:jc w:val="center"/>
              <w:rPr>
                <w:rFonts w:cs="Arial"/>
                <w:szCs w:val="18"/>
                <w:lang w:val="en-GB" w:eastAsia="en-GB"/>
              </w:rPr>
            </w:pPr>
            <w:r w:rsidRPr="00B52D66">
              <w:rPr>
                <w:rFonts w:cs="Arial"/>
                <w:szCs w:val="18"/>
                <w:lang w:val="en-GB" w:eastAsia="en-GB"/>
              </w:rPr>
              <w:t>63</w:t>
            </w:r>
          </w:p>
        </w:tc>
        <w:tc>
          <w:tcPr>
            <w:tcW w:w="429" w:type="pct"/>
            <w:tcBorders>
              <w:top w:val="nil"/>
              <w:left w:val="nil"/>
              <w:bottom w:val="nil"/>
              <w:right w:val="nil"/>
            </w:tcBorders>
            <w:noWrap/>
            <w:vAlign w:val="bottom"/>
            <w:hideMark/>
          </w:tcPr>
          <w:p w:rsidRPr="00B52D66" w:rsidR="00B52D66" w:rsidP="00FC2172" w:rsidRDefault="00B52D66" w14:paraId="151135C9" w14:textId="77777777">
            <w:pPr>
              <w:spacing w:line="240" w:lineRule="auto"/>
              <w:jc w:val="center"/>
              <w:rPr>
                <w:rFonts w:cs="Arial"/>
                <w:szCs w:val="18"/>
                <w:lang w:val="en-GB" w:eastAsia="en-GB"/>
              </w:rPr>
            </w:pPr>
            <w:r w:rsidRPr="00B52D66">
              <w:rPr>
                <w:rFonts w:cs="Arial"/>
                <w:szCs w:val="18"/>
                <w:lang w:val="en-GB" w:eastAsia="en-GB"/>
              </w:rPr>
              <w:t>61</w:t>
            </w:r>
          </w:p>
        </w:tc>
        <w:tc>
          <w:tcPr>
            <w:tcW w:w="347" w:type="pct"/>
            <w:tcBorders>
              <w:top w:val="nil"/>
              <w:left w:val="nil"/>
              <w:bottom w:val="nil"/>
              <w:right w:val="nil"/>
            </w:tcBorders>
            <w:noWrap/>
            <w:vAlign w:val="bottom"/>
            <w:hideMark/>
          </w:tcPr>
          <w:p w:rsidRPr="00B52D66" w:rsidR="00B52D66" w:rsidP="00FC2172" w:rsidRDefault="00B52D66" w14:paraId="50491658" w14:textId="77777777">
            <w:pPr>
              <w:spacing w:line="240" w:lineRule="auto"/>
              <w:jc w:val="center"/>
              <w:rPr>
                <w:rFonts w:cs="Arial"/>
                <w:szCs w:val="18"/>
                <w:lang w:val="en-GB" w:eastAsia="en-GB"/>
              </w:rPr>
            </w:pPr>
            <w:r w:rsidRPr="00B52D66">
              <w:rPr>
                <w:rFonts w:cs="Arial"/>
                <w:szCs w:val="18"/>
                <w:lang w:val="en-GB" w:eastAsia="en-GB"/>
              </w:rPr>
              <w:t>68</w:t>
            </w:r>
          </w:p>
        </w:tc>
        <w:tc>
          <w:tcPr>
            <w:tcW w:w="429" w:type="pct"/>
            <w:tcBorders>
              <w:top w:val="nil"/>
              <w:left w:val="nil"/>
              <w:bottom w:val="nil"/>
              <w:right w:val="nil"/>
            </w:tcBorders>
            <w:noWrap/>
            <w:vAlign w:val="bottom"/>
            <w:hideMark/>
          </w:tcPr>
          <w:p w:rsidRPr="00B52D66" w:rsidR="00B52D66" w:rsidP="00FC2172" w:rsidRDefault="00B52D66" w14:paraId="1EEAFBE6" w14:textId="77777777">
            <w:pPr>
              <w:spacing w:line="240" w:lineRule="auto"/>
              <w:jc w:val="center"/>
              <w:rPr>
                <w:rFonts w:cs="Arial"/>
                <w:szCs w:val="18"/>
                <w:lang w:val="en-GB" w:eastAsia="en-GB"/>
              </w:rPr>
            </w:pPr>
            <w:r w:rsidRPr="00B52D66">
              <w:rPr>
                <w:rFonts w:cs="Arial"/>
                <w:szCs w:val="18"/>
                <w:lang w:val="en-GB" w:eastAsia="en-GB"/>
              </w:rPr>
              <w:t>68</w:t>
            </w:r>
          </w:p>
        </w:tc>
        <w:tc>
          <w:tcPr>
            <w:tcW w:w="347" w:type="pct"/>
            <w:tcBorders>
              <w:top w:val="nil"/>
              <w:left w:val="nil"/>
              <w:bottom w:val="nil"/>
              <w:right w:val="nil"/>
            </w:tcBorders>
            <w:noWrap/>
            <w:vAlign w:val="bottom"/>
            <w:hideMark/>
          </w:tcPr>
          <w:p w:rsidRPr="00B52D66" w:rsidR="00B52D66" w:rsidP="00FC2172" w:rsidRDefault="00B52D66" w14:paraId="37CE566F" w14:textId="77777777">
            <w:pPr>
              <w:spacing w:line="240" w:lineRule="auto"/>
              <w:jc w:val="center"/>
              <w:rPr>
                <w:rFonts w:cs="Arial"/>
                <w:szCs w:val="18"/>
                <w:lang w:val="en-GB" w:eastAsia="en-GB"/>
              </w:rPr>
            </w:pPr>
            <w:r w:rsidRPr="00B52D66">
              <w:rPr>
                <w:rFonts w:cs="Arial"/>
                <w:szCs w:val="18"/>
                <w:lang w:val="en-GB" w:eastAsia="en-GB"/>
              </w:rPr>
              <w:t>67</w:t>
            </w:r>
          </w:p>
        </w:tc>
        <w:tc>
          <w:tcPr>
            <w:tcW w:w="429" w:type="pct"/>
            <w:tcBorders>
              <w:top w:val="nil"/>
              <w:left w:val="nil"/>
              <w:bottom w:val="nil"/>
              <w:right w:val="nil"/>
            </w:tcBorders>
            <w:noWrap/>
            <w:vAlign w:val="bottom"/>
            <w:hideMark/>
          </w:tcPr>
          <w:p w:rsidRPr="00B52D66" w:rsidR="00B52D66" w:rsidP="00FC2172" w:rsidRDefault="00B52D66" w14:paraId="01D6BCCA" w14:textId="77777777">
            <w:pPr>
              <w:spacing w:line="240" w:lineRule="auto"/>
              <w:jc w:val="center"/>
              <w:rPr>
                <w:rFonts w:cs="Arial"/>
                <w:szCs w:val="18"/>
                <w:lang w:val="en-GB" w:eastAsia="en-GB"/>
              </w:rPr>
            </w:pPr>
            <w:r w:rsidRPr="00B52D66">
              <w:rPr>
                <w:rFonts w:cs="Arial"/>
                <w:szCs w:val="18"/>
                <w:lang w:val="en-GB" w:eastAsia="en-GB"/>
              </w:rPr>
              <w:t>67</w:t>
            </w:r>
          </w:p>
        </w:tc>
      </w:tr>
      <w:tr w:rsidRPr="00B52D66" w:rsidR="00B52D66" w:rsidTr="00B52D66" w14:paraId="6E58C9D4" w14:textId="77777777">
        <w:trPr>
          <w:trHeight w:val="230"/>
        </w:trPr>
        <w:tc>
          <w:tcPr>
            <w:tcW w:w="371" w:type="pct"/>
            <w:tcBorders>
              <w:top w:val="nil"/>
              <w:left w:val="nil"/>
              <w:bottom w:val="nil"/>
              <w:right w:val="nil"/>
            </w:tcBorders>
            <w:noWrap/>
            <w:hideMark/>
          </w:tcPr>
          <w:p w:rsidRPr="00B52D66" w:rsidR="00B52D66" w:rsidP="00FC2172" w:rsidRDefault="00B52D66" w14:paraId="19D43407" w14:textId="77777777">
            <w:pPr>
              <w:spacing w:line="240" w:lineRule="auto"/>
              <w:rPr>
                <w:rFonts w:cs="Arial"/>
                <w:szCs w:val="18"/>
                <w:lang w:val="en-GB" w:eastAsia="en-GB"/>
              </w:rPr>
            </w:pPr>
            <w:r w:rsidRPr="00B52D66">
              <w:rPr>
                <w:rFonts w:cs="Arial"/>
                <w:szCs w:val="18"/>
                <w:lang w:val="en-GB" w:eastAsia="en-GB"/>
              </w:rPr>
              <w:t xml:space="preserve">   MaT</w:t>
            </w:r>
          </w:p>
        </w:tc>
        <w:tc>
          <w:tcPr>
            <w:tcW w:w="347" w:type="pct"/>
            <w:tcBorders>
              <w:top w:val="nil"/>
              <w:left w:val="nil"/>
              <w:bottom w:val="nil"/>
              <w:right w:val="nil"/>
            </w:tcBorders>
            <w:noWrap/>
            <w:vAlign w:val="bottom"/>
            <w:hideMark/>
          </w:tcPr>
          <w:p w:rsidRPr="00B52D66" w:rsidR="00B52D66" w:rsidP="00FC2172" w:rsidRDefault="00B52D66" w14:paraId="7CDCBC84" w14:textId="77777777">
            <w:pPr>
              <w:spacing w:line="240" w:lineRule="auto"/>
              <w:jc w:val="center"/>
              <w:rPr>
                <w:rFonts w:cs="Arial"/>
                <w:szCs w:val="18"/>
                <w:lang w:val="en-GB" w:eastAsia="en-GB"/>
              </w:rPr>
            </w:pPr>
            <w:r w:rsidRPr="00B52D66">
              <w:rPr>
                <w:rFonts w:cs="Arial"/>
                <w:szCs w:val="18"/>
                <w:lang w:val="en-GB" w:eastAsia="en-GB"/>
              </w:rPr>
              <w:t>0</w:t>
            </w:r>
          </w:p>
        </w:tc>
        <w:tc>
          <w:tcPr>
            <w:tcW w:w="404" w:type="pct"/>
            <w:tcBorders>
              <w:top w:val="nil"/>
              <w:left w:val="nil"/>
              <w:bottom w:val="nil"/>
              <w:right w:val="nil"/>
            </w:tcBorders>
            <w:noWrap/>
            <w:vAlign w:val="bottom"/>
            <w:hideMark/>
          </w:tcPr>
          <w:p w:rsidRPr="00B52D66" w:rsidR="00B52D66" w:rsidP="00FC2172" w:rsidRDefault="00B52D66" w14:paraId="3B391B33" w14:textId="77777777">
            <w:pPr>
              <w:spacing w:line="240" w:lineRule="auto"/>
              <w:jc w:val="center"/>
              <w:rPr>
                <w:rFonts w:cs="Arial"/>
                <w:szCs w:val="18"/>
                <w:lang w:val="en-GB" w:eastAsia="en-GB"/>
              </w:rPr>
            </w:pPr>
            <w:r w:rsidRPr="00B52D66">
              <w:rPr>
                <w:rFonts w:cs="Arial"/>
                <w:szCs w:val="18"/>
                <w:lang w:val="en-GB" w:eastAsia="en-GB"/>
              </w:rPr>
              <w:t>0</w:t>
            </w:r>
          </w:p>
        </w:tc>
        <w:tc>
          <w:tcPr>
            <w:tcW w:w="347" w:type="pct"/>
            <w:tcBorders>
              <w:top w:val="nil"/>
              <w:left w:val="nil"/>
              <w:bottom w:val="nil"/>
              <w:right w:val="nil"/>
            </w:tcBorders>
            <w:noWrap/>
            <w:vAlign w:val="bottom"/>
            <w:hideMark/>
          </w:tcPr>
          <w:p w:rsidRPr="00B52D66" w:rsidR="00B52D66" w:rsidP="00FC2172" w:rsidRDefault="00B52D66" w14:paraId="18D54820" w14:textId="77777777">
            <w:pPr>
              <w:spacing w:line="240" w:lineRule="auto"/>
              <w:jc w:val="center"/>
              <w:rPr>
                <w:rFonts w:cs="Arial"/>
                <w:szCs w:val="18"/>
                <w:lang w:val="en-GB" w:eastAsia="en-GB"/>
              </w:rPr>
            </w:pPr>
            <w:r w:rsidRPr="00B52D66">
              <w:rPr>
                <w:rFonts w:cs="Arial"/>
                <w:szCs w:val="18"/>
                <w:lang w:val="en-GB" w:eastAsia="en-GB"/>
              </w:rPr>
              <w:t>20</w:t>
            </w:r>
          </w:p>
        </w:tc>
        <w:tc>
          <w:tcPr>
            <w:tcW w:w="429" w:type="pct"/>
            <w:tcBorders>
              <w:top w:val="nil"/>
              <w:left w:val="nil"/>
              <w:bottom w:val="nil"/>
              <w:right w:val="nil"/>
            </w:tcBorders>
            <w:noWrap/>
            <w:vAlign w:val="bottom"/>
            <w:hideMark/>
          </w:tcPr>
          <w:p w:rsidRPr="00B52D66" w:rsidR="00B52D66" w:rsidP="00FC2172" w:rsidRDefault="00B52D66" w14:paraId="493CA9DF" w14:textId="77777777">
            <w:pPr>
              <w:spacing w:line="240" w:lineRule="auto"/>
              <w:jc w:val="center"/>
              <w:rPr>
                <w:rFonts w:cs="Arial"/>
                <w:szCs w:val="18"/>
                <w:lang w:val="en-GB" w:eastAsia="en-GB"/>
              </w:rPr>
            </w:pPr>
            <w:r w:rsidRPr="00B52D66">
              <w:rPr>
                <w:rFonts w:cs="Arial"/>
                <w:szCs w:val="18"/>
                <w:lang w:val="en-GB" w:eastAsia="en-GB"/>
              </w:rPr>
              <w:t>0</w:t>
            </w:r>
          </w:p>
        </w:tc>
        <w:tc>
          <w:tcPr>
            <w:tcW w:w="347" w:type="pct"/>
            <w:tcBorders>
              <w:top w:val="nil"/>
              <w:left w:val="nil"/>
              <w:bottom w:val="nil"/>
              <w:right w:val="nil"/>
            </w:tcBorders>
            <w:noWrap/>
            <w:vAlign w:val="bottom"/>
            <w:hideMark/>
          </w:tcPr>
          <w:p w:rsidRPr="00B52D66" w:rsidR="00B52D66" w:rsidP="00FC2172" w:rsidRDefault="00B52D66" w14:paraId="374DBD55" w14:textId="77777777">
            <w:pPr>
              <w:spacing w:line="240" w:lineRule="auto"/>
              <w:jc w:val="center"/>
              <w:rPr>
                <w:rFonts w:cs="Arial"/>
                <w:szCs w:val="18"/>
                <w:lang w:val="en-GB" w:eastAsia="en-GB"/>
              </w:rPr>
            </w:pPr>
            <w:r w:rsidRPr="00B52D66">
              <w:rPr>
                <w:rFonts w:cs="Arial"/>
                <w:szCs w:val="18"/>
                <w:lang w:val="en-GB" w:eastAsia="en-GB"/>
              </w:rPr>
              <w:t>0</w:t>
            </w:r>
          </w:p>
        </w:tc>
        <w:tc>
          <w:tcPr>
            <w:tcW w:w="429" w:type="pct"/>
            <w:tcBorders>
              <w:top w:val="nil"/>
              <w:left w:val="nil"/>
              <w:bottom w:val="nil"/>
              <w:right w:val="nil"/>
            </w:tcBorders>
            <w:noWrap/>
            <w:vAlign w:val="bottom"/>
            <w:hideMark/>
          </w:tcPr>
          <w:p w:rsidRPr="00B52D66" w:rsidR="00B52D66" w:rsidP="00FC2172" w:rsidRDefault="00B52D66" w14:paraId="3C65403E" w14:textId="77777777">
            <w:pPr>
              <w:spacing w:line="240" w:lineRule="auto"/>
              <w:jc w:val="center"/>
              <w:rPr>
                <w:rFonts w:cs="Arial"/>
                <w:szCs w:val="18"/>
                <w:lang w:val="en-GB" w:eastAsia="en-GB"/>
              </w:rPr>
            </w:pPr>
            <w:r w:rsidRPr="00B52D66">
              <w:rPr>
                <w:rFonts w:cs="Arial"/>
                <w:szCs w:val="18"/>
                <w:lang w:val="en-GB" w:eastAsia="en-GB"/>
              </w:rPr>
              <w:t>0</w:t>
            </w:r>
          </w:p>
        </w:tc>
        <w:tc>
          <w:tcPr>
            <w:tcW w:w="347" w:type="pct"/>
            <w:tcBorders>
              <w:top w:val="nil"/>
              <w:left w:val="nil"/>
              <w:bottom w:val="nil"/>
              <w:right w:val="nil"/>
            </w:tcBorders>
            <w:noWrap/>
            <w:vAlign w:val="bottom"/>
            <w:hideMark/>
          </w:tcPr>
          <w:p w:rsidRPr="00B52D66" w:rsidR="00B52D66" w:rsidP="00FC2172" w:rsidRDefault="00B52D66" w14:paraId="135E669D" w14:textId="77777777">
            <w:pPr>
              <w:spacing w:line="240" w:lineRule="auto"/>
              <w:jc w:val="center"/>
              <w:rPr>
                <w:rFonts w:cs="Arial"/>
                <w:szCs w:val="18"/>
                <w:lang w:val="en-GB" w:eastAsia="en-GB"/>
              </w:rPr>
            </w:pPr>
            <w:r w:rsidRPr="00B52D66">
              <w:rPr>
                <w:rFonts w:cs="Arial"/>
                <w:szCs w:val="18"/>
                <w:lang w:val="en-GB" w:eastAsia="en-GB"/>
              </w:rPr>
              <w:t>0</w:t>
            </w:r>
          </w:p>
        </w:tc>
        <w:tc>
          <w:tcPr>
            <w:tcW w:w="429" w:type="pct"/>
            <w:tcBorders>
              <w:top w:val="nil"/>
              <w:left w:val="nil"/>
              <w:bottom w:val="nil"/>
              <w:right w:val="nil"/>
            </w:tcBorders>
            <w:noWrap/>
            <w:vAlign w:val="bottom"/>
            <w:hideMark/>
          </w:tcPr>
          <w:p w:rsidRPr="00B52D66" w:rsidR="00B52D66" w:rsidP="00FC2172" w:rsidRDefault="00B52D66" w14:paraId="27935194" w14:textId="77777777">
            <w:pPr>
              <w:spacing w:line="240" w:lineRule="auto"/>
              <w:jc w:val="center"/>
              <w:rPr>
                <w:rFonts w:cs="Arial"/>
                <w:szCs w:val="18"/>
                <w:lang w:val="en-GB" w:eastAsia="en-GB"/>
              </w:rPr>
            </w:pPr>
            <w:r w:rsidRPr="00B52D66">
              <w:rPr>
                <w:rFonts w:cs="Arial"/>
                <w:szCs w:val="18"/>
                <w:lang w:val="en-GB" w:eastAsia="en-GB"/>
              </w:rPr>
              <w:t>0</w:t>
            </w:r>
          </w:p>
        </w:tc>
        <w:tc>
          <w:tcPr>
            <w:tcW w:w="347" w:type="pct"/>
            <w:tcBorders>
              <w:top w:val="nil"/>
              <w:left w:val="nil"/>
              <w:bottom w:val="nil"/>
              <w:right w:val="nil"/>
            </w:tcBorders>
            <w:noWrap/>
            <w:vAlign w:val="bottom"/>
            <w:hideMark/>
          </w:tcPr>
          <w:p w:rsidRPr="00B52D66" w:rsidR="00B52D66" w:rsidP="00FC2172" w:rsidRDefault="00B52D66" w14:paraId="59AD6B9D" w14:textId="77777777">
            <w:pPr>
              <w:spacing w:line="240" w:lineRule="auto"/>
              <w:jc w:val="center"/>
              <w:rPr>
                <w:rFonts w:cs="Arial"/>
                <w:szCs w:val="18"/>
                <w:lang w:val="en-GB" w:eastAsia="en-GB"/>
              </w:rPr>
            </w:pPr>
            <w:r w:rsidRPr="00B52D66">
              <w:rPr>
                <w:rFonts w:cs="Arial"/>
                <w:szCs w:val="18"/>
                <w:lang w:val="en-GB" w:eastAsia="en-GB"/>
              </w:rPr>
              <w:t>0</w:t>
            </w:r>
          </w:p>
        </w:tc>
        <w:tc>
          <w:tcPr>
            <w:tcW w:w="429" w:type="pct"/>
            <w:tcBorders>
              <w:top w:val="nil"/>
              <w:left w:val="nil"/>
              <w:bottom w:val="nil"/>
              <w:right w:val="nil"/>
            </w:tcBorders>
            <w:noWrap/>
            <w:vAlign w:val="bottom"/>
            <w:hideMark/>
          </w:tcPr>
          <w:p w:rsidRPr="00B52D66" w:rsidR="00B52D66" w:rsidP="00FC2172" w:rsidRDefault="00B52D66" w14:paraId="6D063F7F" w14:textId="77777777">
            <w:pPr>
              <w:spacing w:line="240" w:lineRule="auto"/>
              <w:jc w:val="center"/>
              <w:rPr>
                <w:rFonts w:cs="Arial"/>
                <w:szCs w:val="18"/>
                <w:lang w:val="en-GB" w:eastAsia="en-GB"/>
              </w:rPr>
            </w:pPr>
            <w:r w:rsidRPr="00B52D66">
              <w:rPr>
                <w:rFonts w:cs="Arial"/>
                <w:szCs w:val="18"/>
                <w:lang w:val="en-GB" w:eastAsia="en-GB"/>
              </w:rPr>
              <w:t>0</w:t>
            </w:r>
          </w:p>
        </w:tc>
        <w:tc>
          <w:tcPr>
            <w:tcW w:w="347" w:type="pct"/>
            <w:tcBorders>
              <w:top w:val="nil"/>
              <w:left w:val="nil"/>
              <w:bottom w:val="nil"/>
              <w:right w:val="nil"/>
            </w:tcBorders>
            <w:noWrap/>
            <w:vAlign w:val="bottom"/>
            <w:hideMark/>
          </w:tcPr>
          <w:p w:rsidRPr="00B52D66" w:rsidR="00B52D66" w:rsidP="00FC2172" w:rsidRDefault="00B52D66" w14:paraId="23BEE6B2" w14:textId="77777777">
            <w:pPr>
              <w:spacing w:line="240" w:lineRule="auto"/>
              <w:jc w:val="center"/>
              <w:rPr>
                <w:rFonts w:cs="Arial"/>
                <w:szCs w:val="18"/>
                <w:lang w:val="en-GB" w:eastAsia="en-GB"/>
              </w:rPr>
            </w:pPr>
            <w:r w:rsidRPr="00B52D66">
              <w:rPr>
                <w:rFonts w:cs="Arial"/>
                <w:szCs w:val="18"/>
                <w:lang w:val="en-GB" w:eastAsia="en-GB"/>
              </w:rPr>
              <w:t>0</w:t>
            </w:r>
          </w:p>
        </w:tc>
        <w:tc>
          <w:tcPr>
            <w:tcW w:w="429" w:type="pct"/>
            <w:tcBorders>
              <w:top w:val="nil"/>
              <w:left w:val="nil"/>
              <w:bottom w:val="nil"/>
              <w:right w:val="nil"/>
            </w:tcBorders>
            <w:noWrap/>
            <w:vAlign w:val="bottom"/>
            <w:hideMark/>
          </w:tcPr>
          <w:p w:rsidRPr="00B52D66" w:rsidR="00B52D66" w:rsidP="00FC2172" w:rsidRDefault="00B52D66" w14:paraId="6DA5025E" w14:textId="77777777">
            <w:pPr>
              <w:spacing w:line="240" w:lineRule="auto"/>
              <w:jc w:val="center"/>
              <w:rPr>
                <w:rFonts w:cs="Arial"/>
                <w:szCs w:val="18"/>
                <w:lang w:val="en-GB" w:eastAsia="en-GB"/>
              </w:rPr>
            </w:pPr>
            <w:r w:rsidRPr="00B52D66">
              <w:rPr>
                <w:rFonts w:cs="Arial"/>
                <w:szCs w:val="18"/>
                <w:lang w:val="en-GB" w:eastAsia="en-GB"/>
              </w:rPr>
              <w:t>0</w:t>
            </w:r>
          </w:p>
        </w:tc>
      </w:tr>
      <w:tr w:rsidRPr="00B52D66" w:rsidR="00B52D66" w:rsidTr="00B52D66" w14:paraId="56C12F4F" w14:textId="77777777">
        <w:trPr>
          <w:trHeight w:val="230"/>
        </w:trPr>
        <w:tc>
          <w:tcPr>
            <w:tcW w:w="371" w:type="pct"/>
            <w:tcBorders>
              <w:top w:val="nil"/>
              <w:left w:val="nil"/>
              <w:bottom w:val="nil"/>
              <w:right w:val="nil"/>
            </w:tcBorders>
            <w:noWrap/>
            <w:hideMark/>
          </w:tcPr>
          <w:p w:rsidRPr="00B52D66" w:rsidR="00B52D66" w:rsidP="00FC2172" w:rsidRDefault="00B52D66" w14:paraId="5F43C99E" w14:textId="77777777">
            <w:pPr>
              <w:spacing w:line="240" w:lineRule="auto"/>
              <w:rPr>
                <w:rFonts w:cs="Arial"/>
                <w:szCs w:val="18"/>
                <w:lang w:val="en-GB" w:eastAsia="en-GB"/>
              </w:rPr>
            </w:pPr>
            <w:r w:rsidRPr="00B52D66">
              <w:rPr>
                <w:rFonts w:cs="Arial"/>
                <w:szCs w:val="18"/>
                <w:lang w:val="en-GB" w:eastAsia="en-GB"/>
              </w:rPr>
              <w:t xml:space="preserve">   MVI</w:t>
            </w:r>
          </w:p>
        </w:tc>
        <w:tc>
          <w:tcPr>
            <w:tcW w:w="347" w:type="pct"/>
            <w:tcBorders>
              <w:top w:val="nil"/>
              <w:left w:val="nil"/>
              <w:bottom w:val="nil"/>
              <w:right w:val="nil"/>
            </w:tcBorders>
            <w:noWrap/>
            <w:vAlign w:val="bottom"/>
            <w:hideMark/>
          </w:tcPr>
          <w:p w:rsidRPr="00B52D66" w:rsidR="00B52D66" w:rsidP="00FC2172" w:rsidRDefault="00B52D66" w14:paraId="469A9920" w14:textId="77777777">
            <w:pPr>
              <w:spacing w:line="240" w:lineRule="auto"/>
              <w:jc w:val="center"/>
              <w:rPr>
                <w:rFonts w:cs="Arial"/>
                <w:szCs w:val="18"/>
                <w:lang w:val="en-GB" w:eastAsia="en-GB"/>
              </w:rPr>
            </w:pPr>
            <w:r w:rsidRPr="00B52D66">
              <w:rPr>
                <w:rFonts w:cs="Arial"/>
                <w:szCs w:val="18"/>
                <w:lang w:val="en-GB" w:eastAsia="en-GB"/>
              </w:rPr>
              <w:t>23</w:t>
            </w:r>
          </w:p>
        </w:tc>
        <w:tc>
          <w:tcPr>
            <w:tcW w:w="404" w:type="pct"/>
            <w:tcBorders>
              <w:top w:val="nil"/>
              <w:left w:val="nil"/>
              <w:bottom w:val="nil"/>
              <w:right w:val="nil"/>
            </w:tcBorders>
            <w:noWrap/>
            <w:vAlign w:val="bottom"/>
            <w:hideMark/>
          </w:tcPr>
          <w:p w:rsidRPr="00B52D66" w:rsidR="00B52D66" w:rsidP="00FC2172" w:rsidRDefault="00B52D66" w14:paraId="33F13B97" w14:textId="77777777">
            <w:pPr>
              <w:spacing w:line="240" w:lineRule="auto"/>
              <w:jc w:val="center"/>
              <w:rPr>
                <w:rFonts w:cs="Arial"/>
                <w:szCs w:val="18"/>
                <w:lang w:val="en-GB" w:eastAsia="en-GB"/>
              </w:rPr>
            </w:pPr>
            <w:r w:rsidRPr="00B52D66">
              <w:rPr>
                <w:rFonts w:cs="Arial"/>
                <w:szCs w:val="18"/>
                <w:lang w:val="en-GB" w:eastAsia="en-GB"/>
              </w:rPr>
              <w:t>29</w:t>
            </w:r>
          </w:p>
        </w:tc>
        <w:tc>
          <w:tcPr>
            <w:tcW w:w="347" w:type="pct"/>
            <w:tcBorders>
              <w:top w:val="nil"/>
              <w:left w:val="nil"/>
              <w:bottom w:val="nil"/>
              <w:right w:val="nil"/>
            </w:tcBorders>
            <w:noWrap/>
            <w:vAlign w:val="bottom"/>
            <w:hideMark/>
          </w:tcPr>
          <w:p w:rsidRPr="00B52D66" w:rsidR="00B52D66" w:rsidP="00FC2172" w:rsidRDefault="00B52D66" w14:paraId="4887D6F6" w14:textId="77777777">
            <w:pPr>
              <w:spacing w:line="240" w:lineRule="auto"/>
              <w:jc w:val="center"/>
              <w:rPr>
                <w:rFonts w:cs="Arial"/>
                <w:szCs w:val="18"/>
                <w:lang w:val="en-GB" w:eastAsia="en-GB"/>
              </w:rPr>
            </w:pPr>
            <w:r w:rsidRPr="00B52D66">
              <w:rPr>
                <w:rFonts w:cs="Arial"/>
                <w:szCs w:val="18"/>
                <w:lang w:val="en-GB" w:eastAsia="en-GB"/>
              </w:rPr>
              <w:t>26</w:t>
            </w:r>
          </w:p>
        </w:tc>
        <w:tc>
          <w:tcPr>
            <w:tcW w:w="429" w:type="pct"/>
            <w:tcBorders>
              <w:top w:val="nil"/>
              <w:left w:val="nil"/>
              <w:bottom w:val="nil"/>
              <w:right w:val="nil"/>
            </w:tcBorders>
            <w:noWrap/>
            <w:vAlign w:val="bottom"/>
            <w:hideMark/>
          </w:tcPr>
          <w:p w:rsidRPr="00B52D66" w:rsidR="00B52D66" w:rsidP="00FC2172" w:rsidRDefault="00B52D66" w14:paraId="1E4E83AB" w14:textId="77777777">
            <w:pPr>
              <w:spacing w:line="240" w:lineRule="auto"/>
              <w:jc w:val="center"/>
              <w:rPr>
                <w:rFonts w:cs="Arial"/>
                <w:szCs w:val="18"/>
                <w:lang w:val="en-GB" w:eastAsia="en-GB"/>
              </w:rPr>
            </w:pPr>
            <w:r w:rsidRPr="00B52D66">
              <w:rPr>
                <w:rFonts w:cs="Arial"/>
                <w:szCs w:val="18"/>
                <w:lang w:val="en-GB" w:eastAsia="en-GB"/>
              </w:rPr>
              <w:t>28</w:t>
            </w:r>
          </w:p>
        </w:tc>
        <w:tc>
          <w:tcPr>
            <w:tcW w:w="347" w:type="pct"/>
            <w:tcBorders>
              <w:top w:val="nil"/>
              <w:left w:val="nil"/>
              <w:bottom w:val="nil"/>
              <w:right w:val="nil"/>
            </w:tcBorders>
            <w:noWrap/>
            <w:vAlign w:val="bottom"/>
            <w:hideMark/>
          </w:tcPr>
          <w:p w:rsidRPr="00B52D66" w:rsidR="00B52D66" w:rsidP="00FC2172" w:rsidRDefault="00B52D66" w14:paraId="451E0AF7" w14:textId="77777777">
            <w:pPr>
              <w:spacing w:line="240" w:lineRule="auto"/>
              <w:jc w:val="center"/>
              <w:rPr>
                <w:rFonts w:cs="Arial"/>
                <w:szCs w:val="18"/>
                <w:lang w:val="en-GB" w:eastAsia="en-GB"/>
              </w:rPr>
            </w:pPr>
            <w:r w:rsidRPr="00B52D66">
              <w:rPr>
                <w:rFonts w:cs="Arial"/>
                <w:szCs w:val="18"/>
                <w:lang w:val="en-GB" w:eastAsia="en-GB"/>
              </w:rPr>
              <w:t>22</w:t>
            </w:r>
          </w:p>
        </w:tc>
        <w:tc>
          <w:tcPr>
            <w:tcW w:w="429" w:type="pct"/>
            <w:tcBorders>
              <w:top w:val="nil"/>
              <w:left w:val="nil"/>
              <w:bottom w:val="nil"/>
              <w:right w:val="nil"/>
            </w:tcBorders>
            <w:noWrap/>
            <w:vAlign w:val="bottom"/>
            <w:hideMark/>
          </w:tcPr>
          <w:p w:rsidRPr="00B52D66" w:rsidR="00B52D66" w:rsidP="00FC2172" w:rsidRDefault="00B52D66" w14:paraId="2C978963" w14:textId="77777777">
            <w:pPr>
              <w:spacing w:line="240" w:lineRule="auto"/>
              <w:jc w:val="center"/>
              <w:rPr>
                <w:rFonts w:cs="Arial"/>
                <w:szCs w:val="18"/>
                <w:lang w:val="en-GB" w:eastAsia="en-GB"/>
              </w:rPr>
            </w:pPr>
            <w:r w:rsidRPr="00B52D66">
              <w:rPr>
                <w:rFonts w:cs="Arial"/>
                <w:szCs w:val="18"/>
                <w:lang w:val="en-GB" w:eastAsia="en-GB"/>
              </w:rPr>
              <w:t>25</w:t>
            </w:r>
          </w:p>
        </w:tc>
        <w:tc>
          <w:tcPr>
            <w:tcW w:w="347" w:type="pct"/>
            <w:tcBorders>
              <w:top w:val="nil"/>
              <w:left w:val="nil"/>
              <w:bottom w:val="nil"/>
              <w:right w:val="nil"/>
            </w:tcBorders>
            <w:noWrap/>
            <w:vAlign w:val="bottom"/>
            <w:hideMark/>
          </w:tcPr>
          <w:p w:rsidRPr="00B52D66" w:rsidR="00B52D66" w:rsidP="00FC2172" w:rsidRDefault="00B52D66" w14:paraId="4C7E64C5" w14:textId="77777777">
            <w:pPr>
              <w:spacing w:line="240" w:lineRule="auto"/>
              <w:jc w:val="center"/>
              <w:rPr>
                <w:rFonts w:cs="Arial"/>
                <w:szCs w:val="18"/>
                <w:lang w:val="en-GB" w:eastAsia="en-GB"/>
              </w:rPr>
            </w:pPr>
            <w:r w:rsidRPr="00B52D66">
              <w:rPr>
                <w:rFonts w:cs="Arial"/>
                <w:szCs w:val="18"/>
                <w:lang w:val="en-GB" w:eastAsia="en-GB"/>
              </w:rPr>
              <w:t>26</w:t>
            </w:r>
          </w:p>
        </w:tc>
        <w:tc>
          <w:tcPr>
            <w:tcW w:w="429" w:type="pct"/>
            <w:tcBorders>
              <w:top w:val="nil"/>
              <w:left w:val="nil"/>
              <w:bottom w:val="nil"/>
              <w:right w:val="nil"/>
            </w:tcBorders>
            <w:noWrap/>
            <w:vAlign w:val="bottom"/>
            <w:hideMark/>
          </w:tcPr>
          <w:p w:rsidRPr="00B52D66" w:rsidR="00B52D66" w:rsidP="00FC2172" w:rsidRDefault="00B52D66" w14:paraId="27ECB02F" w14:textId="77777777">
            <w:pPr>
              <w:spacing w:line="240" w:lineRule="auto"/>
              <w:jc w:val="center"/>
              <w:rPr>
                <w:rFonts w:cs="Arial"/>
                <w:szCs w:val="18"/>
                <w:lang w:val="en-GB" w:eastAsia="en-GB"/>
              </w:rPr>
            </w:pPr>
            <w:r w:rsidRPr="00B52D66">
              <w:rPr>
                <w:rFonts w:cs="Arial"/>
                <w:szCs w:val="18"/>
                <w:lang w:val="en-GB" w:eastAsia="en-GB"/>
              </w:rPr>
              <w:t>23</w:t>
            </w:r>
          </w:p>
        </w:tc>
        <w:tc>
          <w:tcPr>
            <w:tcW w:w="347" w:type="pct"/>
            <w:tcBorders>
              <w:top w:val="nil"/>
              <w:left w:val="nil"/>
              <w:bottom w:val="nil"/>
              <w:right w:val="nil"/>
            </w:tcBorders>
            <w:noWrap/>
            <w:vAlign w:val="bottom"/>
            <w:hideMark/>
          </w:tcPr>
          <w:p w:rsidRPr="00B52D66" w:rsidR="00B52D66" w:rsidP="00FC2172" w:rsidRDefault="00B52D66" w14:paraId="3E2FD404" w14:textId="77777777">
            <w:pPr>
              <w:spacing w:line="240" w:lineRule="auto"/>
              <w:jc w:val="center"/>
              <w:rPr>
                <w:rFonts w:cs="Arial"/>
                <w:szCs w:val="18"/>
                <w:lang w:val="en-GB" w:eastAsia="en-GB"/>
              </w:rPr>
            </w:pPr>
            <w:r w:rsidRPr="00B52D66">
              <w:rPr>
                <w:rFonts w:cs="Arial"/>
                <w:szCs w:val="18"/>
                <w:lang w:val="en-GB" w:eastAsia="en-GB"/>
              </w:rPr>
              <w:t>23</w:t>
            </w:r>
          </w:p>
        </w:tc>
        <w:tc>
          <w:tcPr>
            <w:tcW w:w="429" w:type="pct"/>
            <w:tcBorders>
              <w:top w:val="nil"/>
              <w:left w:val="nil"/>
              <w:bottom w:val="nil"/>
              <w:right w:val="nil"/>
            </w:tcBorders>
            <w:noWrap/>
            <w:vAlign w:val="bottom"/>
            <w:hideMark/>
          </w:tcPr>
          <w:p w:rsidRPr="00B52D66" w:rsidR="00B52D66" w:rsidP="00FC2172" w:rsidRDefault="00B52D66" w14:paraId="4BE5683B" w14:textId="77777777">
            <w:pPr>
              <w:spacing w:line="240" w:lineRule="auto"/>
              <w:jc w:val="center"/>
              <w:rPr>
                <w:rFonts w:cs="Arial"/>
                <w:szCs w:val="18"/>
                <w:lang w:val="en-GB" w:eastAsia="en-GB"/>
              </w:rPr>
            </w:pPr>
            <w:r w:rsidRPr="00B52D66">
              <w:rPr>
                <w:rFonts w:cs="Arial"/>
                <w:szCs w:val="18"/>
                <w:lang w:val="en-GB" w:eastAsia="en-GB"/>
              </w:rPr>
              <w:t>26</w:t>
            </w:r>
          </w:p>
        </w:tc>
        <w:tc>
          <w:tcPr>
            <w:tcW w:w="347" w:type="pct"/>
            <w:tcBorders>
              <w:top w:val="nil"/>
              <w:left w:val="nil"/>
              <w:bottom w:val="nil"/>
              <w:right w:val="nil"/>
            </w:tcBorders>
            <w:noWrap/>
            <w:vAlign w:val="bottom"/>
            <w:hideMark/>
          </w:tcPr>
          <w:p w:rsidRPr="00B52D66" w:rsidR="00B52D66" w:rsidP="00FC2172" w:rsidRDefault="00B52D66" w14:paraId="3ADC83EA" w14:textId="77777777">
            <w:pPr>
              <w:spacing w:line="240" w:lineRule="auto"/>
              <w:jc w:val="center"/>
              <w:rPr>
                <w:rFonts w:cs="Arial"/>
                <w:szCs w:val="18"/>
                <w:lang w:val="en-GB" w:eastAsia="en-GB"/>
              </w:rPr>
            </w:pPr>
            <w:r w:rsidRPr="00B52D66">
              <w:rPr>
                <w:rFonts w:cs="Arial"/>
                <w:szCs w:val="18"/>
                <w:lang w:val="en-GB" w:eastAsia="en-GB"/>
              </w:rPr>
              <w:t>25</w:t>
            </w:r>
          </w:p>
        </w:tc>
        <w:tc>
          <w:tcPr>
            <w:tcW w:w="429" w:type="pct"/>
            <w:tcBorders>
              <w:top w:val="nil"/>
              <w:left w:val="nil"/>
              <w:bottom w:val="nil"/>
              <w:right w:val="nil"/>
            </w:tcBorders>
            <w:noWrap/>
            <w:vAlign w:val="bottom"/>
            <w:hideMark/>
          </w:tcPr>
          <w:p w:rsidRPr="00B52D66" w:rsidR="00B52D66" w:rsidP="00FC2172" w:rsidRDefault="00B52D66" w14:paraId="38BD71BD" w14:textId="77777777">
            <w:pPr>
              <w:spacing w:line="240" w:lineRule="auto"/>
              <w:jc w:val="center"/>
              <w:rPr>
                <w:rFonts w:cs="Arial"/>
                <w:szCs w:val="18"/>
                <w:lang w:val="en-GB" w:eastAsia="en-GB"/>
              </w:rPr>
            </w:pPr>
            <w:r w:rsidRPr="00B52D66">
              <w:rPr>
                <w:rFonts w:cs="Arial"/>
                <w:szCs w:val="18"/>
                <w:lang w:val="en-GB" w:eastAsia="en-GB"/>
              </w:rPr>
              <w:t>25</w:t>
            </w:r>
          </w:p>
        </w:tc>
      </w:tr>
      <w:tr w:rsidRPr="00B52D66" w:rsidR="00B52D66" w:rsidTr="00B52D66" w14:paraId="74F118A9" w14:textId="77777777">
        <w:trPr>
          <w:trHeight w:val="230"/>
        </w:trPr>
        <w:tc>
          <w:tcPr>
            <w:tcW w:w="371" w:type="pct"/>
            <w:tcBorders>
              <w:top w:val="nil"/>
              <w:left w:val="nil"/>
              <w:bottom w:val="nil"/>
              <w:right w:val="nil"/>
            </w:tcBorders>
            <w:noWrap/>
            <w:hideMark/>
          </w:tcPr>
          <w:p w:rsidRPr="00B52D66" w:rsidR="00B52D66" w:rsidP="00FC2172" w:rsidRDefault="00B52D66" w14:paraId="4C40C6C2" w14:textId="77777777">
            <w:pPr>
              <w:spacing w:line="240" w:lineRule="auto"/>
              <w:rPr>
                <w:rFonts w:cs="Arial"/>
                <w:szCs w:val="18"/>
                <w:lang w:val="en-GB" w:eastAsia="en-GB"/>
              </w:rPr>
            </w:pPr>
            <w:r w:rsidRPr="00B52D66">
              <w:rPr>
                <w:rFonts w:cs="Arial"/>
                <w:szCs w:val="18"/>
                <w:lang w:val="en-GB" w:eastAsia="en-GB"/>
              </w:rPr>
              <w:t xml:space="preserve">   M&amp;T</w:t>
            </w:r>
          </w:p>
        </w:tc>
        <w:tc>
          <w:tcPr>
            <w:tcW w:w="347" w:type="pct"/>
            <w:tcBorders>
              <w:top w:val="nil"/>
              <w:left w:val="nil"/>
              <w:bottom w:val="nil"/>
              <w:right w:val="nil"/>
            </w:tcBorders>
            <w:noWrap/>
            <w:vAlign w:val="bottom"/>
            <w:hideMark/>
          </w:tcPr>
          <w:p w:rsidRPr="00B52D66" w:rsidR="00B52D66" w:rsidP="00FC2172" w:rsidRDefault="00B52D66" w14:paraId="6C15F13E" w14:textId="77777777">
            <w:pPr>
              <w:spacing w:line="240" w:lineRule="auto"/>
              <w:jc w:val="center"/>
              <w:rPr>
                <w:rFonts w:cs="Arial"/>
                <w:szCs w:val="18"/>
                <w:lang w:val="en-GB" w:eastAsia="en-GB"/>
              </w:rPr>
            </w:pPr>
            <w:r w:rsidRPr="00B52D66">
              <w:rPr>
                <w:rFonts w:cs="Arial"/>
                <w:szCs w:val="18"/>
                <w:lang w:val="en-GB" w:eastAsia="en-GB"/>
              </w:rPr>
              <w:t>43</w:t>
            </w:r>
          </w:p>
        </w:tc>
        <w:tc>
          <w:tcPr>
            <w:tcW w:w="404" w:type="pct"/>
            <w:tcBorders>
              <w:top w:val="nil"/>
              <w:left w:val="nil"/>
              <w:bottom w:val="nil"/>
              <w:right w:val="nil"/>
            </w:tcBorders>
            <w:noWrap/>
            <w:vAlign w:val="bottom"/>
            <w:hideMark/>
          </w:tcPr>
          <w:p w:rsidRPr="00B52D66" w:rsidR="00B52D66" w:rsidP="00FC2172" w:rsidRDefault="00B52D66" w14:paraId="20D4BF87" w14:textId="77777777">
            <w:pPr>
              <w:spacing w:line="240" w:lineRule="auto"/>
              <w:jc w:val="center"/>
              <w:rPr>
                <w:rFonts w:cs="Arial"/>
                <w:szCs w:val="18"/>
                <w:lang w:val="en-GB" w:eastAsia="en-GB"/>
              </w:rPr>
            </w:pPr>
            <w:r w:rsidRPr="00B52D66">
              <w:rPr>
                <w:rFonts w:cs="Arial"/>
                <w:szCs w:val="18"/>
                <w:lang w:val="en-GB" w:eastAsia="en-GB"/>
              </w:rPr>
              <w:t>47</w:t>
            </w:r>
          </w:p>
        </w:tc>
        <w:tc>
          <w:tcPr>
            <w:tcW w:w="347" w:type="pct"/>
            <w:tcBorders>
              <w:top w:val="nil"/>
              <w:left w:val="nil"/>
              <w:bottom w:val="nil"/>
              <w:right w:val="nil"/>
            </w:tcBorders>
            <w:noWrap/>
            <w:vAlign w:val="bottom"/>
            <w:hideMark/>
          </w:tcPr>
          <w:p w:rsidRPr="00B52D66" w:rsidR="00B52D66" w:rsidP="00FC2172" w:rsidRDefault="00B52D66" w14:paraId="1CC45604" w14:textId="77777777">
            <w:pPr>
              <w:spacing w:line="240" w:lineRule="auto"/>
              <w:jc w:val="center"/>
              <w:rPr>
                <w:rFonts w:cs="Arial"/>
                <w:szCs w:val="18"/>
                <w:lang w:val="en-GB" w:eastAsia="en-GB"/>
              </w:rPr>
            </w:pPr>
            <w:r w:rsidRPr="00B52D66">
              <w:rPr>
                <w:rFonts w:cs="Arial"/>
                <w:szCs w:val="18"/>
                <w:lang w:val="en-GB" w:eastAsia="en-GB"/>
              </w:rPr>
              <w:t>43</w:t>
            </w:r>
          </w:p>
        </w:tc>
        <w:tc>
          <w:tcPr>
            <w:tcW w:w="429" w:type="pct"/>
            <w:tcBorders>
              <w:top w:val="nil"/>
              <w:left w:val="nil"/>
              <w:bottom w:val="nil"/>
              <w:right w:val="nil"/>
            </w:tcBorders>
            <w:noWrap/>
            <w:vAlign w:val="bottom"/>
            <w:hideMark/>
          </w:tcPr>
          <w:p w:rsidRPr="00B52D66" w:rsidR="00B52D66" w:rsidP="00FC2172" w:rsidRDefault="00B52D66" w14:paraId="3324A53B" w14:textId="77777777">
            <w:pPr>
              <w:spacing w:line="240" w:lineRule="auto"/>
              <w:jc w:val="center"/>
              <w:rPr>
                <w:rFonts w:cs="Arial"/>
                <w:szCs w:val="18"/>
                <w:lang w:val="en-GB" w:eastAsia="en-GB"/>
              </w:rPr>
            </w:pPr>
            <w:r w:rsidRPr="00B52D66">
              <w:rPr>
                <w:rFonts w:cs="Arial"/>
                <w:szCs w:val="18"/>
                <w:lang w:val="en-GB" w:eastAsia="en-GB"/>
              </w:rPr>
              <w:t>42</w:t>
            </w:r>
          </w:p>
        </w:tc>
        <w:tc>
          <w:tcPr>
            <w:tcW w:w="347" w:type="pct"/>
            <w:tcBorders>
              <w:top w:val="nil"/>
              <w:left w:val="nil"/>
              <w:bottom w:val="nil"/>
              <w:right w:val="nil"/>
            </w:tcBorders>
            <w:noWrap/>
            <w:vAlign w:val="bottom"/>
            <w:hideMark/>
          </w:tcPr>
          <w:p w:rsidRPr="00B52D66" w:rsidR="00B52D66" w:rsidP="00FC2172" w:rsidRDefault="00B52D66" w14:paraId="1FE390BE" w14:textId="77777777">
            <w:pPr>
              <w:spacing w:line="240" w:lineRule="auto"/>
              <w:jc w:val="center"/>
              <w:rPr>
                <w:rFonts w:cs="Arial"/>
                <w:szCs w:val="18"/>
                <w:lang w:val="en-GB" w:eastAsia="en-GB"/>
              </w:rPr>
            </w:pPr>
            <w:r w:rsidRPr="00B52D66">
              <w:rPr>
                <w:rFonts w:cs="Arial"/>
                <w:szCs w:val="18"/>
                <w:lang w:val="en-GB" w:eastAsia="en-GB"/>
              </w:rPr>
              <w:t>37</w:t>
            </w:r>
          </w:p>
        </w:tc>
        <w:tc>
          <w:tcPr>
            <w:tcW w:w="429" w:type="pct"/>
            <w:tcBorders>
              <w:top w:val="nil"/>
              <w:left w:val="nil"/>
              <w:bottom w:val="nil"/>
              <w:right w:val="nil"/>
            </w:tcBorders>
            <w:noWrap/>
            <w:vAlign w:val="bottom"/>
            <w:hideMark/>
          </w:tcPr>
          <w:p w:rsidRPr="00B52D66" w:rsidR="00B52D66" w:rsidP="00FC2172" w:rsidRDefault="00B52D66" w14:paraId="7834875C" w14:textId="77777777">
            <w:pPr>
              <w:spacing w:line="240" w:lineRule="auto"/>
              <w:jc w:val="center"/>
              <w:rPr>
                <w:rFonts w:cs="Arial"/>
                <w:szCs w:val="18"/>
                <w:lang w:val="en-GB" w:eastAsia="en-GB"/>
              </w:rPr>
            </w:pPr>
            <w:r w:rsidRPr="00B52D66">
              <w:rPr>
                <w:rFonts w:cs="Arial"/>
                <w:szCs w:val="18"/>
                <w:lang w:val="en-GB" w:eastAsia="en-GB"/>
              </w:rPr>
              <w:t>34</w:t>
            </w:r>
          </w:p>
        </w:tc>
        <w:tc>
          <w:tcPr>
            <w:tcW w:w="347" w:type="pct"/>
            <w:tcBorders>
              <w:top w:val="nil"/>
              <w:left w:val="nil"/>
              <w:bottom w:val="nil"/>
              <w:right w:val="nil"/>
            </w:tcBorders>
            <w:noWrap/>
            <w:vAlign w:val="bottom"/>
            <w:hideMark/>
          </w:tcPr>
          <w:p w:rsidRPr="00B52D66" w:rsidR="00B52D66" w:rsidP="00FC2172" w:rsidRDefault="00B52D66" w14:paraId="1239D96C" w14:textId="77777777">
            <w:pPr>
              <w:spacing w:line="240" w:lineRule="auto"/>
              <w:jc w:val="center"/>
              <w:rPr>
                <w:rFonts w:cs="Arial"/>
                <w:szCs w:val="18"/>
                <w:lang w:val="en-GB" w:eastAsia="en-GB"/>
              </w:rPr>
            </w:pPr>
            <w:r w:rsidRPr="00B52D66">
              <w:rPr>
                <w:rFonts w:cs="Arial"/>
                <w:szCs w:val="18"/>
                <w:lang w:val="en-GB" w:eastAsia="en-GB"/>
              </w:rPr>
              <w:t>40</w:t>
            </w:r>
          </w:p>
        </w:tc>
        <w:tc>
          <w:tcPr>
            <w:tcW w:w="429" w:type="pct"/>
            <w:tcBorders>
              <w:top w:val="nil"/>
              <w:left w:val="nil"/>
              <w:bottom w:val="nil"/>
              <w:right w:val="nil"/>
            </w:tcBorders>
            <w:noWrap/>
            <w:vAlign w:val="bottom"/>
            <w:hideMark/>
          </w:tcPr>
          <w:p w:rsidRPr="00B52D66" w:rsidR="00B52D66" w:rsidP="00FC2172" w:rsidRDefault="00B52D66" w14:paraId="5056C798" w14:textId="77777777">
            <w:pPr>
              <w:spacing w:line="240" w:lineRule="auto"/>
              <w:jc w:val="center"/>
              <w:rPr>
                <w:rFonts w:cs="Arial"/>
                <w:szCs w:val="18"/>
                <w:lang w:val="en-GB" w:eastAsia="en-GB"/>
              </w:rPr>
            </w:pPr>
            <w:r w:rsidRPr="00B52D66">
              <w:rPr>
                <w:rFonts w:cs="Arial"/>
                <w:szCs w:val="18"/>
                <w:lang w:val="en-GB" w:eastAsia="en-GB"/>
              </w:rPr>
              <w:t>39</w:t>
            </w:r>
          </w:p>
        </w:tc>
        <w:tc>
          <w:tcPr>
            <w:tcW w:w="347" w:type="pct"/>
            <w:tcBorders>
              <w:top w:val="nil"/>
              <w:left w:val="nil"/>
              <w:bottom w:val="nil"/>
              <w:right w:val="nil"/>
            </w:tcBorders>
            <w:noWrap/>
            <w:vAlign w:val="bottom"/>
            <w:hideMark/>
          </w:tcPr>
          <w:p w:rsidRPr="00B52D66" w:rsidR="00B52D66" w:rsidP="00FC2172" w:rsidRDefault="00B52D66" w14:paraId="2C33F760" w14:textId="77777777">
            <w:pPr>
              <w:spacing w:line="240" w:lineRule="auto"/>
              <w:jc w:val="center"/>
              <w:rPr>
                <w:rFonts w:cs="Arial"/>
                <w:szCs w:val="18"/>
                <w:lang w:val="en-GB" w:eastAsia="en-GB"/>
              </w:rPr>
            </w:pPr>
            <w:r w:rsidRPr="00B52D66">
              <w:rPr>
                <w:rFonts w:cs="Arial"/>
                <w:szCs w:val="18"/>
                <w:lang w:val="en-GB" w:eastAsia="en-GB"/>
              </w:rPr>
              <w:t>41</w:t>
            </w:r>
          </w:p>
        </w:tc>
        <w:tc>
          <w:tcPr>
            <w:tcW w:w="429" w:type="pct"/>
            <w:tcBorders>
              <w:top w:val="nil"/>
              <w:left w:val="nil"/>
              <w:bottom w:val="nil"/>
              <w:right w:val="nil"/>
            </w:tcBorders>
            <w:noWrap/>
            <w:vAlign w:val="bottom"/>
            <w:hideMark/>
          </w:tcPr>
          <w:p w:rsidRPr="00B52D66" w:rsidR="00B52D66" w:rsidP="00FC2172" w:rsidRDefault="00B52D66" w14:paraId="60A5D997" w14:textId="77777777">
            <w:pPr>
              <w:spacing w:line="240" w:lineRule="auto"/>
              <w:jc w:val="center"/>
              <w:rPr>
                <w:rFonts w:cs="Arial"/>
                <w:szCs w:val="18"/>
                <w:lang w:val="en-GB" w:eastAsia="en-GB"/>
              </w:rPr>
            </w:pPr>
            <w:r w:rsidRPr="00B52D66">
              <w:rPr>
                <w:rFonts w:cs="Arial"/>
                <w:szCs w:val="18"/>
                <w:lang w:val="en-GB" w:eastAsia="en-GB"/>
              </w:rPr>
              <w:t>42</w:t>
            </w:r>
          </w:p>
        </w:tc>
        <w:tc>
          <w:tcPr>
            <w:tcW w:w="347" w:type="pct"/>
            <w:tcBorders>
              <w:top w:val="nil"/>
              <w:left w:val="nil"/>
              <w:bottom w:val="nil"/>
              <w:right w:val="nil"/>
            </w:tcBorders>
            <w:noWrap/>
            <w:vAlign w:val="bottom"/>
            <w:hideMark/>
          </w:tcPr>
          <w:p w:rsidRPr="00B52D66" w:rsidR="00B52D66" w:rsidP="00FC2172" w:rsidRDefault="00B52D66" w14:paraId="55996D24" w14:textId="77777777">
            <w:pPr>
              <w:spacing w:line="240" w:lineRule="auto"/>
              <w:jc w:val="center"/>
              <w:rPr>
                <w:rFonts w:cs="Arial"/>
                <w:szCs w:val="18"/>
                <w:lang w:val="en-GB" w:eastAsia="en-GB"/>
              </w:rPr>
            </w:pPr>
            <w:r w:rsidRPr="00B52D66">
              <w:rPr>
                <w:rFonts w:cs="Arial"/>
                <w:szCs w:val="18"/>
                <w:lang w:val="en-GB" w:eastAsia="en-GB"/>
              </w:rPr>
              <w:t>46</w:t>
            </w:r>
          </w:p>
        </w:tc>
        <w:tc>
          <w:tcPr>
            <w:tcW w:w="429" w:type="pct"/>
            <w:tcBorders>
              <w:top w:val="nil"/>
              <w:left w:val="nil"/>
              <w:bottom w:val="nil"/>
              <w:right w:val="nil"/>
            </w:tcBorders>
            <w:noWrap/>
            <w:vAlign w:val="bottom"/>
            <w:hideMark/>
          </w:tcPr>
          <w:p w:rsidRPr="00B52D66" w:rsidR="00B52D66" w:rsidP="00FC2172" w:rsidRDefault="00B52D66" w14:paraId="79FCDE82" w14:textId="77777777">
            <w:pPr>
              <w:spacing w:line="240" w:lineRule="auto"/>
              <w:jc w:val="center"/>
              <w:rPr>
                <w:rFonts w:cs="Arial"/>
                <w:szCs w:val="18"/>
                <w:lang w:val="en-GB" w:eastAsia="en-GB"/>
              </w:rPr>
            </w:pPr>
            <w:r w:rsidRPr="00B52D66">
              <w:rPr>
                <w:rFonts w:cs="Arial"/>
                <w:szCs w:val="18"/>
                <w:lang w:val="en-GB" w:eastAsia="en-GB"/>
              </w:rPr>
              <w:t>47</w:t>
            </w:r>
          </w:p>
        </w:tc>
      </w:tr>
      <w:tr w:rsidRPr="00B52D66" w:rsidR="00B52D66" w:rsidTr="00B52D66" w14:paraId="5D83B1EB" w14:textId="77777777">
        <w:trPr>
          <w:trHeight w:val="230"/>
        </w:trPr>
        <w:tc>
          <w:tcPr>
            <w:tcW w:w="371" w:type="pct"/>
            <w:tcBorders>
              <w:top w:val="nil"/>
              <w:left w:val="nil"/>
              <w:bottom w:val="nil"/>
              <w:right w:val="nil"/>
            </w:tcBorders>
            <w:noWrap/>
            <w:hideMark/>
          </w:tcPr>
          <w:p w:rsidRPr="00B52D66" w:rsidR="00B52D66" w:rsidP="00FC2172" w:rsidRDefault="00B52D66" w14:paraId="604BF9EA" w14:textId="77777777">
            <w:pPr>
              <w:spacing w:line="240" w:lineRule="auto"/>
              <w:rPr>
                <w:rFonts w:cs="Arial"/>
                <w:szCs w:val="18"/>
                <w:lang w:val="en-GB" w:eastAsia="en-GB"/>
              </w:rPr>
            </w:pPr>
            <w:r w:rsidRPr="00B52D66">
              <w:rPr>
                <w:rFonts w:cs="Arial"/>
                <w:szCs w:val="18"/>
                <w:lang w:val="en-GB" w:eastAsia="en-GB"/>
              </w:rPr>
              <w:t xml:space="preserve">   PIE</w:t>
            </w:r>
          </w:p>
        </w:tc>
        <w:tc>
          <w:tcPr>
            <w:tcW w:w="347" w:type="pct"/>
            <w:tcBorders>
              <w:top w:val="nil"/>
              <w:left w:val="nil"/>
              <w:bottom w:val="nil"/>
              <w:right w:val="nil"/>
            </w:tcBorders>
            <w:noWrap/>
            <w:vAlign w:val="bottom"/>
            <w:hideMark/>
          </w:tcPr>
          <w:p w:rsidRPr="00B52D66" w:rsidR="00B52D66" w:rsidP="00FC2172" w:rsidRDefault="00B52D66" w14:paraId="5DBF5CD9" w14:textId="77777777">
            <w:pPr>
              <w:spacing w:line="240" w:lineRule="auto"/>
              <w:jc w:val="center"/>
              <w:rPr>
                <w:rFonts w:cs="Arial"/>
                <w:szCs w:val="18"/>
                <w:lang w:val="en-GB" w:eastAsia="en-GB"/>
              </w:rPr>
            </w:pPr>
            <w:r w:rsidRPr="00B52D66">
              <w:rPr>
                <w:rFonts w:cs="Arial"/>
                <w:szCs w:val="18"/>
                <w:lang w:val="en-GB" w:eastAsia="en-GB"/>
              </w:rPr>
              <w:t>84</w:t>
            </w:r>
          </w:p>
        </w:tc>
        <w:tc>
          <w:tcPr>
            <w:tcW w:w="404" w:type="pct"/>
            <w:tcBorders>
              <w:top w:val="nil"/>
              <w:left w:val="nil"/>
              <w:bottom w:val="nil"/>
              <w:right w:val="nil"/>
            </w:tcBorders>
            <w:noWrap/>
            <w:vAlign w:val="bottom"/>
            <w:hideMark/>
          </w:tcPr>
          <w:p w:rsidRPr="00B52D66" w:rsidR="00B52D66" w:rsidP="00FC2172" w:rsidRDefault="00B52D66" w14:paraId="1159DEAE" w14:textId="77777777">
            <w:pPr>
              <w:spacing w:line="240" w:lineRule="auto"/>
              <w:jc w:val="center"/>
              <w:rPr>
                <w:rFonts w:cs="Arial"/>
                <w:szCs w:val="18"/>
                <w:lang w:val="en-GB" w:eastAsia="en-GB"/>
              </w:rPr>
            </w:pPr>
            <w:r w:rsidRPr="00B52D66">
              <w:rPr>
                <w:rFonts w:cs="Arial"/>
                <w:szCs w:val="18"/>
                <w:lang w:val="en-GB" w:eastAsia="en-GB"/>
              </w:rPr>
              <w:t>86</w:t>
            </w:r>
          </w:p>
        </w:tc>
        <w:tc>
          <w:tcPr>
            <w:tcW w:w="347" w:type="pct"/>
            <w:tcBorders>
              <w:top w:val="nil"/>
              <w:left w:val="nil"/>
              <w:bottom w:val="nil"/>
              <w:right w:val="nil"/>
            </w:tcBorders>
            <w:noWrap/>
            <w:vAlign w:val="bottom"/>
            <w:hideMark/>
          </w:tcPr>
          <w:p w:rsidRPr="00B52D66" w:rsidR="00B52D66" w:rsidP="00FC2172" w:rsidRDefault="00B52D66" w14:paraId="3FC077A0" w14:textId="77777777">
            <w:pPr>
              <w:spacing w:line="240" w:lineRule="auto"/>
              <w:jc w:val="center"/>
              <w:rPr>
                <w:rFonts w:cs="Arial"/>
                <w:szCs w:val="18"/>
                <w:lang w:val="en-GB" w:eastAsia="en-GB"/>
              </w:rPr>
            </w:pPr>
            <w:r w:rsidRPr="00B52D66">
              <w:rPr>
                <w:rFonts w:cs="Arial"/>
                <w:szCs w:val="18"/>
                <w:lang w:val="en-GB" w:eastAsia="en-GB"/>
              </w:rPr>
              <w:t>84</w:t>
            </w:r>
          </w:p>
        </w:tc>
        <w:tc>
          <w:tcPr>
            <w:tcW w:w="429" w:type="pct"/>
            <w:tcBorders>
              <w:top w:val="nil"/>
              <w:left w:val="nil"/>
              <w:bottom w:val="nil"/>
              <w:right w:val="nil"/>
            </w:tcBorders>
            <w:noWrap/>
            <w:vAlign w:val="bottom"/>
            <w:hideMark/>
          </w:tcPr>
          <w:p w:rsidRPr="00B52D66" w:rsidR="00B52D66" w:rsidP="00FC2172" w:rsidRDefault="00B52D66" w14:paraId="55BA1ABA" w14:textId="77777777">
            <w:pPr>
              <w:spacing w:line="240" w:lineRule="auto"/>
              <w:jc w:val="center"/>
              <w:rPr>
                <w:rFonts w:cs="Arial"/>
                <w:szCs w:val="18"/>
                <w:lang w:val="en-GB" w:eastAsia="en-GB"/>
              </w:rPr>
            </w:pPr>
            <w:r w:rsidRPr="00B52D66">
              <w:rPr>
                <w:rFonts w:cs="Arial"/>
                <w:szCs w:val="18"/>
                <w:lang w:val="en-GB" w:eastAsia="en-GB"/>
              </w:rPr>
              <w:t>84</w:t>
            </w:r>
          </w:p>
        </w:tc>
        <w:tc>
          <w:tcPr>
            <w:tcW w:w="347" w:type="pct"/>
            <w:tcBorders>
              <w:top w:val="nil"/>
              <w:left w:val="nil"/>
              <w:bottom w:val="nil"/>
              <w:right w:val="nil"/>
            </w:tcBorders>
            <w:noWrap/>
            <w:vAlign w:val="bottom"/>
            <w:hideMark/>
          </w:tcPr>
          <w:p w:rsidRPr="00B52D66" w:rsidR="00B52D66" w:rsidP="00FC2172" w:rsidRDefault="00B52D66" w14:paraId="5FA03719" w14:textId="77777777">
            <w:pPr>
              <w:spacing w:line="240" w:lineRule="auto"/>
              <w:jc w:val="center"/>
              <w:rPr>
                <w:rFonts w:cs="Arial"/>
                <w:szCs w:val="18"/>
                <w:lang w:val="en-GB" w:eastAsia="en-GB"/>
              </w:rPr>
            </w:pPr>
            <w:r w:rsidRPr="00B52D66">
              <w:rPr>
                <w:rFonts w:cs="Arial"/>
                <w:szCs w:val="18"/>
                <w:lang w:val="en-GB" w:eastAsia="en-GB"/>
              </w:rPr>
              <w:t>84</w:t>
            </w:r>
          </w:p>
        </w:tc>
        <w:tc>
          <w:tcPr>
            <w:tcW w:w="429" w:type="pct"/>
            <w:tcBorders>
              <w:top w:val="nil"/>
              <w:left w:val="nil"/>
              <w:bottom w:val="nil"/>
              <w:right w:val="nil"/>
            </w:tcBorders>
            <w:noWrap/>
            <w:vAlign w:val="bottom"/>
            <w:hideMark/>
          </w:tcPr>
          <w:p w:rsidRPr="00B52D66" w:rsidR="00B52D66" w:rsidP="00FC2172" w:rsidRDefault="00B52D66" w14:paraId="206E98A5" w14:textId="77777777">
            <w:pPr>
              <w:spacing w:line="240" w:lineRule="auto"/>
              <w:jc w:val="center"/>
              <w:rPr>
                <w:rFonts w:cs="Arial"/>
                <w:szCs w:val="18"/>
                <w:lang w:val="en-GB" w:eastAsia="en-GB"/>
              </w:rPr>
            </w:pPr>
            <w:r w:rsidRPr="00B52D66">
              <w:rPr>
                <w:rFonts w:cs="Arial"/>
                <w:szCs w:val="18"/>
                <w:lang w:val="en-GB" w:eastAsia="en-GB"/>
              </w:rPr>
              <w:t>85</w:t>
            </w:r>
          </w:p>
        </w:tc>
        <w:tc>
          <w:tcPr>
            <w:tcW w:w="347" w:type="pct"/>
            <w:tcBorders>
              <w:top w:val="nil"/>
              <w:left w:val="nil"/>
              <w:bottom w:val="nil"/>
              <w:right w:val="nil"/>
            </w:tcBorders>
            <w:noWrap/>
            <w:vAlign w:val="bottom"/>
            <w:hideMark/>
          </w:tcPr>
          <w:p w:rsidRPr="00B52D66" w:rsidR="00B52D66" w:rsidP="00FC2172" w:rsidRDefault="00B52D66" w14:paraId="4DE2AE42" w14:textId="77777777">
            <w:pPr>
              <w:spacing w:line="240" w:lineRule="auto"/>
              <w:jc w:val="center"/>
              <w:rPr>
                <w:rFonts w:cs="Arial"/>
                <w:szCs w:val="18"/>
                <w:lang w:val="en-GB" w:eastAsia="en-GB"/>
              </w:rPr>
            </w:pPr>
            <w:r w:rsidRPr="00B52D66">
              <w:rPr>
                <w:rFonts w:cs="Arial"/>
                <w:szCs w:val="18"/>
                <w:lang w:val="en-GB" w:eastAsia="en-GB"/>
              </w:rPr>
              <w:t>81</w:t>
            </w:r>
          </w:p>
        </w:tc>
        <w:tc>
          <w:tcPr>
            <w:tcW w:w="429" w:type="pct"/>
            <w:tcBorders>
              <w:top w:val="nil"/>
              <w:left w:val="nil"/>
              <w:bottom w:val="nil"/>
              <w:right w:val="nil"/>
            </w:tcBorders>
            <w:noWrap/>
            <w:vAlign w:val="bottom"/>
            <w:hideMark/>
          </w:tcPr>
          <w:p w:rsidRPr="00B52D66" w:rsidR="00B52D66" w:rsidP="00FC2172" w:rsidRDefault="00B52D66" w14:paraId="0C43FC49" w14:textId="77777777">
            <w:pPr>
              <w:spacing w:line="240" w:lineRule="auto"/>
              <w:jc w:val="center"/>
              <w:rPr>
                <w:rFonts w:cs="Arial"/>
                <w:szCs w:val="18"/>
                <w:lang w:val="en-GB" w:eastAsia="en-GB"/>
              </w:rPr>
            </w:pPr>
            <w:r w:rsidRPr="00B52D66">
              <w:rPr>
                <w:rFonts w:cs="Arial"/>
                <w:szCs w:val="18"/>
                <w:lang w:val="en-GB" w:eastAsia="en-GB"/>
              </w:rPr>
              <w:t>85</w:t>
            </w:r>
          </w:p>
        </w:tc>
        <w:tc>
          <w:tcPr>
            <w:tcW w:w="347" w:type="pct"/>
            <w:tcBorders>
              <w:top w:val="nil"/>
              <w:left w:val="nil"/>
              <w:bottom w:val="nil"/>
              <w:right w:val="nil"/>
            </w:tcBorders>
            <w:noWrap/>
            <w:vAlign w:val="bottom"/>
            <w:hideMark/>
          </w:tcPr>
          <w:p w:rsidRPr="00B52D66" w:rsidR="00B52D66" w:rsidP="00FC2172" w:rsidRDefault="00B52D66" w14:paraId="27323BFC" w14:textId="77777777">
            <w:pPr>
              <w:spacing w:line="240" w:lineRule="auto"/>
              <w:jc w:val="center"/>
              <w:rPr>
                <w:rFonts w:cs="Arial"/>
                <w:szCs w:val="18"/>
                <w:lang w:val="en-GB" w:eastAsia="en-GB"/>
              </w:rPr>
            </w:pPr>
            <w:r w:rsidRPr="00B52D66">
              <w:rPr>
                <w:rFonts w:cs="Arial"/>
                <w:szCs w:val="18"/>
                <w:lang w:val="en-GB" w:eastAsia="en-GB"/>
              </w:rPr>
              <w:t>81</w:t>
            </w:r>
          </w:p>
        </w:tc>
        <w:tc>
          <w:tcPr>
            <w:tcW w:w="429" w:type="pct"/>
            <w:tcBorders>
              <w:top w:val="nil"/>
              <w:left w:val="nil"/>
              <w:bottom w:val="nil"/>
              <w:right w:val="nil"/>
            </w:tcBorders>
            <w:noWrap/>
            <w:vAlign w:val="bottom"/>
            <w:hideMark/>
          </w:tcPr>
          <w:p w:rsidRPr="00B52D66" w:rsidR="00B52D66" w:rsidP="00FC2172" w:rsidRDefault="00B52D66" w14:paraId="4D34069E" w14:textId="77777777">
            <w:pPr>
              <w:spacing w:line="240" w:lineRule="auto"/>
              <w:jc w:val="center"/>
              <w:rPr>
                <w:rFonts w:cs="Arial"/>
                <w:szCs w:val="18"/>
                <w:lang w:val="en-GB" w:eastAsia="en-GB"/>
              </w:rPr>
            </w:pPr>
            <w:r w:rsidRPr="00B52D66">
              <w:rPr>
                <w:rFonts w:cs="Arial"/>
                <w:szCs w:val="18"/>
                <w:lang w:val="en-GB" w:eastAsia="en-GB"/>
              </w:rPr>
              <w:t>83</w:t>
            </w:r>
          </w:p>
        </w:tc>
        <w:tc>
          <w:tcPr>
            <w:tcW w:w="347" w:type="pct"/>
            <w:tcBorders>
              <w:top w:val="nil"/>
              <w:left w:val="nil"/>
              <w:bottom w:val="nil"/>
              <w:right w:val="nil"/>
            </w:tcBorders>
            <w:noWrap/>
            <w:vAlign w:val="bottom"/>
            <w:hideMark/>
          </w:tcPr>
          <w:p w:rsidRPr="00B52D66" w:rsidR="00B52D66" w:rsidP="00FC2172" w:rsidRDefault="00B52D66" w14:paraId="5FEEAD98" w14:textId="77777777">
            <w:pPr>
              <w:spacing w:line="240" w:lineRule="auto"/>
              <w:jc w:val="center"/>
              <w:rPr>
                <w:rFonts w:cs="Arial"/>
                <w:szCs w:val="18"/>
                <w:lang w:val="en-GB" w:eastAsia="en-GB"/>
              </w:rPr>
            </w:pPr>
            <w:r w:rsidRPr="00B52D66">
              <w:rPr>
                <w:rFonts w:cs="Arial"/>
                <w:szCs w:val="18"/>
                <w:lang w:val="en-GB" w:eastAsia="en-GB"/>
              </w:rPr>
              <w:t>77</w:t>
            </w:r>
          </w:p>
        </w:tc>
        <w:tc>
          <w:tcPr>
            <w:tcW w:w="429" w:type="pct"/>
            <w:tcBorders>
              <w:top w:val="nil"/>
              <w:left w:val="nil"/>
              <w:bottom w:val="nil"/>
              <w:right w:val="nil"/>
            </w:tcBorders>
            <w:noWrap/>
            <w:vAlign w:val="bottom"/>
            <w:hideMark/>
          </w:tcPr>
          <w:p w:rsidRPr="00B52D66" w:rsidR="00B52D66" w:rsidP="00FC2172" w:rsidRDefault="00B52D66" w14:paraId="62868405" w14:textId="77777777">
            <w:pPr>
              <w:spacing w:line="240" w:lineRule="auto"/>
              <w:jc w:val="center"/>
              <w:rPr>
                <w:rFonts w:cs="Arial"/>
                <w:szCs w:val="18"/>
                <w:lang w:val="en-GB" w:eastAsia="en-GB"/>
              </w:rPr>
            </w:pPr>
            <w:r w:rsidRPr="00B52D66">
              <w:rPr>
                <w:rFonts w:cs="Arial"/>
                <w:szCs w:val="18"/>
                <w:lang w:val="en-GB" w:eastAsia="en-GB"/>
              </w:rPr>
              <w:t>77</w:t>
            </w:r>
          </w:p>
        </w:tc>
      </w:tr>
      <w:tr w:rsidRPr="00B52D66" w:rsidR="00B52D66" w:rsidTr="00B52D66" w14:paraId="0FADEB96" w14:textId="77777777">
        <w:trPr>
          <w:trHeight w:val="230"/>
        </w:trPr>
        <w:tc>
          <w:tcPr>
            <w:tcW w:w="371" w:type="pct"/>
            <w:tcBorders>
              <w:top w:val="nil"/>
              <w:left w:val="nil"/>
              <w:bottom w:val="nil"/>
              <w:right w:val="nil"/>
            </w:tcBorders>
            <w:noWrap/>
            <w:hideMark/>
          </w:tcPr>
          <w:p w:rsidRPr="00B52D66" w:rsidR="00B52D66" w:rsidP="00FC2172" w:rsidRDefault="00B52D66" w14:paraId="204D791D" w14:textId="77777777">
            <w:pPr>
              <w:spacing w:line="240" w:lineRule="auto"/>
              <w:rPr>
                <w:rFonts w:cs="Arial"/>
                <w:b/>
                <w:bCs/>
                <w:szCs w:val="18"/>
                <w:lang w:val="en-GB" w:eastAsia="en-GB"/>
              </w:rPr>
            </w:pPr>
            <w:r w:rsidRPr="00B52D66">
              <w:rPr>
                <w:rFonts w:cs="Arial"/>
                <w:b/>
                <w:bCs/>
                <w:szCs w:val="18"/>
                <w:lang w:val="en-GB" w:eastAsia="en-GB"/>
              </w:rPr>
              <w:t>kl</w:t>
            </w:r>
          </w:p>
        </w:tc>
        <w:tc>
          <w:tcPr>
            <w:tcW w:w="347" w:type="pct"/>
            <w:tcBorders>
              <w:top w:val="nil"/>
              <w:left w:val="nil"/>
              <w:bottom w:val="nil"/>
              <w:right w:val="nil"/>
            </w:tcBorders>
            <w:noWrap/>
            <w:vAlign w:val="bottom"/>
            <w:hideMark/>
          </w:tcPr>
          <w:p w:rsidRPr="00B52D66" w:rsidR="00B52D66" w:rsidP="00FC2172" w:rsidRDefault="00B52D66" w14:paraId="572C00DC" w14:textId="77777777">
            <w:pPr>
              <w:spacing w:line="240" w:lineRule="auto"/>
              <w:rPr>
                <w:rFonts w:cs="Arial"/>
                <w:b/>
                <w:bCs/>
                <w:szCs w:val="18"/>
                <w:lang w:val="en-GB" w:eastAsia="en-GB"/>
              </w:rPr>
            </w:pPr>
          </w:p>
        </w:tc>
        <w:tc>
          <w:tcPr>
            <w:tcW w:w="404" w:type="pct"/>
            <w:tcBorders>
              <w:top w:val="nil"/>
              <w:left w:val="nil"/>
              <w:bottom w:val="nil"/>
              <w:right w:val="nil"/>
            </w:tcBorders>
            <w:noWrap/>
            <w:vAlign w:val="bottom"/>
            <w:hideMark/>
          </w:tcPr>
          <w:p w:rsidRPr="00B52D66" w:rsidR="00B52D66" w:rsidP="00FC2172" w:rsidRDefault="00B52D66" w14:paraId="4E29E205" w14:textId="77777777">
            <w:pPr>
              <w:spacing w:line="240" w:lineRule="auto"/>
              <w:jc w:val="center"/>
              <w:rPr>
                <w:szCs w:val="18"/>
                <w:lang w:val="en-GB" w:eastAsia="en-GB"/>
              </w:rPr>
            </w:pPr>
          </w:p>
        </w:tc>
        <w:tc>
          <w:tcPr>
            <w:tcW w:w="347" w:type="pct"/>
            <w:tcBorders>
              <w:top w:val="nil"/>
              <w:left w:val="nil"/>
              <w:bottom w:val="nil"/>
              <w:right w:val="nil"/>
            </w:tcBorders>
            <w:noWrap/>
            <w:vAlign w:val="bottom"/>
            <w:hideMark/>
          </w:tcPr>
          <w:p w:rsidRPr="00B52D66" w:rsidR="00B52D66" w:rsidP="00FC2172" w:rsidRDefault="00B52D66" w14:paraId="37D0BB73" w14:textId="77777777">
            <w:pPr>
              <w:spacing w:line="240" w:lineRule="auto"/>
              <w:jc w:val="center"/>
              <w:rPr>
                <w:szCs w:val="18"/>
                <w:lang w:val="en-GB" w:eastAsia="en-GB"/>
              </w:rPr>
            </w:pPr>
          </w:p>
        </w:tc>
        <w:tc>
          <w:tcPr>
            <w:tcW w:w="429" w:type="pct"/>
            <w:tcBorders>
              <w:top w:val="nil"/>
              <w:left w:val="nil"/>
              <w:bottom w:val="nil"/>
              <w:right w:val="nil"/>
            </w:tcBorders>
            <w:noWrap/>
            <w:vAlign w:val="bottom"/>
            <w:hideMark/>
          </w:tcPr>
          <w:p w:rsidRPr="00B52D66" w:rsidR="00B52D66" w:rsidP="00FC2172" w:rsidRDefault="00B52D66" w14:paraId="5DB3F840" w14:textId="77777777">
            <w:pPr>
              <w:spacing w:line="240" w:lineRule="auto"/>
              <w:jc w:val="center"/>
              <w:rPr>
                <w:szCs w:val="18"/>
                <w:lang w:val="en-GB" w:eastAsia="en-GB"/>
              </w:rPr>
            </w:pPr>
          </w:p>
        </w:tc>
        <w:tc>
          <w:tcPr>
            <w:tcW w:w="347" w:type="pct"/>
            <w:tcBorders>
              <w:top w:val="nil"/>
              <w:left w:val="nil"/>
              <w:bottom w:val="nil"/>
              <w:right w:val="nil"/>
            </w:tcBorders>
            <w:noWrap/>
            <w:vAlign w:val="bottom"/>
            <w:hideMark/>
          </w:tcPr>
          <w:p w:rsidRPr="00B52D66" w:rsidR="00B52D66" w:rsidP="00FC2172" w:rsidRDefault="00B52D66" w14:paraId="5C47A868" w14:textId="77777777">
            <w:pPr>
              <w:spacing w:line="240" w:lineRule="auto"/>
              <w:jc w:val="center"/>
              <w:rPr>
                <w:szCs w:val="18"/>
                <w:lang w:val="en-GB" w:eastAsia="en-GB"/>
              </w:rPr>
            </w:pPr>
          </w:p>
        </w:tc>
        <w:tc>
          <w:tcPr>
            <w:tcW w:w="429" w:type="pct"/>
            <w:tcBorders>
              <w:top w:val="nil"/>
              <w:left w:val="nil"/>
              <w:bottom w:val="nil"/>
              <w:right w:val="nil"/>
            </w:tcBorders>
            <w:noWrap/>
            <w:vAlign w:val="bottom"/>
            <w:hideMark/>
          </w:tcPr>
          <w:p w:rsidRPr="00B52D66" w:rsidR="00B52D66" w:rsidP="00FC2172" w:rsidRDefault="00B52D66" w14:paraId="441492F8" w14:textId="77777777">
            <w:pPr>
              <w:spacing w:line="240" w:lineRule="auto"/>
              <w:jc w:val="center"/>
              <w:rPr>
                <w:szCs w:val="18"/>
                <w:lang w:val="en-GB" w:eastAsia="en-GB"/>
              </w:rPr>
            </w:pPr>
          </w:p>
        </w:tc>
        <w:tc>
          <w:tcPr>
            <w:tcW w:w="347" w:type="pct"/>
            <w:tcBorders>
              <w:top w:val="nil"/>
              <w:left w:val="nil"/>
              <w:bottom w:val="nil"/>
              <w:right w:val="nil"/>
            </w:tcBorders>
            <w:noWrap/>
            <w:vAlign w:val="bottom"/>
            <w:hideMark/>
          </w:tcPr>
          <w:p w:rsidRPr="00B52D66" w:rsidR="00B52D66" w:rsidP="00FC2172" w:rsidRDefault="00B52D66" w14:paraId="6457113A" w14:textId="77777777">
            <w:pPr>
              <w:spacing w:line="240" w:lineRule="auto"/>
              <w:jc w:val="center"/>
              <w:rPr>
                <w:szCs w:val="18"/>
                <w:lang w:val="en-GB" w:eastAsia="en-GB"/>
              </w:rPr>
            </w:pPr>
          </w:p>
        </w:tc>
        <w:tc>
          <w:tcPr>
            <w:tcW w:w="429" w:type="pct"/>
            <w:tcBorders>
              <w:top w:val="nil"/>
              <w:left w:val="nil"/>
              <w:bottom w:val="nil"/>
              <w:right w:val="nil"/>
            </w:tcBorders>
            <w:noWrap/>
            <w:vAlign w:val="bottom"/>
            <w:hideMark/>
          </w:tcPr>
          <w:p w:rsidRPr="00B52D66" w:rsidR="00B52D66" w:rsidP="00FC2172" w:rsidRDefault="00B52D66" w14:paraId="7B3CD5CD" w14:textId="77777777">
            <w:pPr>
              <w:spacing w:line="240" w:lineRule="auto"/>
              <w:jc w:val="center"/>
              <w:rPr>
                <w:szCs w:val="18"/>
                <w:lang w:val="en-GB" w:eastAsia="en-GB"/>
              </w:rPr>
            </w:pPr>
          </w:p>
        </w:tc>
        <w:tc>
          <w:tcPr>
            <w:tcW w:w="347" w:type="pct"/>
            <w:tcBorders>
              <w:top w:val="nil"/>
              <w:left w:val="nil"/>
              <w:bottom w:val="nil"/>
              <w:right w:val="nil"/>
            </w:tcBorders>
            <w:noWrap/>
            <w:vAlign w:val="bottom"/>
            <w:hideMark/>
          </w:tcPr>
          <w:p w:rsidRPr="00B52D66" w:rsidR="00B52D66" w:rsidP="00FC2172" w:rsidRDefault="00B52D66" w14:paraId="67E323B7" w14:textId="77777777">
            <w:pPr>
              <w:spacing w:line="240" w:lineRule="auto"/>
              <w:jc w:val="center"/>
              <w:rPr>
                <w:szCs w:val="18"/>
                <w:lang w:val="en-GB" w:eastAsia="en-GB"/>
              </w:rPr>
            </w:pPr>
          </w:p>
        </w:tc>
        <w:tc>
          <w:tcPr>
            <w:tcW w:w="429" w:type="pct"/>
            <w:tcBorders>
              <w:top w:val="nil"/>
              <w:left w:val="nil"/>
              <w:bottom w:val="nil"/>
              <w:right w:val="nil"/>
            </w:tcBorders>
            <w:noWrap/>
            <w:vAlign w:val="bottom"/>
            <w:hideMark/>
          </w:tcPr>
          <w:p w:rsidRPr="00B52D66" w:rsidR="00B52D66" w:rsidP="00FC2172" w:rsidRDefault="00B52D66" w14:paraId="0FDE0245" w14:textId="77777777">
            <w:pPr>
              <w:spacing w:line="240" w:lineRule="auto"/>
              <w:jc w:val="center"/>
              <w:rPr>
                <w:szCs w:val="18"/>
                <w:lang w:val="en-GB" w:eastAsia="en-GB"/>
              </w:rPr>
            </w:pPr>
          </w:p>
        </w:tc>
        <w:tc>
          <w:tcPr>
            <w:tcW w:w="347" w:type="pct"/>
            <w:tcBorders>
              <w:top w:val="nil"/>
              <w:left w:val="nil"/>
              <w:bottom w:val="nil"/>
              <w:right w:val="nil"/>
            </w:tcBorders>
            <w:noWrap/>
            <w:vAlign w:val="bottom"/>
            <w:hideMark/>
          </w:tcPr>
          <w:p w:rsidRPr="00B52D66" w:rsidR="00B52D66" w:rsidP="00FC2172" w:rsidRDefault="00B52D66" w14:paraId="5309BBED" w14:textId="77777777">
            <w:pPr>
              <w:spacing w:line="240" w:lineRule="auto"/>
              <w:jc w:val="center"/>
              <w:rPr>
                <w:szCs w:val="18"/>
                <w:lang w:val="en-GB" w:eastAsia="en-GB"/>
              </w:rPr>
            </w:pPr>
          </w:p>
        </w:tc>
        <w:tc>
          <w:tcPr>
            <w:tcW w:w="429" w:type="pct"/>
            <w:tcBorders>
              <w:top w:val="nil"/>
              <w:left w:val="nil"/>
              <w:bottom w:val="nil"/>
              <w:right w:val="nil"/>
            </w:tcBorders>
            <w:noWrap/>
            <w:vAlign w:val="bottom"/>
            <w:hideMark/>
          </w:tcPr>
          <w:p w:rsidRPr="00B52D66" w:rsidR="00B52D66" w:rsidP="00FC2172" w:rsidRDefault="00B52D66" w14:paraId="377B490B" w14:textId="77777777">
            <w:pPr>
              <w:spacing w:line="240" w:lineRule="auto"/>
              <w:jc w:val="center"/>
              <w:rPr>
                <w:szCs w:val="18"/>
                <w:lang w:val="en-GB" w:eastAsia="en-GB"/>
              </w:rPr>
            </w:pPr>
          </w:p>
        </w:tc>
      </w:tr>
      <w:tr w:rsidRPr="00B52D66" w:rsidR="00B52D66" w:rsidTr="00B52D66" w14:paraId="0108D75D" w14:textId="77777777">
        <w:trPr>
          <w:trHeight w:val="230"/>
        </w:trPr>
        <w:tc>
          <w:tcPr>
            <w:tcW w:w="371" w:type="pct"/>
            <w:tcBorders>
              <w:top w:val="nil"/>
              <w:left w:val="nil"/>
              <w:bottom w:val="nil"/>
              <w:right w:val="nil"/>
            </w:tcBorders>
            <w:noWrap/>
            <w:hideMark/>
          </w:tcPr>
          <w:p w:rsidRPr="00B52D66" w:rsidR="00B52D66" w:rsidP="00FC2172" w:rsidRDefault="00B52D66" w14:paraId="1E33A300" w14:textId="77777777">
            <w:pPr>
              <w:spacing w:line="240" w:lineRule="auto"/>
              <w:rPr>
                <w:rFonts w:cs="Arial"/>
                <w:szCs w:val="18"/>
                <w:lang w:val="en-GB" w:eastAsia="en-GB"/>
              </w:rPr>
            </w:pPr>
            <w:r w:rsidRPr="00B52D66">
              <w:rPr>
                <w:rFonts w:cs="Arial"/>
                <w:szCs w:val="18"/>
                <w:lang w:val="en-GB" w:eastAsia="en-GB"/>
              </w:rPr>
              <w:t xml:space="preserve">   BWI</w:t>
            </w:r>
          </w:p>
        </w:tc>
        <w:tc>
          <w:tcPr>
            <w:tcW w:w="347" w:type="pct"/>
            <w:tcBorders>
              <w:top w:val="nil"/>
              <w:left w:val="nil"/>
              <w:bottom w:val="nil"/>
              <w:right w:val="nil"/>
            </w:tcBorders>
            <w:noWrap/>
            <w:vAlign w:val="bottom"/>
            <w:hideMark/>
          </w:tcPr>
          <w:p w:rsidRPr="00B52D66" w:rsidR="00B52D66" w:rsidP="00FC2172" w:rsidRDefault="00B52D66" w14:paraId="3E00F1BF" w14:textId="77777777">
            <w:pPr>
              <w:spacing w:line="240" w:lineRule="auto"/>
              <w:jc w:val="center"/>
              <w:rPr>
                <w:rFonts w:cs="Arial"/>
                <w:szCs w:val="18"/>
                <w:lang w:val="en-GB" w:eastAsia="en-GB"/>
              </w:rPr>
            </w:pPr>
            <w:r w:rsidRPr="00B52D66">
              <w:rPr>
                <w:rFonts w:cs="Arial"/>
                <w:szCs w:val="18"/>
                <w:lang w:val="en-GB" w:eastAsia="en-GB"/>
              </w:rPr>
              <w:t>68</w:t>
            </w:r>
          </w:p>
        </w:tc>
        <w:tc>
          <w:tcPr>
            <w:tcW w:w="404" w:type="pct"/>
            <w:tcBorders>
              <w:top w:val="nil"/>
              <w:left w:val="nil"/>
              <w:bottom w:val="nil"/>
              <w:right w:val="nil"/>
            </w:tcBorders>
            <w:noWrap/>
            <w:vAlign w:val="bottom"/>
            <w:hideMark/>
          </w:tcPr>
          <w:p w:rsidRPr="00B52D66" w:rsidR="00B52D66" w:rsidP="00FC2172" w:rsidRDefault="00B52D66" w14:paraId="4546EF73" w14:textId="77777777">
            <w:pPr>
              <w:spacing w:line="240" w:lineRule="auto"/>
              <w:jc w:val="center"/>
              <w:rPr>
                <w:rFonts w:cs="Arial"/>
                <w:szCs w:val="18"/>
                <w:lang w:val="en-GB" w:eastAsia="en-GB"/>
              </w:rPr>
            </w:pPr>
            <w:r w:rsidRPr="00B52D66">
              <w:rPr>
                <w:rFonts w:cs="Arial"/>
                <w:szCs w:val="18"/>
                <w:lang w:val="en-GB" w:eastAsia="en-GB"/>
              </w:rPr>
              <w:t>68</w:t>
            </w:r>
          </w:p>
        </w:tc>
        <w:tc>
          <w:tcPr>
            <w:tcW w:w="347" w:type="pct"/>
            <w:tcBorders>
              <w:top w:val="nil"/>
              <w:left w:val="nil"/>
              <w:bottom w:val="nil"/>
              <w:right w:val="nil"/>
            </w:tcBorders>
            <w:noWrap/>
            <w:vAlign w:val="bottom"/>
            <w:hideMark/>
          </w:tcPr>
          <w:p w:rsidRPr="00B52D66" w:rsidR="00B52D66" w:rsidP="00FC2172" w:rsidRDefault="00B52D66" w14:paraId="4D5CD80F" w14:textId="77777777">
            <w:pPr>
              <w:spacing w:line="240" w:lineRule="auto"/>
              <w:jc w:val="center"/>
              <w:rPr>
                <w:rFonts w:cs="Arial"/>
                <w:szCs w:val="18"/>
                <w:lang w:val="en-GB" w:eastAsia="en-GB"/>
              </w:rPr>
            </w:pPr>
            <w:r w:rsidRPr="00B52D66">
              <w:rPr>
                <w:rFonts w:cs="Arial"/>
                <w:szCs w:val="18"/>
                <w:lang w:val="en-GB" w:eastAsia="en-GB"/>
              </w:rPr>
              <w:t>68</w:t>
            </w:r>
          </w:p>
        </w:tc>
        <w:tc>
          <w:tcPr>
            <w:tcW w:w="429" w:type="pct"/>
            <w:tcBorders>
              <w:top w:val="nil"/>
              <w:left w:val="nil"/>
              <w:bottom w:val="nil"/>
              <w:right w:val="nil"/>
            </w:tcBorders>
            <w:noWrap/>
            <w:vAlign w:val="bottom"/>
            <w:hideMark/>
          </w:tcPr>
          <w:p w:rsidRPr="00B52D66" w:rsidR="00B52D66" w:rsidP="00FC2172" w:rsidRDefault="00B52D66" w14:paraId="7DD983A6" w14:textId="77777777">
            <w:pPr>
              <w:spacing w:line="240" w:lineRule="auto"/>
              <w:jc w:val="center"/>
              <w:rPr>
                <w:rFonts w:cs="Arial"/>
                <w:szCs w:val="18"/>
                <w:lang w:val="en-GB" w:eastAsia="en-GB"/>
              </w:rPr>
            </w:pPr>
            <w:r w:rsidRPr="00B52D66">
              <w:rPr>
                <w:rFonts w:cs="Arial"/>
                <w:szCs w:val="18"/>
                <w:lang w:val="en-GB" w:eastAsia="en-GB"/>
              </w:rPr>
              <w:t>64</w:t>
            </w:r>
          </w:p>
        </w:tc>
        <w:tc>
          <w:tcPr>
            <w:tcW w:w="347" w:type="pct"/>
            <w:tcBorders>
              <w:top w:val="nil"/>
              <w:left w:val="nil"/>
              <w:bottom w:val="nil"/>
              <w:right w:val="nil"/>
            </w:tcBorders>
            <w:noWrap/>
            <w:vAlign w:val="bottom"/>
            <w:hideMark/>
          </w:tcPr>
          <w:p w:rsidRPr="00B52D66" w:rsidR="00B52D66" w:rsidP="00FC2172" w:rsidRDefault="00B52D66" w14:paraId="1C9C6D18" w14:textId="77777777">
            <w:pPr>
              <w:spacing w:line="240" w:lineRule="auto"/>
              <w:jc w:val="center"/>
              <w:rPr>
                <w:rFonts w:cs="Arial"/>
                <w:szCs w:val="18"/>
                <w:lang w:val="en-GB" w:eastAsia="en-GB"/>
              </w:rPr>
            </w:pPr>
            <w:r w:rsidRPr="00B52D66">
              <w:rPr>
                <w:rFonts w:cs="Arial"/>
                <w:szCs w:val="18"/>
                <w:lang w:val="en-GB" w:eastAsia="en-GB"/>
              </w:rPr>
              <w:t>65</w:t>
            </w:r>
          </w:p>
        </w:tc>
        <w:tc>
          <w:tcPr>
            <w:tcW w:w="429" w:type="pct"/>
            <w:tcBorders>
              <w:top w:val="nil"/>
              <w:left w:val="nil"/>
              <w:bottom w:val="nil"/>
              <w:right w:val="nil"/>
            </w:tcBorders>
            <w:noWrap/>
            <w:vAlign w:val="bottom"/>
            <w:hideMark/>
          </w:tcPr>
          <w:p w:rsidRPr="00B52D66" w:rsidR="00B52D66" w:rsidP="00FC2172" w:rsidRDefault="00B52D66" w14:paraId="3811F9E0" w14:textId="77777777">
            <w:pPr>
              <w:spacing w:line="240" w:lineRule="auto"/>
              <w:jc w:val="center"/>
              <w:rPr>
                <w:rFonts w:cs="Arial"/>
                <w:szCs w:val="18"/>
                <w:lang w:val="en-GB" w:eastAsia="en-GB"/>
              </w:rPr>
            </w:pPr>
            <w:r w:rsidRPr="00B52D66">
              <w:rPr>
                <w:rFonts w:cs="Arial"/>
                <w:szCs w:val="18"/>
                <w:lang w:val="en-GB" w:eastAsia="en-GB"/>
              </w:rPr>
              <w:t>64</w:t>
            </w:r>
          </w:p>
        </w:tc>
        <w:tc>
          <w:tcPr>
            <w:tcW w:w="347" w:type="pct"/>
            <w:tcBorders>
              <w:top w:val="nil"/>
              <w:left w:val="nil"/>
              <w:bottom w:val="nil"/>
              <w:right w:val="nil"/>
            </w:tcBorders>
            <w:noWrap/>
            <w:vAlign w:val="bottom"/>
            <w:hideMark/>
          </w:tcPr>
          <w:p w:rsidRPr="00B52D66" w:rsidR="00B52D66" w:rsidP="00FC2172" w:rsidRDefault="00B52D66" w14:paraId="24ABDD25" w14:textId="77777777">
            <w:pPr>
              <w:spacing w:line="240" w:lineRule="auto"/>
              <w:jc w:val="center"/>
              <w:rPr>
                <w:rFonts w:cs="Arial"/>
                <w:szCs w:val="18"/>
                <w:lang w:val="en-GB" w:eastAsia="en-GB"/>
              </w:rPr>
            </w:pPr>
            <w:r w:rsidRPr="00B52D66">
              <w:rPr>
                <w:rFonts w:cs="Arial"/>
                <w:szCs w:val="18"/>
                <w:lang w:val="en-GB" w:eastAsia="en-GB"/>
              </w:rPr>
              <w:t>66</w:t>
            </w:r>
          </w:p>
        </w:tc>
        <w:tc>
          <w:tcPr>
            <w:tcW w:w="429" w:type="pct"/>
            <w:tcBorders>
              <w:top w:val="nil"/>
              <w:left w:val="nil"/>
              <w:bottom w:val="nil"/>
              <w:right w:val="nil"/>
            </w:tcBorders>
            <w:noWrap/>
            <w:vAlign w:val="bottom"/>
            <w:hideMark/>
          </w:tcPr>
          <w:p w:rsidRPr="00B52D66" w:rsidR="00B52D66" w:rsidP="00FC2172" w:rsidRDefault="00B52D66" w14:paraId="704F94F4" w14:textId="77777777">
            <w:pPr>
              <w:spacing w:line="240" w:lineRule="auto"/>
              <w:jc w:val="center"/>
              <w:rPr>
                <w:rFonts w:cs="Arial"/>
                <w:szCs w:val="18"/>
                <w:lang w:val="en-GB" w:eastAsia="en-GB"/>
              </w:rPr>
            </w:pPr>
            <w:r w:rsidRPr="00B52D66">
              <w:rPr>
                <w:rFonts w:cs="Arial"/>
                <w:szCs w:val="18"/>
                <w:lang w:val="en-GB" w:eastAsia="en-GB"/>
              </w:rPr>
              <w:t>70</w:t>
            </w:r>
          </w:p>
        </w:tc>
        <w:tc>
          <w:tcPr>
            <w:tcW w:w="347" w:type="pct"/>
            <w:tcBorders>
              <w:top w:val="nil"/>
              <w:left w:val="nil"/>
              <w:bottom w:val="nil"/>
              <w:right w:val="nil"/>
            </w:tcBorders>
            <w:noWrap/>
            <w:vAlign w:val="bottom"/>
            <w:hideMark/>
          </w:tcPr>
          <w:p w:rsidRPr="00B52D66" w:rsidR="00B52D66" w:rsidP="00FC2172" w:rsidRDefault="00B52D66" w14:paraId="38123D8B" w14:textId="77777777">
            <w:pPr>
              <w:spacing w:line="240" w:lineRule="auto"/>
              <w:jc w:val="center"/>
              <w:rPr>
                <w:rFonts w:cs="Arial"/>
                <w:szCs w:val="18"/>
                <w:lang w:val="en-GB" w:eastAsia="en-GB"/>
              </w:rPr>
            </w:pPr>
            <w:r w:rsidRPr="00B52D66">
              <w:rPr>
                <w:rFonts w:cs="Arial"/>
                <w:szCs w:val="18"/>
                <w:lang w:val="en-GB" w:eastAsia="en-GB"/>
              </w:rPr>
              <w:t>69</w:t>
            </w:r>
          </w:p>
        </w:tc>
        <w:tc>
          <w:tcPr>
            <w:tcW w:w="429" w:type="pct"/>
            <w:tcBorders>
              <w:top w:val="nil"/>
              <w:left w:val="nil"/>
              <w:bottom w:val="nil"/>
              <w:right w:val="nil"/>
            </w:tcBorders>
            <w:noWrap/>
            <w:vAlign w:val="bottom"/>
            <w:hideMark/>
          </w:tcPr>
          <w:p w:rsidRPr="00B52D66" w:rsidR="00B52D66" w:rsidP="00FC2172" w:rsidRDefault="00B52D66" w14:paraId="2ECFBC5D" w14:textId="77777777">
            <w:pPr>
              <w:spacing w:line="240" w:lineRule="auto"/>
              <w:jc w:val="center"/>
              <w:rPr>
                <w:rFonts w:cs="Arial"/>
                <w:szCs w:val="18"/>
                <w:lang w:val="en-GB" w:eastAsia="en-GB"/>
              </w:rPr>
            </w:pPr>
            <w:r w:rsidRPr="00B52D66">
              <w:rPr>
                <w:rFonts w:cs="Arial"/>
                <w:szCs w:val="18"/>
                <w:lang w:val="en-GB" w:eastAsia="en-GB"/>
              </w:rPr>
              <w:t>67</w:t>
            </w:r>
          </w:p>
        </w:tc>
        <w:tc>
          <w:tcPr>
            <w:tcW w:w="347" w:type="pct"/>
            <w:tcBorders>
              <w:top w:val="nil"/>
              <w:left w:val="nil"/>
              <w:bottom w:val="nil"/>
              <w:right w:val="nil"/>
            </w:tcBorders>
            <w:noWrap/>
            <w:vAlign w:val="bottom"/>
            <w:hideMark/>
          </w:tcPr>
          <w:p w:rsidRPr="00B52D66" w:rsidR="00B52D66" w:rsidP="00FC2172" w:rsidRDefault="00B52D66" w14:paraId="7279FE78" w14:textId="77777777">
            <w:pPr>
              <w:spacing w:line="240" w:lineRule="auto"/>
              <w:jc w:val="center"/>
              <w:rPr>
                <w:rFonts w:cs="Arial"/>
                <w:szCs w:val="18"/>
                <w:lang w:val="en-GB" w:eastAsia="en-GB"/>
              </w:rPr>
            </w:pPr>
            <w:r w:rsidRPr="00B52D66">
              <w:rPr>
                <w:rFonts w:cs="Arial"/>
                <w:szCs w:val="18"/>
                <w:lang w:val="en-GB" w:eastAsia="en-GB"/>
              </w:rPr>
              <w:t>66</w:t>
            </w:r>
          </w:p>
        </w:tc>
        <w:tc>
          <w:tcPr>
            <w:tcW w:w="429" w:type="pct"/>
            <w:tcBorders>
              <w:top w:val="nil"/>
              <w:left w:val="nil"/>
              <w:bottom w:val="nil"/>
              <w:right w:val="nil"/>
            </w:tcBorders>
            <w:noWrap/>
            <w:vAlign w:val="bottom"/>
            <w:hideMark/>
          </w:tcPr>
          <w:p w:rsidRPr="00B52D66" w:rsidR="00B52D66" w:rsidP="00FC2172" w:rsidRDefault="00B52D66" w14:paraId="4D2434C2" w14:textId="77777777">
            <w:pPr>
              <w:spacing w:line="240" w:lineRule="auto"/>
              <w:jc w:val="center"/>
              <w:rPr>
                <w:rFonts w:cs="Arial"/>
                <w:szCs w:val="18"/>
                <w:lang w:val="en-GB" w:eastAsia="en-GB"/>
              </w:rPr>
            </w:pPr>
            <w:r w:rsidRPr="00B52D66">
              <w:rPr>
                <w:rFonts w:cs="Arial"/>
                <w:szCs w:val="18"/>
                <w:lang w:val="en-GB" w:eastAsia="en-GB"/>
              </w:rPr>
              <w:t>55</w:t>
            </w:r>
          </w:p>
        </w:tc>
      </w:tr>
      <w:tr w:rsidRPr="00B52D66" w:rsidR="00B52D66" w:rsidTr="00B52D66" w14:paraId="105CF9B4" w14:textId="77777777">
        <w:trPr>
          <w:trHeight w:val="230"/>
        </w:trPr>
        <w:tc>
          <w:tcPr>
            <w:tcW w:w="371" w:type="pct"/>
            <w:tcBorders>
              <w:top w:val="nil"/>
              <w:left w:val="nil"/>
              <w:bottom w:val="nil"/>
              <w:right w:val="nil"/>
            </w:tcBorders>
            <w:noWrap/>
            <w:hideMark/>
          </w:tcPr>
          <w:p w:rsidRPr="00B52D66" w:rsidR="00B52D66" w:rsidP="00FC2172" w:rsidRDefault="00B52D66" w14:paraId="4B3AB8F1" w14:textId="77777777">
            <w:pPr>
              <w:spacing w:line="240" w:lineRule="auto"/>
              <w:rPr>
                <w:rFonts w:cs="Arial"/>
                <w:szCs w:val="18"/>
                <w:lang w:val="en-GB" w:eastAsia="en-GB"/>
              </w:rPr>
            </w:pPr>
            <w:r w:rsidRPr="00B52D66">
              <w:rPr>
                <w:rFonts w:cs="Arial"/>
                <w:szCs w:val="18"/>
                <w:lang w:val="en-GB" w:eastAsia="en-GB"/>
              </w:rPr>
              <w:t xml:space="preserve">   MaT</w:t>
            </w:r>
          </w:p>
        </w:tc>
        <w:tc>
          <w:tcPr>
            <w:tcW w:w="347" w:type="pct"/>
            <w:tcBorders>
              <w:top w:val="nil"/>
              <w:left w:val="nil"/>
              <w:bottom w:val="nil"/>
              <w:right w:val="nil"/>
            </w:tcBorders>
            <w:noWrap/>
            <w:vAlign w:val="bottom"/>
            <w:hideMark/>
          </w:tcPr>
          <w:p w:rsidRPr="00B52D66" w:rsidR="00B52D66" w:rsidP="00FC2172" w:rsidRDefault="00B52D66" w14:paraId="26D5CB32" w14:textId="77777777">
            <w:pPr>
              <w:spacing w:line="240" w:lineRule="auto"/>
              <w:jc w:val="center"/>
              <w:rPr>
                <w:rFonts w:cs="Arial"/>
                <w:szCs w:val="18"/>
                <w:lang w:val="en-GB" w:eastAsia="en-GB"/>
              </w:rPr>
            </w:pPr>
            <w:r w:rsidRPr="00B52D66">
              <w:rPr>
                <w:rFonts w:cs="Arial"/>
                <w:szCs w:val="18"/>
                <w:lang w:val="en-GB" w:eastAsia="en-GB"/>
              </w:rPr>
              <w:t>20</w:t>
            </w:r>
          </w:p>
        </w:tc>
        <w:tc>
          <w:tcPr>
            <w:tcW w:w="404" w:type="pct"/>
            <w:tcBorders>
              <w:top w:val="nil"/>
              <w:left w:val="nil"/>
              <w:bottom w:val="nil"/>
              <w:right w:val="nil"/>
            </w:tcBorders>
            <w:noWrap/>
            <w:vAlign w:val="bottom"/>
            <w:hideMark/>
          </w:tcPr>
          <w:p w:rsidRPr="00B52D66" w:rsidR="00B52D66" w:rsidP="00FC2172" w:rsidRDefault="00B52D66" w14:paraId="72E113B4" w14:textId="77777777">
            <w:pPr>
              <w:spacing w:line="240" w:lineRule="auto"/>
              <w:jc w:val="center"/>
              <w:rPr>
                <w:rFonts w:cs="Arial"/>
                <w:szCs w:val="18"/>
                <w:lang w:val="en-GB" w:eastAsia="en-GB"/>
              </w:rPr>
            </w:pPr>
            <w:r w:rsidRPr="00B52D66">
              <w:rPr>
                <w:rFonts w:cs="Arial"/>
                <w:szCs w:val="18"/>
                <w:lang w:val="en-GB" w:eastAsia="en-GB"/>
              </w:rPr>
              <w:t>0</w:t>
            </w:r>
          </w:p>
        </w:tc>
        <w:tc>
          <w:tcPr>
            <w:tcW w:w="347" w:type="pct"/>
            <w:tcBorders>
              <w:top w:val="nil"/>
              <w:left w:val="nil"/>
              <w:bottom w:val="nil"/>
              <w:right w:val="nil"/>
            </w:tcBorders>
            <w:noWrap/>
            <w:vAlign w:val="bottom"/>
            <w:hideMark/>
          </w:tcPr>
          <w:p w:rsidRPr="00B52D66" w:rsidR="00B52D66" w:rsidP="00FC2172" w:rsidRDefault="00B52D66" w14:paraId="3FBDD8BA" w14:textId="77777777">
            <w:pPr>
              <w:spacing w:line="240" w:lineRule="auto"/>
              <w:jc w:val="center"/>
              <w:rPr>
                <w:rFonts w:cs="Arial"/>
                <w:szCs w:val="18"/>
                <w:lang w:val="en-GB" w:eastAsia="en-GB"/>
              </w:rPr>
            </w:pPr>
            <w:r w:rsidRPr="00B52D66">
              <w:rPr>
                <w:rFonts w:cs="Arial"/>
                <w:szCs w:val="18"/>
                <w:lang w:val="en-GB" w:eastAsia="en-GB"/>
              </w:rPr>
              <w:t>20</w:t>
            </w:r>
          </w:p>
        </w:tc>
        <w:tc>
          <w:tcPr>
            <w:tcW w:w="429" w:type="pct"/>
            <w:tcBorders>
              <w:top w:val="nil"/>
              <w:left w:val="nil"/>
              <w:bottom w:val="nil"/>
              <w:right w:val="nil"/>
            </w:tcBorders>
            <w:noWrap/>
            <w:vAlign w:val="bottom"/>
            <w:hideMark/>
          </w:tcPr>
          <w:p w:rsidRPr="00B52D66" w:rsidR="00B52D66" w:rsidP="00FC2172" w:rsidRDefault="00B52D66" w14:paraId="7130269E" w14:textId="77777777">
            <w:pPr>
              <w:spacing w:line="240" w:lineRule="auto"/>
              <w:jc w:val="center"/>
              <w:rPr>
                <w:rFonts w:cs="Arial"/>
                <w:szCs w:val="18"/>
                <w:lang w:val="en-GB" w:eastAsia="en-GB"/>
              </w:rPr>
            </w:pPr>
            <w:r w:rsidRPr="00B52D66">
              <w:rPr>
                <w:rFonts w:cs="Arial"/>
                <w:szCs w:val="18"/>
                <w:lang w:val="en-GB" w:eastAsia="en-GB"/>
              </w:rPr>
              <w:t>0</w:t>
            </w:r>
          </w:p>
        </w:tc>
        <w:tc>
          <w:tcPr>
            <w:tcW w:w="347" w:type="pct"/>
            <w:tcBorders>
              <w:top w:val="nil"/>
              <w:left w:val="nil"/>
              <w:bottom w:val="nil"/>
              <w:right w:val="nil"/>
            </w:tcBorders>
            <w:noWrap/>
            <w:vAlign w:val="bottom"/>
            <w:hideMark/>
          </w:tcPr>
          <w:p w:rsidRPr="00B52D66" w:rsidR="00B52D66" w:rsidP="00FC2172" w:rsidRDefault="00B52D66" w14:paraId="5F466D70" w14:textId="77777777">
            <w:pPr>
              <w:spacing w:line="240" w:lineRule="auto"/>
              <w:jc w:val="center"/>
              <w:rPr>
                <w:rFonts w:cs="Arial"/>
                <w:szCs w:val="18"/>
                <w:lang w:val="en-GB" w:eastAsia="en-GB"/>
              </w:rPr>
            </w:pPr>
            <w:r w:rsidRPr="00B52D66">
              <w:rPr>
                <w:rFonts w:cs="Arial"/>
                <w:szCs w:val="18"/>
                <w:lang w:val="en-GB" w:eastAsia="en-GB"/>
              </w:rPr>
              <w:t>0</w:t>
            </w:r>
          </w:p>
        </w:tc>
        <w:tc>
          <w:tcPr>
            <w:tcW w:w="429" w:type="pct"/>
            <w:tcBorders>
              <w:top w:val="nil"/>
              <w:left w:val="nil"/>
              <w:bottom w:val="nil"/>
              <w:right w:val="nil"/>
            </w:tcBorders>
            <w:noWrap/>
            <w:vAlign w:val="bottom"/>
            <w:hideMark/>
          </w:tcPr>
          <w:p w:rsidRPr="00B52D66" w:rsidR="00B52D66" w:rsidP="00FC2172" w:rsidRDefault="00B52D66" w14:paraId="2BE14D36" w14:textId="77777777">
            <w:pPr>
              <w:spacing w:line="240" w:lineRule="auto"/>
              <w:jc w:val="center"/>
              <w:rPr>
                <w:rFonts w:cs="Arial"/>
                <w:szCs w:val="18"/>
                <w:lang w:val="en-GB" w:eastAsia="en-GB"/>
              </w:rPr>
            </w:pPr>
            <w:r w:rsidRPr="00B52D66">
              <w:rPr>
                <w:rFonts w:cs="Arial"/>
                <w:szCs w:val="18"/>
                <w:lang w:val="en-GB" w:eastAsia="en-GB"/>
              </w:rPr>
              <w:t>0</w:t>
            </w:r>
          </w:p>
        </w:tc>
        <w:tc>
          <w:tcPr>
            <w:tcW w:w="347" w:type="pct"/>
            <w:tcBorders>
              <w:top w:val="nil"/>
              <w:left w:val="nil"/>
              <w:bottom w:val="nil"/>
              <w:right w:val="nil"/>
            </w:tcBorders>
            <w:noWrap/>
            <w:vAlign w:val="bottom"/>
            <w:hideMark/>
          </w:tcPr>
          <w:p w:rsidRPr="00B52D66" w:rsidR="00B52D66" w:rsidP="00FC2172" w:rsidRDefault="00B52D66" w14:paraId="7D5BDD31" w14:textId="77777777">
            <w:pPr>
              <w:spacing w:line="240" w:lineRule="auto"/>
              <w:jc w:val="center"/>
              <w:rPr>
                <w:rFonts w:cs="Arial"/>
                <w:szCs w:val="18"/>
                <w:lang w:val="en-GB" w:eastAsia="en-GB"/>
              </w:rPr>
            </w:pPr>
            <w:r w:rsidRPr="00B52D66">
              <w:rPr>
                <w:rFonts w:cs="Arial"/>
                <w:szCs w:val="18"/>
                <w:lang w:val="en-GB" w:eastAsia="en-GB"/>
              </w:rPr>
              <w:t>0</w:t>
            </w:r>
          </w:p>
        </w:tc>
        <w:tc>
          <w:tcPr>
            <w:tcW w:w="429" w:type="pct"/>
            <w:tcBorders>
              <w:top w:val="nil"/>
              <w:left w:val="nil"/>
              <w:bottom w:val="nil"/>
              <w:right w:val="nil"/>
            </w:tcBorders>
            <w:noWrap/>
            <w:vAlign w:val="bottom"/>
            <w:hideMark/>
          </w:tcPr>
          <w:p w:rsidRPr="00B52D66" w:rsidR="00B52D66" w:rsidP="00FC2172" w:rsidRDefault="00B52D66" w14:paraId="48419311" w14:textId="77777777">
            <w:pPr>
              <w:spacing w:line="240" w:lineRule="auto"/>
              <w:jc w:val="center"/>
              <w:rPr>
                <w:rFonts w:cs="Arial"/>
                <w:szCs w:val="18"/>
                <w:lang w:val="en-GB" w:eastAsia="en-GB"/>
              </w:rPr>
            </w:pPr>
            <w:r w:rsidRPr="00B52D66">
              <w:rPr>
                <w:rFonts w:cs="Arial"/>
                <w:szCs w:val="18"/>
                <w:lang w:val="en-GB" w:eastAsia="en-GB"/>
              </w:rPr>
              <w:t>0</w:t>
            </w:r>
          </w:p>
        </w:tc>
        <w:tc>
          <w:tcPr>
            <w:tcW w:w="347" w:type="pct"/>
            <w:tcBorders>
              <w:top w:val="nil"/>
              <w:left w:val="nil"/>
              <w:bottom w:val="nil"/>
              <w:right w:val="nil"/>
            </w:tcBorders>
            <w:noWrap/>
            <w:vAlign w:val="bottom"/>
            <w:hideMark/>
          </w:tcPr>
          <w:p w:rsidRPr="00B52D66" w:rsidR="00B52D66" w:rsidP="00FC2172" w:rsidRDefault="00B52D66" w14:paraId="16B3CD2B" w14:textId="77777777">
            <w:pPr>
              <w:spacing w:line="240" w:lineRule="auto"/>
              <w:jc w:val="center"/>
              <w:rPr>
                <w:rFonts w:cs="Arial"/>
                <w:szCs w:val="18"/>
                <w:lang w:val="en-GB" w:eastAsia="en-GB"/>
              </w:rPr>
            </w:pPr>
            <w:r w:rsidRPr="00B52D66">
              <w:rPr>
                <w:rFonts w:cs="Arial"/>
                <w:szCs w:val="18"/>
                <w:lang w:val="en-GB" w:eastAsia="en-GB"/>
              </w:rPr>
              <w:t>0</w:t>
            </w:r>
          </w:p>
        </w:tc>
        <w:tc>
          <w:tcPr>
            <w:tcW w:w="429" w:type="pct"/>
            <w:tcBorders>
              <w:top w:val="nil"/>
              <w:left w:val="nil"/>
              <w:bottom w:val="nil"/>
              <w:right w:val="nil"/>
            </w:tcBorders>
            <w:noWrap/>
            <w:vAlign w:val="bottom"/>
            <w:hideMark/>
          </w:tcPr>
          <w:p w:rsidRPr="00B52D66" w:rsidR="00B52D66" w:rsidP="00FC2172" w:rsidRDefault="00B52D66" w14:paraId="0AD2A3DF" w14:textId="77777777">
            <w:pPr>
              <w:spacing w:line="240" w:lineRule="auto"/>
              <w:jc w:val="center"/>
              <w:rPr>
                <w:rFonts w:cs="Arial"/>
                <w:szCs w:val="18"/>
                <w:lang w:val="en-GB" w:eastAsia="en-GB"/>
              </w:rPr>
            </w:pPr>
            <w:r w:rsidRPr="00B52D66">
              <w:rPr>
                <w:rFonts w:cs="Arial"/>
                <w:szCs w:val="18"/>
                <w:lang w:val="en-GB" w:eastAsia="en-GB"/>
              </w:rPr>
              <w:t>0</w:t>
            </w:r>
          </w:p>
        </w:tc>
        <w:tc>
          <w:tcPr>
            <w:tcW w:w="347" w:type="pct"/>
            <w:tcBorders>
              <w:top w:val="nil"/>
              <w:left w:val="nil"/>
              <w:bottom w:val="nil"/>
              <w:right w:val="nil"/>
            </w:tcBorders>
            <w:noWrap/>
            <w:vAlign w:val="bottom"/>
            <w:hideMark/>
          </w:tcPr>
          <w:p w:rsidRPr="00B52D66" w:rsidR="00B52D66" w:rsidP="00FC2172" w:rsidRDefault="00B52D66" w14:paraId="4DE54CCC" w14:textId="77777777">
            <w:pPr>
              <w:spacing w:line="240" w:lineRule="auto"/>
              <w:jc w:val="center"/>
              <w:rPr>
                <w:rFonts w:cs="Arial"/>
                <w:szCs w:val="18"/>
                <w:lang w:val="en-GB" w:eastAsia="en-GB"/>
              </w:rPr>
            </w:pPr>
            <w:r w:rsidRPr="00B52D66">
              <w:rPr>
                <w:rFonts w:cs="Arial"/>
                <w:szCs w:val="18"/>
                <w:lang w:val="en-GB" w:eastAsia="en-GB"/>
              </w:rPr>
              <w:t>0</w:t>
            </w:r>
          </w:p>
        </w:tc>
        <w:tc>
          <w:tcPr>
            <w:tcW w:w="429" w:type="pct"/>
            <w:tcBorders>
              <w:top w:val="nil"/>
              <w:left w:val="nil"/>
              <w:bottom w:val="nil"/>
              <w:right w:val="nil"/>
            </w:tcBorders>
            <w:noWrap/>
            <w:vAlign w:val="bottom"/>
            <w:hideMark/>
          </w:tcPr>
          <w:p w:rsidRPr="00B52D66" w:rsidR="00B52D66" w:rsidP="00FC2172" w:rsidRDefault="00B52D66" w14:paraId="70BFFD15" w14:textId="77777777">
            <w:pPr>
              <w:spacing w:line="240" w:lineRule="auto"/>
              <w:jc w:val="center"/>
              <w:rPr>
                <w:rFonts w:cs="Arial"/>
                <w:szCs w:val="18"/>
                <w:lang w:val="en-GB" w:eastAsia="en-GB"/>
              </w:rPr>
            </w:pPr>
            <w:r w:rsidRPr="00B52D66">
              <w:rPr>
                <w:rFonts w:cs="Arial"/>
                <w:szCs w:val="18"/>
                <w:lang w:val="en-GB" w:eastAsia="en-GB"/>
              </w:rPr>
              <w:t>0</w:t>
            </w:r>
          </w:p>
        </w:tc>
      </w:tr>
      <w:tr w:rsidRPr="00B52D66" w:rsidR="00B52D66" w:rsidTr="00B52D66" w14:paraId="69696ACA" w14:textId="77777777">
        <w:trPr>
          <w:trHeight w:val="230"/>
        </w:trPr>
        <w:tc>
          <w:tcPr>
            <w:tcW w:w="371" w:type="pct"/>
            <w:tcBorders>
              <w:top w:val="nil"/>
              <w:left w:val="nil"/>
              <w:bottom w:val="nil"/>
              <w:right w:val="nil"/>
            </w:tcBorders>
            <w:noWrap/>
            <w:hideMark/>
          </w:tcPr>
          <w:p w:rsidRPr="00B52D66" w:rsidR="00B52D66" w:rsidP="00FC2172" w:rsidRDefault="00B52D66" w14:paraId="59E43798" w14:textId="77777777">
            <w:pPr>
              <w:spacing w:line="240" w:lineRule="auto"/>
              <w:rPr>
                <w:rFonts w:cs="Arial"/>
                <w:szCs w:val="18"/>
                <w:lang w:val="en-GB" w:eastAsia="en-GB"/>
              </w:rPr>
            </w:pPr>
            <w:r w:rsidRPr="00B52D66">
              <w:rPr>
                <w:rFonts w:cs="Arial"/>
                <w:szCs w:val="18"/>
                <w:lang w:val="en-GB" w:eastAsia="en-GB"/>
              </w:rPr>
              <w:t xml:space="preserve">   MVI</w:t>
            </w:r>
          </w:p>
        </w:tc>
        <w:tc>
          <w:tcPr>
            <w:tcW w:w="347" w:type="pct"/>
            <w:tcBorders>
              <w:top w:val="nil"/>
              <w:left w:val="nil"/>
              <w:bottom w:val="nil"/>
              <w:right w:val="nil"/>
            </w:tcBorders>
            <w:noWrap/>
            <w:vAlign w:val="bottom"/>
            <w:hideMark/>
          </w:tcPr>
          <w:p w:rsidRPr="00B52D66" w:rsidR="00B52D66" w:rsidP="00FC2172" w:rsidRDefault="00B52D66" w14:paraId="2335ADD1" w14:textId="77777777">
            <w:pPr>
              <w:spacing w:line="240" w:lineRule="auto"/>
              <w:jc w:val="center"/>
              <w:rPr>
                <w:rFonts w:cs="Arial"/>
                <w:szCs w:val="18"/>
                <w:lang w:val="en-GB" w:eastAsia="en-GB"/>
              </w:rPr>
            </w:pPr>
            <w:r w:rsidRPr="00B52D66">
              <w:rPr>
                <w:rFonts w:cs="Arial"/>
                <w:szCs w:val="18"/>
                <w:lang w:val="en-GB" w:eastAsia="en-GB"/>
              </w:rPr>
              <w:t>29</w:t>
            </w:r>
          </w:p>
        </w:tc>
        <w:tc>
          <w:tcPr>
            <w:tcW w:w="404" w:type="pct"/>
            <w:tcBorders>
              <w:top w:val="nil"/>
              <w:left w:val="nil"/>
              <w:bottom w:val="nil"/>
              <w:right w:val="nil"/>
            </w:tcBorders>
            <w:noWrap/>
            <w:vAlign w:val="bottom"/>
            <w:hideMark/>
          </w:tcPr>
          <w:p w:rsidRPr="00B52D66" w:rsidR="00B52D66" w:rsidP="00FC2172" w:rsidRDefault="00B52D66" w14:paraId="5D59FE78" w14:textId="77777777">
            <w:pPr>
              <w:spacing w:line="240" w:lineRule="auto"/>
              <w:jc w:val="center"/>
              <w:rPr>
                <w:rFonts w:cs="Arial"/>
                <w:szCs w:val="18"/>
                <w:lang w:val="en-GB" w:eastAsia="en-GB"/>
              </w:rPr>
            </w:pPr>
            <w:r w:rsidRPr="00B52D66">
              <w:rPr>
                <w:rFonts w:cs="Arial"/>
                <w:szCs w:val="18"/>
                <w:lang w:val="en-GB" w:eastAsia="en-GB"/>
              </w:rPr>
              <w:t>25</w:t>
            </w:r>
          </w:p>
        </w:tc>
        <w:tc>
          <w:tcPr>
            <w:tcW w:w="347" w:type="pct"/>
            <w:tcBorders>
              <w:top w:val="nil"/>
              <w:left w:val="nil"/>
              <w:bottom w:val="nil"/>
              <w:right w:val="nil"/>
            </w:tcBorders>
            <w:noWrap/>
            <w:vAlign w:val="bottom"/>
            <w:hideMark/>
          </w:tcPr>
          <w:p w:rsidRPr="00B52D66" w:rsidR="00B52D66" w:rsidP="00FC2172" w:rsidRDefault="00B52D66" w14:paraId="60842FBD" w14:textId="77777777">
            <w:pPr>
              <w:spacing w:line="240" w:lineRule="auto"/>
              <w:jc w:val="center"/>
              <w:rPr>
                <w:rFonts w:cs="Arial"/>
                <w:szCs w:val="18"/>
                <w:lang w:val="en-GB" w:eastAsia="en-GB"/>
              </w:rPr>
            </w:pPr>
            <w:r w:rsidRPr="00B52D66">
              <w:rPr>
                <w:rFonts w:cs="Arial"/>
                <w:szCs w:val="18"/>
                <w:lang w:val="en-GB" w:eastAsia="en-GB"/>
              </w:rPr>
              <w:t>22</w:t>
            </w:r>
          </w:p>
        </w:tc>
        <w:tc>
          <w:tcPr>
            <w:tcW w:w="429" w:type="pct"/>
            <w:tcBorders>
              <w:top w:val="nil"/>
              <w:left w:val="nil"/>
              <w:bottom w:val="nil"/>
              <w:right w:val="nil"/>
            </w:tcBorders>
            <w:noWrap/>
            <w:vAlign w:val="bottom"/>
            <w:hideMark/>
          </w:tcPr>
          <w:p w:rsidRPr="00B52D66" w:rsidR="00B52D66" w:rsidP="00FC2172" w:rsidRDefault="00B52D66" w14:paraId="4A283FF3" w14:textId="77777777">
            <w:pPr>
              <w:spacing w:line="240" w:lineRule="auto"/>
              <w:jc w:val="center"/>
              <w:rPr>
                <w:rFonts w:cs="Arial"/>
                <w:szCs w:val="18"/>
                <w:lang w:val="en-GB" w:eastAsia="en-GB"/>
              </w:rPr>
            </w:pPr>
            <w:r w:rsidRPr="00B52D66">
              <w:rPr>
                <w:rFonts w:cs="Arial"/>
                <w:szCs w:val="18"/>
                <w:lang w:val="en-GB" w:eastAsia="en-GB"/>
              </w:rPr>
              <w:t>14</w:t>
            </w:r>
          </w:p>
        </w:tc>
        <w:tc>
          <w:tcPr>
            <w:tcW w:w="347" w:type="pct"/>
            <w:tcBorders>
              <w:top w:val="nil"/>
              <w:left w:val="nil"/>
              <w:bottom w:val="nil"/>
              <w:right w:val="nil"/>
            </w:tcBorders>
            <w:noWrap/>
            <w:vAlign w:val="bottom"/>
            <w:hideMark/>
          </w:tcPr>
          <w:p w:rsidRPr="00B52D66" w:rsidR="00B52D66" w:rsidP="00FC2172" w:rsidRDefault="00B52D66" w14:paraId="052A2266" w14:textId="77777777">
            <w:pPr>
              <w:spacing w:line="240" w:lineRule="auto"/>
              <w:jc w:val="center"/>
              <w:rPr>
                <w:rFonts w:cs="Arial"/>
                <w:szCs w:val="18"/>
                <w:lang w:val="en-GB" w:eastAsia="en-GB"/>
              </w:rPr>
            </w:pPr>
            <w:r w:rsidRPr="00B52D66">
              <w:rPr>
                <w:rFonts w:cs="Arial"/>
                <w:szCs w:val="18"/>
                <w:lang w:val="en-GB" w:eastAsia="en-GB"/>
              </w:rPr>
              <w:t>22</w:t>
            </w:r>
          </w:p>
        </w:tc>
        <w:tc>
          <w:tcPr>
            <w:tcW w:w="429" w:type="pct"/>
            <w:tcBorders>
              <w:top w:val="nil"/>
              <w:left w:val="nil"/>
              <w:bottom w:val="nil"/>
              <w:right w:val="nil"/>
            </w:tcBorders>
            <w:noWrap/>
            <w:vAlign w:val="bottom"/>
            <w:hideMark/>
          </w:tcPr>
          <w:p w:rsidRPr="00B52D66" w:rsidR="00B52D66" w:rsidP="00FC2172" w:rsidRDefault="00B52D66" w14:paraId="3C7663B8" w14:textId="77777777">
            <w:pPr>
              <w:spacing w:line="240" w:lineRule="auto"/>
              <w:jc w:val="center"/>
              <w:rPr>
                <w:rFonts w:cs="Arial"/>
                <w:szCs w:val="18"/>
                <w:lang w:val="en-GB" w:eastAsia="en-GB"/>
              </w:rPr>
            </w:pPr>
            <w:r w:rsidRPr="00B52D66">
              <w:rPr>
                <w:rFonts w:cs="Arial"/>
                <w:szCs w:val="18"/>
                <w:lang w:val="en-GB" w:eastAsia="en-GB"/>
              </w:rPr>
              <w:t>17</w:t>
            </w:r>
          </w:p>
        </w:tc>
        <w:tc>
          <w:tcPr>
            <w:tcW w:w="347" w:type="pct"/>
            <w:tcBorders>
              <w:top w:val="nil"/>
              <w:left w:val="nil"/>
              <w:bottom w:val="nil"/>
              <w:right w:val="nil"/>
            </w:tcBorders>
            <w:noWrap/>
            <w:vAlign w:val="bottom"/>
            <w:hideMark/>
          </w:tcPr>
          <w:p w:rsidRPr="00B52D66" w:rsidR="00B52D66" w:rsidP="00FC2172" w:rsidRDefault="00B52D66" w14:paraId="24DC5A52" w14:textId="77777777">
            <w:pPr>
              <w:spacing w:line="240" w:lineRule="auto"/>
              <w:jc w:val="center"/>
              <w:rPr>
                <w:rFonts w:cs="Arial"/>
                <w:szCs w:val="18"/>
                <w:lang w:val="en-GB" w:eastAsia="en-GB"/>
              </w:rPr>
            </w:pPr>
            <w:r w:rsidRPr="00B52D66">
              <w:rPr>
                <w:rFonts w:cs="Arial"/>
                <w:szCs w:val="18"/>
                <w:lang w:val="en-GB" w:eastAsia="en-GB"/>
              </w:rPr>
              <w:t>24</w:t>
            </w:r>
          </w:p>
        </w:tc>
        <w:tc>
          <w:tcPr>
            <w:tcW w:w="429" w:type="pct"/>
            <w:tcBorders>
              <w:top w:val="nil"/>
              <w:left w:val="nil"/>
              <w:bottom w:val="nil"/>
              <w:right w:val="nil"/>
            </w:tcBorders>
            <w:noWrap/>
            <w:vAlign w:val="bottom"/>
            <w:hideMark/>
          </w:tcPr>
          <w:p w:rsidRPr="00B52D66" w:rsidR="00B52D66" w:rsidP="00FC2172" w:rsidRDefault="00B52D66" w14:paraId="3481B26A" w14:textId="77777777">
            <w:pPr>
              <w:spacing w:line="240" w:lineRule="auto"/>
              <w:jc w:val="center"/>
              <w:rPr>
                <w:rFonts w:cs="Arial"/>
                <w:szCs w:val="18"/>
                <w:lang w:val="en-GB" w:eastAsia="en-GB"/>
              </w:rPr>
            </w:pPr>
            <w:r w:rsidRPr="00B52D66">
              <w:rPr>
                <w:rFonts w:cs="Arial"/>
                <w:szCs w:val="18"/>
                <w:lang w:val="en-GB" w:eastAsia="en-GB"/>
              </w:rPr>
              <w:t>14</w:t>
            </w:r>
          </w:p>
        </w:tc>
        <w:tc>
          <w:tcPr>
            <w:tcW w:w="347" w:type="pct"/>
            <w:tcBorders>
              <w:top w:val="nil"/>
              <w:left w:val="nil"/>
              <w:bottom w:val="nil"/>
              <w:right w:val="nil"/>
            </w:tcBorders>
            <w:noWrap/>
            <w:vAlign w:val="bottom"/>
            <w:hideMark/>
          </w:tcPr>
          <w:p w:rsidRPr="00B52D66" w:rsidR="00B52D66" w:rsidP="00FC2172" w:rsidRDefault="00B52D66" w14:paraId="6EA64FF1" w14:textId="77777777">
            <w:pPr>
              <w:spacing w:line="240" w:lineRule="auto"/>
              <w:jc w:val="center"/>
              <w:rPr>
                <w:rFonts w:cs="Arial"/>
                <w:szCs w:val="18"/>
                <w:lang w:val="en-GB" w:eastAsia="en-GB"/>
              </w:rPr>
            </w:pPr>
            <w:r w:rsidRPr="00B52D66">
              <w:rPr>
                <w:rFonts w:cs="Arial"/>
                <w:szCs w:val="18"/>
                <w:lang w:val="en-GB" w:eastAsia="en-GB"/>
              </w:rPr>
              <w:t>22</w:t>
            </w:r>
          </w:p>
        </w:tc>
        <w:tc>
          <w:tcPr>
            <w:tcW w:w="429" w:type="pct"/>
            <w:tcBorders>
              <w:top w:val="nil"/>
              <w:left w:val="nil"/>
              <w:bottom w:val="nil"/>
              <w:right w:val="nil"/>
            </w:tcBorders>
            <w:noWrap/>
            <w:vAlign w:val="bottom"/>
            <w:hideMark/>
          </w:tcPr>
          <w:p w:rsidRPr="00B52D66" w:rsidR="00B52D66" w:rsidP="00FC2172" w:rsidRDefault="00B52D66" w14:paraId="7D55BCAB" w14:textId="77777777">
            <w:pPr>
              <w:spacing w:line="240" w:lineRule="auto"/>
              <w:jc w:val="center"/>
              <w:rPr>
                <w:rFonts w:cs="Arial"/>
                <w:szCs w:val="18"/>
                <w:lang w:val="en-GB" w:eastAsia="en-GB"/>
              </w:rPr>
            </w:pPr>
            <w:r w:rsidRPr="00B52D66">
              <w:rPr>
                <w:rFonts w:cs="Arial"/>
                <w:szCs w:val="18"/>
                <w:lang w:val="en-GB" w:eastAsia="en-GB"/>
              </w:rPr>
              <w:t>10</w:t>
            </w:r>
          </w:p>
        </w:tc>
        <w:tc>
          <w:tcPr>
            <w:tcW w:w="347" w:type="pct"/>
            <w:tcBorders>
              <w:top w:val="nil"/>
              <w:left w:val="nil"/>
              <w:bottom w:val="nil"/>
              <w:right w:val="nil"/>
            </w:tcBorders>
            <w:noWrap/>
            <w:vAlign w:val="bottom"/>
            <w:hideMark/>
          </w:tcPr>
          <w:p w:rsidRPr="00B52D66" w:rsidR="00B52D66" w:rsidP="00FC2172" w:rsidRDefault="00B52D66" w14:paraId="5D33F085" w14:textId="77777777">
            <w:pPr>
              <w:spacing w:line="240" w:lineRule="auto"/>
              <w:jc w:val="center"/>
              <w:rPr>
                <w:rFonts w:cs="Arial"/>
                <w:szCs w:val="18"/>
                <w:lang w:val="en-GB" w:eastAsia="en-GB"/>
              </w:rPr>
            </w:pPr>
            <w:r w:rsidRPr="00B52D66">
              <w:rPr>
                <w:rFonts w:cs="Arial"/>
                <w:szCs w:val="18"/>
                <w:lang w:val="en-GB" w:eastAsia="en-GB"/>
              </w:rPr>
              <w:t>27</w:t>
            </w:r>
          </w:p>
        </w:tc>
        <w:tc>
          <w:tcPr>
            <w:tcW w:w="429" w:type="pct"/>
            <w:tcBorders>
              <w:top w:val="nil"/>
              <w:left w:val="nil"/>
              <w:bottom w:val="nil"/>
              <w:right w:val="nil"/>
            </w:tcBorders>
            <w:noWrap/>
            <w:vAlign w:val="bottom"/>
            <w:hideMark/>
          </w:tcPr>
          <w:p w:rsidRPr="00B52D66" w:rsidR="00B52D66" w:rsidP="00FC2172" w:rsidRDefault="00B52D66" w14:paraId="2C9EF6A9" w14:textId="77777777">
            <w:pPr>
              <w:spacing w:line="240" w:lineRule="auto"/>
              <w:jc w:val="center"/>
              <w:rPr>
                <w:rFonts w:cs="Arial"/>
                <w:szCs w:val="18"/>
                <w:lang w:val="en-GB" w:eastAsia="en-GB"/>
              </w:rPr>
            </w:pPr>
            <w:r w:rsidRPr="00B52D66">
              <w:rPr>
                <w:rFonts w:cs="Arial"/>
                <w:szCs w:val="18"/>
                <w:lang w:val="en-GB" w:eastAsia="en-GB"/>
              </w:rPr>
              <w:t>20</w:t>
            </w:r>
          </w:p>
        </w:tc>
      </w:tr>
      <w:tr w:rsidRPr="00B52D66" w:rsidR="00B52D66" w:rsidTr="00B52D66" w14:paraId="4894CB35" w14:textId="77777777">
        <w:trPr>
          <w:trHeight w:val="230"/>
        </w:trPr>
        <w:tc>
          <w:tcPr>
            <w:tcW w:w="371" w:type="pct"/>
            <w:tcBorders>
              <w:top w:val="nil"/>
              <w:left w:val="nil"/>
              <w:bottom w:val="nil"/>
              <w:right w:val="nil"/>
            </w:tcBorders>
            <w:noWrap/>
            <w:hideMark/>
          </w:tcPr>
          <w:p w:rsidRPr="00B52D66" w:rsidR="00B52D66" w:rsidP="00FC2172" w:rsidRDefault="00B52D66" w14:paraId="0C32A678" w14:textId="77777777">
            <w:pPr>
              <w:spacing w:line="240" w:lineRule="auto"/>
              <w:rPr>
                <w:rFonts w:cs="Arial"/>
                <w:szCs w:val="18"/>
                <w:lang w:val="en-GB" w:eastAsia="en-GB"/>
              </w:rPr>
            </w:pPr>
            <w:r w:rsidRPr="00B52D66">
              <w:rPr>
                <w:rFonts w:cs="Arial"/>
                <w:szCs w:val="18"/>
                <w:lang w:val="en-GB" w:eastAsia="en-GB"/>
              </w:rPr>
              <w:t xml:space="preserve">   M&amp;T</w:t>
            </w:r>
          </w:p>
        </w:tc>
        <w:tc>
          <w:tcPr>
            <w:tcW w:w="347" w:type="pct"/>
            <w:tcBorders>
              <w:top w:val="nil"/>
              <w:left w:val="nil"/>
              <w:bottom w:val="nil"/>
              <w:right w:val="nil"/>
            </w:tcBorders>
            <w:noWrap/>
            <w:vAlign w:val="bottom"/>
            <w:hideMark/>
          </w:tcPr>
          <w:p w:rsidRPr="00B52D66" w:rsidR="00B52D66" w:rsidP="00FC2172" w:rsidRDefault="00B52D66" w14:paraId="0E291054" w14:textId="77777777">
            <w:pPr>
              <w:spacing w:line="240" w:lineRule="auto"/>
              <w:jc w:val="center"/>
              <w:rPr>
                <w:rFonts w:cs="Arial"/>
                <w:szCs w:val="18"/>
                <w:lang w:val="en-GB" w:eastAsia="en-GB"/>
              </w:rPr>
            </w:pPr>
            <w:r w:rsidRPr="00B52D66">
              <w:rPr>
                <w:rFonts w:cs="Arial"/>
                <w:szCs w:val="18"/>
                <w:lang w:val="en-GB" w:eastAsia="en-GB"/>
              </w:rPr>
              <w:t>44</w:t>
            </w:r>
          </w:p>
        </w:tc>
        <w:tc>
          <w:tcPr>
            <w:tcW w:w="404" w:type="pct"/>
            <w:tcBorders>
              <w:top w:val="nil"/>
              <w:left w:val="nil"/>
              <w:bottom w:val="nil"/>
              <w:right w:val="nil"/>
            </w:tcBorders>
            <w:noWrap/>
            <w:vAlign w:val="bottom"/>
            <w:hideMark/>
          </w:tcPr>
          <w:p w:rsidRPr="00B52D66" w:rsidR="00B52D66" w:rsidP="00FC2172" w:rsidRDefault="00B52D66" w14:paraId="58642BF9" w14:textId="77777777">
            <w:pPr>
              <w:spacing w:line="240" w:lineRule="auto"/>
              <w:jc w:val="center"/>
              <w:rPr>
                <w:rFonts w:cs="Arial"/>
                <w:szCs w:val="18"/>
                <w:lang w:val="en-GB" w:eastAsia="en-GB"/>
              </w:rPr>
            </w:pPr>
            <w:r w:rsidRPr="00B52D66">
              <w:rPr>
                <w:rFonts w:cs="Arial"/>
                <w:szCs w:val="18"/>
                <w:lang w:val="en-GB" w:eastAsia="en-GB"/>
              </w:rPr>
              <w:t>48</w:t>
            </w:r>
          </w:p>
        </w:tc>
        <w:tc>
          <w:tcPr>
            <w:tcW w:w="347" w:type="pct"/>
            <w:tcBorders>
              <w:top w:val="nil"/>
              <w:left w:val="nil"/>
              <w:bottom w:val="nil"/>
              <w:right w:val="nil"/>
            </w:tcBorders>
            <w:noWrap/>
            <w:vAlign w:val="bottom"/>
            <w:hideMark/>
          </w:tcPr>
          <w:p w:rsidRPr="00B52D66" w:rsidR="00B52D66" w:rsidP="00FC2172" w:rsidRDefault="00B52D66" w14:paraId="15F7D7E9" w14:textId="77777777">
            <w:pPr>
              <w:spacing w:line="240" w:lineRule="auto"/>
              <w:jc w:val="center"/>
              <w:rPr>
                <w:rFonts w:cs="Arial"/>
                <w:szCs w:val="18"/>
                <w:lang w:val="en-GB" w:eastAsia="en-GB"/>
              </w:rPr>
            </w:pPr>
            <w:r w:rsidRPr="00B52D66">
              <w:rPr>
                <w:rFonts w:cs="Arial"/>
                <w:szCs w:val="18"/>
                <w:lang w:val="en-GB" w:eastAsia="en-GB"/>
              </w:rPr>
              <w:t>43</w:t>
            </w:r>
          </w:p>
        </w:tc>
        <w:tc>
          <w:tcPr>
            <w:tcW w:w="429" w:type="pct"/>
            <w:tcBorders>
              <w:top w:val="nil"/>
              <w:left w:val="nil"/>
              <w:bottom w:val="nil"/>
              <w:right w:val="nil"/>
            </w:tcBorders>
            <w:noWrap/>
            <w:vAlign w:val="bottom"/>
            <w:hideMark/>
          </w:tcPr>
          <w:p w:rsidRPr="00B52D66" w:rsidR="00B52D66" w:rsidP="00FC2172" w:rsidRDefault="00B52D66" w14:paraId="6022C110" w14:textId="77777777">
            <w:pPr>
              <w:spacing w:line="240" w:lineRule="auto"/>
              <w:jc w:val="center"/>
              <w:rPr>
                <w:rFonts w:cs="Arial"/>
                <w:szCs w:val="18"/>
                <w:lang w:val="en-GB" w:eastAsia="en-GB"/>
              </w:rPr>
            </w:pPr>
            <w:r w:rsidRPr="00B52D66">
              <w:rPr>
                <w:rFonts w:cs="Arial"/>
                <w:szCs w:val="18"/>
                <w:lang w:val="en-GB" w:eastAsia="en-GB"/>
              </w:rPr>
              <w:t>46</w:t>
            </w:r>
          </w:p>
        </w:tc>
        <w:tc>
          <w:tcPr>
            <w:tcW w:w="347" w:type="pct"/>
            <w:tcBorders>
              <w:top w:val="nil"/>
              <w:left w:val="nil"/>
              <w:bottom w:val="nil"/>
              <w:right w:val="nil"/>
            </w:tcBorders>
            <w:noWrap/>
            <w:vAlign w:val="bottom"/>
            <w:hideMark/>
          </w:tcPr>
          <w:p w:rsidRPr="00B52D66" w:rsidR="00B52D66" w:rsidP="00FC2172" w:rsidRDefault="00B52D66" w14:paraId="30555E3A" w14:textId="77777777">
            <w:pPr>
              <w:spacing w:line="240" w:lineRule="auto"/>
              <w:jc w:val="center"/>
              <w:rPr>
                <w:rFonts w:cs="Arial"/>
                <w:szCs w:val="18"/>
                <w:lang w:val="en-GB" w:eastAsia="en-GB"/>
              </w:rPr>
            </w:pPr>
            <w:r w:rsidRPr="00B52D66">
              <w:rPr>
                <w:rFonts w:cs="Arial"/>
                <w:szCs w:val="18"/>
                <w:lang w:val="en-GB" w:eastAsia="en-GB"/>
              </w:rPr>
              <w:t>43</w:t>
            </w:r>
          </w:p>
        </w:tc>
        <w:tc>
          <w:tcPr>
            <w:tcW w:w="429" w:type="pct"/>
            <w:tcBorders>
              <w:top w:val="nil"/>
              <w:left w:val="nil"/>
              <w:bottom w:val="nil"/>
              <w:right w:val="nil"/>
            </w:tcBorders>
            <w:noWrap/>
            <w:vAlign w:val="bottom"/>
            <w:hideMark/>
          </w:tcPr>
          <w:p w:rsidRPr="00B52D66" w:rsidR="00B52D66" w:rsidP="00FC2172" w:rsidRDefault="00B52D66" w14:paraId="560CA19F" w14:textId="77777777">
            <w:pPr>
              <w:spacing w:line="240" w:lineRule="auto"/>
              <w:jc w:val="center"/>
              <w:rPr>
                <w:rFonts w:cs="Arial"/>
                <w:szCs w:val="18"/>
                <w:lang w:val="en-GB" w:eastAsia="en-GB"/>
              </w:rPr>
            </w:pPr>
            <w:r w:rsidRPr="00B52D66">
              <w:rPr>
                <w:rFonts w:cs="Arial"/>
                <w:szCs w:val="18"/>
                <w:lang w:val="en-GB" w:eastAsia="en-GB"/>
              </w:rPr>
              <w:t>44</w:t>
            </w:r>
          </w:p>
        </w:tc>
        <w:tc>
          <w:tcPr>
            <w:tcW w:w="347" w:type="pct"/>
            <w:tcBorders>
              <w:top w:val="nil"/>
              <w:left w:val="nil"/>
              <w:bottom w:val="nil"/>
              <w:right w:val="nil"/>
            </w:tcBorders>
            <w:noWrap/>
            <w:vAlign w:val="bottom"/>
            <w:hideMark/>
          </w:tcPr>
          <w:p w:rsidRPr="00B52D66" w:rsidR="00B52D66" w:rsidP="00FC2172" w:rsidRDefault="00B52D66" w14:paraId="3DA146B3" w14:textId="77777777">
            <w:pPr>
              <w:spacing w:line="240" w:lineRule="auto"/>
              <w:jc w:val="center"/>
              <w:rPr>
                <w:rFonts w:cs="Arial"/>
                <w:szCs w:val="18"/>
                <w:lang w:val="en-GB" w:eastAsia="en-GB"/>
              </w:rPr>
            </w:pPr>
            <w:r w:rsidRPr="00B52D66">
              <w:rPr>
                <w:rFonts w:cs="Arial"/>
                <w:szCs w:val="18"/>
                <w:lang w:val="en-GB" w:eastAsia="en-GB"/>
              </w:rPr>
              <w:t>39</w:t>
            </w:r>
          </w:p>
        </w:tc>
        <w:tc>
          <w:tcPr>
            <w:tcW w:w="429" w:type="pct"/>
            <w:tcBorders>
              <w:top w:val="nil"/>
              <w:left w:val="nil"/>
              <w:bottom w:val="nil"/>
              <w:right w:val="nil"/>
            </w:tcBorders>
            <w:noWrap/>
            <w:vAlign w:val="bottom"/>
            <w:hideMark/>
          </w:tcPr>
          <w:p w:rsidRPr="00B52D66" w:rsidR="00B52D66" w:rsidP="00FC2172" w:rsidRDefault="00B52D66" w14:paraId="6F22171E" w14:textId="77777777">
            <w:pPr>
              <w:spacing w:line="240" w:lineRule="auto"/>
              <w:jc w:val="center"/>
              <w:rPr>
                <w:rFonts w:cs="Arial"/>
                <w:szCs w:val="18"/>
                <w:lang w:val="en-GB" w:eastAsia="en-GB"/>
              </w:rPr>
            </w:pPr>
            <w:r w:rsidRPr="00B52D66">
              <w:rPr>
                <w:rFonts w:cs="Arial"/>
                <w:szCs w:val="18"/>
                <w:lang w:val="en-GB" w:eastAsia="en-GB"/>
              </w:rPr>
              <w:t>33</w:t>
            </w:r>
          </w:p>
        </w:tc>
        <w:tc>
          <w:tcPr>
            <w:tcW w:w="347" w:type="pct"/>
            <w:tcBorders>
              <w:top w:val="nil"/>
              <w:left w:val="nil"/>
              <w:bottom w:val="nil"/>
              <w:right w:val="nil"/>
            </w:tcBorders>
            <w:noWrap/>
            <w:vAlign w:val="bottom"/>
            <w:hideMark/>
          </w:tcPr>
          <w:p w:rsidRPr="00B52D66" w:rsidR="00B52D66" w:rsidP="00FC2172" w:rsidRDefault="00B52D66" w14:paraId="09DDCECA" w14:textId="77777777">
            <w:pPr>
              <w:spacing w:line="240" w:lineRule="auto"/>
              <w:jc w:val="center"/>
              <w:rPr>
                <w:rFonts w:cs="Arial"/>
                <w:szCs w:val="18"/>
                <w:lang w:val="en-GB" w:eastAsia="en-GB"/>
              </w:rPr>
            </w:pPr>
            <w:r w:rsidRPr="00B52D66">
              <w:rPr>
                <w:rFonts w:cs="Arial"/>
                <w:szCs w:val="18"/>
                <w:lang w:val="en-GB" w:eastAsia="en-GB"/>
              </w:rPr>
              <w:t>41</w:t>
            </w:r>
          </w:p>
        </w:tc>
        <w:tc>
          <w:tcPr>
            <w:tcW w:w="429" w:type="pct"/>
            <w:tcBorders>
              <w:top w:val="nil"/>
              <w:left w:val="nil"/>
              <w:bottom w:val="nil"/>
              <w:right w:val="nil"/>
            </w:tcBorders>
            <w:noWrap/>
            <w:vAlign w:val="bottom"/>
            <w:hideMark/>
          </w:tcPr>
          <w:p w:rsidRPr="00B52D66" w:rsidR="00B52D66" w:rsidP="00FC2172" w:rsidRDefault="00B52D66" w14:paraId="1D52DCA6" w14:textId="77777777">
            <w:pPr>
              <w:spacing w:line="240" w:lineRule="auto"/>
              <w:jc w:val="center"/>
              <w:rPr>
                <w:rFonts w:cs="Arial"/>
                <w:szCs w:val="18"/>
                <w:lang w:val="en-GB" w:eastAsia="en-GB"/>
              </w:rPr>
            </w:pPr>
            <w:r w:rsidRPr="00B52D66">
              <w:rPr>
                <w:rFonts w:cs="Arial"/>
                <w:szCs w:val="18"/>
                <w:lang w:val="en-GB" w:eastAsia="en-GB"/>
              </w:rPr>
              <w:t>50</w:t>
            </w:r>
          </w:p>
        </w:tc>
        <w:tc>
          <w:tcPr>
            <w:tcW w:w="347" w:type="pct"/>
            <w:tcBorders>
              <w:top w:val="nil"/>
              <w:left w:val="nil"/>
              <w:bottom w:val="nil"/>
              <w:right w:val="nil"/>
            </w:tcBorders>
            <w:noWrap/>
            <w:vAlign w:val="bottom"/>
            <w:hideMark/>
          </w:tcPr>
          <w:p w:rsidRPr="00B52D66" w:rsidR="00B52D66" w:rsidP="00FC2172" w:rsidRDefault="00B52D66" w14:paraId="0EE787CD" w14:textId="77777777">
            <w:pPr>
              <w:spacing w:line="240" w:lineRule="auto"/>
              <w:jc w:val="center"/>
              <w:rPr>
                <w:rFonts w:cs="Arial"/>
                <w:szCs w:val="18"/>
                <w:lang w:val="en-GB" w:eastAsia="en-GB"/>
              </w:rPr>
            </w:pPr>
            <w:r w:rsidRPr="00B52D66">
              <w:rPr>
                <w:rFonts w:cs="Arial"/>
                <w:szCs w:val="18"/>
                <w:lang w:val="en-GB" w:eastAsia="en-GB"/>
              </w:rPr>
              <w:t>41</w:t>
            </w:r>
          </w:p>
        </w:tc>
        <w:tc>
          <w:tcPr>
            <w:tcW w:w="429" w:type="pct"/>
            <w:tcBorders>
              <w:top w:val="nil"/>
              <w:left w:val="nil"/>
              <w:bottom w:val="nil"/>
              <w:right w:val="nil"/>
            </w:tcBorders>
            <w:noWrap/>
            <w:vAlign w:val="bottom"/>
            <w:hideMark/>
          </w:tcPr>
          <w:p w:rsidRPr="00B52D66" w:rsidR="00B52D66" w:rsidP="00FC2172" w:rsidRDefault="00B52D66" w14:paraId="63517F7D" w14:textId="77777777">
            <w:pPr>
              <w:spacing w:line="240" w:lineRule="auto"/>
              <w:jc w:val="center"/>
              <w:rPr>
                <w:rFonts w:cs="Arial"/>
                <w:szCs w:val="18"/>
                <w:lang w:val="en-GB" w:eastAsia="en-GB"/>
              </w:rPr>
            </w:pPr>
            <w:r w:rsidRPr="00B52D66">
              <w:rPr>
                <w:rFonts w:cs="Arial"/>
                <w:szCs w:val="18"/>
                <w:lang w:val="en-GB" w:eastAsia="en-GB"/>
              </w:rPr>
              <w:t>43</w:t>
            </w:r>
          </w:p>
        </w:tc>
      </w:tr>
      <w:tr w:rsidRPr="00B52D66" w:rsidR="00B52D66" w:rsidTr="00B52D66" w14:paraId="1BBE98C7" w14:textId="77777777">
        <w:trPr>
          <w:trHeight w:val="230"/>
        </w:trPr>
        <w:tc>
          <w:tcPr>
            <w:tcW w:w="371" w:type="pct"/>
            <w:tcBorders>
              <w:top w:val="nil"/>
              <w:left w:val="nil"/>
              <w:bottom w:val="nil"/>
              <w:right w:val="nil"/>
            </w:tcBorders>
            <w:noWrap/>
            <w:hideMark/>
          </w:tcPr>
          <w:p w:rsidRPr="00B52D66" w:rsidR="00B52D66" w:rsidP="00FC2172" w:rsidRDefault="00B52D66" w14:paraId="0F448035" w14:textId="77777777">
            <w:pPr>
              <w:spacing w:line="240" w:lineRule="auto"/>
              <w:rPr>
                <w:rFonts w:cs="Arial"/>
                <w:szCs w:val="18"/>
                <w:lang w:val="en-GB" w:eastAsia="en-GB"/>
              </w:rPr>
            </w:pPr>
            <w:r w:rsidRPr="00B52D66">
              <w:rPr>
                <w:rFonts w:cs="Arial"/>
                <w:szCs w:val="18"/>
                <w:lang w:val="en-GB" w:eastAsia="en-GB"/>
              </w:rPr>
              <w:t xml:space="preserve">   PIE</w:t>
            </w:r>
          </w:p>
        </w:tc>
        <w:tc>
          <w:tcPr>
            <w:tcW w:w="347" w:type="pct"/>
            <w:tcBorders>
              <w:top w:val="nil"/>
              <w:left w:val="nil"/>
              <w:bottom w:val="nil"/>
              <w:right w:val="nil"/>
            </w:tcBorders>
            <w:noWrap/>
            <w:vAlign w:val="bottom"/>
            <w:hideMark/>
          </w:tcPr>
          <w:p w:rsidRPr="00B52D66" w:rsidR="00B52D66" w:rsidP="00FC2172" w:rsidRDefault="00B52D66" w14:paraId="51F71D76" w14:textId="77777777">
            <w:pPr>
              <w:spacing w:line="240" w:lineRule="auto"/>
              <w:jc w:val="center"/>
              <w:rPr>
                <w:rFonts w:cs="Arial"/>
                <w:szCs w:val="18"/>
                <w:lang w:val="en-GB" w:eastAsia="en-GB"/>
              </w:rPr>
            </w:pPr>
            <w:r w:rsidRPr="00B52D66">
              <w:rPr>
                <w:rFonts w:cs="Arial"/>
                <w:szCs w:val="18"/>
                <w:lang w:val="en-GB" w:eastAsia="en-GB"/>
              </w:rPr>
              <w:t>86</w:t>
            </w:r>
          </w:p>
        </w:tc>
        <w:tc>
          <w:tcPr>
            <w:tcW w:w="404" w:type="pct"/>
            <w:tcBorders>
              <w:top w:val="nil"/>
              <w:left w:val="nil"/>
              <w:bottom w:val="nil"/>
              <w:right w:val="nil"/>
            </w:tcBorders>
            <w:noWrap/>
            <w:vAlign w:val="bottom"/>
            <w:hideMark/>
          </w:tcPr>
          <w:p w:rsidRPr="00B52D66" w:rsidR="00B52D66" w:rsidP="00FC2172" w:rsidRDefault="00B52D66" w14:paraId="10321827" w14:textId="77777777">
            <w:pPr>
              <w:spacing w:line="240" w:lineRule="auto"/>
              <w:jc w:val="center"/>
              <w:rPr>
                <w:rFonts w:cs="Arial"/>
                <w:szCs w:val="18"/>
                <w:lang w:val="en-GB" w:eastAsia="en-GB"/>
              </w:rPr>
            </w:pPr>
            <w:r w:rsidRPr="00B52D66">
              <w:rPr>
                <w:rFonts w:cs="Arial"/>
                <w:szCs w:val="18"/>
                <w:lang w:val="en-GB" w:eastAsia="en-GB"/>
              </w:rPr>
              <w:t>95</w:t>
            </w:r>
          </w:p>
        </w:tc>
        <w:tc>
          <w:tcPr>
            <w:tcW w:w="347" w:type="pct"/>
            <w:tcBorders>
              <w:top w:val="nil"/>
              <w:left w:val="nil"/>
              <w:bottom w:val="nil"/>
              <w:right w:val="nil"/>
            </w:tcBorders>
            <w:noWrap/>
            <w:vAlign w:val="bottom"/>
            <w:hideMark/>
          </w:tcPr>
          <w:p w:rsidRPr="00B52D66" w:rsidR="00B52D66" w:rsidP="00FC2172" w:rsidRDefault="00B52D66" w14:paraId="6CD5534D" w14:textId="77777777">
            <w:pPr>
              <w:spacing w:line="240" w:lineRule="auto"/>
              <w:jc w:val="center"/>
              <w:rPr>
                <w:rFonts w:cs="Arial"/>
                <w:szCs w:val="18"/>
                <w:lang w:val="en-GB" w:eastAsia="en-GB"/>
              </w:rPr>
            </w:pPr>
            <w:r w:rsidRPr="00B52D66">
              <w:rPr>
                <w:rFonts w:cs="Arial"/>
                <w:szCs w:val="18"/>
                <w:lang w:val="en-GB" w:eastAsia="en-GB"/>
              </w:rPr>
              <w:t>85</w:t>
            </w:r>
          </w:p>
        </w:tc>
        <w:tc>
          <w:tcPr>
            <w:tcW w:w="429" w:type="pct"/>
            <w:tcBorders>
              <w:top w:val="nil"/>
              <w:left w:val="nil"/>
              <w:bottom w:val="nil"/>
              <w:right w:val="nil"/>
            </w:tcBorders>
            <w:noWrap/>
            <w:vAlign w:val="bottom"/>
            <w:hideMark/>
          </w:tcPr>
          <w:p w:rsidRPr="00B52D66" w:rsidR="00B52D66" w:rsidP="00FC2172" w:rsidRDefault="00B52D66" w14:paraId="4EE9A795" w14:textId="77777777">
            <w:pPr>
              <w:spacing w:line="240" w:lineRule="auto"/>
              <w:jc w:val="center"/>
              <w:rPr>
                <w:rFonts w:cs="Arial"/>
                <w:szCs w:val="18"/>
                <w:lang w:val="en-GB" w:eastAsia="en-GB"/>
              </w:rPr>
            </w:pPr>
            <w:r w:rsidRPr="00B52D66">
              <w:rPr>
                <w:rFonts w:cs="Arial"/>
                <w:szCs w:val="18"/>
                <w:lang w:val="en-GB" w:eastAsia="en-GB"/>
              </w:rPr>
              <w:t>92</w:t>
            </w:r>
          </w:p>
        </w:tc>
        <w:tc>
          <w:tcPr>
            <w:tcW w:w="347" w:type="pct"/>
            <w:tcBorders>
              <w:top w:val="nil"/>
              <w:left w:val="nil"/>
              <w:bottom w:val="nil"/>
              <w:right w:val="nil"/>
            </w:tcBorders>
            <w:noWrap/>
            <w:vAlign w:val="bottom"/>
            <w:hideMark/>
          </w:tcPr>
          <w:p w:rsidRPr="00B52D66" w:rsidR="00B52D66" w:rsidP="00FC2172" w:rsidRDefault="00B52D66" w14:paraId="74CEEDA5" w14:textId="77777777">
            <w:pPr>
              <w:spacing w:line="240" w:lineRule="auto"/>
              <w:jc w:val="center"/>
              <w:rPr>
                <w:rFonts w:cs="Arial"/>
                <w:szCs w:val="18"/>
                <w:lang w:val="en-GB" w:eastAsia="en-GB"/>
              </w:rPr>
            </w:pPr>
            <w:r w:rsidRPr="00B52D66">
              <w:rPr>
                <w:rFonts w:cs="Arial"/>
                <w:szCs w:val="18"/>
                <w:lang w:val="en-GB" w:eastAsia="en-GB"/>
              </w:rPr>
              <w:t>82</w:t>
            </w:r>
          </w:p>
        </w:tc>
        <w:tc>
          <w:tcPr>
            <w:tcW w:w="429" w:type="pct"/>
            <w:tcBorders>
              <w:top w:val="nil"/>
              <w:left w:val="nil"/>
              <w:bottom w:val="nil"/>
              <w:right w:val="nil"/>
            </w:tcBorders>
            <w:noWrap/>
            <w:vAlign w:val="bottom"/>
            <w:hideMark/>
          </w:tcPr>
          <w:p w:rsidRPr="00B52D66" w:rsidR="00B52D66" w:rsidP="00FC2172" w:rsidRDefault="00B52D66" w14:paraId="417FD012" w14:textId="77777777">
            <w:pPr>
              <w:spacing w:line="240" w:lineRule="auto"/>
              <w:jc w:val="center"/>
              <w:rPr>
                <w:rFonts w:cs="Arial"/>
                <w:szCs w:val="18"/>
                <w:lang w:val="en-GB" w:eastAsia="en-GB"/>
              </w:rPr>
            </w:pPr>
            <w:r w:rsidRPr="00B52D66">
              <w:rPr>
                <w:rFonts w:cs="Arial"/>
                <w:szCs w:val="18"/>
                <w:lang w:val="en-GB" w:eastAsia="en-GB"/>
              </w:rPr>
              <w:t>85</w:t>
            </w:r>
          </w:p>
        </w:tc>
        <w:tc>
          <w:tcPr>
            <w:tcW w:w="347" w:type="pct"/>
            <w:tcBorders>
              <w:top w:val="nil"/>
              <w:left w:val="nil"/>
              <w:bottom w:val="nil"/>
              <w:right w:val="nil"/>
            </w:tcBorders>
            <w:noWrap/>
            <w:vAlign w:val="bottom"/>
            <w:hideMark/>
          </w:tcPr>
          <w:p w:rsidRPr="00B52D66" w:rsidR="00B52D66" w:rsidP="00FC2172" w:rsidRDefault="00B52D66" w14:paraId="5F5E2990" w14:textId="77777777">
            <w:pPr>
              <w:spacing w:line="240" w:lineRule="auto"/>
              <w:jc w:val="center"/>
              <w:rPr>
                <w:rFonts w:cs="Arial"/>
                <w:szCs w:val="18"/>
                <w:lang w:val="en-GB" w:eastAsia="en-GB"/>
              </w:rPr>
            </w:pPr>
            <w:r w:rsidRPr="00B52D66">
              <w:rPr>
                <w:rFonts w:cs="Arial"/>
                <w:szCs w:val="18"/>
                <w:lang w:val="en-GB" w:eastAsia="en-GB"/>
              </w:rPr>
              <w:t>84</w:t>
            </w:r>
          </w:p>
        </w:tc>
        <w:tc>
          <w:tcPr>
            <w:tcW w:w="429" w:type="pct"/>
            <w:tcBorders>
              <w:top w:val="nil"/>
              <w:left w:val="nil"/>
              <w:bottom w:val="nil"/>
              <w:right w:val="nil"/>
            </w:tcBorders>
            <w:noWrap/>
            <w:vAlign w:val="bottom"/>
            <w:hideMark/>
          </w:tcPr>
          <w:p w:rsidRPr="00B52D66" w:rsidR="00B52D66" w:rsidP="00FC2172" w:rsidRDefault="00B52D66" w14:paraId="3A6D7026" w14:textId="77777777">
            <w:pPr>
              <w:spacing w:line="240" w:lineRule="auto"/>
              <w:jc w:val="center"/>
              <w:rPr>
                <w:rFonts w:cs="Arial"/>
                <w:szCs w:val="18"/>
                <w:lang w:val="en-GB" w:eastAsia="en-GB"/>
              </w:rPr>
            </w:pPr>
            <w:r w:rsidRPr="00B52D66">
              <w:rPr>
                <w:rFonts w:cs="Arial"/>
                <w:szCs w:val="18"/>
                <w:lang w:val="en-GB" w:eastAsia="en-GB"/>
              </w:rPr>
              <w:t>88</w:t>
            </w:r>
          </w:p>
        </w:tc>
        <w:tc>
          <w:tcPr>
            <w:tcW w:w="347" w:type="pct"/>
            <w:tcBorders>
              <w:top w:val="nil"/>
              <w:left w:val="nil"/>
              <w:bottom w:val="nil"/>
              <w:right w:val="nil"/>
            </w:tcBorders>
            <w:noWrap/>
            <w:vAlign w:val="bottom"/>
            <w:hideMark/>
          </w:tcPr>
          <w:p w:rsidRPr="00B52D66" w:rsidR="00B52D66" w:rsidP="00FC2172" w:rsidRDefault="00B52D66" w14:paraId="13743ECB" w14:textId="77777777">
            <w:pPr>
              <w:spacing w:line="240" w:lineRule="auto"/>
              <w:jc w:val="center"/>
              <w:rPr>
                <w:rFonts w:cs="Arial"/>
                <w:szCs w:val="18"/>
                <w:lang w:val="en-GB" w:eastAsia="en-GB"/>
              </w:rPr>
            </w:pPr>
            <w:r w:rsidRPr="00B52D66">
              <w:rPr>
                <w:rFonts w:cs="Arial"/>
                <w:szCs w:val="18"/>
                <w:lang w:val="en-GB" w:eastAsia="en-GB"/>
              </w:rPr>
              <w:t>82</w:t>
            </w:r>
          </w:p>
        </w:tc>
        <w:tc>
          <w:tcPr>
            <w:tcW w:w="429" w:type="pct"/>
            <w:tcBorders>
              <w:top w:val="nil"/>
              <w:left w:val="nil"/>
              <w:bottom w:val="nil"/>
              <w:right w:val="nil"/>
            </w:tcBorders>
            <w:noWrap/>
            <w:vAlign w:val="bottom"/>
            <w:hideMark/>
          </w:tcPr>
          <w:p w:rsidRPr="00B52D66" w:rsidR="00B52D66" w:rsidP="00FC2172" w:rsidRDefault="00B52D66" w14:paraId="6D99B52E" w14:textId="77777777">
            <w:pPr>
              <w:spacing w:line="240" w:lineRule="auto"/>
              <w:jc w:val="center"/>
              <w:rPr>
                <w:rFonts w:cs="Arial"/>
                <w:szCs w:val="18"/>
                <w:lang w:val="en-GB" w:eastAsia="en-GB"/>
              </w:rPr>
            </w:pPr>
            <w:r w:rsidRPr="00B52D66">
              <w:rPr>
                <w:rFonts w:cs="Arial"/>
                <w:szCs w:val="18"/>
                <w:lang w:val="en-GB" w:eastAsia="en-GB"/>
              </w:rPr>
              <w:t>80</w:t>
            </w:r>
          </w:p>
        </w:tc>
        <w:tc>
          <w:tcPr>
            <w:tcW w:w="347" w:type="pct"/>
            <w:tcBorders>
              <w:top w:val="nil"/>
              <w:left w:val="nil"/>
              <w:bottom w:val="nil"/>
              <w:right w:val="nil"/>
            </w:tcBorders>
            <w:noWrap/>
            <w:vAlign w:val="bottom"/>
            <w:hideMark/>
          </w:tcPr>
          <w:p w:rsidRPr="00B52D66" w:rsidR="00B52D66" w:rsidP="00FC2172" w:rsidRDefault="00B52D66" w14:paraId="3CC891D5" w14:textId="77777777">
            <w:pPr>
              <w:spacing w:line="240" w:lineRule="auto"/>
              <w:jc w:val="center"/>
              <w:rPr>
                <w:rFonts w:cs="Arial"/>
                <w:szCs w:val="18"/>
                <w:lang w:val="en-GB" w:eastAsia="en-GB"/>
              </w:rPr>
            </w:pPr>
            <w:r w:rsidRPr="00B52D66">
              <w:rPr>
                <w:rFonts w:cs="Arial"/>
                <w:szCs w:val="18"/>
                <w:lang w:val="en-GB" w:eastAsia="en-GB"/>
              </w:rPr>
              <w:t>78</w:t>
            </w:r>
          </w:p>
        </w:tc>
        <w:tc>
          <w:tcPr>
            <w:tcW w:w="429" w:type="pct"/>
            <w:tcBorders>
              <w:top w:val="nil"/>
              <w:left w:val="nil"/>
              <w:bottom w:val="nil"/>
              <w:right w:val="nil"/>
            </w:tcBorders>
            <w:noWrap/>
            <w:vAlign w:val="bottom"/>
            <w:hideMark/>
          </w:tcPr>
          <w:p w:rsidRPr="00B52D66" w:rsidR="00B52D66" w:rsidP="00FC2172" w:rsidRDefault="00B52D66" w14:paraId="758F7669" w14:textId="77777777">
            <w:pPr>
              <w:spacing w:line="240" w:lineRule="auto"/>
              <w:jc w:val="center"/>
              <w:rPr>
                <w:rFonts w:cs="Arial"/>
                <w:szCs w:val="18"/>
                <w:lang w:val="en-GB" w:eastAsia="en-GB"/>
              </w:rPr>
            </w:pPr>
            <w:r w:rsidRPr="00B52D66">
              <w:rPr>
                <w:rFonts w:cs="Arial"/>
                <w:szCs w:val="18"/>
                <w:lang w:val="en-GB" w:eastAsia="en-GB"/>
              </w:rPr>
              <w:t>75</w:t>
            </w:r>
          </w:p>
        </w:tc>
      </w:tr>
      <w:tr w:rsidRPr="00B52D66" w:rsidR="00B52D66" w:rsidTr="00B52D66" w14:paraId="1CDE87E9" w14:textId="77777777">
        <w:trPr>
          <w:trHeight w:val="230"/>
        </w:trPr>
        <w:tc>
          <w:tcPr>
            <w:tcW w:w="371" w:type="pct"/>
            <w:tcBorders>
              <w:top w:val="nil"/>
              <w:left w:val="nil"/>
              <w:bottom w:val="nil"/>
              <w:right w:val="nil"/>
            </w:tcBorders>
            <w:noWrap/>
            <w:hideMark/>
          </w:tcPr>
          <w:p w:rsidRPr="00B52D66" w:rsidR="00B52D66" w:rsidP="00FC2172" w:rsidRDefault="00B52D66" w14:paraId="79F7BCDE" w14:textId="77777777">
            <w:pPr>
              <w:spacing w:line="240" w:lineRule="auto"/>
              <w:rPr>
                <w:rFonts w:cs="Arial"/>
                <w:b/>
                <w:bCs/>
                <w:szCs w:val="18"/>
                <w:lang w:val="en-GB" w:eastAsia="en-GB"/>
              </w:rPr>
            </w:pPr>
            <w:r w:rsidRPr="00B52D66">
              <w:rPr>
                <w:rFonts w:cs="Arial"/>
                <w:b/>
                <w:bCs/>
                <w:szCs w:val="18"/>
                <w:lang w:val="en-GB" w:eastAsia="en-GB"/>
              </w:rPr>
              <w:t>gl</w:t>
            </w:r>
          </w:p>
        </w:tc>
        <w:tc>
          <w:tcPr>
            <w:tcW w:w="347" w:type="pct"/>
            <w:tcBorders>
              <w:top w:val="nil"/>
              <w:left w:val="nil"/>
              <w:bottom w:val="nil"/>
              <w:right w:val="nil"/>
            </w:tcBorders>
            <w:noWrap/>
            <w:vAlign w:val="bottom"/>
            <w:hideMark/>
          </w:tcPr>
          <w:p w:rsidRPr="00B52D66" w:rsidR="00B52D66" w:rsidP="00FC2172" w:rsidRDefault="00B52D66" w14:paraId="301581CB" w14:textId="77777777">
            <w:pPr>
              <w:spacing w:line="240" w:lineRule="auto"/>
              <w:rPr>
                <w:rFonts w:cs="Arial"/>
                <w:b/>
                <w:bCs/>
                <w:szCs w:val="18"/>
                <w:lang w:val="en-GB" w:eastAsia="en-GB"/>
              </w:rPr>
            </w:pPr>
          </w:p>
        </w:tc>
        <w:tc>
          <w:tcPr>
            <w:tcW w:w="404" w:type="pct"/>
            <w:tcBorders>
              <w:top w:val="nil"/>
              <w:left w:val="nil"/>
              <w:bottom w:val="nil"/>
              <w:right w:val="nil"/>
            </w:tcBorders>
            <w:noWrap/>
            <w:vAlign w:val="bottom"/>
            <w:hideMark/>
          </w:tcPr>
          <w:p w:rsidRPr="00B52D66" w:rsidR="00B52D66" w:rsidP="00FC2172" w:rsidRDefault="00B52D66" w14:paraId="44210703" w14:textId="77777777">
            <w:pPr>
              <w:spacing w:line="240" w:lineRule="auto"/>
              <w:jc w:val="center"/>
              <w:rPr>
                <w:szCs w:val="18"/>
                <w:lang w:val="en-GB" w:eastAsia="en-GB"/>
              </w:rPr>
            </w:pPr>
          </w:p>
        </w:tc>
        <w:tc>
          <w:tcPr>
            <w:tcW w:w="347" w:type="pct"/>
            <w:tcBorders>
              <w:top w:val="nil"/>
              <w:left w:val="nil"/>
              <w:bottom w:val="nil"/>
              <w:right w:val="nil"/>
            </w:tcBorders>
            <w:noWrap/>
            <w:vAlign w:val="bottom"/>
            <w:hideMark/>
          </w:tcPr>
          <w:p w:rsidRPr="00B52D66" w:rsidR="00B52D66" w:rsidP="00FC2172" w:rsidRDefault="00B52D66" w14:paraId="4216D5C2" w14:textId="77777777">
            <w:pPr>
              <w:spacing w:line="240" w:lineRule="auto"/>
              <w:jc w:val="center"/>
              <w:rPr>
                <w:szCs w:val="18"/>
                <w:lang w:val="en-GB" w:eastAsia="en-GB"/>
              </w:rPr>
            </w:pPr>
          </w:p>
        </w:tc>
        <w:tc>
          <w:tcPr>
            <w:tcW w:w="429" w:type="pct"/>
            <w:tcBorders>
              <w:top w:val="nil"/>
              <w:left w:val="nil"/>
              <w:bottom w:val="nil"/>
              <w:right w:val="nil"/>
            </w:tcBorders>
            <w:noWrap/>
            <w:vAlign w:val="bottom"/>
            <w:hideMark/>
          </w:tcPr>
          <w:p w:rsidRPr="00B52D66" w:rsidR="00B52D66" w:rsidP="00FC2172" w:rsidRDefault="00B52D66" w14:paraId="01133AE3" w14:textId="77777777">
            <w:pPr>
              <w:spacing w:line="240" w:lineRule="auto"/>
              <w:jc w:val="center"/>
              <w:rPr>
                <w:szCs w:val="18"/>
                <w:lang w:val="en-GB" w:eastAsia="en-GB"/>
              </w:rPr>
            </w:pPr>
          </w:p>
        </w:tc>
        <w:tc>
          <w:tcPr>
            <w:tcW w:w="347" w:type="pct"/>
            <w:tcBorders>
              <w:top w:val="nil"/>
              <w:left w:val="nil"/>
              <w:bottom w:val="nil"/>
              <w:right w:val="nil"/>
            </w:tcBorders>
            <w:noWrap/>
            <w:vAlign w:val="bottom"/>
            <w:hideMark/>
          </w:tcPr>
          <w:p w:rsidRPr="00B52D66" w:rsidR="00B52D66" w:rsidP="00FC2172" w:rsidRDefault="00B52D66" w14:paraId="59C6CDE9" w14:textId="77777777">
            <w:pPr>
              <w:spacing w:line="240" w:lineRule="auto"/>
              <w:jc w:val="center"/>
              <w:rPr>
                <w:szCs w:val="18"/>
                <w:lang w:val="en-GB" w:eastAsia="en-GB"/>
              </w:rPr>
            </w:pPr>
          </w:p>
        </w:tc>
        <w:tc>
          <w:tcPr>
            <w:tcW w:w="429" w:type="pct"/>
            <w:tcBorders>
              <w:top w:val="nil"/>
              <w:left w:val="nil"/>
              <w:bottom w:val="nil"/>
              <w:right w:val="nil"/>
            </w:tcBorders>
            <w:noWrap/>
            <w:vAlign w:val="bottom"/>
            <w:hideMark/>
          </w:tcPr>
          <w:p w:rsidRPr="00B52D66" w:rsidR="00B52D66" w:rsidP="00FC2172" w:rsidRDefault="00B52D66" w14:paraId="3AD64D5F" w14:textId="77777777">
            <w:pPr>
              <w:spacing w:line="240" w:lineRule="auto"/>
              <w:jc w:val="center"/>
              <w:rPr>
                <w:szCs w:val="18"/>
                <w:lang w:val="en-GB" w:eastAsia="en-GB"/>
              </w:rPr>
            </w:pPr>
          </w:p>
        </w:tc>
        <w:tc>
          <w:tcPr>
            <w:tcW w:w="347" w:type="pct"/>
            <w:tcBorders>
              <w:top w:val="nil"/>
              <w:left w:val="nil"/>
              <w:bottom w:val="nil"/>
              <w:right w:val="nil"/>
            </w:tcBorders>
            <w:noWrap/>
            <w:vAlign w:val="bottom"/>
            <w:hideMark/>
          </w:tcPr>
          <w:p w:rsidRPr="00B52D66" w:rsidR="00B52D66" w:rsidP="00FC2172" w:rsidRDefault="00B52D66" w14:paraId="4A62FFC4" w14:textId="77777777">
            <w:pPr>
              <w:spacing w:line="240" w:lineRule="auto"/>
              <w:jc w:val="center"/>
              <w:rPr>
                <w:szCs w:val="18"/>
                <w:lang w:val="en-GB" w:eastAsia="en-GB"/>
              </w:rPr>
            </w:pPr>
          </w:p>
        </w:tc>
        <w:tc>
          <w:tcPr>
            <w:tcW w:w="429" w:type="pct"/>
            <w:tcBorders>
              <w:top w:val="nil"/>
              <w:left w:val="nil"/>
              <w:bottom w:val="nil"/>
              <w:right w:val="nil"/>
            </w:tcBorders>
            <w:noWrap/>
            <w:vAlign w:val="bottom"/>
            <w:hideMark/>
          </w:tcPr>
          <w:p w:rsidRPr="00B52D66" w:rsidR="00B52D66" w:rsidP="00FC2172" w:rsidRDefault="00B52D66" w14:paraId="52FADC44" w14:textId="77777777">
            <w:pPr>
              <w:spacing w:line="240" w:lineRule="auto"/>
              <w:jc w:val="center"/>
              <w:rPr>
                <w:szCs w:val="18"/>
                <w:lang w:val="en-GB" w:eastAsia="en-GB"/>
              </w:rPr>
            </w:pPr>
          </w:p>
        </w:tc>
        <w:tc>
          <w:tcPr>
            <w:tcW w:w="347" w:type="pct"/>
            <w:tcBorders>
              <w:top w:val="nil"/>
              <w:left w:val="nil"/>
              <w:bottom w:val="nil"/>
              <w:right w:val="nil"/>
            </w:tcBorders>
            <w:noWrap/>
            <w:vAlign w:val="bottom"/>
            <w:hideMark/>
          </w:tcPr>
          <w:p w:rsidRPr="00B52D66" w:rsidR="00B52D66" w:rsidP="00FC2172" w:rsidRDefault="00B52D66" w14:paraId="7CE10347" w14:textId="77777777">
            <w:pPr>
              <w:spacing w:line="240" w:lineRule="auto"/>
              <w:jc w:val="center"/>
              <w:rPr>
                <w:szCs w:val="18"/>
                <w:lang w:val="en-GB" w:eastAsia="en-GB"/>
              </w:rPr>
            </w:pPr>
          </w:p>
        </w:tc>
        <w:tc>
          <w:tcPr>
            <w:tcW w:w="429" w:type="pct"/>
            <w:tcBorders>
              <w:top w:val="nil"/>
              <w:left w:val="nil"/>
              <w:bottom w:val="nil"/>
              <w:right w:val="nil"/>
            </w:tcBorders>
            <w:noWrap/>
            <w:vAlign w:val="bottom"/>
            <w:hideMark/>
          </w:tcPr>
          <w:p w:rsidRPr="00B52D66" w:rsidR="00B52D66" w:rsidP="00FC2172" w:rsidRDefault="00B52D66" w14:paraId="5F47AE2E" w14:textId="77777777">
            <w:pPr>
              <w:spacing w:line="240" w:lineRule="auto"/>
              <w:jc w:val="center"/>
              <w:rPr>
                <w:szCs w:val="18"/>
                <w:lang w:val="en-GB" w:eastAsia="en-GB"/>
              </w:rPr>
            </w:pPr>
          </w:p>
        </w:tc>
        <w:tc>
          <w:tcPr>
            <w:tcW w:w="347" w:type="pct"/>
            <w:tcBorders>
              <w:top w:val="nil"/>
              <w:left w:val="nil"/>
              <w:bottom w:val="nil"/>
              <w:right w:val="nil"/>
            </w:tcBorders>
            <w:noWrap/>
            <w:vAlign w:val="bottom"/>
            <w:hideMark/>
          </w:tcPr>
          <w:p w:rsidRPr="00B52D66" w:rsidR="00B52D66" w:rsidP="00FC2172" w:rsidRDefault="00B52D66" w14:paraId="5BF2106C" w14:textId="77777777">
            <w:pPr>
              <w:spacing w:line="240" w:lineRule="auto"/>
              <w:jc w:val="center"/>
              <w:rPr>
                <w:szCs w:val="18"/>
                <w:lang w:val="en-GB" w:eastAsia="en-GB"/>
              </w:rPr>
            </w:pPr>
          </w:p>
        </w:tc>
        <w:tc>
          <w:tcPr>
            <w:tcW w:w="429" w:type="pct"/>
            <w:tcBorders>
              <w:top w:val="nil"/>
              <w:left w:val="nil"/>
              <w:bottom w:val="nil"/>
              <w:right w:val="nil"/>
            </w:tcBorders>
            <w:noWrap/>
            <w:vAlign w:val="bottom"/>
            <w:hideMark/>
          </w:tcPr>
          <w:p w:rsidRPr="00B52D66" w:rsidR="00B52D66" w:rsidP="00FC2172" w:rsidRDefault="00B52D66" w14:paraId="706CE6C8" w14:textId="77777777">
            <w:pPr>
              <w:spacing w:line="240" w:lineRule="auto"/>
              <w:jc w:val="center"/>
              <w:rPr>
                <w:szCs w:val="18"/>
                <w:lang w:val="en-GB" w:eastAsia="en-GB"/>
              </w:rPr>
            </w:pPr>
          </w:p>
        </w:tc>
      </w:tr>
      <w:tr w:rsidRPr="00B52D66" w:rsidR="00B52D66" w:rsidTr="00B52D66" w14:paraId="70EBF982" w14:textId="77777777">
        <w:trPr>
          <w:trHeight w:val="230"/>
        </w:trPr>
        <w:tc>
          <w:tcPr>
            <w:tcW w:w="371" w:type="pct"/>
            <w:tcBorders>
              <w:top w:val="nil"/>
              <w:left w:val="nil"/>
              <w:bottom w:val="nil"/>
              <w:right w:val="nil"/>
            </w:tcBorders>
            <w:noWrap/>
            <w:hideMark/>
          </w:tcPr>
          <w:p w:rsidRPr="00B52D66" w:rsidR="00B52D66" w:rsidP="00FC2172" w:rsidRDefault="00B52D66" w14:paraId="2010B5DC" w14:textId="77777777">
            <w:pPr>
              <w:spacing w:line="240" w:lineRule="auto"/>
              <w:rPr>
                <w:rFonts w:cs="Arial"/>
                <w:szCs w:val="18"/>
                <w:lang w:val="en-GB" w:eastAsia="en-GB"/>
              </w:rPr>
            </w:pPr>
            <w:r w:rsidRPr="00B52D66">
              <w:rPr>
                <w:rFonts w:cs="Arial"/>
                <w:szCs w:val="18"/>
                <w:lang w:val="en-GB" w:eastAsia="en-GB"/>
              </w:rPr>
              <w:t xml:space="preserve">   BWI</w:t>
            </w:r>
          </w:p>
        </w:tc>
        <w:tc>
          <w:tcPr>
            <w:tcW w:w="347" w:type="pct"/>
            <w:tcBorders>
              <w:top w:val="nil"/>
              <w:left w:val="nil"/>
              <w:bottom w:val="nil"/>
              <w:right w:val="nil"/>
            </w:tcBorders>
            <w:noWrap/>
            <w:vAlign w:val="bottom"/>
            <w:hideMark/>
          </w:tcPr>
          <w:p w:rsidRPr="00B52D66" w:rsidR="00B52D66" w:rsidP="00FC2172" w:rsidRDefault="00B52D66" w14:paraId="3C1D85F3" w14:textId="77777777">
            <w:pPr>
              <w:spacing w:line="240" w:lineRule="auto"/>
              <w:jc w:val="center"/>
              <w:rPr>
                <w:rFonts w:cs="Arial"/>
                <w:szCs w:val="18"/>
                <w:lang w:val="en-GB" w:eastAsia="en-GB"/>
              </w:rPr>
            </w:pPr>
            <w:r w:rsidRPr="00B52D66">
              <w:rPr>
                <w:rFonts w:cs="Arial"/>
                <w:szCs w:val="18"/>
                <w:lang w:val="en-GB" w:eastAsia="en-GB"/>
              </w:rPr>
              <w:t>40</w:t>
            </w:r>
          </w:p>
        </w:tc>
        <w:tc>
          <w:tcPr>
            <w:tcW w:w="404" w:type="pct"/>
            <w:tcBorders>
              <w:top w:val="nil"/>
              <w:left w:val="nil"/>
              <w:bottom w:val="nil"/>
              <w:right w:val="nil"/>
            </w:tcBorders>
            <w:noWrap/>
            <w:vAlign w:val="bottom"/>
            <w:hideMark/>
          </w:tcPr>
          <w:p w:rsidRPr="00B52D66" w:rsidR="00B52D66" w:rsidP="00FC2172" w:rsidRDefault="00B52D66" w14:paraId="53A88AA0" w14:textId="77777777">
            <w:pPr>
              <w:spacing w:line="240" w:lineRule="auto"/>
              <w:jc w:val="center"/>
              <w:rPr>
                <w:rFonts w:cs="Arial"/>
                <w:szCs w:val="18"/>
                <w:lang w:val="en-GB" w:eastAsia="en-GB"/>
              </w:rPr>
            </w:pPr>
            <w:r w:rsidRPr="00B52D66">
              <w:rPr>
                <w:rFonts w:cs="Arial"/>
                <w:szCs w:val="18"/>
                <w:lang w:val="en-GB" w:eastAsia="en-GB"/>
              </w:rPr>
              <w:t>35</w:t>
            </w:r>
          </w:p>
        </w:tc>
        <w:tc>
          <w:tcPr>
            <w:tcW w:w="347" w:type="pct"/>
            <w:tcBorders>
              <w:top w:val="nil"/>
              <w:left w:val="nil"/>
              <w:bottom w:val="nil"/>
              <w:right w:val="nil"/>
            </w:tcBorders>
            <w:noWrap/>
            <w:vAlign w:val="bottom"/>
            <w:hideMark/>
          </w:tcPr>
          <w:p w:rsidRPr="00B52D66" w:rsidR="00B52D66" w:rsidP="00FC2172" w:rsidRDefault="00B52D66" w14:paraId="03DB03AE" w14:textId="77777777">
            <w:pPr>
              <w:spacing w:line="240" w:lineRule="auto"/>
              <w:jc w:val="center"/>
              <w:rPr>
                <w:rFonts w:cs="Arial"/>
                <w:szCs w:val="18"/>
                <w:lang w:val="en-GB" w:eastAsia="en-GB"/>
              </w:rPr>
            </w:pPr>
            <w:r w:rsidRPr="00B52D66">
              <w:rPr>
                <w:rFonts w:cs="Arial"/>
                <w:szCs w:val="18"/>
                <w:lang w:val="en-GB" w:eastAsia="en-GB"/>
              </w:rPr>
              <w:t>39</w:t>
            </w:r>
          </w:p>
        </w:tc>
        <w:tc>
          <w:tcPr>
            <w:tcW w:w="429" w:type="pct"/>
            <w:tcBorders>
              <w:top w:val="nil"/>
              <w:left w:val="nil"/>
              <w:bottom w:val="nil"/>
              <w:right w:val="nil"/>
            </w:tcBorders>
            <w:noWrap/>
            <w:vAlign w:val="bottom"/>
            <w:hideMark/>
          </w:tcPr>
          <w:p w:rsidRPr="00B52D66" w:rsidR="00B52D66" w:rsidP="00FC2172" w:rsidRDefault="00B52D66" w14:paraId="0428DEBD" w14:textId="77777777">
            <w:pPr>
              <w:spacing w:line="240" w:lineRule="auto"/>
              <w:jc w:val="center"/>
              <w:rPr>
                <w:rFonts w:cs="Arial"/>
                <w:szCs w:val="18"/>
                <w:lang w:val="en-GB" w:eastAsia="en-GB"/>
              </w:rPr>
            </w:pPr>
            <w:r w:rsidRPr="00B52D66">
              <w:rPr>
                <w:rFonts w:cs="Arial"/>
                <w:szCs w:val="18"/>
                <w:lang w:val="en-GB" w:eastAsia="en-GB"/>
              </w:rPr>
              <w:t>42</w:t>
            </w:r>
          </w:p>
        </w:tc>
        <w:tc>
          <w:tcPr>
            <w:tcW w:w="347" w:type="pct"/>
            <w:tcBorders>
              <w:top w:val="nil"/>
              <w:left w:val="nil"/>
              <w:bottom w:val="nil"/>
              <w:right w:val="nil"/>
            </w:tcBorders>
            <w:noWrap/>
            <w:vAlign w:val="bottom"/>
            <w:hideMark/>
          </w:tcPr>
          <w:p w:rsidRPr="00B52D66" w:rsidR="00B52D66" w:rsidP="00FC2172" w:rsidRDefault="00B52D66" w14:paraId="2EF5B8CD" w14:textId="77777777">
            <w:pPr>
              <w:spacing w:line="240" w:lineRule="auto"/>
              <w:jc w:val="center"/>
              <w:rPr>
                <w:rFonts w:cs="Arial"/>
                <w:szCs w:val="18"/>
                <w:lang w:val="en-GB" w:eastAsia="en-GB"/>
              </w:rPr>
            </w:pPr>
            <w:r w:rsidRPr="00B52D66">
              <w:rPr>
                <w:rFonts w:cs="Arial"/>
                <w:szCs w:val="18"/>
                <w:lang w:val="en-GB" w:eastAsia="en-GB"/>
              </w:rPr>
              <w:t>40</w:t>
            </w:r>
          </w:p>
        </w:tc>
        <w:tc>
          <w:tcPr>
            <w:tcW w:w="429" w:type="pct"/>
            <w:tcBorders>
              <w:top w:val="nil"/>
              <w:left w:val="nil"/>
              <w:bottom w:val="nil"/>
              <w:right w:val="nil"/>
            </w:tcBorders>
            <w:noWrap/>
            <w:vAlign w:val="bottom"/>
            <w:hideMark/>
          </w:tcPr>
          <w:p w:rsidRPr="00B52D66" w:rsidR="00B52D66" w:rsidP="00FC2172" w:rsidRDefault="00B52D66" w14:paraId="23BF5688" w14:textId="77777777">
            <w:pPr>
              <w:spacing w:line="240" w:lineRule="auto"/>
              <w:jc w:val="center"/>
              <w:rPr>
                <w:rFonts w:cs="Arial"/>
                <w:szCs w:val="18"/>
                <w:lang w:val="en-GB" w:eastAsia="en-GB"/>
              </w:rPr>
            </w:pPr>
            <w:r w:rsidRPr="00B52D66">
              <w:rPr>
                <w:rFonts w:cs="Arial"/>
                <w:szCs w:val="18"/>
                <w:lang w:val="en-GB" w:eastAsia="en-GB"/>
              </w:rPr>
              <w:t>38</w:t>
            </w:r>
          </w:p>
        </w:tc>
        <w:tc>
          <w:tcPr>
            <w:tcW w:w="347" w:type="pct"/>
            <w:tcBorders>
              <w:top w:val="nil"/>
              <w:left w:val="nil"/>
              <w:bottom w:val="nil"/>
              <w:right w:val="nil"/>
            </w:tcBorders>
            <w:noWrap/>
            <w:vAlign w:val="bottom"/>
            <w:hideMark/>
          </w:tcPr>
          <w:p w:rsidRPr="00B52D66" w:rsidR="00B52D66" w:rsidP="00FC2172" w:rsidRDefault="00B52D66" w14:paraId="7E6772DF" w14:textId="77777777">
            <w:pPr>
              <w:spacing w:line="240" w:lineRule="auto"/>
              <w:jc w:val="center"/>
              <w:rPr>
                <w:rFonts w:cs="Arial"/>
                <w:szCs w:val="18"/>
                <w:lang w:val="en-GB" w:eastAsia="en-GB"/>
              </w:rPr>
            </w:pPr>
            <w:r w:rsidRPr="00B52D66">
              <w:rPr>
                <w:rFonts w:cs="Arial"/>
                <w:szCs w:val="18"/>
                <w:lang w:val="en-GB" w:eastAsia="en-GB"/>
              </w:rPr>
              <w:t>33</w:t>
            </w:r>
          </w:p>
        </w:tc>
        <w:tc>
          <w:tcPr>
            <w:tcW w:w="429" w:type="pct"/>
            <w:tcBorders>
              <w:top w:val="nil"/>
              <w:left w:val="nil"/>
              <w:bottom w:val="nil"/>
              <w:right w:val="nil"/>
            </w:tcBorders>
            <w:noWrap/>
            <w:vAlign w:val="bottom"/>
            <w:hideMark/>
          </w:tcPr>
          <w:p w:rsidRPr="00B52D66" w:rsidR="00B52D66" w:rsidP="00FC2172" w:rsidRDefault="00B52D66" w14:paraId="61AEE28D" w14:textId="77777777">
            <w:pPr>
              <w:spacing w:line="240" w:lineRule="auto"/>
              <w:jc w:val="center"/>
              <w:rPr>
                <w:rFonts w:cs="Arial"/>
                <w:szCs w:val="18"/>
                <w:lang w:val="en-GB" w:eastAsia="en-GB"/>
              </w:rPr>
            </w:pPr>
            <w:r w:rsidRPr="00B52D66">
              <w:rPr>
                <w:rFonts w:cs="Arial"/>
                <w:szCs w:val="18"/>
                <w:lang w:val="en-GB" w:eastAsia="en-GB"/>
              </w:rPr>
              <w:t>36</w:t>
            </w:r>
          </w:p>
        </w:tc>
        <w:tc>
          <w:tcPr>
            <w:tcW w:w="347" w:type="pct"/>
            <w:tcBorders>
              <w:top w:val="nil"/>
              <w:left w:val="nil"/>
              <w:bottom w:val="nil"/>
              <w:right w:val="nil"/>
            </w:tcBorders>
            <w:noWrap/>
            <w:vAlign w:val="bottom"/>
            <w:hideMark/>
          </w:tcPr>
          <w:p w:rsidRPr="00B52D66" w:rsidR="00B52D66" w:rsidP="00FC2172" w:rsidRDefault="00B52D66" w14:paraId="0D3619B6" w14:textId="77777777">
            <w:pPr>
              <w:spacing w:line="240" w:lineRule="auto"/>
              <w:jc w:val="center"/>
              <w:rPr>
                <w:rFonts w:cs="Arial"/>
                <w:szCs w:val="18"/>
                <w:lang w:val="en-GB" w:eastAsia="en-GB"/>
              </w:rPr>
            </w:pPr>
            <w:r w:rsidRPr="00B52D66">
              <w:rPr>
                <w:rFonts w:cs="Arial"/>
                <w:szCs w:val="18"/>
                <w:lang w:val="en-GB" w:eastAsia="en-GB"/>
              </w:rPr>
              <w:t>33</w:t>
            </w:r>
          </w:p>
        </w:tc>
        <w:tc>
          <w:tcPr>
            <w:tcW w:w="429" w:type="pct"/>
            <w:tcBorders>
              <w:top w:val="nil"/>
              <w:left w:val="nil"/>
              <w:bottom w:val="nil"/>
              <w:right w:val="nil"/>
            </w:tcBorders>
            <w:noWrap/>
            <w:vAlign w:val="bottom"/>
            <w:hideMark/>
          </w:tcPr>
          <w:p w:rsidRPr="00B52D66" w:rsidR="00B52D66" w:rsidP="00FC2172" w:rsidRDefault="00B52D66" w14:paraId="6F851077" w14:textId="77777777">
            <w:pPr>
              <w:spacing w:line="240" w:lineRule="auto"/>
              <w:jc w:val="center"/>
              <w:rPr>
                <w:rFonts w:cs="Arial"/>
                <w:szCs w:val="18"/>
                <w:lang w:val="en-GB" w:eastAsia="en-GB"/>
              </w:rPr>
            </w:pPr>
            <w:r w:rsidRPr="00B52D66">
              <w:rPr>
                <w:rFonts w:cs="Arial"/>
                <w:szCs w:val="18"/>
                <w:lang w:val="en-GB" w:eastAsia="en-GB"/>
              </w:rPr>
              <w:t>27</w:t>
            </w:r>
          </w:p>
        </w:tc>
        <w:tc>
          <w:tcPr>
            <w:tcW w:w="347" w:type="pct"/>
            <w:tcBorders>
              <w:top w:val="nil"/>
              <w:left w:val="nil"/>
              <w:bottom w:val="nil"/>
              <w:right w:val="nil"/>
            </w:tcBorders>
            <w:noWrap/>
            <w:vAlign w:val="bottom"/>
            <w:hideMark/>
          </w:tcPr>
          <w:p w:rsidRPr="00B52D66" w:rsidR="00B52D66" w:rsidP="00FC2172" w:rsidRDefault="00B52D66" w14:paraId="5ED58BA8" w14:textId="77777777">
            <w:pPr>
              <w:spacing w:line="240" w:lineRule="auto"/>
              <w:jc w:val="center"/>
              <w:rPr>
                <w:rFonts w:cs="Arial"/>
                <w:szCs w:val="18"/>
                <w:lang w:val="en-GB" w:eastAsia="en-GB"/>
              </w:rPr>
            </w:pPr>
            <w:r w:rsidRPr="00B52D66">
              <w:rPr>
                <w:rFonts w:cs="Arial"/>
                <w:szCs w:val="18"/>
                <w:lang w:val="en-GB" w:eastAsia="en-GB"/>
              </w:rPr>
              <w:t>26</w:t>
            </w:r>
          </w:p>
        </w:tc>
        <w:tc>
          <w:tcPr>
            <w:tcW w:w="429" w:type="pct"/>
            <w:tcBorders>
              <w:top w:val="nil"/>
              <w:left w:val="nil"/>
              <w:bottom w:val="nil"/>
              <w:right w:val="nil"/>
            </w:tcBorders>
            <w:noWrap/>
            <w:vAlign w:val="bottom"/>
            <w:hideMark/>
          </w:tcPr>
          <w:p w:rsidRPr="00B52D66" w:rsidR="00B52D66" w:rsidP="00FC2172" w:rsidRDefault="00B52D66" w14:paraId="415B918F" w14:textId="77777777">
            <w:pPr>
              <w:spacing w:line="240" w:lineRule="auto"/>
              <w:jc w:val="center"/>
              <w:rPr>
                <w:rFonts w:cs="Arial"/>
                <w:szCs w:val="18"/>
                <w:lang w:val="en-GB" w:eastAsia="en-GB"/>
              </w:rPr>
            </w:pPr>
            <w:r w:rsidRPr="00B52D66">
              <w:rPr>
                <w:rFonts w:cs="Arial"/>
                <w:szCs w:val="18"/>
                <w:lang w:val="en-GB" w:eastAsia="en-GB"/>
              </w:rPr>
              <w:t>23</w:t>
            </w:r>
          </w:p>
        </w:tc>
      </w:tr>
      <w:tr w:rsidRPr="00B52D66" w:rsidR="00B52D66" w:rsidTr="00B52D66" w14:paraId="29DDD4A9" w14:textId="77777777">
        <w:trPr>
          <w:trHeight w:val="230"/>
        </w:trPr>
        <w:tc>
          <w:tcPr>
            <w:tcW w:w="371" w:type="pct"/>
            <w:tcBorders>
              <w:top w:val="nil"/>
              <w:left w:val="nil"/>
              <w:bottom w:val="nil"/>
              <w:right w:val="nil"/>
            </w:tcBorders>
            <w:noWrap/>
            <w:hideMark/>
          </w:tcPr>
          <w:p w:rsidRPr="00B52D66" w:rsidR="00B52D66" w:rsidP="00FC2172" w:rsidRDefault="00B52D66" w14:paraId="27CFD2E9" w14:textId="77777777">
            <w:pPr>
              <w:spacing w:line="240" w:lineRule="auto"/>
              <w:rPr>
                <w:rFonts w:cs="Arial"/>
                <w:szCs w:val="18"/>
                <w:lang w:val="en-GB" w:eastAsia="en-GB"/>
              </w:rPr>
            </w:pPr>
            <w:r w:rsidRPr="00B52D66">
              <w:rPr>
                <w:rFonts w:cs="Arial"/>
                <w:szCs w:val="18"/>
                <w:lang w:val="en-GB" w:eastAsia="en-GB"/>
              </w:rPr>
              <w:t xml:space="preserve">   MaT</w:t>
            </w:r>
          </w:p>
        </w:tc>
        <w:tc>
          <w:tcPr>
            <w:tcW w:w="347" w:type="pct"/>
            <w:tcBorders>
              <w:top w:val="nil"/>
              <w:left w:val="nil"/>
              <w:bottom w:val="nil"/>
              <w:right w:val="nil"/>
            </w:tcBorders>
            <w:noWrap/>
            <w:vAlign w:val="bottom"/>
            <w:hideMark/>
          </w:tcPr>
          <w:p w:rsidRPr="00B52D66" w:rsidR="00B52D66" w:rsidP="00FC2172" w:rsidRDefault="00B52D66" w14:paraId="6ADAF0A9" w14:textId="77777777">
            <w:pPr>
              <w:spacing w:line="240" w:lineRule="auto"/>
              <w:jc w:val="center"/>
              <w:rPr>
                <w:rFonts w:cs="Arial"/>
                <w:szCs w:val="18"/>
                <w:lang w:val="en-GB" w:eastAsia="en-GB"/>
              </w:rPr>
            </w:pPr>
            <w:r w:rsidRPr="00B52D66">
              <w:rPr>
                <w:rFonts w:cs="Arial"/>
                <w:szCs w:val="18"/>
                <w:lang w:val="en-GB" w:eastAsia="en-GB"/>
              </w:rPr>
              <w:t>0</w:t>
            </w:r>
          </w:p>
        </w:tc>
        <w:tc>
          <w:tcPr>
            <w:tcW w:w="404" w:type="pct"/>
            <w:tcBorders>
              <w:top w:val="nil"/>
              <w:left w:val="nil"/>
              <w:bottom w:val="nil"/>
              <w:right w:val="nil"/>
            </w:tcBorders>
            <w:noWrap/>
            <w:vAlign w:val="bottom"/>
            <w:hideMark/>
          </w:tcPr>
          <w:p w:rsidRPr="00B52D66" w:rsidR="00B52D66" w:rsidP="00FC2172" w:rsidRDefault="00B52D66" w14:paraId="6C4F7030" w14:textId="77777777">
            <w:pPr>
              <w:spacing w:line="240" w:lineRule="auto"/>
              <w:jc w:val="center"/>
              <w:rPr>
                <w:rFonts w:cs="Arial"/>
                <w:szCs w:val="18"/>
                <w:lang w:val="en-GB" w:eastAsia="en-GB"/>
              </w:rPr>
            </w:pPr>
            <w:r w:rsidRPr="00B52D66">
              <w:rPr>
                <w:rFonts w:cs="Arial"/>
                <w:szCs w:val="18"/>
                <w:lang w:val="en-GB" w:eastAsia="en-GB"/>
              </w:rPr>
              <w:t>0</w:t>
            </w:r>
          </w:p>
        </w:tc>
        <w:tc>
          <w:tcPr>
            <w:tcW w:w="347" w:type="pct"/>
            <w:tcBorders>
              <w:top w:val="nil"/>
              <w:left w:val="nil"/>
              <w:bottom w:val="nil"/>
              <w:right w:val="nil"/>
            </w:tcBorders>
            <w:noWrap/>
            <w:vAlign w:val="bottom"/>
            <w:hideMark/>
          </w:tcPr>
          <w:p w:rsidRPr="00B52D66" w:rsidR="00B52D66" w:rsidP="00FC2172" w:rsidRDefault="00B52D66" w14:paraId="3E8FD7C0" w14:textId="77777777">
            <w:pPr>
              <w:spacing w:line="240" w:lineRule="auto"/>
              <w:jc w:val="center"/>
              <w:rPr>
                <w:rFonts w:cs="Arial"/>
                <w:szCs w:val="18"/>
                <w:lang w:val="en-GB" w:eastAsia="en-GB"/>
              </w:rPr>
            </w:pPr>
            <w:r w:rsidRPr="00B52D66">
              <w:rPr>
                <w:rFonts w:cs="Arial"/>
                <w:szCs w:val="18"/>
                <w:lang w:val="en-GB" w:eastAsia="en-GB"/>
              </w:rPr>
              <w:t>0</w:t>
            </w:r>
          </w:p>
        </w:tc>
        <w:tc>
          <w:tcPr>
            <w:tcW w:w="429" w:type="pct"/>
            <w:tcBorders>
              <w:top w:val="nil"/>
              <w:left w:val="nil"/>
              <w:bottom w:val="nil"/>
              <w:right w:val="nil"/>
            </w:tcBorders>
            <w:noWrap/>
            <w:vAlign w:val="bottom"/>
            <w:hideMark/>
          </w:tcPr>
          <w:p w:rsidRPr="00B52D66" w:rsidR="00B52D66" w:rsidP="00FC2172" w:rsidRDefault="00B52D66" w14:paraId="2F54B366" w14:textId="77777777">
            <w:pPr>
              <w:spacing w:line="240" w:lineRule="auto"/>
              <w:jc w:val="center"/>
              <w:rPr>
                <w:rFonts w:cs="Arial"/>
                <w:szCs w:val="18"/>
                <w:lang w:val="en-GB" w:eastAsia="en-GB"/>
              </w:rPr>
            </w:pPr>
            <w:r w:rsidRPr="00B52D66">
              <w:rPr>
                <w:rFonts w:cs="Arial"/>
                <w:szCs w:val="18"/>
                <w:lang w:val="en-GB" w:eastAsia="en-GB"/>
              </w:rPr>
              <w:t>0</w:t>
            </w:r>
          </w:p>
        </w:tc>
        <w:tc>
          <w:tcPr>
            <w:tcW w:w="347" w:type="pct"/>
            <w:tcBorders>
              <w:top w:val="nil"/>
              <w:left w:val="nil"/>
              <w:bottom w:val="nil"/>
              <w:right w:val="nil"/>
            </w:tcBorders>
            <w:noWrap/>
            <w:vAlign w:val="bottom"/>
            <w:hideMark/>
          </w:tcPr>
          <w:p w:rsidRPr="00B52D66" w:rsidR="00B52D66" w:rsidP="00FC2172" w:rsidRDefault="00B52D66" w14:paraId="5F7310F1" w14:textId="77777777">
            <w:pPr>
              <w:spacing w:line="240" w:lineRule="auto"/>
              <w:jc w:val="center"/>
              <w:rPr>
                <w:rFonts w:cs="Arial"/>
                <w:szCs w:val="18"/>
                <w:lang w:val="en-GB" w:eastAsia="en-GB"/>
              </w:rPr>
            </w:pPr>
            <w:r w:rsidRPr="00B52D66">
              <w:rPr>
                <w:rFonts w:cs="Arial"/>
                <w:szCs w:val="18"/>
                <w:lang w:val="en-GB" w:eastAsia="en-GB"/>
              </w:rPr>
              <w:t>0</w:t>
            </w:r>
          </w:p>
        </w:tc>
        <w:tc>
          <w:tcPr>
            <w:tcW w:w="429" w:type="pct"/>
            <w:tcBorders>
              <w:top w:val="nil"/>
              <w:left w:val="nil"/>
              <w:bottom w:val="nil"/>
              <w:right w:val="nil"/>
            </w:tcBorders>
            <w:noWrap/>
            <w:vAlign w:val="bottom"/>
            <w:hideMark/>
          </w:tcPr>
          <w:p w:rsidRPr="00B52D66" w:rsidR="00B52D66" w:rsidP="00FC2172" w:rsidRDefault="00B52D66" w14:paraId="5C5DD2ED" w14:textId="77777777">
            <w:pPr>
              <w:spacing w:line="240" w:lineRule="auto"/>
              <w:jc w:val="center"/>
              <w:rPr>
                <w:rFonts w:cs="Arial"/>
                <w:szCs w:val="18"/>
                <w:lang w:val="en-GB" w:eastAsia="en-GB"/>
              </w:rPr>
            </w:pPr>
            <w:r w:rsidRPr="00B52D66">
              <w:rPr>
                <w:rFonts w:cs="Arial"/>
                <w:szCs w:val="18"/>
                <w:lang w:val="en-GB" w:eastAsia="en-GB"/>
              </w:rPr>
              <w:t>0</w:t>
            </w:r>
          </w:p>
        </w:tc>
        <w:tc>
          <w:tcPr>
            <w:tcW w:w="347" w:type="pct"/>
            <w:tcBorders>
              <w:top w:val="nil"/>
              <w:left w:val="nil"/>
              <w:bottom w:val="nil"/>
              <w:right w:val="nil"/>
            </w:tcBorders>
            <w:noWrap/>
            <w:vAlign w:val="bottom"/>
            <w:hideMark/>
          </w:tcPr>
          <w:p w:rsidRPr="00B52D66" w:rsidR="00B52D66" w:rsidP="00FC2172" w:rsidRDefault="00B52D66" w14:paraId="1671C516" w14:textId="77777777">
            <w:pPr>
              <w:spacing w:line="240" w:lineRule="auto"/>
              <w:jc w:val="center"/>
              <w:rPr>
                <w:rFonts w:cs="Arial"/>
                <w:szCs w:val="18"/>
                <w:lang w:val="en-GB" w:eastAsia="en-GB"/>
              </w:rPr>
            </w:pPr>
            <w:r w:rsidRPr="00B52D66">
              <w:rPr>
                <w:rFonts w:cs="Arial"/>
                <w:szCs w:val="18"/>
                <w:lang w:val="en-GB" w:eastAsia="en-GB"/>
              </w:rPr>
              <w:t>0</w:t>
            </w:r>
          </w:p>
        </w:tc>
        <w:tc>
          <w:tcPr>
            <w:tcW w:w="429" w:type="pct"/>
            <w:tcBorders>
              <w:top w:val="nil"/>
              <w:left w:val="nil"/>
              <w:bottom w:val="nil"/>
              <w:right w:val="nil"/>
            </w:tcBorders>
            <w:noWrap/>
            <w:vAlign w:val="bottom"/>
            <w:hideMark/>
          </w:tcPr>
          <w:p w:rsidRPr="00B52D66" w:rsidR="00B52D66" w:rsidP="00FC2172" w:rsidRDefault="00B52D66" w14:paraId="25A2A18E" w14:textId="77777777">
            <w:pPr>
              <w:spacing w:line="240" w:lineRule="auto"/>
              <w:jc w:val="center"/>
              <w:rPr>
                <w:rFonts w:cs="Arial"/>
                <w:szCs w:val="18"/>
                <w:lang w:val="en-GB" w:eastAsia="en-GB"/>
              </w:rPr>
            </w:pPr>
            <w:r w:rsidRPr="00B52D66">
              <w:rPr>
                <w:rFonts w:cs="Arial"/>
                <w:szCs w:val="18"/>
                <w:lang w:val="en-GB" w:eastAsia="en-GB"/>
              </w:rPr>
              <w:t>0</w:t>
            </w:r>
          </w:p>
        </w:tc>
        <w:tc>
          <w:tcPr>
            <w:tcW w:w="347" w:type="pct"/>
            <w:tcBorders>
              <w:top w:val="nil"/>
              <w:left w:val="nil"/>
              <w:bottom w:val="nil"/>
              <w:right w:val="nil"/>
            </w:tcBorders>
            <w:noWrap/>
            <w:vAlign w:val="bottom"/>
            <w:hideMark/>
          </w:tcPr>
          <w:p w:rsidRPr="00B52D66" w:rsidR="00B52D66" w:rsidP="00FC2172" w:rsidRDefault="00B52D66" w14:paraId="6B1C7FC7" w14:textId="77777777">
            <w:pPr>
              <w:spacing w:line="240" w:lineRule="auto"/>
              <w:jc w:val="center"/>
              <w:rPr>
                <w:rFonts w:cs="Arial"/>
                <w:szCs w:val="18"/>
                <w:lang w:val="en-GB" w:eastAsia="en-GB"/>
              </w:rPr>
            </w:pPr>
            <w:r w:rsidRPr="00B52D66">
              <w:rPr>
                <w:rFonts w:cs="Arial"/>
                <w:szCs w:val="18"/>
                <w:lang w:val="en-GB" w:eastAsia="en-GB"/>
              </w:rPr>
              <w:t>0</w:t>
            </w:r>
          </w:p>
        </w:tc>
        <w:tc>
          <w:tcPr>
            <w:tcW w:w="429" w:type="pct"/>
            <w:tcBorders>
              <w:top w:val="nil"/>
              <w:left w:val="nil"/>
              <w:bottom w:val="nil"/>
              <w:right w:val="nil"/>
            </w:tcBorders>
            <w:noWrap/>
            <w:vAlign w:val="bottom"/>
            <w:hideMark/>
          </w:tcPr>
          <w:p w:rsidRPr="00B52D66" w:rsidR="00B52D66" w:rsidP="00FC2172" w:rsidRDefault="00B52D66" w14:paraId="3F5EE22A" w14:textId="77777777">
            <w:pPr>
              <w:spacing w:line="240" w:lineRule="auto"/>
              <w:jc w:val="center"/>
              <w:rPr>
                <w:rFonts w:cs="Arial"/>
                <w:szCs w:val="18"/>
                <w:lang w:val="en-GB" w:eastAsia="en-GB"/>
              </w:rPr>
            </w:pPr>
            <w:r w:rsidRPr="00B52D66">
              <w:rPr>
                <w:rFonts w:cs="Arial"/>
                <w:szCs w:val="18"/>
                <w:lang w:val="en-GB" w:eastAsia="en-GB"/>
              </w:rPr>
              <w:t>0</w:t>
            </w:r>
          </w:p>
        </w:tc>
        <w:tc>
          <w:tcPr>
            <w:tcW w:w="347" w:type="pct"/>
            <w:tcBorders>
              <w:top w:val="nil"/>
              <w:left w:val="nil"/>
              <w:bottom w:val="nil"/>
              <w:right w:val="nil"/>
            </w:tcBorders>
            <w:noWrap/>
            <w:vAlign w:val="bottom"/>
            <w:hideMark/>
          </w:tcPr>
          <w:p w:rsidRPr="00B52D66" w:rsidR="00B52D66" w:rsidP="00FC2172" w:rsidRDefault="00B52D66" w14:paraId="36173C40" w14:textId="77777777">
            <w:pPr>
              <w:spacing w:line="240" w:lineRule="auto"/>
              <w:jc w:val="center"/>
              <w:rPr>
                <w:rFonts w:cs="Arial"/>
                <w:szCs w:val="18"/>
                <w:lang w:val="en-GB" w:eastAsia="en-GB"/>
              </w:rPr>
            </w:pPr>
            <w:r w:rsidRPr="00B52D66">
              <w:rPr>
                <w:rFonts w:cs="Arial"/>
                <w:szCs w:val="18"/>
                <w:lang w:val="en-GB" w:eastAsia="en-GB"/>
              </w:rPr>
              <w:t>0</w:t>
            </w:r>
          </w:p>
        </w:tc>
        <w:tc>
          <w:tcPr>
            <w:tcW w:w="429" w:type="pct"/>
            <w:tcBorders>
              <w:top w:val="nil"/>
              <w:left w:val="nil"/>
              <w:bottom w:val="nil"/>
              <w:right w:val="nil"/>
            </w:tcBorders>
            <w:noWrap/>
            <w:vAlign w:val="bottom"/>
            <w:hideMark/>
          </w:tcPr>
          <w:p w:rsidRPr="00B52D66" w:rsidR="00B52D66" w:rsidP="00FC2172" w:rsidRDefault="00B52D66" w14:paraId="346F38AB" w14:textId="77777777">
            <w:pPr>
              <w:spacing w:line="240" w:lineRule="auto"/>
              <w:jc w:val="center"/>
              <w:rPr>
                <w:rFonts w:cs="Arial"/>
                <w:szCs w:val="18"/>
                <w:lang w:val="en-GB" w:eastAsia="en-GB"/>
              </w:rPr>
            </w:pPr>
            <w:r w:rsidRPr="00B52D66">
              <w:rPr>
                <w:rFonts w:cs="Arial"/>
                <w:szCs w:val="18"/>
                <w:lang w:val="en-GB" w:eastAsia="en-GB"/>
              </w:rPr>
              <w:t>0</w:t>
            </w:r>
          </w:p>
        </w:tc>
      </w:tr>
      <w:tr w:rsidRPr="00B52D66" w:rsidR="00B52D66" w:rsidTr="00B52D66" w14:paraId="65108379" w14:textId="77777777">
        <w:trPr>
          <w:trHeight w:val="230"/>
        </w:trPr>
        <w:tc>
          <w:tcPr>
            <w:tcW w:w="371" w:type="pct"/>
            <w:tcBorders>
              <w:top w:val="nil"/>
              <w:left w:val="nil"/>
              <w:bottom w:val="nil"/>
              <w:right w:val="nil"/>
            </w:tcBorders>
            <w:noWrap/>
            <w:hideMark/>
          </w:tcPr>
          <w:p w:rsidRPr="00B52D66" w:rsidR="00B52D66" w:rsidP="00FC2172" w:rsidRDefault="00B52D66" w14:paraId="3E341762" w14:textId="77777777">
            <w:pPr>
              <w:spacing w:line="240" w:lineRule="auto"/>
              <w:rPr>
                <w:rFonts w:cs="Arial"/>
                <w:szCs w:val="18"/>
                <w:lang w:val="en-GB" w:eastAsia="en-GB"/>
              </w:rPr>
            </w:pPr>
            <w:r w:rsidRPr="00B52D66">
              <w:rPr>
                <w:rFonts w:cs="Arial"/>
                <w:szCs w:val="18"/>
                <w:lang w:val="en-GB" w:eastAsia="en-GB"/>
              </w:rPr>
              <w:t xml:space="preserve">   MVI</w:t>
            </w:r>
          </w:p>
        </w:tc>
        <w:tc>
          <w:tcPr>
            <w:tcW w:w="347" w:type="pct"/>
            <w:tcBorders>
              <w:top w:val="nil"/>
              <w:left w:val="nil"/>
              <w:bottom w:val="nil"/>
              <w:right w:val="nil"/>
            </w:tcBorders>
            <w:noWrap/>
            <w:vAlign w:val="bottom"/>
            <w:hideMark/>
          </w:tcPr>
          <w:p w:rsidRPr="00B52D66" w:rsidR="00B52D66" w:rsidP="00FC2172" w:rsidRDefault="00B52D66" w14:paraId="6F71E915" w14:textId="77777777">
            <w:pPr>
              <w:spacing w:line="240" w:lineRule="auto"/>
              <w:jc w:val="center"/>
              <w:rPr>
                <w:rFonts w:cs="Arial"/>
                <w:szCs w:val="18"/>
                <w:lang w:val="en-GB" w:eastAsia="en-GB"/>
              </w:rPr>
            </w:pPr>
            <w:r w:rsidRPr="00B52D66">
              <w:rPr>
                <w:rFonts w:cs="Arial"/>
                <w:szCs w:val="18"/>
                <w:lang w:val="en-GB" w:eastAsia="en-GB"/>
              </w:rPr>
              <w:t>18</w:t>
            </w:r>
          </w:p>
        </w:tc>
        <w:tc>
          <w:tcPr>
            <w:tcW w:w="404" w:type="pct"/>
            <w:tcBorders>
              <w:top w:val="nil"/>
              <w:left w:val="nil"/>
              <w:bottom w:val="nil"/>
              <w:right w:val="nil"/>
            </w:tcBorders>
            <w:noWrap/>
            <w:vAlign w:val="bottom"/>
            <w:hideMark/>
          </w:tcPr>
          <w:p w:rsidRPr="00B52D66" w:rsidR="00B52D66" w:rsidP="00FC2172" w:rsidRDefault="00B52D66" w14:paraId="0007CCB5" w14:textId="77777777">
            <w:pPr>
              <w:spacing w:line="240" w:lineRule="auto"/>
              <w:jc w:val="center"/>
              <w:rPr>
                <w:rFonts w:cs="Arial"/>
                <w:szCs w:val="18"/>
                <w:lang w:val="en-GB" w:eastAsia="en-GB"/>
              </w:rPr>
            </w:pPr>
            <w:r w:rsidRPr="00B52D66">
              <w:rPr>
                <w:rFonts w:cs="Arial"/>
                <w:szCs w:val="18"/>
                <w:lang w:val="en-GB" w:eastAsia="en-GB"/>
              </w:rPr>
              <w:t>0</w:t>
            </w:r>
          </w:p>
        </w:tc>
        <w:tc>
          <w:tcPr>
            <w:tcW w:w="347" w:type="pct"/>
            <w:tcBorders>
              <w:top w:val="nil"/>
              <w:left w:val="nil"/>
              <w:bottom w:val="nil"/>
              <w:right w:val="nil"/>
            </w:tcBorders>
            <w:noWrap/>
            <w:vAlign w:val="bottom"/>
            <w:hideMark/>
          </w:tcPr>
          <w:p w:rsidRPr="00B52D66" w:rsidR="00B52D66" w:rsidP="00FC2172" w:rsidRDefault="00B52D66" w14:paraId="4644FBD1" w14:textId="77777777">
            <w:pPr>
              <w:spacing w:line="240" w:lineRule="auto"/>
              <w:jc w:val="center"/>
              <w:rPr>
                <w:rFonts w:cs="Arial"/>
                <w:szCs w:val="18"/>
                <w:lang w:val="en-GB" w:eastAsia="en-GB"/>
              </w:rPr>
            </w:pPr>
            <w:r w:rsidRPr="00B52D66">
              <w:rPr>
                <w:rFonts w:cs="Arial"/>
                <w:szCs w:val="18"/>
                <w:lang w:val="en-GB" w:eastAsia="en-GB"/>
              </w:rPr>
              <w:t>17</w:t>
            </w:r>
          </w:p>
        </w:tc>
        <w:tc>
          <w:tcPr>
            <w:tcW w:w="429" w:type="pct"/>
            <w:tcBorders>
              <w:top w:val="nil"/>
              <w:left w:val="nil"/>
              <w:bottom w:val="nil"/>
              <w:right w:val="nil"/>
            </w:tcBorders>
            <w:noWrap/>
            <w:vAlign w:val="bottom"/>
            <w:hideMark/>
          </w:tcPr>
          <w:p w:rsidRPr="00B52D66" w:rsidR="00B52D66" w:rsidP="00FC2172" w:rsidRDefault="00B52D66" w14:paraId="5F7D6661" w14:textId="77777777">
            <w:pPr>
              <w:spacing w:line="240" w:lineRule="auto"/>
              <w:jc w:val="center"/>
              <w:rPr>
                <w:rFonts w:cs="Arial"/>
                <w:szCs w:val="18"/>
                <w:lang w:val="en-GB" w:eastAsia="en-GB"/>
              </w:rPr>
            </w:pPr>
            <w:r w:rsidRPr="00B52D66">
              <w:rPr>
                <w:rFonts w:cs="Arial"/>
                <w:szCs w:val="18"/>
                <w:lang w:val="en-GB" w:eastAsia="en-GB"/>
              </w:rPr>
              <w:t>0</w:t>
            </w:r>
          </w:p>
        </w:tc>
        <w:tc>
          <w:tcPr>
            <w:tcW w:w="347" w:type="pct"/>
            <w:tcBorders>
              <w:top w:val="nil"/>
              <w:left w:val="nil"/>
              <w:bottom w:val="nil"/>
              <w:right w:val="nil"/>
            </w:tcBorders>
            <w:noWrap/>
            <w:vAlign w:val="bottom"/>
            <w:hideMark/>
          </w:tcPr>
          <w:p w:rsidRPr="00B52D66" w:rsidR="00B52D66" w:rsidP="00FC2172" w:rsidRDefault="00B52D66" w14:paraId="68CD7C77" w14:textId="77777777">
            <w:pPr>
              <w:spacing w:line="240" w:lineRule="auto"/>
              <w:jc w:val="center"/>
              <w:rPr>
                <w:rFonts w:cs="Arial"/>
                <w:szCs w:val="18"/>
                <w:lang w:val="en-GB" w:eastAsia="en-GB"/>
              </w:rPr>
            </w:pPr>
            <w:r w:rsidRPr="00B52D66">
              <w:rPr>
                <w:rFonts w:cs="Arial"/>
                <w:szCs w:val="18"/>
                <w:lang w:val="en-GB" w:eastAsia="en-GB"/>
              </w:rPr>
              <w:t>20</w:t>
            </w:r>
          </w:p>
        </w:tc>
        <w:tc>
          <w:tcPr>
            <w:tcW w:w="429" w:type="pct"/>
            <w:tcBorders>
              <w:top w:val="nil"/>
              <w:left w:val="nil"/>
              <w:bottom w:val="nil"/>
              <w:right w:val="nil"/>
            </w:tcBorders>
            <w:noWrap/>
            <w:vAlign w:val="bottom"/>
            <w:hideMark/>
          </w:tcPr>
          <w:p w:rsidRPr="00B52D66" w:rsidR="00B52D66" w:rsidP="00FC2172" w:rsidRDefault="00B52D66" w14:paraId="2E2CCA48" w14:textId="77777777">
            <w:pPr>
              <w:spacing w:line="240" w:lineRule="auto"/>
              <w:jc w:val="center"/>
              <w:rPr>
                <w:rFonts w:cs="Arial"/>
                <w:szCs w:val="18"/>
                <w:lang w:val="en-GB" w:eastAsia="en-GB"/>
              </w:rPr>
            </w:pPr>
            <w:r w:rsidRPr="00B52D66">
              <w:rPr>
                <w:rFonts w:cs="Arial"/>
                <w:szCs w:val="18"/>
                <w:lang w:val="en-GB" w:eastAsia="en-GB"/>
              </w:rPr>
              <w:t>33</w:t>
            </w:r>
          </w:p>
        </w:tc>
        <w:tc>
          <w:tcPr>
            <w:tcW w:w="347" w:type="pct"/>
            <w:tcBorders>
              <w:top w:val="nil"/>
              <w:left w:val="nil"/>
              <w:bottom w:val="nil"/>
              <w:right w:val="nil"/>
            </w:tcBorders>
            <w:noWrap/>
            <w:vAlign w:val="bottom"/>
            <w:hideMark/>
          </w:tcPr>
          <w:p w:rsidRPr="00B52D66" w:rsidR="00B52D66" w:rsidP="00FC2172" w:rsidRDefault="00B52D66" w14:paraId="0758F8F6" w14:textId="77777777">
            <w:pPr>
              <w:spacing w:line="240" w:lineRule="auto"/>
              <w:jc w:val="center"/>
              <w:rPr>
                <w:rFonts w:cs="Arial"/>
                <w:szCs w:val="18"/>
                <w:lang w:val="en-GB" w:eastAsia="en-GB"/>
              </w:rPr>
            </w:pPr>
            <w:r w:rsidRPr="00B52D66">
              <w:rPr>
                <w:rFonts w:cs="Arial"/>
                <w:szCs w:val="18"/>
                <w:lang w:val="en-GB" w:eastAsia="en-GB"/>
              </w:rPr>
              <w:t>23</w:t>
            </w:r>
          </w:p>
        </w:tc>
        <w:tc>
          <w:tcPr>
            <w:tcW w:w="429" w:type="pct"/>
            <w:tcBorders>
              <w:top w:val="nil"/>
              <w:left w:val="nil"/>
              <w:bottom w:val="nil"/>
              <w:right w:val="nil"/>
            </w:tcBorders>
            <w:noWrap/>
            <w:vAlign w:val="bottom"/>
            <w:hideMark/>
          </w:tcPr>
          <w:p w:rsidRPr="00B52D66" w:rsidR="00B52D66" w:rsidP="00FC2172" w:rsidRDefault="00B52D66" w14:paraId="7B53AFCF" w14:textId="77777777">
            <w:pPr>
              <w:spacing w:line="240" w:lineRule="auto"/>
              <w:jc w:val="center"/>
              <w:rPr>
                <w:rFonts w:cs="Arial"/>
                <w:szCs w:val="18"/>
                <w:lang w:val="en-GB" w:eastAsia="en-GB"/>
              </w:rPr>
            </w:pPr>
            <w:r w:rsidRPr="00B52D66">
              <w:rPr>
                <w:rFonts w:cs="Arial"/>
                <w:szCs w:val="18"/>
                <w:lang w:val="en-GB" w:eastAsia="en-GB"/>
              </w:rPr>
              <w:t>17</w:t>
            </w:r>
          </w:p>
        </w:tc>
        <w:tc>
          <w:tcPr>
            <w:tcW w:w="347" w:type="pct"/>
            <w:tcBorders>
              <w:top w:val="nil"/>
              <w:left w:val="nil"/>
              <w:bottom w:val="nil"/>
              <w:right w:val="nil"/>
            </w:tcBorders>
            <w:noWrap/>
            <w:vAlign w:val="bottom"/>
            <w:hideMark/>
          </w:tcPr>
          <w:p w:rsidRPr="00B52D66" w:rsidR="00B52D66" w:rsidP="00FC2172" w:rsidRDefault="00B52D66" w14:paraId="548C8C1D" w14:textId="77777777">
            <w:pPr>
              <w:spacing w:line="240" w:lineRule="auto"/>
              <w:jc w:val="center"/>
              <w:rPr>
                <w:rFonts w:cs="Arial"/>
                <w:szCs w:val="18"/>
                <w:lang w:val="en-GB" w:eastAsia="en-GB"/>
              </w:rPr>
            </w:pPr>
            <w:r w:rsidRPr="00B52D66">
              <w:rPr>
                <w:rFonts w:cs="Arial"/>
                <w:szCs w:val="18"/>
                <w:lang w:val="en-GB" w:eastAsia="en-GB"/>
              </w:rPr>
              <w:t>21</w:t>
            </w:r>
          </w:p>
        </w:tc>
        <w:tc>
          <w:tcPr>
            <w:tcW w:w="429" w:type="pct"/>
            <w:tcBorders>
              <w:top w:val="nil"/>
              <w:left w:val="nil"/>
              <w:bottom w:val="nil"/>
              <w:right w:val="nil"/>
            </w:tcBorders>
            <w:noWrap/>
            <w:vAlign w:val="bottom"/>
            <w:hideMark/>
          </w:tcPr>
          <w:p w:rsidRPr="00B52D66" w:rsidR="00B52D66" w:rsidP="00FC2172" w:rsidRDefault="00B52D66" w14:paraId="2EE80E60" w14:textId="77777777">
            <w:pPr>
              <w:spacing w:line="240" w:lineRule="auto"/>
              <w:jc w:val="center"/>
              <w:rPr>
                <w:rFonts w:cs="Arial"/>
                <w:szCs w:val="18"/>
                <w:lang w:val="en-GB" w:eastAsia="en-GB"/>
              </w:rPr>
            </w:pPr>
            <w:r w:rsidRPr="00B52D66">
              <w:rPr>
                <w:rFonts w:cs="Arial"/>
                <w:szCs w:val="18"/>
                <w:lang w:val="en-GB" w:eastAsia="en-GB"/>
              </w:rPr>
              <w:t>17</w:t>
            </w:r>
          </w:p>
        </w:tc>
        <w:tc>
          <w:tcPr>
            <w:tcW w:w="347" w:type="pct"/>
            <w:tcBorders>
              <w:top w:val="nil"/>
              <w:left w:val="nil"/>
              <w:bottom w:val="nil"/>
              <w:right w:val="nil"/>
            </w:tcBorders>
            <w:noWrap/>
            <w:vAlign w:val="bottom"/>
            <w:hideMark/>
          </w:tcPr>
          <w:p w:rsidRPr="00B52D66" w:rsidR="00B52D66" w:rsidP="00FC2172" w:rsidRDefault="00B52D66" w14:paraId="177C4A8D" w14:textId="77777777">
            <w:pPr>
              <w:spacing w:line="240" w:lineRule="auto"/>
              <w:jc w:val="center"/>
              <w:rPr>
                <w:rFonts w:cs="Arial"/>
                <w:szCs w:val="18"/>
                <w:lang w:val="en-GB" w:eastAsia="en-GB"/>
              </w:rPr>
            </w:pPr>
            <w:r w:rsidRPr="00B52D66">
              <w:rPr>
                <w:rFonts w:cs="Arial"/>
                <w:szCs w:val="18"/>
                <w:lang w:val="en-GB" w:eastAsia="en-GB"/>
              </w:rPr>
              <w:t>31</w:t>
            </w:r>
          </w:p>
        </w:tc>
        <w:tc>
          <w:tcPr>
            <w:tcW w:w="429" w:type="pct"/>
            <w:tcBorders>
              <w:top w:val="nil"/>
              <w:left w:val="nil"/>
              <w:bottom w:val="nil"/>
              <w:right w:val="nil"/>
            </w:tcBorders>
            <w:noWrap/>
            <w:vAlign w:val="bottom"/>
            <w:hideMark/>
          </w:tcPr>
          <w:p w:rsidRPr="00B52D66" w:rsidR="00B52D66" w:rsidP="00FC2172" w:rsidRDefault="00B52D66" w14:paraId="1644B640" w14:textId="77777777">
            <w:pPr>
              <w:spacing w:line="240" w:lineRule="auto"/>
              <w:jc w:val="center"/>
              <w:rPr>
                <w:rFonts w:cs="Arial"/>
                <w:szCs w:val="18"/>
                <w:lang w:val="en-GB" w:eastAsia="en-GB"/>
              </w:rPr>
            </w:pPr>
            <w:r w:rsidRPr="00B52D66">
              <w:rPr>
                <w:rFonts w:cs="Arial"/>
                <w:szCs w:val="18"/>
                <w:lang w:val="en-GB" w:eastAsia="en-GB"/>
              </w:rPr>
              <w:t>29</w:t>
            </w:r>
          </w:p>
        </w:tc>
      </w:tr>
      <w:tr w:rsidRPr="00B52D66" w:rsidR="00B52D66" w:rsidTr="00B52D66" w14:paraId="3C790891" w14:textId="77777777">
        <w:trPr>
          <w:trHeight w:val="230"/>
        </w:trPr>
        <w:tc>
          <w:tcPr>
            <w:tcW w:w="371" w:type="pct"/>
            <w:tcBorders>
              <w:top w:val="nil"/>
              <w:left w:val="nil"/>
              <w:bottom w:val="nil"/>
              <w:right w:val="nil"/>
            </w:tcBorders>
            <w:noWrap/>
            <w:hideMark/>
          </w:tcPr>
          <w:p w:rsidRPr="00B52D66" w:rsidR="00B52D66" w:rsidP="00FC2172" w:rsidRDefault="00B52D66" w14:paraId="4590AB13" w14:textId="77777777">
            <w:pPr>
              <w:spacing w:line="240" w:lineRule="auto"/>
              <w:rPr>
                <w:rFonts w:cs="Arial"/>
                <w:szCs w:val="18"/>
                <w:lang w:val="en-GB" w:eastAsia="en-GB"/>
              </w:rPr>
            </w:pPr>
            <w:r w:rsidRPr="00B52D66">
              <w:rPr>
                <w:rFonts w:cs="Arial"/>
                <w:szCs w:val="18"/>
                <w:lang w:val="en-GB" w:eastAsia="en-GB"/>
              </w:rPr>
              <w:t xml:space="preserve">   M&amp;T</w:t>
            </w:r>
          </w:p>
        </w:tc>
        <w:tc>
          <w:tcPr>
            <w:tcW w:w="347" w:type="pct"/>
            <w:tcBorders>
              <w:top w:val="nil"/>
              <w:left w:val="nil"/>
              <w:bottom w:val="nil"/>
              <w:right w:val="nil"/>
            </w:tcBorders>
            <w:noWrap/>
            <w:vAlign w:val="bottom"/>
            <w:hideMark/>
          </w:tcPr>
          <w:p w:rsidRPr="00B52D66" w:rsidR="00B52D66" w:rsidP="00FC2172" w:rsidRDefault="00B52D66" w14:paraId="59FFC3E1" w14:textId="77777777">
            <w:pPr>
              <w:spacing w:line="240" w:lineRule="auto"/>
              <w:jc w:val="center"/>
              <w:rPr>
                <w:rFonts w:cs="Arial"/>
                <w:szCs w:val="18"/>
                <w:lang w:val="en-GB" w:eastAsia="en-GB"/>
              </w:rPr>
            </w:pPr>
            <w:r w:rsidRPr="00B52D66">
              <w:rPr>
                <w:rFonts w:cs="Arial"/>
                <w:szCs w:val="18"/>
                <w:lang w:val="en-GB" w:eastAsia="en-GB"/>
              </w:rPr>
              <w:t>33</w:t>
            </w:r>
          </w:p>
        </w:tc>
        <w:tc>
          <w:tcPr>
            <w:tcW w:w="404" w:type="pct"/>
            <w:tcBorders>
              <w:top w:val="nil"/>
              <w:left w:val="nil"/>
              <w:bottom w:val="nil"/>
              <w:right w:val="nil"/>
            </w:tcBorders>
            <w:noWrap/>
            <w:vAlign w:val="bottom"/>
            <w:hideMark/>
          </w:tcPr>
          <w:p w:rsidRPr="00B52D66" w:rsidR="00B52D66" w:rsidP="00FC2172" w:rsidRDefault="00B52D66" w14:paraId="440A6F9F" w14:textId="77777777">
            <w:pPr>
              <w:spacing w:line="240" w:lineRule="auto"/>
              <w:jc w:val="center"/>
              <w:rPr>
                <w:rFonts w:cs="Arial"/>
                <w:szCs w:val="18"/>
                <w:lang w:val="en-GB" w:eastAsia="en-GB"/>
              </w:rPr>
            </w:pPr>
            <w:r w:rsidRPr="00B52D66">
              <w:rPr>
                <w:rFonts w:cs="Arial"/>
                <w:szCs w:val="18"/>
                <w:lang w:val="en-GB" w:eastAsia="en-GB"/>
              </w:rPr>
              <w:t>38</w:t>
            </w:r>
          </w:p>
        </w:tc>
        <w:tc>
          <w:tcPr>
            <w:tcW w:w="347" w:type="pct"/>
            <w:tcBorders>
              <w:top w:val="nil"/>
              <w:left w:val="nil"/>
              <w:bottom w:val="nil"/>
              <w:right w:val="nil"/>
            </w:tcBorders>
            <w:noWrap/>
            <w:vAlign w:val="bottom"/>
            <w:hideMark/>
          </w:tcPr>
          <w:p w:rsidRPr="00B52D66" w:rsidR="00B52D66" w:rsidP="00FC2172" w:rsidRDefault="00B52D66" w14:paraId="5F68FB47" w14:textId="77777777">
            <w:pPr>
              <w:spacing w:line="240" w:lineRule="auto"/>
              <w:jc w:val="center"/>
              <w:rPr>
                <w:rFonts w:cs="Arial"/>
                <w:szCs w:val="18"/>
                <w:lang w:val="en-GB" w:eastAsia="en-GB"/>
              </w:rPr>
            </w:pPr>
            <w:r w:rsidRPr="00B52D66">
              <w:rPr>
                <w:rFonts w:cs="Arial"/>
                <w:szCs w:val="18"/>
                <w:lang w:val="en-GB" w:eastAsia="en-GB"/>
              </w:rPr>
              <w:t>33</w:t>
            </w:r>
          </w:p>
        </w:tc>
        <w:tc>
          <w:tcPr>
            <w:tcW w:w="429" w:type="pct"/>
            <w:tcBorders>
              <w:top w:val="nil"/>
              <w:left w:val="nil"/>
              <w:bottom w:val="nil"/>
              <w:right w:val="nil"/>
            </w:tcBorders>
            <w:noWrap/>
            <w:vAlign w:val="bottom"/>
            <w:hideMark/>
          </w:tcPr>
          <w:p w:rsidRPr="00B52D66" w:rsidR="00B52D66" w:rsidP="00FC2172" w:rsidRDefault="00B52D66" w14:paraId="597CCECC" w14:textId="77777777">
            <w:pPr>
              <w:spacing w:line="240" w:lineRule="auto"/>
              <w:jc w:val="center"/>
              <w:rPr>
                <w:rFonts w:cs="Arial"/>
                <w:szCs w:val="18"/>
                <w:lang w:val="en-GB" w:eastAsia="en-GB"/>
              </w:rPr>
            </w:pPr>
            <w:r w:rsidRPr="00B52D66">
              <w:rPr>
                <w:rFonts w:cs="Arial"/>
                <w:szCs w:val="18"/>
                <w:lang w:val="en-GB" w:eastAsia="en-GB"/>
              </w:rPr>
              <w:t>33</w:t>
            </w:r>
          </w:p>
        </w:tc>
        <w:tc>
          <w:tcPr>
            <w:tcW w:w="347" w:type="pct"/>
            <w:tcBorders>
              <w:top w:val="nil"/>
              <w:left w:val="nil"/>
              <w:bottom w:val="nil"/>
              <w:right w:val="nil"/>
            </w:tcBorders>
            <w:noWrap/>
            <w:vAlign w:val="bottom"/>
            <w:hideMark/>
          </w:tcPr>
          <w:p w:rsidRPr="00B52D66" w:rsidR="00B52D66" w:rsidP="00FC2172" w:rsidRDefault="00B52D66" w14:paraId="2416598E" w14:textId="77777777">
            <w:pPr>
              <w:spacing w:line="240" w:lineRule="auto"/>
              <w:jc w:val="center"/>
              <w:rPr>
                <w:rFonts w:cs="Arial"/>
                <w:szCs w:val="18"/>
                <w:lang w:val="en-GB" w:eastAsia="en-GB"/>
              </w:rPr>
            </w:pPr>
            <w:r w:rsidRPr="00B52D66">
              <w:rPr>
                <w:rFonts w:cs="Arial"/>
                <w:szCs w:val="18"/>
                <w:lang w:val="en-GB" w:eastAsia="en-GB"/>
              </w:rPr>
              <w:t>20</w:t>
            </w:r>
          </w:p>
        </w:tc>
        <w:tc>
          <w:tcPr>
            <w:tcW w:w="429" w:type="pct"/>
            <w:tcBorders>
              <w:top w:val="nil"/>
              <w:left w:val="nil"/>
              <w:bottom w:val="nil"/>
              <w:right w:val="nil"/>
            </w:tcBorders>
            <w:noWrap/>
            <w:vAlign w:val="bottom"/>
            <w:hideMark/>
          </w:tcPr>
          <w:p w:rsidRPr="00B52D66" w:rsidR="00B52D66" w:rsidP="00FC2172" w:rsidRDefault="00B52D66" w14:paraId="08765037" w14:textId="77777777">
            <w:pPr>
              <w:spacing w:line="240" w:lineRule="auto"/>
              <w:jc w:val="center"/>
              <w:rPr>
                <w:rFonts w:cs="Arial"/>
                <w:szCs w:val="18"/>
                <w:lang w:val="en-GB" w:eastAsia="en-GB"/>
              </w:rPr>
            </w:pPr>
            <w:r w:rsidRPr="00B52D66">
              <w:rPr>
                <w:rFonts w:cs="Arial"/>
                <w:szCs w:val="18"/>
                <w:lang w:val="en-GB" w:eastAsia="en-GB"/>
              </w:rPr>
              <w:t>21</w:t>
            </w:r>
          </w:p>
        </w:tc>
        <w:tc>
          <w:tcPr>
            <w:tcW w:w="347" w:type="pct"/>
            <w:tcBorders>
              <w:top w:val="nil"/>
              <w:left w:val="nil"/>
              <w:bottom w:val="nil"/>
              <w:right w:val="nil"/>
            </w:tcBorders>
            <w:noWrap/>
            <w:vAlign w:val="bottom"/>
            <w:hideMark/>
          </w:tcPr>
          <w:p w:rsidRPr="00B52D66" w:rsidR="00B52D66" w:rsidP="00FC2172" w:rsidRDefault="00B52D66" w14:paraId="3DF0073A" w14:textId="77777777">
            <w:pPr>
              <w:spacing w:line="240" w:lineRule="auto"/>
              <w:jc w:val="center"/>
              <w:rPr>
                <w:rFonts w:cs="Arial"/>
                <w:szCs w:val="18"/>
                <w:lang w:val="en-GB" w:eastAsia="en-GB"/>
              </w:rPr>
            </w:pPr>
            <w:r w:rsidRPr="00B52D66">
              <w:rPr>
                <w:rFonts w:cs="Arial"/>
                <w:szCs w:val="18"/>
                <w:lang w:val="en-GB" w:eastAsia="en-GB"/>
              </w:rPr>
              <w:t>16</w:t>
            </w:r>
          </w:p>
        </w:tc>
        <w:tc>
          <w:tcPr>
            <w:tcW w:w="429" w:type="pct"/>
            <w:tcBorders>
              <w:top w:val="nil"/>
              <w:left w:val="nil"/>
              <w:bottom w:val="nil"/>
              <w:right w:val="nil"/>
            </w:tcBorders>
            <w:noWrap/>
            <w:vAlign w:val="bottom"/>
            <w:hideMark/>
          </w:tcPr>
          <w:p w:rsidRPr="00B52D66" w:rsidR="00B52D66" w:rsidP="00FC2172" w:rsidRDefault="00B52D66" w14:paraId="3C520D38" w14:textId="77777777">
            <w:pPr>
              <w:spacing w:line="240" w:lineRule="auto"/>
              <w:jc w:val="center"/>
              <w:rPr>
                <w:rFonts w:cs="Arial"/>
                <w:szCs w:val="18"/>
                <w:lang w:val="en-GB" w:eastAsia="en-GB"/>
              </w:rPr>
            </w:pPr>
            <w:r w:rsidRPr="00B52D66">
              <w:rPr>
                <w:rFonts w:cs="Arial"/>
                <w:szCs w:val="18"/>
                <w:lang w:val="en-GB" w:eastAsia="en-GB"/>
              </w:rPr>
              <w:t>18</w:t>
            </w:r>
          </w:p>
        </w:tc>
        <w:tc>
          <w:tcPr>
            <w:tcW w:w="347" w:type="pct"/>
            <w:tcBorders>
              <w:top w:val="nil"/>
              <w:left w:val="nil"/>
              <w:bottom w:val="nil"/>
              <w:right w:val="nil"/>
            </w:tcBorders>
            <w:noWrap/>
            <w:vAlign w:val="bottom"/>
            <w:hideMark/>
          </w:tcPr>
          <w:p w:rsidRPr="00B52D66" w:rsidR="00B52D66" w:rsidP="00FC2172" w:rsidRDefault="00B52D66" w14:paraId="32D1EC52" w14:textId="77777777">
            <w:pPr>
              <w:spacing w:line="240" w:lineRule="auto"/>
              <w:jc w:val="center"/>
              <w:rPr>
                <w:rFonts w:cs="Arial"/>
                <w:szCs w:val="18"/>
                <w:lang w:val="en-GB" w:eastAsia="en-GB"/>
              </w:rPr>
            </w:pPr>
            <w:r w:rsidRPr="00B52D66">
              <w:rPr>
                <w:rFonts w:cs="Arial"/>
                <w:szCs w:val="18"/>
                <w:lang w:val="en-GB" w:eastAsia="en-GB"/>
              </w:rPr>
              <w:t>11</w:t>
            </w:r>
          </w:p>
        </w:tc>
        <w:tc>
          <w:tcPr>
            <w:tcW w:w="429" w:type="pct"/>
            <w:tcBorders>
              <w:top w:val="nil"/>
              <w:left w:val="nil"/>
              <w:bottom w:val="nil"/>
              <w:right w:val="nil"/>
            </w:tcBorders>
            <w:noWrap/>
            <w:vAlign w:val="bottom"/>
            <w:hideMark/>
          </w:tcPr>
          <w:p w:rsidRPr="00B52D66" w:rsidR="00B52D66" w:rsidP="00FC2172" w:rsidRDefault="00B52D66" w14:paraId="3A63CA80" w14:textId="77777777">
            <w:pPr>
              <w:spacing w:line="240" w:lineRule="auto"/>
              <w:jc w:val="center"/>
              <w:rPr>
                <w:rFonts w:cs="Arial"/>
                <w:szCs w:val="18"/>
                <w:lang w:val="en-GB" w:eastAsia="en-GB"/>
              </w:rPr>
            </w:pPr>
            <w:r w:rsidRPr="00B52D66">
              <w:rPr>
                <w:rFonts w:cs="Arial"/>
                <w:szCs w:val="18"/>
                <w:lang w:val="en-GB" w:eastAsia="en-GB"/>
              </w:rPr>
              <w:t>12</w:t>
            </w:r>
          </w:p>
        </w:tc>
        <w:tc>
          <w:tcPr>
            <w:tcW w:w="347" w:type="pct"/>
            <w:tcBorders>
              <w:top w:val="nil"/>
              <w:left w:val="nil"/>
              <w:bottom w:val="nil"/>
              <w:right w:val="nil"/>
            </w:tcBorders>
            <w:noWrap/>
            <w:vAlign w:val="bottom"/>
            <w:hideMark/>
          </w:tcPr>
          <w:p w:rsidRPr="00B52D66" w:rsidR="00B52D66" w:rsidP="00FC2172" w:rsidRDefault="00B52D66" w14:paraId="215C59A2" w14:textId="77777777">
            <w:pPr>
              <w:spacing w:line="240" w:lineRule="auto"/>
              <w:jc w:val="center"/>
              <w:rPr>
                <w:rFonts w:cs="Arial"/>
                <w:szCs w:val="18"/>
                <w:lang w:val="en-GB" w:eastAsia="en-GB"/>
              </w:rPr>
            </w:pPr>
            <w:r w:rsidRPr="00B52D66">
              <w:rPr>
                <w:rFonts w:cs="Arial"/>
                <w:szCs w:val="18"/>
                <w:lang w:val="en-GB" w:eastAsia="en-GB"/>
              </w:rPr>
              <w:t>24</w:t>
            </w:r>
          </w:p>
        </w:tc>
        <w:tc>
          <w:tcPr>
            <w:tcW w:w="429" w:type="pct"/>
            <w:tcBorders>
              <w:top w:val="nil"/>
              <w:left w:val="nil"/>
              <w:bottom w:val="nil"/>
              <w:right w:val="nil"/>
            </w:tcBorders>
            <w:noWrap/>
            <w:vAlign w:val="bottom"/>
            <w:hideMark/>
          </w:tcPr>
          <w:p w:rsidRPr="00B52D66" w:rsidR="00B52D66" w:rsidP="00FC2172" w:rsidRDefault="00B52D66" w14:paraId="6EE75A1D" w14:textId="77777777">
            <w:pPr>
              <w:spacing w:line="240" w:lineRule="auto"/>
              <w:jc w:val="center"/>
              <w:rPr>
                <w:rFonts w:cs="Arial"/>
                <w:szCs w:val="18"/>
                <w:lang w:val="en-GB" w:eastAsia="en-GB"/>
              </w:rPr>
            </w:pPr>
            <w:r w:rsidRPr="00B52D66">
              <w:rPr>
                <w:rFonts w:cs="Arial"/>
                <w:szCs w:val="18"/>
                <w:lang w:val="en-GB" w:eastAsia="en-GB"/>
              </w:rPr>
              <w:t>31</w:t>
            </w:r>
          </w:p>
        </w:tc>
      </w:tr>
      <w:tr w:rsidRPr="00B52D66" w:rsidR="00B52D66" w:rsidTr="00B52D66" w14:paraId="2DE56018" w14:textId="77777777">
        <w:trPr>
          <w:trHeight w:val="230"/>
        </w:trPr>
        <w:tc>
          <w:tcPr>
            <w:tcW w:w="371" w:type="pct"/>
            <w:tcBorders>
              <w:top w:val="nil"/>
              <w:left w:val="nil"/>
              <w:bottom w:val="single" w:color="auto" w:sz="4" w:space="0"/>
              <w:right w:val="nil"/>
            </w:tcBorders>
            <w:noWrap/>
            <w:hideMark/>
          </w:tcPr>
          <w:p w:rsidRPr="00B52D66" w:rsidR="00B52D66" w:rsidP="00FC2172" w:rsidRDefault="00B52D66" w14:paraId="0A4A6A3C" w14:textId="77777777">
            <w:pPr>
              <w:spacing w:line="240" w:lineRule="auto"/>
              <w:rPr>
                <w:rFonts w:cs="Arial"/>
                <w:szCs w:val="18"/>
                <w:lang w:val="en-GB" w:eastAsia="en-GB"/>
              </w:rPr>
            </w:pPr>
            <w:r w:rsidRPr="00B52D66">
              <w:rPr>
                <w:rFonts w:cs="Arial"/>
                <w:szCs w:val="18"/>
                <w:lang w:val="en-GB" w:eastAsia="en-GB"/>
              </w:rPr>
              <w:t xml:space="preserve">   PIE</w:t>
            </w:r>
          </w:p>
        </w:tc>
        <w:tc>
          <w:tcPr>
            <w:tcW w:w="347" w:type="pct"/>
            <w:tcBorders>
              <w:top w:val="nil"/>
              <w:left w:val="nil"/>
              <w:bottom w:val="single" w:color="auto" w:sz="4" w:space="0"/>
              <w:right w:val="nil"/>
            </w:tcBorders>
            <w:noWrap/>
            <w:vAlign w:val="bottom"/>
            <w:hideMark/>
          </w:tcPr>
          <w:p w:rsidRPr="00B52D66" w:rsidR="00B52D66" w:rsidP="00FC2172" w:rsidRDefault="00B52D66" w14:paraId="63DA452E" w14:textId="77777777">
            <w:pPr>
              <w:spacing w:line="240" w:lineRule="auto"/>
              <w:jc w:val="center"/>
              <w:rPr>
                <w:rFonts w:cs="Arial"/>
                <w:szCs w:val="18"/>
                <w:lang w:val="en-GB" w:eastAsia="en-GB"/>
              </w:rPr>
            </w:pPr>
            <w:r w:rsidRPr="00B52D66">
              <w:rPr>
                <w:rFonts w:cs="Arial"/>
                <w:szCs w:val="18"/>
                <w:lang w:val="en-GB" w:eastAsia="en-GB"/>
              </w:rPr>
              <w:t>47</w:t>
            </w:r>
          </w:p>
        </w:tc>
        <w:tc>
          <w:tcPr>
            <w:tcW w:w="404" w:type="pct"/>
            <w:tcBorders>
              <w:top w:val="nil"/>
              <w:left w:val="nil"/>
              <w:bottom w:val="single" w:color="auto" w:sz="4" w:space="0"/>
              <w:right w:val="nil"/>
            </w:tcBorders>
            <w:noWrap/>
            <w:vAlign w:val="bottom"/>
            <w:hideMark/>
          </w:tcPr>
          <w:p w:rsidRPr="00B52D66" w:rsidR="00B52D66" w:rsidP="00FC2172" w:rsidRDefault="00B52D66" w14:paraId="479CD731" w14:textId="77777777">
            <w:pPr>
              <w:spacing w:line="240" w:lineRule="auto"/>
              <w:jc w:val="center"/>
              <w:rPr>
                <w:rFonts w:cs="Arial"/>
                <w:szCs w:val="18"/>
                <w:lang w:val="en-GB" w:eastAsia="en-GB"/>
              </w:rPr>
            </w:pPr>
            <w:r w:rsidRPr="00B52D66">
              <w:rPr>
                <w:rFonts w:cs="Arial"/>
                <w:szCs w:val="18"/>
                <w:lang w:val="en-GB" w:eastAsia="en-GB"/>
              </w:rPr>
              <w:t>41</w:t>
            </w:r>
          </w:p>
        </w:tc>
        <w:tc>
          <w:tcPr>
            <w:tcW w:w="347" w:type="pct"/>
            <w:tcBorders>
              <w:top w:val="nil"/>
              <w:left w:val="nil"/>
              <w:bottom w:val="single" w:color="auto" w:sz="4" w:space="0"/>
              <w:right w:val="nil"/>
            </w:tcBorders>
            <w:noWrap/>
            <w:vAlign w:val="bottom"/>
            <w:hideMark/>
          </w:tcPr>
          <w:p w:rsidRPr="00B52D66" w:rsidR="00B52D66" w:rsidP="00FC2172" w:rsidRDefault="00B52D66" w14:paraId="66F858B4" w14:textId="77777777">
            <w:pPr>
              <w:spacing w:line="240" w:lineRule="auto"/>
              <w:jc w:val="center"/>
              <w:rPr>
                <w:rFonts w:cs="Arial"/>
                <w:szCs w:val="18"/>
                <w:lang w:val="en-GB" w:eastAsia="en-GB"/>
              </w:rPr>
            </w:pPr>
            <w:r w:rsidRPr="00B52D66">
              <w:rPr>
                <w:rFonts w:cs="Arial"/>
                <w:szCs w:val="18"/>
                <w:lang w:val="en-GB" w:eastAsia="en-GB"/>
              </w:rPr>
              <w:t>36</w:t>
            </w:r>
          </w:p>
        </w:tc>
        <w:tc>
          <w:tcPr>
            <w:tcW w:w="429" w:type="pct"/>
            <w:tcBorders>
              <w:top w:val="nil"/>
              <w:left w:val="nil"/>
              <w:bottom w:val="single" w:color="auto" w:sz="4" w:space="0"/>
              <w:right w:val="nil"/>
            </w:tcBorders>
            <w:noWrap/>
            <w:vAlign w:val="bottom"/>
            <w:hideMark/>
          </w:tcPr>
          <w:p w:rsidRPr="00B52D66" w:rsidR="00B52D66" w:rsidP="00FC2172" w:rsidRDefault="00B52D66" w14:paraId="606FCC6D" w14:textId="77777777">
            <w:pPr>
              <w:spacing w:line="240" w:lineRule="auto"/>
              <w:jc w:val="center"/>
              <w:rPr>
                <w:rFonts w:cs="Arial"/>
                <w:szCs w:val="18"/>
                <w:lang w:val="en-GB" w:eastAsia="en-GB"/>
              </w:rPr>
            </w:pPr>
            <w:r w:rsidRPr="00B52D66">
              <w:rPr>
                <w:rFonts w:cs="Arial"/>
                <w:szCs w:val="18"/>
                <w:lang w:val="en-GB" w:eastAsia="en-GB"/>
              </w:rPr>
              <w:t>38</w:t>
            </w:r>
          </w:p>
        </w:tc>
        <w:tc>
          <w:tcPr>
            <w:tcW w:w="347" w:type="pct"/>
            <w:tcBorders>
              <w:top w:val="nil"/>
              <w:left w:val="nil"/>
              <w:bottom w:val="single" w:color="auto" w:sz="4" w:space="0"/>
              <w:right w:val="nil"/>
            </w:tcBorders>
            <w:noWrap/>
            <w:vAlign w:val="bottom"/>
            <w:hideMark/>
          </w:tcPr>
          <w:p w:rsidRPr="00B52D66" w:rsidR="00B52D66" w:rsidP="00FC2172" w:rsidRDefault="00B52D66" w14:paraId="3C026609" w14:textId="77777777">
            <w:pPr>
              <w:spacing w:line="240" w:lineRule="auto"/>
              <w:jc w:val="center"/>
              <w:rPr>
                <w:rFonts w:cs="Arial"/>
                <w:szCs w:val="18"/>
                <w:lang w:val="en-GB" w:eastAsia="en-GB"/>
              </w:rPr>
            </w:pPr>
            <w:r w:rsidRPr="00B52D66">
              <w:rPr>
                <w:rFonts w:cs="Arial"/>
                <w:szCs w:val="18"/>
                <w:lang w:val="en-GB" w:eastAsia="en-GB"/>
              </w:rPr>
              <w:t>45</w:t>
            </w:r>
          </w:p>
        </w:tc>
        <w:tc>
          <w:tcPr>
            <w:tcW w:w="429" w:type="pct"/>
            <w:tcBorders>
              <w:top w:val="nil"/>
              <w:left w:val="nil"/>
              <w:bottom w:val="single" w:color="auto" w:sz="4" w:space="0"/>
              <w:right w:val="nil"/>
            </w:tcBorders>
            <w:noWrap/>
            <w:vAlign w:val="bottom"/>
            <w:hideMark/>
          </w:tcPr>
          <w:p w:rsidRPr="00B52D66" w:rsidR="00B52D66" w:rsidP="00FC2172" w:rsidRDefault="00B52D66" w14:paraId="43114B73" w14:textId="77777777">
            <w:pPr>
              <w:spacing w:line="240" w:lineRule="auto"/>
              <w:jc w:val="center"/>
              <w:rPr>
                <w:rFonts w:cs="Arial"/>
                <w:szCs w:val="18"/>
                <w:lang w:val="en-GB" w:eastAsia="en-GB"/>
              </w:rPr>
            </w:pPr>
            <w:r w:rsidRPr="00B52D66">
              <w:rPr>
                <w:rFonts w:cs="Arial"/>
                <w:szCs w:val="18"/>
                <w:lang w:val="en-GB" w:eastAsia="en-GB"/>
              </w:rPr>
              <w:t>45</w:t>
            </w:r>
          </w:p>
        </w:tc>
        <w:tc>
          <w:tcPr>
            <w:tcW w:w="347" w:type="pct"/>
            <w:tcBorders>
              <w:top w:val="nil"/>
              <w:left w:val="nil"/>
              <w:bottom w:val="single" w:color="auto" w:sz="4" w:space="0"/>
              <w:right w:val="nil"/>
            </w:tcBorders>
            <w:noWrap/>
            <w:vAlign w:val="bottom"/>
            <w:hideMark/>
          </w:tcPr>
          <w:p w:rsidRPr="00B52D66" w:rsidR="00B52D66" w:rsidP="00FC2172" w:rsidRDefault="00B52D66" w14:paraId="09884F00" w14:textId="77777777">
            <w:pPr>
              <w:spacing w:line="240" w:lineRule="auto"/>
              <w:jc w:val="center"/>
              <w:rPr>
                <w:rFonts w:cs="Arial"/>
                <w:szCs w:val="18"/>
                <w:lang w:val="en-GB" w:eastAsia="en-GB"/>
              </w:rPr>
            </w:pPr>
            <w:r w:rsidRPr="00B52D66">
              <w:rPr>
                <w:rFonts w:cs="Arial"/>
                <w:szCs w:val="18"/>
                <w:lang w:val="en-GB" w:eastAsia="en-GB"/>
              </w:rPr>
              <w:t>41</w:t>
            </w:r>
          </w:p>
        </w:tc>
        <w:tc>
          <w:tcPr>
            <w:tcW w:w="429" w:type="pct"/>
            <w:tcBorders>
              <w:top w:val="nil"/>
              <w:left w:val="nil"/>
              <w:bottom w:val="single" w:color="auto" w:sz="4" w:space="0"/>
              <w:right w:val="nil"/>
            </w:tcBorders>
            <w:noWrap/>
            <w:vAlign w:val="bottom"/>
            <w:hideMark/>
          </w:tcPr>
          <w:p w:rsidRPr="00B52D66" w:rsidR="00B52D66" w:rsidP="00FC2172" w:rsidRDefault="00B52D66" w14:paraId="4D4B6CC5" w14:textId="77777777">
            <w:pPr>
              <w:spacing w:line="240" w:lineRule="auto"/>
              <w:jc w:val="center"/>
              <w:rPr>
                <w:rFonts w:cs="Arial"/>
                <w:szCs w:val="18"/>
                <w:lang w:val="en-GB" w:eastAsia="en-GB"/>
              </w:rPr>
            </w:pPr>
            <w:r w:rsidRPr="00B52D66">
              <w:rPr>
                <w:rFonts w:cs="Arial"/>
                <w:szCs w:val="18"/>
                <w:lang w:val="en-GB" w:eastAsia="en-GB"/>
              </w:rPr>
              <w:t>50</w:t>
            </w:r>
          </w:p>
        </w:tc>
        <w:tc>
          <w:tcPr>
            <w:tcW w:w="347" w:type="pct"/>
            <w:tcBorders>
              <w:top w:val="nil"/>
              <w:left w:val="nil"/>
              <w:bottom w:val="single" w:color="auto" w:sz="4" w:space="0"/>
              <w:right w:val="nil"/>
            </w:tcBorders>
            <w:noWrap/>
            <w:vAlign w:val="bottom"/>
            <w:hideMark/>
          </w:tcPr>
          <w:p w:rsidRPr="00B52D66" w:rsidR="00B52D66" w:rsidP="00FC2172" w:rsidRDefault="00B52D66" w14:paraId="61989D21" w14:textId="77777777">
            <w:pPr>
              <w:spacing w:line="240" w:lineRule="auto"/>
              <w:jc w:val="center"/>
              <w:rPr>
                <w:rFonts w:cs="Arial"/>
                <w:szCs w:val="18"/>
                <w:lang w:val="en-GB" w:eastAsia="en-GB"/>
              </w:rPr>
            </w:pPr>
            <w:r w:rsidRPr="00B52D66">
              <w:rPr>
                <w:rFonts w:cs="Arial"/>
                <w:szCs w:val="18"/>
                <w:lang w:val="en-GB" w:eastAsia="en-GB"/>
              </w:rPr>
              <w:t>40</w:t>
            </w:r>
          </w:p>
        </w:tc>
        <w:tc>
          <w:tcPr>
            <w:tcW w:w="429" w:type="pct"/>
            <w:tcBorders>
              <w:top w:val="nil"/>
              <w:left w:val="nil"/>
              <w:bottom w:val="single" w:color="auto" w:sz="4" w:space="0"/>
              <w:right w:val="nil"/>
            </w:tcBorders>
            <w:noWrap/>
            <w:vAlign w:val="bottom"/>
            <w:hideMark/>
          </w:tcPr>
          <w:p w:rsidRPr="00B52D66" w:rsidR="00B52D66" w:rsidP="00FC2172" w:rsidRDefault="00B52D66" w14:paraId="36D0D37B" w14:textId="77777777">
            <w:pPr>
              <w:spacing w:line="240" w:lineRule="auto"/>
              <w:jc w:val="center"/>
              <w:rPr>
                <w:rFonts w:cs="Arial"/>
                <w:szCs w:val="18"/>
                <w:lang w:val="en-GB" w:eastAsia="en-GB"/>
              </w:rPr>
            </w:pPr>
            <w:r w:rsidRPr="00B52D66">
              <w:rPr>
                <w:rFonts w:cs="Arial"/>
                <w:szCs w:val="18"/>
                <w:lang w:val="en-GB" w:eastAsia="en-GB"/>
              </w:rPr>
              <w:t>42</w:t>
            </w:r>
          </w:p>
        </w:tc>
        <w:tc>
          <w:tcPr>
            <w:tcW w:w="347" w:type="pct"/>
            <w:tcBorders>
              <w:top w:val="nil"/>
              <w:left w:val="nil"/>
              <w:bottom w:val="single" w:color="auto" w:sz="4" w:space="0"/>
              <w:right w:val="nil"/>
            </w:tcBorders>
            <w:noWrap/>
            <w:vAlign w:val="bottom"/>
            <w:hideMark/>
          </w:tcPr>
          <w:p w:rsidRPr="00B52D66" w:rsidR="00B52D66" w:rsidP="00FC2172" w:rsidRDefault="00B52D66" w14:paraId="044DDD05" w14:textId="77777777">
            <w:pPr>
              <w:spacing w:line="240" w:lineRule="auto"/>
              <w:jc w:val="center"/>
              <w:rPr>
                <w:rFonts w:cs="Arial"/>
                <w:szCs w:val="18"/>
                <w:lang w:val="en-GB" w:eastAsia="en-GB"/>
              </w:rPr>
            </w:pPr>
            <w:r w:rsidRPr="00B52D66">
              <w:rPr>
                <w:rFonts w:cs="Arial"/>
                <w:szCs w:val="18"/>
                <w:lang w:val="en-GB" w:eastAsia="en-GB"/>
              </w:rPr>
              <w:t>39</w:t>
            </w:r>
          </w:p>
        </w:tc>
        <w:tc>
          <w:tcPr>
            <w:tcW w:w="429" w:type="pct"/>
            <w:tcBorders>
              <w:top w:val="nil"/>
              <w:left w:val="nil"/>
              <w:bottom w:val="single" w:color="auto" w:sz="4" w:space="0"/>
              <w:right w:val="nil"/>
            </w:tcBorders>
            <w:noWrap/>
            <w:vAlign w:val="bottom"/>
            <w:hideMark/>
          </w:tcPr>
          <w:p w:rsidRPr="00B52D66" w:rsidR="00B52D66" w:rsidP="00FC2172" w:rsidRDefault="00B52D66" w14:paraId="3A24B94C" w14:textId="77777777">
            <w:pPr>
              <w:spacing w:line="240" w:lineRule="auto"/>
              <w:jc w:val="center"/>
              <w:rPr>
                <w:rFonts w:cs="Arial"/>
                <w:szCs w:val="18"/>
                <w:lang w:val="en-GB" w:eastAsia="en-GB"/>
              </w:rPr>
            </w:pPr>
            <w:r w:rsidRPr="00B52D66">
              <w:rPr>
                <w:rFonts w:cs="Arial"/>
                <w:szCs w:val="18"/>
                <w:lang w:val="en-GB" w:eastAsia="en-GB"/>
              </w:rPr>
              <w:t>35</w:t>
            </w:r>
          </w:p>
        </w:tc>
      </w:tr>
    </w:tbl>
    <w:p w:rsidRPr="00B52D66" w:rsidR="00B52D66" w:rsidP="00B52D66" w:rsidRDefault="00B52D66" w14:paraId="53A43722" w14:textId="77777777">
      <w:pPr>
        <w:rPr>
          <w:szCs w:val="18"/>
        </w:rPr>
      </w:pPr>
      <w:r w:rsidRPr="00B52D66">
        <w:rPr>
          <w:rFonts w:eastAsiaTheme="minorHAnsi" w:cstheme="minorBidi"/>
          <w:szCs w:val="18"/>
          <w:lang w:eastAsia="en-US"/>
        </w:rPr>
        <w:t>Noot: *vest = vestiging, lln = leerlingen</w:t>
      </w:r>
      <w:r w:rsidRPr="00B52D66">
        <w:rPr>
          <w:rFonts w:eastAsiaTheme="minorHAnsi" w:cstheme="minorBidi"/>
          <w:szCs w:val="18"/>
          <w:lang w:eastAsia="en-US"/>
        </w:rPr>
        <w:br/>
      </w:r>
      <w:r w:rsidRPr="00B52D66">
        <w:rPr>
          <w:i/>
          <w:szCs w:val="18"/>
        </w:rPr>
        <w:t>Bron: DUO (eigen bewerking ROA).</w:t>
      </w:r>
    </w:p>
    <w:p w:rsidRPr="00B52D66" w:rsidR="00B52D66" w:rsidP="00B52D66" w:rsidRDefault="00B52D66" w14:paraId="5DE3F8F4" w14:textId="77777777">
      <w:pPr>
        <w:spacing w:after="160" w:line="259" w:lineRule="auto"/>
        <w:rPr>
          <w:rFonts w:eastAsiaTheme="minorHAnsi" w:cstheme="minorBidi"/>
          <w:szCs w:val="18"/>
          <w:lang w:eastAsia="en-US"/>
        </w:rPr>
      </w:pPr>
    </w:p>
    <w:p w:rsidRPr="00B52D66" w:rsidR="00B52D66" w:rsidP="00B52D66" w:rsidRDefault="00B52D66" w14:paraId="0DD28E2C" w14:textId="77777777">
      <w:pPr>
        <w:spacing w:after="160" w:line="259" w:lineRule="auto"/>
        <w:rPr>
          <w:rFonts w:eastAsiaTheme="minorHAnsi" w:cstheme="minorBidi"/>
          <w:szCs w:val="18"/>
          <w:lang w:eastAsia="en-US"/>
        </w:rPr>
      </w:pPr>
      <w:r w:rsidRPr="00B52D66">
        <w:rPr>
          <w:rFonts w:eastAsiaTheme="minorHAnsi" w:cstheme="minorBidi"/>
          <w:szCs w:val="18"/>
          <w:lang w:eastAsia="en-US"/>
        </w:rPr>
        <w:br w:type="page"/>
      </w:r>
    </w:p>
    <w:p w:rsidRPr="00B52D66" w:rsidR="00B52D66" w:rsidP="00C43FA5" w:rsidRDefault="00322D6C" w14:paraId="61A4E62E" w14:textId="71E00FFC">
      <w:r>
        <w:lastRenderedPageBreak/>
        <w:t>Figuur B</w:t>
      </w:r>
      <w:r w:rsidR="00277065">
        <w:t>3</w:t>
      </w:r>
      <w:r w:rsidRPr="00B52D66" w:rsidR="00B52D66">
        <w:t>.</w:t>
      </w:r>
      <w:r>
        <w:t>12</w:t>
      </w:r>
      <w:r w:rsidRPr="00B52D66" w:rsidR="00B52D66">
        <w:t>. Aandeel technische profielen aangeboden in STO-regio’s, naar leerweg: schooljaar 2018/2019 tot 2023/2024</w:t>
      </w:r>
    </w:p>
    <w:p w:rsidRPr="00B52D66" w:rsidR="00B52D66" w:rsidP="7C716BD1" w:rsidRDefault="00B52D66" w14:paraId="0E1F5565" w14:textId="77777777">
      <w:pPr>
        <w:rPr>
          <w:lang w:eastAsia="en-US"/>
        </w:rPr>
      </w:pPr>
      <w:r w:rsidRPr="00B52D66">
        <w:rPr>
          <w:noProof/>
          <w:szCs w:val="18"/>
        </w:rPr>
        <w:drawing>
          <wp:inline distT="0" distB="0" distL="0" distR="0" wp14:anchorId="56A113C9" wp14:editId="1FAC1841">
            <wp:extent cx="5997575" cy="4462780"/>
            <wp:effectExtent l="0" t="0" r="3175" b="13970"/>
            <wp:docPr id="7" name="Chart 7">
              <a:extLst xmlns:a="http://schemas.openxmlformats.org/drawingml/2006/main">
                <a:ext uri="{FF2B5EF4-FFF2-40B4-BE49-F238E27FC236}">
                  <a16:creationId xmlns:a16="http://schemas.microsoft.com/office/drawing/2014/main" id="{99D927E7-95BD-CED0-CF65-8740E501D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Pr="00B52D66" w:rsidR="00B52D66" w:rsidP="00B52D66" w:rsidRDefault="00B52D66" w14:paraId="631BBFA2" w14:textId="77777777">
      <w:pPr>
        <w:rPr>
          <w:szCs w:val="18"/>
        </w:rPr>
      </w:pPr>
      <w:r w:rsidRPr="00B52D66">
        <w:rPr>
          <w:i/>
          <w:szCs w:val="18"/>
        </w:rPr>
        <w:t>Bron: DUO (eigen bewerking ROA).</w:t>
      </w:r>
    </w:p>
    <w:p w:rsidRPr="00B52D66" w:rsidR="00B52D66" w:rsidP="00B52D66" w:rsidRDefault="00B52D66" w14:paraId="3A938FAE" w14:textId="77777777">
      <w:pPr>
        <w:rPr>
          <w:szCs w:val="18"/>
          <w:lang w:eastAsia="en-US"/>
        </w:rPr>
      </w:pPr>
    </w:p>
    <w:p w:rsidRPr="00B52D66" w:rsidR="00B52D66" w:rsidP="00B52D66" w:rsidRDefault="00B52D66" w14:paraId="49FBDA48" w14:textId="77777777">
      <w:pPr>
        <w:spacing w:after="160" w:line="259" w:lineRule="auto"/>
        <w:rPr>
          <w:rFonts w:eastAsiaTheme="majorEastAsia" w:cstheme="majorBidi"/>
          <w:b/>
          <w:bCs/>
          <w:color w:val="1D509A"/>
          <w:szCs w:val="18"/>
          <w:lang w:eastAsia="en-US"/>
        </w:rPr>
      </w:pPr>
      <w:r w:rsidRPr="00B52D66">
        <w:rPr>
          <w:szCs w:val="18"/>
        </w:rPr>
        <w:br w:type="page"/>
      </w:r>
    </w:p>
    <w:p w:rsidRPr="00B52D66" w:rsidR="00B52D66" w:rsidP="00C43FA5" w:rsidRDefault="00322D6C" w14:paraId="5DF1CE5A" w14:textId="299E35E3">
      <w:r>
        <w:lastRenderedPageBreak/>
        <w:t>Tabel</w:t>
      </w:r>
      <w:r w:rsidRPr="00B52D66">
        <w:t xml:space="preserve"> </w:t>
      </w:r>
      <w:r>
        <w:t>B</w:t>
      </w:r>
      <w:r w:rsidR="00277065">
        <w:t>3</w:t>
      </w:r>
      <w:r w:rsidRPr="00B52D66" w:rsidR="00B52D66">
        <w:t>.</w:t>
      </w:r>
      <w:r>
        <w:t>17</w:t>
      </w:r>
      <w:r w:rsidRPr="00B52D66" w:rsidR="00B52D66">
        <w:t>. Aantal examens afgelegd in keuzevakken aangeboden door technische profielen en het aandeel afgelegd door niet-techniek leerlingen, schooljaar 2019/2020 tot 2022/2023</w:t>
      </w:r>
    </w:p>
    <w:tbl>
      <w:tblPr>
        <w:tblW w:w="5000" w:type="pct"/>
        <w:tblLayout w:type="fixed"/>
        <w:tblLook w:val="04A0" w:firstRow="1" w:lastRow="0" w:firstColumn="1" w:lastColumn="0" w:noHBand="0" w:noVBand="1"/>
      </w:tblPr>
      <w:tblGrid>
        <w:gridCol w:w="851"/>
        <w:gridCol w:w="1048"/>
        <w:gridCol w:w="955"/>
        <w:gridCol w:w="1215"/>
        <w:gridCol w:w="955"/>
        <w:gridCol w:w="1215"/>
        <w:gridCol w:w="955"/>
        <w:gridCol w:w="1215"/>
        <w:gridCol w:w="951"/>
      </w:tblGrid>
      <w:tr w:rsidRPr="00B52D66" w:rsidR="00B52D66" w:rsidTr="00283B39" w14:paraId="2D868E65" w14:textId="77777777">
        <w:trPr>
          <w:trHeight w:val="230"/>
        </w:trPr>
        <w:tc>
          <w:tcPr>
            <w:tcW w:w="455" w:type="pct"/>
            <w:tcBorders>
              <w:top w:val="single" w:color="auto" w:sz="4" w:space="0"/>
              <w:left w:val="nil"/>
              <w:bottom w:val="nil"/>
              <w:right w:val="nil"/>
            </w:tcBorders>
            <w:noWrap/>
            <w:vAlign w:val="bottom"/>
            <w:hideMark/>
          </w:tcPr>
          <w:p w:rsidRPr="00B52D66" w:rsidR="00B52D66" w:rsidP="00FC2172" w:rsidRDefault="00B52D66" w14:paraId="20863681" w14:textId="77777777">
            <w:pPr>
              <w:spacing w:line="240" w:lineRule="auto"/>
              <w:rPr>
                <w:rFonts w:cs="Arial"/>
                <w:szCs w:val="18"/>
                <w:lang w:eastAsia="en-GB"/>
              </w:rPr>
            </w:pPr>
            <w:r w:rsidRPr="00B52D66">
              <w:rPr>
                <w:rFonts w:cs="Arial"/>
                <w:szCs w:val="18"/>
                <w:lang w:eastAsia="en-GB"/>
              </w:rPr>
              <w:t> </w:t>
            </w:r>
          </w:p>
        </w:tc>
        <w:tc>
          <w:tcPr>
            <w:tcW w:w="1069" w:type="pct"/>
            <w:gridSpan w:val="2"/>
            <w:tcBorders>
              <w:top w:val="single" w:color="auto" w:sz="4" w:space="0"/>
              <w:left w:val="nil"/>
              <w:bottom w:val="nil"/>
              <w:right w:val="nil"/>
            </w:tcBorders>
            <w:noWrap/>
            <w:vAlign w:val="bottom"/>
            <w:hideMark/>
          </w:tcPr>
          <w:p w:rsidRPr="00B52D66" w:rsidR="00B52D66" w:rsidP="00FC2172" w:rsidRDefault="00B52D66" w14:paraId="57E5A43D" w14:textId="77777777">
            <w:pPr>
              <w:spacing w:line="240" w:lineRule="auto"/>
              <w:jc w:val="center"/>
              <w:rPr>
                <w:rFonts w:cs="Arial"/>
                <w:szCs w:val="18"/>
                <w:lang w:val="en-GB" w:eastAsia="en-GB"/>
              </w:rPr>
            </w:pPr>
            <w:r w:rsidRPr="00B52D66">
              <w:rPr>
                <w:rFonts w:cs="Arial"/>
                <w:szCs w:val="18"/>
                <w:lang w:val="en-GB" w:eastAsia="en-GB"/>
              </w:rPr>
              <w:t>2019/2020</w:t>
            </w:r>
          </w:p>
        </w:tc>
        <w:tc>
          <w:tcPr>
            <w:tcW w:w="1159" w:type="pct"/>
            <w:gridSpan w:val="2"/>
            <w:tcBorders>
              <w:top w:val="single" w:color="auto" w:sz="4" w:space="0"/>
              <w:left w:val="nil"/>
              <w:bottom w:val="nil"/>
              <w:right w:val="nil"/>
            </w:tcBorders>
            <w:noWrap/>
            <w:vAlign w:val="bottom"/>
            <w:hideMark/>
          </w:tcPr>
          <w:p w:rsidRPr="00B52D66" w:rsidR="00B52D66" w:rsidP="00FC2172" w:rsidRDefault="00B52D66" w14:paraId="1FDAACE7" w14:textId="77777777">
            <w:pPr>
              <w:spacing w:line="240" w:lineRule="auto"/>
              <w:jc w:val="center"/>
              <w:rPr>
                <w:rFonts w:cs="Arial"/>
                <w:szCs w:val="18"/>
                <w:lang w:val="en-GB" w:eastAsia="en-GB"/>
              </w:rPr>
            </w:pPr>
            <w:r w:rsidRPr="00B52D66">
              <w:rPr>
                <w:rFonts w:cs="Arial"/>
                <w:szCs w:val="18"/>
                <w:lang w:val="en-GB" w:eastAsia="en-GB"/>
              </w:rPr>
              <w:t>2020/2021</w:t>
            </w:r>
          </w:p>
        </w:tc>
        <w:tc>
          <w:tcPr>
            <w:tcW w:w="1159" w:type="pct"/>
            <w:gridSpan w:val="2"/>
            <w:tcBorders>
              <w:top w:val="single" w:color="auto" w:sz="4" w:space="0"/>
              <w:left w:val="nil"/>
              <w:bottom w:val="nil"/>
              <w:right w:val="nil"/>
            </w:tcBorders>
            <w:noWrap/>
            <w:vAlign w:val="bottom"/>
            <w:hideMark/>
          </w:tcPr>
          <w:p w:rsidRPr="00B52D66" w:rsidR="00B52D66" w:rsidP="00FC2172" w:rsidRDefault="00B52D66" w14:paraId="2327CD3F" w14:textId="77777777">
            <w:pPr>
              <w:spacing w:line="240" w:lineRule="auto"/>
              <w:jc w:val="center"/>
              <w:rPr>
                <w:rFonts w:cs="Arial"/>
                <w:szCs w:val="18"/>
                <w:lang w:val="en-GB" w:eastAsia="en-GB"/>
              </w:rPr>
            </w:pPr>
            <w:r w:rsidRPr="00B52D66">
              <w:rPr>
                <w:rFonts w:cs="Arial"/>
                <w:szCs w:val="18"/>
                <w:lang w:val="en-GB" w:eastAsia="en-GB"/>
              </w:rPr>
              <w:t>2021/2022</w:t>
            </w:r>
          </w:p>
        </w:tc>
        <w:tc>
          <w:tcPr>
            <w:tcW w:w="1159" w:type="pct"/>
            <w:gridSpan w:val="2"/>
            <w:tcBorders>
              <w:top w:val="single" w:color="auto" w:sz="4" w:space="0"/>
              <w:left w:val="nil"/>
              <w:bottom w:val="nil"/>
              <w:right w:val="nil"/>
            </w:tcBorders>
            <w:noWrap/>
            <w:vAlign w:val="bottom"/>
            <w:hideMark/>
          </w:tcPr>
          <w:p w:rsidRPr="00B52D66" w:rsidR="00B52D66" w:rsidP="00FC2172" w:rsidRDefault="00B52D66" w14:paraId="48F9AD9F" w14:textId="77777777">
            <w:pPr>
              <w:spacing w:line="240" w:lineRule="auto"/>
              <w:jc w:val="center"/>
              <w:rPr>
                <w:rFonts w:cs="Arial"/>
                <w:szCs w:val="18"/>
                <w:lang w:val="en-GB" w:eastAsia="en-GB"/>
              </w:rPr>
            </w:pPr>
            <w:r w:rsidRPr="00B52D66">
              <w:rPr>
                <w:rFonts w:cs="Arial"/>
                <w:szCs w:val="18"/>
                <w:lang w:val="en-GB" w:eastAsia="en-GB"/>
              </w:rPr>
              <w:t>2022/2023</w:t>
            </w:r>
          </w:p>
        </w:tc>
      </w:tr>
      <w:tr w:rsidRPr="00B52D66" w:rsidR="00B52D66" w:rsidTr="00283B39" w14:paraId="28E0D6A4" w14:textId="77777777">
        <w:trPr>
          <w:trHeight w:val="1150"/>
        </w:trPr>
        <w:tc>
          <w:tcPr>
            <w:tcW w:w="455" w:type="pct"/>
            <w:tcBorders>
              <w:top w:val="nil"/>
              <w:left w:val="nil"/>
              <w:bottom w:val="single" w:color="auto" w:sz="4" w:space="0"/>
              <w:right w:val="nil"/>
            </w:tcBorders>
            <w:noWrap/>
            <w:vAlign w:val="bottom"/>
            <w:hideMark/>
          </w:tcPr>
          <w:p w:rsidRPr="00B52D66" w:rsidR="00B52D66" w:rsidP="00FC2172" w:rsidRDefault="00B52D66" w14:paraId="1E11862B" w14:textId="77777777">
            <w:pPr>
              <w:spacing w:line="240" w:lineRule="auto"/>
              <w:rPr>
                <w:rFonts w:cs="Arial"/>
                <w:szCs w:val="18"/>
                <w:lang w:val="en-GB" w:eastAsia="en-GB"/>
              </w:rPr>
            </w:pPr>
            <w:r w:rsidRPr="00B52D66">
              <w:rPr>
                <w:rFonts w:cs="Arial"/>
                <w:szCs w:val="18"/>
                <w:lang w:val="en-GB" w:eastAsia="en-GB"/>
              </w:rPr>
              <w:t> </w:t>
            </w:r>
          </w:p>
        </w:tc>
        <w:tc>
          <w:tcPr>
            <w:tcW w:w="560" w:type="pct"/>
            <w:tcBorders>
              <w:top w:val="nil"/>
              <w:left w:val="nil"/>
              <w:bottom w:val="single" w:color="auto" w:sz="4" w:space="0"/>
              <w:right w:val="nil"/>
            </w:tcBorders>
            <w:vAlign w:val="bottom"/>
            <w:hideMark/>
          </w:tcPr>
          <w:p w:rsidRPr="00B52D66" w:rsidR="00B52D66" w:rsidP="00FC2172" w:rsidRDefault="00B52D66" w14:paraId="2154F26B" w14:textId="77777777">
            <w:pPr>
              <w:spacing w:line="240" w:lineRule="auto"/>
              <w:jc w:val="center"/>
              <w:rPr>
                <w:rFonts w:cs="Arial"/>
                <w:szCs w:val="18"/>
                <w:lang w:eastAsia="en-GB"/>
              </w:rPr>
            </w:pPr>
            <w:r w:rsidRPr="00B52D66">
              <w:rPr>
                <w:rFonts w:cs="Arial"/>
                <w:szCs w:val="18"/>
                <w:lang w:eastAsia="en-GB"/>
              </w:rPr>
              <w:t>totaal aantal examens afgelegd in technische keuzevakken</w:t>
            </w:r>
          </w:p>
        </w:tc>
        <w:tc>
          <w:tcPr>
            <w:tcW w:w="510" w:type="pct"/>
            <w:tcBorders>
              <w:top w:val="nil"/>
              <w:left w:val="nil"/>
              <w:bottom w:val="single" w:color="auto" w:sz="4" w:space="0"/>
              <w:right w:val="nil"/>
            </w:tcBorders>
            <w:vAlign w:val="bottom"/>
            <w:hideMark/>
          </w:tcPr>
          <w:p w:rsidRPr="00B52D66" w:rsidR="00B52D66" w:rsidP="00FC2172" w:rsidRDefault="00B52D66" w14:paraId="52E4C1B2" w14:textId="77777777">
            <w:pPr>
              <w:spacing w:line="240" w:lineRule="auto"/>
              <w:jc w:val="center"/>
              <w:rPr>
                <w:rFonts w:cs="Arial"/>
                <w:szCs w:val="18"/>
                <w:lang w:val="en-GB" w:eastAsia="en-GB"/>
              </w:rPr>
            </w:pPr>
            <w:r w:rsidRPr="00B52D66">
              <w:rPr>
                <w:rFonts w:cs="Arial"/>
                <w:szCs w:val="18"/>
                <w:lang w:val="en-GB" w:eastAsia="en-GB"/>
              </w:rPr>
              <w:t>aandeel niet-techniek-leerlingen</w:t>
            </w:r>
          </w:p>
        </w:tc>
        <w:tc>
          <w:tcPr>
            <w:tcW w:w="649" w:type="pct"/>
            <w:tcBorders>
              <w:top w:val="nil"/>
              <w:left w:val="nil"/>
              <w:bottom w:val="single" w:color="auto" w:sz="4" w:space="0"/>
              <w:right w:val="nil"/>
            </w:tcBorders>
            <w:vAlign w:val="bottom"/>
            <w:hideMark/>
          </w:tcPr>
          <w:p w:rsidRPr="00B52D66" w:rsidR="00B52D66" w:rsidP="00FC2172" w:rsidRDefault="00B52D66" w14:paraId="2CE7A6CD" w14:textId="77777777">
            <w:pPr>
              <w:spacing w:line="240" w:lineRule="auto"/>
              <w:jc w:val="center"/>
              <w:rPr>
                <w:rFonts w:cs="Arial"/>
                <w:szCs w:val="18"/>
                <w:lang w:eastAsia="en-GB"/>
              </w:rPr>
            </w:pPr>
            <w:r w:rsidRPr="00B52D66">
              <w:rPr>
                <w:rFonts w:cs="Arial"/>
                <w:szCs w:val="18"/>
                <w:lang w:eastAsia="en-GB"/>
              </w:rPr>
              <w:t>totaal aantal examens afgelegd in technische keuzevakken</w:t>
            </w:r>
          </w:p>
        </w:tc>
        <w:tc>
          <w:tcPr>
            <w:tcW w:w="510" w:type="pct"/>
            <w:tcBorders>
              <w:top w:val="nil"/>
              <w:left w:val="nil"/>
              <w:bottom w:val="single" w:color="auto" w:sz="4" w:space="0"/>
              <w:right w:val="nil"/>
            </w:tcBorders>
            <w:vAlign w:val="bottom"/>
            <w:hideMark/>
          </w:tcPr>
          <w:p w:rsidRPr="00B52D66" w:rsidR="00B52D66" w:rsidP="00FC2172" w:rsidRDefault="00B52D66" w14:paraId="4DF6D7D8" w14:textId="77777777">
            <w:pPr>
              <w:spacing w:line="240" w:lineRule="auto"/>
              <w:jc w:val="center"/>
              <w:rPr>
                <w:rFonts w:cs="Arial"/>
                <w:szCs w:val="18"/>
                <w:lang w:val="en-GB" w:eastAsia="en-GB"/>
              </w:rPr>
            </w:pPr>
            <w:r w:rsidRPr="00B52D66">
              <w:rPr>
                <w:rFonts w:cs="Arial"/>
                <w:szCs w:val="18"/>
                <w:lang w:val="en-GB" w:eastAsia="en-GB"/>
              </w:rPr>
              <w:t>aandeel niet-techniek-leerlingen</w:t>
            </w:r>
          </w:p>
        </w:tc>
        <w:tc>
          <w:tcPr>
            <w:tcW w:w="649" w:type="pct"/>
            <w:tcBorders>
              <w:top w:val="nil"/>
              <w:left w:val="nil"/>
              <w:bottom w:val="single" w:color="auto" w:sz="4" w:space="0"/>
              <w:right w:val="nil"/>
            </w:tcBorders>
            <w:vAlign w:val="bottom"/>
            <w:hideMark/>
          </w:tcPr>
          <w:p w:rsidRPr="00B52D66" w:rsidR="00B52D66" w:rsidP="00FC2172" w:rsidRDefault="00B52D66" w14:paraId="11C35D5A" w14:textId="77777777">
            <w:pPr>
              <w:spacing w:line="240" w:lineRule="auto"/>
              <w:jc w:val="center"/>
              <w:rPr>
                <w:rFonts w:cs="Arial"/>
                <w:szCs w:val="18"/>
                <w:lang w:eastAsia="en-GB"/>
              </w:rPr>
            </w:pPr>
            <w:r w:rsidRPr="00B52D66">
              <w:rPr>
                <w:rFonts w:cs="Arial"/>
                <w:szCs w:val="18"/>
                <w:lang w:eastAsia="en-GB"/>
              </w:rPr>
              <w:t>totaal aantal examens afgelegd in technische keuzevakken</w:t>
            </w:r>
          </w:p>
        </w:tc>
        <w:tc>
          <w:tcPr>
            <w:tcW w:w="510" w:type="pct"/>
            <w:tcBorders>
              <w:top w:val="nil"/>
              <w:left w:val="nil"/>
              <w:bottom w:val="single" w:color="auto" w:sz="4" w:space="0"/>
              <w:right w:val="nil"/>
            </w:tcBorders>
            <w:vAlign w:val="bottom"/>
            <w:hideMark/>
          </w:tcPr>
          <w:p w:rsidRPr="00B52D66" w:rsidR="00B52D66" w:rsidP="00FC2172" w:rsidRDefault="00B52D66" w14:paraId="0EE0FE0B" w14:textId="77777777">
            <w:pPr>
              <w:spacing w:line="240" w:lineRule="auto"/>
              <w:jc w:val="center"/>
              <w:rPr>
                <w:rFonts w:cs="Arial"/>
                <w:szCs w:val="18"/>
                <w:lang w:val="en-GB" w:eastAsia="en-GB"/>
              </w:rPr>
            </w:pPr>
            <w:r w:rsidRPr="00B52D66">
              <w:rPr>
                <w:rFonts w:cs="Arial"/>
                <w:szCs w:val="18"/>
                <w:lang w:val="en-GB" w:eastAsia="en-GB"/>
              </w:rPr>
              <w:t>aandeel niet-techniek-leerlingen</w:t>
            </w:r>
          </w:p>
        </w:tc>
        <w:tc>
          <w:tcPr>
            <w:tcW w:w="649" w:type="pct"/>
            <w:tcBorders>
              <w:top w:val="nil"/>
              <w:left w:val="nil"/>
              <w:bottom w:val="single" w:color="auto" w:sz="4" w:space="0"/>
              <w:right w:val="nil"/>
            </w:tcBorders>
            <w:vAlign w:val="bottom"/>
            <w:hideMark/>
          </w:tcPr>
          <w:p w:rsidRPr="00B52D66" w:rsidR="00B52D66" w:rsidP="00FC2172" w:rsidRDefault="00B52D66" w14:paraId="687EB63F" w14:textId="77777777">
            <w:pPr>
              <w:spacing w:line="240" w:lineRule="auto"/>
              <w:jc w:val="center"/>
              <w:rPr>
                <w:rFonts w:cs="Arial"/>
                <w:szCs w:val="18"/>
                <w:lang w:eastAsia="en-GB"/>
              </w:rPr>
            </w:pPr>
            <w:r w:rsidRPr="00B52D66">
              <w:rPr>
                <w:rFonts w:cs="Arial"/>
                <w:szCs w:val="18"/>
                <w:lang w:eastAsia="en-GB"/>
              </w:rPr>
              <w:t>totaal aantal examens afgelegd in technische keuzevakken</w:t>
            </w:r>
          </w:p>
        </w:tc>
        <w:tc>
          <w:tcPr>
            <w:tcW w:w="510" w:type="pct"/>
            <w:tcBorders>
              <w:top w:val="nil"/>
              <w:left w:val="nil"/>
              <w:bottom w:val="single" w:color="auto" w:sz="4" w:space="0"/>
              <w:right w:val="nil"/>
            </w:tcBorders>
            <w:vAlign w:val="bottom"/>
            <w:hideMark/>
          </w:tcPr>
          <w:p w:rsidRPr="00B52D66" w:rsidR="00B52D66" w:rsidP="00FC2172" w:rsidRDefault="00B52D66" w14:paraId="60228F50" w14:textId="77777777">
            <w:pPr>
              <w:spacing w:line="240" w:lineRule="auto"/>
              <w:jc w:val="center"/>
              <w:rPr>
                <w:rFonts w:cs="Arial"/>
                <w:szCs w:val="18"/>
                <w:lang w:val="en-GB" w:eastAsia="en-GB"/>
              </w:rPr>
            </w:pPr>
            <w:r w:rsidRPr="00B52D66">
              <w:rPr>
                <w:rFonts w:cs="Arial"/>
                <w:szCs w:val="18"/>
                <w:lang w:val="en-GB" w:eastAsia="en-GB"/>
              </w:rPr>
              <w:t>aandeel niet-techniek-leerlingen</w:t>
            </w:r>
          </w:p>
        </w:tc>
      </w:tr>
      <w:tr w:rsidRPr="00B52D66" w:rsidR="00B52D66" w:rsidTr="00283B39" w14:paraId="0E2FF2ED" w14:textId="77777777">
        <w:trPr>
          <w:trHeight w:val="230"/>
        </w:trPr>
        <w:tc>
          <w:tcPr>
            <w:tcW w:w="455" w:type="pct"/>
            <w:tcBorders>
              <w:top w:val="nil"/>
              <w:left w:val="nil"/>
              <w:bottom w:val="nil"/>
              <w:right w:val="nil"/>
            </w:tcBorders>
            <w:noWrap/>
            <w:vAlign w:val="bottom"/>
            <w:hideMark/>
          </w:tcPr>
          <w:p w:rsidRPr="00B52D66" w:rsidR="00B52D66" w:rsidP="00FC2172" w:rsidRDefault="00B52D66" w14:paraId="54971E9A" w14:textId="77777777">
            <w:pPr>
              <w:spacing w:line="240" w:lineRule="auto"/>
              <w:rPr>
                <w:rFonts w:cs="Arial"/>
                <w:szCs w:val="18"/>
                <w:lang w:val="en-GB" w:eastAsia="en-GB"/>
              </w:rPr>
            </w:pPr>
            <w:r w:rsidRPr="00B52D66">
              <w:rPr>
                <w:rFonts w:cs="Arial"/>
                <w:szCs w:val="18"/>
                <w:lang w:val="en-GB" w:eastAsia="en-GB"/>
              </w:rPr>
              <w:t>BWI</w:t>
            </w:r>
          </w:p>
        </w:tc>
        <w:tc>
          <w:tcPr>
            <w:tcW w:w="560" w:type="pct"/>
            <w:tcBorders>
              <w:top w:val="nil"/>
              <w:left w:val="nil"/>
              <w:bottom w:val="nil"/>
              <w:right w:val="nil"/>
            </w:tcBorders>
            <w:noWrap/>
            <w:vAlign w:val="bottom"/>
            <w:hideMark/>
          </w:tcPr>
          <w:p w:rsidRPr="00B52D66" w:rsidR="00B52D66" w:rsidP="00FC2172" w:rsidRDefault="00B52D66" w14:paraId="447DEFA8" w14:textId="77777777">
            <w:pPr>
              <w:spacing w:line="240" w:lineRule="auto"/>
              <w:rPr>
                <w:rFonts w:cs="Arial"/>
                <w:szCs w:val="18"/>
                <w:lang w:val="en-GB" w:eastAsia="en-GB"/>
              </w:rPr>
            </w:pPr>
            <w:r w:rsidRPr="00B52D66">
              <w:rPr>
                <w:rFonts w:cs="Arial"/>
                <w:szCs w:val="18"/>
                <w:lang w:val="en-GB" w:eastAsia="en-GB"/>
              </w:rPr>
              <w:t xml:space="preserve">          14.874 </w:t>
            </w:r>
          </w:p>
        </w:tc>
        <w:tc>
          <w:tcPr>
            <w:tcW w:w="510" w:type="pct"/>
            <w:tcBorders>
              <w:top w:val="nil"/>
              <w:left w:val="nil"/>
              <w:bottom w:val="nil"/>
              <w:right w:val="nil"/>
            </w:tcBorders>
            <w:noWrap/>
            <w:vAlign w:val="bottom"/>
            <w:hideMark/>
          </w:tcPr>
          <w:p w:rsidRPr="00B52D66" w:rsidR="00B52D66" w:rsidP="00FC2172" w:rsidRDefault="00B52D66" w14:paraId="2E5FE795" w14:textId="77777777">
            <w:pPr>
              <w:spacing w:line="240" w:lineRule="auto"/>
              <w:jc w:val="center"/>
              <w:rPr>
                <w:rFonts w:cs="Arial"/>
                <w:szCs w:val="18"/>
                <w:lang w:val="en-GB" w:eastAsia="en-GB"/>
              </w:rPr>
            </w:pPr>
            <w:r w:rsidRPr="00B52D66">
              <w:rPr>
                <w:rFonts w:cs="Arial"/>
                <w:szCs w:val="18"/>
                <w:lang w:val="en-GB" w:eastAsia="en-GB"/>
              </w:rPr>
              <w:t>22,6</w:t>
            </w:r>
          </w:p>
        </w:tc>
        <w:tc>
          <w:tcPr>
            <w:tcW w:w="649" w:type="pct"/>
            <w:tcBorders>
              <w:top w:val="nil"/>
              <w:left w:val="nil"/>
              <w:bottom w:val="nil"/>
              <w:right w:val="nil"/>
            </w:tcBorders>
            <w:noWrap/>
            <w:vAlign w:val="bottom"/>
            <w:hideMark/>
          </w:tcPr>
          <w:p w:rsidRPr="00B52D66" w:rsidR="00B52D66" w:rsidP="00FC2172" w:rsidRDefault="00B52D66" w14:paraId="30441A05" w14:textId="77777777">
            <w:pPr>
              <w:spacing w:line="240" w:lineRule="auto"/>
              <w:rPr>
                <w:rFonts w:cs="Arial"/>
                <w:szCs w:val="18"/>
                <w:lang w:val="en-GB" w:eastAsia="en-GB"/>
              </w:rPr>
            </w:pPr>
            <w:r w:rsidRPr="00B52D66">
              <w:rPr>
                <w:rFonts w:cs="Arial"/>
                <w:szCs w:val="18"/>
                <w:lang w:val="en-GB" w:eastAsia="en-GB"/>
              </w:rPr>
              <w:t xml:space="preserve">          14.701 </w:t>
            </w:r>
          </w:p>
        </w:tc>
        <w:tc>
          <w:tcPr>
            <w:tcW w:w="510" w:type="pct"/>
            <w:tcBorders>
              <w:top w:val="nil"/>
              <w:left w:val="nil"/>
              <w:bottom w:val="nil"/>
              <w:right w:val="nil"/>
            </w:tcBorders>
            <w:noWrap/>
            <w:vAlign w:val="bottom"/>
            <w:hideMark/>
          </w:tcPr>
          <w:p w:rsidRPr="00B52D66" w:rsidR="00B52D66" w:rsidP="00FC2172" w:rsidRDefault="00B52D66" w14:paraId="3FA6F1F5" w14:textId="77777777">
            <w:pPr>
              <w:spacing w:line="240" w:lineRule="auto"/>
              <w:jc w:val="center"/>
              <w:rPr>
                <w:rFonts w:cs="Arial"/>
                <w:szCs w:val="18"/>
                <w:lang w:val="en-GB" w:eastAsia="en-GB"/>
              </w:rPr>
            </w:pPr>
            <w:r w:rsidRPr="00B52D66">
              <w:rPr>
                <w:rFonts w:cs="Arial"/>
                <w:szCs w:val="18"/>
                <w:lang w:val="en-GB" w:eastAsia="en-GB"/>
              </w:rPr>
              <w:t>22,0</w:t>
            </w:r>
          </w:p>
        </w:tc>
        <w:tc>
          <w:tcPr>
            <w:tcW w:w="649" w:type="pct"/>
            <w:tcBorders>
              <w:top w:val="nil"/>
              <w:left w:val="nil"/>
              <w:bottom w:val="nil"/>
              <w:right w:val="nil"/>
            </w:tcBorders>
            <w:noWrap/>
            <w:vAlign w:val="bottom"/>
            <w:hideMark/>
          </w:tcPr>
          <w:p w:rsidRPr="00B52D66" w:rsidR="00B52D66" w:rsidP="00FC2172" w:rsidRDefault="00B52D66" w14:paraId="029D0A11" w14:textId="77777777">
            <w:pPr>
              <w:spacing w:line="240" w:lineRule="auto"/>
              <w:rPr>
                <w:rFonts w:cs="Arial"/>
                <w:szCs w:val="18"/>
                <w:lang w:val="en-GB" w:eastAsia="en-GB"/>
              </w:rPr>
            </w:pPr>
            <w:r w:rsidRPr="00B52D66">
              <w:rPr>
                <w:rFonts w:cs="Arial"/>
                <w:szCs w:val="18"/>
                <w:lang w:val="en-GB" w:eastAsia="en-GB"/>
              </w:rPr>
              <w:t xml:space="preserve">          14.480 </w:t>
            </w:r>
          </w:p>
        </w:tc>
        <w:tc>
          <w:tcPr>
            <w:tcW w:w="510" w:type="pct"/>
            <w:tcBorders>
              <w:top w:val="nil"/>
              <w:left w:val="nil"/>
              <w:bottom w:val="nil"/>
              <w:right w:val="nil"/>
            </w:tcBorders>
            <w:noWrap/>
            <w:vAlign w:val="bottom"/>
            <w:hideMark/>
          </w:tcPr>
          <w:p w:rsidRPr="00B52D66" w:rsidR="00B52D66" w:rsidP="00FC2172" w:rsidRDefault="00B52D66" w14:paraId="5D97DB48" w14:textId="77777777">
            <w:pPr>
              <w:spacing w:line="240" w:lineRule="auto"/>
              <w:jc w:val="center"/>
              <w:rPr>
                <w:rFonts w:cs="Arial"/>
                <w:szCs w:val="18"/>
                <w:lang w:val="en-GB" w:eastAsia="en-GB"/>
              </w:rPr>
            </w:pPr>
            <w:r w:rsidRPr="00B52D66">
              <w:rPr>
                <w:rFonts w:cs="Arial"/>
                <w:szCs w:val="18"/>
                <w:lang w:val="en-GB" w:eastAsia="en-GB"/>
              </w:rPr>
              <w:t>21,5</w:t>
            </w:r>
          </w:p>
        </w:tc>
        <w:tc>
          <w:tcPr>
            <w:tcW w:w="649" w:type="pct"/>
            <w:tcBorders>
              <w:top w:val="nil"/>
              <w:left w:val="nil"/>
              <w:bottom w:val="nil"/>
              <w:right w:val="nil"/>
            </w:tcBorders>
            <w:noWrap/>
            <w:vAlign w:val="bottom"/>
            <w:hideMark/>
          </w:tcPr>
          <w:p w:rsidRPr="00B52D66" w:rsidR="00B52D66" w:rsidP="00FC2172" w:rsidRDefault="00B52D66" w14:paraId="25C44056" w14:textId="77777777">
            <w:pPr>
              <w:spacing w:line="240" w:lineRule="auto"/>
              <w:rPr>
                <w:rFonts w:cs="Arial"/>
                <w:szCs w:val="18"/>
                <w:lang w:val="en-GB" w:eastAsia="en-GB"/>
              </w:rPr>
            </w:pPr>
            <w:r w:rsidRPr="00B52D66">
              <w:rPr>
                <w:rFonts w:cs="Arial"/>
                <w:szCs w:val="18"/>
                <w:lang w:val="en-GB" w:eastAsia="en-GB"/>
              </w:rPr>
              <w:t xml:space="preserve">          14.191 </w:t>
            </w:r>
          </w:p>
        </w:tc>
        <w:tc>
          <w:tcPr>
            <w:tcW w:w="510" w:type="pct"/>
            <w:tcBorders>
              <w:top w:val="nil"/>
              <w:left w:val="nil"/>
              <w:bottom w:val="nil"/>
              <w:right w:val="nil"/>
            </w:tcBorders>
            <w:noWrap/>
            <w:vAlign w:val="bottom"/>
            <w:hideMark/>
          </w:tcPr>
          <w:p w:rsidRPr="00B52D66" w:rsidR="00B52D66" w:rsidP="00FC2172" w:rsidRDefault="00B52D66" w14:paraId="74E4F24A" w14:textId="77777777">
            <w:pPr>
              <w:spacing w:line="240" w:lineRule="auto"/>
              <w:jc w:val="right"/>
              <w:rPr>
                <w:rFonts w:cs="Arial"/>
                <w:szCs w:val="18"/>
                <w:lang w:val="en-GB" w:eastAsia="en-GB"/>
              </w:rPr>
            </w:pPr>
            <w:r w:rsidRPr="00B52D66">
              <w:rPr>
                <w:rFonts w:cs="Arial"/>
                <w:szCs w:val="18"/>
                <w:lang w:val="en-GB" w:eastAsia="en-GB"/>
              </w:rPr>
              <w:t>23,8</w:t>
            </w:r>
          </w:p>
        </w:tc>
      </w:tr>
      <w:tr w:rsidRPr="00B52D66" w:rsidR="00B52D66" w:rsidTr="00283B39" w14:paraId="753A81B9" w14:textId="77777777">
        <w:trPr>
          <w:trHeight w:val="230"/>
        </w:trPr>
        <w:tc>
          <w:tcPr>
            <w:tcW w:w="455" w:type="pct"/>
            <w:tcBorders>
              <w:top w:val="nil"/>
              <w:left w:val="nil"/>
              <w:bottom w:val="nil"/>
              <w:right w:val="nil"/>
            </w:tcBorders>
            <w:noWrap/>
            <w:vAlign w:val="bottom"/>
            <w:hideMark/>
          </w:tcPr>
          <w:p w:rsidRPr="00B52D66" w:rsidR="00B52D66" w:rsidP="00FC2172" w:rsidRDefault="00B52D66" w14:paraId="60873341" w14:textId="77777777">
            <w:pPr>
              <w:spacing w:line="240" w:lineRule="auto"/>
              <w:rPr>
                <w:rFonts w:cs="Arial"/>
                <w:szCs w:val="18"/>
                <w:lang w:val="en-GB" w:eastAsia="en-GB"/>
              </w:rPr>
            </w:pPr>
            <w:r w:rsidRPr="00B52D66">
              <w:rPr>
                <w:rFonts w:cs="Arial"/>
                <w:szCs w:val="18"/>
                <w:lang w:val="en-GB" w:eastAsia="en-GB"/>
              </w:rPr>
              <w:t>MaT</w:t>
            </w:r>
          </w:p>
        </w:tc>
        <w:tc>
          <w:tcPr>
            <w:tcW w:w="560" w:type="pct"/>
            <w:tcBorders>
              <w:top w:val="nil"/>
              <w:left w:val="nil"/>
              <w:bottom w:val="nil"/>
              <w:right w:val="nil"/>
            </w:tcBorders>
            <w:noWrap/>
            <w:vAlign w:val="bottom"/>
            <w:hideMark/>
          </w:tcPr>
          <w:p w:rsidRPr="00B52D66" w:rsidR="00B52D66" w:rsidP="00FC2172" w:rsidRDefault="00B52D66" w14:paraId="3DC6378E" w14:textId="77777777">
            <w:pPr>
              <w:spacing w:line="240" w:lineRule="auto"/>
              <w:rPr>
                <w:rFonts w:cs="Arial"/>
                <w:szCs w:val="18"/>
                <w:lang w:val="en-GB" w:eastAsia="en-GB"/>
              </w:rPr>
            </w:pPr>
            <w:r w:rsidRPr="00B52D66">
              <w:rPr>
                <w:rFonts w:cs="Arial"/>
                <w:szCs w:val="18"/>
                <w:lang w:val="en-GB" w:eastAsia="en-GB"/>
              </w:rPr>
              <w:t xml:space="preserve">            1.103 </w:t>
            </w:r>
          </w:p>
        </w:tc>
        <w:tc>
          <w:tcPr>
            <w:tcW w:w="510" w:type="pct"/>
            <w:tcBorders>
              <w:top w:val="nil"/>
              <w:left w:val="nil"/>
              <w:bottom w:val="nil"/>
              <w:right w:val="nil"/>
            </w:tcBorders>
            <w:noWrap/>
            <w:vAlign w:val="bottom"/>
            <w:hideMark/>
          </w:tcPr>
          <w:p w:rsidRPr="00B52D66" w:rsidR="00B52D66" w:rsidP="00FC2172" w:rsidRDefault="00B52D66" w14:paraId="784E0E7C" w14:textId="77777777">
            <w:pPr>
              <w:spacing w:line="240" w:lineRule="auto"/>
              <w:jc w:val="center"/>
              <w:rPr>
                <w:rFonts w:cs="Arial"/>
                <w:szCs w:val="18"/>
                <w:lang w:val="en-GB" w:eastAsia="en-GB"/>
              </w:rPr>
            </w:pPr>
            <w:r w:rsidRPr="00B52D66">
              <w:rPr>
                <w:rFonts w:cs="Arial"/>
                <w:szCs w:val="18"/>
                <w:lang w:val="en-GB" w:eastAsia="en-GB"/>
              </w:rPr>
              <w:t>13,6</w:t>
            </w:r>
          </w:p>
        </w:tc>
        <w:tc>
          <w:tcPr>
            <w:tcW w:w="649" w:type="pct"/>
            <w:tcBorders>
              <w:top w:val="nil"/>
              <w:left w:val="nil"/>
              <w:bottom w:val="nil"/>
              <w:right w:val="nil"/>
            </w:tcBorders>
            <w:noWrap/>
            <w:vAlign w:val="bottom"/>
            <w:hideMark/>
          </w:tcPr>
          <w:p w:rsidRPr="00B52D66" w:rsidR="00B52D66" w:rsidP="00FC2172" w:rsidRDefault="00B52D66" w14:paraId="658EAB52" w14:textId="77777777">
            <w:pPr>
              <w:spacing w:line="240" w:lineRule="auto"/>
              <w:rPr>
                <w:rFonts w:cs="Arial"/>
                <w:szCs w:val="18"/>
                <w:lang w:val="en-GB" w:eastAsia="en-GB"/>
              </w:rPr>
            </w:pPr>
            <w:r w:rsidRPr="00B52D66">
              <w:rPr>
                <w:rFonts w:cs="Arial"/>
                <w:szCs w:val="18"/>
                <w:lang w:val="en-GB" w:eastAsia="en-GB"/>
              </w:rPr>
              <w:t xml:space="preserve">               983 </w:t>
            </w:r>
          </w:p>
        </w:tc>
        <w:tc>
          <w:tcPr>
            <w:tcW w:w="510" w:type="pct"/>
            <w:tcBorders>
              <w:top w:val="nil"/>
              <w:left w:val="nil"/>
              <w:bottom w:val="nil"/>
              <w:right w:val="nil"/>
            </w:tcBorders>
            <w:noWrap/>
            <w:vAlign w:val="bottom"/>
            <w:hideMark/>
          </w:tcPr>
          <w:p w:rsidRPr="00B52D66" w:rsidR="00B52D66" w:rsidP="00FC2172" w:rsidRDefault="00B52D66" w14:paraId="2D4F67CB" w14:textId="77777777">
            <w:pPr>
              <w:spacing w:line="240" w:lineRule="auto"/>
              <w:jc w:val="center"/>
              <w:rPr>
                <w:rFonts w:cs="Arial"/>
                <w:szCs w:val="18"/>
                <w:lang w:val="en-GB" w:eastAsia="en-GB"/>
              </w:rPr>
            </w:pPr>
            <w:r w:rsidRPr="00B52D66">
              <w:rPr>
                <w:rFonts w:cs="Arial"/>
                <w:szCs w:val="18"/>
                <w:lang w:val="en-GB" w:eastAsia="en-GB"/>
              </w:rPr>
              <w:t>13,0</w:t>
            </w:r>
          </w:p>
        </w:tc>
        <w:tc>
          <w:tcPr>
            <w:tcW w:w="649" w:type="pct"/>
            <w:tcBorders>
              <w:top w:val="nil"/>
              <w:left w:val="nil"/>
              <w:bottom w:val="nil"/>
              <w:right w:val="nil"/>
            </w:tcBorders>
            <w:noWrap/>
            <w:vAlign w:val="bottom"/>
            <w:hideMark/>
          </w:tcPr>
          <w:p w:rsidRPr="00B52D66" w:rsidR="00B52D66" w:rsidP="00FC2172" w:rsidRDefault="00B52D66" w14:paraId="5A4DAC03" w14:textId="77777777">
            <w:pPr>
              <w:spacing w:line="240" w:lineRule="auto"/>
              <w:rPr>
                <w:rFonts w:cs="Arial"/>
                <w:szCs w:val="18"/>
                <w:lang w:val="en-GB" w:eastAsia="en-GB"/>
              </w:rPr>
            </w:pPr>
            <w:r w:rsidRPr="00B52D66">
              <w:rPr>
                <w:rFonts w:cs="Arial"/>
                <w:szCs w:val="18"/>
                <w:lang w:val="en-GB" w:eastAsia="en-GB"/>
              </w:rPr>
              <w:t xml:space="preserve">               982 </w:t>
            </w:r>
          </w:p>
        </w:tc>
        <w:tc>
          <w:tcPr>
            <w:tcW w:w="510" w:type="pct"/>
            <w:tcBorders>
              <w:top w:val="nil"/>
              <w:left w:val="nil"/>
              <w:bottom w:val="nil"/>
              <w:right w:val="nil"/>
            </w:tcBorders>
            <w:noWrap/>
            <w:vAlign w:val="bottom"/>
            <w:hideMark/>
          </w:tcPr>
          <w:p w:rsidRPr="00B52D66" w:rsidR="00B52D66" w:rsidP="00FC2172" w:rsidRDefault="00B52D66" w14:paraId="70CCE40D" w14:textId="77777777">
            <w:pPr>
              <w:spacing w:line="240" w:lineRule="auto"/>
              <w:jc w:val="center"/>
              <w:rPr>
                <w:rFonts w:cs="Arial"/>
                <w:szCs w:val="18"/>
                <w:lang w:val="en-GB" w:eastAsia="en-GB"/>
              </w:rPr>
            </w:pPr>
            <w:r w:rsidRPr="00B52D66">
              <w:rPr>
                <w:rFonts w:cs="Arial"/>
                <w:szCs w:val="18"/>
                <w:lang w:val="en-GB" w:eastAsia="en-GB"/>
              </w:rPr>
              <w:t>9,1</w:t>
            </w:r>
          </w:p>
        </w:tc>
        <w:tc>
          <w:tcPr>
            <w:tcW w:w="649" w:type="pct"/>
            <w:tcBorders>
              <w:top w:val="nil"/>
              <w:left w:val="nil"/>
              <w:bottom w:val="nil"/>
              <w:right w:val="nil"/>
            </w:tcBorders>
            <w:noWrap/>
            <w:vAlign w:val="bottom"/>
            <w:hideMark/>
          </w:tcPr>
          <w:p w:rsidRPr="00B52D66" w:rsidR="00B52D66" w:rsidP="00FC2172" w:rsidRDefault="00B52D66" w14:paraId="7F55B550" w14:textId="77777777">
            <w:pPr>
              <w:spacing w:line="240" w:lineRule="auto"/>
              <w:rPr>
                <w:rFonts w:cs="Arial"/>
                <w:szCs w:val="18"/>
                <w:lang w:val="en-GB" w:eastAsia="en-GB"/>
              </w:rPr>
            </w:pPr>
            <w:r w:rsidRPr="00B52D66">
              <w:rPr>
                <w:rFonts w:cs="Arial"/>
                <w:szCs w:val="18"/>
                <w:lang w:val="en-GB" w:eastAsia="en-GB"/>
              </w:rPr>
              <w:t xml:space="preserve">               812 </w:t>
            </w:r>
          </w:p>
        </w:tc>
        <w:tc>
          <w:tcPr>
            <w:tcW w:w="510" w:type="pct"/>
            <w:tcBorders>
              <w:top w:val="nil"/>
              <w:left w:val="nil"/>
              <w:bottom w:val="nil"/>
              <w:right w:val="nil"/>
            </w:tcBorders>
            <w:noWrap/>
            <w:vAlign w:val="bottom"/>
            <w:hideMark/>
          </w:tcPr>
          <w:p w:rsidRPr="00B52D66" w:rsidR="00B52D66" w:rsidP="00FC2172" w:rsidRDefault="00B52D66" w14:paraId="1619C22A" w14:textId="77777777">
            <w:pPr>
              <w:spacing w:line="240" w:lineRule="auto"/>
              <w:jc w:val="right"/>
              <w:rPr>
                <w:rFonts w:cs="Arial"/>
                <w:szCs w:val="18"/>
                <w:lang w:val="en-GB" w:eastAsia="en-GB"/>
              </w:rPr>
            </w:pPr>
            <w:r w:rsidRPr="00B52D66">
              <w:rPr>
                <w:rFonts w:cs="Arial"/>
                <w:szCs w:val="18"/>
                <w:lang w:val="en-GB" w:eastAsia="en-GB"/>
              </w:rPr>
              <w:t>8,3</w:t>
            </w:r>
          </w:p>
        </w:tc>
      </w:tr>
      <w:tr w:rsidRPr="00B52D66" w:rsidR="00B52D66" w:rsidTr="00283B39" w14:paraId="0CCE4897" w14:textId="77777777">
        <w:trPr>
          <w:trHeight w:val="230"/>
        </w:trPr>
        <w:tc>
          <w:tcPr>
            <w:tcW w:w="455" w:type="pct"/>
            <w:tcBorders>
              <w:top w:val="nil"/>
              <w:left w:val="nil"/>
              <w:bottom w:val="nil"/>
              <w:right w:val="nil"/>
            </w:tcBorders>
            <w:noWrap/>
            <w:vAlign w:val="bottom"/>
            <w:hideMark/>
          </w:tcPr>
          <w:p w:rsidRPr="00B52D66" w:rsidR="00B52D66" w:rsidP="00FC2172" w:rsidRDefault="00B52D66" w14:paraId="608F8673" w14:textId="77777777">
            <w:pPr>
              <w:spacing w:line="240" w:lineRule="auto"/>
              <w:rPr>
                <w:rFonts w:cs="Arial"/>
                <w:szCs w:val="18"/>
                <w:lang w:val="en-GB" w:eastAsia="en-GB"/>
              </w:rPr>
            </w:pPr>
            <w:r w:rsidRPr="00B52D66">
              <w:rPr>
                <w:rFonts w:cs="Arial"/>
                <w:szCs w:val="18"/>
                <w:lang w:val="en-GB" w:eastAsia="en-GB"/>
              </w:rPr>
              <w:t>MVI</w:t>
            </w:r>
          </w:p>
        </w:tc>
        <w:tc>
          <w:tcPr>
            <w:tcW w:w="560" w:type="pct"/>
            <w:tcBorders>
              <w:top w:val="nil"/>
              <w:left w:val="nil"/>
              <w:bottom w:val="nil"/>
              <w:right w:val="nil"/>
            </w:tcBorders>
            <w:noWrap/>
            <w:vAlign w:val="bottom"/>
            <w:hideMark/>
          </w:tcPr>
          <w:p w:rsidRPr="00B52D66" w:rsidR="00B52D66" w:rsidP="00FC2172" w:rsidRDefault="00B52D66" w14:paraId="7D25C782" w14:textId="77777777">
            <w:pPr>
              <w:spacing w:line="240" w:lineRule="auto"/>
              <w:rPr>
                <w:rFonts w:cs="Arial"/>
                <w:szCs w:val="18"/>
                <w:lang w:val="en-GB" w:eastAsia="en-GB"/>
              </w:rPr>
            </w:pPr>
            <w:r w:rsidRPr="00B52D66">
              <w:rPr>
                <w:rFonts w:cs="Arial"/>
                <w:szCs w:val="18"/>
                <w:lang w:val="en-GB" w:eastAsia="en-GB"/>
              </w:rPr>
              <w:t xml:space="preserve">          12.272 </w:t>
            </w:r>
          </w:p>
        </w:tc>
        <w:tc>
          <w:tcPr>
            <w:tcW w:w="510" w:type="pct"/>
            <w:tcBorders>
              <w:top w:val="nil"/>
              <w:left w:val="nil"/>
              <w:bottom w:val="nil"/>
              <w:right w:val="nil"/>
            </w:tcBorders>
            <w:noWrap/>
            <w:vAlign w:val="bottom"/>
            <w:hideMark/>
          </w:tcPr>
          <w:p w:rsidRPr="00B52D66" w:rsidR="00B52D66" w:rsidP="00FC2172" w:rsidRDefault="00B52D66" w14:paraId="2D63CF59" w14:textId="77777777">
            <w:pPr>
              <w:spacing w:line="240" w:lineRule="auto"/>
              <w:jc w:val="center"/>
              <w:rPr>
                <w:rFonts w:cs="Arial"/>
                <w:szCs w:val="18"/>
                <w:lang w:val="en-GB" w:eastAsia="en-GB"/>
              </w:rPr>
            </w:pPr>
            <w:r w:rsidRPr="00B52D66">
              <w:rPr>
                <w:rFonts w:cs="Arial"/>
                <w:szCs w:val="18"/>
                <w:lang w:val="en-GB" w:eastAsia="en-GB"/>
              </w:rPr>
              <w:t>60,5</w:t>
            </w:r>
          </w:p>
        </w:tc>
        <w:tc>
          <w:tcPr>
            <w:tcW w:w="649" w:type="pct"/>
            <w:tcBorders>
              <w:top w:val="nil"/>
              <w:left w:val="nil"/>
              <w:bottom w:val="nil"/>
              <w:right w:val="nil"/>
            </w:tcBorders>
            <w:noWrap/>
            <w:vAlign w:val="bottom"/>
            <w:hideMark/>
          </w:tcPr>
          <w:p w:rsidRPr="00B52D66" w:rsidR="00B52D66" w:rsidP="00FC2172" w:rsidRDefault="00B52D66" w14:paraId="69164C64" w14:textId="77777777">
            <w:pPr>
              <w:spacing w:line="240" w:lineRule="auto"/>
              <w:rPr>
                <w:rFonts w:cs="Arial"/>
                <w:szCs w:val="18"/>
                <w:lang w:val="en-GB" w:eastAsia="en-GB"/>
              </w:rPr>
            </w:pPr>
            <w:r w:rsidRPr="00B52D66">
              <w:rPr>
                <w:rFonts w:cs="Arial"/>
                <w:szCs w:val="18"/>
                <w:lang w:val="en-GB" w:eastAsia="en-GB"/>
              </w:rPr>
              <w:t xml:space="preserve">          12.428 </w:t>
            </w:r>
          </w:p>
        </w:tc>
        <w:tc>
          <w:tcPr>
            <w:tcW w:w="510" w:type="pct"/>
            <w:tcBorders>
              <w:top w:val="nil"/>
              <w:left w:val="nil"/>
              <w:bottom w:val="nil"/>
              <w:right w:val="nil"/>
            </w:tcBorders>
            <w:noWrap/>
            <w:vAlign w:val="bottom"/>
            <w:hideMark/>
          </w:tcPr>
          <w:p w:rsidRPr="00B52D66" w:rsidR="00B52D66" w:rsidP="00FC2172" w:rsidRDefault="00B52D66" w14:paraId="177D87F9" w14:textId="77777777">
            <w:pPr>
              <w:spacing w:line="240" w:lineRule="auto"/>
              <w:jc w:val="center"/>
              <w:rPr>
                <w:rFonts w:cs="Arial"/>
                <w:szCs w:val="18"/>
                <w:lang w:val="en-GB" w:eastAsia="en-GB"/>
              </w:rPr>
            </w:pPr>
            <w:r w:rsidRPr="00B52D66">
              <w:rPr>
                <w:rFonts w:cs="Arial"/>
                <w:szCs w:val="18"/>
                <w:lang w:val="en-GB" w:eastAsia="en-GB"/>
              </w:rPr>
              <w:t>61,9</w:t>
            </w:r>
          </w:p>
        </w:tc>
        <w:tc>
          <w:tcPr>
            <w:tcW w:w="649" w:type="pct"/>
            <w:tcBorders>
              <w:top w:val="nil"/>
              <w:left w:val="nil"/>
              <w:bottom w:val="nil"/>
              <w:right w:val="nil"/>
            </w:tcBorders>
            <w:noWrap/>
            <w:vAlign w:val="bottom"/>
            <w:hideMark/>
          </w:tcPr>
          <w:p w:rsidRPr="00B52D66" w:rsidR="00B52D66" w:rsidP="00FC2172" w:rsidRDefault="00B52D66" w14:paraId="45D627A9" w14:textId="77777777">
            <w:pPr>
              <w:spacing w:line="240" w:lineRule="auto"/>
              <w:rPr>
                <w:rFonts w:cs="Arial"/>
                <w:szCs w:val="18"/>
                <w:lang w:val="en-GB" w:eastAsia="en-GB"/>
              </w:rPr>
            </w:pPr>
            <w:r w:rsidRPr="00B52D66">
              <w:rPr>
                <w:rFonts w:cs="Arial"/>
                <w:szCs w:val="18"/>
                <w:lang w:val="en-GB" w:eastAsia="en-GB"/>
              </w:rPr>
              <w:t xml:space="preserve">          12.822 </w:t>
            </w:r>
          </w:p>
        </w:tc>
        <w:tc>
          <w:tcPr>
            <w:tcW w:w="510" w:type="pct"/>
            <w:tcBorders>
              <w:top w:val="nil"/>
              <w:left w:val="nil"/>
              <w:bottom w:val="nil"/>
              <w:right w:val="nil"/>
            </w:tcBorders>
            <w:noWrap/>
            <w:vAlign w:val="bottom"/>
            <w:hideMark/>
          </w:tcPr>
          <w:p w:rsidRPr="00B52D66" w:rsidR="00B52D66" w:rsidP="00FC2172" w:rsidRDefault="00B52D66" w14:paraId="43BC4DD2" w14:textId="77777777">
            <w:pPr>
              <w:spacing w:line="240" w:lineRule="auto"/>
              <w:jc w:val="center"/>
              <w:rPr>
                <w:rFonts w:cs="Arial"/>
                <w:szCs w:val="18"/>
                <w:lang w:val="en-GB" w:eastAsia="en-GB"/>
              </w:rPr>
            </w:pPr>
            <w:r w:rsidRPr="00B52D66">
              <w:rPr>
                <w:rFonts w:cs="Arial"/>
                <w:szCs w:val="18"/>
                <w:lang w:val="en-GB" w:eastAsia="en-GB"/>
              </w:rPr>
              <w:t>64,3</w:t>
            </w:r>
          </w:p>
        </w:tc>
        <w:tc>
          <w:tcPr>
            <w:tcW w:w="649" w:type="pct"/>
            <w:tcBorders>
              <w:top w:val="nil"/>
              <w:left w:val="nil"/>
              <w:bottom w:val="nil"/>
              <w:right w:val="nil"/>
            </w:tcBorders>
            <w:noWrap/>
            <w:vAlign w:val="bottom"/>
            <w:hideMark/>
          </w:tcPr>
          <w:p w:rsidRPr="00B52D66" w:rsidR="00B52D66" w:rsidP="00FC2172" w:rsidRDefault="00B52D66" w14:paraId="2A023972" w14:textId="77777777">
            <w:pPr>
              <w:spacing w:line="240" w:lineRule="auto"/>
              <w:rPr>
                <w:rFonts w:cs="Arial"/>
                <w:szCs w:val="18"/>
                <w:lang w:val="en-GB" w:eastAsia="en-GB"/>
              </w:rPr>
            </w:pPr>
            <w:r w:rsidRPr="00B52D66">
              <w:rPr>
                <w:rFonts w:cs="Arial"/>
                <w:szCs w:val="18"/>
                <w:lang w:val="en-GB" w:eastAsia="en-GB"/>
              </w:rPr>
              <w:t xml:space="preserve">          12.446 </w:t>
            </w:r>
          </w:p>
        </w:tc>
        <w:tc>
          <w:tcPr>
            <w:tcW w:w="510" w:type="pct"/>
            <w:tcBorders>
              <w:top w:val="nil"/>
              <w:left w:val="nil"/>
              <w:bottom w:val="nil"/>
              <w:right w:val="nil"/>
            </w:tcBorders>
            <w:noWrap/>
            <w:vAlign w:val="bottom"/>
            <w:hideMark/>
          </w:tcPr>
          <w:p w:rsidRPr="00B52D66" w:rsidR="00B52D66" w:rsidP="00FC2172" w:rsidRDefault="00B52D66" w14:paraId="3262A12F" w14:textId="77777777">
            <w:pPr>
              <w:spacing w:line="240" w:lineRule="auto"/>
              <w:jc w:val="right"/>
              <w:rPr>
                <w:rFonts w:cs="Arial"/>
                <w:szCs w:val="18"/>
                <w:lang w:val="en-GB" w:eastAsia="en-GB"/>
              </w:rPr>
            </w:pPr>
            <w:r w:rsidRPr="00B52D66">
              <w:rPr>
                <w:rFonts w:cs="Arial"/>
                <w:szCs w:val="18"/>
                <w:lang w:val="en-GB" w:eastAsia="en-GB"/>
              </w:rPr>
              <w:t>63,2</w:t>
            </w:r>
          </w:p>
        </w:tc>
      </w:tr>
      <w:tr w:rsidRPr="00B52D66" w:rsidR="00B52D66" w:rsidTr="00283B39" w14:paraId="012AE853" w14:textId="77777777">
        <w:trPr>
          <w:trHeight w:val="230"/>
        </w:trPr>
        <w:tc>
          <w:tcPr>
            <w:tcW w:w="455" w:type="pct"/>
            <w:tcBorders>
              <w:top w:val="nil"/>
              <w:left w:val="nil"/>
              <w:bottom w:val="nil"/>
              <w:right w:val="nil"/>
            </w:tcBorders>
            <w:noWrap/>
            <w:vAlign w:val="bottom"/>
            <w:hideMark/>
          </w:tcPr>
          <w:p w:rsidRPr="00B52D66" w:rsidR="00B52D66" w:rsidP="00FC2172" w:rsidRDefault="00B52D66" w14:paraId="60C38B64" w14:textId="77777777">
            <w:pPr>
              <w:spacing w:line="240" w:lineRule="auto"/>
              <w:rPr>
                <w:rFonts w:cs="Arial"/>
                <w:szCs w:val="18"/>
                <w:lang w:val="en-GB" w:eastAsia="en-GB"/>
              </w:rPr>
            </w:pPr>
            <w:r w:rsidRPr="00B52D66">
              <w:rPr>
                <w:rFonts w:cs="Arial"/>
                <w:szCs w:val="18"/>
                <w:lang w:val="en-GB" w:eastAsia="en-GB"/>
              </w:rPr>
              <w:t>M&amp;T</w:t>
            </w:r>
          </w:p>
        </w:tc>
        <w:tc>
          <w:tcPr>
            <w:tcW w:w="560" w:type="pct"/>
            <w:tcBorders>
              <w:top w:val="nil"/>
              <w:left w:val="nil"/>
              <w:bottom w:val="nil"/>
              <w:right w:val="nil"/>
            </w:tcBorders>
            <w:noWrap/>
            <w:vAlign w:val="bottom"/>
            <w:hideMark/>
          </w:tcPr>
          <w:p w:rsidRPr="00B52D66" w:rsidR="00B52D66" w:rsidP="00FC2172" w:rsidRDefault="00B52D66" w14:paraId="48C7608E" w14:textId="77777777">
            <w:pPr>
              <w:spacing w:line="240" w:lineRule="auto"/>
              <w:rPr>
                <w:rFonts w:cs="Arial"/>
                <w:szCs w:val="18"/>
                <w:lang w:val="en-GB" w:eastAsia="en-GB"/>
              </w:rPr>
            </w:pPr>
            <w:r w:rsidRPr="00B52D66">
              <w:rPr>
                <w:rFonts w:cs="Arial"/>
                <w:szCs w:val="18"/>
                <w:lang w:val="en-GB" w:eastAsia="en-GB"/>
              </w:rPr>
              <w:t xml:space="preserve">            6.622 </w:t>
            </w:r>
          </w:p>
        </w:tc>
        <w:tc>
          <w:tcPr>
            <w:tcW w:w="510" w:type="pct"/>
            <w:tcBorders>
              <w:top w:val="nil"/>
              <w:left w:val="nil"/>
              <w:bottom w:val="nil"/>
              <w:right w:val="nil"/>
            </w:tcBorders>
            <w:noWrap/>
            <w:vAlign w:val="bottom"/>
            <w:hideMark/>
          </w:tcPr>
          <w:p w:rsidRPr="00B52D66" w:rsidR="00B52D66" w:rsidP="00FC2172" w:rsidRDefault="00B52D66" w14:paraId="23D010A3" w14:textId="77777777">
            <w:pPr>
              <w:spacing w:line="240" w:lineRule="auto"/>
              <w:jc w:val="center"/>
              <w:rPr>
                <w:rFonts w:cs="Arial"/>
                <w:szCs w:val="18"/>
                <w:lang w:val="en-GB" w:eastAsia="en-GB"/>
              </w:rPr>
            </w:pPr>
            <w:r w:rsidRPr="00B52D66">
              <w:rPr>
                <w:rFonts w:cs="Arial"/>
                <w:szCs w:val="18"/>
                <w:lang w:val="en-GB" w:eastAsia="en-GB"/>
              </w:rPr>
              <w:t>18,0</w:t>
            </w:r>
          </w:p>
        </w:tc>
        <w:tc>
          <w:tcPr>
            <w:tcW w:w="649" w:type="pct"/>
            <w:tcBorders>
              <w:top w:val="nil"/>
              <w:left w:val="nil"/>
              <w:bottom w:val="nil"/>
              <w:right w:val="nil"/>
            </w:tcBorders>
            <w:noWrap/>
            <w:vAlign w:val="bottom"/>
            <w:hideMark/>
          </w:tcPr>
          <w:p w:rsidRPr="00B52D66" w:rsidR="00B52D66" w:rsidP="00FC2172" w:rsidRDefault="00B52D66" w14:paraId="001B0A05" w14:textId="77777777">
            <w:pPr>
              <w:spacing w:line="240" w:lineRule="auto"/>
              <w:rPr>
                <w:rFonts w:cs="Arial"/>
                <w:szCs w:val="18"/>
                <w:lang w:val="en-GB" w:eastAsia="en-GB"/>
              </w:rPr>
            </w:pPr>
            <w:r w:rsidRPr="00B52D66">
              <w:rPr>
                <w:rFonts w:cs="Arial"/>
                <w:szCs w:val="18"/>
                <w:lang w:val="en-GB" w:eastAsia="en-GB"/>
              </w:rPr>
              <w:t xml:space="preserve">            5.926 </w:t>
            </w:r>
          </w:p>
        </w:tc>
        <w:tc>
          <w:tcPr>
            <w:tcW w:w="510" w:type="pct"/>
            <w:tcBorders>
              <w:top w:val="nil"/>
              <w:left w:val="nil"/>
              <w:bottom w:val="nil"/>
              <w:right w:val="nil"/>
            </w:tcBorders>
            <w:noWrap/>
            <w:vAlign w:val="bottom"/>
            <w:hideMark/>
          </w:tcPr>
          <w:p w:rsidRPr="00B52D66" w:rsidR="00B52D66" w:rsidP="00FC2172" w:rsidRDefault="00B52D66" w14:paraId="285C1C43" w14:textId="77777777">
            <w:pPr>
              <w:spacing w:line="240" w:lineRule="auto"/>
              <w:jc w:val="center"/>
              <w:rPr>
                <w:rFonts w:cs="Arial"/>
                <w:szCs w:val="18"/>
                <w:lang w:val="en-GB" w:eastAsia="en-GB"/>
              </w:rPr>
            </w:pPr>
            <w:r w:rsidRPr="00B52D66">
              <w:rPr>
                <w:rFonts w:cs="Arial"/>
                <w:szCs w:val="18"/>
                <w:lang w:val="en-GB" w:eastAsia="en-GB"/>
              </w:rPr>
              <w:t>15,3</w:t>
            </w:r>
          </w:p>
        </w:tc>
        <w:tc>
          <w:tcPr>
            <w:tcW w:w="649" w:type="pct"/>
            <w:tcBorders>
              <w:top w:val="nil"/>
              <w:left w:val="nil"/>
              <w:bottom w:val="nil"/>
              <w:right w:val="nil"/>
            </w:tcBorders>
            <w:noWrap/>
            <w:vAlign w:val="bottom"/>
            <w:hideMark/>
          </w:tcPr>
          <w:p w:rsidRPr="00B52D66" w:rsidR="00B52D66" w:rsidP="00FC2172" w:rsidRDefault="00B52D66" w14:paraId="70B503E4" w14:textId="77777777">
            <w:pPr>
              <w:spacing w:line="240" w:lineRule="auto"/>
              <w:rPr>
                <w:rFonts w:cs="Arial"/>
                <w:szCs w:val="18"/>
                <w:lang w:val="en-GB" w:eastAsia="en-GB"/>
              </w:rPr>
            </w:pPr>
            <w:r w:rsidRPr="00B52D66">
              <w:rPr>
                <w:rFonts w:cs="Arial"/>
                <w:szCs w:val="18"/>
                <w:lang w:val="en-GB" w:eastAsia="en-GB"/>
              </w:rPr>
              <w:t xml:space="preserve">            6.486 </w:t>
            </w:r>
          </w:p>
        </w:tc>
        <w:tc>
          <w:tcPr>
            <w:tcW w:w="510" w:type="pct"/>
            <w:tcBorders>
              <w:top w:val="nil"/>
              <w:left w:val="nil"/>
              <w:bottom w:val="nil"/>
              <w:right w:val="nil"/>
            </w:tcBorders>
            <w:noWrap/>
            <w:vAlign w:val="bottom"/>
            <w:hideMark/>
          </w:tcPr>
          <w:p w:rsidRPr="00B52D66" w:rsidR="00B52D66" w:rsidP="00FC2172" w:rsidRDefault="00B52D66" w14:paraId="6B6329FA" w14:textId="77777777">
            <w:pPr>
              <w:spacing w:line="240" w:lineRule="auto"/>
              <w:jc w:val="center"/>
              <w:rPr>
                <w:rFonts w:cs="Arial"/>
                <w:szCs w:val="18"/>
                <w:lang w:val="en-GB" w:eastAsia="en-GB"/>
              </w:rPr>
            </w:pPr>
            <w:r w:rsidRPr="00B52D66">
              <w:rPr>
                <w:rFonts w:cs="Arial"/>
                <w:szCs w:val="18"/>
                <w:lang w:val="en-GB" w:eastAsia="en-GB"/>
              </w:rPr>
              <w:t>15,8</w:t>
            </w:r>
          </w:p>
        </w:tc>
        <w:tc>
          <w:tcPr>
            <w:tcW w:w="649" w:type="pct"/>
            <w:tcBorders>
              <w:top w:val="nil"/>
              <w:left w:val="nil"/>
              <w:bottom w:val="nil"/>
              <w:right w:val="nil"/>
            </w:tcBorders>
            <w:noWrap/>
            <w:vAlign w:val="bottom"/>
            <w:hideMark/>
          </w:tcPr>
          <w:p w:rsidRPr="00B52D66" w:rsidR="00B52D66" w:rsidP="00FC2172" w:rsidRDefault="00B52D66" w14:paraId="564E483E" w14:textId="77777777">
            <w:pPr>
              <w:spacing w:line="240" w:lineRule="auto"/>
              <w:rPr>
                <w:rFonts w:cs="Arial"/>
                <w:szCs w:val="18"/>
                <w:lang w:val="en-GB" w:eastAsia="en-GB"/>
              </w:rPr>
            </w:pPr>
            <w:r w:rsidRPr="00B52D66">
              <w:rPr>
                <w:rFonts w:cs="Arial"/>
                <w:szCs w:val="18"/>
                <w:lang w:val="en-GB" w:eastAsia="en-GB"/>
              </w:rPr>
              <w:t xml:space="preserve">            5.851 </w:t>
            </w:r>
          </w:p>
        </w:tc>
        <w:tc>
          <w:tcPr>
            <w:tcW w:w="510" w:type="pct"/>
            <w:tcBorders>
              <w:top w:val="nil"/>
              <w:left w:val="nil"/>
              <w:bottom w:val="nil"/>
              <w:right w:val="nil"/>
            </w:tcBorders>
            <w:noWrap/>
            <w:vAlign w:val="bottom"/>
            <w:hideMark/>
          </w:tcPr>
          <w:p w:rsidRPr="00B52D66" w:rsidR="00B52D66" w:rsidP="00FC2172" w:rsidRDefault="00B52D66" w14:paraId="14364612" w14:textId="77777777">
            <w:pPr>
              <w:spacing w:line="240" w:lineRule="auto"/>
              <w:jc w:val="right"/>
              <w:rPr>
                <w:rFonts w:cs="Arial"/>
                <w:szCs w:val="18"/>
                <w:lang w:val="en-GB" w:eastAsia="en-GB"/>
              </w:rPr>
            </w:pPr>
            <w:r w:rsidRPr="00B52D66">
              <w:rPr>
                <w:rFonts w:cs="Arial"/>
                <w:szCs w:val="18"/>
                <w:lang w:val="en-GB" w:eastAsia="en-GB"/>
              </w:rPr>
              <w:t>17,2</w:t>
            </w:r>
          </w:p>
        </w:tc>
      </w:tr>
      <w:tr w:rsidRPr="00B52D66" w:rsidR="00B52D66" w:rsidTr="00283B39" w14:paraId="188D9E61" w14:textId="77777777">
        <w:trPr>
          <w:trHeight w:val="230"/>
        </w:trPr>
        <w:tc>
          <w:tcPr>
            <w:tcW w:w="455" w:type="pct"/>
            <w:tcBorders>
              <w:top w:val="nil"/>
              <w:left w:val="nil"/>
              <w:bottom w:val="nil"/>
              <w:right w:val="nil"/>
            </w:tcBorders>
            <w:noWrap/>
            <w:vAlign w:val="bottom"/>
            <w:hideMark/>
          </w:tcPr>
          <w:p w:rsidRPr="00B52D66" w:rsidR="00B52D66" w:rsidP="00FC2172" w:rsidRDefault="00B52D66" w14:paraId="661F6C13" w14:textId="77777777">
            <w:pPr>
              <w:spacing w:line="240" w:lineRule="auto"/>
              <w:rPr>
                <w:rFonts w:cs="Arial"/>
                <w:szCs w:val="18"/>
                <w:lang w:val="en-GB" w:eastAsia="en-GB"/>
              </w:rPr>
            </w:pPr>
            <w:r w:rsidRPr="00B52D66">
              <w:rPr>
                <w:rFonts w:cs="Arial"/>
                <w:szCs w:val="18"/>
                <w:lang w:val="en-GB" w:eastAsia="en-GB"/>
              </w:rPr>
              <w:t>PIE</w:t>
            </w:r>
          </w:p>
        </w:tc>
        <w:tc>
          <w:tcPr>
            <w:tcW w:w="560" w:type="pct"/>
            <w:tcBorders>
              <w:top w:val="nil"/>
              <w:left w:val="nil"/>
              <w:bottom w:val="nil"/>
              <w:right w:val="nil"/>
            </w:tcBorders>
            <w:noWrap/>
            <w:vAlign w:val="bottom"/>
            <w:hideMark/>
          </w:tcPr>
          <w:p w:rsidRPr="00B52D66" w:rsidR="00B52D66" w:rsidP="00FC2172" w:rsidRDefault="00B52D66" w14:paraId="5E821062" w14:textId="77777777">
            <w:pPr>
              <w:spacing w:line="240" w:lineRule="auto"/>
              <w:rPr>
                <w:rFonts w:cs="Arial"/>
                <w:szCs w:val="18"/>
                <w:lang w:val="en-GB" w:eastAsia="en-GB"/>
              </w:rPr>
            </w:pPr>
            <w:r w:rsidRPr="00B52D66">
              <w:rPr>
                <w:rFonts w:cs="Arial"/>
                <w:szCs w:val="18"/>
                <w:lang w:val="en-GB" w:eastAsia="en-GB"/>
              </w:rPr>
              <w:t xml:space="preserve">          19.020 </w:t>
            </w:r>
          </w:p>
        </w:tc>
        <w:tc>
          <w:tcPr>
            <w:tcW w:w="510" w:type="pct"/>
            <w:tcBorders>
              <w:top w:val="nil"/>
              <w:left w:val="nil"/>
              <w:bottom w:val="nil"/>
              <w:right w:val="nil"/>
            </w:tcBorders>
            <w:noWrap/>
            <w:vAlign w:val="bottom"/>
            <w:hideMark/>
          </w:tcPr>
          <w:p w:rsidRPr="00B52D66" w:rsidR="00B52D66" w:rsidP="00FC2172" w:rsidRDefault="00B52D66" w14:paraId="3EBB7218" w14:textId="77777777">
            <w:pPr>
              <w:spacing w:line="240" w:lineRule="auto"/>
              <w:jc w:val="center"/>
              <w:rPr>
                <w:rFonts w:cs="Arial"/>
                <w:szCs w:val="18"/>
                <w:lang w:val="en-GB" w:eastAsia="en-GB"/>
              </w:rPr>
            </w:pPr>
            <w:r w:rsidRPr="00B52D66">
              <w:rPr>
                <w:rFonts w:cs="Arial"/>
                <w:szCs w:val="18"/>
                <w:lang w:val="en-GB" w:eastAsia="en-GB"/>
              </w:rPr>
              <w:t>15,5</w:t>
            </w:r>
          </w:p>
        </w:tc>
        <w:tc>
          <w:tcPr>
            <w:tcW w:w="649" w:type="pct"/>
            <w:tcBorders>
              <w:top w:val="nil"/>
              <w:left w:val="nil"/>
              <w:bottom w:val="nil"/>
              <w:right w:val="nil"/>
            </w:tcBorders>
            <w:noWrap/>
            <w:vAlign w:val="bottom"/>
            <w:hideMark/>
          </w:tcPr>
          <w:p w:rsidRPr="00B52D66" w:rsidR="00B52D66" w:rsidP="00FC2172" w:rsidRDefault="00B52D66" w14:paraId="3814CB2D" w14:textId="77777777">
            <w:pPr>
              <w:spacing w:line="240" w:lineRule="auto"/>
              <w:rPr>
                <w:rFonts w:cs="Arial"/>
                <w:szCs w:val="18"/>
                <w:lang w:val="en-GB" w:eastAsia="en-GB"/>
              </w:rPr>
            </w:pPr>
            <w:r w:rsidRPr="00B52D66">
              <w:rPr>
                <w:rFonts w:cs="Arial"/>
                <w:szCs w:val="18"/>
                <w:lang w:val="en-GB" w:eastAsia="en-GB"/>
              </w:rPr>
              <w:t xml:space="preserve">          17.195 </w:t>
            </w:r>
          </w:p>
        </w:tc>
        <w:tc>
          <w:tcPr>
            <w:tcW w:w="510" w:type="pct"/>
            <w:tcBorders>
              <w:top w:val="nil"/>
              <w:left w:val="nil"/>
              <w:bottom w:val="nil"/>
              <w:right w:val="nil"/>
            </w:tcBorders>
            <w:noWrap/>
            <w:vAlign w:val="bottom"/>
            <w:hideMark/>
          </w:tcPr>
          <w:p w:rsidRPr="00B52D66" w:rsidR="00B52D66" w:rsidP="00FC2172" w:rsidRDefault="00B52D66" w14:paraId="10C349A1" w14:textId="77777777">
            <w:pPr>
              <w:spacing w:line="240" w:lineRule="auto"/>
              <w:jc w:val="center"/>
              <w:rPr>
                <w:rFonts w:cs="Arial"/>
                <w:szCs w:val="18"/>
                <w:lang w:val="en-GB" w:eastAsia="en-GB"/>
              </w:rPr>
            </w:pPr>
            <w:r w:rsidRPr="00B52D66">
              <w:rPr>
                <w:rFonts w:cs="Arial"/>
                <w:szCs w:val="18"/>
                <w:lang w:val="en-GB" w:eastAsia="en-GB"/>
              </w:rPr>
              <w:t>16,0</w:t>
            </w:r>
          </w:p>
        </w:tc>
        <w:tc>
          <w:tcPr>
            <w:tcW w:w="649" w:type="pct"/>
            <w:tcBorders>
              <w:top w:val="nil"/>
              <w:left w:val="nil"/>
              <w:bottom w:val="nil"/>
              <w:right w:val="nil"/>
            </w:tcBorders>
            <w:noWrap/>
            <w:vAlign w:val="bottom"/>
            <w:hideMark/>
          </w:tcPr>
          <w:p w:rsidRPr="00B52D66" w:rsidR="00B52D66" w:rsidP="00FC2172" w:rsidRDefault="00B52D66" w14:paraId="2EEC5585" w14:textId="77777777">
            <w:pPr>
              <w:spacing w:line="240" w:lineRule="auto"/>
              <w:rPr>
                <w:rFonts w:cs="Arial"/>
                <w:szCs w:val="18"/>
                <w:lang w:val="en-GB" w:eastAsia="en-GB"/>
              </w:rPr>
            </w:pPr>
            <w:r w:rsidRPr="00B52D66">
              <w:rPr>
                <w:rFonts w:cs="Arial"/>
                <w:szCs w:val="18"/>
                <w:lang w:val="en-GB" w:eastAsia="en-GB"/>
              </w:rPr>
              <w:t xml:space="preserve">          16.271 </w:t>
            </w:r>
          </w:p>
        </w:tc>
        <w:tc>
          <w:tcPr>
            <w:tcW w:w="510" w:type="pct"/>
            <w:tcBorders>
              <w:top w:val="nil"/>
              <w:left w:val="nil"/>
              <w:bottom w:val="nil"/>
              <w:right w:val="nil"/>
            </w:tcBorders>
            <w:noWrap/>
            <w:vAlign w:val="bottom"/>
            <w:hideMark/>
          </w:tcPr>
          <w:p w:rsidRPr="00B52D66" w:rsidR="00B52D66" w:rsidP="00FC2172" w:rsidRDefault="00B52D66" w14:paraId="3B99935A" w14:textId="77777777">
            <w:pPr>
              <w:spacing w:line="240" w:lineRule="auto"/>
              <w:jc w:val="center"/>
              <w:rPr>
                <w:rFonts w:cs="Arial"/>
                <w:szCs w:val="18"/>
                <w:lang w:val="en-GB" w:eastAsia="en-GB"/>
              </w:rPr>
            </w:pPr>
            <w:r w:rsidRPr="00B52D66">
              <w:rPr>
                <w:rFonts w:cs="Arial"/>
                <w:szCs w:val="18"/>
                <w:lang w:val="en-GB" w:eastAsia="en-GB"/>
              </w:rPr>
              <w:t>17,3</w:t>
            </w:r>
          </w:p>
        </w:tc>
        <w:tc>
          <w:tcPr>
            <w:tcW w:w="649" w:type="pct"/>
            <w:tcBorders>
              <w:top w:val="nil"/>
              <w:left w:val="nil"/>
              <w:bottom w:val="nil"/>
              <w:right w:val="nil"/>
            </w:tcBorders>
            <w:noWrap/>
            <w:vAlign w:val="bottom"/>
            <w:hideMark/>
          </w:tcPr>
          <w:p w:rsidRPr="00B52D66" w:rsidR="00B52D66" w:rsidP="00FC2172" w:rsidRDefault="00B52D66" w14:paraId="0DB6BAD7" w14:textId="77777777">
            <w:pPr>
              <w:spacing w:line="240" w:lineRule="auto"/>
              <w:rPr>
                <w:rFonts w:cs="Arial"/>
                <w:szCs w:val="18"/>
                <w:lang w:val="en-GB" w:eastAsia="en-GB"/>
              </w:rPr>
            </w:pPr>
            <w:r w:rsidRPr="00B52D66">
              <w:rPr>
                <w:rFonts w:cs="Arial"/>
                <w:szCs w:val="18"/>
                <w:lang w:val="en-GB" w:eastAsia="en-GB"/>
              </w:rPr>
              <w:t xml:space="preserve">          15.770 </w:t>
            </w:r>
          </w:p>
        </w:tc>
        <w:tc>
          <w:tcPr>
            <w:tcW w:w="510" w:type="pct"/>
            <w:tcBorders>
              <w:top w:val="nil"/>
              <w:left w:val="nil"/>
              <w:bottom w:val="nil"/>
              <w:right w:val="nil"/>
            </w:tcBorders>
            <w:noWrap/>
            <w:vAlign w:val="bottom"/>
            <w:hideMark/>
          </w:tcPr>
          <w:p w:rsidRPr="00B52D66" w:rsidR="00B52D66" w:rsidP="00FC2172" w:rsidRDefault="00B52D66" w14:paraId="362A8719" w14:textId="77777777">
            <w:pPr>
              <w:spacing w:line="240" w:lineRule="auto"/>
              <w:jc w:val="right"/>
              <w:rPr>
                <w:rFonts w:cs="Arial"/>
                <w:szCs w:val="18"/>
                <w:lang w:val="en-GB" w:eastAsia="en-GB"/>
              </w:rPr>
            </w:pPr>
            <w:r w:rsidRPr="00B52D66">
              <w:rPr>
                <w:rFonts w:cs="Arial"/>
                <w:szCs w:val="18"/>
                <w:lang w:val="en-GB" w:eastAsia="en-GB"/>
              </w:rPr>
              <w:t>18,2</w:t>
            </w:r>
          </w:p>
        </w:tc>
      </w:tr>
      <w:tr w:rsidRPr="00B52D66" w:rsidR="00B52D66" w:rsidTr="00283B39" w14:paraId="149CD02F" w14:textId="77777777">
        <w:trPr>
          <w:trHeight w:val="230"/>
        </w:trPr>
        <w:tc>
          <w:tcPr>
            <w:tcW w:w="455" w:type="pct"/>
            <w:tcBorders>
              <w:top w:val="nil"/>
              <w:left w:val="nil"/>
              <w:bottom w:val="single" w:color="auto" w:sz="4" w:space="0"/>
              <w:right w:val="nil"/>
            </w:tcBorders>
            <w:noWrap/>
            <w:vAlign w:val="bottom"/>
            <w:hideMark/>
          </w:tcPr>
          <w:p w:rsidRPr="00B52D66" w:rsidR="00B52D66" w:rsidP="00FC2172" w:rsidRDefault="00B52D66" w14:paraId="0C01AFFB" w14:textId="77777777">
            <w:pPr>
              <w:spacing w:line="240" w:lineRule="auto"/>
              <w:rPr>
                <w:rFonts w:cs="Arial"/>
                <w:szCs w:val="18"/>
                <w:lang w:val="en-GB" w:eastAsia="en-GB"/>
              </w:rPr>
            </w:pPr>
            <w:r w:rsidRPr="00B52D66">
              <w:rPr>
                <w:rFonts w:cs="Arial"/>
                <w:szCs w:val="18"/>
                <w:lang w:val="en-GB" w:eastAsia="en-GB"/>
              </w:rPr>
              <w:t>Totaal</w:t>
            </w:r>
          </w:p>
        </w:tc>
        <w:tc>
          <w:tcPr>
            <w:tcW w:w="560" w:type="pct"/>
            <w:tcBorders>
              <w:top w:val="nil"/>
              <w:left w:val="nil"/>
              <w:bottom w:val="single" w:color="auto" w:sz="4" w:space="0"/>
              <w:right w:val="nil"/>
            </w:tcBorders>
            <w:noWrap/>
            <w:vAlign w:val="bottom"/>
            <w:hideMark/>
          </w:tcPr>
          <w:p w:rsidRPr="00B52D66" w:rsidR="00B52D66" w:rsidP="00FC2172" w:rsidRDefault="00B52D66" w14:paraId="37C8E143" w14:textId="77777777">
            <w:pPr>
              <w:spacing w:line="240" w:lineRule="auto"/>
              <w:rPr>
                <w:rFonts w:cs="Arial"/>
                <w:szCs w:val="18"/>
                <w:lang w:val="en-GB" w:eastAsia="en-GB"/>
              </w:rPr>
            </w:pPr>
            <w:r w:rsidRPr="00B52D66">
              <w:rPr>
                <w:rFonts w:cs="Arial"/>
                <w:szCs w:val="18"/>
                <w:lang w:val="en-GB" w:eastAsia="en-GB"/>
              </w:rPr>
              <w:t xml:space="preserve">          53.891 </w:t>
            </w:r>
          </w:p>
        </w:tc>
        <w:tc>
          <w:tcPr>
            <w:tcW w:w="510" w:type="pct"/>
            <w:tcBorders>
              <w:top w:val="nil"/>
              <w:left w:val="nil"/>
              <w:bottom w:val="single" w:color="auto" w:sz="4" w:space="0"/>
              <w:right w:val="nil"/>
            </w:tcBorders>
            <w:noWrap/>
            <w:vAlign w:val="bottom"/>
            <w:hideMark/>
          </w:tcPr>
          <w:p w:rsidRPr="00B52D66" w:rsidR="00B52D66" w:rsidP="00FC2172" w:rsidRDefault="00B52D66" w14:paraId="3076A035" w14:textId="77777777">
            <w:pPr>
              <w:spacing w:line="240" w:lineRule="auto"/>
              <w:jc w:val="center"/>
              <w:rPr>
                <w:rFonts w:cs="Arial"/>
                <w:szCs w:val="18"/>
                <w:lang w:val="en-GB" w:eastAsia="en-GB"/>
              </w:rPr>
            </w:pPr>
            <w:r w:rsidRPr="00B52D66">
              <w:rPr>
                <w:rFonts w:cs="Arial"/>
                <w:szCs w:val="18"/>
                <w:lang w:val="en-GB" w:eastAsia="en-GB"/>
              </w:rPr>
              <w:t>28,0</w:t>
            </w:r>
          </w:p>
        </w:tc>
        <w:tc>
          <w:tcPr>
            <w:tcW w:w="649" w:type="pct"/>
            <w:tcBorders>
              <w:top w:val="nil"/>
              <w:left w:val="nil"/>
              <w:bottom w:val="single" w:color="auto" w:sz="4" w:space="0"/>
              <w:right w:val="nil"/>
            </w:tcBorders>
            <w:noWrap/>
            <w:vAlign w:val="bottom"/>
            <w:hideMark/>
          </w:tcPr>
          <w:p w:rsidRPr="00B52D66" w:rsidR="00B52D66" w:rsidP="00FC2172" w:rsidRDefault="00B52D66" w14:paraId="51ECD510" w14:textId="77777777">
            <w:pPr>
              <w:spacing w:line="240" w:lineRule="auto"/>
              <w:rPr>
                <w:rFonts w:cs="Arial"/>
                <w:szCs w:val="18"/>
                <w:lang w:val="en-GB" w:eastAsia="en-GB"/>
              </w:rPr>
            </w:pPr>
            <w:r w:rsidRPr="00B52D66">
              <w:rPr>
                <w:rFonts w:cs="Arial"/>
                <w:szCs w:val="18"/>
                <w:lang w:val="en-GB" w:eastAsia="en-GB"/>
              </w:rPr>
              <w:t xml:space="preserve">          51.233 </w:t>
            </w:r>
          </w:p>
        </w:tc>
        <w:tc>
          <w:tcPr>
            <w:tcW w:w="510" w:type="pct"/>
            <w:tcBorders>
              <w:top w:val="nil"/>
              <w:left w:val="nil"/>
              <w:bottom w:val="single" w:color="auto" w:sz="4" w:space="0"/>
              <w:right w:val="nil"/>
            </w:tcBorders>
            <w:noWrap/>
            <w:vAlign w:val="bottom"/>
            <w:hideMark/>
          </w:tcPr>
          <w:p w:rsidRPr="00B52D66" w:rsidR="00B52D66" w:rsidP="00FC2172" w:rsidRDefault="00B52D66" w14:paraId="05B6AF6B" w14:textId="77777777">
            <w:pPr>
              <w:spacing w:line="240" w:lineRule="auto"/>
              <w:jc w:val="center"/>
              <w:rPr>
                <w:rFonts w:cs="Arial"/>
                <w:szCs w:val="18"/>
                <w:lang w:val="en-GB" w:eastAsia="en-GB"/>
              </w:rPr>
            </w:pPr>
            <w:r w:rsidRPr="00B52D66">
              <w:rPr>
                <w:rFonts w:cs="Arial"/>
                <w:szCs w:val="18"/>
                <w:lang w:val="en-GB" w:eastAsia="en-GB"/>
              </w:rPr>
              <w:t>28,7</w:t>
            </w:r>
          </w:p>
        </w:tc>
        <w:tc>
          <w:tcPr>
            <w:tcW w:w="649" w:type="pct"/>
            <w:tcBorders>
              <w:top w:val="nil"/>
              <w:left w:val="nil"/>
              <w:bottom w:val="single" w:color="auto" w:sz="4" w:space="0"/>
              <w:right w:val="nil"/>
            </w:tcBorders>
            <w:noWrap/>
            <w:vAlign w:val="bottom"/>
            <w:hideMark/>
          </w:tcPr>
          <w:p w:rsidRPr="00B52D66" w:rsidR="00B52D66" w:rsidP="00FC2172" w:rsidRDefault="00B52D66" w14:paraId="4C743EDD" w14:textId="77777777">
            <w:pPr>
              <w:spacing w:line="240" w:lineRule="auto"/>
              <w:rPr>
                <w:rFonts w:cs="Arial"/>
                <w:szCs w:val="18"/>
                <w:lang w:val="en-GB" w:eastAsia="en-GB"/>
              </w:rPr>
            </w:pPr>
            <w:r w:rsidRPr="00B52D66">
              <w:rPr>
                <w:rFonts w:cs="Arial"/>
                <w:szCs w:val="18"/>
                <w:lang w:val="en-GB" w:eastAsia="en-GB"/>
              </w:rPr>
              <w:t xml:space="preserve">          51.041 </w:t>
            </w:r>
          </w:p>
        </w:tc>
        <w:tc>
          <w:tcPr>
            <w:tcW w:w="510" w:type="pct"/>
            <w:tcBorders>
              <w:top w:val="nil"/>
              <w:left w:val="nil"/>
              <w:bottom w:val="single" w:color="auto" w:sz="4" w:space="0"/>
              <w:right w:val="nil"/>
            </w:tcBorders>
            <w:noWrap/>
            <w:vAlign w:val="bottom"/>
            <w:hideMark/>
          </w:tcPr>
          <w:p w:rsidRPr="00B52D66" w:rsidR="00B52D66" w:rsidP="00FC2172" w:rsidRDefault="00B52D66" w14:paraId="229C7775" w14:textId="77777777">
            <w:pPr>
              <w:spacing w:line="240" w:lineRule="auto"/>
              <w:jc w:val="center"/>
              <w:rPr>
                <w:rFonts w:cs="Arial"/>
                <w:szCs w:val="18"/>
                <w:lang w:val="en-GB" w:eastAsia="en-GB"/>
              </w:rPr>
            </w:pPr>
            <w:r w:rsidRPr="00B52D66">
              <w:rPr>
                <w:rFonts w:cs="Arial"/>
                <w:szCs w:val="18"/>
                <w:lang w:val="en-GB" w:eastAsia="en-GB"/>
              </w:rPr>
              <w:t>29,9</w:t>
            </w:r>
          </w:p>
        </w:tc>
        <w:tc>
          <w:tcPr>
            <w:tcW w:w="649" w:type="pct"/>
            <w:tcBorders>
              <w:top w:val="nil"/>
              <w:left w:val="nil"/>
              <w:bottom w:val="single" w:color="auto" w:sz="4" w:space="0"/>
              <w:right w:val="nil"/>
            </w:tcBorders>
            <w:noWrap/>
            <w:vAlign w:val="bottom"/>
            <w:hideMark/>
          </w:tcPr>
          <w:p w:rsidRPr="00B52D66" w:rsidR="00B52D66" w:rsidP="00FC2172" w:rsidRDefault="00B52D66" w14:paraId="679F8ECE" w14:textId="77777777">
            <w:pPr>
              <w:spacing w:line="240" w:lineRule="auto"/>
              <w:rPr>
                <w:rFonts w:cs="Arial"/>
                <w:szCs w:val="18"/>
                <w:lang w:val="en-GB" w:eastAsia="en-GB"/>
              </w:rPr>
            </w:pPr>
            <w:r w:rsidRPr="00B52D66">
              <w:rPr>
                <w:rFonts w:cs="Arial"/>
                <w:szCs w:val="18"/>
                <w:lang w:val="en-GB" w:eastAsia="en-GB"/>
              </w:rPr>
              <w:t xml:space="preserve">          49.070 </w:t>
            </w:r>
          </w:p>
        </w:tc>
        <w:tc>
          <w:tcPr>
            <w:tcW w:w="510" w:type="pct"/>
            <w:tcBorders>
              <w:top w:val="nil"/>
              <w:left w:val="nil"/>
              <w:bottom w:val="single" w:color="auto" w:sz="4" w:space="0"/>
              <w:right w:val="nil"/>
            </w:tcBorders>
            <w:noWrap/>
            <w:vAlign w:val="bottom"/>
            <w:hideMark/>
          </w:tcPr>
          <w:p w:rsidRPr="00B52D66" w:rsidR="00B52D66" w:rsidP="00FC2172" w:rsidRDefault="00B52D66" w14:paraId="6F3663BA" w14:textId="77777777">
            <w:pPr>
              <w:spacing w:line="240" w:lineRule="auto"/>
              <w:jc w:val="right"/>
              <w:rPr>
                <w:rFonts w:cs="Arial"/>
                <w:szCs w:val="18"/>
                <w:lang w:val="en-GB" w:eastAsia="en-GB"/>
              </w:rPr>
            </w:pPr>
            <w:r w:rsidRPr="00B52D66">
              <w:rPr>
                <w:rFonts w:cs="Arial"/>
                <w:szCs w:val="18"/>
                <w:lang w:val="en-GB" w:eastAsia="en-GB"/>
              </w:rPr>
              <w:t>31,0</w:t>
            </w:r>
          </w:p>
        </w:tc>
      </w:tr>
    </w:tbl>
    <w:p w:rsidRPr="00B52D66" w:rsidR="00B52D66" w:rsidP="00B52D66" w:rsidRDefault="00B52D66" w14:paraId="5EEB470E" w14:textId="77777777">
      <w:pPr>
        <w:rPr>
          <w:szCs w:val="18"/>
        </w:rPr>
      </w:pPr>
      <w:r w:rsidRPr="00B52D66">
        <w:rPr>
          <w:i/>
          <w:szCs w:val="18"/>
        </w:rPr>
        <w:t>Bron: DUO (eigen bewerking ROA).</w:t>
      </w:r>
    </w:p>
    <w:p w:rsidRPr="00B52D66" w:rsidR="00B52D66" w:rsidP="00B52D66" w:rsidRDefault="00B52D66" w14:paraId="0311D5D5" w14:textId="77777777">
      <w:pPr>
        <w:spacing w:after="160" w:line="259" w:lineRule="auto"/>
        <w:rPr>
          <w:szCs w:val="18"/>
        </w:rPr>
      </w:pPr>
    </w:p>
    <w:p w:rsidRPr="00B52D66" w:rsidR="00B52D66" w:rsidP="00B52D66" w:rsidRDefault="00B52D66" w14:paraId="5E44F583" w14:textId="77777777">
      <w:pPr>
        <w:spacing w:after="160" w:line="259" w:lineRule="auto"/>
        <w:rPr>
          <w:rFonts w:eastAsiaTheme="majorEastAsia" w:cstheme="majorBidi"/>
          <w:b/>
          <w:bCs/>
          <w:color w:val="1D509A"/>
          <w:szCs w:val="18"/>
          <w:lang w:eastAsia="en-US"/>
        </w:rPr>
      </w:pPr>
      <w:r w:rsidRPr="00B52D66">
        <w:rPr>
          <w:szCs w:val="18"/>
        </w:rPr>
        <w:br w:type="page"/>
      </w:r>
    </w:p>
    <w:p w:rsidRPr="00B52D66" w:rsidR="00B52D66" w:rsidP="00C43FA5" w:rsidRDefault="00322D6C" w14:paraId="168B9815" w14:textId="5AF7FF61">
      <w:r>
        <w:lastRenderedPageBreak/>
        <w:t>Figuur</w:t>
      </w:r>
      <w:r w:rsidRPr="00B52D66">
        <w:t xml:space="preserve"> </w:t>
      </w:r>
      <w:r>
        <w:t>B</w:t>
      </w:r>
      <w:r w:rsidR="00277065">
        <w:t>3</w:t>
      </w:r>
      <w:r w:rsidRPr="00B52D66" w:rsidR="00B52D66">
        <w:t>.</w:t>
      </w:r>
      <w:r>
        <w:t>13</w:t>
      </w:r>
      <w:r w:rsidRPr="00B52D66" w:rsidR="00B52D66">
        <w:t>. Aandeel afgelegde examens in keuzevakken naar bijbehorend profiel afgelegd door leerlingen in techniek en niet-techniekprofielen: schooljaar 2019/2020 tot 2022/2023</w:t>
      </w:r>
    </w:p>
    <w:p w:rsidRPr="00B52D66" w:rsidR="00B52D66" w:rsidP="00B52D66" w:rsidRDefault="00B52D66" w14:paraId="045620EB" w14:textId="77777777">
      <w:pPr>
        <w:spacing w:after="160" w:line="259" w:lineRule="auto"/>
        <w:rPr>
          <w:rFonts w:eastAsiaTheme="minorHAnsi" w:cstheme="minorBidi"/>
          <w:b/>
          <w:bCs/>
          <w:color w:val="1D509A"/>
          <w:szCs w:val="18"/>
          <w:lang w:eastAsia="en-US"/>
        </w:rPr>
      </w:pPr>
      <w:r w:rsidRPr="00B52D66">
        <w:rPr>
          <w:rFonts w:eastAsiaTheme="minorHAnsi" w:cstheme="minorBidi"/>
          <w:b/>
          <w:bCs/>
          <w:noProof/>
          <w:color w:val="1D509A"/>
          <w:szCs w:val="18"/>
          <w:lang w:eastAsia="en-US"/>
        </w:rPr>
        <w:drawing>
          <wp:inline distT="0" distB="0" distL="0" distR="0" wp14:anchorId="796BD1D2" wp14:editId="00180A71">
            <wp:extent cx="6357697" cy="3303457"/>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77858" cy="3313933"/>
                    </a:xfrm>
                    <a:prstGeom prst="rect">
                      <a:avLst/>
                    </a:prstGeom>
                    <a:noFill/>
                  </pic:spPr>
                </pic:pic>
              </a:graphicData>
            </a:graphic>
          </wp:inline>
        </w:drawing>
      </w:r>
    </w:p>
    <w:p w:rsidRPr="00B52D66" w:rsidR="00B52D66" w:rsidP="00B52D66" w:rsidRDefault="00B52D66" w14:paraId="77398F31" w14:textId="77777777">
      <w:pPr>
        <w:rPr>
          <w:szCs w:val="18"/>
        </w:rPr>
      </w:pPr>
      <w:r w:rsidRPr="00B52D66">
        <w:rPr>
          <w:i/>
          <w:szCs w:val="18"/>
        </w:rPr>
        <w:t>Bron: DUO (eigen bewerking ROA).</w:t>
      </w:r>
    </w:p>
    <w:p w:rsidRPr="00B52D66" w:rsidR="00B52D66" w:rsidP="00B52D66" w:rsidRDefault="00B52D66" w14:paraId="76373100" w14:textId="77777777">
      <w:pPr>
        <w:spacing w:after="160" w:line="259" w:lineRule="auto"/>
        <w:rPr>
          <w:rFonts w:eastAsiaTheme="majorEastAsia" w:cstheme="majorBidi"/>
          <w:b/>
          <w:bCs/>
          <w:color w:val="1D509A"/>
          <w:szCs w:val="18"/>
          <w:lang w:eastAsia="en-US"/>
        </w:rPr>
      </w:pPr>
      <w:r w:rsidRPr="00B52D66">
        <w:rPr>
          <w:szCs w:val="18"/>
        </w:rPr>
        <w:br w:type="page"/>
      </w:r>
    </w:p>
    <w:p w:rsidRPr="00B52D66" w:rsidR="00B52D66" w:rsidP="00C43FA5" w:rsidRDefault="00322D6C" w14:paraId="3E5FC3E9" w14:textId="3DDDB4FA">
      <w:r>
        <w:lastRenderedPageBreak/>
        <w:t>Tabel</w:t>
      </w:r>
      <w:r w:rsidRPr="00B52D66">
        <w:t xml:space="preserve"> </w:t>
      </w:r>
      <w:r>
        <w:t>B</w:t>
      </w:r>
      <w:r w:rsidR="005A36F0">
        <w:t>3</w:t>
      </w:r>
      <w:r w:rsidRPr="00B52D66" w:rsidR="00B52D66">
        <w:t>.1</w:t>
      </w:r>
      <w:r>
        <w:t>8</w:t>
      </w:r>
      <w:r w:rsidRPr="00B52D66" w:rsidR="00B52D66">
        <w:t>. Vervolg na leerjaar 4, naar technische profielen: schooljaar 2019/2020 tot 2022/2023</w:t>
      </w:r>
    </w:p>
    <w:tbl>
      <w:tblPr>
        <w:tblW w:w="5000" w:type="pct"/>
        <w:tblLook w:val="04A0" w:firstRow="1" w:lastRow="0" w:firstColumn="1" w:lastColumn="0" w:noHBand="0" w:noVBand="1"/>
      </w:tblPr>
      <w:tblGrid>
        <w:gridCol w:w="267"/>
        <w:gridCol w:w="889"/>
        <w:gridCol w:w="163"/>
        <w:gridCol w:w="1387"/>
        <w:gridCol w:w="554"/>
        <w:gridCol w:w="554"/>
        <w:gridCol w:w="554"/>
        <w:gridCol w:w="554"/>
        <w:gridCol w:w="555"/>
        <w:gridCol w:w="555"/>
        <w:gridCol w:w="555"/>
        <w:gridCol w:w="555"/>
        <w:gridCol w:w="555"/>
        <w:gridCol w:w="555"/>
        <w:gridCol w:w="555"/>
        <w:gridCol w:w="553"/>
      </w:tblGrid>
      <w:tr w:rsidRPr="00B736D2" w:rsidR="00322D6C" w:rsidTr="00283B39" w14:paraId="22DDBB1A" w14:textId="77777777">
        <w:trPr>
          <w:trHeight w:val="260"/>
        </w:trPr>
        <w:tc>
          <w:tcPr>
            <w:tcW w:w="101" w:type="pct"/>
            <w:tcBorders>
              <w:top w:val="single" w:color="auto" w:sz="4" w:space="0"/>
              <w:left w:val="nil"/>
              <w:bottom w:val="nil"/>
              <w:right w:val="nil"/>
            </w:tcBorders>
            <w:noWrap/>
            <w:vAlign w:val="bottom"/>
            <w:hideMark/>
          </w:tcPr>
          <w:p w:rsidRPr="00B736D2" w:rsidR="00322D6C" w:rsidP="00FC2172" w:rsidRDefault="00322D6C" w14:paraId="7AEBA5AC" w14:textId="77777777">
            <w:pPr>
              <w:spacing w:line="240" w:lineRule="auto"/>
              <w:rPr>
                <w:rFonts w:ascii="Arial" w:hAnsi="Arial" w:cs="Arial"/>
                <w:szCs w:val="18"/>
                <w:lang w:eastAsia="en-GB"/>
              </w:rPr>
            </w:pPr>
            <w:r w:rsidRPr="00B736D2">
              <w:rPr>
                <w:rFonts w:ascii="Arial" w:hAnsi="Arial" w:cs="Arial"/>
                <w:szCs w:val="18"/>
                <w:lang w:eastAsia="en-GB"/>
              </w:rPr>
              <w:t> </w:t>
            </w:r>
          </w:p>
        </w:tc>
        <w:tc>
          <w:tcPr>
            <w:tcW w:w="590" w:type="pct"/>
            <w:gridSpan w:val="2"/>
            <w:tcBorders>
              <w:top w:val="single" w:color="auto" w:sz="4" w:space="0"/>
              <w:left w:val="nil"/>
              <w:bottom w:val="nil"/>
              <w:right w:val="nil"/>
            </w:tcBorders>
          </w:tcPr>
          <w:p w:rsidRPr="00B736D2" w:rsidR="00322D6C" w:rsidP="00FC2172" w:rsidRDefault="00322D6C" w14:paraId="2A73A583" w14:textId="77777777">
            <w:pPr>
              <w:spacing w:line="240" w:lineRule="auto"/>
              <w:rPr>
                <w:rFonts w:ascii="Arial" w:hAnsi="Arial" w:cs="Arial"/>
                <w:szCs w:val="18"/>
                <w:lang w:eastAsia="en-GB"/>
              </w:rPr>
            </w:pPr>
          </w:p>
        </w:tc>
        <w:tc>
          <w:tcPr>
            <w:tcW w:w="590" w:type="pct"/>
            <w:tcBorders>
              <w:top w:val="single" w:color="auto" w:sz="4" w:space="0"/>
              <w:left w:val="nil"/>
              <w:bottom w:val="nil"/>
              <w:right w:val="nil"/>
            </w:tcBorders>
            <w:noWrap/>
            <w:vAlign w:val="bottom"/>
            <w:hideMark/>
          </w:tcPr>
          <w:p w:rsidRPr="00B736D2" w:rsidR="00322D6C" w:rsidP="00FC2172" w:rsidRDefault="00322D6C" w14:paraId="3D3FA422" w14:textId="77777777">
            <w:pPr>
              <w:spacing w:line="240" w:lineRule="auto"/>
              <w:rPr>
                <w:rFonts w:ascii="Arial" w:hAnsi="Arial" w:cs="Arial"/>
                <w:szCs w:val="18"/>
                <w:lang w:eastAsia="en-GB"/>
              </w:rPr>
            </w:pPr>
            <w:r w:rsidRPr="00B736D2">
              <w:rPr>
                <w:rFonts w:ascii="Arial" w:hAnsi="Arial" w:cs="Arial"/>
                <w:szCs w:val="18"/>
                <w:lang w:eastAsia="en-GB"/>
              </w:rPr>
              <w:t> </w:t>
            </w:r>
          </w:p>
        </w:tc>
        <w:tc>
          <w:tcPr>
            <w:tcW w:w="930" w:type="pct"/>
            <w:gridSpan w:val="3"/>
            <w:tcBorders>
              <w:top w:val="single" w:color="auto" w:sz="4" w:space="0"/>
              <w:left w:val="nil"/>
              <w:bottom w:val="nil"/>
              <w:right w:val="nil"/>
            </w:tcBorders>
            <w:noWrap/>
            <w:vAlign w:val="bottom"/>
            <w:hideMark/>
          </w:tcPr>
          <w:p w:rsidRPr="00B736D2" w:rsidR="00322D6C" w:rsidP="00FC2172" w:rsidRDefault="00322D6C" w14:paraId="4D886E83" w14:textId="77777777">
            <w:pPr>
              <w:spacing w:line="240" w:lineRule="auto"/>
              <w:jc w:val="center"/>
              <w:rPr>
                <w:rFonts w:ascii="Arial" w:hAnsi="Arial" w:cs="Arial"/>
                <w:szCs w:val="18"/>
                <w:lang w:val="en-GB" w:eastAsia="en-GB"/>
              </w:rPr>
            </w:pPr>
            <w:r w:rsidRPr="00B736D2">
              <w:rPr>
                <w:rFonts w:ascii="Arial" w:hAnsi="Arial" w:cs="Arial"/>
                <w:szCs w:val="18"/>
                <w:lang w:val="en-GB" w:eastAsia="en-GB"/>
              </w:rPr>
              <w:t>2019/2020</w:t>
            </w:r>
          </w:p>
        </w:tc>
        <w:tc>
          <w:tcPr>
            <w:tcW w:w="930" w:type="pct"/>
            <w:gridSpan w:val="3"/>
            <w:tcBorders>
              <w:top w:val="single" w:color="auto" w:sz="4" w:space="0"/>
              <w:left w:val="nil"/>
              <w:bottom w:val="nil"/>
              <w:right w:val="nil"/>
            </w:tcBorders>
            <w:noWrap/>
            <w:vAlign w:val="bottom"/>
            <w:hideMark/>
          </w:tcPr>
          <w:p w:rsidRPr="00B736D2" w:rsidR="00322D6C" w:rsidP="00FC2172" w:rsidRDefault="00322D6C" w14:paraId="06048058" w14:textId="77777777">
            <w:pPr>
              <w:spacing w:line="240" w:lineRule="auto"/>
              <w:jc w:val="center"/>
              <w:rPr>
                <w:rFonts w:ascii="Arial" w:hAnsi="Arial" w:cs="Arial"/>
                <w:szCs w:val="18"/>
                <w:lang w:val="en-GB" w:eastAsia="en-GB"/>
              </w:rPr>
            </w:pPr>
            <w:r w:rsidRPr="00B736D2">
              <w:rPr>
                <w:rFonts w:ascii="Arial" w:hAnsi="Arial" w:cs="Arial"/>
                <w:szCs w:val="18"/>
                <w:lang w:val="en-GB" w:eastAsia="en-GB"/>
              </w:rPr>
              <w:t>2020/2021</w:t>
            </w:r>
          </w:p>
        </w:tc>
        <w:tc>
          <w:tcPr>
            <w:tcW w:w="930" w:type="pct"/>
            <w:gridSpan w:val="3"/>
            <w:tcBorders>
              <w:top w:val="single" w:color="auto" w:sz="4" w:space="0"/>
              <w:left w:val="nil"/>
              <w:bottom w:val="nil"/>
              <w:right w:val="nil"/>
            </w:tcBorders>
            <w:noWrap/>
            <w:vAlign w:val="bottom"/>
            <w:hideMark/>
          </w:tcPr>
          <w:p w:rsidRPr="00B736D2" w:rsidR="00322D6C" w:rsidP="00FC2172" w:rsidRDefault="00322D6C" w14:paraId="75BC60E5" w14:textId="77777777">
            <w:pPr>
              <w:spacing w:line="240" w:lineRule="auto"/>
              <w:jc w:val="center"/>
              <w:rPr>
                <w:rFonts w:ascii="Arial" w:hAnsi="Arial" w:cs="Arial"/>
                <w:szCs w:val="18"/>
                <w:lang w:val="en-GB" w:eastAsia="en-GB"/>
              </w:rPr>
            </w:pPr>
            <w:r w:rsidRPr="00B736D2">
              <w:rPr>
                <w:rFonts w:ascii="Arial" w:hAnsi="Arial" w:cs="Arial"/>
                <w:szCs w:val="18"/>
                <w:lang w:val="en-GB" w:eastAsia="en-GB"/>
              </w:rPr>
              <w:t>2021/2022</w:t>
            </w:r>
          </w:p>
        </w:tc>
        <w:tc>
          <w:tcPr>
            <w:tcW w:w="930" w:type="pct"/>
            <w:gridSpan w:val="3"/>
            <w:tcBorders>
              <w:top w:val="single" w:color="auto" w:sz="4" w:space="0"/>
              <w:left w:val="nil"/>
              <w:bottom w:val="nil"/>
              <w:right w:val="nil"/>
            </w:tcBorders>
            <w:noWrap/>
            <w:vAlign w:val="bottom"/>
            <w:hideMark/>
          </w:tcPr>
          <w:p w:rsidRPr="00B736D2" w:rsidR="00322D6C" w:rsidP="00FC2172" w:rsidRDefault="00322D6C" w14:paraId="56DE227B" w14:textId="77777777">
            <w:pPr>
              <w:spacing w:line="240" w:lineRule="auto"/>
              <w:jc w:val="center"/>
              <w:rPr>
                <w:rFonts w:ascii="Arial" w:hAnsi="Arial" w:cs="Arial"/>
                <w:szCs w:val="18"/>
                <w:lang w:val="en-GB" w:eastAsia="en-GB"/>
              </w:rPr>
            </w:pPr>
            <w:r w:rsidRPr="00B736D2">
              <w:rPr>
                <w:rFonts w:ascii="Arial" w:hAnsi="Arial" w:cs="Arial"/>
                <w:szCs w:val="18"/>
                <w:lang w:val="en-GB" w:eastAsia="en-GB"/>
              </w:rPr>
              <w:t>2022/2023</w:t>
            </w:r>
          </w:p>
        </w:tc>
      </w:tr>
      <w:tr w:rsidRPr="00B736D2" w:rsidR="00322D6C" w:rsidTr="00283B39" w14:paraId="58EBDB85" w14:textId="77777777">
        <w:trPr>
          <w:trHeight w:val="260"/>
        </w:trPr>
        <w:tc>
          <w:tcPr>
            <w:tcW w:w="101" w:type="pct"/>
            <w:tcBorders>
              <w:top w:val="nil"/>
              <w:left w:val="nil"/>
              <w:bottom w:val="single" w:color="auto" w:sz="4" w:space="0"/>
              <w:right w:val="nil"/>
            </w:tcBorders>
            <w:noWrap/>
            <w:vAlign w:val="bottom"/>
            <w:hideMark/>
          </w:tcPr>
          <w:p w:rsidRPr="00B736D2" w:rsidR="00322D6C" w:rsidP="00FC2172" w:rsidRDefault="00322D6C" w14:paraId="2F5F95EF"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590" w:type="pct"/>
            <w:gridSpan w:val="2"/>
            <w:tcBorders>
              <w:top w:val="nil"/>
              <w:left w:val="nil"/>
              <w:bottom w:val="single" w:color="auto" w:sz="4" w:space="0"/>
              <w:right w:val="nil"/>
            </w:tcBorders>
          </w:tcPr>
          <w:p w:rsidRPr="00B736D2" w:rsidR="00322D6C" w:rsidP="00FC2172" w:rsidRDefault="00322D6C" w14:paraId="141B1442" w14:textId="77777777">
            <w:pPr>
              <w:spacing w:line="240" w:lineRule="auto"/>
              <w:rPr>
                <w:rFonts w:ascii="Arial" w:hAnsi="Arial" w:cs="Arial"/>
                <w:szCs w:val="18"/>
                <w:lang w:val="en-GB" w:eastAsia="en-GB"/>
              </w:rPr>
            </w:pPr>
          </w:p>
        </w:tc>
        <w:tc>
          <w:tcPr>
            <w:tcW w:w="590" w:type="pct"/>
            <w:tcBorders>
              <w:top w:val="nil"/>
              <w:left w:val="nil"/>
              <w:bottom w:val="single" w:color="auto" w:sz="4" w:space="0"/>
              <w:right w:val="nil"/>
            </w:tcBorders>
            <w:noWrap/>
            <w:vAlign w:val="bottom"/>
            <w:hideMark/>
          </w:tcPr>
          <w:p w:rsidRPr="00B736D2" w:rsidR="00322D6C" w:rsidP="00FC2172" w:rsidRDefault="00322D6C" w14:paraId="0107C23A"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single" w:color="auto" w:sz="4" w:space="0"/>
              <w:right w:val="nil"/>
            </w:tcBorders>
            <w:noWrap/>
            <w:vAlign w:val="bottom"/>
            <w:hideMark/>
          </w:tcPr>
          <w:p w:rsidRPr="00B736D2" w:rsidR="00322D6C" w:rsidP="00FC2172" w:rsidRDefault="00322D6C" w14:paraId="21B2DABA" w14:textId="77777777">
            <w:pPr>
              <w:spacing w:line="240" w:lineRule="auto"/>
              <w:jc w:val="center"/>
              <w:rPr>
                <w:rFonts w:ascii="Arial" w:hAnsi="Arial" w:cs="Arial"/>
                <w:szCs w:val="18"/>
                <w:lang w:val="en-GB" w:eastAsia="en-GB"/>
              </w:rPr>
            </w:pPr>
            <w:r w:rsidRPr="00B736D2">
              <w:rPr>
                <w:rFonts w:ascii="Arial" w:hAnsi="Arial" w:cs="Arial"/>
                <w:szCs w:val="18"/>
                <w:lang w:val="en-GB" w:eastAsia="en-GB"/>
              </w:rPr>
              <w:t>bl</w:t>
            </w:r>
          </w:p>
        </w:tc>
        <w:tc>
          <w:tcPr>
            <w:tcW w:w="310" w:type="pct"/>
            <w:tcBorders>
              <w:top w:val="nil"/>
              <w:left w:val="nil"/>
              <w:bottom w:val="single" w:color="auto" w:sz="4" w:space="0"/>
              <w:right w:val="nil"/>
            </w:tcBorders>
            <w:noWrap/>
            <w:vAlign w:val="bottom"/>
            <w:hideMark/>
          </w:tcPr>
          <w:p w:rsidRPr="00B736D2" w:rsidR="00322D6C" w:rsidP="00FC2172" w:rsidRDefault="00322D6C" w14:paraId="657DD920" w14:textId="77777777">
            <w:pPr>
              <w:spacing w:line="240" w:lineRule="auto"/>
              <w:jc w:val="center"/>
              <w:rPr>
                <w:rFonts w:ascii="Arial" w:hAnsi="Arial" w:cs="Arial"/>
                <w:szCs w:val="18"/>
                <w:lang w:val="en-GB" w:eastAsia="en-GB"/>
              </w:rPr>
            </w:pPr>
            <w:r w:rsidRPr="00B736D2">
              <w:rPr>
                <w:rFonts w:ascii="Arial" w:hAnsi="Arial" w:cs="Arial"/>
                <w:szCs w:val="18"/>
                <w:lang w:val="en-GB" w:eastAsia="en-GB"/>
              </w:rPr>
              <w:t>kl</w:t>
            </w:r>
          </w:p>
        </w:tc>
        <w:tc>
          <w:tcPr>
            <w:tcW w:w="310" w:type="pct"/>
            <w:tcBorders>
              <w:top w:val="nil"/>
              <w:left w:val="nil"/>
              <w:bottom w:val="single" w:color="auto" w:sz="4" w:space="0"/>
              <w:right w:val="nil"/>
            </w:tcBorders>
            <w:noWrap/>
            <w:vAlign w:val="bottom"/>
            <w:hideMark/>
          </w:tcPr>
          <w:p w:rsidRPr="00B736D2" w:rsidR="00322D6C" w:rsidP="00FC2172" w:rsidRDefault="00322D6C" w14:paraId="27FF97E0" w14:textId="77777777">
            <w:pPr>
              <w:spacing w:line="240" w:lineRule="auto"/>
              <w:jc w:val="center"/>
              <w:rPr>
                <w:rFonts w:ascii="Arial" w:hAnsi="Arial" w:cs="Arial"/>
                <w:szCs w:val="18"/>
                <w:lang w:val="en-GB" w:eastAsia="en-GB"/>
              </w:rPr>
            </w:pPr>
            <w:r w:rsidRPr="00B736D2">
              <w:rPr>
                <w:rFonts w:ascii="Arial" w:hAnsi="Arial" w:cs="Arial"/>
                <w:szCs w:val="18"/>
                <w:lang w:val="en-GB" w:eastAsia="en-GB"/>
              </w:rPr>
              <w:t>gl</w:t>
            </w:r>
          </w:p>
        </w:tc>
        <w:tc>
          <w:tcPr>
            <w:tcW w:w="310" w:type="pct"/>
            <w:tcBorders>
              <w:top w:val="nil"/>
              <w:left w:val="nil"/>
              <w:bottom w:val="single" w:color="auto" w:sz="4" w:space="0"/>
              <w:right w:val="nil"/>
            </w:tcBorders>
            <w:noWrap/>
            <w:vAlign w:val="bottom"/>
            <w:hideMark/>
          </w:tcPr>
          <w:p w:rsidRPr="00B736D2" w:rsidR="00322D6C" w:rsidP="00FC2172" w:rsidRDefault="00322D6C" w14:paraId="1372361C" w14:textId="77777777">
            <w:pPr>
              <w:spacing w:line="240" w:lineRule="auto"/>
              <w:jc w:val="center"/>
              <w:rPr>
                <w:rFonts w:ascii="Arial" w:hAnsi="Arial" w:cs="Arial"/>
                <w:szCs w:val="18"/>
                <w:lang w:val="en-GB" w:eastAsia="en-GB"/>
              </w:rPr>
            </w:pPr>
            <w:r w:rsidRPr="00B736D2">
              <w:rPr>
                <w:rFonts w:ascii="Arial" w:hAnsi="Arial" w:cs="Arial"/>
                <w:szCs w:val="18"/>
                <w:lang w:val="en-GB" w:eastAsia="en-GB"/>
              </w:rPr>
              <w:t>bl</w:t>
            </w:r>
          </w:p>
        </w:tc>
        <w:tc>
          <w:tcPr>
            <w:tcW w:w="310" w:type="pct"/>
            <w:tcBorders>
              <w:top w:val="nil"/>
              <w:left w:val="nil"/>
              <w:bottom w:val="single" w:color="auto" w:sz="4" w:space="0"/>
              <w:right w:val="nil"/>
            </w:tcBorders>
            <w:noWrap/>
            <w:vAlign w:val="bottom"/>
            <w:hideMark/>
          </w:tcPr>
          <w:p w:rsidRPr="00B736D2" w:rsidR="00322D6C" w:rsidP="00FC2172" w:rsidRDefault="00322D6C" w14:paraId="1F927976" w14:textId="77777777">
            <w:pPr>
              <w:spacing w:line="240" w:lineRule="auto"/>
              <w:jc w:val="center"/>
              <w:rPr>
                <w:rFonts w:ascii="Arial" w:hAnsi="Arial" w:cs="Arial"/>
                <w:szCs w:val="18"/>
                <w:lang w:val="en-GB" w:eastAsia="en-GB"/>
              </w:rPr>
            </w:pPr>
            <w:r w:rsidRPr="00B736D2">
              <w:rPr>
                <w:rFonts w:ascii="Arial" w:hAnsi="Arial" w:cs="Arial"/>
                <w:szCs w:val="18"/>
                <w:lang w:val="en-GB" w:eastAsia="en-GB"/>
              </w:rPr>
              <w:t>kl</w:t>
            </w:r>
          </w:p>
        </w:tc>
        <w:tc>
          <w:tcPr>
            <w:tcW w:w="310" w:type="pct"/>
            <w:tcBorders>
              <w:top w:val="nil"/>
              <w:left w:val="nil"/>
              <w:bottom w:val="single" w:color="auto" w:sz="4" w:space="0"/>
              <w:right w:val="nil"/>
            </w:tcBorders>
            <w:noWrap/>
            <w:vAlign w:val="bottom"/>
            <w:hideMark/>
          </w:tcPr>
          <w:p w:rsidRPr="00B736D2" w:rsidR="00322D6C" w:rsidP="00FC2172" w:rsidRDefault="00322D6C" w14:paraId="514A5A90" w14:textId="77777777">
            <w:pPr>
              <w:spacing w:line="240" w:lineRule="auto"/>
              <w:jc w:val="center"/>
              <w:rPr>
                <w:rFonts w:ascii="Arial" w:hAnsi="Arial" w:cs="Arial"/>
                <w:szCs w:val="18"/>
                <w:lang w:val="en-GB" w:eastAsia="en-GB"/>
              </w:rPr>
            </w:pPr>
            <w:r w:rsidRPr="00B736D2">
              <w:rPr>
                <w:rFonts w:ascii="Arial" w:hAnsi="Arial" w:cs="Arial"/>
                <w:szCs w:val="18"/>
                <w:lang w:val="en-GB" w:eastAsia="en-GB"/>
              </w:rPr>
              <w:t>gl</w:t>
            </w:r>
          </w:p>
        </w:tc>
        <w:tc>
          <w:tcPr>
            <w:tcW w:w="310" w:type="pct"/>
            <w:tcBorders>
              <w:top w:val="nil"/>
              <w:left w:val="nil"/>
              <w:bottom w:val="single" w:color="auto" w:sz="4" w:space="0"/>
              <w:right w:val="nil"/>
            </w:tcBorders>
            <w:noWrap/>
            <w:vAlign w:val="bottom"/>
            <w:hideMark/>
          </w:tcPr>
          <w:p w:rsidRPr="00B736D2" w:rsidR="00322D6C" w:rsidP="00FC2172" w:rsidRDefault="00322D6C" w14:paraId="2C813715" w14:textId="77777777">
            <w:pPr>
              <w:spacing w:line="240" w:lineRule="auto"/>
              <w:jc w:val="center"/>
              <w:rPr>
                <w:rFonts w:ascii="Arial" w:hAnsi="Arial" w:cs="Arial"/>
                <w:szCs w:val="18"/>
                <w:lang w:val="en-GB" w:eastAsia="en-GB"/>
              </w:rPr>
            </w:pPr>
            <w:r w:rsidRPr="00B736D2">
              <w:rPr>
                <w:rFonts w:ascii="Arial" w:hAnsi="Arial" w:cs="Arial"/>
                <w:szCs w:val="18"/>
                <w:lang w:val="en-GB" w:eastAsia="en-GB"/>
              </w:rPr>
              <w:t>bl</w:t>
            </w:r>
          </w:p>
        </w:tc>
        <w:tc>
          <w:tcPr>
            <w:tcW w:w="310" w:type="pct"/>
            <w:tcBorders>
              <w:top w:val="nil"/>
              <w:left w:val="nil"/>
              <w:bottom w:val="single" w:color="auto" w:sz="4" w:space="0"/>
              <w:right w:val="nil"/>
            </w:tcBorders>
            <w:noWrap/>
            <w:vAlign w:val="bottom"/>
            <w:hideMark/>
          </w:tcPr>
          <w:p w:rsidRPr="00B736D2" w:rsidR="00322D6C" w:rsidP="00FC2172" w:rsidRDefault="00322D6C" w14:paraId="742AE243" w14:textId="77777777">
            <w:pPr>
              <w:spacing w:line="240" w:lineRule="auto"/>
              <w:jc w:val="center"/>
              <w:rPr>
                <w:rFonts w:ascii="Arial" w:hAnsi="Arial" w:cs="Arial"/>
                <w:szCs w:val="18"/>
                <w:lang w:val="en-GB" w:eastAsia="en-GB"/>
              </w:rPr>
            </w:pPr>
            <w:r w:rsidRPr="00B736D2">
              <w:rPr>
                <w:rFonts w:ascii="Arial" w:hAnsi="Arial" w:cs="Arial"/>
                <w:szCs w:val="18"/>
                <w:lang w:val="en-GB" w:eastAsia="en-GB"/>
              </w:rPr>
              <w:t>kl</w:t>
            </w:r>
          </w:p>
        </w:tc>
        <w:tc>
          <w:tcPr>
            <w:tcW w:w="310" w:type="pct"/>
            <w:tcBorders>
              <w:top w:val="nil"/>
              <w:left w:val="nil"/>
              <w:bottom w:val="single" w:color="auto" w:sz="4" w:space="0"/>
              <w:right w:val="nil"/>
            </w:tcBorders>
            <w:noWrap/>
            <w:vAlign w:val="bottom"/>
            <w:hideMark/>
          </w:tcPr>
          <w:p w:rsidRPr="00B736D2" w:rsidR="00322D6C" w:rsidP="00FC2172" w:rsidRDefault="00322D6C" w14:paraId="2C37290A" w14:textId="77777777">
            <w:pPr>
              <w:spacing w:line="240" w:lineRule="auto"/>
              <w:jc w:val="center"/>
              <w:rPr>
                <w:rFonts w:ascii="Arial" w:hAnsi="Arial" w:cs="Arial"/>
                <w:szCs w:val="18"/>
                <w:lang w:val="en-GB" w:eastAsia="en-GB"/>
              </w:rPr>
            </w:pPr>
            <w:r w:rsidRPr="00B736D2">
              <w:rPr>
                <w:rFonts w:ascii="Arial" w:hAnsi="Arial" w:cs="Arial"/>
                <w:szCs w:val="18"/>
                <w:lang w:val="en-GB" w:eastAsia="en-GB"/>
              </w:rPr>
              <w:t>gl</w:t>
            </w:r>
          </w:p>
        </w:tc>
        <w:tc>
          <w:tcPr>
            <w:tcW w:w="310" w:type="pct"/>
            <w:tcBorders>
              <w:top w:val="nil"/>
              <w:left w:val="nil"/>
              <w:bottom w:val="single" w:color="auto" w:sz="4" w:space="0"/>
              <w:right w:val="nil"/>
            </w:tcBorders>
            <w:noWrap/>
            <w:vAlign w:val="bottom"/>
            <w:hideMark/>
          </w:tcPr>
          <w:p w:rsidRPr="00B736D2" w:rsidR="00322D6C" w:rsidP="00FC2172" w:rsidRDefault="00322D6C" w14:paraId="5B2E327B" w14:textId="77777777">
            <w:pPr>
              <w:spacing w:line="240" w:lineRule="auto"/>
              <w:jc w:val="center"/>
              <w:rPr>
                <w:rFonts w:ascii="Arial" w:hAnsi="Arial" w:cs="Arial"/>
                <w:szCs w:val="18"/>
                <w:lang w:val="en-GB" w:eastAsia="en-GB"/>
              </w:rPr>
            </w:pPr>
            <w:r w:rsidRPr="00B736D2">
              <w:rPr>
                <w:rFonts w:ascii="Arial" w:hAnsi="Arial" w:cs="Arial"/>
                <w:szCs w:val="18"/>
                <w:lang w:val="en-GB" w:eastAsia="en-GB"/>
              </w:rPr>
              <w:t>bl</w:t>
            </w:r>
          </w:p>
        </w:tc>
        <w:tc>
          <w:tcPr>
            <w:tcW w:w="310" w:type="pct"/>
            <w:tcBorders>
              <w:top w:val="nil"/>
              <w:left w:val="nil"/>
              <w:bottom w:val="single" w:color="auto" w:sz="4" w:space="0"/>
              <w:right w:val="nil"/>
            </w:tcBorders>
            <w:noWrap/>
            <w:vAlign w:val="bottom"/>
            <w:hideMark/>
          </w:tcPr>
          <w:p w:rsidRPr="00B736D2" w:rsidR="00322D6C" w:rsidP="00FC2172" w:rsidRDefault="00322D6C" w14:paraId="16538E53" w14:textId="77777777">
            <w:pPr>
              <w:spacing w:line="240" w:lineRule="auto"/>
              <w:jc w:val="center"/>
              <w:rPr>
                <w:rFonts w:ascii="Arial" w:hAnsi="Arial" w:cs="Arial"/>
                <w:szCs w:val="18"/>
                <w:lang w:val="en-GB" w:eastAsia="en-GB"/>
              </w:rPr>
            </w:pPr>
            <w:r w:rsidRPr="00B736D2">
              <w:rPr>
                <w:rFonts w:ascii="Arial" w:hAnsi="Arial" w:cs="Arial"/>
                <w:szCs w:val="18"/>
                <w:lang w:val="en-GB" w:eastAsia="en-GB"/>
              </w:rPr>
              <w:t>kl</w:t>
            </w:r>
          </w:p>
        </w:tc>
        <w:tc>
          <w:tcPr>
            <w:tcW w:w="310" w:type="pct"/>
            <w:tcBorders>
              <w:top w:val="nil"/>
              <w:left w:val="nil"/>
              <w:bottom w:val="single" w:color="auto" w:sz="4" w:space="0"/>
              <w:right w:val="nil"/>
            </w:tcBorders>
            <w:noWrap/>
            <w:vAlign w:val="bottom"/>
            <w:hideMark/>
          </w:tcPr>
          <w:p w:rsidRPr="00B736D2" w:rsidR="00322D6C" w:rsidP="00FC2172" w:rsidRDefault="00322D6C" w14:paraId="1E87C060" w14:textId="77777777">
            <w:pPr>
              <w:spacing w:line="240" w:lineRule="auto"/>
              <w:jc w:val="center"/>
              <w:rPr>
                <w:rFonts w:ascii="Arial" w:hAnsi="Arial" w:cs="Arial"/>
                <w:szCs w:val="18"/>
                <w:lang w:val="en-GB" w:eastAsia="en-GB"/>
              </w:rPr>
            </w:pPr>
            <w:r w:rsidRPr="00B736D2">
              <w:rPr>
                <w:rFonts w:ascii="Arial" w:hAnsi="Arial" w:cs="Arial"/>
                <w:szCs w:val="18"/>
                <w:lang w:val="en-GB" w:eastAsia="en-GB"/>
              </w:rPr>
              <w:t>gl</w:t>
            </w:r>
          </w:p>
        </w:tc>
      </w:tr>
      <w:tr w:rsidRPr="00B736D2" w:rsidR="00322D6C" w:rsidTr="00283B39" w14:paraId="18BA6C5A" w14:textId="77777777">
        <w:trPr>
          <w:trHeight w:val="260"/>
        </w:trPr>
        <w:tc>
          <w:tcPr>
            <w:tcW w:w="590" w:type="pct"/>
            <w:gridSpan w:val="2"/>
            <w:tcBorders>
              <w:top w:val="nil"/>
              <w:left w:val="nil"/>
              <w:bottom w:val="nil"/>
              <w:right w:val="nil"/>
            </w:tcBorders>
          </w:tcPr>
          <w:p w:rsidRPr="00B736D2" w:rsidR="00322D6C" w:rsidP="00FC2172" w:rsidRDefault="00322D6C" w14:paraId="7D266A94" w14:textId="77777777">
            <w:pPr>
              <w:spacing w:line="240" w:lineRule="auto"/>
              <w:rPr>
                <w:rFonts w:ascii="Arial" w:hAnsi="Arial" w:cs="Arial"/>
                <w:szCs w:val="18"/>
                <w:lang w:val="en-GB" w:eastAsia="en-GB"/>
              </w:rPr>
            </w:pPr>
          </w:p>
        </w:tc>
        <w:tc>
          <w:tcPr>
            <w:tcW w:w="691" w:type="pct"/>
            <w:gridSpan w:val="2"/>
            <w:tcBorders>
              <w:top w:val="nil"/>
              <w:left w:val="nil"/>
              <w:bottom w:val="nil"/>
              <w:right w:val="nil"/>
            </w:tcBorders>
            <w:noWrap/>
            <w:vAlign w:val="bottom"/>
            <w:hideMark/>
          </w:tcPr>
          <w:p w:rsidRPr="00B736D2" w:rsidR="00322D6C" w:rsidP="00FC2172" w:rsidRDefault="00322D6C" w14:paraId="6B516371" w14:textId="77777777">
            <w:pPr>
              <w:spacing w:line="240" w:lineRule="auto"/>
              <w:rPr>
                <w:rFonts w:ascii="Arial" w:hAnsi="Arial" w:cs="Arial"/>
                <w:szCs w:val="18"/>
                <w:lang w:val="en-GB" w:eastAsia="en-GB"/>
              </w:rPr>
            </w:pPr>
            <w:r w:rsidRPr="00B736D2">
              <w:rPr>
                <w:rFonts w:ascii="Arial" w:hAnsi="Arial" w:cs="Arial"/>
                <w:szCs w:val="18"/>
                <w:lang w:val="en-GB" w:eastAsia="en-GB"/>
              </w:rPr>
              <w:t>BWI</w:t>
            </w:r>
          </w:p>
        </w:tc>
        <w:tc>
          <w:tcPr>
            <w:tcW w:w="310" w:type="pct"/>
            <w:tcBorders>
              <w:top w:val="nil"/>
              <w:left w:val="nil"/>
              <w:bottom w:val="nil"/>
              <w:right w:val="nil"/>
            </w:tcBorders>
            <w:noWrap/>
            <w:vAlign w:val="bottom"/>
            <w:hideMark/>
          </w:tcPr>
          <w:p w:rsidRPr="00B736D2" w:rsidR="00322D6C" w:rsidP="00FC2172" w:rsidRDefault="00322D6C" w14:paraId="2C60D5FF" w14:textId="77777777">
            <w:pPr>
              <w:spacing w:line="240" w:lineRule="auto"/>
              <w:rPr>
                <w:rFonts w:ascii="Arial" w:hAnsi="Arial" w:cs="Arial"/>
                <w:szCs w:val="18"/>
                <w:lang w:val="en-GB" w:eastAsia="en-GB"/>
              </w:rPr>
            </w:pPr>
          </w:p>
        </w:tc>
        <w:tc>
          <w:tcPr>
            <w:tcW w:w="310" w:type="pct"/>
            <w:tcBorders>
              <w:top w:val="nil"/>
              <w:left w:val="nil"/>
              <w:bottom w:val="nil"/>
              <w:right w:val="nil"/>
            </w:tcBorders>
            <w:noWrap/>
            <w:vAlign w:val="bottom"/>
            <w:hideMark/>
          </w:tcPr>
          <w:p w:rsidRPr="00B736D2" w:rsidR="00322D6C" w:rsidP="00FC2172" w:rsidRDefault="00322D6C" w14:paraId="19FE5980" w14:textId="77777777">
            <w:pPr>
              <w:spacing w:line="240" w:lineRule="auto"/>
              <w:jc w:val="center"/>
              <w:rPr>
                <w:rFonts w:ascii="Times New Roman" w:hAnsi="Times New Roman"/>
                <w:sz w:val="20"/>
                <w:szCs w:val="20"/>
                <w:lang w:val="en-GB" w:eastAsia="en-GB"/>
              </w:rPr>
            </w:pPr>
          </w:p>
        </w:tc>
        <w:tc>
          <w:tcPr>
            <w:tcW w:w="310" w:type="pct"/>
            <w:tcBorders>
              <w:top w:val="nil"/>
              <w:left w:val="nil"/>
              <w:bottom w:val="nil"/>
              <w:right w:val="nil"/>
            </w:tcBorders>
            <w:noWrap/>
            <w:vAlign w:val="bottom"/>
            <w:hideMark/>
          </w:tcPr>
          <w:p w:rsidRPr="00B736D2" w:rsidR="00322D6C" w:rsidP="00FC2172" w:rsidRDefault="00322D6C" w14:paraId="4DBC5060" w14:textId="77777777">
            <w:pPr>
              <w:spacing w:line="240" w:lineRule="auto"/>
              <w:jc w:val="center"/>
              <w:rPr>
                <w:rFonts w:ascii="Times New Roman" w:hAnsi="Times New Roman"/>
                <w:sz w:val="20"/>
                <w:szCs w:val="20"/>
                <w:lang w:val="en-GB" w:eastAsia="en-GB"/>
              </w:rPr>
            </w:pPr>
          </w:p>
        </w:tc>
        <w:tc>
          <w:tcPr>
            <w:tcW w:w="310" w:type="pct"/>
            <w:tcBorders>
              <w:top w:val="nil"/>
              <w:left w:val="nil"/>
              <w:bottom w:val="nil"/>
              <w:right w:val="nil"/>
            </w:tcBorders>
            <w:noWrap/>
            <w:vAlign w:val="bottom"/>
            <w:hideMark/>
          </w:tcPr>
          <w:p w:rsidRPr="00B736D2" w:rsidR="00322D6C" w:rsidP="00FC2172" w:rsidRDefault="00322D6C" w14:paraId="4C645AA6" w14:textId="77777777">
            <w:pPr>
              <w:spacing w:line="240" w:lineRule="auto"/>
              <w:jc w:val="center"/>
              <w:rPr>
                <w:rFonts w:ascii="Times New Roman" w:hAnsi="Times New Roman"/>
                <w:sz w:val="20"/>
                <w:szCs w:val="20"/>
                <w:lang w:val="en-GB" w:eastAsia="en-GB"/>
              </w:rPr>
            </w:pPr>
          </w:p>
        </w:tc>
        <w:tc>
          <w:tcPr>
            <w:tcW w:w="310" w:type="pct"/>
            <w:tcBorders>
              <w:top w:val="nil"/>
              <w:left w:val="nil"/>
              <w:bottom w:val="nil"/>
              <w:right w:val="nil"/>
            </w:tcBorders>
            <w:noWrap/>
            <w:vAlign w:val="bottom"/>
            <w:hideMark/>
          </w:tcPr>
          <w:p w:rsidRPr="00B736D2" w:rsidR="00322D6C" w:rsidP="00FC2172" w:rsidRDefault="00322D6C" w14:paraId="40F68219" w14:textId="77777777">
            <w:pPr>
              <w:spacing w:line="240" w:lineRule="auto"/>
              <w:jc w:val="center"/>
              <w:rPr>
                <w:rFonts w:ascii="Times New Roman" w:hAnsi="Times New Roman"/>
                <w:sz w:val="20"/>
                <w:szCs w:val="20"/>
                <w:lang w:val="en-GB" w:eastAsia="en-GB"/>
              </w:rPr>
            </w:pPr>
          </w:p>
        </w:tc>
        <w:tc>
          <w:tcPr>
            <w:tcW w:w="310" w:type="pct"/>
            <w:tcBorders>
              <w:top w:val="nil"/>
              <w:left w:val="nil"/>
              <w:bottom w:val="nil"/>
              <w:right w:val="nil"/>
            </w:tcBorders>
            <w:noWrap/>
            <w:vAlign w:val="bottom"/>
            <w:hideMark/>
          </w:tcPr>
          <w:p w:rsidRPr="00B736D2" w:rsidR="00322D6C" w:rsidP="00FC2172" w:rsidRDefault="00322D6C" w14:paraId="4BE9D338" w14:textId="77777777">
            <w:pPr>
              <w:spacing w:line="240" w:lineRule="auto"/>
              <w:jc w:val="center"/>
              <w:rPr>
                <w:rFonts w:ascii="Times New Roman" w:hAnsi="Times New Roman"/>
                <w:sz w:val="20"/>
                <w:szCs w:val="20"/>
                <w:lang w:val="en-GB" w:eastAsia="en-GB"/>
              </w:rPr>
            </w:pPr>
          </w:p>
        </w:tc>
        <w:tc>
          <w:tcPr>
            <w:tcW w:w="310" w:type="pct"/>
            <w:tcBorders>
              <w:top w:val="nil"/>
              <w:left w:val="nil"/>
              <w:bottom w:val="nil"/>
              <w:right w:val="nil"/>
            </w:tcBorders>
            <w:noWrap/>
            <w:vAlign w:val="bottom"/>
            <w:hideMark/>
          </w:tcPr>
          <w:p w:rsidRPr="00B736D2" w:rsidR="00322D6C" w:rsidP="00FC2172" w:rsidRDefault="00322D6C" w14:paraId="6458F8E3" w14:textId="77777777">
            <w:pPr>
              <w:spacing w:line="240" w:lineRule="auto"/>
              <w:jc w:val="center"/>
              <w:rPr>
                <w:rFonts w:ascii="Times New Roman" w:hAnsi="Times New Roman"/>
                <w:sz w:val="20"/>
                <w:szCs w:val="20"/>
                <w:lang w:val="en-GB" w:eastAsia="en-GB"/>
              </w:rPr>
            </w:pPr>
          </w:p>
        </w:tc>
        <w:tc>
          <w:tcPr>
            <w:tcW w:w="310" w:type="pct"/>
            <w:tcBorders>
              <w:top w:val="nil"/>
              <w:left w:val="nil"/>
              <w:bottom w:val="nil"/>
              <w:right w:val="nil"/>
            </w:tcBorders>
            <w:noWrap/>
            <w:vAlign w:val="bottom"/>
            <w:hideMark/>
          </w:tcPr>
          <w:p w:rsidRPr="00B736D2" w:rsidR="00322D6C" w:rsidP="00FC2172" w:rsidRDefault="00322D6C" w14:paraId="44510BBC" w14:textId="77777777">
            <w:pPr>
              <w:spacing w:line="240" w:lineRule="auto"/>
              <w:jc w:val="center"/>
              <w:rPr>
                <w:rFonts w:ascii="Times New Roman" w:hAnsi="Times New Roman"/>
                <w:sz w:val="20"/>
                <w:szCs w:val="20"/>
                <w:lang w:val="en-GB" w:eastAsia="en-GB"/>
              </w:rPr>
            </w:pPr>
          </w:p>
        </w:tc>
        <w:tc>
          <w:tcPr>
            <w:tcW w:w="310" w:type="pct"/>
            <w:tcBorders>
              <w:top w:val="nil"/>
              <w:left w:val="nil"/>
              <w:bottom w:val="nil"/>
              <w:right w:val="nil"/>
            </w:tcBorders>
            <w:noWrap/>
            <w:vAlign w:val="bottom"/>
            <w:hideMark/>
          </w:tcPr>
          <w:p w:rsidRPr="00B736D2" w:rsidR="00322D6C" w:rsidP="00FC2172" w:rsidRDefault="00322D6C" w14:paraId="743BFB05" w14:textId="77777777">
            <w:pPr>
              <w:spacing w:line="240" w:lineRule="auto"/>
              <w:jc w:val="center"/>
              <w:rPr>
                <w:rFonts w:ascii="Times New Roman" w:hAnsi="Times New Roman"/>
                <w:sz w:val="20"/>
                <w:szCs w:val="20"/>
                <w:lang w:val="en-GB" w:eastAsia="en-GB"/>
              </w:rPr>
            </w:pPr>
          </w:p>
        </w:tc>
        <w:tc>
          <w:tcPr>
            <w:tcW w:w="310" w:type="pct"/>
            <w:tcBorders>
              <w:top w:val="nil"/>
              <w:left w:val="nil"/>
              <w:bottom w:val="nil"/>
              <w:right w:val="nil"/>
            </w:tcBorders>
            <w:noWrap/>
            <w:vAlign w:val="bottom"/>
            <w:hideMark/>
          </w:tcPr>
          <w:p w:rsidRPr="00B736D2" w:rsidR="00322D6C" w:rsidP="00FC2172" w:rsidRDefault="00322D6C" w14:paraId="3C19D2D9" w14:textId="77777777">
            <w:pPr>
              <w:spacing w:line="240" w:lineRule="auto"/>
              <w:jc w:val="center"/>
              <w:rPr>
                <w:rFonts w:ascii="Times New Roman" w:hAnsi="Times New Roman"/>
                <w:sz w:val="20"/>
                <w:szCs w:val="20"/>
                <w:lang w:val="en-GB" w:eastAsia="en-GB"/>
              </w:rPr>
            </w:pPr>
          </w:p>
        </w:tc>
        <w:tc>
          <w:tcPr>
            <w:tcW w:w="310" w:type="pct"/>
            <w:tcBorders>
              <w:top w:val="nil"/>
              <w:left w:val="nil"/>
              <w:bottom w:val="nil"/>
              <w:right w:val="nil"/>
            </w:tcBorders>
            <w:noWrap/>
            <w:vAlign w:val="bottom"/>
            <w:hideMark/>
          </w:tcPr>
          <w:p w:rsidRPr="00B736D2" w:rsidR="00322D6C" w:rsidP="00FC2172" w:rsidRDefault="00322D6C" w14:paraId="45BA9531" w14:textId="77777777">
            <w:pPr>
              <w:spacing w:line="240" w:lineRule="auto"/>
              <w:jc w:val="center"/>
              <w:rPr>
                <w:rFonts w:ascii="Times New Roman" w:hAnsi="Times New Roman"/>
                <w:sz w:val="20"/>
                <w:szCs w:val="20"/>
                <w:lang w:val="en-GB" w:eastAsia="en-GB"/>
              </w:rPr>
            </w:pPr>
          </w:p>
        </w:tc>
        <w:tc>
          <w:tcPr>
            <w:tcW w:w="310" w:type="pct"/>
            <w:tcBorders>
              <w:top w:val="nil"/>
              <w:left w:val="nil"/>
              <w:bottom w:val="nil"/>
              <w:right w:val="nil"/>
            </w:tcBorders>
            <w:noWrap/>
            <w:vAlign w:val="bottom"/>
            <w:hideMark/>
          </w:tcPr>
          <w:p w:rsidRPr="00B736D2" w:rsidR="00322D6C" w:rsidP="00FC2172" w:rsidRDefault="00322D6C" w14:paraId="21FA41C8" w14:textId="77777777">
            <w:pPr>
              <w:spacing w:line="240" w:lineRule="auto"/>
              <w:jc w:val="center"/>
              <w:rPr>
                <w:rFonts w:ascii="Times New Roman" w:hAnsi="Times New Roman"/>
                <w:sz w:val="20"/>
                <w:szCs w:val="20"/>
                <w:lang w:val="en-GB" w:eastAsia="en-GB"/>
              </w:rPr>
            </w:pPr>
          </w:p>
        </w:tc>
      </w:tr>
      <w:tr w:rsidRPr="00B736D2" w:rsidR="00322D6C" w:rsidTr="00283B39" w14:paraId="2A565E3C" w14:textId="77777777">
        <w:trPr>
          <w:trHeight w:val="260"/>
        </w:trPr>
        <w:tc>
          <w:tcPr>
            <w:tcW w:w="101" w:type="pct"/>
            <w:tcBorders>
              <w:top w:val="nil"/>
              <w:left w:val="nil"/>
              <w:bottom w:val="nil"/>
              <w:right w:val="nil"/>
            </w:tcBorders>
            <w:noWrap/>
            <w:vAlign w:val="bottom"/>
            <w:hideMark/>
          </w:tcPr>
          <w:p w:rsidRPr="00B736D2" w:rsidR="00322D6C" w:rsidP="00FC2172" w:rsidRDefault="00322D6C" w14:paraId="42DB723E" w14:textId="77777777">
            <w:pPr>
              <w:spacing w:line="240" w:lineRule="auto"/>
              <w:jc w:val="center"/>
              <w:rPr>
                <w:rFonts w:ascii="Times New Roman" w:hAnsi="Times New Roman"/>
                <w:sz w:val="20"/>
                <w:szCs w:val="20"/>
                <w:lang w:val="en-GB" w:eastAsia="en-GB"/>
              </w:rPr>
            </w:pPr>
          </w:p>
        </w:tc>
        <w:tc>
          <w:tcPr>
            <w:tcW w:w="590" w:type="pct"/>
            <w:gridSpan w:val="2"/>
            <w:tcBorders>
              <w:top w:val="nil"/>
              <w:left w:val="nil"/>
              <w:bottom w:val="nil"/>
              <w:right w:val="nil"/>
            </w:tcBorders>
          </w:tcPr>
          <w:p w:rsidRPr="00B736D2" w:rsidR="00322D6C" w:rsidP="00FC2172" w:rsidRDefault="00322D6C" w14:paraId="4956CBDE" w14:textId="77777777">
            <w:pPr>
              <w:spacing w:line="240" w:lineRule="auto"/>
              <w:rPr>
                <w:rFonts w:ascii="Arial" w:hAnsi="Arial" w:cs="Arial"/>
                <w:szCs w:val="18"/>
                <w:lang w:val="en-GB" w:eastAsia="en-GB"/>
              </w:rPr>
            </w:pPr>
          </w:p>
        </w:tc>
        <w:tc>
          <w:tcPr>
            <w:tcW w:w="590" w:type="pct"/>
            <w:tcBorders>
              <w:top w:val="nil"/>
              <w:left w:val="nil"/>
              <w:bottom w:val="nil"/>
              <w:right w:val="nil"/>
            </w:tcBorders>
            <w:noWrap/>
            <w:vAlign w:val="bottom"/>
            <w:hideMark/>
          </w:tcPr>
          <w:p w:rsidRPr="00B736D2" w:rsidR="00322D6C" w:rsidP="00FC2172" w:rsidRDefault="00322D6C" w14:paraId="77BA7B2E" w14:textId="77777777">
            <w:pPr>
              <w:spacing w:line="240" w:lineRule="auto"/>
              <w:rPr>
                <w:rFonts w:ascii="Arial" w:hAnsi="Arial" w:cs="Arial"/>
                <w:szCs w:val="18"/>
                <w:lang w:val="en-GB" w:eastAsia="en-GB"/>
              </w:rPr>
            </w:pPr>
            <w:r w:rsidRPr="00B736D2">
              <w:rPr>
                <w:rFonts w:ascii="Arial" w:hAnsi="Arial" w:cs="Arial"/>
                <w:szCs w:val="18"/>
                <w:lang w:val="en-GB" w:eastAsia="en-GB"/>
              </w:rPr>
              <w:t>naar mbo bol</w:t>
            </w:r>
          </w:p>
        </w:tc>
        <w:tc>
          <w:tcPr>
            <w:tcW w:w="310" w:type="pct"/>
            <w:tcBorders>
              <w:top w:val="nil"/>
              <w:left w:val="nil"/>
              <w:bottom w:val="nil"/>
              <w:right w:val="nil"/>
            </w:tcBorders>
            <w:noWrap/>
            <w:vAlign w:val="bottom"/>
            <w:hideMark/>
          </w:tcPr>
          <w:p w:rsidRPr="00B736D2" w:rsidR="00322D6C" w:rsidP="00FC2172" w:rsidRDefault="00322D6C" w14:paraId="48147890"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46</w:t>
            </w:r>
          </w:p>
        </w:tc>
        <w:tc>
          <w:tcPr>
            <w:tcW w:w="310" w:type="pct"/>
            <w:tcBorders>
              <w:top w:val="nil"/>
              <w:left w:val="nil"/>
              <w:bottom w:val="nil"/>
              <w:right w:val="nil"/>
            </w:tcBorders>
            <w:noWrap/>
            <w:vAlign w:val="bottom"/>
            <w:hideMark/>
          </w:tcPr>
          <w:p w:rsidRPr="00B736D2" w:rsidR="00322D6C" w:rsidP="00FC2172" w:rsidRDefault="00322D6C" w14:paraId="54621908"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63</w:t>
            </w:r>
          </w:p>
        </w:tc>
        <w:tc>
          <w:tcPr>
            <w:tcW w:w="310" w:type="pct"/>
            <w:tcBorders>
              <w:top w:val="nil"/>
              <w:left w:val="nil"/>
              <w:bottom w:val="nil"/>
              <w:right w:val="nil"/>
            </w:tcBorders>
            <w:noWrap/>
            <w:vAlign w:val="bottom"/>
            <w:hideMark/>
          </w:tcPr>
          <w:p w:rsidRPr="00B736D2" w:rsidR="00322D6C" w:rsidP="00FC2172" w:rsidRDefault="00322D6C" w14:paraId="52673740"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67</w:t>
            </w:r>
          </w:p>
        </w:tc>
        <w:tc>
          <w:tcPr>
            <w:tcW w:w="310" w:type="pct"/>
            <w:tcBorders>
              <w:top w:val="nil"/>
              <w:left w:val="nil"/>
              <w:bottom w:val="nil"/>
              <w:right w:val="nil"/>
            </w:tcBorders>
            <w:noWrap/>
            <w:vAlign w:val="bottom"/>
            <w:hideMark/>
          </w:tcPr>
          <w:p w:rsidRPr="00B736D2" w:rsidR="00322D6C" w:rsidP="00FC2172" w:rsidRDefault="00322D6C" w14:paraId="5CBF68F1"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45</w:t>
            </w:r>
          </w:p>
        </w:tc>
        <w:tc>
          <w:tcPr>
            <w:tcW w:w="310" w:type="pct"/>
            <w:tcBorders>
              <w:top w:val="nil"/>
              <w:left w:val="nil"/>
              <w:bottom w:val="nil"/>
              <w:right w:val="nil"/>
            </w:tcBorders>
            <w:noWrap/>
            <w:vAlign w:val="bottom"/>
            <w:hideMark/>
          </w:tcPr>
          <w:p w:rsidRPr="00B736D2" w:rsidR="00322D6C" w:rsidP="00FC2172" w:rsidRDefault="00322D6C" w14:paraId="3629C576"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59</w:t>
            </w:r>
          </w:p>
        </w:tc>
        <w:tc>
          <w:tcPr>
            <w:tcW w:w="310" w:type="pct"/>
            <w:tcBorders>
              <w:top w:val="nil"/>
              <w:left w:val="nil"/>
              <w:bottom w:val="nil"/>
              <w:right w:val="nil"/>
            </w:tcBorders>
            <w:noWrap/>
            <w:vAlign w:val="bottom"/>
            <w:hideMark/>
          </w:tcPr>
          <w:p w:rsidRPr="00B736D2" w:rsidR="00322D6C" w:rsidP="00FC2172" w:rsidRDefault="00322D6C" w14:paraId="7B890685"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74</w:t>
            </w:r>
          </w:p>
        </w:tc>
        <w:tc>
          <w:tcPr>
            <w:tcW w:w="310" w:type="pct"/>
            <w:tcBorders>
              <w:top w:val="nil"/>
              <w:left w:val="nil"/>
              <w:bottom w:val="nil"/>
              <w:right w:val="nil"/>
            </w:tcBorders>
            <w:noWrap/>
            <w:vAlign w:val="bottom"/>
            <w:hideMark/>
          </w:tcPr>
          <w:p w:rsidRPr="00B736D2" w:rsidR="00322D6C" w:rsidP="00FC2172" w:rsidRDefault="00322D6C" w14:paraId="52CC2788"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45</w:t>
            </w:r>
          </w:p>
        </w:tc>
        <w:tc>
          <w:tcPr>
            <w:tcW w:w="310" w:type="pct"/>
            <w:tcBorders>
              <w:top w:val="nil"/>
              <w:left w:val="nil"/>
              <w:bottom w:val="nil"/>
              <w:right w:val="nil"/>
            </w:tcBorders>
            <w:noWrap/>
            <w:vAlign w:val="bottom"/>
            <w:hideMark/>
          </w:tcPr>
          <w:p w:rsidRPr="00B736D2" w:rsidR="00322D6C" w:rsidP="00FC2172" w:rsidRDefault="00322D6C" w14:paraId="7D157920"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58</w:t>
            </w:r>
          </w:p>
        </w:tc>
        <w:tc>
          <w:tcPr>
            <w:tcW w:w="310" w:type="pct"/>
            <w:tcBorders>
              <w:top w:val="nil"/>
              <w:left w:val="nil"/>
              <w:bottom w:val="nil"/>
              <w:right w:val="nil"/>
            </w:tcBorders>
            <w:noWrap/>
            <w:vAlign w:val="bottom"/>
            <w:hideMark/>
          </w:tcPr>
          <w:p w:rsidRPr="00B736D2" w:rsidR="00322D6C" w:rsidP="00FC2172" w:rsidRDefault="00322D6C" w14:paraId="3BD4AFF8"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60</w:t>
            </w:r>
          </w:p>
        </w:tc>
        <w:tc>
          <w:tcPr>
            <w:tcW w:w="310" w:type="pct"/>
            <w:tcBorders>
              <w:top w:val="nil"/>
              <w:left w:val="nil"/>
              <w:bottom w:val="nil"/>
              <w:right w:val="nil"/>
            </w:tcBorders>
            <w:noWrap/>
            <w:vAlign w:val="bottom"/>
            <w:hideMark/>
          </w:tcPr>
          <w:p w:rsidRPr="00B736D2" w:rsidR="00322D6C" w:rsidP="00FC2172" w:rsidRDefault="00322D6C" w14:paraId="696F93EF"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44</w:t>
            </w:r>
          </w:p>
        </w:tc>
        <w:tc>
          <w:tcPr>
            <w:tcW w:w="310" w:type="pct"/>
            <w:tcBorders>
              <w:top w:val="nil"/>
              <w:left w:val="nil"/>
              <w:bottom w:val="nil"/>
              <w:right w:val="nil"/>
            </w:tcBorders>
            <w:noWrap/>
            <w:vAlign w:val="bottom"/>
            <w:hideMark/>
          </w:tcPr>
          <w:p w:rsidRPr="00B736D2" w:rsidR="00322D6C" w:rsidP="00FC2172" w:rsidRDefault="00322D6C" w14:paraId="788B25AA"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57</w:t>
            </w:r>
          </w:p>
        </w:tc>
        <w:tc>
          <w:tcPr>
            <w:tcW w:w="310" w:type="pct"/>
            <w:tcBorders>
              <w:top w:val="nil"/>
              <w:left w:val="nil"/>
              <w:bottom w:val="nil"/>
              <w:right w:val="nil"/>
            </w:tcBorders>
            <w:noWrap/>
            <w:vAlign w:val="bottom"/>
            <w:hideMark/>
          </w:tcPr>
          <w:p w:rsidRPr="00B736D2" w:rsidR="00322D6C" w:rsidP="00FC2172" w:rsidRDefault="00322D6C" w14:paraId="0D30F5E7"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68</w:t>
            </w:r>
          </w:p>
        </w:tc>
      </w:tr>
      <w:tr w:rsidRPr="00B736D2" w:rsidR="00322D6C" w:rsidTr="00283B39" w14:paraId="56CC0164" w14:textId="77777777">
        <w:trPr>
          <w:trHeight w:val="260"/>
        </w:trPr>
        <w:tc>
          <w:tcPr>
            <w:tcW w:w="101" w:type="pct"/>
            <w:tcBorders>
              <w:top w:val="nil"/>
              <w:left w:val="nil"/>
              <w:bottom w:val="nil"/>
              <w:right w:val="nil"/>
            </w:tcBorders>
            <w:noWrap/>
            <w:vAlign w:val="bottom"/>
            <w:hideMark/>
          </w:tcPr>
          <w:p w:rsidRPr="00B736D2" w:rsidR="00322D6C" w:rsidP="00FC2172" w:rsidRDefault="00322D6C" w14:paraId="4E69E9EE" w14:textId="77777777">
            <w:pPr>
              <w:spacing w:line="240" w:lineRule="auto"/>
              <w:jc w:val="right"/>
              <w:rPr>
                <w:rFonts w:ascii="Arial" w:hAnsi="Arial" w:cs="Arial"/>
                <w:szCs w:val="18"/>
                <w:lang w:val="en-GB" w:eastAsia="en-GB"/>
              </w:rPr>
            </w:pPr>
          </w:p>
        </w:tc>
        <w:tc>
          <w:tcPr>
            <w:tcW w:w="590" w:type="pct"/>
            <w:gridSpan w:val="2"/>
            <w:tcBorders>
              <w:top w:val="nil"/>
              <w:left w:val="nil"/>
              <w:bottom w:val="nil"/>
              <w:right w:val="nil"/>
            </w:tcBorders>
          </w:tcPr>
          <w:p w:rsidRPr="00B736D2" w:rsidR="00322D6C" w:rsidP="00FC2172" w:rsidRDefault="00322D6C" w14:paraId="5EDD2BCC" w14:textId="77777777">
            <w:pPr>
              <w:spacing w:line="240" w:lineRule="auto"/>
              <w:rPr>
                <w:rFonts w:ascii="Arial" w:hAnsi="Arial" w:cs="Arial"/>
                <w:szCs w:val="18"/>
                <w:lang w:val="en-GB" w:eastAsia="en-GB"/>
              </w:rPr>
            </w:pPr>
          </w:p>
        </w:tc>
        <w:tc>
          <w:tcPr>
            <w:tcW w:w="590" w:type="pct"/>
            <w:tcBorders>
              <w:top w:val="nil"/>
              <w:left w:val="nil"/>
              <w:bottom w:val="nil"/>
              <w:right w:val="nil"/>
            </w:tcBorders>
            <w:noWrap/>
            <w:vAlign w:val="bottom"/>
            <w:hideMark/>
          </w:tcPr>
          <w:p w:rsidRPr="00B736D2" w:rsidR="00322D6C" w:rsidP="00FC2172" w:rsidRDefault="00322D6C" w14:paraId="504029E6" w14:textId="77777777">
            <w:pPr>
              <w:spacing w:line="240" w:lineRule="auto"/>
              <w:rPr>
                <w:rFonts w:ascii="Arial" w:hAnsi="Arial" w:cs="Arial"/>
                <w:szCs w:val="18"/>
                <w:lang w:val="en-GB" w:eastAsia="en-GB"/>
              </w:rPr>
            </w:pPr>
            <w:r w:rsidRPr="00B736D2">
              <w:rPr>
                <w:rFonts w:ascii="Arial" w:hAnsi="Arial" w:cs="Arial"/>
                <w:szCs w:val="18"/>
                <w:lang w:val="en-GB" w:eastAsia="en-GB"/>
              </w:rPr>
              <w:t>naar mbo bbl</w:t>
            </w:r>
          </w:p>
        </w:tc>
        <w:tc>
          <w:tcPr>
            <w:tcW w:w="310" w:type="pct"/>
            <w:tcBorders>
              <w:top w:val="nil"/>
              <w:left w:val="nil"/>
              <w:bottom w:val="nil"/>
              <w:right w:val="nil"/>
            </w:tcBorders>
            <w:noWrap/>
            <w:vAlign w:val="bottom"/>
            <w:hideMark/>
          </w:tcPr>
          <w:p w:rsidRPr="00B736D2" w:rsidR="00322D6C" w:rsidP="00FC2172" w:rsidRDefault="00322D6C" w14:paraId="48943F9C"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47</w:t>
            </w:r>
          </w:p>
        </w:tc>
        <w:tc>
          <w:tcPr>
            <w:tcW w:w="310" w:type="pct"/>
            <w:tcBorders>
              <w:top w:val="nil"/>
              <w:left w:val="nil"/>
              <w:bottom w:val="nil"/>
              <w:right w:val="nil"/>
            </w:tcBorders>
            <w:noWrap/>
            <w:vAlign w:val="bottom"/>
            <w:hideMark/>
          </w:tcPr>
          <w:p w:rsidRPr="00B736D2" w:rsidR="00322D6C" w:rsidP="00FC2172" w:rsidRDefault="00322D6C" w14:paraId="7A592274"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35</w:t>
            </w:r>
          </w:p>
        </w:tc>
        <w:tc>
          <w:tcPr>
            <w:tcW w:w="310" w:type="pct"/>
            <w:tcBorders>
              <w:top w:val="nil"/>
              <w:left w:val="nil"/>
              <w:bottom w:val="nil"/>
              <w:right w:val="nil"/>
            </w:tcBorders>
            <w:noWrap/>
            <w:vAlign w:val="bottom"/>
            <w:hideMark/>
          </w:tcPr>
          <w:p w:rsidRPr="00B736D2" w:rsidR="00322D6C" w:rsidP="00FC2172" w:rsidRDefault="00322D6C" w14:paraId="488BB3BA"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29</w:t>
            </w:r>
          </w:p>
        </w:tc>
        <w:tc>
          <w:tcPr>
            <w:tcW w:w="310" w:type="pct"/>
            <w:tcBorders>
              <w:top w:val="nil"/>
              <w:left w:val="nil"/>
              <w:bottom w:val="nil"/>
              <w:right w:val="nil"/>
            </w:tcBorders>
            <w:noWrap/>
            <w:vAlign w:val="bottom"/>
            <w:hideMark/>
          </w:tcPr>
          <w:p w:rsidRPr="00B736D2" w:rsidR="00322D6C" w:rsidP="00FC2172" w:rsidRDefault="00322D6C" w14:paraId="327ABC84"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47</w:t>
            </w:r>
          </w:p>
        </w:tc>
        <w:tc>
          <w:tcPr>
            <w:tcW w:w="310" w:type="pct"/>
            <w:tcBorders>
              <w:top w:val="nil"/>
              <w:left w:val="nil"/>
              <w:bottom w:val="nil"/>
              <w:right w:val="nil"/>
            </w:tcBorders>
            <w:noWrap/>
            <w:vAlign w:val="bottom"/>
            <w:hideMark/>
          </w:tcPr>
          <w:p w:rsidRPr="00B736D2" w:rsidR="00322D6C" w:rsidP="00FC2172" w:rsidRDefault="00322D6C" w14:paraId="299ED48B"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38</w:t>
            </w:r>
          </w:p>
        </w:tc>
        <w:tc>
          <w:tcPr>
            <w:tcW w:w="310" w:type="pct"/>
            <w:tcBorders>
              <w:top w:val="nil"/>
              <w:left w:val="nil"/>
              <w:bottom w:val="nil"/>
              <w:right w:val="nil"/>
            </w:tcBorders>
            <w:noWrap/>
            <w:vAlign w:val="bottom"/>
            <w:hideMark/>
          </w:tcPr>
          <w:p w:rsidRPr="00B736D2" w:rsidR="00322D6C" w:rsidP="00FC2172" w:rsidRDefault="00322D6C" w14:paraId="4D4CA200"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22</w:t>
            </w:r>
          </w:p>
        </w:tc>
        <w:tc>
          <w:tcPr>
            <w:tcW w:w="310" w:type="pct"/>
            <w:tcBorders>
              <w:top w:val="nil"/>
              <w:left w:val="nil"/>
              <w:bottom w:val="nil"/>
              <w:right w:val="nil"/>
            </w:tcBorders>
            <w:noWrap/>
            <w:vAlign w:val="bottom"/>
            <w:hideMark/>
          </w:tcPr>
          <w:p w:rsidRPr="00B736D2" w:rsidR="00322D6C" w:rsidP="00FC2172" w:rsidRDefault="00322D6C" w14:paraId="0FEFBB1C"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47</w:t>
            </w:r>
          </w:p>
        </w:tc>
        <w:tc>
          <w:tcPr>
            <w:tcW w:w="310" w:type="pct"/>
            <w:tcBorders>
              <w:top w:val="nil"/>
              <w:left w:val="nil"/>
              <w:bottom w:val="nil"/>
              <w:right w:val="nil"/>
            </w:tcBorders>
            <w:noWrap/>
            <w:vAlign w:val="bottom"/>
            <w:hideMark/>
          </w:tcPr>
          <w:p w:rsidRPr="00B736D2" w:rsidR="00322D6C" w:rsidP="00FC2172" w:rsidRDefault="00322D6C" w14:paraId="7AE9E43B"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38</w:t>
            </w:r>
          </w:p>
        </w:tc>
        <w:tc>
          <w:tcPr>
            <w:tcW w:w="310" w:type="pct"/>
            <w:tcBorders>
              <w:top w:val="nil"/>
              <w:left w:val="nil"/>
              <w:bottom w:val="nil"/>
              <w:right w:val="nil"/>
            </w:tcBorders>
            <w:noWrap/>
            <w:vAlign w:val="bottom"/>
            <w:hideMark/>
          </w:tcPr>
          <w:p w:rsidRPr="00B736D2" w:rsidR="00322D6C" w:rsidP="00FC2172" w:rsidRDefault="00322D6C" w14:paraId="79E59B13"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35</w:t>
            </w:r>
          </w:p>
        </w:tc>
        <w:tc>
          <w:tcPr>
            <w:tcW w:w="310" w:type="pct"/>
            <w:tcBorders>
              <w:top w:val="nil"/>
              <w:left w:val="nil"/>
              <w:bottom w:val="nil"/>
              <w:right w:val="nil"/>
            </w:tcBorders>
            <w:noWrap/>
            <w:vAlign w:val="bottom"/>
            <w:hideMark/>
          </w:tcPr>
          <w:p w:rsidRPr="00B736D2" w:rsidR="00322D6C" w:rsidP="00FC2172" w:rsidRDefault="00322D6C" w14:paraId="787B1A9D"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48</w:t>
            </w:r>
          </w:p>
        </w:tc>
        <w:tc>
          <w:tcPr>
            <w:tcW w:w="310" w:type="pct"/>
            <w:tcBorders>
              <w:top w:val="nil"/>
              <w:left w:val="nil"/>
              <w:bottom w:val="nil"/>
              <w:right w:val="nil"/>
            </w:tcBorders>
            <w:noWrap/>
            <w:vAlign w:val="bottom"/>
            <w:hideMark/>
          </w:tcPr>
          <w:p w:rsidRPr="00B736D2" w:rsidR="00322D6C" w:rsidP="00FC2172" w:rsidRDefault="00322D6C" w14:paraId="25B8FCD6"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37</w:t>
            </w:r>
          </w:p>
        </w:tc>
        <w:tc>
          <w:tcPr>
            <w:tcW w:w="310" w:type="pct"/>
            <w:tcBorders>
              <w:top w:val="nil"/>
              <w:left w:val="nil"/>
              <w:bottom w:val="nil"/>
              <w:right w:val="nil"/>
            </w:tcBorders>
            <w:noWrap/>
            <w:vAlign w:val="bottom"/>
            <w:hideMark/>
          </w:tcPr>
          <w:p w:rsidRPr="00B736D2" w:rsidR="00322D6C" w:rsidP="00FC2172" w:rsidRDefault="00322D6C" w14:paraId="44C864B3"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25</w:t>
            </w:r>
          </w:p>
        </w:tc>
      </w:tr>
      <w:tr w:rsidRPr="00B736D2" w:rsidR="00322D6C" w:rsidTr="00283B39" w14:paraId="4438D039" w14:textId="77777777">
        <w:trPr>
          <w:trHeight w:val="260"/>
        </w:trPr>
        <w:tc>
          <w:tcPr>
            <w:tcW w:w="101" w:type="pct"/>
            <w:tcBorders>
              <w:top w:val="nil"/>
              <w:left w:val="nil"/>
              <w:bottom w:val="nil"/>
              <w:right w:val="nil"/>
            </w:tcBorders>
            <w:noWrap/>
            <w:vAlign w:val="bottom"/>
            <w:hideMark/>
          </w:tcPr>
          <w:p w:rsidRPr="00B736D2" w:rsidR="00322D6C" w:rsidP="00FC2172" w:rsidRDefault="00322D6C" w14:paraId="6B5E356A" w14:textId="77777777">
            <w:pPr>
              <w:spacing w:line="240" w:lineRule="auto"/>
              <w:jc w:val="right"/>
              <w:rPr>
                <w:rFonts w:ascii="Arial" w:hAnsi="Arial" w:cs="Arial"/>
                <w:szCs w:val="18"/>
                <w:lang w:val="en-GB" w:eastAsia="en-GB"/>
              </w:rPr>
            </w:pPr>
          </w:p>
        </w:tc>
        <w:tc>
          <w:tcPr>
            <w:tcW w:w="590" w:type="pct"/>
            <w:gridSpan w:val="2"/>
            <w:tcBorders>
              <w:top w:val="nil"/>
              <w:left w:val="nil"/>
              <w:bottom w:val="nil"/>
              <w:right w:val="nil"/>
            </w:tcBorders>
          </w:tcPr>
          <w:p w:rsidRPr="00B736D2" w:rsidR="00322D6C" w:rsidP="00FC2172" w:rsidRDefault="00322D6C" w14:paraId="705EA92F" w14:textId="77777777">
            <w:pPr>
              <w:spacing w:line="240" w:lineRule="auto"/>
              <w:rPr>
                <w:rFonts w:ascii="Arial" w:hAnsi="Arial" w:cs="Arial"/>
                <w:szCs w:val="18"/>
                <w:lang w:val="en-GB" w:eastAsia="en-GB"/>
              </w:rPr>
            </w:pPr>
          </w:p>
        </w:tc>
        <w:tc>
          <w:tcPr>
            <w:tcW w:w="590" w:type="pct"/>
            <w:tcBorders>
              <w:top w:val="nil"/>
              <w:left w:val="nil"/>
              <w:bottom w:val="nil"/>
              <w:right w:val="nil"/>
            </w:tcBorders>
            <w:noWrap/>
            <w:vAlign w:val="bottom"/>
            <w:hideMark/>
          </w:tcPr>
          <w:p w:rsidRPr="00B736D2" w:rsidR="00322D6C" w:rsidP="00FC2172" w:rsidRDefault="00322D6C" w14:paraId="1834066A" w14:textId="77777777">
            <w:pPr>
              <w:spacing w:line="240" w:lineRule="auto"/>
              <w:rPr>
                <w:rFonts w:ascii="Arial" w:hAnsi="Arial" w:cs="Arial"/>
                <w:szCs w:val="18"/>
                <w:lang w:val="en-GB" w:eastAsia="en-GB"/>
              </w:rPr>
            </w:pPr>
            <w:r w:rsidRPr="00B736D2">
              <w:rPr>
                <w:rFonts w:ascii="Arial" w:hAnsi="Arial" w:cs="Arial"/>
                <w:szCs w:val="18"/>
                <w:lang w:val="en-GB" w:eastAsia="en-GB"/>
              </w:rPr>
              <w:t>naar havo/vwo</w:t>
            </w:r>
          </w:p>
        </w:tc>
        <w:tc>
          <w:tcPr>
            <w:tcW w:w="310" w:type="pct"/>
            <w:tcBorders>
              <w:top w:val="nil"/>
              <w:left w:val="nil"/>
              <w:bottom w:val="nil"/>
              <w:right w:val="nil"/>
            </w:tcBorders>
            <w:noWrap/>
            <w:vAlign w:val="bottom"/>
            <w:hideMark/>
          </w:tcPr>
          <w:p w:rsidRPr="00B736D2" w:rsidR="00322D6C" w:rsidP="00FC2172" w:rsidRDefault="00322D6C" w14:paraId="1EE6E15C"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1A603987"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788B9EDF"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nil"/>
              <w:right w:val="nil"/>
            </w:tcBorders>
            <w:noWrap/>
            <w:vAlign w:val="bottom"/>
            <w:hideMark/>
          </w:tcPr>
          <w:p w:rsidRPr="00B736D2" w:rsidR="00322D6C" w:rsidP="00FC2172" w:rsidRDefault="00322D6C" w14:paraId="1F5ABF02"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775E7C13"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7ECAE89F"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nil"/>
              <w:right w:val="nil"/>
            </w:tcBorders>
            <w:noWrap/>
            <w:vAlign w:val="bottom"/>
            <w:hideMark/>
          </w:tcPr>
          <w:p w:rsidRPr="00B736D2" w:rsidR="00322D6C" w:rsidP="00FC2172" w:rsidRDefault="00322D6C" w14:paraId="494B288D"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635F8EC0"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63F43A4F"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nil"/>
              <w:right w:val="nil"/>
            </w:tcBorders>
            <w:noWrap/>
            <w:vAlign w:val="bottom"/>
            <w:hideMark/>
          </w:tcPr>
          <w:p w:rsidRPr="00B736D2" w:rsidR="00322D6C" w:rsidP="00FC2172" w:rsidRDefault="00322D6C" w14:paraId="2B6DCB62"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2E202A8C"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230CFC53"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w:t>
            </w:r>
          </w:p>
        </w:tc>
      </w:tr>
      <w:tr w:rsidRPr="00B736D2" w:rsidR="00322D6C" w:rsidTr="00283B39" w14:paraId="30C6D525" w14:textId="77777777">
        <w:trPr>
          <w:trHeight w:val="260"/>
        </w:trPr>
        <w:tc>
          <w:tcPr>
            <w:tcW w:w="101" w:type="pct"/>
            <w:tcBorders>
              <w:top w:val="nil"/>
              <w:left w:val="nil"/>
              <w:bottom w:val="nil"/>
              <w:right w:val="nil"/>
            </w:tcBorders>
            <w:noWrap/>
            <w:vAlign w:val="bottom"/>
            <w:hideMark/>
          </w:tcPr>
          <w:p w:rsidRPr="00B736D2" w:rsidR="00322D6C" w:rsidP="00FC2172" w:rsidRDefault="00322D6C" w14:paraId="5298ECE7" w14:textId="77777777">
            <w:pPr>
              <w:spacing w:line="240" w:lineRule="auto"/>
              <w:jc w:val="right"/>
              <w:rPr>
                <w:rFonts w:ascii="Arial" w:hAnsi="Arial" w:cs="Arial"/>
                <w:szCs w:val="18"/>
                <w:lang w:val="en-GB" w:eastAsia="en-GB"/>
              </w:rPr>
            </w:pPr>
          </w:p>
        </w:tc>
        <w:tc>
          <w:tcPr>
            <w:tcW w:w="590" w:type="pct"/>
            <w:gridSpan w:val="2"/>
            <w:tcBorders>
              <w:top w:val="nil"/>
              <w:left w:val="nil"/>
              <w:bottom w:val="nil"/>
              <w:right w:val="nil"/>
            </w:tcBorders>
          </w:tcPr>
          <w:p w:rsidRPr="00B736D2" w:rsidR="00322D6C" w:rsidP="00FC2172" w:rsidRDefault="00322D6C" w14:paraId="2F64CD3B" w14:textId="77777777">
            <w:pPr>
              <w:spacing w:line="240" w:lineRule="auto"/>
              <w:rPr>
                <w:rFonts w:ascii="Arial" w:hAnsi="Arial" w:cs="Arial"/>
                <w:szCs w:val="18"/>
                <w:lang w:val="en-GB" w:eastAsia="en-GB"/>
              </w:rPr>
            </w:pPr>
          </w:p>
        </w:tc>
        <w:tc>
          <w:tcPr>
            <w:tcW w:w="590" w:type="pct"/>
            <w:tcBorders>
              <w:top w:val="nil"/>
              <w:left w:val="nil"/>
              <w:bottom w:val="nil"/>
              <w:right w:val="nil"/>
            </w:tcBorders>
            <w:noWrap/>
            <w:vAlign w:val="bottom"/>
            <w:hideMark/>
          </w:tcPr>
          <w:p w:rsidRPr="00B736D2" w:rsidR="00322D6C" w:rsidP="00FC2172" w:rsidRDefault="00322D6C" w14:paraId="4FC53DB9" w14:textId="77777777">
            <w:pPr>
              <w:spacing w:line="240" w:lineRule="auto"/>
              <w:rPr>
                <w:rFonts w:ascii="Arial" w:hAnsi="Arial" w:cs="Arial"/>
                <w:szCs w:val="18"/>
                <w:lang w:val="en-GB" w:eastAsia="en-GB"/>
              </w:rPr>
            </w:pPr>
            <w:r w:rsidRPr="00B736D2">
              <w:rPr>
                <w:rFonts w:ascii="Arial" w:hAnsi="Arial" w:cs="Arial"/>
                <w:szCs w:val="18"/>
                <w:lang w:val="en-GB" w:eastAsia="en-GB"/>
              </w:rPr>
              <w:t>blijft in vmbo</w:t>
            </w:r>
          </w:p>
        </w:tc>
        <w:tc>
          <w:tcPr>
            <w:tcW w:w="310" w:type="pct"/>
            <w:tcBorders>
              <w:top w:val="nil"/>
              <w:left w:val="nil"/>
              <w:bottom w:val="nil"/>
              <w:right w:val="nil"/>
            </w:tcBorders>
            <w:noWrap/>
            <w:vAlign w:val="bottom"/>
            <w:hideMark/>
          </w:tcPr>
          <w:p w:rsidRPr="00B736D2" w:rsidR="00322D6C" w:rsidP="00FC2172" w:rsidRDefault="00322D6C" w14:paraId="5CDDB9F2"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w:t>
            </w:r>
          </w:p>
        </w:tc>
        <w:tc>
          <w:tcPr>
            <w:tcW w:w="310" w:type="pct"/>
            <w:tcBorders>
              <w:top w:val="nil"/>
              <w:left w:val="nil"/>
              <w:bottom w:val="nil"/>
              <w:right w:val="nil"/>
            </w:tcBorders>
            <w:noWrap/>
            <w:vAlign w:val="bottom"/>
            <w:hideMark/>
          </w:tcPr>
          <w:p w:rsidRPr="00B736D2" w:rsidR="00322D6C" w:rsidP="00FC2172" w:rsidRDefault="00322D6C" w14:paraId="41336DA7"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0</w:t>
            </w:r>
          </w:p>
        </w:tc>
        <w:tc>
          <w:tcPr>
            <w:tcW w:w="310" w:type="pct"/>
            <w:tcBorders>
              <w:top w:val="nil"/>
              <w:left w:val="nil"/>
              <w:bottom w:val="nil"/>
              <w:right w:val="nil"/>
            </w:tcBorders>
            <w:noWrap/>
            <w:vAlign w:val="bottom"/>
            <w:hideMark/>
          </w:tcPr>
          <w:p w:rsidRPr="00B736D2" w:rsidR="00322D6C" w:rsidP="00FC2172" w:rsidRDefault="00322D6C" w14:paraId="6D02795B"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w:t>
            </w:r>
          </w:p>
        </w:tc>
        <w:tc>
          <w:tcPr>
            <w:tcW w:w="310" w:type="pct"/>
            <w:tcBorders>
              <w:top w:val="nil"/>
              <w:left w:val="nil"/>
              <w:bottom w:val="nil"/>
              <w:right w:val="nil"/>
            </w:tcBorders>
            <w:noWrap/>
            <w:vAlign w:val="bottom"/>
            <w:hideMark/>
          </w:tcPr>
          <w:p w:rsidRPr="00B736D2" w:rsidR="00322D6C" w:rsidP="00FC2172" w:rsidRDefault="00322D6C" w14:paraId="12F68229"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w:t>
            </w:r>
          </w:p>
        </w:tc>
        <w:tc>
          <w:tcPr>
            <w:tcW w:w="310" w:type="pct"/>
            <w:tcBorders>
              <w:top w:val="nil"/>
              <w:left w:val="nil"/>
              <w:bottom w:val="nil"/>
              <w:right w:val="nil"/>
            </w:tcBorders>
            <w:noWrap/>
            <w:vAlign w:val="bottom"/>
            <w:hideMark/>
          </w:tcPr>
          <w:p w:rsidRPr="00B736D2" w:rsidR="00322D6C" w:rsidP="00FC2172" w:rsidRDefault="00322D6C" w14:paraId="15EC1A2A"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w:t>
            </w:r>
          </w:p>
        </w:tc>
        <w:tc>
          <w:tcPr>
            <w:tcW w:w="310" w:type="pct"/>
            <w:tcBorders>
              <w:top w:val="nil"/>
              <w:left w:val="nil"/>
              <w:bottom w:val="nil"/>
              <w:right w:val="nil"/>
            </w:tcBorders>
            <w:noWrap/>
            <w:vAlign w:val="bottom"/>
            <w:hideMark/>
          </w:tcPr>
          <w:p w:rsidRPr="00B736D2" w:rsidR="00322D6C" w:rsidP="00FC2172" w:rsidRDefault="00322D6C" w14:paraId="1DB48ABC"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nil"/>
              <w:right w:val="nil"/>
            </w:tcBorders>
            <w:noWrap/>
            <w:vAlign w:val="bottom"/>
            <w:hideMark/>
          </w:tcPr>
          <w:p w:rsidRPr="00B736D2" w:rsidR="00322D6C" w:rsidP="00FC2172" w:rsidRDefault="00322D6C" w14:paraId="323B2118"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nil"/>
              <w:right w:val="nil"/>
            </w:tcBorders>
            <w:noWrap/>
            <w:vAlign w:val="bottom"/>
            <w:hideMark/>
          </w:tcPr>
          <w:p w:rsidRPr="00B736D2" w:rsidR="00322D6C" w:rsidP="00FC2172" w:rsidRDefault="00322D6C" w14:paraId="2171648C"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w:t>
            </w:r>
          </w:p>
        </w:tc>
        <w:tc>
          <w:tcPr>
            <w:tcW w:w="310" w:type="pct"/>
            <w:tcBorders>
              <w:top w:val="nil"/>
              <w:left w:val="nil"/>
              <w:bottom w:val="nil"/>
              <w:right w:val="nil"/>
            </w:tcBorders>
            <w:noWrap/>
            <w:vAlign w:val="bottom"/>
            <w:hideMark/>
          </w:tcPr>
          <w:p w:rsidRPr="00B736D2" w:rsidR="00322D6C" w:rsidP="00FC2172" w:rsidRDefault="00322D6C" w14:paraId="162B05A3"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w:t>
            </w:r>
          </w:p>
        </w:tc>
        <w:tc>
          <w:tcPr>
            <w:tcW w:w="310" w:type="pct"/>
            <w:tcBorders>
              <w:top w:val="nil"/>
              <w:left w:val="nil"/>
              <w:bottom w:val="nil"/>
              <w:right w:val="nil"/>
            </w:tcBorders>
            <w:noWrap/>
            <w:vAlign w:val="bottom"/>
            <w:hideMark/>
          </w:tcPr>
          <w:p w:rsidRPr="00B736D2" w:rsidR="00322D6C" w:rsidP="00FC2172" w:rsidRDefault="00322D6C" w14:paraId="0B83E93A"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w:t>
            </w:r>
          </w:p>
        </w:tc>
        <w:tc>
          <w:tcPr>
            <w:tcW w:w="310" w:type="pct"/>
            <w:tcBorders>
              <w:top w:val="nil"/>
              <w:left w:val="nil"/>
              <w:bottom w:val="nil"/>
              <w:right w:val="nil"/>
            </w:tcBorders>
            <w:noWrap/>
            <w:vAlign w:val="bottom"/>
            <w:hideMark/>
          </w:tcPr>
          <w:p w:rsidRPr="00B736D2" w:rsidR="00322D6C" w:rsidP="00FC2172" w:rsidRDefault="00322D6C" w14:paraId="5E971396"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w:t>
            </w:r>
          </w:p>
        </w:tc>
        <w:tc>
          <w:tcPr>
            <w:tcW w:w="310" w:type="pct"/>
            <w:tcBorders>
              <w:top w:val="nil"/>
              <w:left w:val="nil"/>
              <w:bottom w:val="nil"/>
              <w:right w:val="nil"/>
            </w:tcBorders>
            <w:noWrap/>
            <w:vAlign w:val="bottom"/>
            <w:hideMark/>
          </w:tcPr>
          <w:p w:rsidRPr="00B736D2" w:rsidR="00322D6C" w:rsidP="00FC2172" w:rsidRDefault="00322D6C" w14:paraId="64D74033"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r>
      <w:tr w:rsidRPr="00B736D2" w:rsidR="00322D6C" w:rsidTr="00283B39" w14:paraId="6208D526" w14:textId="77777777">
        <w:trPr>
          <w:trHeight w:val="260"/>
        </w:trPr>
        <w:tc>
          <w:tcPr>
            <w:tcW w:w="101" w:type="pct"/>
            <w:tcBorders>
              <w:top w:val="nil"/>
              <w:left w:val="nil"/>
              <w:bottom w:val="nil"/>
              <w:right w:val="nil"/>
            </w:tcBorders>
            <w:noWrap/>
            <w:vAlign w:val="bottom"/>
            <w:hideMark/>
          </w:tcPr>
          <w:p w:rsidRPr="00B736D2" w:rsidR="00322D6C" w:rsidP="00FC2172" w:rsidRDefault="00322D6C" w14:paraId="56EBC681" w14:textId="77777777">
            <w:pPr>
              <w:spacing w:line="240" w:lineRule="auto"/>
              <w:jc w:val="right"/>
              <w:rPr>
                <w:rFonts w:ascii="Arial" w:hAnsi="Arial" w:cs="Arial"/>
                <w:szCs w:val="18"/>
                <w:lang w:val="en-GB" w:eastAsia="en-GB"/>
              </w:rPr>
            </w:pPr>
          </w:p>
        </w:tc>
        <w:tc>
          <w:tcPr>
            <w:tcW w:w="590" w:type="pct"/>
            <w:gridSpan w:val="2"/>
            <w:tcBorders>
              <w:top w:val="nil"/>
              <w:left w:val="nil"/>
              <w:bottom w:val="nil"/>
              <w:right w:val="nil"/>
            </w:tcBorders>
          </w:tcPr>
          <w:p w:rsidRPr="00B736D2" w:rsidR="00322D6C" w:rsidP="00FC2172" w:rsidRDefault="00322D6C" w14:paraId="6BE7C561" w14:textId="77777777">
            <w:pPr>
              <w:spacing w:line="240" w:lineRule="auto"/>
              <w:rPr>
                <w:rFonts w:ascii="Arial" w:hAnsi="Arial" w:cs="Arial"/>
                <w:szCs w:val="18"/>
                <w:lang w:val="en-GB" w:eastAsia="en-GB"/>
              </w:rPr>
            </w:pPr>
          </w:p>
        </w:tc>
        <w:tc>
          <w:tcPr>
            <w:tcW w:w="590" w:type="pct"/>
            <w:tcBorders>
              <w:top w:val="nil"/>
              <w:left w:val="nil"/>
              <w:bottom w:val="nil"/>
              <w:right w:val="nil"/>
            </w:tcBorders>
            <w:noWrap/>
            <w:vAlign w:val="bottom"/>
            <w:hideMark/>
          </w:tcPr>
          <w:p w:rsidRPr="00B736D2" w:rsidR="00322D6C" w:rsidP="00FC2172" w:rsidRDefault="00322D6C" w14:paraId="2E2B2971" w14:textId="77777777">
            <w:pPr>
              <w:spacing w:line="240" w:lineRule="auto"/>
              <w:rPr>
                <w:rFonts w:ascii="Arial" w:hAnsi="Arial" w:cs="Arial"/>
                <w:szCs w:val="18"/>
                <w:lang w:val="en-GB" w:eastAsia="en-GB"/>
              </w:rPr>
            </w:pPr>
            <w:r w:rsidRPr="00B736D2">
              <w:rPr>
                <w:rFonts w:ascii="Arial" w:hAnsi="Arial" w:cs="Arial"/>
                <w:szCs w:val="18"/>
                <w:lang w:val="en-GB" w:eastAsia="en-GB"/>
              </w:rPr>
              <w:t>naar overig</w:t>
            </w:r>
          </w:p>
        </w:tc>
        <w:tc>
          <w:tcPr>
            <w:tcW w:w="310" w:type="pct"/>
            <w:tcBorders>
              <w:top w:val="nil"/>
              <w:left w:val="nil"/>
              <w:bottom w:val="nil"/>
              <w:right w:val="nil"/>
            </w:tcBorders>
            <w:noWrap/>
            <w:vAlign w:val="bottom"/>
            <w:hideMark/>
          </w:tcPr>
          <w:p w:rsidRPr="00B736D2" w:rsidR="00322D6C" w:rsidP="00FC2172" w:rsidRDefault="00322D6C" w14:paraId="48E1A114"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w:t>
            </w:r>
          </w:p>
        </w:tc>
        <w:tc>
          <w:tcPr>
            <w:tcW w:w="310" w:type="pct"/>
            <w:tcBorders>
              <w:top w:val="nil"/>
              <w:left w:val="nil"/>
              <w:bottom w:val="nil"/>
              <w:right w:val="nil"/>
            </w:tcBorders>
            <w:noWrap/>
            <w:vAlign w:val="bottom"/>
            <w:hideMark/>
          </w:tcPr>
          <w:p w:rsidRPr="00B736D2" w:rsidR="00322D6C" w:rsidP="00FC2172" w:rsidRDefault="00322D6C" w14:paraId="12ED4B9E"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nil"/>
              <w:right w:val="nil"/>
            </w:tcBorders>
            <w:noWrap/>
            <w:vAlign w:val="bottom"/>
            <w:hideMark/>
          </w:tcPr>
          <w:p w:rsidRPr="00B736D2" w:rsidR="00322D6C" w:rsidP="00FC2172" w:rsidRDefault="00322D6C" w14:paraId="347AAD96"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nil"/>
              <w:right w:val="nil"/>
            </w:tcBorders>
            <w:noWrap/>
            <w:vAlign w:val="bottom"/>
            <w:hideMark/>
          </w:tcPr>
          <w:p w:rsidRPr="00B736D2" w:rsidR="00322D6C" w:rsidP="00FC2172" w:rsidRDefault="00322D6C" w14:paraId="61622E61"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w:t>
            </w:r>
          </w:p>
        </w:tc>
        <w:tc>
          <w:tcPr>
            <w:tcW w:w="310" w:type="pct"/>
            <w:tcBorders>
              <w:top w:val="nil"/>
              <w:left w:val="nil"/>
              <w:bottom w:val="nil"/>
              <w:right w:val="nil"/>
            </w:tcBorders>
            <w:noWrap/>
            <w:vAlign w:val="bottom"/>
            <w:hideMark/>
          </w:tcPr>
          <w:p w:rsidRPr="00B736D2" w:rsidR="00322D6C" w:rsidP="00FC2172" w:rsidRDefault="00322D6C" w14:paraId="0E9A25BE"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nil"/>
              <w:right w:val="nil"/>
            </w:tcBorders>
            <w:noWrap/>
            <w:vAlign w:val="bottom"/>
            <w:hideMark/>
          </w:tcPr>
          <w:p w:rsidRPr="00B736D2" w:rsidR="00322D6C" w:rsidP="00FC2172" w:rsidRDefault="00322D6C" w14:paraId="4AA6B015"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0</w:t>
            </w:r>
          </w:p>
        </w:tc>
        <w:tc>
          <w:tcPr>
            <w:tcW w:w="310" w:type="pct"/>
            <w:tcBorders>
              <w:top w:val="nil"/>
              <w:left w:val="nil"/>
              <w:bottom w:val="nil"/>
              <w:right w:val="nil"/>
            </w:tcBorders>
            <w:noWrap/>
            <w:vAlign w:val="bottom"/>
            <w:hideMark/>
          </w:tcPr>
          <w:p w:rsidRPr="00B736D2" w:rsidR="00322D6C" w:rsidP="00FC2172" w:rsidRDefault="00322D6C" w14:paraId="77BDE919"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5</w:t>
            </w:r>
          </w:p>
        </w:tc>
        <w:tc>
          <w:tcPr>
            <w:tcW w:w="310" w:type="pct"/>
            <w:tcBorders>
              <w:top w:val="nil"/>
              <w:left w:val="nil"/>
              <w:bottom w:val="nil"/>
              <w:right w:val="nil"/>
            </w:tcBorders>
            <w:noWrap/>
            <w:vAlign w:val="bottom"/>
            <w:hideMark/>
          </w:tcPr>
          <w:p w:rsidRPr="00B736D2" w:rsidR="00322D6C" w:rsidP="00FC2172" w:rsidRDefault="00322D6C" w14:paraId="4BA44B42"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nil"/>
              <w:right w:val="nil"/>
            </w:tcBorders>
            <w:noWrap/>
            <w:vAlign w:val="bottom"/>
            <w:hideMark/>
          </w:tcPr>
          <w:p w:rsidRPr="00B736D2" w:rsidR="00322D6C" w:rsidP="00FC2172" w:rsidRDefault="00322D6C" w14:paraId="78E80175"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nil"/>
              <w:right w:val="nil"/>
            </w:tcBorders>
            <w:noWrap/>
            <w:vAlign w:val="bottom"/>
            <w:hideMark/>
          </w:tcPr>
          <w:p w:rsidRPr="00B736D2" w:rsidR="00322D6C" w:rsidP="00FC2172" w:rsidRDefault="00322D6C" w14:paraId="778CE794"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5</w:t>
            </w:r>
          </w:p>
        </w:tc>
        <w:tc>
          <w:tcPr>
            <w:tcW w:w="310" w:type="pct"/>
            <w:tcBorders>
              <w:top w:val="nil"/>
              <w:left w:val="nil"/>
              <w:bottom w:val="nil"/>
              <w:right w:val="nil"/>
            </w:tcBorders>
            <w:noWrap/>
            <w:vAlign w:val="bottom"/>
            <w:hideMark/>
          </w:tcPr>
          <w:p w:rsidRPr="00B736D2" w:rsidR="00322D6C" w:rsidP="00FC2172" w:rsidRDefault="00322D6C" w14:paraId="739CFF31"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w:t>
            </w:r>
          </w:p>
        </w:tc>
        <w:tc>
          <w:tcPr>
            <w:tcW w:w="310" w:type="pct"/>
            <w:tcBorders>
              <w:top w:val="nil"/>
              <w:left w:val="nil"/>
              <w:bottom w:val="nil"/>
              <w:right w:val="nil"/>
            </w:tcBorders>
            <w:noWrap/>
            <w:vAlign w:val="bottom"/>
            <w:hideMark/>
          </w:tcPr>
          <w:p w:rsidRPr="00B736D2" w:rsidR="00322D6C" w:rsidP="00FC2172" w:rsidRDefault="00322D6C" w14:paraId="68F6E054"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r>
      <w:tr w:rsidRPr="00B736D2" w:rsidR="00322D6C" w:rsidTr="00283B39" w14:paraId="3EDF1AE3" w14:textId="77777777">
        <w:trPr>
          <w:trHeight w:val="260"/>
        </w:trPr>
        <w:tc>
          <w:tcPr>
            <w:tcW w:w="590" w:type="pct"/>
            <w:gridSpan w:val="2"/>
            <w:tcBorders>
              <w:top w:val="nil"/>
              <w:left w:val="nil"/>
              <w:bottom w:val="nil"/>
              <w:right w:val="nil"/>
            </w:tcBorders>
          </w:tcPr>
          <w:p w:rsidRPr="00B736D2" w:rsidR="00322D6C" w:rsidP="00FC2172" w:rsidRDefault="00322D6C" w14:paraId="66ABD2E0" w14:textId="77777777">
            <w:pPr>
              <w:spacing w:line="240" w:lineRule="auto"/>
              <w:rPr>
                <w:rFonts w:ascii="Arial" w:hAnsi="Arial" w:cs="Arial"/>
                <w:szCs w:val="18"/>
                <w:lang w:val="en-GB" w:eastAsia="en-GB"/>
              </w:rPr>
            </w:pPr>
          </w:p>
        </w:tc>
        <w:tc>
          <w:tcPr>
            <w:tcW w:w="691" w:type="pct"/>
            <w:gridSpan w:val="2"/>
            <w:tcBorders>
              <w:top w:val="nil"/>
              <w:left w:val="nil"/>
              <w:bottom w:val="nil"/>
              <w:right w:val="nil"/>
            </w:tcBorders>
            <w:noWrap/>
            <w:vAlign w:val="bottom"/>
            <w:hideMark/>
          </w:tcPr>
          <w:p w:rsidRPr="00B736D2" w:rsidR="00322D6C" w:rsidP="00FC2172" w:rsidRDefault="00322D6C" w14:paraId="07E5FC75" w14:textId="77777777">
            <w:pPr>
              <w:spacing w:line="240" w:lineRule="auto"/>
              <w:rPr>
                <w:rFonts w:ascii="Arial" w:hAnsi="Arial" w:cs="Arial"/>
                <w:szCs w:val="18"/>
                <w:lang w:val="en-GB" w:eastAsia="en-GB"/>
              </w:rPr>
            </w:pPr>
            <w:r w:rsidRPr="00B736D2">
              <w:rPr>
                <w:rFonts w:ascii="Arial" w:hAnsi="Arial" w:cs="Arial"/>
                <w:szCs w:val="18"/>
                <w:lang w:val="en-GB" w:eastAsia="en-GB"/>
              </w:rPr>
              <w:t>MaT</w:t>
            </w:r>
          </w:p>
        </w:tc>
        <w:tc>
          <w:tcPr>
            <w:tcW w:w="310" w:type="pct"/>
            <w:tcBorders>
              <w:top w:val="nil"/>
              <w:left w:val="nil"/>
              <w:bottom w:val="nil"/>
              <w:right w:val="nil"/>
            </w:tcBorders>
            <w:noWrap/>
            <w:vAlign w:val="bottom"/>
            <w:hideMark/>
          </w:tcPr>
          <w:p w:rsidRPr="00B736D2" w:rsidR="00322D6C" w:rsidP="00FC2172" w:rsidRDefault="00322D6C" w14:paraId="1D12CC54"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7535725A"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1E70DD9C"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6AF26756"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70733AE3"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0FA6FEFE"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149118BD"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1D6EC28F"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3D2AAEC2"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297F14E8"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0B51C640"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5B2F410B"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r>
      <w:tr w:rsidRPr="00B736D2" w:rsidR="00322D6C" w:rsidTr="00283B39" w14:paraId="194E6B07" w14:textId="77777777">
        <w:trPr>
          <w:trHeight w:val="260"/>
        </w:trPr>
        <w:tc>
          <w:tcPr>
            <w:tcW w:w="101" w:type="pct"/>
            <w:tcBorders>
              <w:top w:val="nil"/>
              <w:left w:val="nil"/>
              <w:bottom w:val="nil"/>
              <w:right w:val="nil"/>
            </w:tcBorders>
            <w:noWrap/>
            <w:vAlign w:val="bottom"/>
            <w:hideMark/>
          </w:tcPr>
          <w:p w:rsidRPr="00B736D2" w:rsidR="00322D6C" w:rsidP="00FC2172" w:rsidRDefault="00322D6C" w14:paraId="101752C8" w14:textId="77777777">
            <w:pPr>
              <w:spacing w:line="240" w:lineRule="auto"/>
              <w:rPr>
                <w:rFonts w:ascii="Arial" w:hAnsi="Arial" w:cs="Arial"/>
                <w:szCs w:val="18"/>
                <w:lang w:val="en-GB" w:eastAsia="en-GB"/>
              </w:rPr>
            </w:pPr>
          </w:p>
        </w:tc>
        <w:tc>
          <w:tcPr>
            <w:tcW w:w="590" w:type="pct"/>
            <w:gridSpan w:val="2"/>
            <w:tcBorders>
              <w:top w:val="nil"/>
              <w:left w:val="nil"/>
              <w:bottom w:val="nil"/>
              <w:right w:val="nil"/>
            </w:tcBorders>
          </w:tcPr>
          <w:p w:rsidRPr="00B736D2" w:rsidR="00322D6C" w:rsidP="00FC2172" w:rsidRDefault="00322D6C" w14:paraId="35DD4B85" w14:textId="77777777">
            <w:pPr>
              <w:spacing w:line="240" w:lineRule="auto"/>
              <w:rPr>
                <w:rFonts w:ascii="Arial" w:hAnsi="Arial" w:cs="Arial"/>
                <w:szCs w:val="18"/>
                <w:lang w:val="en-GB" w:eastAsia="en-GB"/>
              </w:rPr>
            </w:pPr>
          </w:p>
        </w:tc>
        <w:tc>
          <w:tcPr>
            <w:tcW w:w="590" w:type="pct"/>
            <w:tcBorders>
              <w:top w:val="nil"/>
              <w:left w:val="nil"/>
              <w:bottom w:val="nil"/>
              <w:right w:val="nil"/>
            </w:tcBorders>
            <w:noWrap/>
            <w:vAlign w:val="bottom"/>
            <w:hideMark/>
          </w:tcPr>
          <w:p w:rsidRPr="00B736D2" w:rsidR="00322D6C" w:rsidP="00FC2172" w:rsidRDefault="00322D6C" w14:paraId="69CF6DBD" w14:textId="77777777">
            <w:pPr>
              <w:spacing w:line="240" w:lineRule="auto"/>
              <w:rPr>
                <w:rFonts w:ascii="Arial" w:hAnsi="Arial" w:cs="Arial"/>
                <w:szCs w:val="18"/>
                <w:lang w:val="en-GB" w:eastAsia="en-GB"/>
              </w:rPr>
            </w:pPr>
            <w:r w:rsidRPr="00B736D2">
              <w:rPr>
                <w:rFonts w:ascii="Arial" w:hAnsi="Arial" w:cs="Arial"/>
                <w:szCs w:val="18"/>
                <w:lang w:val="en-GB" w:eastAsia="en-GB"/>
              </w:rPr>
              <w:t>naar mbo bol</w:t>
            </w:r>
          </w:p>
        </w:tc>
        <w:tc>
          <w:tcPr>
            <w:tcW w:w="310" w:type="pct"/>
            <w:tcBorders>
              <w:top w:val="nil"/>
              <w:left w:val="nil"/>
              <w:bottom w:val="nil"/>
              <w:right w:val="nil"/>
            </w:tcBorders>
            <w:noWrap/>
            <w:vAlign w:val="bottom"/>
            <w:hideMark/>
          </w:tcPr>
          <w:p w:rsidRPr="00B736D2" w:rsidR="00322D6C" w:rsidP="00FC2172" w:rsidRDefault="00322D6C" w14:paraId="55B1D682"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54</w:t>
            </w:r>
          </w:p>
        </w:tc>
        <w:tc>
          <w:tcPr>
            <w:tcW w:w="310" w:type="pct"/>
            <w:tcBorders>
              <w:top w:val="nil"/>
              <w:left w:val="nil"/>
              <w:bottom w:val="nil"/>
              <w:right w:val="nil"/>
            </w:tcBorders>
            <w:noWrap/>
            <w:vAlign w:val="bottom"/>
            <w:hideMark/>
          </w:tcPr>
          <w:p w:rsidRPr="00B736D2" w:rsidR="00322D6C" w:rsidP="00FC2172" w:rsidRDefault="00322D6C" w14:paraId="227F13D1"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65</w:t>
            </w:r>
          </w:p>
        </w:tc>
        <w:tc>
          <w:tcPr>
            <w:tcW w:w="310" w:type="pct"/>
            <w:tcBorders>
              <w:top w:val="nil"/>
              <w:left w:val="nil"/>
              <w:bottom w:val="nil"/>
              <w:right w:val="nil"/>
            </w:tcBorders>
            <w:noWrap/>
            <w:vAlign w:val="bottom"/>
            <w:hideMark/>
          </w:tcPr>
          <w:p w:rsidRPr="00B736D2" w:rsidR="00322D6C" w:rsidP="00FC2172" w:rsidRDefault="00322D6C" w14:paraId="0028038F"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71</w:t>
            </w:r>
          </w:p>
        </w:tc>
        <w:tc>
          <w:tcPr>
            <w:tcW w:w="310" w:type="pct"/>
            <w:tcBorders>
              <w:top w:val="nil"/>
              <w:left w:val="nil"/>
              <w:bottom w:val="nil"/>
              <w:right w:val="nil"/>
            </w:tcBorders>
            <w:noWrap/>
            <w:vAlign w:val="bottom"/>
            <w:hideMark/>
          </w:tcPr>
          <w:p w:rsidRPr="00B736D2" w:rsidR="00322D6C" w:rsidP="00FC2172" w:rsidRDefault="00322D6C" w14:paraId="1A1D3521"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46</w:t>
            </w:r>
          </w:p>
        </w:tc>
        <w:tc>
          <w:tcPr>
            <w:tcW w:w="310" w:type="pct"/>
            <w:tcBorders>
              <w:top w:val="nil"/>
              <w:left w:val="nil"/>
              <w:bottom w:val="nil"/>
              <w:right w:val="nil"/>
            </w:tcBorders>
            <w:noWrap/>
            <w:vAlign w:val="bottom"/>
            <w:hideMark/>
          </w:tcPr>
          <w:p w:rsidRPr="00B736D2" w:rsidR="00322D6C" w:rsidP="00FC2172" w:rsidRDefault="00322D6C" w14:paraId="6D8C04F5"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68</w:t>
            </w:r>
          </w:p>
        </w:tc>
        <w:tc>
          <w:tcPr>
            <w:tcW w:w="310" w:type="pct"/>
            <w:tcBorders>
              <w:top w:val="nil"/>
              <w:left w:val="nil"/>
              <w:bottom w:val="nil"/>
              <w:right w:val="nil"/>
            </w:tcBorders>
            <w:noWrap/>
            <w:vAlign w:val="bottom"/>
            <w:hideMark/>
          </w:tcPr>
          <w:p w:rsidRPr="00B736D2" w:rsidR="00322D6C" w:rsidP="00FC2172" w:rsidRDefault="00322D6C" w14:paraId="2FA72EA3"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82</w:t>
            </w:r>
          </w:p>
        </w:tc>
        <w:tc>
          <w:tcPr>
            <w:tcW w:w="310" w:type="pct"/>
            <w:tcBorders>
              <w:top w:val="nil"/>
              <w:left w:val="nil"/>
              <w:bottom w:val="nil"/>
              <w:right w:val="nil"/>
            </w:tcBorders>
            <w:noWrap/>
            <w:vAlign w:val="bottom"/>
            <w:hideMark/>
          </w:tcPr>
          <w:p w:rsidRPr="00B736D2" w:rsidR="00322D6C" w:rsidP="00FC2172" w:rsidRDefault="00322D6C" w14:paraId="3BB4E407"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44</w:t>
            </w:r>
          </w:p>
        </w:tc>
        <w:tc>
          <w:tcPr>
            <w:tcW w:w="310" w:type="pct"/>
            <w:tcBorders>
              <w:top w:val="nil"/>
              <w:left w:val="nil"/>
              <w:bottom w:val="nil"/>
              <w:right w:val="nil"/>
            </w:tcBorders>
            <w:noWrap/>
            <w:vAlign w:val="bottom"/>
            <w:hideMark/>
          </w:tcPr>
          <w:p w:rsidRPr="00B736D2" w:rsidR="00322D6C" w:rsidP="00FC2172" w:rsidRDefault="00322D6C" w14:paraId="259CBEF4"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78</w:t>
            </w:r>
          </w:p>
        </w:tc>
        <w:tc>
          <w:tcPr>
            <w:tcW w:w="310" w:type="pct"/>
            <w:tcBorders>
              <w:top w:val="nil"/>
              <w:left w:val="nil"/>
              <w:bottom w:val="nil"/>
              <w:right w:val="nil"/>
            </w:tcBorders>
            <w:noWrap/>
            <w:vAlign w:val="bottom"/>
            <w:hideMark/>
          </w:tcPr>
          <w:p w:rsidRPr="00B736D2" w:rsidR="00322D6C" w:rsidP="00FC2172" w:rsidRDefault="00322D6C" w14:paraId="09566B63"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75</w:t>
            </w:r>
          </w:p>
        </w:tc>
        <w:tc>
          <w:tcPr>
            <w:tcW w:w="310" w:type="pct"/>
            <w:tcBorders>
              <w:top w:val="nil"/>
              <w:left w:val="nil"/>
              <w:bottom w:val="nil"/>
              <w:right w:val="nil"/>
            </w:tcBorders>
            <w:noWrap/>
            <w:vAlign w:val="bottom"/>
            <w:hideMark/>
          </w:tcPr>
          <w:p w:rsidRPr="00B736D2" w:rsidR="00322D6C" w:rsidP="00FC2172" w:rsidRDefault="00322D6C" w14:paraId="53627926"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45</w:t>
            </w:r>
          </w:p>
        </w:tc>
        <w:tc>
          <w:tcPr>
            <w:tcW w:w="310" w:type="pct"/>
            <w:tcBorders>
              <w:top w:val="nil"/>
              <w:left w:val="nil"/>
              <w:bottom w:val="nil"/>
              <w:right w:val="nil"/>
            </w:tcBorders>
            <w:noWrap/>
            <w:vAlign w:val="bottom"/>
            <w:hideMark/>
          </w:tcPr>
          <w:p w:rsidRPr="00B736D2" w:rsidR="00322D6C" w:rsidP="00FC2172" w:rsidRDefault="00322D6C" w14:paraId="03CE8BE3"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58</w:t>
            </w:r>
          </w:p>
        </w:tc>
        <w:tc>
          <w:tcPr>
            <w:tcW w:w="310" w:type="pct"/>
            <w:tcBorders>
              <w:top w:val="nil"/>
              <w:left w:val="nil"/>
              <w:bottom w:val="nil"/>
              <w:right w:val="nil"/>
            </w:tcBorders>
            <w:noWrap/>
            <w:vAlign w:val="bottom"/>
            <w:hideMark/>
          </w:tcPr>
          <w:p w:rsidRPr="00B736D2" w:rsidR="00322D6C" w:rsidP="00FC2172" w:rsidRDefault="00322D6C" w14:paraId="25D93837"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71</w:t>
            </w:r>
          </w:p>
        </w:tc>
      </w:tr>
      <w:tr w:rsidRPr="00B736D2" w:rsidR="00322D6C" w:rsidTr="00283B39" w14:paraId="460DC478" w14:textId="77777777">
        <w:trPr>
          <w:trHeight w:val="260"/>
        </w:trPr>
        <w:tc>
          <w:tcPr>
            <w:tcW w:w="101" w:type="pct"/>
            <w:tcBorders>
              <w:top w:val="nil"/>
              <w:left w:val="nil"/>
              <w:bottom w:val="nil"/>
              <w:right w:val="nil"/>
            </w:tcBorders>
            <w:noWrap/>
            <w:vAlign w:val="bottom"/>
            <w:hideMark/>
          </w:tcPr>
          <w:p w:rsidRPr="00B736D2" w:rsidR="00322D6C" w:rsidP="00FC2172" w:rsidRDefault="00322D6C" w14:paraId="706CA53C" w14:textId="77777777">
            <w:pPr>
              <w:spacing w:line="240" w:lineRule="auto"/>
              <w:jc w:val="right"/>
              <w:rPr>
                <w:rFonts w:ascii="Arial" w:hAnsi="Arial" w:cs="Arial"/>
                <w:szCs w:val="18"/>
                <w:lang w:val="en-GB" w:eastAsia="en-GB"/>
              </w:rPr>
            </w:pPr>
          </w:p>
        </w:tc>
        <w:tc>
          <w:tcPr>
            <w:tcW w:w="590" w:type="pct"/>
            <w:gridSpan w:val="2"/>
            <w:tcBorders>
              <w:top w:val="nil"/>
              <w:left w:val="nil"/>
              <w:bottom w:val="nil"/>
              <w:right w:val="nil"/>
            </w:tcBorders>
          </w:tcPr>
          <w:p w:rsidRPr="00B736D2" w:rsidR="00322D6C" w:rsidP="00FC2172" w:rsidRDefault="00322D6C" w14:paraId="4D41099D" w14:textId="77777777">
            <w:pPr>
              <w:spacing w:line="240" w:lineRule="auto"/>
              <w:rPr>
                <w:rFonts w:ascii="Arial" w:hAnsi="Arial" w:cs="Arial"/>
                <w:szCs w:val="18"/>
                <w:lang w:val="en-GB" w:eastAsia="en-GB"/>
              </w:rPr>
            </w:pPr>
          </w:p>
        </w:tc>
        <w:tc>
          <w:tcPr>
            <w:tcW w:w="590" w:type="pct"/>
            <w:tcBorders>
              <w:top w:val="nil"/>
              <w:left w:val="nil"/>
              <w:bottom w:val="nil"/>
              <w:right w:val="nil"/>
            </w:tcBorders>
            <w:noWrap/>
            <w:vAlign w:val="bottom"/>
            <w:hideMark/>
          </w:tcPr>
          <w:p w:rsidRPr="00B736D2" w:rsidR="00322D6C" w:rsidP="00FC2172" w:rsidRDefault="00322D6C" w14:paraId="130BE9C2" w14:textId="77777777">
            <w:pPr>
              <w:spacing w:line="240" w:lineRule="auto"/>
              <w:rPr>
                <w:rFonts w:ascii="Arial" w:hAnsi="Arial" w:cs="Arial"/>
                <w:szCs w:val="18"/>
                <w:lang w:val="en-GB" w:eastAsia="en-GB"/>
              </w:rPr>
            </w:pPr>
            <w:r w:rsidRPr="00B736D2">
              <w:rPr>
                <w:rFonts w:ascii="Arial" w:hAnsi="Arial" w:cs="Arial"/>
                <w:szCs w:val="18"/>
                <w:lang w:val="en-GB" w:eastAsia="en-GB"/>
              </w:rPr>
              <w:t>naar mbo bbl</w:t>
            </w:r>
          </w:p>
        </w:tc>
        <w:tc>
          <w:tcPr>
            <w:tcW w:w="310" w:type="pct"/>
            <w:tcBorders>
              <w:top w:val="nil"/>
              <w:left w:val="nil"/>
              <w:bottom w:val="nil"/>
              <w:right w:val="nil"/>
            </w:tcBorders>
            <w:noWrap/>
            <w:vAlign w:val="bottom"/>
            <w:hideMark/>
          </w:tcPr>
          <w:p w:rsidRPr="00B736D2" w:rsidR="00322D6C" w:rsidP="00FC2172" w:rsidRDefault="00322D6C" w14:paraId="4B136DCD"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32</w:t>
            </w:r>
          </w:p>
        </w:tc>
        <w:tc>
          <w:tcPr>
            <w:tcW w:w="310" w:type="pct"/>
            <w:tcBorders>
              <w:top w:val="nil"/>
              <w:left w:val="nil"/>
              <w:bottom w:val="nil"/>
              <w:right w:val="nil"/>
            </w:tcBorders>
            <w:noWrap/>
            <w:vAlign w:val="bottom"/>
            <w:hideMark/>
          </w:tcPr>
          <w:p w:rsidRPr="00B736D2" w:rsidR="00322D6C" w:rsidP="00FC2172" w:rsidRDefault="00322D6C" w14:paraId="43681F66"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34</w:t>
            </w:r>
          </w:p>
        </w:tc>
        <w:tc>
          <w:tcPr>
            <w:tcW w:w="310" w:type="pct"/>
            <w:tcBorders>
              <w:top w:val="nil"/>
              <w:left w:val="nil"/>
              <w:bottom w:val="nil"/>
              <w:right w:val="nil"/>
            </w:tcBorders>
            <w:noWrap/>
            <w:vAlign w:val="bottom"/>
            <w:hideMark/>
          </w:tcPr>
          <w:p w:rsidRPr="00B736D2" w:rsidR="00322D6C" w:rsidP="00FC2172" w:rsidRDefault="00322D6C" w14:paraId="0C89624D"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23</w:t>
            </w:r>
          </w:p>
        </w:tc>
        <w:tc>
          <w:tcPr>
            <w:tcW w:w="310" w:type="pct"/>
            <w:tcBorders>
              <w:top w:val="nil"/>
              <w:left w:val="nil"/>
              <w:bottom w:val="nil"/>
              <w:right w:val="nil"/>
            </w:tcBorders>
            <w:noWrap/>
            <w:vAlign w:val="bottom"/>
            <w:hideMark/>
          </w:tcPr>
          <w:p w:rsidRPr="00B736D2" w:rsidR="00322D6C" w:rsidP="00FC2172" w:rsidRDefault="00322D6C" w14:paraId="0D8CDA13"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32</w:t>
            </w:r>
          </w:p>
        </w:tc>
        <w:tc>
          <w:tcPr>
            <w:tcW w:w="310" w:type="pct"/>
            <w:tcBorders>
              <w:top w:val="nil"/>
              <w:left w:val="nil"/>
              <w:bottom w:val="nil"/>
              <w:right w:val="nil"/>
            </w:tcBorders>
            <w:noWrap/>
            <w:vAlign w:val="bottom"/>
            <w:hideMark/>
          </w:tcPr>
          <w:p w:rsidRPr="00B736D2" w:rsidR="00322D6C" w:rsidP="00FC2172" w:rsidRDefault="00322D6C" w14:paraId="6F96C3EC"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27</w:t>
            </w:r>
          </w:p>
        </w:tc>
        <w:tc>
          <w:tcPr>
            <w:tcW w:w="310" w:type="pct"/>
            <w:tcBorders>
              <w:top w:val="nil"/>
              <w:left w:val="nil"/>
              <w:bottom w:val="nil"/>
              <w:right w:val="nil"/>
            </w:tcBorders>
            <w:noWrap/>
            <w:vAlign w:val="bottom"/>
            <w:hideMark/>
          </w:tcPr>
          <w:p w:rsidRPr="00B736D2" w:rsidR="00322D6C" w:rsidP="00FC2172" w:rsidRDefault="00322D6C" w14:paraId="05E71758"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15</w:t>
            </w:r>
          </w:p>
        </w:tc>
        <w:tc>
          <w:tcPr>
            <w:tcW w:w="310" w:type="pct"/>
            <w:tcBorders>
              <w:top w:val="nil"/>
              <w:left w:val="nil"/>
              <w:bottom w:val="nil"/>
              <w:right w:val="nil"/>
            </w:tcBorders>
            <w:noWrap/>
            <w:vAlign w:val="bottom"/>
            <w:hideMark/>
          </w:tcPr>
          <w:p w:rsidRPr="00B736D2" w:rsidR="00322D6C" w:rsidP="00FC2172" w:rsidRDefault="00322D6C" w14:paraId="0D773FF2"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32</w:t>
            </w:r>
          </w:p>
        </w:tc>
        <w:tc>
          <w:tcPr>
            <w:tcW w:w="310" w:type="pct"/>
            <w:tcBorders>
              <w:top w:val="nil"/>
              <w:left w:val="nil"/>
              <w:bottom w:val="nil"/>
              <w:right w:val="nil"/>
            </w:tcBorders>
            <w:noWrap/>
            <w:vAlign w:val="bottom"/>
            <w:hideMark/>
          </w:tcPr>
          <w:p w:rsidRPr="00B736D2" w:rsidR="00322D6C" w:rsidP="00FC2172" w:rsidRDefault="00322D6C" w14:paraId="32DCEA80"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18</w:t>
            </w:r>
          </w:p>
        </w:tc>
        <w:tc>
          <w:tcPr>
            <w:tcW w:w="310" w:type="pct"/>
            <w:tcBorders>
              <w:top w:val="nil"/>
              <w:left w:val="nil"/>
              <w:bottom w:val="nil"/>
              <w:right w:val="nil"/>
            </w:tcBorders>
            <w:noWrap/>
            <w:vAlign w:val="bottom"/>
            <w:hideMark/>
          </w:tcPr>
          <w:p w:rsidRPr="00B736D2" w:rsidR="00322D6C" w:rsidP="00FC2172" w:rsidRDefault="00322D6C" w14:paraId="601D0431"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18</w:t>
            </w:r>
          </w:p>
        </w:tc>
        <w:tc>
          <w:tcPr>
            <w:tcW w:w="310" w:type="pct"/>
            <w:tcBorders>
              <w:top w:val="nil"/>
              <w:left w:val="nil"/>
              <w:bottom w:val="nil"/>
              <w:right w:val="nil"/>
            </w:tcBorders>
            <w:noWrap/>
            <w:vAlign w:val="bottom"/>
            <w:hideMark/>
          </w:tcPr>
          <w:p w:rsidRPr="00B736D2" w:rsidR="00322D6C" w:rsidP="00FC2172" w:rsidRDefault="00322D6C" w14:paraId="5436C7E2"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34</w:t>
            </w:r>
          </w:p>
        </w:tc>
        <w:tc>
          <w:tcPr>
            <w:tcW w:w="310" w:type="pct"/>
            <w:tcBorders>
              <w:top w:val="nil"/>
              <w:left w:val="nil"/>
              <w:bottom w:val="nil"/>
              <w:right w:val="nil"/>
            </w:tcBorders>
            <w:noWrap/>
            <w:vAlign w:val="bottom"/>
            <w:hideMark/>
          </w:tcPr>
          <w:p w:rsidRPr="00B736D2" w:rsidR="00322D6C" w:rsidP="00FC2172" w:rsidRDefault="00322D6C" w14:paraId="549EFB26"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39</w:t>
            </w:r>
          </w:p>
        </w:tc>
        <w:tc>
          <w:tcPr>
            <w:tcW w:w="310" w:type="pct"/>
            <w:tcBorders>
              <w:top w:val="nil"/>
              <w:left w:val="nil"/>
              <w:bottom w:val="nil"/>
              <w:right w:val="nil"/>
            </w:tcBorders>
            <w:noWrap/>
            <w:vAlign w:val="bottom"/>
            <w:hideMark/>
          </w:tcPr>
          <w:p w:rsidRPr="00B736D2" w:rsidR="00322D6C" w:rsidP="00FC2172" w:rsidRDefault="00322D6C" w14:paraId="7215B6AB"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25</w:t>
            </w:r>
          </w:p>
        </w:tc>
      </w:tr>
      <w:tr w:rsidRPr="00B736D2" w:rsidR="00322D6C" w:rsidTr="00283B39" w14:paraId="2C870E98" w14:textId="77777777">
        <w:trPr>
          <w:trHeight w:val="260"/>
        </w:trPr>
        <w:tc>
          <w:tcPr>
            <w:tcW w:w="101" w:type="pct"/>
            <w:tcBorders>
              <w:top w:val="nil"/>
              <w:left w:val="nil"/>
              <w:bottom w:val="nil"/>
              <w:right w:val="nil"/>
            </w:tcBorders>
            <w:noWrap/>
            <w:vAlign w:val="bottom"/>
            <w:hideMark/>
          </w:tcPr>
          <w:p w:rsidRPr="00B736D2" w:rsidR="00322D6C" w:rsidP="00FC2172" w:rsidRDefault="00322D6C" w14:paraId="1936FD4C" w14:textId="77777777">
            <w:pPr>
              <w:spacing w:line="240" w:lineRule="auto"/>
              <w:jc w:val="right"/>
              <w:rPr>
                <w:rFonts w:ascii="Arial" w:hAnsi="Arial" w:cs="Arial"/>
                <w:szCs w:val="18"/>
                <w:lang w:val="en-GB" w:eastAsia="en-GB"/>
              </w:rPr>
            </w:pPr>
          </w:p>
        </w:tc>
        <w:tc>
          <w:tcPr>
            <w:tcW w:w="590" w:type="pct"/>
            <w:gridSpan w:val="2"/>
            <w:tcBorders>
              <w:top w:val="nil"/>
              <w:left w:val="nil"/>
              <w:bottom w:val="nil"/>
              <w:right w:val="nil"/>
            </w:tcBorders>
          </w:tcPr>
          <w:p w:rsidRPr="00B736D2" w:rsidR="00322D6C" w:rsidP="00FC2172" w:rsidRDefault="00322D6C" w14:paraId="10A779CF" w14:textId="77777777">
            <w:pPr>
              <w:spacing w:line="240" w:lineRule="auto"/>
              <w:rPr>
                <w:rFonts w:ascii="Arial" w:hAnsi="Arial" w:cs="Arial"/>
                <w:szCs w:val="18"/>
                <w:lang w:val="en-GB" w:eastAsia="en-GB"/>
              </w:rPr>
            </w:pPr>
          </w:p>
        </w:tc>
        <w:tc>
          <w:tcPr>
            <w:tcW w:w="590" w:type="pct"/>
            <w:tcBorders>
              <w:top w:val="nil"/>
              <w:left w:val="nil"/>
              <w:bottom w:val="nil"/>
              <w:right w:val="nil"/>
            </w:tcBorders>
            <w:noWrap/>
            <w:vAlign w:val="bottom"/>
            <w:hideMark/>
          </w:tcPr>
          <w:p w:rsidRPr="00B736D2" w:rsidR="00322D6C" w:rsidP="00FC2172" w:rsidRDefault="00322D6C" w14:paraId="6DA00DF2" w14:textId="77777777">
            <w:pPr>
              <w:spacing w:line="240" w:lineRule="auto"/>
              <w:rPr>
                <w:rFonts w:ascii="Arial" w:hAnsi="Arial" w:cs="Arial"/>
                <w:szCs w:val="18"/>
                <w:lang w:val="en-GB" w:eastAsia="en-GB"/>
              </w:rPr>
            </w:pPr>
            <w:r w:rsidRPr="00B736D2">
              <w:rPr>
                <w:rFonts w:ascii="Arial" w:hAnsi="Arial" w:cs="Arial"/>
                <w:szCs w:val="18"/>
                <w:lang w:val="en-GB" w:eastAsia="en-GB"/>
              </w:rPr>
              <w:t>naar havo/vwo</w:t>
            </w:r>
          </w:p>
        </w:tc>
        <w:tc>
          <w:tcPr>
            <w:tcW w:w="310" w:type="pct"/>
            <w:tcBorders>
              <w:top w:val="nil"/>
              <w:left w:val="nil"/>
              <w:bottom w:val="nil"/>
              <w:right w:val="nil"/>
            </w:tcBorders>
            <w:noWrap/>
            <w:vAlign w:val="bottom"/>
            <w:hideMark/>
          </w:tcPr>
          <w:p w:rsidRPr="00B736D2" w:rsidR="00322D6C" w:rsidP="00FC2172" w:rsidRDefault="00322D6C" w14:paraId="3043E5BD"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37D161FF"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76A94169"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w:t>
            </w:r>
          </w:p>
        </w:tc>
        <w:tc>
          <w:tcPr>
            <w:tcW w:w="310" w:type="pct"/>
            <w:tcBorders>
              <w:top w:val="nil"/>
              <w:left w:val="nil"/>
              <w:bottom w:val="nil"/>
              <w:right w:val="nil"/>
            </w:tcBorders>
            <w:noWrap/>
            <w:vAlign w:val="bottom"/>
            <w:hideMark/>
          </w:tcPr>
          <w:p w:rsidRPr="00B736D2" w:rsidR="00322D6C" w:rsidP="00FC2172" w:rsidRDefault="00322D6C" w14:paraId="563F47D0"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54B2DB57"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6C957E35"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3E179CC8"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2AE6834B"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68479788"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w:t>
            </w:r>
          </w:p>
        </w:tc>
        <w:tc>
          <w:tcPr>
            <w:tcW w:w="310" w:type="pct"/>
            <w:tcBorders>
              <w:top w:val="nil"/>
              <w:left w:val="nil"/>
              <w:bottom w:val="nil"/>
              <w:right w:val="nil"/>
            </w:tcBorders>
            <w:noWrap/>
            <w:vAlign w:val="bottom"/>
            <w:hideMark/>
          </w:tcPr>
          <w:p w:rsidRPr="00B736D2" w:rsidR="00322D6C" w:rsidP="00FC2172" w:rsidRDefault="00322D6C" w14:paraId="1D8D1A98"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4941F90F"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02FC8500"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r>
      <w:tr w:rsidRPr="00B736D2" w:rsidR="00322D6C" w:rsidTr="00283B39" w14:paraId="6DB871A7" w14:textId="77777777">
        <w:trPr>
          <w:trHeight w:val="260"/>
        </w:trPr>
        <w:tc>
          <w:tcPr>
            <w:tcW w:w="101" w:type="pct"/>
            <w:tcBorders>
              <w:top w:val="nil"/>
              <w:left w:val="nil"/>
              <w:bottom w:val="nil"/>
              <w:right w:val="nil"/>
            </w:tcBorders>
            <w:noWrap/>
            <w:vAlign w:val="bottom"/>
            <w:hideMark/>
          </w:tcPr>
          <w:p w:rsidRPr="00B736D2" w:rsidR="00322D6C" w:rsidP="00FC2172" w:rsidRDefault="00322D6C" w14:paraId="54479C89" w14:textId="77777777">
            <w:pPr>
              <w:spacing w:line="240" w:lineRule="auto"/>
              <w:jc w:val="right"/>
              <w:rPr>
                <w:rFonts w:ascii="Arial" w:hAnsi="Arial" w:cs="Arial"/>
                <w:szCs w:val="18"/>
                <w:lang w:val="en-GB" w:eastAsia="en-GB"/>
              </w:rPr>
            </w:pPr>
          </w:p>
        </w:tc>
        <w:tc>
          <w:tcPr>
            <w:tcW w:w="590" w:type="pct"/>
            <w:gridSpan w:val="2"/>
            <w:tcBorders>
              <w:top w:val="nil"/>
              <w:left w:val="nil"/>
              <w:bottom w:val="nil"/>
              <w:right w:val="nil"/>
            </w:tcBorders>
          </w:tcPr>
          <w:p w:rsidRPr="00B736D2" w:rsidR="00322D6C" w:rsidP="00FC2172" w:rsidRDefault="00322D6C" w14:paraId="0A64F967" w14:textId="77777777">
            <w:pPr>
              <w:spacing w:line="240" w:lineRule="auto"/>
              <w:rPr>
                <w:rFonts w:ascii="Arial" w:hAnsi="Arial" w:cs="Arial"/>
                <w:szCs w:val="18"/>
                <w:lang w:val="en-GB" w:eastAsia="en-GB"/>
              </w:rPr>
            </w:pPr>
          </w:p>
        </w:tc>
        <w:tc>
          <w:tcPr>
            <w:tcW w:w="590" w:type="pct"/>
            <w:tcBorders>
              <w:top w:val="nil"/>
              <w:left w:val="nil"/>
              <w:bottom w:val="nil"/>
              <w:right w:val="nil"/>
            </w:tcBorders>
            <w:noWrap/>
            <w:vAlign w:val="bottom"/>
            <w:hideMark/>
          </w:tcPr>
          <w:p w:rsidRPr="00B736D2" w:rsidR="00322D6C" w:rsidP="00FC2172" w:rsidRDefault="00322D6C" w14:paraId="5A4D10E7" w14:textId="77777777">
            <w:pPr>
              <w:spacing w:line="240" w:lineRule="auto"/>
              <w:rPr>
                <w:rFonts w:ascii="Arial" w:hAnsi="Arial" w:cs="Arial"/>
                <w:szCs w:val="18"/>
                <w:lang w:val="en-GB" w:eastAsia="en-GB"/>
              </w:rPr>
            </w:pPr>
            <w:r w:rsidRPr="00B736D2">
              <w:rPr>
                <w:rFonts w:ascii="Arial" w:hAnsi="Arial" w:cs="Arial"/>
                <w:szCs w:val="18"/>
                <w:lang w:val="en-GB" w:eastAsia="en-GB"/>
              </w:rPr>
              <w:t>blijft in vmbo</w:t>
            </w:r>
          </w:p>
        </w:tc>
        <w:tc>
          <w:tcPr>
            <w:tcW w:w="310" w:type="pct"/>
            <w:tcBorders>
              <w:top w:val="nil"/>
              <w:left w:val="nil"/>
              <w:bottom w:val="nil"/>
              <w:right w:val="nil"/>
            </w:tcBorders>
            <w:noWrap/>
            <w:vAlign w:val="bottom"/>
            <w:hideMark/>
          </w:tcPr>
          <w:p w:rsidRPr="00B736D2" w:rsidR="00322D6C" w:rsidP="00FC2172" w:rsidRDefault="00322D6C" w14:paraId="598E65A7"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10</w:t>
            </w:r>
          </w:p>
        </w:tc>
        <w:tc>
          <w:tcPr>
            <w:tcW w:w="310" w:type="pct"/>
            <w:tcBorders>
              <w:top w:val="nil"/>
              <w:left w:val="nil"/>
              <w:bottom w:val="nil"/>
              <w:right w:val="nil"/>
            </w:tcBorders>
            <w:noWrap/>
            <w:vAlign w:val="bottom"/>
            <w:hideMark/>
          </w:tcPr>
          <w:p w:rsidRPr="00B736D2" w:rsidR="00322D6C" w:rsidP="00FC2172" w:rsidRDefault="00322D6C" w14:paraId="46DE9B8C"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65022891"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w:t>
            </w:r>
          </w:p>
        </w:tc>
        <w:tc>
          <w:tcPr>
            <w:tcW w:w="310" w:type="pct"/>
            <w:tcBorders>
              <w:top w:val="nil"/>
              <w:left w:val="nil"/>
              <w:bottom w:val="nil"/>
              <w:right w:val="nil"/>
            </w:tcBorders>
            <w:noWrap/>
            <w:vAlign w:val="bottom"/>
            <w:hideMark/>
          </w:tcPr>
          <w:p w:rsidRPr="00B736D2" w:rsidR="00322D6C" w:rsidP="00FC2172" w:rsidRDefault="00322D6C" w14:paraId="1EDB334C"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14</w:t>
            </w:r>
          </w:p>
        </w:tc>
        <w:tc>
          <w:tcPr>
            <w:tcW w:w="310" w:type="pct"/>
            <w:tcBorders>
              <w:top w:val="nil"/>
              <w:left w:val="nil"/>
              <w:bottom w:val="nil"/>
              <w:right w:val="nil"/>
            </w:tcBorders>
            <w:noWrap/>
            <w:vAlign w:val="bottom"/>
            <w:hideMark/>
          </w:tcPr>
          <w:p w:rsidRPr="00B736D2" w:rsidR="00322D6C" w:rsidP="00FC2172" w:rsidRDefault="00322D6C" w14:paraId="5A4B9E4F"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w:t>
            </w:r>
          </w:p>
        </w:tc>
        <w:tc>
          <w:tcPr>
            <w:tcW w:w="310" w:type="pct"/>
            <w:tcBorders>
              <w:top w:val="nil"/>
              <w:left w:val="nil"/>
              <w:bottom w:val="nil"/>
              <w:right w:val="nil"/>
            </w:tcBorders>
            <w:noWrap/>
            <w:vAlign w:val="bottom"/>
            <w:hideMark/>
          </w:tcPr>
          <w:p w:rsidRPr="00B736D2" w:rsidR="00322D6C" w:rsidP="00FC2172" w:rsidRDefault="00322D6C" w14:paraId="22052347"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w:t>
            </w:r>
          </w:p>
        </w:tc>
        <w:tc>
          <w:tcPr>
            <w:tcW w:w="310" w:type="pct"/>
            <w:tcBorders>
              <w:top w:val="nil"/>
              <w:left w:val="nil"/>
              <w:bottom w:val="nil"/>
              <w:right w:val="nil"/>
            </w:tcBorders>
            <w:noWrap/>
            <w:vAlign w:val="bottom"/>
            <w:hideMark/>
          </w:tcPr>
          <w:p w:rsidRPr="00B736D2" w:rsidR="00322D6C" w:rsidP="00FC2172" w:rsidRDefault="00322D6C" w14:paraId="3A2727D2"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15</w:t>
            </w:r>
          </w:p>
        </w:tc>
        <w:tc>
          <w:tcPr>
            <w:tcW w:w="310" w:type="pct"/>
            <w:tcBorders>
              <w:top w:val="nil"/>
              <w:left w:val="nil"/>
              <w:bottom w:val="nil"/>
              <w:right w:val="nil"/>
            </w:tcBorders>
            <w:noWrap/>
            <w:vAlign w:val="bottom"/>
            <w:hideMark/>
          </w:tcPr>
          <w:p w:rsidRPr="00B736D2" w:rsidR="00322D6C" w:rsidP="00FC2172" w:rsidRDefault="00322D6C" w14:paraId="0B2F72A4"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nil"/>
              <w:right w:val="nil"/>
            </w:tcBorders>
            <w:noWrap/>
            <w:vAlign w:val="bottom"/>
            <w:hideMark/>
          </w:tcPr>
          <w:p w:rsidRPr="00B736D2" w:rsidR="00322D6C" w:rsidP="00FC2172" w:rsidRDefault="00322D6C" w14:paraId="364DBEC4"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w:t>
            </w:r>
          </w:p>
        </w:tc>
        <w:tc>
          <w:tcPr>
            <w:tcW w:w="310" w:type="pct"/>
            <w:tcBorders>
              <w:top w:val="nil"/>
              <w:left w:val="nil"/>
              <w:bottom w:val="nil"/>
              <w:right w:val="nil"/>
            </w:tcBorders>
            <w:noWrap/>
            <w:vAlign w:val="bottom"/>
            <w:hideMark/>
          </w:tcPr>
          <w:p w:rsidRPr="00B736D2" w:rsidR="00322D6C" w:rsidP="00FC2172" w:rsidRDefault="00322D6C" w14:paraId="5F9C4017"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9</w:t>
            </w:r>
          </w:p>
        </w:tc>
        <w:tc>
          <w:tcPr>
            <w:tcW w:w="310" w:type="pct"/>
            <w:tcBorders>
              <w:top w:val="nil"/>
              <w:left w:val="nil"/>
              <w:bottom w:val="nil"/>
              <w:right w:val="nil"/>
            </w:tcBorders>
            <w:noWrap/>
            <w:vAlign w:val="bottom"/>
            <w:hideMark/>
          </w:tcPr>
          <w:p w:rsidRPr="00B736D2" w:rsidR="00322D6C" w:rsidP="00FC2172" w:rsidRDefault="00322D6C" w14:paraId="085398DC"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w:t>
            </w:r>
          </w:p>
        </w:tc>
        <w:tc>
          <w:tcPr>
            <w:tcW w:w="310" w:type="pct"/>
            <w:tcBorders>
              <w:top w:val="nil"/>
              <w:left w:val="nil"/>
              <w:bottom w:val="nil"/>
              <w:right w:val="nil"/>
            </w:tcBorders>
            <w:noWrap/>
            <w:vAlign w:val="bottom"/>
            <w:hideMark/>
          </w:tcPr>
          <w:p w:rsidRPr="00B736D2" w:rsidR="00322D6C" w:rsidP="00FC2172" w:rsidRDefault="00322D6C" w14:paraId="0A1BF5FC"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r>
      <w:tr w:rsidRPr="00B736D2" w:rsidR="00322D6C" w:rsidTr="00283B39" w14:paraId="6EC0D827" w14:textId="77777777">
        <w:trPr>
          <w:trHeight w:val="260"/>
        </w:trPr>
        <w:tc>
          <w:tcPr>
            <w:tcW w:w="101" w:type="pct"/>
            <w:tcBorders>
              <w:top w:val="nil"/>
              <w:left w:val="nil"/>
              <w:bottom w:val="nil"/>
              <w:right w:val="nil"/>
            </w:tcBorders>
            <w:noWrap/>
            <w:vAlign w:val="bottom"/>
            <w:hideMark/>
          </w:tcPr>
          <w:p w:rsidRPr="00B736D2" w:rsidR="00322D6C" w:rsidP="00FC2172" w:rsidRDefault="00322D6C" w14:paraId="57ECFAD8" w14:textId="77777777">
            <w:pPr>
              <w:spacing w:line="240" w:lineRule="auto"/>
              <w:rPr>
                <w:rFonts w:ascii="Arial" w:hAnsi="Arial" w:cs="Arial"/>
                <w:szCs w:val="18"/>
                <w:lang w:val="en-GB" w:eastAsia="en-GB"/>
              </w:rPr>
            </w:pPr>
          </w:p>
        </w:tc>
        <w:tc>
          <w:tcPr>
            <w:tcW w:w="590" w:type="pct"/>
            <w:gridSpan w:val="2"/>
            <w:tcBorders>
              <w:top w:val="nil"/>
              <w:left w:val="nil"/>
              <w:bottom w:val="nil"/>
              <w:right w:val="nil"/>
            </w:tcBorders>
          </w:tcPr>
          <w:p w:rsidRPr="00B736D2" w:rsidR="00322D6C" w:rsidP="00FC2172" w:rsidRDefault="00322D6C" w14:paraId="03DC8A10" w14:textId="77777777">
            <w:pPr>
              <w:spacing w:line="240" w:lineRule="auto"/>
              <w:rPr>
                <w:rFonts w:ascii="Arial" w:hAnsi="Arial" w:cs="Arial"/>
                <w:szCs w:val="18"/>
                <w:lang w:val="en-GB" w:eastAsia="en-GB"/>
              </w:rPr>
            </w:pPr>
          </w:p>
        </w:tc>
        <w:tc>
          <w:tcPr>
            <w:tcW w:w="590" w:type="pct"/>
            <w:tcBorders>
              <w:top w:val="nil"/>
              <w:left w:val="nil"/>
              <w:bottom w:val="nil"/>
              <w:right w:val="nil"/>
            </w:tcBorders>
            <w:noWrap/>
            <w:vAlign w:val="bottom"/>
            <w:hideMark/>
          </w:tcPr>
          <w:p w:rsidRPr="00B736D2" w:rsidR="00322D6C" w:rsidP="00FC2172" w:rsidRDefault="00322D6C" w14:paraId="39600EF4" w14:textId="77777777">
            <w:pPr>
              <w:spacing w:line="240" w:lineRule="auto"/>
              <w:rPr>
                <w:rFonts w:ascii="Arial" w:hAnsi="Arial" w:cs="Arial"/>
                <w:szCs w:val="18"/>
                <w:lang w:val="en-GB" w:eastAsia="en-GB"/>
              </w:rPr>
            </w:pPr>
            <w:r w:rsidRPr="00B736D2">
              <w:rPr>
                <w:rFonts w:ascii="Arial" w:hAnsi="Arial" w:cs="Arial"/>
                <w:szCs w:val="18"/>
                <w:lang w:val="en-GB" w:eastAsia="en-GB"/>
              </w:rPr>
              <w:t>naar overig</w:t>
            </w:r>
          </w:p>
        </w:tc>
        <w:tc>
          <w:tcPr>
            <w:tcW w:w="310" w:type="pct"/>
            <w:tcBorders>
              <w:top w:val="nil"/>
              <w:left w:val="nil"/>
              <w:bottom w:val="nil"/>
              <w:right w:val="nil"/>
            </w:tcBorders>
            <w:noWrap/>
            <w:vAlign w:val="bottom"/>
            <w:hideMark/>
          </w:tcPr>
          <w:p w:rsidRPr="00B736D2" w:rsidR="00322D6C" w:rsidP="00FC2172" w:rsidRDefault="00322D6C" w14:paraId="352A825B"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w:t>
            </w:r>
          </w:p>
        </w:tc>
        <w:tc>
          <w:tcPr>
            <w:tcW w:w="310" w:type="pct"/>
            <w:tcBorders>
              <w:top w:val="nil"/>
              <w:left w:val="nil"/>
              <w:bottom w:val="nil"/>
              <w:right w:val="nil"/>
            </w:tcBorders>
            <w:noWrap/>
            <w:vAlign w:val="bottom"/>
            <w:hideMark/>
          </w:tcPr>
          <w:p w:rsidRPr="00B736D2" w:rsidR="00322D6C" w:rsidP="00FC2172" w:rsidRDefault="00322D6C" w14:paraId="3AD79D1F"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w:t>
            </w:r>
          </w:p>
        </w:tc>
        <w:tc>
          <w:tcPr>
            <w:tcW w:w="310" w:type="pct"/>
            <w:tcBorders>
              <w:top w:val="nil"/>
              <w:left w:val="nil"/>
              <w:bottom w:val="nil"/>
              <w:right w:val="nil"/>
            </w:tcBorders>
            <w:noWrap/>
            <w:vAlign w:val="bottom"/>
            <w:hideMark/>
          </w:tcPr>
          <w:p w:rsidRPr="00B736D2" w:rsidR="00322D6C" w:rsidP="00FC2172" w:rsidRDefault="00322D6C" w14:paraId="7CB393B6"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1036AB13"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8</w:t>
            </w:r>
          </w:p>
        </w:tc>
        <w:tc>
          <w:tcPr>
            <w:tcW w:w="310" w:type="pct"/>
            <w:tcBorders>
              <w:top w:val="nil"/>
              <w:left w:val="nil"/>
              <w:bottom w:val="nil"/>
              <w:right w:val="nil"/>
            </w:tcBorders>
            <w:noWrap/>
            <w:vAlign w:val="bottom"/>
            <w:hideMark/>
          </w:tcPr>
          <w:p w:rsidRPr="00B736D2" w:rsidR="00322D6C" w:rsidP="00FC2172" w:rsidRDefault="00322D6C" w14:paraId="1C4DB86B"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w:t>
            </w:r>
          </w:p>
        </w:tc>
        <w:tc>
          <w:tcPr>
            <w:tcW w:w="310" w:type="pct"/>
            <w:tcBorders>
              <w:top w:val="nil"/>
              <w:left w:val="nil"/>
              <w:bottom w:val="nil"/>
              <w:right w:val="nil"/>
            </w:tcBorders>
            <w:noWrap/>
            <w:vAlign w:val="bottom"/>
            <w:hideMark/>
          </w:tcPr>
          <w:p w:rsidRPr="00B736D2" w:rsidR="00322D6C" w:rsidP="00FC2172" w:rsidRDefault="00322D6C" w14:paraId="6CA8A368"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w:t>
            </w:r>
          </w:p>
        </w:tc>
        <w:tc>
          <w:tcPr>
            <w:tcW w:w="310" w:type="pct"/>
            <w:tcBorders>
              <w:top w:val="nil"/>
              <w:left w:val="nil"/>
              <w:bottom w:val="nil"/>
              <w:right w:val="nil"/>
            </w:tcBorders>
            <w:noWrap/>
            <w:vAlign w:val="bottom"/>
            <w:hideMark/>
          </w:tcPr>
          <w:p w:rsidRPr="00B736D2" w:rsidR="00322D6C" w:rsidP="00FC2172" w:rsidRDefault="00322D6C" w14:paraId="1C91B203"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9</w:t>
            </w:r>
          </w:p>
        </w:tc>
        <w:tc>
          <w:tcPr>
            <w:tcW w:w="310" w:type="pct"/>
            <w:tcBorders>
              <w:top w:val="nil"/>
              <w:left w:val="nil"/>
              <w:bottom w:val="nil"/>
              <w:right w:val="nil"/>
            </w:tcBorders>
            <w:noWrap/>
            <w:vAlign w:val="bottom"/>
            <w:hideMark/>
          </w:tcPr>
          <w:p w:rsidRPr="00B736D2" w:rsidR="00322D6C" w:rsidP="00FC2172" w:rsidRDefault="00322D6C" w14:paraId="1C66DFDA"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nil"/>
              <w:right w:val="nil"/>
            </w:tcBorders>
            <w:noWrap/>
            <w:vAlign w:val="bottom"/>
            <w:hideMark/>
          </w:tcPr>
          <w:p w:rsidRPr="00B736D2" w:rsidR="00322D6C" w:rsidP="00FC2172" w:rsidRDefault="00322D6C" w14:paraId="31A681F7"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w:t>
            </w:r>
          </w:p>
        </w:tc>
        <w:tc>
          <w:tcPr>
            <w:tcW w:w="310" w:type="pct"/>
            <w:tcBorders>
              <w:top w:val="nil"/>
              <w:left w:val="nil"/>
              <w:bottom w:val="nil"/>
              <w:right w:val="nil"/>
            </w:tcBorders>
            <w:noWrap/>
            <w:vAlign w:val="bottom"/>
            <w:hideMark/>
          </w:tcPr>
          <w:p w:rsidRPr="00B736D2" w:rsidR="00322D6C" w:rsidP="00FC2172" w:rsidRDefault="00322D6C" w14:paraId="5BD4BD6A"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12</w:t>
            </w:r>
          </w:p>
        </w:tc>
        <w:tc>
          <w:tcPr>
            <w:tcW w:w="310" w:type="pct"/>
            <w:tcBorders>
              <w:top w:val="nil"/>
              <w:left w:val="nil"/>
              <w:bottom w:val="nil"/>
              <w:right w:val="nil"/>
            </w:tcBorders>
            <w:noWrap/>
            <w:vAlign w:val="bottom"/>
            <w:hideMark/>
          </w:tcPr>
          <w:p w:rsidRPr="00B736D2" w:rsidR="00322D6C" w:rsidP="00FC2172" w:rsidRDefault="00322D6C" w14:paraId="0B737FCD"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68FA8B5A"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r>
      <w:tr w:rsidRPr="00B736D2" w:rsidR="00322D6C" w:rsidTr="00283B39" w14:paraId="5F0ACC48" w14:textId="77777777">
        <w:trPr>
          <w:trHeight w:val="260"/>
        </w:trPr>
        <w:tc>
          <w:tcPr>
            <w:tcW w:w="590" w:type="pct"/>
            <w:gridSpan w:val="2"/>
            <w:tcBorders>
              <w:top w:val="nil"/>
              <w:left w:val="nil"/>
              <w:bottom w:val="nil"/>
              <w:right w:val="nil"/>
            </w:tcBorders>
          </w:tcPr>
          <w:p w:rsidRPr="00B736D2" w:rsidR="00322D6C" w:rsidP="00FC2172" w:rsidRDefault="00322D6C" w14:paraId="36CDED94" w14:textId="77777777">
            <w:pPr>
              <w:spacing w:line="240" w:lineRule="auto"/>
              <w:rPr>
                <w:rFonts w:ascii="Arial" w:hAnsi="Arial" w:cs="Arial"/>
                <w:szCs w:val="18"/>
                <w:lang w:val="en-GB" w:eastAsia="en-GB"/>
              </w:rPr>
            </w:pPr>
          </w:p>
        </w:tc>
        <w:tc>
          <w:tcPr>
            <w:tcW w:w="691" w:type="pct"/>
            <w:gridSpan w:val="2"/>
            <w:tcBorders>
              <w:top w:val="nil"/>
              <w:left w:val="nil"/>
              <w:bottom w:val="nil"/>
              <w:right w:val="nil"/>
            </w:tcBorders>
            <w:noWrap/>
            <w:vAlign w:val="bottom"/>
            <w:hideMark/>
          </w:tcPr>
          <w:p w:rsidRPr="00B736D2" w:rsidR="00322D6C" w:rsidP="00FC2172" w:rsidRDefault="00322D6C" w14:paraId="773155E9" w14:textId="77777777">
            <w:pPr>
              <w:spacing w:line="240" w:lineRule="auto"/>
              <w:rPr>
                <w:rFonts w:ascii="Arial" w:hAnsi="Arial" w:cs="Arial"/>
                <w:szCs w:val="18"/>
                <w:lang w:val="en-GB" w:eastAsia="en-GB"/>
              </w:rPr>
            </w:pPr>
            <w:r w:rsidRPr="00B736D2">
              <w:rPr>
                <w:rFonts w:ascii="Arial" w:hAnsi="Arial" w:cs="Arial"/>
                <w:szCs w:val="18"/>
                <w:lang w:val="en-GB" w:eastAsia="en-GB"/>
              </w:rPr>
              <w:t>MVI</w:t>
            </w:r>
          </w:p>
        </w:tc>
        <w:tc>
          <w:tcPr>
            <w:tcW w:w="310" w:type="pct"/>
            <w:tcBorders>
              <w:top w:val="nil"/>
              <w:left w:val="nil"/>
              <w:bottom w:val="nil"/>
              <w:right w:val="nil"/>
            </w:tcBorders>
            <w:noWrap/>
            <w:vAlign w:val="bottom"/>
            <w:hideMark/>
          </w:tcPr>
          <w:p w:rsidRPr="00B736D2" w:rsidR="00322D6C" w:rsidP="00FC2172" w:rsidRDefault="00322D6C" w14:paraId="3AB9D4B0"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06214652"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45937E39"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465E20A8"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24179F9B"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3952B73B"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354C1592"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42E4524A"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4C35A8F7"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419FDB88"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2CB5B50B"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51EF2928"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r>
      <w:tr w:rsidRPr="00B736D2" w:rsidR="00322D6C" w:rsidTr="00283B39" w14:paraId="7E69A1F8" w14:textId="77777777">
        <w:trPr>
          <w:trHeight w:val="260"/>
        </w:trPr>
        <w:tc>
          <w:tcPr>
            <w:tcW w:w="101" w:type="pct"/>
            <w:tcBorders>
              <w:top w:val="nil"/>
              <w:left w:val="nil"/>
              <w:bottom w:val="nil"/>
              <w:right w:val="nil"/>
            </w:tcBorders>
            <w:noWrap/>
            <w:vAlign w:val="bottom"/>
            <w:hideMark/>
          </w:tcPr>
          <w:p w:rsidRPr="00B736D2" w:rsidR="00322D6C" w:rsidP="00FC2172" w:rsidRDefault="00322D6C" w14:paraId="3C4BBD73" w14:textId="77777777">
            <w:pPr>
              <w:spacing w:line="240" w:lineRule="auto"/>
              <w:rPr>
                <w:rFonts w:ascii="Arial" w:hAnsi="Arial" w:cs="Arial"/>
                <w:szCs w:val="18"/>
                <w:lang w:val="en-GB" w:eastAsia="en-GB"/>
              </w:rPr>
            </w:pPr>
          </w:p>
        </w:tc>
        <w:tc>
          <w:tcPr>
            <w:tcW w:w="590" w:type="pct"/>
            <w:gridSpan w:val="2"/>
            <w:tcBorders>
              <w:top w:val="nil"/>
              <w:left w:val="nil"/>
              <w:bottom w:val="nil"/>
              <w:right w:val="nil"/>
            </w:tcBorders>
          </w:tcPr>
          <w:p w:rsidRPr="00B736D2" w:rsidR="00322D6C" w:rsidP="00FC2172" w:rsidRDefault="00322D6C" w14:paraId="7DFE9FDC" w14:textId="77777777">
            <w:pPr>
              <w:spacing w:line="240" w:lineRule="auto"/>
              <w:rPr>
                <w:rFonts w:ascii="Arial" w:hAnsi="Arial" w:cs="Arial"/>
                <w:szCs w:val="18"/>
                <w:lang w:val="en-GB" w:eastAsia="en-GB"/>
              </w:rPr>
            </w:pPr>
          </w:p>
        </w:tc>
        <w:tc>
          <w:tcPr>
            <w:tcW w:w="590" w:type="pct"/>
            <w:tcBorders>
              <w:top w:val="nil"/>
              <w:left w:val="nil"/>
              <w:bottom w:val="nil"/>
              <w:right w:val="nil"/>
            </w:tcBorders>
            <w:noWrap/>
            <w:vAlign w:val="bottom"/>
            <w:hideMark/>
          </w:tcPr>
          <w:p w:rsidRPr="00B736D2" w:rsidR="00322D6C" w:rsidP="00FC2172" w:rsidRDefault="00322D6C" w14:paraId="40AFAFB5" w14:textId="77777777">
            <w:pPr>
              <w:spacing w:line="240" w:lineRule="auto"/>
              <w:rPr>
                <w:rFonts w:ascii="Arial" w:hAnsi="Arial" w:cs="Arial"/>
                <w:szCs w:val="18"/>
                <w:lang w:val="en-GB" w:eastAsia="en-GB"/>
              </w:rPr>
            </w:pPr>
            <w:r w:rsidRPr="00B736D2">
              <w:rPr>
                <w:rFonts w:ascii="Arial" w:hAnsi="Arial" w:cs="Arial"/>
                <w:szCs w:val="18"/>
                <w:lang w:val="en-GB" w:eastAsia="en-GB"/>
              </w:rPr>
              <w:t>naar mbo bol</w:t>
            </w:r>
          </w:p>
        </w:tc>
        <w:tc>
          <w:tcPr>
            <w:tcW w:w="310" w:type="pct"/>
            <w:tcBorders>
              <w:top w:val="nil"/>
              <w:left w:val="nil"/>
              <w:bottom w:val="nil"/>
              <w:right w:val="nil"/>
            </w:tcBorders>
            <w:noWrap/>
            <w:vAlign w:val="bottom"/>
            <w:hideMark/>
          </w:tcPr>
          <w:p w:rsidRPr="00B736D2" w:rsidR="00322D6C" w:rsidP="00FC2172" w:rsidRDefault="00322D6C" w14:paraId="2EF47ECF"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86</w:t>
            </w:r>
          </w:p>
        </w:tc>
        <w:tc>
          <w:tcPr>
            <w:tcW w:w="310" w:type="pct"/>
            <w:tcBorders>
              <w:top w:val="nil"/>
              <w:left w:val="nil"/>
              <w:bottom w:val="nil"/>
              <w:right w:val="nil"/>
            </w:tcBorders>
            <w:noWrap/>
            <w:vAlign w:val="bottom"/>
            <w:hideMark/>
          </w:tcPr>
          <w:p w:rsidRPr="00B736D2" w:rsidR="00322D6C" w:rsidP="00FC2172" w:rsidRDefault="00322D6C" w14:paraId="74B18CAF"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94</w:t>
            </w:r>
          </w:p>
        </w:tc>
        <w:tc>
          <w:tcPr>
            <w:tcW w:w="310" w:type="pct"/>
            <w:tcBorders>
              <w:top w:val="nil"/>
              <w:left w:val="nil"/>
              <w:bottom w:val="nil"/>
              <w:right w:val="nil"/>
            </w:tcBorders>
            <w:noWrap/>
            <w:vAlign w:val="bottom"/>
            <w:hideMark/>
          </w:tcPr>
          <w:p w:rsidRPr="00B736D2" w:rsidR="00322D6C" w:rsidP="00FC2172" w:rsidRDefault="00322D6C" w14:paraId="5A6F0C56"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88</w:t>
            </w:r>
          </w:p>
        </w:tc>
        <w:tc>
          <w:tcPr>
            <w:tcW w:w="310" w:type="pct"/>
            <w:tcBorders>
              <w:top w:val="nil"/>
              <w:left w:val="nil"/>
              <w:bottom w:val="nil"/>
              <w:right w:val="nil"/>
            </w:tcBorders>
            <w:noWrap/>
            <w:vAlign w:val="bottom"/>
            <w:hideMark/>
          </w:tcPr>
          <w:p w:rsidRPr="00B736D2" w:rsidR="00322D6C" w:rsidP="00FC2172" w:rsidRDefault="00322D6C" w14:paraId="71391555"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84</w:t>
            </w:r>
          </w:p>
        </w:tc>
        <w:tc>
          <w:tcPr>
            <w:tcW w:w="310" w:type="pct"/>
            <w:tcBorders>
              <w:top w:val="nil"/>
              <w:left w:val="nil"/>
              <w:bottom w:val="nil"/>
              <w:right w:val="nil"/>
            </w:tcBorders>
            <w:noWrap/>
            <w:vAlign w:val="bottom"/>
            <w:hideMark/>
          </w:tcPr>
          <w:p w:rsidRPr="00B736D2" w:rsidR="00322D6C" w:rsidP="00FC2172" w:rsidRDefault="00322D6C" w14:paraId="35F452C5"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92</w:t>
            </w:r>
          </w:p>
        </w:tc>
        <w:tc>
          <w:tcPr>
            <w:tcW w:w="310" w:type="pct"/>
            <w:tcBorders>
              <w:top w:val="nil"/>
              <w:left w:val="nil"/>
              <w:bottom w:val="nil"/>
              <w:right w:val="nil"/>
            </w:tcBorders>
            <w:noWrap/>
            <w:vAlign w:val="bottom"/>
            <w:hideMark/>
          </w:tcPr>
          <w:p w:rsidRPr="00B736D2" w:rsidR="00322D6C" w:rsidP="00FC2172" w:rsidRDefault="00322D6C" w14:paraId="791810D3"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85</w:t>
            </w:r>
          </w:p>
        </w:tc>
        <w:tc>
          <w:tcPr>
            <w:tcW w:w="310" w:type="pct"/>
            <w:tcBorders>
              <w:top w:val="nil"/>
              <w:left w:val="nil"/>
              <w:bottom w:val="nil"/>
              <w:right w:val="nil"/>
            </w:tcBorders>
            <w:noWrap/>
            <w:vAlign w:val="bottom"/>
            <w:hideMark/>
          </w:tcPr>
          <w:p w:rsidRPr="00B736D2" w:rsidR="00322D6C" w:rsidP="00FC2172" w:rsidRDefault="00322D6C" w14:paraId="2B4A76E0"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86</w:t>
            </w:r>
          </w:p>
        </w:tc>
        <w:tc>
          <w:tcPr>
            <w:tcW w:w="310" w:type="pct"/>
            <w:tcBorders>
              <w:top w:val="nil"/>
              <w:left w:val="nil"/>
              <w:bottom w:val="nil"/>
              <w:right w:val="nil"/>
            </w:tcBorders>
            <w:noWrap/>
            <w:vAlign w:val="bottom"/>
            <w:hideMark/>
          </w:tcPr>
          <w:p w:rsidRPr="00B736D2" w:rsidR="00322D6C" w:rsidP="00FC2172" w:rsidRDefault="00322D6C" w14:paraId="62BF2B8A"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89</w:t>
            </w:r>
          </w:p>
        </w:tc>
        <w:tc>
          <w:tcPr>
            <w:tcW w:w="310" w:type="pct"/>
            <w:tcBorders>
              <w:top w:val="nil"/>
              <w:left w:val="nil"/>
              <w:bottom w:val="nil"/>
              <w:right w:val="nil"/>
            </w:tcBorders>
            <w:noWrap/>
            <w:vAlign w:val="bottom"/>
            <w:hideMark/>
          </w:tcPr>
          <w:p w:rsidRPr="00B736D2" w:rsidR="00322D6C" w:rsidP="00FC2172" w:rsidRDefault="00322D6C" w14:paraId="5AF647DD"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87</w:t>
            </w:r>
          </w:p>
        </w:tc>
        <w:tc>
          <w:tcPr>
            <w:tcW w:w="310" w:type="pct"/>
            <w:tcBorders>
              <w:top w:val="nil"/>
              <w:left w:val="nil"/>
              <w:bottom w:val="nil"/>
              <w:right w:val="nil"/>
            </w:tcBorders>
            <w:noWrap/>
            <w:vAlign w:val="bottom"/>
            <w:hideMark/>
          </w:tcPr>
          <w:p w:rsidRPr="00B736D2" w:rsidR="00322D6C" w:rsidP="00FC2172" w:rsidRDefault="00322D6C" w14:paraId="352FD75B"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84</w:t>
            </w:r>
          </w:p>
        </w:tc>
        <w:tc>
          <w:tcPr>
            <w:tcW w:w="310" w:type="pct"/>
            <w:tcBorders>
              <w:top w:val="nil"/>
              <w:left w:val="nil"/>
              <w:bottom w:val="nil"/>
              <w:right w:val="nil"/>
            </w:tcBorders>
            <w:noWrap/>
            <w:vAlign w:val="bottom"/>
            <w:hideMark/>
          </w:tcPr>
          <w:p w:rsidRPr="00B736D2" w:rsidR="00322D6C" w:rsidP="00FC2172" w:rsidRDefault="00322D6C" w14:paraId="07659162"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86</w:t>
            </w:r>
          </w:p>
        </w:tc>
        <w:tc>
          <w:tcPr>
            <w:tcW w:w="310" w:type="pct"/>
            <w:tcBorders>
              <w:top w:val="nil"/>
              <w:left w:val="nil"/>
              <w:bottom w:val="nil"/>
              <w:right w:val="nil"/>
            </w:tcBorders>
            <w:noWrap/>
            <w:vAlign w:val="bottom"/>
            <w:hideMark/>
          </w:tcPr>
          <w:p w:rsidRPr="00B736D2" w:rsidR="00322D6C" w:rsidP="00FC2172" w:rsidRDefault="00322D6C" w14:paraId="5E870F7A"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83</w:t>
            </w:r>
          </w:p>
        </w:tc>
      </w:tr>
      <w:tr w:rsidRPr="00B736D2" w:rsidR="00322D6C" w:rsidTr="00283B39" w14:paraId="2EA59E54" w14:textId="77777777">
        <w:trPr>
          <w:trHeight w:val="260"/>
        </w:trPr>
        <w:tc>
          <w:tcPr>
            <w:tcW w:w="101" w:type="pct"/>
            <w:tcBorders>
              <w:top w:val="nil"/>
              <w:left w:val="nil"/>
              <w:bottom w:val="nil"/>
              <w:right w:val="nil"/>
            </w:tcBorders>
            <w:noWrap/>
            <w:vAlign w:val="bottom"/>
            <w:hideMark/>
          </w:tcPr>
          <w:p w:rsidRPr="00B736D2" w:rsidR="00322D6C" w:rsidP="00FC2172" w:rsidRDefault="00322D6C" w14:paraId="3577A174" w14:textId="77777777">
            <w:pPr>
              <w:spacing w:line="240" w:lineRule="auto"/>
              <w:jc w:val="right"/>
              <w:rPr>
                <w:rFonts w:ascii="Arial" w:hAnsi="Arial" w:cs="Arial"/>
                <w:szCs w:val="18"/>
                <w:lang w:val="en-GB" w:eastAsia="en-GB"/>
              </w:rPr>
            </w:pPr>
          </w:p>
        </w:tc>
        <w:tc>
          <w:tcPr>
            <w:tcW w:w="590" w:type="pct"/>
            <w:gridSpan w:val="2"/>
            <w:tcBorders>
              <w:top w:val="nil"/>
              <w:left w:val="nil"/>
              <w:bottom w:val="nil"/>
              <w:right w:val="nil"/>
            </w:tcBorders>
          </w:tcPr>
          <w:p w:rsidRPr="00B736D2" w:rsidR="00322D6C" w:rsidP="00FC2172" w:rsidRDefault="00322D6C" w14:paraId="2850C4BE" w14:textId="77777777">
            <w:pPr>
              <w:spacing w:line="240" w:lineRule="auto"/>
              <w:rPr>
                <w:rFonts w:ascii="Arial" w:hAnsi="Arial" w:cs="Arial"/>
                <w:szCs w:val="18"/>
                <w:lang w:val="en-GB" w:eastAsia="en-GB"/>
              </w:rPr>
            </w:pPr>
          </w:p>
        </w:tc>
        <w:tc>
          <w:tcPr>
            <w:tcW w:w="590" w:type="pct"/>
            <w:tcBorders>
              <w:top w:val="nil"/>
              <w:left w:val="nil"/>
              <w:bottom w:val="nil"/>
              <w:right w:val="nil"/>
            </w:tcBorders>
            <w:noWrap/>
            <w:vAlign w:val="bottom"/>
            <w:hideMark/>
          </w:tcPr>
          <w:p w:rsidRPr="00B736D2" w:rsidR="00322D6C" w:rsidP="00FC2172" w:rsidRDefault="00322D6C" w14:paraId="4979AA71" w14:textId="77777777">
            <w:pPr>
              <w:spacing w:line="240" w:lineRule="auto"/>
              <w:rPr>
                <w:rFonts w:ascii="Arial" w:hAnsi="Arial" w:cs="Arial"/>
                <w:szCs w:val="18"/>
                <w:lang w:val="en-GB" w:eastAsia="en-GB"/>
              </w:rPr>
            </w:pPr>
            <w:r w:rsidRPr="00B736D2">
              <w:rPr>
                <w:rFonts w:ascii="Arial" w:hAnsi="Arial" w:cs="Arial"/>
                <w:szCs w:val="18"/>
                <w:lang w:val="en-GB" w:eastAsia="en-GB"/>
              </w:rPr>
              <w:t>naar mbo bbl</w:t>
            </w:r>
          </w:p>
        </w:tc>
        <w:tc>
          <w:tcPr>
            <w:tcW w:w="310" w:type="pct"/>
            <w:tcBorders>
              <w:top w:val="nil"/>
              <w:left w:val="nil"/>
              <w:bottom w:val="nil"/>
              <w:right w:val="nil"/>
            </w:tcBorders>
            <w:noWrap/>
            <w:vAlign w:val="bottom"/>
            <w:hideMark/>
          </w:tcPr>
          <w:p w:rsidRPr="00B736D2" w:rsidR="00322D6C" w:rsidP="00FC2172" w:rsidRDefault="00322D6C" w14:paraId="5B8C9FF1"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6</w:t>
            </w:r>
          </w:p>
        </w:tc>
        <w:tc>
          <w:tcPr>
            <w:tcW w:w="310" w:type="pct"/>
            <w:tcBorders>
              <w:top w:val="nil"/>
              <w:left w:val="nil"/>
              <w:bottom w:val="nil"/>
              <w:right w:val="nil"/>
            </w:tcBorders>
            <w:noWrap/>
            <w:vAlign w:val="bottom"/>
            <w:hideMark/>
          </w:tcPr>
          <w:p w:rsidRPr="00B736D2" w:rsidR="00322D6C" w:rsidP="00FC2172" w:rsidRDefault="00322D6C" w14:paraId="3CE0DA29"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nil"/>
              <w:right w:val="nil"/>
            </w:tcBorders>
            <w:noWrap/>
            <w:vAlign w:val="bottom"/>
            <w:hideMark/>
          </w:tcPr>
          <w:p w:rsidRPr="00B736D2" w:rsidR="00322D6C" w:rsidP="00FC2172" w:rsidRDefault="00322D6C" w14:paraId="191E292B"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w:t>
            </w:r>
          </w:p>
        </w:tc>
        <w:tc>
          <w:tcPr>
            <w:tcW w:w="310" w:type="pct"/>
            <w:tcBorders>
              <w:top w:val="nil"/>
              <w:left w:val="nil"/>
              <w:bottom w:val="nil"/>
              <w:right w:val="nil"/>
            </w:tcBorders>
            <w:noWrap/>
            <w:vAlign w:val="bottom"/>
            <w:hideMark/>
          </w:tcPr>
          <w:p w:rsidRPr="00B736D2" w:rsidR="00322D6C" w:rsidP="00FC2172" w:rsidRDefault="00322D6C" w14:paraId="351E1B08"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w:t>
            </w:r>
          </w:p>
        </w:tc>
        <w:tc>
          <w:tcPr>
            <w:tcW w:w="310" w:type="pct"/>
            <w:tcBorders>
              <w:top w:val="nil"/>
              <w:left w:val="nil"/>
              <w:bottom w:val="nil"/>
              <w:right w:val="nil"/>
            </w:tcBorders>
            <w:noWrap/>
            <w:vAlign w:val="bottom"/>
            <w:hideMark/>
          </w:tcPr>
          <w:p w:rsidRPr="00B736D2" w:rsidR="00322D6C" w:rsidP="00FC2172" w:rsidRDefault="00322D6C" w14:paraId="5EFFD586"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w:t>
            </w:r>
          </w:p>
        </w:tc>
        <w:tc>
          <w:tcPr>
            <w:tcW w:w="310" w:type="pct"/>
            <w:tcBorders>
              <w:top w:val="nil"/>
              <w:left w:val="nil"/>
              <w:bottom w:val="nil"/>
              <w:right w:val="nil"/>
            </w:tcBorders>
            <w:noWrap/>
            <w:vAlign w:val="bottom"/>
            <w:hideMark/>
          </w:tcPr>
          <w:p w:rsidRPr="00B736D2" w:rsidR="00322D6C" w:rsidP="00FC2172" w:rsidRDefault="00322D6C" w14:paraId="17AF6ACC"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nil"/>
              <w:right w:val="nil"/>
            </w:tcBorders>
            <w:noWrap/>
            <w:vAlign w:val="bottom"/>
            <w:hideMark/>
          </w:tcPr>
          <w:p w:rsidRPr="00B736D2" w:rsidR="00322D6C" w:rsidP="00FC2172" w:rsidRDefault="00322D6C" w14:paraId="3FA0C3EA"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5</w:t>
            </w:r>
          </w:p>
        </w:tc>
        <w:tc>
          <w:tcPr>
            <w:tcW w:w="310" w:type="pct"/>
            <w:tcBorders>
              <w:top w:val="nil"/>
              <w:left w:val="nil"/>
              <w:bottom w:val="nil"/>
              <w:right w:val="nil"/>
            </w:tcBorders>
            <w:noWrap/>
            <w:vAlign w:val="bottom"/>
            <w:hideMark/>
          </w:tcPr>
          <w:p w:rsidRPr="00B736D2" w:rsidR="00322D6C" w:rsidP="00FC2172" w:rsidRDefault="00322D6C" w14:paraId="1588BD81"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5</w:t>
            </w:r>
          </w:p>
        </w:tc>
        <w:tc>
          <w:tcPr>
            <w:tcW w:w="310" w:type="pct"/>
            <w:tcBorders>
              <w:top w:val="nil"/>
              <w:left w:val="nil"/>
              <w:bottom w:val="nil"/>
              <w:right w:val="nil"/>
            </w:tcBorders>
            <w:noWrap/>
            <w:vAlign w:val="bottom"/>
            <w:hideMark/>
          </w:tcPr>
          <w:p w:rsidRPr="00B736D2" w:rsidR="00322D6C" w:rsidP="00FC2172" w:rsidRDefault="00322D6C" w14:paraId="39DABB01"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w:t>
            </w:r>
          </w:p>
        </w:tc>
        <w:tc>
          <w:tcPr>
            <w:tcW w:w="310" w:type="pct"/>
            <w:tcBorders>
              <w:top w:val="nil"/>
              <w:left w:val="nil"/>
              <w:bottom w:val="nil"/>
              <w:right w:val="nil"/>
            </w:tcBorders>
            <w:noWrap/>
            <w:vAlign w:val="bottom"/>
            <w:hideMark/>
          </w:tcPr>
          <w:p w:rsidRPr="00B736D2" w:rsidR="00322D6C" w:rsidP="00FC2172" w:rsidRDefault="00322D6C" w14:paraId="1744F799"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6</w:t>
            </w:r>
          </w:p>
        </w:tc>
        <w:tc>
          <w:tcPr>
            <w:tcW w:w="310" w:type="pct"/>
            <w:tcBorders>
              <w:top w:val="nil"/>
              <w:left w:val="nil"/>
              <w:bottom w:val="nil"/>
              <w:right w:val="nil"/>
            </w:tcBorders>
            <w:noWrap/>
            <w:vAlign w:val="bottom"/>
            <w:hideMark/>
          </w:tcPr>
          <w:p w:rsidRPr="00B736D2" w:rsidR="00322D6C" w:rsidP="00FC2172" w:rsidRDefault="00322D6C" w14:paraId="4BDB6114"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w:t>
            </w:r>
          </w:p>
        </w:tc>
        <w:tc>
          <w:tcPr>
            <w:tcW w:w="310" w:type="pct"/>
            <w:tcBorders>
              <w:top w:val="nil"/>
              <w:left w:val="nil"/>
              <w:bottom w:val="nil"/>
              <w:right w:val="nil"/>
            </w:tcBorders>
            <w:noWrap/>
            <w:vAlign w:val="bottom"/>
            <w:hideMark/>
          </w:tcPr>
          <w:p w:rsidRPr="00B736D2" w:rsidR="00322D6C" w:rsidP="00FC2172" w:rsidRDefault="00322D6C" w14:paraId="3A281475"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w:t>
            </w:r>
          </w:p>
        </w:tc>
      </w:tr>
      <w:tr w:rsidRPr="00B736D2" w:rsidR="00322D6C" w:rsidTr="00283B39" w14:paraId="2127F801" w14:textId="77777777">
        <w:trPr>
          <w:trHeight w:val="260"/>
        </w:trPr>
        <w:tc>
          <w:tcPr>
            <w:tcW w:w="101" w:type="pct"/>
            <w:tcBorders>
              <w:top w:val="nil"/>
              <w:left w:val="nil"/>
              <w:bottom w:val="nil"/>
              <w:right w:val="nil"/>
            </w:tcBorders>
            <w:noWrap/>
            <w:vAlign w:val="bottom"/>
            <w:hideMark/>
          </w:tcPr>
          <w:p w:rsidRPr="00B736D2" w:rsidR="00322D6C" w:rsidP="00FC2172" w:rsidRDefault="00322D6C" w14:paraId="22B7BD7B" w14:textId="77777777">
            <w:pPr>
              <w:spacing w:line="240" w:lineRule="auto"/>
              <w:jc w:val="right"/>
              <w:rPr>
                <w:rFonts w:ascii="Arial" w:hAnsi="Arial" w:cs="Arial"/>
                <w:szCs w:val="18"/>
                <w:lang w:val="en-GB" w:eastAsia="en-GB"/>
              </w:rPr>
            </w:pPr>
          </w:p>
        </w:tc>
        <w:tc>
          <w:tcPr>
            <w:tcW w:w="590" w:type="pct"/>
            <w:gridSpan w:val="2"/>
            <w:tcBorders>
              <w:top w:val="nil"/>
              <w:left w:val="nil"/>
              <w:bottom w:val="nil"/>
              <w:right w:val="nil"/>
            </w:tcBorders>
          </w:tcPr>
          <w:p w:rsidRPr="00B736D2" w:rsidR="00322D6C" w:rsidP="00FC2172" w:rsidRDefault="00322D6C" w14:paraId="3AAE0F8A" w14:textId="77777777">
            <w:pPr>
              <w:spacing w:line="240" w:lineRule="auto"/>
              <w:rPr>
                <w:rFonts w:ascii="Arial" w:hAnsi="Arial" w:cs="Arial"/>
                <w:szCs w:val="18"/>
                <w:lang w:val="en-GB" w:eastAsia="en-GB"/>
              </w:rPr>
            </w:pPr>
          </w:p>
        </w:tc>
        <w:tc>
          <w:tcPr>
            <w:tcW w:w="590" w:type="pct"/>
            <w:tcBorders>
              <w:top w:val="nil"/>
              <w:left w:val="nil"/>
              <w:bottom w:val="nil"/>
              <w:right w:val="nil"/>
            </w:tcBorders>
            <w:noWrap/>
            <w:vAlign w:val="bottom"/>
            <w:hideMark/>
          </w:tcPr>
          <w:p w:rsidRPr="00B736D2" w:rsidR="00322D6C" w:rsidP="00FC2172" w:rsidRDefault="00322D6C" w14:paraId="7DECDDAA" w14:textId="77777777">
            <w:pPr>
              <w:spacing w:line="240" w:lineRule="auto"/>
              <w:rPr>
                <w:rFonts w:ascii="Arial" w:hAnsi="Arial" w:cs="Arial"/>
                <w:szCs w:val="18"/>
                <w:lang w:val="en-GB" w:eastAsia="en-GB"/>
              </w:rPr>
            </w:pPr>
            <w:r w:rsidRPr="00B736D2">
              <w:rPr>
                <w:rFonts w:ascii="Arial" w:hAnsi="Arial" w:cs="Arial"/>
                <w:szCs w:val="18"/>
                <w:lang w:val="en-GB" w:eastAsia="en-GB"/>
              </w:rPr>
              <w:t>naar havo/vwo</w:t>
            </w:r>
          </w:p>
        </w:tc>
        <w:tc>
          <w:tcPr>
            <w:tcW w:w="310" w:type="pct"/>
            <w:tcBorders>
              <w:top w:val="nil"/>
              <w:left w:val="nil"/>
              <w:bottom w:val="nil"/>
              <w:right w:val="nil"/>
            </w:tcBorders>
            <w:noWrap/>
            <w:vAlign w:val="bottom"/>
            <w:hideMark/>
          </w:tcPr>
          <w:p w:rsidRPr="00B736D2" w:rsidR="00322D6C" w:rsidP="00FC2172" w:rsidRDefault="00322D6C" w14:paraId="0300B5A0"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4D448022"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0</w:t>
            </w:r>
          </w:p>
        </w:tc>
        <w:tc>
          <w:tcPr>
            <w:tcW w:w="310" w:type="pct"/>
            <w:tcBorders>
              <w:top w:val="nil"/>
              <w:left w:val="nil"/>
              <w:bottom w:val="nil"/>
              <w:right w:val="nil"/>
            </w:tcBorders>
            <w:noWrap/>
            <w:vAlign w:val="bottom"/>
            <w:hideMark/>
          </w:tcPr>
          <w:p w:rsidRPr="00B736D2" w:rsidR="00322D6C" w:rsidP="00FC2172" w:rsidRDefault="00322D6C" w14:paraId="57F47D5B"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9</w:t>
            </w:r>
          </w:p>
        </w:tc>
        <w:tc>
          <w:tcPr>
            <w:tcW w:w="310" w:type="pct"/>
            <w:tcBorders>
              <w:top w:val="nil"/>
              <w:left w:val="nil"/>
              <w:bottom w:val="nil"/>
              <w:right w:val="nil"/>
            </w:tcBorders>
            <w:noWrap/>
            <w:vAlign w:val="bottom"/>
            <w:hideMark/>
          </w:tcPr>
          <w:p w:rsidRPr="00B736D2" w:rsidR="00322D6C" w:rsidP="00FC2172" w:rsidRDefault="00322D6C" w14:paraId="5979F734"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370D7C5A"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0</w:t>
            </w:r>
          </w:p>
        </w:tc>
        <w:tc>
          <w:tcPr>
            <w:tcW w:w="310" w:type="pct"/>
            <w:tcBorders>
              <w:top w:val="nil"/>
              <w:left w:val="nil"/>
              <w:bottom w:val="nil"/>
              <w:right w:val="nil"/>
            </w:tcBorders>
            <w:noWrap/>
            <w:vAlign w:val="bottom"/>
            <w:hideMark/>
          </w:tcPr>
          <w:p w:rsidRPr="00B736D2" w:rsidR="00322D6C" w:rsidP="00FC2172" w:rsidRDefault="00322D6C" w14:paraId="1B686935"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9</w:t>
            </w:r>
          </w:p>
        </w:tc>
        <w:tc>
          <w:tcPr>
            <w:tcW w:w="310" w:type="pct"/>
            <w:tcBorders>
              <w:top w:val="nil"/>
              <w:left w:val="nil"/>
              <w:bottom w:val="nil"/>
              <w:right w:val="nil"/>
            </w:tcBorders>
            <w:noWrap/>
            <w:vAlign w:val="bottom"/>
            <w:hideMark/>
          </w:tcPr>
          <w:p w:rsidRPr="00B736D2" w:rsidR="00322D6C" w:rsidP="00FC2172" w:rsidRDefault="00322D6C" w14:paraId="0F98C7EF"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733ADFB5"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0</w:t>
            </w:r>
          </w:p>
        </w:tc>
        <w:tc>
          <w:tcPr>
            <w:tcW w:w="310" w:type="pct"/>
            <w:tcBorders>
              <w:top w:val="nil"/>
              <w:left w:val="nil"/>
              <w:bottom w:val="nil"/>
              <w:right w:val="nil"/>
            </w:tcBorders>
            <w:noWrap/>
            <w:vAlign w:val="bottom"/>
            <w:hideMark/>
          </w:tcPr>
          <w:p w:rsidRPr="00B736D2" w:rsidR="00322D6C" w:rsidP="00FC2172" w:rsidRDefault="00322D6C" w14:paraId="34A51253"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8</w:t>
            </w:r>
          </w:p>
        </w:tc>
        <w:tc>
          <w:tcPr>
            <w:tcW w:w="310" w:type="pct"/>
            <w:tcBorders>
              <w:top w:val="nil"/>
              <w:left w:val="nil"/>
              <w:bottom w:val="nil"/>
              <w:right w:val="nil"/>
            </w:tcBorders>
            <w:noWrap/>
            <w:vAlign w:val="bottom"/>
            <w:hideMark/>
          </w:tcPr>
          <w:p w:rsidRPr="00B736D2" w:rsidR="00322D6C" w:rsidP="00FC2172" w:rsidRDefault="00322D6C" w14:paraId="3BBCBF76"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5309EC61"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0</w:t>
            </w:r>
          </w:p>
        </w:tc>
        <w:tc>
          <w:tcPr>
            <w:tcW w:w="310" w:type="pct"/>
            <w:tcBorders>
              <w:top w:val="nil"/>
              <w:left w:val="nil"/>
              <w:bottom w:val="nil"/>
              <w:right w:val="nil"/>
            </w:tcBorders>
            <w:noWrap/>
            <w:vAlign w:val="bottom"/>
            <w:hideMark/>
          </w:tcPr>
          <w:p w:rsidRPr="00B736D2" w:rsidR="00322D6C" w:rsidP="00FC2172" w:rsidRDefault="00322D6C" w14:paraId="3EBE2F43"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6</w:t>
            </w:r>
          </w:p>
        </w:tc>
      </w:tr>
      <w:tr w:rsidRPr="00B736D2" w:rsidR="00322D6C" w:rsidTr="00283B39" w14:paraId="635D20CB" w14:textId="77777777">
        <w:trPr>
          <w:trHeight w:val="260"/>
        </w:trPr>
        <w:tc>
          <w:tcPr>
            <w:tcW w:w="101" w:type="pct"/>
            <w:tcBorders>
              <w:top w:val="nil"/>
              <w:left w:val="nil"/>
              <w:bottom w:val="nil"/>
              <w:right w:val="nil"/>
            </w:tcBorders>
            <w:noWrap/>
            <w:vAlign w:val="bottom"/>
            <w:hideMark/>
          </w:tcPr>
          <w:p w:rsidRPr="00B736D2" w:rsidR="00322D6C" w:rsidP="00FC2172" w:rsidRDefault="00322D6C" w14:paraId="15620FF7" w14:textId="77777777">
            <w:pPr>
              <w:spacing w:line="240" w:lineRule="auto"/>
              <w:jc w:val="right"/>
              <w:rPr>
                <w:rFonts w:ascii="Arial" w:hAnsi="Arial" w:cs="Arial"/>
                <w:szCs w:val="18"/>
                <w:lang w:val="en-GB" w:eastAsia="en-GB"/>
              </w:rPr>
            </w:pPr>
          </w:p>
        </w:tc>
        <w:tc>
          <w:tcPr>
            <w:tcW w:w="590" w:type="pct"/>
            <w:gridSpan w:val="2"/>
            <w:tcBorders>
              <w:top w:val="nil"/>
              <w:left w:val="nil"/>
              <w:bottom w:val="nil"/>
              <w:right w:val="nil"/>
            </w:tcBorders>
          </w:tcPr>
          <w:p w:rsidRPr="00B736D2" w:rsidR="00322D6C" w:rsidP="00FC2172" w:rsidRDefault="00322D6C" w14:paraId="647BAF4A" w14:textId="77777777">
            <w:pPr>
              <w:spacing w:line="240" w:lineRule="auto"/>
              <w:rPr>
                <w:rFonts w:ascii="Arial" w:hAnsi="Arial" w:cs="Arial"/>
                <w:szCs w:val="18"/>
                <w:lang w:val="en-GB" w:eastAsia="en-GB"/>
              </w:rPr>
            </w:pPr>
          </w:p>
        </w:tc>
        <w:tc>
          <w:tcPr>
            <w:tcW w:w="590" w:type="pct"/>
            <w:tcBorders>
              <w:top w:val="nil"/>
              <w:left w:val="nil"/>
              <w:bottom w:val="nil"/>
              <w:right w:val="nil"/>
            </w:tcBorders>
            <w:noWrap/>
            <w:vAlign w:val="bottom"/>
            <w:hideMark/>
          </w:tcPr>
          <w:p w:rsidRPr="00B736D2" w:rsidR="00322D6C" w:rsidP="00FC2172" w:rsidRDefault="00322D6C" w14:paraId="6E0B22C9" w14:textId="77777777">
            <w:pPr>
              <w:spacing w:line="240" w:lineRule="auto"/>
              <w:rPr>
                <w:rFonts w:ascii="Arial" w:hAnsi="Arial" w:cs="Arial"/>
                <w:szCs w:val="18"/>
                <w:lang w:val="en-GB" w:eastAsia="en-GB"/>
              </w:rPr>
            </w:pPr>
            <w:r w:rsidRPr="00B736D2">
              <w:rPr>
                <w:rFonts w:ascii="Arial" w:hAnsi="Arial" w:cs="Arial"/>
                <w:szCs w:val="18"/>
                <w:lang w:val="en-GB" w:eastAsia="en-GB"/>
              </w:rPr>
              <w:t>blijft in vmbo</w:t>
            </w:r>
          </w:p>
        </w:tc>
        <w:tc>
          <w:tcPr>
            <w:tcW w:w="310" w:type="pct"/>
            <w:tcBorders>
              <w:top w:val="nil"/>
              <w:left w:val="nil"/>
              <w:bottom w:val="nil"/>
              <w:right w:val="nil"/>
            </w:tcBorders>
            <w:noWrap/>
            <w:vAlign w:val="bottom"/>
            <w:hideMark/>
          </w:tcPr>
          <w:p w:rsidRPr="00B736D2" w:rsidR="00322D6C" w:rsidP="00FC2172" w:rsidRDefault="00322D6C" w14:paraId="3C4271BB"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6</w:t>
            </w:r>
          </w:p>
        </w:tc>
        <w:tc>
          <w:tcPr>
            <w:tcW w:w="310" w:type="pct"/>
            <w:tcBorders>
              <w:top w:val="nil"/>
              <w:left w:val="nil"/>
              <w:bottom w:val="nil"/>
              <w:right w:val="nil"/>
            </w:tcBorders>
            <w:noWrap/>
            <w:vAlign w:val="bottom"/>
            <w:hideMark/>
          </w:tcPr>
          <w:p w:rsidRPr="00B736D2" w:rsidR="00322D6C" w:rsidP="00FC2172" w:rsidRDefault="00322D6C" w14:paraId="5C11DE63"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w:t>
            </w:r>
          </w:p>
        </w:tc>
        <w:tc>
          <w:tcPr>
            <w:tcW w:w="310" w:type="pct"/>
            <w:tcBorders>
              <w:top w:val="nil"/>
              <w:left w:val="nil"/>
              <w:bottom w:val="nil"/>
              <w:right w:val="nil"/>
            </w:tcBorders>
            <w:noWrap/>
            <w:vAlign w:val="bottom"/>
            <w:hideMark/>
          </w:tcPr>
          <w:p w:rsidRPr="00B736D2" w:rsidR="00322D6C" w:rsidP="00FC2172" w:rsidRDefault="00322D6C" w14:paraId="348D526F"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w:t>
            </w:r>
          </w:p>
        </w:tc>
        <w:tc>
          <w:tcPr>
            <w:tcW w:w="310" w:type="pct"/>
            <w:tcBorders>
              <w:top w:val="nil"/>
              <w:left w:val="nil"/>
              <w:bottom w:val="nil"/>
              <w:right w:val="nil"/>
            </w:tcBorders>
            <w:noWrap/>
            <w:vAlign w:val="bottom"/>
            <w:hideMark/>
          </w:tcPr>
          <w:p w:rsidRPr="00B736D2" w:rsidR="00322D6C" w:rsidP="00FC2172" w:rsidRDefault="00322D6C" w14:paraId="2CA03754"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8</w:t>
            </w:r>
          </w:p>
        </w:tc>
        <w:tc>
          <w:tcPr>
            <w:tcW w:w="310" w:type="pct"/>
            <w:tcBorders>
              <w:top w:val="nil"/>
              <w:left w:val="nil"/>
              <w:bottom w:val="nil"/>
              <w:right w:val="nil"/>
            </w:tcBorders>
            <w:noWrap/>
            <w:vAlign w:val="bottom"/>
            <w:hideMark/>
          </w:tcPr>
          <w:p w:rsidRPr="00B736D2" w:rsidR="00322D6C" w:rsidP="00FC2172" w:rsidRDefault="00322D6C" w14:paraId="1977648A"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nil"/>
              <w:right w:val="nil"/>
            </w:tcBorders>
            <w:noWrap/>
            <w:vAlign w:val="bottom"/>
            <w:hideMark/>
          </w:tcPr>
          <w:p w:rsidRPr="00B736D2" w:rsidR="00322D6C" w:rsidP="00FC2172" w:rsidRDefault="00322D6C" w14:paraId="1458BF81"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w:t>
            </w:r>
          </w:p>
        </w:tc>
        <w:tc>
          <w:tcPr>
            <w:tcW w:w="310" w:type="pct"/>
            <w:tcBorders>
              <w:top w:val="nil"/>
              <w:left w:val="nil"/>
              <w:bottom w:val="nil"/>
              <w:right w:val="nil"/>
            </w:tcBorders>
            <w:noWrap/>
            <w:vAlign w:val="bottom"/>
            <w:hideMark/>
          </w:tcPr>
          <w:p w:rsidRPr="00B736D2" w:rsidR="00322D6C" w:rsidP="00FC2172" w:rsidRDefault="00322D6C" w14:paraId="2BB76246"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w:t>
            </w:r>
          </w:p>
        </w:tc>
        <w:tc>
          <w:tcPr>
            <w:tcW w:w="310" w:type="pct"/>
            <w:tcBorders>
              <w:top w:val="nil"/>
              <w:left w:val="nil"/>
              <w:bottom w:val="nil"/>
              <w:right w:val="nil"/>
            </w:tcBorders>
            <w:noWrap/>
            <w:vAlign w:val="bottom"/>
            <w:hideMark/>
          </w:tcPr>
          <w:p w:rsidRPr="00B736D2" w:rsidR="00322D6C" w:rsidP="00FC2172" w:rsidRDefault="00322D6C" w14:paraId="3541E9ED"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w:t>
            </w:r>
          </w:p>
        </w:tc>
        <w:tc>
          <w:tcPr>
            <w:tcW w:w="310" w:type="pct"/>
            <w:tcBorders>
              <w:top w:val="nil"/>
              <w:left w:val="nil"/>
              <w:bottom w:val="nil"/>
              <w:right w:val="nil"/>
            </w:tcBorders>
            <w:noWrap/>
            <w:vAlign w:val="bottom"/>
            <w:hideMark/>
          </w:tcPr>
          <w:p w:rsidRPr="00B736D2" w:rsidR="00322D6C" w:rsidP="00FC2172" w:rsidRDefault="00322D6C" w14:paraId="3CB8026A"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nil"/>
              <w:right w:val="nil"/>
            </w:tcBorders>
            <w:noWrap/>
            <w:vAlign w:val="bottom"/>
            <w:hideMark/>
          </w:tcPr>
          <w:p w:rsidRPr="00B736D2" w:rsidR="00322D6C" w:rsidP="00FC2172" w:rsidRDefault="00322D6C" w14:paraId="7A4163C3"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7</w:t>
            </w:r>
          </w:p>
        </w:tc>
        <w:tc>
          <w:tcPr>
            <w:tcW w:w="310" w:type="pct"/>
            <w:tcBorders>
              <w:top w:val="nil"/>
              <w:left w:val="nil"/>
              <w:bottom w:val="nil"/>
              <w:right w:val="nil"/>
            </w:tcBorders>
            <w:noWrap/>
            <w:vAlign w:val="bottom"/>
            <w:hideMark/>
          </w:tcPr>
          <w:p w:rsidRPr="00B736D2" w:rsidR="00322D6C" w:rsidP="00FC2172" w:rsidRDefault="00322D6C" w14:paraId="399D2614"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7</w:t>
            </w:r>
          </w:p>
        </w:tc>
        <w:tc>
          <w:tcPr>
            <w:tcW w:w="310" w:type="pct"/>
            <w:tcBorders>
              <w:top w:val="nil"/>
              <w:left w:val="nil"/>
              <w:bottom w:val="nil"/>
              <w:right w:val="nil"/>
            </w:tcBorders>
            <w:noWrap/>
            <w:vAlign w:val="bottom"/>
            <w:hideMark/>
          </w:tcPr>
          <w:p w:rsidRPr="00B736D2" w:rsidR="00322D6C" w:rsidP="00FC2172" w:rsidRDefault="00322D6C" w14:paraId="5CCA9904"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7</w:t>
            </w:r>
          </w:p>
        </w:tc>
      </w:tr>
      <w:tr w:rsidRPr="00B736D2" w:rsidR="00322D6C" w:rsidTr="00283B39" w14:paraId="7A001640" w14:textId="77777777">
        <w:trPr>
          <w:trHeight w:val="260"/>
        </w:trPr>
        <w:tc>
          <w:tcPr>
            <w:tcW w:w="101" w:type="pct"/>
            <w:tcBorders>
              <w:top w:val="nil"/>
              <w:left w:val="nil"/>
              <w:bottom w:val="nil"/>
              <w:right w:val="nil"/>
            </w:tcBorders>
            <w:noWrap/>
            <w:vAlign w:val="bottom"/>
            <w:hideMark/>
          </w:tcPr>
          <w:p w:rsidRPr="00B736D2" w:rsidR="00322D6C" w:rsidP="00FC2172" w:rsidRDefault="00322D6C" w14:paraId="06BFECA2" w14:textId="77777777">
            <w:pPr>
              <w:spacing w:line="240" w:lineRule="auto"/>
              <w:jc w:val="right"/>
              <w:rPr>
                <w:rFonts w:ascii="Arial" w:hAnsi="Arial" w:cs="Arial"/>
                <w:szCs w:val="18"/>
                <w:lang w:val="en-GB" w:eastAsia="en-GB"/>
              </w:rPr>
            </w:pPr>
          </w:p>
        </w:tc>
        <w:tc>
          <w:tcPr>
            <w:tcW w:w="590" w:type="pct"/>
            <w:gridSpan w:val="2"/>
            <w:tcBorders>
              <w:top w:val="nil"/>
              <w:left w:val="nil"/>
              <w:bottom w:val="nil"/>
              <w:right w:val="nil"/>
            </w:tcBorders>
          </w:tcPr>
          <w:p w:rsidRPr="00B736D2" w:rsidR="00322D6C" w:rsidP="00FC2172" w:rsidRDefault="00322D6C" w14:paraId="01AF7749" w14:textId="77777777">
            <w:pPr>
              <w:spacing w:line="240" w:lineRule="auto"/>
              <w:rPr>
                <w:rFonts w:ascii="Arial" w:hAnsi="Arial" w:cs="Arial"/>
                <w:szCs w:val="18"/>
                <w:lang w:val="en-GB" w:eastAsia="en-GB"/>
              </w:rPr>
            </w:pPr>
          </w:p>
        </w:tc>
        <w:tc>
          <w:tcPr>
            <w:tcW w:w="590" w:type="pct"/>
            <w:tcBorders>
              <w:top w:val="nil"/>
              <w:left w:val="nil"/>
              <w:bottom w:val="nil"/>
              <w:right w:val="nil"/>
            </w:tcBorders>
            <w:noWrap/>
            <w:vAlign w:val="bottom"/>
            <w:hideMark/>
          </w:tcPr>
          <w:p w:rsidRPr="00B736D2" w:rsidR="00322D6C" w:rsidP="00FC2172" w:rsidRDefault="00322D6C" w14:paraId="0BE5B103" w14:textId="77777777">
            <w:pPr>
              <w:spacing w:line="240" w:lineRule="auto"/>
              <w:rPr>
                <w:rFonts w:ascii="Arial" w:hAnsi="Arial" w:cs="Arial"/>
                <w:szCs w:val="18"/>
                <w:lang w:val="en-GB" w:eastAsia="en-GB"/>
              </w:rPr>
            </w:pPr>
            <w:r w:rsidRPr="00B736D2">
              <w:rPr>
                <w:rFonts w:ascii="Arial" w:hAnsi="Arial" w:cs="Arial"/>
                <w:szCs w:val="18"/>
                <w:lang w:val="en-GB" w:eastAsia="en-GB"/>
              </w:rPr>
              <w:t>naar overig</w:t>
            </w:r>
          </w:p>
        </w:tc>
        <w:tc>
          <w:tcPr>
            <w:tcW w:w="310" w:type="pct"/>
            <w:tcBorders>
              <w:top w:val="nil"/>
              <w:left w:val="nil"/>
              <w:bottom w:val="nil"/>
              <w:right w:val="nil"/>
            </w:tcBorders>
            <w:noWrap/>
            <w:vAlign w:val="bottom"/>
            <w:hideMark/>
          </w:tcPr>
          <w:p w:rsidRPr="00B736D2" w:rsidR="00322D6C" w:rsidP="00FC2172" w:rsidRDefault="00322D6C" w14:paraId="05C46F60"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w:t>
            </w:r>
          </w:p>
        </w:tc>
        <w:tc>
          <w:tcPr>
            <w:tcW w:w="310" w:type="pct"/>
            <w:tcBorders>
              <w:top w:val="nil"/>
              <w:left w:val="nil"/>
              <w:bottom w:val="nil"/>
              <w:right w:val="nil"/>
            </w:tcBorders>
            <w:noWrap/>
            <w:vAlign w:val="bottom"/>
            <w:hideMark/>
          </w:tcPr>
          <w:p w:rsidRPr="00B736D2" w:rsidR="00322D6C" w:rsidP="00FC2172" w:rsidRDefault="00322D6C" w14:paraId="5BF15A97"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w:t>
            </w:r>
          </w:p>
        </w:tc>
        <w:tc>
          <w:tcPr>
            <w:tcW w:w="310" w:type="pct"/>
            <w:tcBorders>
              <w:top w:val="nil"/>
              <w:left w:val="nil"/>
              <w:bottom w:val="nil"/>
              <w:right w:val="nil"/>
            </w:tcBorders>
            <w:noWrap/>
            <w:vAlign w:val="bottom"/>
            <w:hideMark/>
          </w:tcPr>
          <w:p w:rsidRPr="00B736D2" w:rsidR="00322D6C" w:rsidP="00FC2172" w:rsidRDefault="00322D6C" w14:paraId="552D2CD8"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w:t>
            </w:r>
          </w:p>
        </w:tc>
        <w:tc>
          <w:tcPr>
            <w:tcW w:w="310" w:type="pct"/>
            <w:tcBorders>
              <w:top w:val="nil"/>
              <w:left w:val="nil"/>
              <w:bottom w:val="nil"/>
              <w:right w:val="nil"/>
            </w:tcBorders>
            <w:noWrap/>
            <w:vAlign w:val="bottom"/>
            <w:hideMark/>
          </w:tcPr>
          <w:p w:rsidRPr="00B736D2" w:rsidR="00322D6C" w:rsidP="00FC2172" w:rsidRDefault="00322D6C" w14:paraId="411E3A14"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w:t>
            </w:r>
          </w:p>
        </w:tc>
        <w:tc>
          <w:tcPr>
            <w:tcW w:w="310" w:type="pct"/>
            <w:tcBorders>
              <w:top w:val="nil"/>
              <w:left w:val="nil"/>
              <w:bottom w:val="nil"/>
              <w:right w:val="nil"/>
            </w:tcBorders>
            <w:noWrap/>
            <w:vAlign w:val="bottom"/>
            <w:hideMark/>
          </w:tcPr>
          <w:p w:rsidRPr="00B736D2" w:rsidR="00322D6C" w:rsidP="00FC2172" w:rsidRDefault="00322D6C" w14:paraId="3FA6E26A"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nil"/>
              <w:right w:val="nil"/>
            </w:tcBorders>
            <w:noWrap/>
            <w:vAlign w:val="bottom"/>
            <w:hideMark/>
          </w:tcPr>
          <w:p w:rsidRPr="00B736D2" w:rsidR="00322D6C" w:rsidP="00FC2172" w:rsidRDefault="00322D6C" w14:paraId="0048CB7D"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nil"/>
              <w:right w:val="nil"/>
            </w:tcBorders>
            <w:noWrap/>
            <w:vAlign w:val="bottom"/>
            <w:hideMark/>
          </w:tcPr>
          <w:p w:rsidRPr="00B736D2" w:rsidR="00322D6C" w:rsidP="00FC2172" w:rsidRDefault="00322D6C" w14:paraId="03B318C3"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5</w:t>
            </w:r>
          </w:p>
        </w:tc>
        <w:tc>
          <w:tcPr>
            <w:tcW w:w="310" w:type="pct"/>
            <w:tcBorders>
              <w:top w:val="nil"/>
              <w:left w:val="nil"/>
              <w:bottom w:val="nil"/>
              <w:right w:val="nil"/>
            </w:tcBorders>
            <w:noWrap/>
            <w:vAlign w:val="bottom"/>
            <w:hideMark/>
          </w:tcPr>
          <w:p w:rsidRPr="00B736D2" w:rsidR="00322D6C" w:rsidP="00FC2172" w:rsidRDefault="00322D6C" w14:paraId="08C9939D"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w:t>
            </w:r>
          </w:p>
        </w:tc>
        <w:tc>
          <w:tcPr>
            <w:tcW w:w="310" w:type="pct"/>
            <w:tcBorders>
              <w:top w:val="nil"/>
              <w:left w:val="nil"/>
              <w:bottom w:val="nil"/>
              <w:right w:val="nil"/>
            </w:tcBorders>
            <w:noWrap/>
            <w:vAlign w:val="bottom"/>
            <w:hideMark/>
          </w:tcPr>
          <w:p w:rsidRPr="00B736D2" w:rsidR="00322D6C" w:rsidP="00FC2172" w:rsidRDefault="00322D6C" w14:paraId="3830944F"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nil"/>
              <w:right w:val="nil"/>
            </w:tcBorders>
            <w:noWrap/>
            <w:vAlign w:val="bottom"/>
            <w:hideMark/>
          </w:tcPr>
          <w:p w:rsidRPr="00B736D2" w:rsidR="00322D6C" w:rsidP="00FC2172" w:rsidRDefault="00322D6C" w14:paraId="3AB67D0B"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w:t>
            </w:r>
          </w:p>
        </w:tc>
        <w:tc>
          <w:tcPr>
            <w:tcW w:w="310" w:type="pct"/>
            <w:tcBorders>
              <w:top w:val="nil"/>
              <w:left w:val="nil"/>
              <w:bottom w:val="nil"/>
              <w:right w:val="nil"/>
            </w:tcBorders>
            <w:noWrap/>
            <w:vAlign w:val="bottom"/>
            <w:hideMark/>
          </w:tcPr>
          <w:p w:rsidRPr="00B736D2" w:rsidR="00322D6C" w:rsidP="00FC2172" w:rsidRDefault="00322D6C" w14:paraId="05E7E52B"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w:t>
            </w:r>
          </w:p>
        </w:tc>
        <w:tc>
          <w:tcPr>
            <w:tcW w:w="310" w:type="pct"/>
            <w:tcBorders>
              <w:top w:val="nil"/>
              <w:left w:val="nil"/>
              <w:bottom w:val="nil"/>
              <w:right w:val="nil"/>
            </w:tcBorders>
            <w:noWrap/>
            <w:vAlign w:val="bottom"/>
            <w:hideMark/>
          </w:tcPr>
          <w:p w:rsidRPr="00B736D2" w:rsidR="00322D6C" w:rsidP="00FC2172" w:rsidRDefault="00322D6C" w14:paraId="2C4F51C1"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w:t>
            </w:r>
          </w:p>
        </w:tc>
      </w:tr>
      <w:tr w:rsidRPr="00B736D2" w:rsidR="00322D6C" w:rsidTr="00283B39" w14:paraId="150226B5" w14:textId="77777777">
        <w:trPr>
          <w:trHeight w:val="260"/>
        </w:trPr>
        <w:tc>
          <w:tcPr>
            <w:tcW w:w="590" w:type="pct"/>
            <w:gridSpan w:val="2"/>
            <w:tcBorders>
              <w:top w:val="nil"/>
              <w:left w:val="nil"/>
              <w:bottom w:val="nil"/>
              <w:right w:val="nil"/>
            </w:tcBorders>
          </w:tcPr>
          <w:p w:rsidRPr="00B736D2" w:rsidR="00322D6C" w:rsidP="00FC2172" w:rsidRDefault="00322D6C" w14:paraId="29C44BC8" w14:textId="77777777">
            <w:pPr>
              <w:spacing w:line="240" w:lineRule="auto"/>
              <w:rPr>
                <w:rFonts w:ascii="Arial" w:hAnsi="Arial" w:cs="Arial"/>
                <w:szCs w:val="18"/>
                <w:lang w:val="en-GB" w:eastAsia="en-GB"/>
              </w:rPr>
            </w:pPr>
          </w:p>
        </w:tc>
        <w:tc>
          <w:tcPr>
            <w:tcW w:w="691" w:type="pct"/>
            <w:gridSpan w:val="2"/>
            <w:tcBorders>
              <w:top w:val="nil"/>
              <w:left w:val="nil"/>
              <w:bottom w:val="nil"/>
              <w:right w:val="nil"/>
            </w:tcBorders>
            <w:noWrap/>
            <w:vAlign w:val="bottom"/>
            <w:hideMark/>
          </w:tcPr>
          <w:p w:rsidRPr="00B736D2" w:rsidR="00322D6C" w:rsidP="00FC2172" w:rsidRDefault="00322D6C" w14:paraId="70629DD7" w14:textId="77777777">
            <w:pPr>
              <w:spacing w:line="240" w:lineRule="auto"/>
              <w:rPr>
                <w:rFonts w:ascii="Arial" w:hAnsi="Arial" w:cs="Arial"/>
                <w:szCs w:val="18"/>
                <w:lang w:val="en-GB" w:eastAsia="en-GB"/>
              </w:rPr>
            </w:pPr>
            <w:r w:rsidRPr="00B736D2">
              <w:rPr>
                <w:rFonts w:ascii="Arial" w:hAnsi="Arial" w:cs="Arial"/>
                <w:szCs w:val="18"/>
                <w:lang w:val="en-GB" w:eastAsia="en-GB"/>
              </w:rPr>
              <w:t>M&amp;T</w:t>
            </w:r>
          </w:p>
        </w:tc>
        <w:tc>
          <w:tcPr>
            <w:tcW w:w="310" w:type="pct"/>
            <w:tcBorders>
              <w:top w:val="nil"/>
              <w:left w:val="nil"/>
              <w:bottom w:val="nil"/>
              <w:right w:val="nil"/>
            </w:tcBorders>
            <w:noWrap/>
            <w:vAlign w:val="bottom"/>
            <w:hideMark/>
          </w:tcPr>
          <w:p w:rsidRPr="00B736D2" w:rsidR="00322D6C" w:rsidP="00FC2172" w:rsidRDefault="00322D6C" w14:paraId="124E4668"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5FEFBCA6"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0B252757"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2B62F1D3"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0DE3EE7E"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7C410C25"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667BE65E"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3A4198F6"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0195F607"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710C2A28"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7ABA2289"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51CBDDA0"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r>
      <w:tr w:rsidRPr="00B736D2" w:rsidR="00322D6C" w:rsidTr="00283B39" w14:paraId="238B924A" w14:textId="77777777">
        <w:trPr>
          <w:trHeight w:val="260"/>
        </w:trPr>
        <w:tc>
          <w:tcPr>
            <w:tcW w:w="101" w:type="pct"/>
            <w:tcBorders>
              <w:top w:val="nil"/>
              <w:left w:val="nil"/>
              <w:bottom w:val="nil"/>
              <w:right w:val="nil"/>
            </w:tcBorders>
            <w:noWrap/>
            <w:vAlign w:val="bottom"/>
            <w:hideMark/>
          </w:tcPr>
          <w:p w:rsidRPr="00B736D2" w:rsidR="00322D6C" w:rsidP="00FC2172" w:rsidRDefault="00322D6C" w14:paraId="0E93B098" w14:textId="77777777">
            <w:pPr>
              <w:spacing w:line="240" w:lineRule="auto"/>
              <w:rPr>
                <w:rFonts w:ascii="Arial" w:hAnsi="Arial" w:cs="Arial"/>
                <w:szCs w:val="18"/>
                <w:lang w:val="en-GB" w:eastAsia="en-GB"/>
              </w:rPr>
            </w:pPr>
          </w:p>
        </w:tc>
        <w:tc>
          <w:tcPr>
            <w:tcW w:w="590" w:type="pct"/>
            <w:gridSpan w:val="2"/>
            <w:tcBorders>
              <w:top w:val="nil"/>
              <w:left w:val="nil"/>
              <w:bottom w:val="nil"/>
              <w:right w:val="nil"/>
            </w:tcBorders>
          </w:tcPr>
          <w:p w:rsidRPr="00B736D2" w:rsidR="00322D6C" w:rsidP="00FC2172" w:rsidRDefault="00322D6C" w14:paraId="62D1A5CF" w14:textId="77777777">
            <w:pPr>
              <w:spacing w:line="240" w:lineRule="auto"/>
              <w:rPr>
                <w:rFonts w:ascii="Arial" w:hAnsi="Arial" w:cs="Arial"/>
                <w:szCs w:val="18"/>
                <w:lang w:val="en-GB" w:eastAsia="en-GB"/>
              </w:rPr>
            </w:pPr>
          </w:p>
        </w:tc>
        <w:tc>
          <w:tcPr>
            <w:tcW w:w="590" w:type="pct"/>
            <w:tcBorders>
              <w:top w:val="nil"/>
              <w:left w:val="nil"/>
              <w:bottom w:val="nil"/>
              <w:right w:val="nil"/>
            </w:tcBorders>
            <w:noWrap/>
            <w:vAlign w:val="bottom"/>
            <w:hideMark/>
          </w:tcPr>
          <w:p w:rsidRPr="00B736D2" w:rsidR="00322D6C" w:rsidP="00FC2172" w:rsidRDefault="00322D6C" w14:paraId="52EA6B98" w14:textId="77777777">
            <w:pPr>
              <w:spacing w:line="240" w:lineRule="auto"/>
              <w:rPr>
                <w:rFonts w:ascii="Arial" w:hAnsi="Arial" w:cs="Arial"/>
                <w:szCs w:val="18"/>
                <w:lang w:val="en-GB" w:eastAsia="en-GB"/>
              </w:rPr>
            </w:pPr>
            <w:r w:rsidRPr="00B736D2">
              <w:rPr>
                <w:rFonts w:ascii="Arial" w:hAnsi="Arial" w:cs="Arial"/>
                <w:szCs w:val="18"/>
                <w:lang w:val="en-GB" w:eastAsia="en-GB"/>
              </w:rPr>
              <w:t>naar mbo bol</w:t>
            </w:r>
          </w:p>
        </w:tc>
        <w:tc>
          <w:tcPr>
            <w:tcW w:w="310" w:type="pct"/>
            <w:tcBorders>
              <w:top w:val="nil"/>
              <w:left w:val="nil"/>
              <w:bottom w:val="nil"/>
              <w:right w:val="nil"/>
            </w:tcBorders>
            <w:noWrap/>
            <w:vAlign w:val="bottom"/>
            <w:hideMark/>
          </w:tcPr>
          <w:p w:rsidRPr="00B736D2" w:rsidR="00322D6C" w:rsidP="00FC2172" w:rsidRDefault="00322D6C" w14:paraId="062E7ECA"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48</w:t>
            </w:r>
          </w:p>
        </w:tc>
        <w:tc>
          <w:tcPr>
            <w:tcW w:w="310" w:type="pct"/>
            <w:tcBorders>
              <w:top w:val="nil"/>
              <w:left w:val="nil"/>
              <w:bottom w:val="nil"/>
              <w:right w:val="nil"/>
            </w:tcBorders>
            <w:noWrap/>
            <w:vAlign w:val="bottom"/>
            <w:hideMark/>
          </w:tcPr>
          <w:p w:rsidRPr="00B736D2" w:rsidR="00322D6C" w:rsidP="00FC2172" w:rsidRDefault="00322D6C" w14:paraId="40C2B352"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59</w:t>
            </w:r>
          </w:p>
        </w:tc>
        <w:tc>
          <w:tcPr>
            <w:tcW w:w="310" w:type="pct"/>
            <w:tcBorders>
              <w:top w:val="nil"/>
              <w:left w:val="nil"/>
              <w:bottom w:val="nil"/>
              <w:right w:val="nil"/>
            </w:tcBorders>
            <w:noWrap/>
            <w:vAlign w:val="bottom"/>
            <w:hideMark/>
          </w:tcPr>
          <w:p w:rsidRPr="00B736D2" w:rsidR="00322D6C" w:rsidP="00FC2172" w:rsidRDefault="00322D6C" w14:paraId="08662383"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51</w:t>
            </w:r>
          </w:p>
        </w:tc>
        <w:tc>
          <w:tcPr>
            <w:tcW w:w="310" w:type="pct"/>
            <w:tcBorders>
              <w:top w:val="nil"/>
              <w:left w:val="nil"/>
              <w:bottom w:val="nil"/>
              <w:right w:val="nil"/>
            </w:tcBorders>
            <w:noWrap/>
            <w:vAlign w:val="bottom"/>
            <w:hideMark/>
          </w:tcPr>
          <w:p w:rsidRPr="00B736D2" w:rsidR="00322D6C" w:rsidP="00FC2172" w:rsidRDefault="00322D6C" w14:paraId="516D2072"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43</w:t>
            </w:r>
          </w:p>
        </w:tc>
        <w:tc>
          <w:tcPr>
            <w:tcW w:w="310" w:type="pct"/>
            <w:tcBorders>
              <w:top w:val="nil"/>
              <w:left w:val="nil"/>
              <w:bottom w:val="nil"/>
              <w:right w:val="nil"/>
            </w:tcBorders>
            <w:noWrap/>
            <w:vAlign w:val="bottom"/>
            <w:hideMark/>
          </w:tcPr>
          <w:p w:rsidRPr="00B736D2" w:rsidR="00322D6C" w:rsidP="00FC2172" w:rsidRDefault="00322D6C" w14:paraId="628296AB"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55</w:t>
            </w:r>
          </w:p>
        </w:tc>
        <w:tc>
          <w:tcPr>
            <w:tcW w:w="310" w:type="pct"/>
            <w:tcBorders>
              <w:top w:val="nil"/>
              <w:left w:val="nil"/>
              <w:bottom w:val="nil"/>
              <w:right w:val="nil"/>
            </w:tcBorders>
            <w:noWrap/>
            <w:vAlign w:val="bottom"/>
            <w:hideMark/>
          </w:tcPr>
          <w:p w:rsidRPr="00B736D2" w:rsidR="00322D6C" w:rsidP="00FC2172" w:rsidRDefault="00322D6C" w14:paraId="46DB157B"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52</w:t>
            </w:r>
          </w:p>
        </w:tc>
        <w:tc>
          <w:tcPr>
            <w:tcW w:w="310" w:type="pct"/>
            <w:tcBorders>
              <w:top w:val="nil"/>
              <w:left w:val="nil"/>
              <w:bottom w:val="nil"/>
              <w:right w:val="nil"/>
            </w:tcBorders>
            <w:noWrap/>
            <w:vAlign w:val="bottom"/>
            <w:hideMark/>
          </w:tcPr>
          <w:p w:rsidRPr="00B736D2" w:rsidR="00322D6C" w:rsidP="00FC2172" w:rsidRDefault="00322D6C" w14:paraId="5DD3F715"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45</w:t>
            </w:r>
          </w:p>
        </w:tc>
        <w:tc>
          <w:tcPr>
            <w:tcW w:w="310" w:type="pct"/>
            <w:tcBorders>
              <w:top w:val="nil"/>
              <w:left w:val="nil"/>
              <w:bottom w:val="nil"/>
              <w:right w:val="nil"/>
            </w:tcBorders>
            <w:noWrap/>
            <w:vAlign w:val="bottom"/>
            <w:hideMark/>
          </w:tcPr>
          <w:p w:rsidRPr="00B736D2" w:rsidR="00322D6C" w:rsidP="00FC2172" w:rsidRDefault="00322D6C" w14:paraId="27BAD3F2"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53</w:t>
            </w:r>
          </w:p>
        </w:tc>
        <w:tc>
          <w:tcPr>
            <w:tcW w:w="310" w:type="pct"/>
            <w:tcBorders>
              <w:top w:val="nil"/>
              <w:left w:val="nil"/>
              <w:bottom w:val="nil"/>
              <w:right w:val="nil"/>
            </w:tcBorders>
            <w:noWrap/>
            <w:vAlign w:val="bottom"/>
            <w:hideMark/>
          </w:tcPr>
          <w:p w:rsidRPr="00B736D2" w:rsidR="00322D6C" w:rsidP="00FC2172" w:rsidRDefault="00322D6C" w14:paraId="4561B34B"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49</w:t>
            </w:r>
          </w:p>
        </w:tc>
        <w:tc>
          <w:tcPr>
            <w:tcW w:w="310" w:type="pct"/>
            <w:tcBorders>
              <w:top w:val="nil"/>
              <w:left w:val="nil"/>
              <w:bottom w:val="nil"/>
              <w:right w:val="nil"/>
            </w:tcBorders>
            <w:noWrap/>
            <w:vAlign w:val="bottom"/>
            <w:hideMark/>
          </w:tcPr>
          <w:p w:rsidRPr="00B736D2" w:rsidR="00322D6C" w:rsidP="00FC2172" w:rsidRDefault="00322D6C" w14:paraId="50282FEB"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45</w:t>
            </w:r>
          </w:p>
        </w:tc>
        <w:tc>
          <w:tcPr>
            <w:tcW w:w="310" w:type="pct"/>
            <w:tcBorders>
              <w:top w:val="nil"/>
              <w:left w:val="nil"/>
              <w:bottom w:val="nil"/>
              <w:right w:val="nil"/>
            </w:tcBorders>
            <w:noWrap/>
            <w:vAlign w:val="bottom"/>
            <w:hideMark/>
          </w:tcPr>
          <w:p w:rsidRPr="00B736D2" w:rsidR="00322D6C" w:rsidP="00FC2172" w:rsidRDefault="00322D6C" w14:paraId="30C324E3"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49</w:t>
            </w:r>
          </w:p>
        </w:tc>
        <w:tc>
          <w:tcPr>
            <w:tcW w:w="310" w:type="pct"/>
            <w:tcBorders>
              <w:top w:val="nil"/>
              <w:left w:val="nil"/>
              <w:bottom w:val="nil"/>
              <w:right w:val="nil"/>
            </w:tcBorders>
            <w:noWrap/>
            <w:vAlign w:val="bottom"/>
            <w:hideMark/>
          </w:tcPr>
          <w:p w:rsidRPr="00B736D2" w:rsidR="00322D6C" w:rsidP="00FC2172" w:rsidRDefault="00322D6C" w14:paraId="496ADC20"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48</w:t>
            </w:r>
          </w:p>
        </w:tc>
      </w:tr>
      <w:tr w:rsidRPr="00B736D2" w:rsidR="00322D6C" w:rsidTr="00283B39" w14:paraId="5879D4D9" w14:textId="77777777">
        <w:trPr>
          <w:trHeight w:val="260"/>
        </w:trPr>
        <w:tc>
          <w:tcPr>
            <w:tcW w:w="101" w:type="pct"/>
            <w:tcBorders>
              <w:top w:val="nil"/>
              <w:left w:val="nil"/>
              <w:bottom w:val="nil"/>
              <w:right w:val="nil"/>
            </w:tcBorders>
            <w:noWrap/>
            <w:vAlign w:val="bottom"/>
            <w:hideMark/>
          </w:tcPr>
          <w:p w:rsidRPr="00B736D2" w:rsidR="00322D6C" w:rsidP="00FC2172" w:rsidRDefault="00322D6C" w14:paraId="3C77F27B" w14:textId="77777777">
            <w:pPr>
              <w:spacing w:line="240" w:lineRule="auto"/>
              <w:jc w:val="right"/>
              <w:rPr>
                <w:rFonts w:ascii="Arial" w:hAnsi="Arial" w:cs="Arial"/>
                <w:szCs w:val="18"/>
                <w:lang w:val="en-GB" w:eastAsia="en-GB"/>
              </w:rPr>
            </w:pPr>
          </w:p>
        </w:tc>
        <w:tc>
          <w:tcPr>
            <w:tcW w:w="590" w:type="pct"/>
            <w:gridSpan w:val="2"/>
            <w:tcBorders>
              <w:top w:val="nil"/>
              <w:left w:val="nil"/>
              <w:bottom w:val="nil"/>
              <w:right w:val="nil"/>
            </w:tcBorders>
          </w:tcPr>
          <w:p w:rsidRPr="00B736D2" w:rsidR="00322D6C" w:rsidP="00FC2172" w:rsidRDefault="00322D6C" w14:paraId="168EBC4F" w14:textId="77777777">
            <w:pPr>
              <w:spacing w:line="240" w:lineRule="auto"/>
              <w:rPr>
                <w:rFonts w:ascii="Arial" w:hAnsi="Arial" w:cs="Arial"/>
                <w:szCs w:val="18"/>
                <w:lang w:val="en-GB" w:eastAsia="en-GB"/>
              </w:rPr>
            </w:pPr>
          </w:p>
        </w:tc>
        <w:tc>
          <w:tcPr>
            <w:tcW w:w="590" w:type="pct"/>
            <w:tcBorders>
              <w:top w:val="nil"/>
              <w:left w:val="nil"/>
              <w:bottom w:val="nil"/>
              <w:right w:val="nil"/>
            </w:tcBorders>
            <w:noWrap/>
            <w:vAlign w:val="bottom"/>
            <w:hideMark/>
          </w:tcPr>
          <w:p w:rsidRPr="00B736D2" w:rsidR="00322D6C" w:rsidP="00FC2172" w:rsidRDefault="00322D6C" w14:paraId="609E2B1A" w14:textId="77777777">
            <w:pPr>
              <w:spacing w:line="240" w:lineRule="auto"/>
              <w:rPr>
                <w:rFonts w:ascii="Arial" w:hAnsi="Arial" w:cs="Arial"/>
                <w:szCs w:val="18"/>
                <w:lang w:val="en-GB" w:eastAsia="en-GB"/>
              </w:rPr>
            </w:pPr>
            <w:r w:rsidRPr="00B736D2">
              <w:rPr>
                <w:rFonts w:ascii="Arial" w:hAnsi="Arial" w:cs="Arial"/>
                <w:szCs w:val="18"/>
                <w:lang w:val="en-GB" w:eastAsia="en-GB"/>
              </w:rPr>
              <w:t>naar mbo bbl</w:t>
            </w:r>
          </w:p>
        </w:tc>
        <w:tc>
          <w:tcPr>
            <w:tcW w:w="310" w:type="pct"/>
            <w:tcBorders>
              <w:top w:val="nil"/>
              <w:left w:val="nil"/>
              <w:bottom w:val="nil"/>
              <w:right w:val="nil"/>
            </w:tcBorders>
            <w:noWrap/>
            <w:vAlign w:val="bottom"/>
            <w:hideMark/>
          </w:tcPr>
          <w:p w:rsidRPr="00B736D2" w:rsidR="00322D6C" w:rsidP="00FC2172" w:rsidRDefault="00322D6C" w14:paraId="2EE87D28"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45</w:t>
            </w:r>
          </w:p>
        </w:tc>
        <w:tc>
          <w:tcPr>
            <w:tcW w:w="310" w:type="pct"/>
            <w:tcBorders>
              <w:top w:val="nil"/>
              <w:left w:val="nil"/>
              <w:bottom w:val="nil"/>
              <w:right w:val="nil"/>
            </w:tcBorders>
            <w:noWrap/>
            <w:vAlign w:val="bottom"/>
            <w:hideMark/>
          </w:tcPr>
          <w:p w:rsidRPr="00B736D2" w:rsidR="00322D6C" w:rsidP="00FC2172" w:rsidRDefault="00322D6C" w14:paraId="281632E9"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38</w:t>
            </w:r>
          </w:p>
        </w:tc>
        <w:tc>
          <w:tcPr>
            <w:tcW w:w="310" w:type="pct"/>
            <w:tcBorders>
              <w:top w:val="nil"/>
              <w:left w:val="nil"/>
              <w:bottom w:val="nil"/>
              <w:right w:val="nil"/>
            </w:tcBorders>
            <w:noWrap/>
            <w:vAlign w:val="bottom"/>
            <w:hideMark/>
          </w:tcPr>
          <w:p w:rsidRPr="00B736D2" w:rsidR="00322D6C" w:rsidP="00FC2172" w:rsidRDefault="00322D6C" w14:paraId="76ABE424"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46</w:t>
            </w:r>
          </w:p>
        </w:tc>
        <w:tc>
          <w:tcPr>
            <w:tcW w:w="310" w:type="pct"/>
            <w:tcBorders>
              <w:top w:val="nil"/>
              <w:left w:val="nil"/>
              <w:bottom w:val="nil"/>
              <w:right w:val="nil"/>
            </w:tcBorders>
            <w:noWrap/>
            <w:vAlign w:val="bottom"/>
            <w:hideMark/>
          </w:tcPr>
          <w:p w:rsidRPr="00B736D2" w:rsidR="00322D6C" w:rsidP="00FC2172" w:rsidRDefault="00322D6C" w14:paraId="3B5C2E91"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50</w:t>
            </w:r>
          </w:p>
        </w:tc>
        <w:tc>
          <w:tcPr>
            <w:tcW w:w="310" w:type="pct"/>
            <w:tcBorders>
              <w:top w:val="nil"/>
              <w:left w:val="nil"/>
              <w:bottom w:val="nil"/>
              <w:right w:val="nil"/>
            </w:tcBorders>
            <w:noWrap/>
            <w:vAlign w:val="bottom"/>
            <w:hideMark/>
          </w:tcPr>
          <w:p w:rsidRPr="00B736D2" w:rsidR="00322D6C" w:rsidP="00FC2172" w:rsidRDefault="00322D6C" w14:paraId="5A734352"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43</w:t>
            </w:r>
          </w:p>
        </w:tc>
        <w:tc>
          <w:tcPr>
            <w:tcW w:w="310" w:type="pct"/>
            <w:tcBorders>
              <w:top w:val="nil"/>
              <w:left w:val="nil"/>
              <w:bottom w:val="nil"/>
              <w:right w:val="nil"/>
            </w:tcBorders>
            <w:noWrap/>
            <w:vAlign w:val="bottom"/>
            <w:hideMark/>
          </w:tcPr>
          <w:p w:rsidRPr="00B736D2" w:rsidR="00322D6C" w:rsidP="00FC2172" w:rsidRDefault="00322D6C" w14:paraId="12EA880B"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43</w:t>
            </w:r>
          </w:p>
        </w:tc>
        <w:tc>
          <w:tcPr>
            <w:tcW w:w="310" w:type="pct"/>
            <w:tcBorders>
              <w:top w:val="nil"/>
              <w:left w:val="nil"/>
              <w:bottom w:val="nil"/>
              <w:right w:val="nil"/>
            </w:tcBorders>
            <w:noWrap/>
            <w:vAlign w:val="bottom"/>
            <w:hideMark/>
          </w:tcPr>
          <w:p w:rsidRPr="00B736D2" w:rsidR="00322D6C" w:rsidP="00FC2172" w:rsidRDefault="00322D6C" w14:paraId="4A71CD03"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48</w:t>
            </w:r>
          </w:p>
        </w:tc>
        <w:tc>
          <w:tcPr>
            <w:tcW w:w="310" w:type="pct"/>
            <w:tcBorders>
              <w:top w:val="nil"/>
              <w:left w:val="nil"/>
              <w:bottom w:val="nil"/>
              <w:right w:val="nil"/>
            </w:tcBorders>
            <w:noWrap/>
            <w:vAlign w:val="bottom"/>
            <w:hideMark/>
          </w:tcPr>
          <w:p w:rsidRPr="00B736D2" w:rsidR="00322D6C" w:rsidP="00FC2172" w:rsidRDefault="00322D6C" w14:paraId="0AD2BCB7"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43</w:t>
            </w:r>
          </w:p>
        </w:tc>
        <w:tc>
          <w:tcPr>
            <w:tcW w:w="310" w:type="pct"/>
            <w:tcBorders>
              <w:top w:val="nil"/>
              <w:left w:val="nil"/>
              <w:bottom w:val="nil"/>
              <w:right w:val="nil"/>
            </w:tcBorders>
            <w:noWrap/>
            <w:vAlign w:val="bottom"/>
            <w:hideMark/>
          </w:tcPr>
          <w:p w:rsidRPr="00B736D2" w:rsidR="00322D6C" w:rsidP="00FC2172" w:rsidRDefault="00322D6C" w14:paraId="519E7D0A"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44</w:t>
            </w:r>
          </w:p>
        </w:tc>
        <w:tc>
          <w:tcPr>
            <w:tcW w:w="310" w:type="pct"/>
            <w:tcBorders>
              <w:top w:val="nil"/>
              <w:left w:val="nil"/>
              <w:bottom w:val="nil"/>
              <w:right w:val="nil"/>
            </w:tcBorders>
            <w:noWrap/>
            <w:vAlign w:val="bottom"/>
            <w:hideMark/>
          </w:tcPr>
          <w:p w:rsidRPr="00B736D2" w:rsidR="00322D6C" w:rsidP="00FC2172" w:rsidRDefault="00322D6C" w14:paraId="482FCA30"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48</w:t>
            </w:r>
          </w:p>
        </w:tc>
        <w:tc>
          <w:tcPr>
            <w:tcW w:w="310" w:type="pct"/>
            <w:tcBorders>
              <w:top w:val="nil"/>
              <w:left w:val="nil"/>
              <w:bottom w:val="nil"/>
              <w:right w:val="nil"/>
            </w:tcBorders>
            <w:noWrap/>
            <w:vAlign w:val="bottom"/>
            <w:hideMark/>
          </w:tcPr>
          <w:p w:rsidRPr="00B736D2" w:rsidR="00322D6C" w:rsidP="00FC2172" w:rsidRDefault="00322D6C" w14:paraId="6C6C804E"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45</w:t>
            </w:r>
          </w:p>
        </w:tc>
        <w:tc>
          <w:tcPr>
            <w:tcW w:w="310" w:type="pct"/>
            <w:tcBorders>
              <w:top w:val="nil"/>
              <w:left w:val="nil"/>
              <w:bottom w:val="nil"/>
              <w:right w:val="nil"/>
            </w:tcBorders>
            <w:noWrap/>
            <w:vAlign w:val="bottom"/>
            <w:hideMark/>
          </w:tcPr>
          <w:p w:rsidRPr="00B736D2" w:rsidR="00322D6C" w:rsidP="00FC2172" w:rsidRDefault="00322D6C" w14:paraId="19832D9E"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44</w:t>
            </w:r>
          </w:p>
        </w:tc>
      </w:tr>
      <w:tr w:rsidRPr="00B736D2" w:rsidR="00322D6C" w:rsidTr="00283B39" w14:paraId="688A86CF" w14:textId="77777777">
        <w:trPr>
          <w:trHeight w:val="260"/>
        </w:trPr>
        <w:tc>
          <w:tcPr>
            <w:tcW w:w="101" w:type="pct"/>
            <w:tcBorders>
              <w:top w:val="nil"/>
              <w:left w:val="nil"/>
              <w:bottom w:val="nil"/>
              <w:right w:val="nil"/>
            </w:tcBorders>
            <w:noWrap/>
            <w:vAlign w:val="bottom"/>
            <w:hideMark/>
          </w:tcPr>
          <w:p w:rsidRPr="00B736D2" w:rsidR="00322D6C" w:rsidP="00FC2172" w:rsidRDefault="00322D6C" w14:paraId="54E7697D" w14:textId="77777777">
            <w:pPr>
              <w:spacing w:line="240" w:lineRule="auto"/>
              <w:jc w:val="right"/>
              <w:rPr>
                <w:rFonts w:ascii="Arial" w:hAnsi="Arial" w:cs="Arial"/>
                <w:szCs w:val="18"/>
                <w:lang w:val="en-GB" w:eastAsia="en-GB"/>
              </w:rPr>
            </w:pPr>
          </w:p>
        </w:tc>
        <w:tc>
          <w:tcPr>
            <w:tcW w:w="590" w:type="pct"/>
            <w:gridSpan w:val="2"/>
            <w:tcBorders>
              <w:top w:val="nil"/>
              <w:left w:val="nil"/>
              <w:bottom w:val="nil"/>
              <w:right w:val="nil"/>
            </w:tcBorders>
          </w:tcPr>
          <w:p w:rsidRPr="00B736D2" w:rsidR="00322D6C" w:rsidP="00FC2172" w:rsidRDefault="00322D6C" w14:paraId="4331A09A" w14:textId="77777777">
            <w:pPr>
              <w:spacing w:line="240" w:lineRule="auto"/>
              <w:rPr>
                <w:rFonts w:ascii="Arial" w:hAnsi="Arial" w:cs="Arial"/>
                <w:szCs w:val="18"/>
                <w:lang w:val="en-GB" w:eastAsia="en-GB"/>
              </w:rPr>
            </w:pPr>
          </w:p>
        </w:tc>
        <w:tc>
          <w:tcPr>
            <w:tcW w:w="590" w:type="pct"/>
            <w:tcBorders>
              <w:top w:val="nil"/>
              <w:left w:val="nil"/>
              <w:bottom w:val="nil"/>
              <w:right w:val="nil"/>
            </w:tcBorders>
            <w:noWrap/>
            <w:vAlign w:val="bottom"/>
            <w:hideMark/>
          </w:tcPr>
          <w:p w:rsidRPr="00B736D2" w:rsidR="00322D6C" w:rsidP="00FC2172" w:rsidRDefault="00322D6C" w14:paraId="4CC6C663" w14:textId="77777777">
            <w:pPr>
              <w:spacing w:line="240" w:lineRule="auto"/>
              <w:rPr>
                <w:rFonts w:ascii="Arial" w:hAnsi="Arial" w:cs="Arial"/>
                <w:szCs w:val="18"/>
                <w:lang w:val="en-GB" w:eastAsia="en-GB"/>
              </w:rPr>
            </w:pPr>
            <w:r w:rsidRPr="00B736D2">
              <w:rPr>
                <w:rFonts w:ascii="Arial" w:hAnsi="Arial" w:cs="Arial"/>
                <w:szCs w:val="18"/>
                <w:lang w:val="en-GB" w:eastAsia="en-GB"/>
              </w:rPr>
              <w:t>naar havo/vwo</w:t>
            </w:r>
          </w:p>
        </w:tc>
        <w:tc>
          <w:tcPr>
            <w:tcW w:w="310" w:type="pct"/>
            <w:tcBorders>
              <w:top w:val="nil"/>
              <w:left w:val="nil"/>
              <w:bottom w:val="nil"/>
              <w:right w:val="nil"/>
            </w:tcBorders>
            <w:noWrap/>
            <w:vAlign w:val="bottom"/>
            <w:hideMark/>
          </w:tcPr>
          <w:p w:rsidRPr="00B736D2" w:rsidR="00322D6C" w:rsidP="00FC2172" w:rsidRDefault="00322D6C" w14:paraId="00B5A5FA"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53AD0B69"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309B9FB3"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5D4A7230"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0C0B8551"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31061ACA"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nil"/>
              <w:right w:val="nil"/>
            </w:tcBorders>
            <w:noWrap/>
            <w:vAlign w:val="bottom"/>
            <w:hideMark/>
          </w:tcPr>
          <w:p w:rsidRPr="00B736D2" w:rsidR="00322D6C" w:rsidP="00FC2172" w:rsidRDefault="00322D6C" w14:paraId="523E9139"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45560961"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10B2A7A2"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w:t>
            </w:r>
          </w:p>
        </w:tc>
        <w:tc>
          <w:tcPr>
            <w:tcW w:w="310" w:type="pct"/>
            <w:tcBorders>
              <w:top w:val="nil"/>
              <w:left w:val="nil"/>
              <w:bottom w:val="nil"/>
              <w:right w:val="nil"/>
            </w:tcBorders>
            <w:noWrap/>
            <w:vAlign w:val="bottom"/>
            <w:hideMark/>
          </w:tcPr>
          <w:p w:rsidRPr="00B736D2" w:rsidR="00322D6C" w:rsidP="00FC2172" w:rsidRDefault="00322D6C" w14:paraId="30D599B7"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0D76CD3D"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21AC42C7"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w:t>
            </w:r>
          </w:p>
        </w:tc>
      </w:tr>
      <w:tr w:rsidRPr="00B736D2" w:rsidR="00322D6C" w:rsidTr="00283B39" w14:paraId="0FBE134B" w14:textId="77777777">
        <w:trPr>
          <w:trHeight w:val="260"/>
        </w:trPr>
        <w:tc>
          <w:tcPr>
            <w:tcW w:w="101" w:type="pct"/>
            <w:tcBorders>
              <w:top w:val="nil"/>
              <w:left w:val="nil"/>
              <w:bottom w:val="nil"/>
              <w:right w:val="nil"/>
            </w:tcBorders>
            <w:noWrap/>
            <w:vAlign w:val="bottom"/>
            <w:hideMark/>
          </w:tcPr>
          <w:p w:rsidRPr="00B736D2" w:rsidR="00322D6C" w:rsidP="00FC2172" w:rsidRDefault="00322D6C" w14:paraId="2562AE15" w14:textId="77777777">
            <w:pPr>
              <w:spacing w:line="240" w:lineRule="auto"/>
              <w:jc w:val="right"/>
              <w:rPr>
                <w:rFonts w:ascii="Arial" w:hAnsi="Arial" w:cs="Arial"/>
                <w:szCs w:val="18"/>
                <w:lang w:val="en-GB" w:eastAsia="en-GB"/>
              </w:rPr>
            </w:pPr>
          </w:p>
        </w:tc>
        <w:tc>
          <w:tcPr>
            <w:tcW w:w="590" w:type="pct"/>
            <w:gridSpan w:val="2"/>
            <w:tcBorders>
              <w:top w:val="nil"/>
              <w:left w:val="nil"/>
              <w:bottom w:val="nil"/>
              <w:right w:val="nil"/>
            </w:tcBorders>
          </w:tcPr>
          <w:p w:rsidRPr="00B736D2" w:rsidR="00322D6C" w:rsidP="00FC2172" w:rsidRDefault="00322D6C" w14:paraId="16F5A811" w14:textId="77777777">
            <w:pPr>
              <w:spacing w:line="240" w:lineRule="auto"/>
              <w:rPr>
                <w:rFonts w:ascii="Arial" w:hAnsi="Arial" w:cs="Arial"/>
                <w:szCs w:val="18"/>
                <w:lang w:val="en-GB" w:eastAsia="en-GB"/>
              </w:rPr>
            </w:pPr>
          </w:p>
        </w:tc>
        <w:tc>
          <w:tcPr>
            <w:tcW w:w="590" w:type="pct"/>
            <w:tcBorders>
              <w:top w:val="nil"/>
              <w:left w:val="nil"/>
              <w:bottom w:val="nil"/>
              <w:right w:val="nil"/>
            </w:tcBorders>
            <w:noWrap/>
            <w:vAlign w:val="bottom"/>
            <w:hideMark/>
          </w:tcPr>
          <w:p w:rsidRPr="00B736D2" w:rsidR="00322D6C" w:rsidP="00FC2172" w:rsidRDefault="00322D6C" w14:paraId="55BD3145" w14:textId="77777777">
            <w:pPr>
              <w:spacing w:line="240" w:lineRule="auto"/>
              <w:rPr>
                <w:rFonts w:ascii="Arial" w:hAnsi="Arial" w:cs="Arial"/>
                <w:szCs w:val="18"/>
                <w:lang w:val="en-GB" w:eastAsia="en-GB"/>
              </w:rPr>
            </w:pPr>
            <w:r w:rsidRPr="00B736D2">
              <w:rPr>
                <w:rFonts w:ascii="Arial" w:hAnsi="Arial" w:cs="Arial"/>
                <w:szCs w:val="18"/>
                <w:lang w:val="en-GB" w:eastAsia="en-GB"/>
              </w:rPr>
              <w:t>blijft in vmbo</w:t>
            </w:r>
          </w:p>
        </w:tc>
        <w:tc>
          <w:tcPr>
            <w:tcW w:w="310" w:type="pct"/>
            <w:tcBorders>
              <w:top w:val="nil"/>
              <w:left w:val="nil"/>
              <w:bottom w:val="nil"/>
              <w:right w:val="nil"/>
            </w:tcBorders>
            <w:noWrap/>
            <w:vAlign w:val="bottom"/>
            <w:hideMark/>
          </w:tcPr>
          <w:p w:rsidRPr="00B736D2" w:rsidR="00322D6C" w:rsidP="00FC2172" w:rsidRDefault="00322D6C" w14:paraId="56181582"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nil"/>
              <w:right w:val="nil"/>
            </w:tcBorders>
            <w:noWrap/>
            <w:vAlign w:val="bottom"/>
            <w:hideMark/>
          </w:tcPr>
          <w:p w:rsidRPr="00B736D2" w:rsidR="00322D6C" w:rsidP="00FC2172" w:rsidRDefault="00322D6C" w14:paraId="74FDF636"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w:t>
            </w:r>
          </w:p>
        </w:tc>
        <w:tc>
          <w:tcPr>
            <w:tcW w:w="310" w:type="pct"/>
            <w:tcBorders>
              <w:top w:val="nil"/>
              <w:left w:val="nil"/>
              <w:bottom w:val="nil"/>
              <w:right w:val="nil"/>
            </w:tcBorders>
            <w:noWrap/>
            <w:vAlign w:val="bottom"/>
            <w:hideMark/>
          </w:tcPr>
          <w:p w:rsidRPr="00B736D2" w:rsidR="00322D6C" w:rsidP="00FC2172" w:rsidRDefault="00322D6C" w14:paraId="4DDB7B97"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w:t>
            </w:r>
          </w:p>
        </w:tc>
        <w:tc>
          <w:tcPr>
            <w:tcW w:w="310" w:type="pct"/>
            <w:tcBorders>
              <w:top w:val="nil"/>
              <w:left w:val="nil"/>
              <w:bottom w:val="nil"/>
              <w:right w:val="nil"/>
            </w:tcBorders>
            <w:noWrap/>
            <w:vAlign w:val="bottom"/>
            <w:hideMark/>
          </w:tcPr>
          <w:p w:rsidRPr="00B736D2" w:rsidR="00322D6C" w:rsidP="00FC2172" w:rsidRDefault="00322D6C" w14:paraId="78212100"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w:t>
            </w:r>
          </w:p>
        </w:tc>
        <w:tc>
          <w:tcPr>
            <w:tcW w:w="310" w:type="pct"/>
            <w:tcBorders>
              <w:top w:val="nil"/>
              <w:left w:val="nil"/>
              <w:bottom w:val="nil"/>
              <w:right w:val="nil"/>
            </w:tcBorders>
            <w:noWrap/>
            <w:vAlign w:val="bottom"/>
            <w:hideMark/>
          </w:tcPr>
          <w:p w:rsidRPr="00B736D2" w:rsidR="00322D6C" w:rsidP="00FC2172" w:rsidRDefault="00322D6C" w14:paraId="29FBF257"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w:t>
            </w:r>
          </w:p>
        </w:tc>
        <w:tc>
          <w:tcPr>
            <w:tcW w:w="310" w:type="pct"/>
            <w:tcBorders>
              <w:top w:val="nil"/>
              <w:left w:val="nil"/>
              <w:bottom w:val="nil"/>
              <w:right w:val="nil"/>
            </w:tcBorders>
            <w:noWrap/>
            <w:vAlign w:val="bottom"/>
            <w:hideMark/>
          </w:tcPr>
          <w:p w:rsidRPr="00B736D2" w:rsidR="00322D6C" w:rsidP="00FC2172" w:rsidRDefault="00322D6C" w14:paraId="418CB877"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nil"/>
              <w:right w:val="nil"/>
            </w:tcBorders>
            <w:noWrap/>
            <w:vAlign w:val="bottom"/>
            <w:hideMark/>
          </w:tcPr>
          <w:p w:rsidRPr="00B736D2" w:rsidR="00322D6C" w:rsidP="00FC2172" w:rsidRDefault="00322D6C" w14:paraId="4E8D844C"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nil"/>
              <w:right w:val="nil"/>
            </w:tcBorders>
            <w:noWrap/>
            <w:vAlign w:val="bottom"/>
            <w:hideMark/>
          </w:tcPr>
          <w:p w:rsidRPr="00B736D2" w:rsidR="00322D6C" w:rsidP="00FC2172" w:rsidRDefault="00322D6C" w14:paraId="261933FF"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w:t>
            </w:r>
          </w:p>
        </w:tc>
        <w:tc>
          <w:tcPr>
            <w:tcW w:w="310" w:type="pct"/>
            <w:tcBorders>
              <w:top w:val="nil"/>
              <w:left w:val="nil"/>
              <w:bottom w:val="nil"/>
              <w:right w:val="nil"/>
            </w:tcBorders>
            <w:noWrap/>
            <w:vAlign w:val="bottom"/>
            <w:hideMark/>
          </w:tcPr>
          <w:p w:rsidRPr="00B736D2" w:rsidR="00322D6C" w:rsidP="00FC2172" w:rsidRDefault="00322D6C" w14:paraId="2FEC960E"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nil"/>
              <w:right w:val="nil"/>
            </w:tcBorders>
            <w:noWrap/>
            <w:vAlign w:val="bottom"/>
            <w:hideMark/>
          </w:tcPr>
          <w:p w:rsidRPr="00B736D2" w:rsidR="00322D6C" w:rsidP="00FC2172" w:rsidRDefault="00322D6C" w14:paraId="22455774"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w:t>
            </w:r>
          </w:p>
        </w:tc>
        <w:tc>
          <w:tcPr>
            <w:tcW w:w="310" w:type="pct"/>
            <w:tcBorders>
              <w:top w:val="nil"/>
              <w:left w:val="nil"/>
              <w:bottom w:val="nil"/>
              <w:right w:val="nil"/>
            </w:tcBorders>
            <w:noWrap/>
            <w:vAlign w:val="bottom"/>
            <w:hideMark/>
          </w:tcPr>
          <w:p w:rsidRPr="00B736D2" w:rsidR="00322D6C" w:rsidP="00FC2172" w:rsidRDefault="00322D6C" w14:paraId="5938B1BD"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w:t>
            </w:r>
          </w:p>
        </w:tc>
        <w:tc>
          <w:tcPr>
            <w:tcW w:w="310" w:type="pct"/>
            <w:tcBorders>
              <w:top w:val="nil"/>
              <w:left w:val="nil"/>
              <w:bottom w:val="nil"/>
              <w:right w:val="nil"/>
            </w:tcBorders>
            <w:noWrap/>
            <w:vAlign w:val="bottom"/>
            <w:hideMark/>
          </w:tcPr>
          <w:p w:rsidRPr="00B736D2" w:rsidR="00322D6C" w:rsidP="00FC2172" w:rsidRDefault="00322D6C" w14:paraId="6F078D21"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w:t>
            </w:r>
          </w:p>
        </w:tc>
      </w:tr>
      <w:tr w:rsidRPr="00B736D2" w:rsidR="00322D6C" w:rsidTr="00283B39" w14:paraId="1E5858A9" w14:textId="77777777">
        <w:trPr>
          <w:trHeight w:val="260"/>
        </w:trPr>
        <w:tc>
          <w:tcPr>
            <w:tcW w:w="101" w:type="pct"/>
            <w:tcBorders>
              <w:top w:val="nil"/>
              <w:left w:val="nil"/>
              <w:bottom w:val="nil"/>
              <w:right w:val="nil"/>
            </w:tcBorders>
            <w:noWrap/>
            <w:vAlign w:val="bottom"/>
            <w:hideMark/>
          </w:tcPr>
          <w:p w:rsidRPr="00B736D2" w:rsidR="00322D6C" w:rsidP="00FC2172" w:rsidRDefault="00322D6C" w14:paraId="09F6D1BB" w14:textId="77777777">
            <w:pPr>
              <w:spacing w:line="240" w:lineRule="auto"/>
              <w:jc w:val="right"/>
              <w:rPr>
                <w:rFonts w:ascii="Arial" w:hAnsi="Arial" w:cs="Arial"/>
                <w:szCs w:val="18"/>
                <w:lang w:val="en-GB" w:eastAsia="en-GB"/>
              </w:rPr>
            </w:pPr>
          </w:p>
        </w:tc>
        <w:tc>
          <w:tcPr>
            <w:tcW w:w="590" w:type="pct"/>
            <w:gridSpan w:val="2"/>
            <w:tcBorders>
              <w:top w:val="nil"/>
              <w:left w:val="nil"/>
              <w:bottom w:val="nil"/>
              <w:right w:val="nil"/>
            </w:tcBorders>
          </w:tcPr>
          <w:p w:rsidRPr="00B736D2" w:rsidR="00322D6C" w:rsidP="00FC2172" w:rsidRDefault="00322D6C" w14:paraId="2BC7E1C8" w14:textId="77777777">
            <w:pPr>
              <w:spacing w:line="240" w:lineRule="auto"/>
              <w:rPr>
                <w:rFonts w:ascii="Arial" w:hAnsi="Arial" w:cs="Arial"/>
                <w:szCs w:val="18"/>
                <w:lang w:val="en-GB" w:eastAsia="en-GB"/>
              </w:rPr>
            </w:pPr>
          </w:p>
        </w:tc>
        <w:tc>
          <w:tcPr>
            <w:tcW w:w="590" w:type="pct"/>
            <w:tcBorders>
              <w:top w:val="nil"/>
              <w:left w:val="nil"/>
              <w:bottom w:val="nil"/>
              <w:right w:val="nil"/>
            </w:tcBorders>
            <w:noWrap/>
            <w:vAlign w:val="bottom"/>
            <w:hideMark/>
          </w:tcPr>
          <w:p w:rsidRPr="00B736D2" w:rsidR="00322D6C" w:rsidP="00FC2172" w:rsidRDefault="00322D6C" w14:paraId="5CD8B039" w14:textId="77777777">
            <w:pPr>
              <w:spacing w:line="240" w:lineRule="auto"/>
              <w:rPr>
                <w:rFonts w:ascii="Arial" w:hAnsi="Arial" w:cs="Arial"/>
                <w:szCs w:val="18"/>
                <w:lang w:val="en-GB" w:eastAsia="en-GB"/>
              </w:rPr>
            </w:pPr>
            <w:r w:rsidRPr="00B736D2">
              <w:rPr>
                <w:rFonts w:ascii="Arial" w:hAnsi="Arial" w:cs="Arial"/>
                <w:szCs w:val="18"/>
                <w:lang w:val="en-GB" w:eastAsia="en-GB"/>
              </w:rPr>
              <w:t>naar overig</w:t>
            </w:r>
          </w:p>
        </w:tc>
        <w:tc>
          <w:tcPr>
            <w:tcW w:w="310" w:type="pct"/>
            <w:tcBorders>
              <w:top w:val="nil"/>
              <w:left w:val="nil"/>
              <w:bottom w:val="nil"/>
              <w:right w:val="nil"/>
            </w:tcBorders>
            <w:noWrap/>
            <w:vAlign w:val="bottom"/>
            <w:hideMark/>
          </w:tcPr>
          <w:p w:rsidRPr="00B736D2" w:rsidR="00322D6C" w:rsidP="00FC2172" w:rsidRDefault="00322D6C" w14:paraId="7FED6ADF"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5</w:t>
            </w:r>
          </w:p>
        </w:tc>
        <w:tc>
          <w:tcPr>
            <w:tcW w:w="310" w:type="pct"/>
            <w:tcBorders>
              <w:top w:val="nil"/>
              <w:left w:val="nil"/>
              <w:bottom w:val="nil"/>
              <w:right w:val="nil"/>
            </w:tcBorders>
            <w:noWrap/>
            <w:vAlign w:val="bottom"/>
            <w:hideMark/>
          </w:tcPr>
          <w:p w:rsidRPr="00B736D2" w:rsidR="00322D6C" w:rsidP="00FC2172" w:rsidRDefault="00322D6C" w14:paraId="5229E9FE"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nil"/>
              <w:right w:val="nil"/>
            </w:tcBorders>
            <w:noWrap/>
            <w:vAlign w:val="bottom"/>
            <w:hideMark/>
          </w:tcPr>
          <w:p w:rsidRPr="00B736D2" w:rsidR="00322D6C" w:rsidP="00FC2172" w:rsidRDefault="00322D6C" w14:paraId="2D028E37"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nil"/>
              <w:right w:val="nil"/>
            </w:tcBorders>
            <w:noWrap/>
            <w:vAlign w:val="bottom"/>
            <w:hideMark/>
          </w:tcPr>
          <w:p w:rsidRPr="00B736D2" w:rsidR="00322D6C" w:rsidP="00FC2172" w:rsidRDefault="00322D6C" w14:paraId="56169EC2"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w:t>
            </w:r>
          </w:p>
        </w:tc>
        <w:tc>
          <w:tcPr>
            <w:tcW w:w="310" w:type="pct"/>
            <w:tcBorders>
              <w:top w:val="nil"/>
              <w:left w:val="nil"/>
              <w:bottom w:val="nil"/>
              <w:right w:val="nil"/>
            </w:tcBorders>
            <w:noWrap/>
            <w:vAlign w:val="bottom"/>
            <w:hideMark/>
          </w:tcPr>
          <w:p w:rsidRPr="00B736D2" w:rsidR="00322D6C" w:rsidP="00FC2172" w:rsidRDefault="00322D6C" w14:paraId="3CD55CF5"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w:t>
            </w:r>
          </w:p>
        </w:tc>
        <w:tc>
          <w:tcPr>
            <w:tcW w:w="310" w:type="pct"/>
            <w:tcBorders>
              <w:top w:val="nil"/>
              <w:left w:val="nil"/>
              <w:bottom w:val="nil"/>
              <w:right w:val="nil"/>
            </w:tcBorders>
            <w:noWrap/>
            <w:vAlign w:val="bottom"/>
            <w:hideMark/>
          </w:tcPr>
          <w:p w:rsidRPr="00B736D2" w:rsidR="00322D6C" w:rsidP="00FC2172" w:rsidRDefault="00322D6C" w14:paraId="605BECBB"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w:t>
            </w:r>
          </w:p>
        </w:tc>
        <w:tc>
          <w:tcPr>
            <w:tcW w:w="310" w:type="pct"/>
            <w:tcBorders>
              <w:top w:val="nil"/>
              <w:left w:val="nil"/>
              <w:bottom w:val="nil"/>
              <w:right w:val="nil"/>
            </w:tcBorders>
            <w:noWrap/>
            <w:vAlign w:val="bottom"/>
            <w:hideMark/>
          </w:tcPr>
          <w:p w:rsidRPr="00B736D2" w:rsidR="00322D6C" w:rsidP="00FC2172" w:rsidRDefault="00322D6C" w14:paraId="4195B7F2"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5</w:t>
            </w:r>
          </w:p>
        </w:tc>
        <w:tc>
          <w:tcPr>
            <w:tcW w:w="310" w:type="pct"/>
            <w:tcBorders>
              <w:top w:val="nil"/>
              <w:left w:val="nil"/>
              <w:bottom w:val="nil"/>
              <w:right w:val="nil"/>
            </w:tcBorders>
            <w:noWrap/>
            <w:vAlign w:val="bottom"/>
            <w:hideMark/>
          </w:tcPr>
          <w:p w:rsidRPr="00B736D2" w:rsidR="00322D6C" w:rsidP="00FC2172" w:rsidRDefault="00322D6C" w14:paraId="27BE9BFA"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w:t>
            </w:r>
          </w:p>
        </w:tc>
        <w:tc>
          <w:tcPr>
            <w:tcW w:w="310" w:type="pct"/>
            <w:tcBorders>
              <w:top w:val="nil"/>
              <w:left w:val="nil"/>
              <w:bottom w:val="nil"/>
              <w:right w:val="nil"/>
            </w:tcBorders>
            <w:noWrap/>
            <w:vAlign w:val="bottom"/>
            <w:hideMark/>
          </w:tcPr>
          <w:p w:rsidRPr="00B736D2" w:rsidR="00322D6C" w:rsidP="00FC2172" w:rsidRDefault="00322D6C" w14:paraId="56729039"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w:t>
            </w:r>
          </w:p>
        </w:tc>
        <w:tc>
          <w:tcPr>
            <w:tcW w:w="310" w:type="pct"/>
            <w:tcBorders>
              <w:top w:val="nil"/>
              <w:left w:val="nil"/>
              <w:bottom w:val="nil"/>
              <w:right w:val="nil"/>
            </w:tcBorders>
            <w:noWrap/>
            <w:vAlign w:val="bottom"/>
            <w:hideMark/>
          </w:tcPr>
          <w:p w:rsidRPr="00B736D2" w:rsidR="00322D6C" w:rsidP="00FC2172" w:rsidRDefault="00322D6C" w14:paraId="0413C2B6"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w:t>
            </w:r>
          </w:p>
        </w:tc>
        <w:tc>
          <w:tcPr>
            <w:tcW w:w="310" w:type="pct"/>
            <w:tcBorders>
              <w:top w:val="nil"/>
              <w:left w:val="nil"/>
              <w:bottom w:val="nil"/>
              <w:right w:val="nil"/>
            </w:tcBorders>
            <w:noWrap/>
            <w:vAlign w:val="bottom"/>
            <w:hideMark/>
          </w:tcPr>
          <w:p w:rsidRPr="00B736D2" w:rsidR="00322D6C" w:rsidP="00FC2172" w:rsidRDefault="00322D6C" w14:paraId="05217818"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nil"/>
              <w:right w:val="nil"/>
            </w:tcBorders>
            <w:noWrap/>
            <w:vAlign w:val="bottom"/>
            <w:hideMark/>
          </w:tcPr>
          <w:p w:rsidRPr="00B736D2" w:rsidR="00322D6C" w:rsidP="00FC2172" w:rsidRDefault="00322D6C" w14:paraId="7008D821"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r>
      <w:tr w:rsidRPr="00B736D2" w:rsidR="00322D6C" w:rsidTr="00283B39" w14:paraId="740E1FC7" w14:textId="77777777">
        <w:trPr>
          <w:trHeight w:val="260"/>
        </w:trPr>
        <w:tc>
          <w:tcPr>
            <w:tcW w:w="590" w:type="pct"/>
            <w:gridSpan w:val="2"/>
            <w:tcBorders>
              <w:top w:val="nil"/>
              <w:left w:val="nil"/>
              <w:bottom w:val="nil"/>
              <w:right w:val="nil"/>
            </w:tcBorders>
          </w:tcPr>
          <w:p w:rsidRPr="00B736D2" w:rsidR="00322D6C" w:rsidP="00FC2172" w:rsidRDefault="00322D6C" w14:paraId="0107C85E" w14:textId="77777777">
            <w:pPr>
              <w:spacing w:line="240" w:lineRule="auto"/>
              <w:rPr>
                <w:rFonts w:ascii="Arial" w:hAnsi="Arial" w:cs="Arial"/>
                <w:szCs w:val="18"/>
                <w:lang w:val="en-GB" w:eastAsia="en-GB"/>
              </w:rPr>
            </w:pPr>
          </w:p>
        </w:tc>
        <w:tc>
          <w:tcPr>
            <w:tcW w:w="691" w:type="pct"/>
            <w:gridSpan w:val="2"/>
            <w:tcBorders>
              <w:top w:val="nil"/>
              <w:left w:val="nil"/>
              <w:bottom w:val="nil"/>
              <w:right w:val="nil"/>
            </w:tcBorders>
            <w:noWrap/>
            <w:vAlign w:val="bottom"/>
            <w:hideMark/>
          </w:tcPr>
          <w:p w:rsidRPr="00B736D2" w:rsidR="00322D6C" w:rsidP="00FC2172" w:rsidRDefault="00322D6C" w14:paraId="3E4E09CF" w14:textId="77777777">
            <w:pPr>
              <w:spacing w:line="240" w:lineRule="auto"/>
              <w:rPr>
                <w:rFonts w:ascii="Arial" w:hAnsi="Arial" w:cs="Arial"/>
                <w:szCs w:val="18"/>
                <w:lang w:val="en-GB" w:eastAsia="en-GB"/>
              </w:rPr>
            </w:pPr>
            <w:r w:rsidRPr="00B736D2">
              <w:rPr>
                <w:rFonts w:ascii="Arial" w:hAnsi="Arial" w:cs="Arial"/>
                <w:szCs w:val="18"/>
                <w:lang w:val="en-GB" w:eastAsia="en-GB"/>
              </w:rPr>
              <w:t>PIE</w:t>
            </w:r>
          </w:p>
        </w:tc>
        <w:tc>
          <w:tcPr>
            <w:tcW w:w="310" w:type="pct"/>
            <w:tcBorders>
              <w:top w:val="nil"/>
              <w:left w:val="nil"/>
              <w:bottom w:val="nil"/>
              <w:right w:val="nil"/>
            </w:tcBorders>
            <w:noWrap/>
            <w:vAlign w:val="bottom"/>
            <w:hideMark/>
          </w:tcPr>
          <w:p w:rsidRPr="00B736D2" w:rsidR="00322D6C" w:rsidP="00FC2172" w:rsidRDefault="00322D6C" w14:paraId="52DB2FCD"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3DC5B100"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64242B8F"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5AA7EFA1"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77A0D5CB"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7036B292"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7D6D858B"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6DA92519"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0D0116D0"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7DD4DE3C"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6A5E983C"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4A031A20"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r>
      <w:tr w:rsidRPr="00B736D2" w:rsidR="00322D6C" w:rsidTr="00283B39" w14:paraId="2AE915F0" w14:textId="77777777">
        <w:trPr>
          <w:trHeight w:val="260"/>
        </w:trPr>
        <w:tc>
          <w:tcPr>
            <w:tcW w:w="101" w:type="pct"/>
            <w:tcBorders>
              <w:top w:val="nil"/>
              <w:left w:val="nil"/>
              <w:bottom w:val="nil"/>
              <w:right w:val="nil"/>
            </w:tcBorders>
            <w:noWrap/>
            <w:vAlign w:val="bottom"/>
            <w:hideMark/>
          </w:tcPr>
          <w:p w:rsidRPr="00B736D2" w:rsidR="00322D6C" w:rsidP="00FC2172" w:rsidRDefault="00322D6C" w14:paraId="5CE6138C" w14:textId="77777777">
            <w:pPr>
              <w:spacing w:line="240" w:lineRule="auto"/>
              <w:rPr>
                <w:rFonts w:ascii="Arial" w:hAnsi="Arial" w:cs="Arial"/>
                <w:szCs w:val="18"/>
                <w:lang w:val="en-GB" w:eastAsia="en-GB"/>
              </w:rPr>
            </w:pPr>
          </w:p>
        </w:tc>
        <w:tc>
          <w:tcPr>
            <w:tcW w:w="590" w:type="pct"/>
            <w:gridSpan w:val="2"/>
            <w:tcBorders>
              <w:top w:val="nil"/>
              <w:left w:val="nil"/>
              <w:bottom w:val="nil"/>
              <w:right w:val="nil"/>
            </w:tcBorders>
          </w:tcPr>
          <w:p w:rsidRPr="00B736D2" w:rsidR="00322D6C" w:rsidP="00FC2172" w:rsidRDefault="00322D6C" w14:paraId="2F8C5448" w14:textId="77777777">
            <w:pPr>
              <w:spacing w:line="240" w:lineRule="auto"/>
              <w:rPr>
                <w:rFonts w:ascii="Arial" w:hAnsi="Arial" w:cs="Arial"/>
                <w:szCs w:val="18"/>
                <w:lang w:val="en-GB" w:eastAsia="en-GB"/>
              </w:rPr>
            </w:pPr>
          </w:p>
        </w:tc>
        <w:tc>
          <w:tcPr>
            <w:tcW w:w="590" w:type="pct"/>
            <w:tcBorders>
              <w:top w:val="nil"/>
              <w:left w:val="nil"/>
              <w:bottom w:val="nil"/>
              <w:right w:val="nil"/>
            </w:tcBorders>
            <w:noWrap/>
            <w:vAlign w:val="bottom"/>
            <w:hideMark/>
          </w:tcPr>
          <w:p w:rsidRPr="00B736D2" w:rsidR="00322D6C" w:rsidP="00FC2172" w:rsidRDefault="00322D6C" w14:paraId="0188BE40" w14:textId="77777777">
            <w:pPr>
              <w:spacing w:line="240" w:lineRule="auto"/>
              <w:rPr>
                <w:rFonts w:ascii="Arial" w:hAnsi="Arial" w:cs="Arial"/>
                <w:szCs w:val="18"/>
                <w:lang w:val="en-GB" w:eastAsia="en-GB"/>
              </w:rPr>
            </w:pPr>
            <w:r w:rsidRPr="00B736D2">
              <w:rPr>
                <w:rFonts w:ascii="Arial" w:hAnsi="Arial" w:cs="Arial"/>
                <w:szCs w:val="18"/>
                <w:lang w:val="en-GB" w:eastAsia="en-GB"/>
              </w:rPr>
              <w:t>naar mbo bol</w:t>
            </w:r>
          </w:p>
        </w:tc>
        <w:tc>
          <w:tcPr>
            <w:tcW w:w="310" w:type="pct"/>
            <w:tcBorders>
              <w:top w:val="nil"/>
              <w:left w:val="nil"/>
              <w:bottom w:val="nil"/>
              <w:right w:val="nil"/>
            </w:tcBorders>
            <w:noWrap/>
            <w:vAlign w:val="bottom"/>
            <w:hideMark/>
          </w:tcPr>
          <w:p w:rsidRPr="00B736D2" w:rsidR="00322D6C" w:rsidP="00FC2172" w:rsidRDefault="00322D6C" w14:paraId="75F74F4D"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50</w:t>
            </w:r>
          </w:p>
        </w:tc>
        <w:tc>
          <w:tcPr>
            <w:tcW w:w="310" w:type="pct"/>
            <w:tcBorders>
              <w:top w:val="nil"/>
              <w:left w:val="nil"/>
              <w:bottom w:val="nil"/>
              <w:right w:val="nil"/>
            </w:tcBorders>
            <w:noWrap/>
            <w:vAlign w:val="bottom"/>
            <w:hideMark/>
          </w:tcPr>
          <w:p w:rsidRPr="00B736D2" w:rsidR="00322D6C" w:rsidP="00FC2172" w:rsidRDefault="00322D6C" w14:paraId="2BAA23B4"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63</w:t>
            </w:r>
          </w:p>
        </w:tc>
        <w:tc>
          <w:tcPr>
            <w:tcW w:w="310" w:type="pct"/>
            <w:tcBorders>
              <w:top w:val="nil"/>
              <w:left w:val="nil"/>
              <w:bottom w:val="nil"/>
              <w:right w:val="nil"/>
            </w:tcBorders>
            <w:noWrap/>
            <w:vAlign w:val="bottom"/>
            <w:hideMark/>
          </w:tcPr>
          <w:p w:rsidRPr="00B736D2" w:rsidR="00322D6C" w:rsidP="00FC2172" w:rsidRDefault="00322D6C" w14:paraId="3928709B"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72</w:t>
            </w:r>
          </w:p>
        </w:tc>
        <w:tc>
          <w:tcPr>
            <w:tcW w:w="310" w:type="pct"/>
            <w:tcBorders>
              <w:top w:val="nil"/>
              <w:left w:val="nil"/>
              <w:bottom w:val="nil"/>
              <w:right w:val="nil"/>
            </w:tcBorders>
            <w:noWrap/>
            <w:vAlign w:val="bottom"/>
            <w:hideMark/>
          </w:tcPr>
          <w:p w:rsidRPr="00B736D2" w:rsidR="00322D6C" w:rsidP="00FC2172" w:rsidRDefault="00322D6C" w14:paraId="5F74B755"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52</w:t>
            </w:r>
          </w:p>
        </w:tc>
        <w:tc>
          <w:tcPr>
            <w:tcW w:w="310" w:type="pct"/>
            <w:tcBorders>
              <w:top w:val="nil"/>
              <w:left w:val="nil"/>
              <w:bottom w:val="nil"/>
              <w:right w:val="nil"/>
            </w:tcBorders>
            <w:noWrap/>
            <w:vAlign w:val="bottom"/>
            <w:hideMark/>
          </w:tcPr>
          <w:p w:rsidRPr="00B736D2" w:rsidR="00322D6C" w:rsidP="00FC2172" w:rsidRDefault="00322D6C" w14:paraId="1BAA2D98"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64</w:t>
            </w:r>
          </w:p>
        </w:tc>
        <w:tc>
          <w:tcPr>
            <w:tcW w:w="310" w:type="pct"/>
            <w:tcBorders>
              <w:top w:val="nil"/>
              <w:left w:val="nil"/>
              <w:bottom w:val="nil"/>
              <w:right w:val="nil"/>
            </w:tcBorders>
            <w:noWrap/>
            <w:vAlign w:val="bottom"/>
            <w:hideMark/>
          </w:tcPr>
          <w:p w:rsidRPr="00B736D2" w:rsidR="00322D6C" w:rsidP="00FC2172" w:rsidRDefault="00322D6C" w14:paraId="6AA3E167"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65</w:t>
            </w:r>
          </w:p>
        </w:tc>
        <w:tc>
          <w:tcPr>
            <w:tcW w:w="310" w:type="pct"/>
            <w:tcBorders>
              <w:top w:val="nil"/>
              <w:left w:val="nil"/>
              <w:bottom w:val="nil"/>
              <w:right w:val="nil"/>
            </w:tcBorders>
            <w:noWrap/>
            <w:vAlign w:val="bottom"/>
            <w:hideMark/>
          </w:tcPr>
          <w:p w:rsidRPr="00B736D2" w:rsidR="00322D6C" w:rsidP="00FC2172" w:rsidRDefault="00322D6C" w14:paraId="2C0B2DAC"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49</w:t>
            </w:r>
          </w:p>
        </w:tc>
        <w:tc>
          <w:tcPr>
            <w:tcW w:w="310" w:type="pct"/>
            <w:tcBorders>
              <w:top w:val="nil"/>
              <w:left w:val="nil"/>
              <w:bottom w:val="nil"/>
              <w:right w:val="nil"/>
            </w:tcBorders>
            <w:noWrap/>
            <w:vAlign w:val="bottom"/>
            <w:hideMark/>
          </w:tcPr>
          <w:p w:rsidRPr="00B736D2" w:rsidR="00322D6C" w:rsidP="00FC2172" w:rsidRDefault="00322D6C" w14:paraId="43E3DFA0"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62</w:t>
            </w:r>
          </w:p>
        </w:tc>
        <w:tc>
          <w:tcPr>
            <w:tcW w:w="310" w:type="pct"/>
            <w:tcBorders>
              <w:top w:val="nil"/>
              <w:left w:val="nil"/>
              <w:bottom w:val="nil"/>
              <w:right w:val="nil"/>
            </w:tcBorders>
            <w:noWrap/>
            <w:vAlign w:val="bottom"/>
            <w:hideMark/>
          </w:tcPr>
          <w:p w:rsidRPr="00B736D2" w:rsidR="00322D6C" w:rsidP="00FC2172" w:rsidRDefault="00322D6C" w14:paraId="1806C330"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71</w:t>
            </w:r>
          </w:p>
        </w:tc>
        <w:tc>
          <w:tcPr>
            <w:tcW w:w="310" w:type="pct"/>
            <w:tcBorders>
              <w:top w:val="nil"/>
              <w:left w:val="nil"/>
              <w:bottom w:val="nil"/>
              <w:right w:val="nil"/>
            </w:tcBorders>
            <w:noWrap/>
            <w:vAlign w:val="bottom"/>
            <w:hideMark/>
          </w:tcPr>
          <w:p w:rsidRPr="00B736D2" w:rsidR="00322D6C" w:rsidP="00FC2172" w:rsidRDefault="00322D6C" w14:paraId="567AB58B"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49</w:t>
            </w:r>
          </w:p>
        </w:tc>
        <w:tc>
          <w:tcPr>
            <w:tcW w:w="310" w:type="pct"/>
            <w:tcBorders>
              <w:top w:val="nil"/>
              <w:left w:val="nil"/>
              <w:bottom w:val="nil"/>
              <w:right w:val="nil"/>
            </w:tcBorders>
            <w:noWrap/>
            <w:vAlign w:val="bottom"/>
            <w:hideMark/>
          </w:tcPr>
          <w:p w:rsidRPr="00B736D2" w:rsidR="00322D6C" w:rsidP="00FC2172" w:rsidRDefault="00322D6C" w14:paraId="3C937CAC"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57</w:t>
            </w:r>
          </w:p>
        </w:tc>
        <w:tc>
          <w:tcPr>
            <w:tcW w:w="310" w:type="pct"/>
            <w:tcBorders>
              <w:top w:val="nil"/>
              <w:left w:val="nil"/>
              <w:bottom w:val="nil"/>
              <w:right w:val="nil"/>
            </w:tcBorders>
            <w:noWrap/>
            <w:vAlign w:val="bottom"/>
            <w:hideMark/>
          </w:tcPr>
          <w:p w:rsidRPr="00B736D2" w:rsidR="00322D6C" w:rsidP="00FC2172" w:rsidRDefault="00322D6C" w14:paraId="0122B0E6"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63</w:t>
            </w:r>
          </w:p>
        </w:tc>
      </w:tr>
      <w:tr w:rsidRPr="00B736D2" w:rsidR="00322D6C" w:rsidTr="00283B39" w14:paraId="371F0F01" w14:textId="77777777">
        <w:trPr>
          <w:trHeight w:val="260"/>
        </w:trPr>
        <w:tc>
          <w:tcPr>
            <w:tcW w:w="101" w:type="pct"/>
            <w:tcBorders>
              <w:top w:val="nil"/>
              <w:left w:val="nil"/>
              <w:bottom w:val="nil"/>
              <w:right w:val="nil"/>
            </w:tcBorders>
            <w:noWrap/>
            <w:vAlign w:val="bottom"/>
            <w:hideMark/>
          </w:tcPr>
          <w:p w:rsidRPr="00B736D2" w:rsidR="00322D6C" w:rsidP="00FC2172" w:rsidRDefault="00322D6C" w14:paraId="4AFB5C60" w14:textId="77777777">
            <w:pPr>
              <w:spacing w:line="240" w:lineRule="auto"/>
              <w:jc w:val="right"/>
              <w:rPr>
                <w:rFonts w:ascii="Arial" w:hAnsi="Arial" w:cs="Arial"/>
                <w:szCs w:val="18"/>
                <w:lang w:val="en-GB" w:eastAsia="en-GB"/>
              </w:rPr>
            </w:pPr>
          </w:p>
        </w:tc>
        <w:tc>
          <w:tcPr>
            <w:tcW w:w="590" w:type="pct"/>
            <w:gridSpan w:val="2"/>
            <w:tcBorders>
              <w:top w:val="nil"/>
              <w:left w:val="nil"/>
              <w:bottom w:val="nil"/>
              <w:right w:val="nil"/>
            </w:tcBorders>
          </w:tcPr>
          <w:p w:rsidRPr="00B736D2" w:rsidR="00322D6C" w:rsidP="00FC2172" w:rsidRDefault="00322D6C" w14:paraId="26CCEB4E" w14:textId="77777777">
            <w:pPr>
              <w:spacing w:line="240" w:lineRule="auto"/>
              <w:rPr>
                <w:rFonts w:ascii="Arial" w:hAnsi="Arial" w:cs="Arial"/>
                <w:szCs w:val="18"/>
                <w:lang w:val="en-GB" w:eastAsia="en-GB"/>
              </w:rPr>
            </w:pPr>
          </w:p>
        </w:tc>
        <w:tc>
          <w:tcPr>
            <w:tcW w:w="590" w:type="pct"/>
            <w:tcBorders>
              <w:top w:val="nil"/>
              <w:left w:val="nil"/>
              <w:bottom w:val="nil"/>
              <w:right w:val="nil"/>
            </w:tcBorders>
            <w:noWrap/>
            <w:vAlign w:val="bottom"/>
            <w:hideMark/>
          </w:tcPr>
          <w:p w:rsidRPr="00B736D2" w:rsidR="00322D6C" w:rsidP="00FC2172" w:rsidRDefault="00322D6C" w14:paraId="28139918" w14:textId="77777777">
            <w:pPr>
              <w:spacing w:line="240" w:lineRule="auto"/>
              <w:rPr>
                <w:rFonts w:ascii="Arial" w:hAnsi="Arial" w:cs="Arial"/>
                <w:szCs w:val="18"/>
                <w:lang w:val="en-GB" w:eastAsia="en-GB"/>
              </w:rPr>
            </w:pPr>
            <w:r w:rsidRPr="00B736D2">
              <w:rPr>
                <w:rFonts w:ascii="Arial" w:hAnsi="Arial" w:cs="Arial"/>
                <w:szCs w:val="18"/>
                <w:lang w:val="en-GB" w:eastAsia="en-GB"/>
              </w:rPr>
              <w:t>naar mbo bbl</w:t>
            </w:r>
          </w:p>
        </w:tc>
        <w:tc>
          <w:tcPr>
            <w:tcW w:w="310" w:type="pct"/>
            <w:tcBorders>
              <w:top w:val="nil"/>
              <w:left w:val="nil"/>
              <w:bottom w:val="nil"/>
              <w:right w:val="nil"/>
            </w:tcBorders>
            <w:noWrap/>
            <w:vAlign w:val="bottom"/>
            <w:hideMark/>
          </w:tcPr>
          <w:p w:rsidRPr="00B736D2" w:rsidR="00322D6C" w:rsidP="00FC2172" w:rsidRDefault="00322D6C" w14:paraId="12E4F128"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42</w:t>
            </w:r>
          </w:p>
        </w:tc>
        <w:tc>
          <w:tcPr>
            <w:tcW w:w="310" w:type="pct"/>
            <w:tcBorders>
              <w:top w:val="nil"/>
              <w:left w:val="nil"/>
              <w:bottom w:val="nil"/>
              <w:right w:val="nil"/>
            </w:tcBorders>
            <w:noWrap/>
            <w:vAlign w:val="bottom"/>
            <w:hideMark/>
          </w:tcPr>
          <w:p w:rsidRPr="00B736D2" w:rsidR="00322D6C" w:rsidP="00FC2172" w:rsidRDefault="00322D6C" w14:paraId="74045149"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34</w:t>
            </w:r>
          </w:p>
        </w:tc>
        <w:tc>
          <w:tcPr>
            <w:tcW w:w="310" w:type="pct"/>
            <w:tcBorders>
              <w:top w:val="nil"/>
              <w:left w:val="nil"/>
              <w:bottom w:val="nil"/>
              <w:right w:val="nil"/>
            </w:tcBorders>
            <w:noWrap/>
            <w:vAlign w:val="bottom"/>
            <w:hideMark/>
          </w:tcPr>
          <w:p w:rsidRPr="00B736D2" w:rsidR="00322D6C" w:rsidP="00FC2172" w:rsidRDefault="00322D6C" w14:paraId="64AF61D7"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25</w:t>
            </w:r>
          </w:p>
        </w:tc>
        <w:tc>
          <w:tcPr>
            <w:tcW w:w="310" w:type="pct"/>
            <w:tcBorders>
              <w:top w:val="nil"/>
              <w:left w:val="nil"/>
              <w:bottom w:val="nil"/>
              <w:right w:val="nil"/>
            </w:tcBorders>
            <w:noWrap/>
            <w:vAlign w:val="bottom"/>
            <w:hideMark/>
          </w:tcPr>
          <w:p w:rsidRPr="00B736D2" w:rsidR="00322D6C" w:rsidP="00FC2172" w:rsidRDefault="00322D6C" w14:paraId="37496CEB"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40</w:t>
            </w:r>
          </w:p>
        </w:tc>
        <w:tc>
          <w:tcPr>
            <w:tcW w:w="310" w:type="pct"/>
            <w:tcBorders>
              <w:top w:val="nil"/>
              <w:left w:val="nil"/>
              <w:bottom w:val="nil"/>
              <w:right w:val="nil"/>
            </w:tcBorders>
            <w:noWrap/>
            <w:vAlign w:val="bottom"/>
            <w:hideMark/>
          </w:tcPr>
          <w:p w:rsidRPr="00B736D2" w:rsidR="00322D6C" w:rsidP="00FC2172" w:rsidRDefault="00322D6C" w14:paraId="16E437DC"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33</w:t>
            </w:r>
          </w:p>
        </w:tc>
        <w:tc>
          <w:tcPr>
            <w:tcW w:w="310" w:type="pct"/>
            <w:tcBorders>
              <w:top w:val="nil"/>
              <w:left w:val="nil"/>
              <w:bottom w:val="nil"/>
              <w:right w:val="nil"/>
            </w:tcBorders>
            <w:noWrap/>
            <w:vAlign w:val="bottom"/>
            <w:hideMark/>
          </w:tcPr>
          <w:p w:rsidRPr="00B736D2" w:rsidR="00322D6C" w:rsidP="00FC2172" w:rsidRDefault="00322D6C" w14:paraId="4C3FA725"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29</w:t>
            </w:r>
          </w:p>
        </w:tc>
        <w:tc>
          <w:tcPr>
            <w:tcW w:w="310" w:type="pct"/>
            <w:tcBorders>
              <w:top w:val="nil"/>
              <w:left w:val="nil"/>
              <w:bottom w:val="nil"/>
              <w:right w:val="nil"/>
            </w:tcBorders>
            <w:noWrap/>
            <w:vAlign w:val="bottom"/>
            <w:hideMark/>
          </w:tcPr>
          <w:p w:rsidRPr="00B736D2" w:rsidR="00322D6C" w:rsidP="00FC2172" w:rsidRDefault="00322D6C" w14:paraId="40FC276F"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42</w:t>
            </w:r>
          </w:p>
        </w:tc>
        <w:tc>
          <w:tcPr>
            <w:tcW w:w="310" w:type="pct"/>
            <w:tcBorders>
              <w:top w:val="nil"/>
              <w:left w:val="nil"/>
              <w:bottom w:val="nil"/>
              <w:right w:val="nil"/>
            </w:tcBorders>
            <w:noWrap/>
            <w:vAlign w:val="bottom"/>
            <w:hideMark/>
          </w:tcPr>
          <w:p w:rsidRPr="00B736D2" w:rsidR="00322D6C" w:rsidP="00FC2172" w:rsidRDefault="00322D6C" w14:paraId="2481A3DE"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35</w:t>
            </w:r>
          </w:p>
        </w:tc>
        <w:tc>
          <w:tcPr>
            <w:tcW w:w="310" w:type="pct"/>
            <w:tcBorders>
              <w:top w:val="nil"/>
              <w:left w:val="nil"/>
              <w:bottom w:val="nil"/>
              <w:right w:val="nil"/>
            </w:tcBorders>
            <w:noWrap/>
            <w:vAlign w:val="bottom"/>
            <w:hideMark/>
          </w:tcPr>
          <w:p w:rsidRPr="00B736D2" w:rsidR="00322D6C" w:rsidP="00FC2172" w:rsidRDefault="00322D6C" w14:paraId="1C784D9F"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25</w:t>
            </w:r>
          </w:p>
        </w:tc>
        <w:tc>
          <w:tcPr>
            <w:tcW w:w="310" w:type="pct"/>
            <w:tcBorders>
              <w:top w:val="nil"/>
              <w:left w:val="nil"/>
              <w:bottom w:val="nil"/>
              <w:right w:val="nil"/>
            </w:tcBorders>
            <w:noWrap/>
            <w:vAlign w:val="bottom"/>
            <w:hideMark/>
          </w:tcPr>
          <w:p w:rsidRPr="00B736D2" w:rsidR="00322D6C" w:rsidP="00FC2172" w:rsidRDefault="00322D6C" w14:paraId="4E469BA9"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43</w:t>
            </w:r>
          </w:p>
        </w:tc>
        <w:tc>
          <w:tcPr>
            <w:tcW w:w="310" w:type="pct"/>
            <w:tcBorders>
              <w:top w:val="nil"/>
              <w:left w:val="nil"/>
              <w:bottom w:val="nil"/>
              <w:right w:val="nil"/>
            </w:tcBorders>
            <w:noWrap/>
            <w:vAlign w:val="bottom"/>
            <w:hideMark/>
          </w:tcPr>
          <w:p w:rsidRPr="00B736D2" w:rsidR="00322D6C" w:rsidP="00FC2172" w:rsidRDefault="00322D6C" w14:paraId="05CE8681"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38</w:t>
            </w:r>
          </w:p>
        </w:tc>
        <w:tc>
          <w:tcPr>
            <w:tcW w:w="310" w:type="pct"/>
            <w:tcBorders>
              <w:top w:val="nil"/>
              <w:left w:val="nil"/>
              <w:bottom w:val="nil"/>
              <w:right w:val="nil"/>
            </w:tcBorders>
            <w:noWrap/>
            <w:vAlign w:val="bottom"/>
            <w:hideMark/>
          </w:tcPr>
          <w:p w:rsidRPr="00B736D2" w:rsidR="00322D6C" w:rsidP="00FC2172" w:rsidRDefault="00322D6C" w14:paraId="5F0AA9C0"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26</w:t>
            </w:r>
          </w:p>
        </w:tc>
      </w:tr>
      <w:tr w:rsidRPr="00B736D2" w:rsidR="00322D6C" w:rsidTr="00283B39" w14:paraId="6A7E8FA8" w14:textId="77777777">
        <w:trPr>
          <w:trHeight w:val="260"/>
        </w:trPr>
        <w:tc>
          <w:tcPr>
            <w:tcW w:w="101" w:type="pct"/>
            <w:tcBorders>
              <w:top w:val="nil"/>
              <w:left w:val="nil"/>
              <w:bottom w:val="nil"/>
              <w:right w:val="nil"/>
            </w:tcBorders>
            <w:noWrap/>
            <w:vAlign w:val="bottom"/>
            <w:hideMark/>
          </w:tcPr>
          <w:p w:rsidRPr="00B736D2" w:rsidR="00322D6C" w:rsidP="00FC2172" w:rsidRDefault="00322D6C" w14:paraId="3D8F748D" w14:textId="77777777">
            <w:pPr>
              <w:spacing w:line="240" w:lineRule="auto"/>
              <w:jc w:val="right"/>
              <w:rPr>
                <w:rFonts w:ascii="Arial" w:hAnsi="Arial" w:cs="Arial"/>
                <w:szCs w:val="18"/>
                <w:lang w:val="en-GB" w:eastAsia="en-GB"/>
              </w:rPr>
            </w:pPr>
          </w:p>
        </w:tc>
        <w:tc>
          <w:tcPr>
            <w:tcW w:w="590" w:type="pct"/>
            <w:gridSpan w:val="2"/>
            <w:tcBorders>
              <w:top w:val="nil"/>
              <w:left w:val="nil"/>
              <w:bottom w:val="nil"/>
              <w:right w:val="nil"/>
            </w:tcBorders>
          </w:tcPr>
          <w:p w:rsidRPr="00B736D2" w:rsidR="00322D6C" w:rsidP="00FC2172" w:rsidRDefault="00322D6C" w14:paraId="44B405B3" w14:textId="77777777">
            <w:pPr>
              <w:spacing w:line="240" w:lineRule="auto"/>
              <w:rPr>
                <w:rFonts w:ascii="Arial" w:hAnsi="Arial" w:cs="Arial"/>
                <w:szCs w:val="18"/>
                <w:lang w:val="en-GB" w:eastAsia="en-GB"/>
              </w:rPr>
            </w:pPr>
          </w:p>
        </w:tc>
        <w:tc>
          <w:tcPr>
            <w:tcW w:w="590" w:type="pct"/>
            <w:tcBorders>
              <w:top w:val="nil"/>
              <w:left w:val="nil"/>
              <w:bottom w:val="nil"/>
              <w:right w:val="nil"/>
            </w:tcBorders>
            <w:noWrap/>
            <w:vAlign w:val="bottom"/>
            <w:hideMark/>
          </w:tcPr>
          <w:p w:rsidRPr="00B736D2" w:rsidR="00322D6C" w:rsidP="00FC2172" w:rsidRDefault="00322D6C" w14:paraId="4377213C" w14:textId="77777777">
            <w:pPr>
              <w:spacing w:line="240" w:lineRule="auto"/>
              <w:rPr>
                <w:rFonts w:ascii="Arial" w:hAnsi="Arial" w:cs="Arial"/>
                <w:szCs w:val="18"/>
                <w:lang w:val="en-GB" w:eastAsia="en-GB"/>
              </w:rPr>
            </w:pPr>
            <w:r w:rsidRPr="00B736D2">
              <w:rPr>
                <w:rFonts w:ascii="Arial" w:hAnsi="Arial" w:cs="Arial"/>
                <w:szCs w:val="18"/>
                <w:lang w:val="en-GB" w:eastAsia="en-GB"/>
              </w:rPr>
              <w:t>naar havo/vwo</w:t>
            </w:r>
          </w:p>
        </w:tc>
        <w:tc>
          <w:tcPr>
            <w:tcW w:w="310" w:type="pct"/>
            <w:tcBorders>
              <w:top w:val="nil"/>
              <w:left w:val="nil"/>
              <w:bottom w:val="nil"/>
              <w:right w:val="nil"/>
            </w:tcBorders>
            <w:noWrap/>
            <w:vAlign w:val="bottom"/>
            <w:hideMark/>
          </w:tcPr>
          <w:p w:rsidRPr="00B736D2" w:rsidR="00322D6C" w:rsidP="00FC2172" w:rsidRDefault="00322D6C" w14:paraId="4C42D6BC"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3B34BF44"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719A6CCA"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nil"/>
              <w:right w:val="nil"/>
            </w:tcBorders>
            <w:noWrap/>
            <w:vAlign w:val="bottom"/>
            <w:hideMark/>
          </w:tcPr>
          <w:p w:rsidRPr="00B736D2" w:rsidR="00322D6C" w:rsidP="00FC2172" w:rsidRDefault="00322D6C" w14:paraId="4C4C8076"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2DE90B1B"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605BD549"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nil"/>
              <w:right w:val="nil"/>
            </w:tcBorders>
            <w:noWrap/>
            <w:vAlign w:val="bottom"/>
            <w:hideMark/>
          </w:tcPr>
          <w:p w:rsidRPr="00B736D2" w:rsidR="00322D6C" w:rsidP="00FC2172" w:rsidRDefault="00322D6C" w14:paraId="3E12407D"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5D40D59F"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0</w:t>
            </w:r>
          </w:p>
        </w:tc>
        <w:tc>
          <w:tcPr>
            <w:tcW w:w="310" w:type="pct"/>
            <w:tcBorders>
              <w:top w:val="nil"/>
              <w:left w:val="nil"/>
              <w:bottom w:val="nil"/>
              <w:right w:val="nil"/>
            </w:tcBorders>
            <w:noWrap/>
            <w:vAlign w:val="bottom"/>
            <w:hideMark/>
          </w:tcPr>
          <w:p w:rsidRPr="00B736D2" w:rsidR="00322D6C" w:rsidP="00FC2172" w:rsidRDefault="00322D6C" w14:paraId="1B502947"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nil"/>
              <w:right w:val="nil"/>
            </w:tcBorders>
            <w:noWrap/>
            <w:vAlign w:val="bottom"/>
            <w:hideMark/>
          </w:tcPr>
          <w:p w:rsidRPr="00B736D2" w:rsidR="00322D6C" w:rsidP="00FC2172" w:rsidRDefault="00322D6C" w14:paraId="6D4C4D93"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2348F6DE"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41335CDE"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6</w:t>
            </w:r>
          </w:p>
        </w:tc>
      </w:tr>
      <w:tr w:rsidRPr="00B736D2" w:rsidR="00322D6C" w:rsidTr="00283B39" w14:paraId="66A277E8" w14:textId="77777777">
        <w:trPr>
          <w:trHeight w:val="260"/>
        </w:trPr>
        <w:tc>
          <w:tcPr>
            <w:tcW w:w="101" w:type="pct"/>
            <w:tcBorders>
              <w:top w:val="nil"/>
              <w:left w:val="nil"/>
              <w:bottom w:val="nil"/>
              <w:right w:val="nil"/>
            </w:tcBorders>
            <w:noWrap/>
            <w:vAlign w:val="bottom"/>
            <w:hideMark/>
          </w:tcPr>
          <w:p w:rsidRPr="00B736D2" w:rsidR="00322D6C" w:rsidP="00FC2172" w:rsidRDefault="00322D6C" w14:paraId="145A0629" w14:textId="77777777">
            <w:pPr>
              <w:spacing w:line="240" w:lineRule="auto"/>
              <w:jc w:val="right"/>
              <w:rPr>
                <w:rFonts w:ascii="Arial" w:hAnsi="Arial" w:cs="Arial"/>
                <w:szCs w:val="18"/>
                <w:lang w:val="en-GB" w:eastAsia="en-GB"/>
              </w:rPr>
            </w:pPr>
          </w:p>
        </w:tc>
        <w:tc>
          <w:tcPr>
            <w:tcW w:w="590" w:type="pct"/>
            <w:gridSpan w:val="2"/>
            <w:tcBorders>
              <w:top w:val="nil"/>
              <w:left w:val="nil"/>
              <w:bottom w:val="nil"/>
              <w:right w:val="nil"/>
            </w:tcBorders>
          </w:tcPr>
          <w:p w:rsidRPr="00B736D2" w:rsidR="00322D6C" w:rsidP="00FC2172" w:rsidRDefault="00322D6C" w14:paraId="45DBA6A2" w14:textId="77777777">
            <w:pPr>
              <w:spacing w:line="240" w:lineRule="auto"/>
              <w:rPr>
                <w:rFonts w:ascii="Arial" w:hAnsi="Arial" w:cs="Arial"/>
                <w:szCs w:val="18"/>
                <w:lang w:val="en-GB" w:eastAsia="en-GB"/>
              </w:rPr>
            </w:pPr>
          </w:p>
        </w:tc>
        <w:tc>
          <w:tcPr>
            <w:tcW w:w="590" w:type="pct"/>
            <w:tcBorders>
              <w:top w:val="nil"/>
              <w:left w:val="nil"/>
              <w:bottom w:val="nil"/>
              <w:right w:val="nil"/>
            </w:tcBorders>
            <w:noWrap/>
            <w:vAlign w:val="bottom"/>
            <w:hideMark/>
          </w:tcPr>
          <w:p w:rsidRPr="00B736D2" w:rsidR="00322D6C" w:rsidP="00FC2172" w:rsidRDefault="00322D6C" w14:paraId="5CAB1C79" w14:textId="77777777">
            <w:pPr>
              <w:spacing w:line="240" w:lineRule="auto"/>
              <w:rPr>
                <w:rFonts w:ascii="Arial" w:hAnsi="Arial" w:cs="Arial"/>
                <w:szCs w:val="18"/>
                <w:lang w:val="en-GB" w:eastAsia="en-GB"/>
              </w:rPr>
            </w:pPr>
            <w:r w:rsidRPr="00B736D2">
              <w:rPr>
                <w:rFonts w:ascii="Arial" w:hAnsi="Arial" w:cs="Arial"/>
                <w:szCs w:val="18"/>
                <w:lang w:val="en-GB" w:eastAsia="en-GB"/>
              </w:rPr>
              <w:t>blijft in vmbo</w:t>
            </w:r>
          </w:p>
        </w:tc>
        <w:tc>
          <w:tcPr>
            <w:tcW w:w="310" w:type="pct"/>
            <w:tcBorders>
              <w:top w:val="nil"/>
              <w:left w:val="nil"/>
              <w:bottom w:val="nil"/>
              <w:right w:val="nil"/>
            </w:tcBorders>
            <w:noWrap/>
            <w:vAlign w:val="bottom"/>
            <w:hideMark/>
          </w:tcPr>
          <w:p w:rsidRPr="00B736D2" w:rsidR="00322D6C" w:rsidP="00FC2172" w:rsidRDefault="00322D6C" w14:paraId="2B703609"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w:t>
            </w:r>
          </w:p>
        </w:tc>
        <w:tc>
          <w:tcPr>
            <w:tcW w:w="310" w:type="pct"/>
            <w:tcBorders>
              <w:top w:val="nil"/>
              <w:left w:val="nil"/>
              <w:bottom w:val="nil"/>
              <w:right w:val="nil"/>
            </w:tcBorders>
            <w:noWrap/>
            <w:vAlign w:val="bottom"/>
            <w:hideMark/>
          </w:tcPr>
          <w:p w:rsidRPr="00B736D2" w:rsidR="00322D6C" w:rsidP="00FC2172" w:rsidRDefault="00322D6C" w14:paraId="0AD5B636"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w:t>
            </w:r>
          </w:p>
        </w:tc>
        <w:tc>
          <w:tcPr>
            <w:tcW w:w="310" w:type="pct"/>
            <w:tcBorders>
              <w:top w:val="nil"/>
              <w:left w:val="nil"/>
              <w:bottom w:val="nil"/>
              <w:right w:val="nil"/>
            </w:tcBorders>
            <w:noWrap/>
            <w:vAlign w:val="bottom"/>
            <w:hideMark/>
          </w:tcPr>
          <w:p w:rsidRPr="00B736D2" w:rsidR="00322D6C" w:rsidP="00FC2172" w:rsidRDefault="00322D6C" w14:paraId="43BBFF46"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310" w:type="pct"/>
            <w:tcBorders>
              <w:top w:val="nil"/>
              <w:left w:val="nil"/>
              <w:bottom w:val="nil"/>
              <w:right w:val="nil"/>
            </w:tcBorders>
            <w:noWrap/>
            <w:vAlign w:val="bottom"/>
            <w:hideMark/>
          </w:tcPr>
          <w:p w:rsidRPr="00B736D2" w:rsidR="00322D6C" w:rsidP="00FC2172" w:rsidRDefault="00322D6C" w14:paraId="1E3CE91D"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w:t>
            </w:r>
          </w:p>
        </w:tc>
        <w:tc>
          <w:tcPr>
            <w:tcW w:w="310" w:type="pct"/>
            <w:tcBorders>
              <w:top w:val="nil"/>
              <w:left w:val="nil"/>
              <w:bottom w:val="nil"/>
              <w:right w:val="nil"/>
            </w:tcBorders>
            <w:noWrap/>
            <w:vAlign w:val="bottom"/>
            <w:hideMark/>
          </w:tcPr>
          <w:p w:rsidRPr="00B736D2" w:rsidR="00322D6C" w:rsidP="00FC2172" w:rsidRDefault="00322D6C" w14:paraId="21C7B85B"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w:t>
            </w:r>
          </w:p>
        </w:tc>
        <w:tc>
          <w:tcPr>
            <w:tcW w:w="310" w:type="pct"/>
            <w:tcBorders>
              <w:top w:val="nil"/>
              <w:left w:val="nil"/>
              <w:bottom w:val="nil"/>
              <w:right w:val="nil"/>
            </w:tcBorders>
            <w:noWrap/>
            <w:vAlign w:val="bottom"/>
            <w:hideMark/>
          </w:tcPr>
          <w:p w:rsidRPr="00B736D2" w:rsidR="00322D6C" w:rsidP="00FC2172" w:rsidRDefault="00322D6C" w14:paraId="05F84517"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nil"/>
              <w:right w:val="nil"/>
            </w:tcBorders>
            <w:noWrap/>
            <w:vAlign w:val="bottom"/>
            <w:hideMark/>
          </w:tcPr>
          <w:p w:rsidRPr="00B736D2" w:rsidR="00322D6C" w:rsidP="00FC2172" w:rsidRDefault="00322D6C" w14:paraId="207F4884"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w:t>
            </w:r>
          </w:p>
        </w:tc>
        <w:tc>
          <w:tcPr>
            <w:tcW w:w="310" w:type="pct"/>
            <w:tcBorders>
              <w:top w:val="nil"/>
              <w:left w:val="nil"/>
              <w:bottom w:val="nil"/>
              <w:right w:val="nil"/>
            </w:tcBorders>
            <w:noWrap/>
            <w:vAlign w:val="bottom"/>
            <w:hideMark/>
          </w:tcPr>
          <w:p w:rsidRPr="00B736D2" w:rsidR="00322D6C" w:rsidP="00FC2172" w:rsidRDefault="00322D6C" w14:paraId="4E0DBC88"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w:t>
            </w:r>
          </w:p>
        </w:tc>
        <w:tc>
          <w:tcPr>
            <w:tcW w:w="310" w:type="pct"/>
            <w:tcBorders>
              <w:top w:val="nil"/>
              <w:left w:val="nil"/>
              <w:bottom w:val="nil"/>
              <w:right w:val="nil"/>
            </w:tcBorders>
            <w:noWrap/>
            <w:vAlign w:val="bottom"/>
            <w:hideMark/>
          </w:tcPr>
          <w:p w:rsidRPr="00B736D2" w:rsidR="00322D6C" w:rsidP="00FC2172" w:rsidRDefault="00322D6C" w14:paraId="00067950"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nil"/>
              <w:right w:val="nil"/>
            </w:tcBorders>
            <w:noWrap/>
            <w:vAlign w:val="bottom"/>
            <w:hideMark/>
          </w:tcPr>
          <w:p w:rsidRPr="00B736D2" w:rsidR="00322D6C" w:rsidP="00FC2172" w:rsidRDefault="00322D6C" w14:paraId="1368A59E"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w:t>
            </w:r>
          </w:p>
        </w:tc>
        <w:tc>
          <w:tcPr>
            <w:tcW w:w="310" w:type="pct"/>
            <w:tcBorders>
              <w:top w:val="nil"/>
              <w:left w:val="nil"/>
              <w:bottom w:val="nil"/>
              <w:right w:val="nil"/>
            </w:tcBorders>
            <w:noWrap/>
            <w:vAlign w:val="bottom"/>
            <w:hideMark/>
          </w:tcPr>
          <w:p w:rsidRPr="00B736D2" w:rsidR="00322D6C" w:rsidP="00FC2172" w:rsidRDefault="00322D6C" w14:paraId="30A650AE"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w:t>
            </w:r>
          </w:p>
        </w:tc>
        <w:tc>
          <w:tcPr>
            <w:tcW w:w="310" w:type="pct"/>
            <w:tcBorders>
              <w:top w:val="nil"/>
              <w:left w:val="nil"/>
              <w:bottom w:val="nil"/>
              <w:right w:val="nil"/>
            </w:tcBorders>
            <w:noWrap/>
            <w:vAlign w:val="bottom"/>
            <w:hideMark/>
          </w:tcPr>
          <w:p w:rsidRPr="00B736D2" w:rsidR="00322D6C" w:rsidP="00FC2172" w:rsidRDefault="00322D6C" w14:paraId="7771DFC5"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5</w:t>
            </w:r>
          </w:p>
        </w:tc>
      </w:tr>
      <w:tr w:rsidRPr="00B736D2" w:rsidR="00322D6C" w:rsidTr="00283B39" w14:paraId="3770FD08" w14:textId="77777777">
        <w:trPr>
          <w:trHeight w:val="260"/>
        </w:trPr>
        <w:tc>
          <w:tcPr>
            <w:tcW w:w="101" w:type="pct"/>
            <w:tcBorders>
              <w:top w:val="nil"/>
              <w:left w:val="nil"/>
              <w:bottom w:val="single" w:color="auto" w:sz="4" w:space="0"/>
              <w:right w:val="nil"/>
            </w:tcBorders>
            <w:noWrap/>
            <w:vAlign w:val="bottom"/>
            <w:hideMark/>
          </w:tcPr>
          <w:p w:rsidRPr="00B736D2" w:rsidR="00322D6C" w:rsidP="00FC2172" w:rsidRDefault="00322D6C" w14:paraId="01DEFC7E" w14:textId="77777777">
            <w:pPr>
              <w:spacing w:line="240" w:lineRule="auto"/>
              <w:rPr>
                <w:rFonts w:ascii="Arial" w:hAnsi="Arial" w:cs="Arial"/>
                <w:szCs w:val="18"/>
                <w:lang w:val="en-GB" w:eastAsia="en-GB"/>
              </w:rPr>
            </w:pPr>
            <w:r w:rsidRPr="00B736D2">
              <w:rPr>
                <w:rFonts w:ascii="Arial" w:hAnsi="Arial" w:cs="Arial"/>
                <w:szCs w:val="18"/>
                <w:lang w:val="en-GB" w:eastAsia="en-GB"/>
              </w:rPr>
              <w:t> </w:t>
            </w:r>
          </w:p>
        </w:tc>
        <w:tc>
          <w:tcPr>
            <w:tcW w:w="590" w:type="pct"/>
            <w:gridSpan w:val="2"/>
            <w:tcBorders>
              <w:top w:val="nil"/>
              <w:left w:val="nil"/>
              <w:bottom w:val="single" w:color="auto" w:sz="4" w:space="0"/>
              <w:right w:val="nil"/>
            </w:tcBorders>
          </w:tcPr>
          <w:p w:rsidRPr="00B736D2" w:rsidR="00322D6C" w:rsidP="00FC2172" w:rsidRDefault="00322D6C" w14:paraId="08D29998" w14:textId="77777777">
            <w:pPr>
              <w:spacing w:line="240" w:lineRule="auto"/>
              <w:rPr>
                <w:rFonts w:ascii="Arial" w:hAnsi="Arial" w:cs="Arial"/>
                <w:szCs w:val="18"/>
                <w:lang w:val="en-GB" w:eastAsia="en-GB"/>
              </w:rPr>
            </w:pPr>
          </w:p>
        </w:tc>
        <w:tc>
          <w:tcPr>
            <w:tcW w:w="590" w:type="pct"/>
            <w:tcBorders>
              <w:top w:val="nil"/>
              <w:left w:val="nil"/>
              <w:bottom w:val="single" w:color="auto" w:sz="4" w:space="0"/>
              <w:right w:val="nil"/>
            </w:tcBorders>
            <w:noWrap/>
            <w:vAlign w:val="bottom"/>
            <w:hideMark/>
          </w:tcPr>
          <w:p w:rsidRPr="00B736D2" w:rsidR="00322D6C" w:rsidP="00FC2172" w:rsidRDefault="00322D6C" w14:paraId="62890EE4" w14:textId="77777777">
            <w:pPr>
              <w:spacing w:line="240" w:lineRule="auto"/>
              <w:rPr>
                <w:rFonts w:ascii="Arial" w:hAnsi="Arial" w:cs="Arial"/>
                <w:szCs w:val="18"/>
                <w:lang w:val="en-GB" w:eastAsia="en-GB"/>
              </w:rPr>
            </w:pPr>
            <w:r w:rsidRPr="00B736D2">
              <w:rPr>
                <w:rFonts w:ascii="Arial" w:hAnsi="Arial" w:cs="Arial"/>
                <w:szCs w:val="18"/>
                <w:lang w:val="en-GB" w:eastAsia="en-GB"/>
              </w:rPr>
              <w:t>naar overig</w:t>
            </w:r>
          </w:p>
        </w:tc>
        <w:tc>
          <w:tcPr>
            <w:tcW w:w="310" w:type="pct"/>
            <w:tcBorders>
              <w:top w:val="nil"/>
              <w:left w:val="nil"/>
              <w:bottom w:val="single" w:color="auto" w:sz="4" w:space="0"/>
              <w:right w:val="nil"/>
            </w:tcBorders>
            <w:noWrap/>
            <w:vAlign w:val="bottom"/>
            <w:hideMark/>
          </w:tcPr>
          <w:p w:rsidRPr="00B736D2" w:rsidR="00322D6C" w:rsidP="00FC2172" w:rsidRDefault="00322D6C" w14:paraId="3F0D259C"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3</w:t>
            </w:r>
          </w:p>
        </w:tc>
        <w:tc>
          <w:tcPr>
            <w:tcW w:w="310" w:type="pct"/>
            <w:tcBorders>
              <w:top w:val="nil"/>
              <w:left w:val="nil"/>
              <w:bottom w:val="single" w:color="auto" w:sz="4" w:space="0"/>
              <w:right w:val="nil"/>
            </w:tcBorders>
            <w:noWrap/>
            <w:vAlign w:val="bottom"/>
            <w:hideMark/>
          </w:tcPr>
          <w:p w:rsidRPr="00B736D2" w:rsidR="00322D6C" w:rsidP="00FC2172" w:rsidRDefault="00322D6C" w14:paraId="7668A7E9"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single" w:color="auto" w:sz="4" w:space="0"/>
              <w:right w:val="nil"/>
            </w:tcBorders>
            <w:noWrap/>
            <w:vAlign w:val="bottom"/>
            <w:hideMark/>
          </w:tcPr>
          <w:p w:rsidRPr="00B736D2" w:rsidR="00322D6C" w:rsidP="00FC2172" w:rsidRDefault="00322D6C" w14:paraId="27FE9879"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w:t>
            </w:r>
          </w:p>
        </w:tc>
        <w:tc>
          <w:tcPr>
            <w:tcW w:w="310" w:type="pct"/>
            <w:tcBorders>
              <w:top w:val="nil"/>
              <w:left w:val="nil"/>
              <w:bottom w:val="single" w:color="auto" w:sz="4" w:space="0"/>
              <w:right w:val="nil"/>
            </w:tcBorders>
            <w:noWrap/>
            <w:vAlign w:val="bottom"/>
            <w:hideMark/>
          </w:tcPr>
          <w:p w:rsidRPr="00B736D2" w:rsidR="00322D6C" w:rsidP="00FC2172" w:rsidRDefault="00322D6C" w14:paraId="6D2C1320"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w:t>
            </w:r>
          </w:p>
        </w:tc>
        <w:tc>
          <w:tcPr>
            <w:tcW w:w="310" w:type="pct"/>
            <w:tcBorders>
              <w:top w:val="nil"/>
              <w:left w:val="nil"/>
              <w:bottom w:val="single" w:color="auto" w:sz="4" w:space="0"/>
              <w:right w:val="nil"/>
            </w:tcBorders>
            <w:noWrap/>
            <w:vAlign w:val="bottom"/>
            <w:hideMark/>
          </w:tcPr>
          <w:p w:rsidRPr="00B736D2" w:rsidR="00322D6C" w:rsidP="00FC2172" w:rsidRDefault="00322D6C" w14:paraId="4EE6A32B"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single" w:color="auto" w:sz="4" w:space="0"/>
              <w:right w:val="nil"/>
            </w:tcBorders>
            <w:noWrap/>
            <w:vAlign w:val="bottom"/>
            <w:hideMark/>
          </w:tcPr>
          <w:p w:rsidRPr="00B736D2" w:rsidR="00322D6C" w:rsidP="00FC2172" w:rsidRDefault="00322D6C" w14:paraId="010E7BDF"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single" w:color="auto" w:sz="4" w:space="0"/>
              <w:right w:val="nil"/>
            </w:tcBorders>
            <w:noWrap/>
            <w:vAlign w:val="bottom"/>
            <w:hideMark/>
          </w:tcPr>
          <w:p w:rsidRPr="00B736D2" w:rsidR="00322D6C" w:rsidP="00FC2172" w:rsidRDefault="00322D6C" w14:paraId="23B2C5EC"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5</w:t>
            </w:r>
          </w:p>
        </w:tc>
        <w:tc>
          <w:tcPr>
            <w:tcW w:w="310" w:type="pct"/>
            <w:tcBorders>
              <w:top w:val="nil"/>
              <w:left w:val="nil"/>
              <w:bottom w:val="single" w:color="auto" w:sz="4" w:space="0"/>
              <w:right w:val="nil"/>
            </w:tcBorders>
            <w:noWrap/>
            <w:vAlign w:val="bottom"/>
            <w:hideMark/>
          </w:tcPr>
          <w:p w:rsidRPr="00B736D2" w:rsidR="00322D6C" w:rsidP="00FC2172" w:rsidRDefault="00322D6C" w14:paraId="1C5FB326"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single" w:color="auto" w:sz="4" w:space="0"/>
              <w:right w:val="nil"/>
            </w:tcBorders>
            <w:noWrap/>
            <w:vAlign w:val="bottom"/>
            <w:hideMark/>
          </w:tcPr>
          <w:p w:rsidRPr="00B736D2" w:rsidR="00322D6C" w:rsidP="00FC2172" w:rsidRDefault="00322D6C" w14:paraId="1E687191"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w:t>
            </w:r>
          </w:p>
        </w:tc>
        <w:tc>
          <w:tcPr>
            <w:tcW w:w="310" w:type="pct"/>
            <w:tcBorders>
              <w:top w:val="nil"/>
              <w:left w:val="nil"/>
              <w:bottom w:val="single" w:color="auto" w:sz="4" w:space="0"/>
              <w:right w:val="nil"/>
            </w:tcBorders>
            <w:noWrap/>
            <w:vAlign w:val="bottom"/>
            <w:hideMark/>
          </w:tcPr>
          <w:p w:rsidRPr="00B736D2" w:rsidR="00322D6C" w:rsidP="00FC2172" w:rsidRDefault="00322D6C" w14:paraId="27D97EB6"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4</w:t>
            </w:r>
          </w:p>
        </w:tc>
        <w:tc>
          <w:tcPr>
            <w:tcW w:w="310" w:type="pct"/>
            <w:tcBorders>
              <w:top w:val="nil"/>
              <w:left w:val="nil"/>
              <w:bottom w:val="single" w:color="auto" w:sz="4" w:space="0"/>
              <w:right w:val="nil"/>
            </w:tcBorders>
            <w:noWrap/>
            <w:vAlign w:val="bottom"/>
            <w:hideMark/>
          </w:tcPr>
          <w:p w:rsidRPr="00B736D2" w:rsidR="00322D6C" w:rsidP="00FC2172" w:rsidRDefault="00322D6C" w14:paraId="5DDEE2B2"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2</w:t>
            </w:r>
          </w:p>
        </w:tc>
        <w:tc>
          <w:tcPr>
            <w:tcW w:w="310" w:type="pct"/>
            <w:tcBorders>
              <w:top w:val="nil"/>
              <w:left w:val="nil"/>
              <w:bottom w:val="single" w:color="auto" w:sz="4" w:space="0"/>
              <w:right w:val="nil"/>
            </w:tcBorders>
            <w:noWrap/>
            <w:vAlign w:val="bottom"/>
            <w:hideMark/>
          </w:tcPr>
          <w:p w:rsidRPr="00B736D2" w:rsidR="00322D6C" w:rsidP="00FC2172" w:rsidRDefault="00322D6C" w14:paraId="4AABAF4D" w14:textId="77777777">
            <w:pPr>
              <w:spacing w:line="240" w:lineRule="auto"/>
              <w:jc w:val="right"/>
              <w:rPr>
                <w:rFonts w:ascii="Arial" w:hAnsi="Arial" w:cs="Arial"/>
                <w:szCs w:val="18"/>
                <w:lang w:val="en-GB" w:eastAsia="en-GB"/>
              </w:rPr>
            </w:pPr>
            <w:r w:rsidRPr="00B736D2">
              <w:rPr>
                <w:rFonts w:ascii="Arial" w:hAnsi="Arial" w:cs="Arial"/>
                <w:szCs w:val="18"/>
                <w:lang w:val="en-GB" w:eastAsia="en-GB"/>
              </w:rPr>
              <w:t>1</w:t>
            </w:r>
          </w:p>
        </w:tc>
      </w:tr>
    </w:tbl>
    <w:p w:rsidRPr="00A45539" w:rsidR="00B52D66" w:rsidP="00B52D66" w:rsidRDefault="00B52D66" w14:paraId="04A7F081" w14:textId="77777777">
      <w:pPr>
        <w:rPr>
          <w:szCs w:val="18"/>
        </w:rPr>
      </w:pPr>
      <w:r w:rsidRPr="00A45539">
        <w:rPr>
          <w:i/>
          <w:szCs w:val="18"/>
        </w:rPr>
        <w:t>Bron: DUO (eigen bewerking ROA).</w:t>
      </w:r>
    </w:p>
    <w:p w:rsidR="00B52D66" w:rsidP="00B52D66" w:rsidRDefault="00B52D66" w14:paraId="39C23B1D" w14:textId="77777777">
      <w:pPr>
        <w:rPr>
          <w:rFonts w:eastAsiaTheme="minorHAnsi"/>
          <w:lang w:eastAsia="en-US"/>
        </w:rPr>
      </w:pPr>
    </w:p>
    <w:p w:rsidR="00B52D66" w:rsidP="00B52D66" w:rsidRDefault="00B52D66" w14:paraId="6B628E7D" w14:textId="77777777">
      <w:pPr>
        <w:rPr>
          <w:rFonts w:eastAsiaTheme="minorHAnsi"/>
          <w:lang w:eastAsia="en-US"/>
        </w:rPr>
      </w:pPr>
    </w:p>
    <w:p w:rsidRPr="00B52D66" w:rsidR="00B52D66" w:rsidP="00C43FA5" w:rsidRDefault="00322D6C" w14:paraId="3F015223" w14:textId="37FD7148">
      <w:r>
        <w:rPr>
          <w:rFonts w:eastAsiaTheme="minorHAnsi"/>
        </w:rPr>
        <w:t>Tabel</w:t>
      </w:r>
      <w:r w:rsidRPr="00B52D66">
        <w:rPr>
          <w:rFonts w:eastAsiaTheme="minorHAnsi"/>
        </w:rPr>
        <w:t xml:space="preserve"> </w:t>
      </w:r>
      <w:r>
        <w:rPr>
          <w:rFonts w:eastAsiaTheme="minorHAnsi"/>
        </w:rPr>
        <w:t>B</w:t>
      </w:r>
      <w:r w:rsidR="005A36F0">
        <w:rPr>
          <w:rFonts w:eastAsiaTheme="minorHAnsi"/>
        </w:rPr>
        <w:t>3.</w:t>
      </w:r>
      <w:r w:rsidRPr="00B52D66" w:rsidR="00B52D66">
        <w:rPr>
          <w:rFonts w:eastAsiaTheme="minorHAnsi"/>
        </w:rPr>
        <w:t>1</w:t>
      </w:r>
      <w:r>
        <w:rPr>
          <w:rFonts w:eastAsiaTheme="minorHAnsi"/>
        </w:rPr>
        <w:t>9</w:t>
      </w:r>
      <w:r w:rsidRPr="00B52D66" w:rsidR="00B52D66">
        <w:rPr>
          <w:rFonts w:eastAsiaTheme="minorHAnsi"/>
        </w:rPr>
        <w:t xml:space="preserve">. Doorstroom </w:t>
      </w:r>
      <w:r w:rsidRPr="00B52D66" w:rsidR="00B52D66">
        <w:t xml:space="preserve">van vmbo vierdejaarsleerlingen </w:t>
      </w:r>
      <w:r w:rsidRPr="00B52D66" w:rsidR="00B52D66">
        <w:rPr>
          <w:rFonts w:eastAsiaTheme="minorHAnsi"/>
        </w:rPr>
        <w:t xml:space="preserve">naar een mbo-opleiding, naar techniek-indicatie: </w:t>
      </w:r>
      <w:r w:rsidRPr="00B52D66" w:rsidR="00B52D66">
        <w:t>schooljaar 2019/2020 tot 2022/2023</w:t>
      </w:r>
    </w:p>
    <w:tbl>
      <w:tblPr>
        <w:tblW w:w="5000" w:type="pct"/>
        <w:tblLook w:val="04A0" w:firstRow="1" w:lastRow="0" w:firstColumn="1" w:lastColumn="0" w:noHBand="0" w:noVBand="1"/>
      </w:tblPr>
      <w:tblGrid>
        <w:gridCol w:w="2148"/>
        <w:gridCol w:w="1055"/>
        <w:gridCol w:w="748"/>
        <w:gridCol w:w="1055"/>
        <w:gridCol w:w="748"/>
        <w:gridCol w:w="1055"/>
        <w:gridCol w:w="748"/>
        <w:gridCol w:w="1055"/>
        <w:gridCol w:w="748"/>
      </w:tblGrid>
      <w:tr w:rsidRPr="00C43FA5" w:rsidR="00B52D66" w:rsidTr="00C43FA5" w14:paraId="56325778" w14:textId="77777777">
        <w:trPr>
          <w:trHeight w:val="230"/>
        </w:trPr>
        <w:tc>
          <w:tcPr>
            <w:tcW w:w="1147" w:type="pct"/>
            <w:tcBorders>
              <w:top w:val="single" w:color="auto" w:sz="4" w:space="0"/>
              <w:left w:val="nil"/>
              <w:bottom w:val="nil"/>
              <w:right w:val="nil"/>
            </w:tcBorders>
            <w:noWrap/>
            <w:vAlign w:val="bottom"/>
            <w:hideMark/>
          </w:tcPr>
          <w:p w:rsidRPr="00C43FA5" w:rsidR="00B52D66" w:rsidP="00FC2172" w:rsidRDefault="00B52D66" w14:paraId="30B8E4F4" w14:textId="77777777">
            <w:pPr>
              <w:spacing w:line="240" w:lineRule="auto"/>
              <w:rPr>
                <w:rFonts w:cs="Arial"/>
                <w:sz w:val="16"/>
                <w:szCs w:val="16"/>
                <w:lang w:eastAsia="en-GB"/>
              </w:rPr>
            </w:pPr>
            <w:r w:rsidRPr="00C43FA5">
              <w:rPr>
                <w:rFonts w:cs="Arial"/>
                <w:sz w:val="16"/>
                <w:szCs w:val="16"/>
              </w:rPr>
              <w:t> </w:t>
            </w:r>
          </w:p>
        </w:tc>
        <w:tc>
          <w:tcPr>
            <w:tcW w:w="963" w:type="pct"/>
            <w:gridSpan w:val="2"/>
            <w:tcBorders>
              <w:top w:val="single" w:color="auto" w:sz="4" w:space="0"/>
              <w:left w:val="nil"/>
              <w:bottom w:val="nil"/>
              <w:right w:val="nil"/>
            </w:tcBorders>
            <w:noWrap/>
            <w:vAlign w:val="bottom"/>
            <w:hideMark/>
          </w:tcPr>
          <w:p w:rsidRPr="00C43FA5" w:rsidR="00B52D66" w:rsidP="00FC2172" w:rsidRDefault="00B52D66" w14:paraId="40342F1F" w14:textId="77777777">
            <w:pPr>
              <w:jc w:val="center"/>
              <w:rPr>
                <w:rFonts w:cs="Arial"/>
                <w:sz w:val="16"/>
                <w:szCs w:val="16"/>
              </w:rPr>
            </w:pPr>
            <w:r w:rsidRPr="00C43FA5">
              <w:rPr>
                <w:rFonts w:cs="Arial"/>
                <w:sz w:val="16"/>
                <w:szCs w:val="16"/>
              </w:rPr>
              <w:t>2019/2020 </w:t>
            </w:r>
          </w:p>
        </w:tc>
        <w:tc>
          <w:tcPr>
            <w:tcW w:w="963" w:type="pct"/>
            <w:gridSpan w:val="2"/>
            <w:tcBorders>
              <w:top w:val="single" w:color="auto" w:sz="4" w:space="0"/>
              <w:left w:val="nil"/>
              <w:bottom w:val="nil"/>
              <w:right w:val="nil"/>
            </w:tcBorders>
            <w:noWrap/>
            <w:vAlign w:val="bottom"/>
            <w:hideMark/>
          </w:tcPr>
          <w:p w:rsidRPr="00C43FA5" w:rsidR="00B52D66" w:rsidP="00FC2172" w:rsidRDefault="00B52D66" w14:paraId="2D0080DE" w14:textId="77777777">
            <w:pPr>
              <w:jc w:val="center"/>
              <w:rPr>
                <w:rFonts w:cs="Arial"/>
                <w:sz w:val="16"/>
                <w:szCs w:val="16"/>
              </w:rPr>
            </w:pPr>
            <w:r w:rsidRPr="00C43FA5">
              <w:rPr>
                <w:rFonts w:cs="Arial"/>
                <w:sz w:val="16"/>
                <w:szCs w:val="16"/>
              </w:rPr>
              <w:t>2020/2021</w:t>
            </w:r>
          </w:p>
        </w:tc>
        <w:tc>
          <w:tcPr>
            <w:tcW w:w="963" w:type="pct"/>
            <w:gridSpan w:val="2"/>
            <w:tcBorders>
              <w:top w:val="single" w:color="auto" w:sz="4" w:space="0"/>
              <w:left w:val="nil"/>
              <w:bottom w:val="nil"/>
              <w:right w:val="nil"/>
            </w:tcBorders>
            <w:noWrap/>
            <w:vAlign w:val="bottom"/>
            <w:hideMark/>
          </w:tcPr>
          <w:p w:rsidRPr="00C43FA5" w:rsidR="00B52D66" w:rsidP="00FC2172" w:rsidRDefault="00B52D66" w14:paraId="075C9EDE" w14:textId="77777777">
            <w:pPr>
              <w:jc w:val="center"/>
              <w:rPr>
                <w:rFonts w:cs="Arial"/>
                <w:sz w:val="16"/>
                <w:szCs w:val="16"/>
              </w:rPr>
            </w:pPr>
            <w:r w:rsidRPr="00C43FA5">
              <w:rPr>
                <w:rFonts w:cs="Arial"/>
                <w:sz w:val="16"/>
                <w:szCs w:val="16"/>
              </w:rPr>
              <w:t>2021/2022</w:t>
            </w:r>
          </w:p>
        </w:tc>
        <w:tc>
          <w:tcPr>
            <w:tcW w:w="963" w:type="pct"/>
            <w:gridSpan w:val="2"/>
            <w:tcBorders>
              <w:top w:val="single" w:color="auto" w:sz="4" w:space="0"/>
              <w:left w:val="nil"/>
              <w:bottom w:val="nil"/>
              <w:right w:val="nil"/>
            </w:tcBorders>
            <w:noWrap/>
            <w:vAlign w:val="bottom"/>
            <w:hideMark/>
          </w:tcPr>
          <w:p w:rsidRPr="00C43FA5" w:rsidR="00B52D66" w:rsidP="00FC2172" w:rsidRDefault="00B52D66" w14:paraId="07475270" w14:textId="77777777">
            <w:pPr>
              <w:jc w:val="center"/>
              <w:rPr>
                <w:rFonts w:cs="Arial"/>
                <w:sz w:val="16"/>
                <w:szCs w:val="16"/>
              </w:rPr>
            </w:pPr>
            <w:r w:rsidRPr="00C43FA5">
              <w:rPr>
                <w:rFonts w:cs="Arial"/>
                <w:sz w:val="16"/>
                <w:szCs w:val="16"/>
              </w:rPr>
              <w:t>2022/2023</w:t>
            </w:r>
          </w:p>
        </w:tc>
      </w:tr>
      <w:tr w:rsidRPr="00C43FA5" w:rsidR="00B52D66" w:rsidTr="00C43FA5" w14:paraId="04C4F7CD" w14:textId="77777777">
        <w:trPr>
          <w:trHeight w:val="230"/>
        </w:trPr>
        <w:tc>
          <w:tcPr>
            <w:tcW w:w="1147" w:type="pct"/>
            <w:tcBorders>
              <w:top w:val="nil"/>
              <w:left w:val="nil"/>
              <w:bottom w:val="nil"/>
              <w:right w:val="nil"/>
            </w:tcBorders>
            <w:noWrap/>
            <w:vAlign w:val="bottom"/>
            <w:hideMark/>
          </w:tcPr>
          <w:p w:rsidRPr="00C43FA5" w:rsidR="00B52D66" w:rsidP="00FC2172" w:rsidRDefault="00B52D66" w14:paraId="64528D0E" w14:textId="77777777">
            <w:pPr>
              <w:rPr>
                <w:rFonts w:cs="Arial"/>
                <w:sz w:val="16"/>
                <w:szCs w:val="16"/>
              </w:rPr>
            </w:pPr>
            <w:r w:rsidRPr="00C43FA5">
              <w:rPr>
                <w:rFonts w:cs="Arial"/>
                <w:sz w:val="16"/>
                <w:szCs w:val="16"/>
              </w:rPr>
              <w:t> </w:t>
            </w:r>
          </w:p>
        </w:tc>
        <w:tc>
          <w:tcPr>
            <w:tcW w:w="564" w:type="pct"/>
            <w:tcBorders>
              <w:top w:val="nil"/>
              <w:left w:val="nil"/>
              <w:bottom w:val="nil"/>
              <w:right w:val="nil"/>
            </w:tcBorders>
            <w:noWrap/>
            <w:vAlign w:val="bottom"/>
            <w:hideMark/>
          </w:tcPr>
          <w:p w:rsidRPr="00C43FA5" w:rsidR="00B52D66" w:rsidP="00FC2172" w:rsidRDefault="00B52D66" w14:paraId="4DFA3298" w14:textId="77777777">
            <w:pPr>
              <w:jc w:val="center"/>
              <w:rPr>
                <w:rFonts w:cs="Arial"/>
                <w:sz w:val="16"/>
                <w:szCs w:val="16"/>
              </w:rPr>
            </w:pPr>
            <w:r w:rsidRPr="00C43FA5">
              <w:rPr>
                <w:rFonts w:cs="Arial"/>
                <w:sz w:val="16"/>
                <w:szCs w:val="16"/>
              </w:rPr>
              <w:t>aantal</w:t>
            </w:r>
          </w:p>
        </w:tc>
        <w:tc>
          <w:tcPr>
            <w:tcW w:w="400" w:type="pct"/>
            <w:tcBorders>
              <w:top w:val="nil"/>
              <w:left w:val="nil"/>
              <w:bottom w:val="nil"/>
              <w:right w:val="nil"/>
            </w:tcBorders>
            <w:noWrap/>
            <w:vAlign w:val="bottom"/>
            <w:hideMark/>
          </w:tcPr>
          <w:p w:rsidRPr="00C43FA5" w:rsidR="00B52D66" w:rsidP="00FC2172" w:rsidRDefault="00B52D66" w14:paraId="1273C943" w14:textId="77777777">
            <w:pPr>
              <w:jc w:val="center"/>
              <w:rPr>
                <w:rFonts w:cs="Arial"/>
                <w:sz w:val="16"/>
                <w:szCs w:val="16"/>
              </w:rPr>
            </w:pPr>
            <w:r w:rsidRPr="00C43FA5">
              <w:rPr>
                <w:rFonts w:cs="Arial"/>
                <w:sz w:val="16"/>
                <w:szCs w:val="16"/>
              </w:rPr>
              <w:t>aandeel</w:t>
            </w:r>
          </w:p>
        </w:tc>
        <w:tc>
          <w:tcPr>
            <w:tcW w:w="564" w:type="pct"/>
            <w:tcBorders>
              <w:top w:val="nil"/>
              <w:left w:val="nil"/>
              <w:bottom w:val="nil"/>
              <w:right w:val="nil"/>
            </w:tcBorders>
            <w:noWrap/>
            <w:vAlign w:val="bottom"/>
            <w:hideMark/>
          </w:tcPr>
          <w:p w:rsidRPr="00C43FA5" w:rsidR="00B52D66" w:rsidP="00FC2172" w:rsidRDefault="00B52D66" w14:paraId="7EFCD339" w14:textId="77777777">
            <w:pPr>
              <w:jc w:val="center"/>
              <w:rPr>
                <w:rFonts w:cs="Arial"/>
                <w:sz w:val="16"/>
                <w:szCs w:val="16"/>
              </w:rPr>
            </w:pPr>
            <w:r w:rsidRPr="00C43FA5">
              <w:rPr>
                <w:rFonts w:cs="Arial"/>
                <w:sz w:val="16"/>
                <w:szCs w:val="16"/>
              </w:rPr>
              <w:t>aantal</w:t>
            </w:r>
          </w:p>
        </w:tc>
        <w:tc>
          <w:tcPr>
            <w:tcW w:w="400" w:type="pct"/>
            <w:tcBorders>
              <w:top w:val="nil"/>
              <w:left w:val="nil"/>
              <w:bottom w:val="nil"/>
              <w:right w:val="nil"/>
            </w:tcBorders>
            <w:noWrap/>
            <w:vAlign w:val="bottom"/>
            <w:hideMark/>
          </w:tcPr>
          <w:p w:rsidRPr="00C43FA5" w:rsidR="00B52D66" w:rsidP="00FC2172" w:rsidRDefault="00B52D66" w14:paraId="44402146" w14:textId="77777777">
            <w:pPr>
              <w:jc w:val="center"/>
              <w:rPr>
                <w:rFonts w:cs="Arial"/>
                <w:sz w:val="16"/>
                <w:szCs w:val="16"/>
              </w:rPr>
            </w:pPr>
            <w:r w:rsidRPr="00C43FA5">
              <w:rPr>
                <w:rFonts w:cs="Arial"/>
                <w:sz w:val="16"/>
                <w:szCs w:val="16"/>
              </w:rPr>
              <w:t>aandeel</w:t>
            </w:r>
          </w:p>
        </w:tc>
        <w:tc>
          <w:tcPr>
            <w:tcW w:w="564" w:type="pct"/>
            <w:tcBorders>
              <w:top w:val="nil"/>
              <w:left w:val="nil"/>
              <w:bottom w:val="nil"/>
              <w:right w:val="nil"/>
            </w:tcBorders>
            <w:noWrap/>
            <w:vAlign w:val="bottom"/>
            <w:hideMark/>
          </w:tcPr>
          <w:p w:rsidRPr="00C43FA5" w:rsidR="00B52D66" w:rsidP="00FC2172" w:rsidRDefault="00B52D66" w14:paraId="6B496619" w14:textId="77777777">
            <w:pPr>
              <w:jc w:val="center"/>
              <w:rPr>
                <w:rFonts w:cs="Arial"/>
                <w:sz w:val="16"/>
                <w:szCs w:val="16"/>
              </w:rPr>
            </w:pPr>
            <w:r w:rsidRPr="00C43FA5">
              <w:rPr>
                <w:rFonts w:cs="Arial"/>
                <w:sz w:val="16"/>
                <w:szCs w:val="16"/>
              </w:rPr>
              <w:t>aantal</w:t>
            </w:r>
          </w:p>
        </w:tc>
        <w:tc>
          <w:tcPr>
            <w:tcW w:w="400" w:type="pct"/>
            <w:tcBorders>
              <w:top w:val="nil"/>
              <w:left w:val="nil"/>
              <w:bottom w:val="nil"/>
              <w:right w:val="nil"/>
            </w:tcBorders>
            <w:noWrap/>
            <w:vAlign w:val="bottom"/>
            <w:hideMark/>
          </w:tcPr>
          <w:p w:rsidRPr="00C43FA5" w:rsidR="00B52D66" w:rsidP="00FC2172" w:rsidRDefault="00B52D66" w14:paraId="79DECDF5" w14:textId="77777777">
            <w:pPr>
              <w:jc w:val="center"/>
              <w:rPr>
                <w:rFonts w:cs="Arial"/>
                <w:sz w:val="16"/>
                <w:szCs w:val="16"/>
              </w:rPr>
            </w:pPr>
            <w:r w:rsidRPr="00C43FA5">
              <w:rPr>
                <w:rFonts w:cs="Arial"/>
                <w:sz w:val="16"/>
                <w:szCs w:val="16"/>
              </w:rPr>
              <w:t>aandeel</w:t>
            </w:r>
          </w:p>
        </w:tc>
        <w:tc>
          <w:tcPr>
            <w:tcW w:w="564" w:type="pct"/>
            <w:tcBorders>
              <w:top w:val="nil"/>
              <w:left w:val="nil"/>
              <w:bottom w:val="nil"/>
              <w:right w:val="nil"/>
            </w:tcBorders>
            <w:noWrap/>
            <w:vAlign w:val="bottom"/>
            <w:hideMark/>
          </w:tcPr>
          <w:p w:rsidRPr="00C43FA5" w:rsidR="00B52D66" w:rsidP="00FC2172" w:rsidRDefault="00B52D66" w14:paraId="73901A06" w14:textId="77777777">
            <w:pPr>
              <w:jc w:val="center"/>
              <w:rPr>
                <w:rFonts w:cs="Arial"/>
                <w:sz w:val="16"/>
                <w:szCs w:val="16"/>
              </w:rPr>
            </w:pPr>
            <w:r w:rsidRPr="00C43FA5">
              <w:rPr>
                <w:rFonts w:cs="Arial"/>
                <w:sz w:val="16"/>
                <w:szCs w:val="16"/>
              </w:rPr>
              <w:t>aantal</w:t>
            </w:r>
          </w:p>
        </w:tc>
        <w:tc>
          <w:tcPr>
            <w:tcW w:w="400" w:type="pct"/>
            <w:tcBorders>
              <w:top w:val="nil"/>
              <w:left w:val="nil"/>
              <w:bottom w:val="nil"/>
              <w:right w:val="nil"/>
            </w:tcBorders>
            <w:noWrap/>
            <w:vAlign w:val="bottom"/>
            <w:hideMark/>
          </w:tcPr>
          <w:p w:rsidRPr="00C43FA5" w:rsidR="00B52D66" w:rsidP="00FC2172" w:rsidRDefault="00B52D66" w14:paraId="7A435947" w14:textId="77777777">
            <w:pPr>
              <w:jc w:val="center"/>
              <w:rPr>
                <w:rFonts w:cs="Arial"/>
                <w:sz w:val="16"/>
                <w:szCs w:val="16"/>
              </w:rPr>
            </w:pPr>
            <w:r w:rsidRPr="00C43FA5">
              <w:rPr>
                <w:rFonts w:cs="Arial"/>
                <w:sz w:val="16"/>
                <w:szCs w:val="16"/>
              </w:rPr>
              <w:t>aandeel</w:t>
            </w:r>
          </w:p>
        </w:tc>
      </w:tr>
      <w:tr w:rsidRPr="00C43FA5" w:rsidR="00B52D66" w:rsidTr="00C43FA5" w14:paraId="216E5536" w14:textId="77777777">
        <w:trPr>
          <w:trHeight w:val="230"/>
        </w:trPr>
        <w:tc>
          <w:tcPr>
            <w:tcW w:w="1147" w:type="pct"/>
            <w:tcBorders>
              <w:top w:val="nil"/>
              <w:left w:val="nil"/>
              <w:bottom w:val="single" w:color="auto" w:sz="4" w:space="0"/>
              <w:right w:val="nil"/>
            </w:tcBorders>
            <w:noWrap/>
            <w:vAlign w:val="bottom"/>
            <w:hideMark/>
          </w:tcPr>
          <w:p w:rsidRPr="00C43FA5" w:rsidR="00B52D66" w:rsidP="00FC2172" w:rsidRDefault="00B52D66" w14:paraId="13632275" w14:textId="77777777">
            <w:pPr>
              <w:rPr>
                <w:rFonts w:cs="Arial"/>
                <w:sz w:val="16"/>
                <w:szCs w:val="16"/>
              </w:rPr>
            </w:pPr>
            <w:r w:rsidRPr="00C43FA5">
              <w:rPr>
                <w:rFonts w:cs="Arial"/>
                <w:sz w:val="16"/>
                <w:szCs w:val="16"/>
              </w:rPr>
              <w:t> </w:t>
            </w:r>
          </w:p>
        </w:tc>
        <w:tc>
          <w:tcPr>
            <w:tcW w:w="564" w:type="pct"/>
            <w:tcBorders>
              <w:top w:val="nil"/>
              <w:left w:val="nil"/>
              <w:bottom w:val="single" w:color="auto" w:sz="4" w:space="0"/>
              <w:right w:val="nil"/>
            </w:tcBorders>
            <w:noWrap/>
            <w:vAlign w:val="center"/>
            <w:hideMark/>
          </w:tcPr>
          <w:p w:rsidRPr="00C43FA5" w:rsidR="00B52D66" w:rsidP="00FC2172" w:rsidRDefault="00B52D66" w14:paraId="5D2D91B5" w14:textId="77777777">
            <w:pPr>
              <w:jc w:val="center"/>
              <w:rPr>
                <w:rFonts w:cs="Arial"/>
                <w:sz w:val="16"/>
                <w:szCs w:val="16"/>
              </w:rPr>
            </w:pPr>
            <w:r w:rsidRPr="00C43FA5">
              <w:rPr>
                <w:rFonts w:cs="Arial"/>
                <w:sz w:val="16"/>
                <w:szCs w:val="16"/>
              </w:rPr>
              <w:t>totaal</w:t>
            </w:r>
          </w:p>
        </w:tc>
        <w:tc>
          <w:tcPr>
            <w:tcW w:w="400" w:type="pct"/>
            <w:tcBorders>
              <w:top w:val="nil"/>
              <w:left w:val="nil"/>
              <w:bottom w:val="single" w:color="auto" w:sz="4" w:space="0"/>
              <w:right w:val="nil"/>
            </w:tcBorders>
            <w:noWrap/>
            <w:vAlign w:val="bottom"/>
            <w:hideMark/>
          </w:tcPr>
          <w:p w:rsidRPr="00C43FA5" w:rsidR="00B52D66" w:rsidP="00FC2172" w:rsidRDefault="00B52D66" w14:paraId="383BB73A" w14:textId="77777777">
            <w:pPr>
              <w:jc w:val="center"/>
              <w:rPr>
                <w:rFonts w:cs="Arial"/>
                <w:sz w:val="16"/>
                <w:szCs w:val="16"/>
              </w:rPr>
            </w:pPr>
            <w:r w:rsidRPr="00C43FA5">
              <w:rPr>
                <w:rFonts w:cs="Arial"/>
                <w:sz w:val="16"/>
                <w:szCs w:val="16"/>
              </w:rPr>
              <w:t>techniek</w:t>
            </w:r>
          </w:p>
        </w:tc>
        <w:tc>
          <w:tcPr>
            <w:tcW w:w="564" w:type="pct"/>
            <w:tcBorders>
              <w:top w:val="nil"/>
              <w:left w:val="nil"/>
              <w:bottom w:val="single" w:color="auto" w:sz="4" w:space="0"/>
              <w:right w:val="nil"/>
            </w:tcBorders>
            <w:noWrap/>
            <w:vAlign w:val="center"/>
            <w:hideMark/>
          </w:tcPr>
          <w:p w:rsidRPr="00C43FA5" w:rsidR="00B52D66" w:rsidP="00FC2172" w:rsidRDefault="00B52D66" w14:paraId="65F10A2E" w14:textId="77777777">
            <w:pPr>
              <w:jc w:val="center"/>
              <w:rPr>
                <w:rFonts w:cs="Arial"/>
                <w:sz w:val="16"/>
                <w:szCs w:val="16"/>
              </w:rPr>
            </w:pPr>
            <w:r w:rsidRPr="00C43FA5">
              <w:rPr>
                <w:rFonts w:cs="Arial"/>
                <w:sz w:val="16"/>
                <w:szCs w:val="16"/>
              </w:rPr>
              <w:t>totaal</w:t>
            </w:r>
          </w:p>
        </w:tc>
        <w:tc>
          <w:tcPr>
            <w:tcW w:w="400" w:type="pct"/>
            <w:tcBorders>
              <w:top w:val="nil"/>
              <w:left w:val="nil"/>
              <w:bottom w:val="single" w:color="auto" w:sz="4" w:space="0"/>
              <w:right w:val="nil"/>
            </w:tcBorders>
            <w:noWrap/>
            <w:vAlign w:val="bottom"/>
            <w:hideMark/>
          </w:tcPr>
          <w:p w:rsidRPr="00C43FA5" w:rsidR="00B52D66" w:rsidP="00FC2172" w:rsidRDefault="00B52D66" w14:paraId="6B2065F1" w14:textId="77777777">
            <w:pPr>
              <w:jc w:val="center"/>
              <w:rPr>
                <w:rFonts w:cs="Arial"/>
                <w:sz w:val="16"/>
                <w:szCs w:val="16"/>
              </w:rPr>
            </w:pPr>
            <w:r w:rsidRPr="00C43FA5">
              <w:rPr>
                <w:rFonts w:cs="Arial"/>
                <w:sz w:val="16"/>
                <w:szCs w:val="16"/>
              </w:rPr>
              <w:t>techniek</w:t>
            </w:r>
          </w:p>
        </w:tc>
        <w:tc>
          <w:tcPr>
            <w:tcW w:w="564" w:type="pct"/>
            <w:tcBorders>
              <w:top w:val="nil"/>
              <w:left w:val="nil"/>
              <w:bottom w:val="single" w:color="auto" w:sz="4" w:space="0"/>
              <w:right w:val="nil"/>
            </w:tcBorders>
            <w:noWrap/>
            <w:vAlign w:val="center"/>
            <w:hideMark/>
          </w:tcPr>
          <w:p w:rsidRPr="00C43FA5" w:rsidR="00B52D66" w:rsidP="00FC2172" w:rsidRDefault="00B52D66" w14:paraId="54F3C995" w14:textId="77777777">
            <w:pPr>
              <w:jc w:val="center"/>
              <w:rPr>
                <w:rFonts w:cs="Arial"/>
                <w:sz w:val="16"/>
                <w:szCs w:val="16"/>
              </w:rPr>
            </w:pPr>
            <w:r w:rsidRPr="00C43FA5">
              <w:rPr>
                <w:rFonts w:cs="Arial"/>
                <w:sz w:val="16"/>
                <w:szCs w:val="16"/>
              </w:rPr>
              <w:t>totaal</w:t>
            </w:r>
          </w:p>
        </w:tc>
        <w:tc>
          <w:tcPr>
            <w:tcW w:w="400" w:type="pct"/>
            <w:tcBorders>
              <w:top w:val="nil"/>
              <w:left w:val="nil"/>
              <w:bottom w:val="single" w:color="auto" w:sz="4" w:space="0"/>
              <w:right w:val="nil"/>
            </w:tcBorders>
            <w:noWrap/>
            <w:vAlign w:val="bottom"/>
            <w:hideMark/>
          </w:tcPr>
          <w:p w:rsidRPr="00C43FA5" w:rsidR="00B52D66" w:rsidP="00FC2172" w:rsidRDefault="00B52D66" w14:paraId="27893CDC" w14:textId="77777777">
            <w:pPr>
              <w:jc w:val="center"/>
              <w:rPr>
                <w:rFonts w:cs="Arial"/>
                <w:sz w:val="16"/>
                <w:szCs w:val="16"/>
              </w:rPr>
            </w:pPr>
            <w:r w:rsidRPr="00C43FA5">
              <w:rPr>
                <w:rFonts w:cs="Arial"/>
                <w:sz w:val="16"/>
                <w:szCs w:val="16"/>
              </w:rPr>
              <w:t>techniek</w:t>
            </w:r>
          </w:p>
        </w:tc>
        <w:tc>
          <w:tcPr>
            <w:tcW w:w="564" w:type="pct"/>
            <w:tcBorders>
              <w:top w:val="nil"/>
              <w:left w:val="nil"/>
              <w:bottom w:val="single" w:color="auto" w:sz="4" w:space="0"/>
              <w:right w:val="nil"/>
            </w:tcBorders>
            <w:noWrap/>
            <w:vAlign w:val="center"/>
            <w:hideMark/>
          </w:tcPr>
          <w:p w:rsidRPr="00C43FA5" w:rsidR="00B52D66" w:rsidP="00FC2172" w:rsidRDefault="00B52D66" w14:paraId="56F094B2" w14:textId="77777777">
            <w:pPr>
              <w:jc w:val="center"/>
              <w:rPr>
                <w:rFonts w:cs="Arial"/>
                <w:sz w:val="16"/>
                <w:szCs w:val="16"/>
              </w:rPr>
            </w:pPr>
            <w:r w:rsidRPr="00C43FA5">
              <w:rPr>
                <w:rFonts w:cs="Arial"/>
                <w:sz w:val="16"/>
                <w:szCs w:val="16"/>
              </w:rPr>
              <w:t>totaal</w:t>
            </w:r>
          </w:p>
        </w:tc>
        <w:tc>
          <w:tcPr>
            <w:tcW w:w="400" w:type="pct"/>
            <w:tcBorders>
              <w:top w:val="nil"/>
              <w:left w:val="nil"/>
              <w:bottom w:val="single" w:color="auto" w:sz="4" w:space="0"/>
              <w:right w:val="nil"/>
            </w:tcBorders>
            <w:noWrap/>
            <w:vAlign w:val="bottom"/>
            <w:hideMark/>
          </w:tcPr>
          <w:p w:rsidRPr="00C43FA5" w:rsidR="00B52D66" w:rsidP="00FC2172" w:rsidRDefault="00B52D66" w14:paraId="66854328" w14:textId="77777777">
            <w:pPr>
              <w:jc w:val="center"/>
              <w:rPr>
                <w:rFonts w:cs="Arial"/>
                <w:sz w:val="16"/>
                <w:szCs w:val="16"/>
              </w:rPr>
            </w:pPr>
            <w:r w:rsidRPr="00C43FA5">
              <w:rPr>
                <w:rFonts w:cs="Arial"/>
                <w:sz w:val="16"/>
                <w:szCs w:val="16"/>
              </w:rPr>
              <w:t>techniek</w:t>
            </w:r>
          </w:p>
        </w:tc>
      </w:tr>
      <w:tr w:rsidRPr="00C43FA5" w:rsidR="00B52D66" w:rsidTr="00C43FA5" w14:paraId="077E79FB" w14:textId="77777777">
        <w:trPr>
          <w:trHeight w:val="230"/>
        </w:trPr>
        <w:tc>
          <w:tcPr>
            <w:tcW w:w="1147" w:type="pct"/>
            <w:tcBorders>
              <w:top w:val="nil"/>
              <w:left w:val="nil"/>
              <w:bottom w:val="nil"/>
              <w:right w:val="nil"/>
            </w:tcBorders>
            <w:noWrap/>
            <w:vAlign w:val="bottom"/>
            <w:hideMark/>
          </w:tcPr>
          <w:p w:rsidRPr="00C43FA5" w:rsidR="00B52D66" w:rsidP="00FC2172" w:rsidRDefault="00B52D66" w14:paraId="20C7BFE0" w14:textId="77777777">
            <w:pPr>
              <w:rPr>
                <w:rFonts w:cs="Arial"/>
                <w:sz w:val="16"/>
                <w:szCs w:val="16"/>
              </w:rPr>
            </w:pPr>
            <w:r w:rsidRPr="00C43FA5">
              <w:rPr>
                <w:rFonts w:cs="Arial"/>
                <w:sz w:val="16"/>
                <w:szCs w:val="16"/>
              </w:rPr>
              <w:t>vmbo technische profielen</w:t>
            </w:r>
          </w:p>
        </w:tc>
        <w:tc>
          <w:tcPr>
            <w:tcW w:w="564" w:type="pct"/>
            <w:tcBorders>
              <w:top w:val="nil"/>
              <w:left w:val="nil"/>
              <w:bottom w:val="nil"/>
              <w:right w:val="nil"/>
            </w:tcBorders>
            <w:noWrap/>
            <w:vAlign w:val="bottom"/>
            <w:hideMark/>
          </w:tcPr>
          <w:p w:rsidRPr="00C43FA5" w:rsidR="00B52D66" w:rsidP="00FC2172" w:rsidRDefault="00B52D66" w14:paraId="2A18C440" w14:textId="77777777">
            <w:pPr>
              <w:rPr>
                <w:rFonts w:cs="Arial"/>
                <w:sz w:val="16"/>
                <w:szCs w:val="16"/>
              </w:rPr>
            </w:pPr>
          </w:p>
        </w:tc>
        <w:tc>
          <w:tcPr>
            <w:tcW w:w="400" w:type="pct"/>
            <w:tcBorders>
              <w:top w:val="nil"/>
              <w:left w:val="nil"/>
              <w:bottom w:val="nil"/>
              <w:right w:val="nil"/>
            </w:tcBorders>
            <w:noWrap/>
            <w:vAlign w:val="bottom"/>
            <w:hideMark/>
          </w:tcPr>
          <w:p w:rsidRPr="00C43FA5" w:rsidR="00B52D66" w:rsidP="00FC2172" w:rsidRDefault="00B52D66" w14:paraId="132D96DB" w14:textId="77777777">
            <w:pPr>
              <w:rPr>
                <w:sz w:val="16"/>
                <w:szCs w:val="16"/>
              </w:rPr>
            </w:pPr>
          </w:p>
        </w:tc>
        <w:tc>
          <w:tcPr>
            <w:tcW w:w="564" w:type="pct"/>
            <w:tcBorders>
              <w:top w:val="nil"/>
              <w:left w:val="nil"/>
              <w:bottom w:val="nil"/>
              <w:right w:val="nil"/>
            </w:tcBorders>
            <w:noWrap/>
            <w:vAlign w:val="bottom"/>
            <w:hideMark/>
          </w:tcPr>
          <w:p w:rsidRPr="00C43FA5" w:rsidR="00B52D66" w:rsidP="00FC2172" w:rsidRDefault="00B52D66" w14:paraId="57010D99" w14:textId="77777777">
            <w:pPr>
              <w:rPr>
                <w:sz w:val="16"/>
                <w:szCs w:val="16"/>
              </w:rPr>
            </w:pPr>
          </w:p>
        </w:tc>
        <w:tc>
          <w:tcPr>
            <w:tcW w:w="400" w:type="pct"/>
            <w:tcBorders>
              <w:top w:val="nil"/>
              <w:left w:val="nil"/>
              <w:bottom w:val="nil"/>
              <w:right w:val="nil"/>
            </w:tcBorders>
            <w:noWrap/>
            <w:vAlign w:val="bottom"/>
            <w:hideMark/>
          </w:tcPr>
          <w:p w:rsidRPr="00C43FA5" w:rsidR="00B52D66" w:rsidP="00FC2172" w:rsidRDefault="00B52D66" w14:paraId="5E738FB4" w14:textId="77777777">
            <w:pPr>
              <w:rPr>
                <w:sz w:val="16"/>
                <w:szCs w:val="16"/>
              </w:rPr>
            </w:pPr>
          </w:p>
        </w:tc>
        <w:tc>
          <w:tcPr>
            <w:tcW w:w="564" w:type="pct"/>
            <w:tcBorders>
              <w:top w:val="nil"/>
              <w:left w:val="nil"/>
              <w:bottom w:val="nil"/>
              <w:right w:val="nil"/>
            </w:tcBorders>
            <w:noWrap/>
            <w:vAlign w:val="bottom"/>
            <w:hideMark/>
          </w:tcPr>
          <w:p w:rsidRPr="00C43FA5" w:rsidR="00B52D66" w:rsidP="00FC2172" w:rsidRDefault="00B52D66" w14:paraId="125CE687" w14:textId="77777777">
            <w:pPr>
              <w:rPr>
                <w:sz w:val="16"/>
                <w:szCs w:val="16"/>
              </w:rPr>
            </w:pPr>
          </w:p>
        </w:tc>
        <w:tc>
          <w:tcPr>
            <w:tcW w:w="400" w:type="pct"/>
            <w:tcBorders>
              <w:top w:val="nil"/>
              <w:left w:val="nil"/>
              <w:bottom w:val="nil"/>
              <w:right w:val="nil"/>
            </w:tcBorders>
            <w:noWrap/>
            <w:vAlign w:val="bottom"/>
            <w:hideMark/>
          </w:tcPr>
          <w:p w:rsidRPr="00C43FA5" w:rsidR="00B52D66" w:rsidP="00FC2172" w:rsidRDefault="00B52D66" w14:paraId="11047F5F" w14:textId="77777777">
            <w:pPr>
              <w:rPr>
                <w:sz w:val="16"/>
                <w:szCs w:val="16"/>
              </w:rPr>
            </w:pPr>
          </w:p>
        </w:tc>
        <w:tc>
          <w:tcPr>
            <w:tcW w:w="564" w:type="pct"/>
            <w:tcBorders>
              <w:top w:val="nil"/>
              <w:left w:val="nil"/>
              <w:bottom w:val="nil"/>
              <w:right w:val="nil"/>
            </w:tcBorders>
            <w:noWrap/>
            <w:vAlign w:val="bottom"/>
            <w:hideMark/>
          </w:tcPr>
          <w:p w:rsidRPr="00C43FA5" w:rsidR="00B52D66" w:rsidP="00FC2172" w:rsidRDefault="00B52D66" w14:paraId="74970712" w14:textId="77777777">
            <w:pPr>
              <w:rPr>
                <w:sz w:val="16"/>
                <w:szCs w:val="16"/>
              </w:rPr>
            </w:pPr>
          </w:p>
        </w:tc>
        <w:tc>
          <w:tcPr>
            <w:tcW w:w="400" w:type="pct"/>
            <w:tcBorders>
              <w:top w:val="nil"/>
              <w:left w:val="nil"/>
              <w:bottom w:val="nil"/>
              <w:right w:val="nil"/>
            </w:tcBorders>
            <w:noWrap/>
            <w:vAlign w:val="bottom"/>
            <w:hideMark/>
          </w:tcPr>
          <w:p w:rsidRPr="00C43FA5" w:rsidR="00B52D66" w:rsidP="00FC2172" w:rsidRDefault="00B52D66" w14:paraId="60F73A25" w14:textId="77777777">
            <w:pPr>
              <w:rPr>
                <w:sz w:val="16"/>
                <w:szCs w:val="16"/>
              </w:rPr>
            </w:pPr>
          </w:p>
        </w:tc>
      </w:tr>
      <w:tr w:rsidRPr="00C43FA5" w:rsidR="00B52D66" w:rsidTr="00C43FA5" w14:paraId="111A5693" w14:textId="77777777">
        <w:trPr>
          <w:trHeight w:val="230"/>
        </w:trPr>
        <w:tc>
          <w:tcPr>
            <w:tcW w:w="1147" w:type="pct"/>
            <w:tcBorders>
              <w:top w:val="nil"/>
              <w:left w:val="nil"/>
              <w:bottom w:val="nil"/>
              <w:right w:val="nil"/>
            </w:tcBorders>
            <w:noWrap/>
            <w:hideMark/>
          </w:tcPr>
          <w:p w:rsidRPr="00C43FA5" w:rsidR="00B52D66" w:rsidP="00FC2172" w:rsidRDefault="00B52D66" w14:paraId="1A1A522D" w14:textId="77777777">
            <w:pPr>
              <w:rPr>
                <w:rFonts w:cs="Arial"/>
                <w:sz w:val="16"/>
                <w:szCs w:val="16"/>
              </w:rPr>
            </w:pPr>
            <w:r w:rsidRPr="00C43FA5">
              <w:rPr>
                <w:rFonts w:cs="Arial"/>
                <w:sz w:val="16"/>
                <w:szCs w:val="16"/>
              </w:rPr>
              <w:t xml:space="preserve">   BWI</w:t>
            </w:r>
          </w:p>
        </w:tc>
        <w:tc>
          <w:tcPr>
            <w:tcW w:w="564" w:type="pct"/>
            <w:tcBorders>
              <w:top w:val="nil"/>
              <w:left w:val="nil"/>
              <w:bottom w:val="nil"/>
              <w:right w:val="nil"/>
            </w:tcBorders>
            <w:noWrap/>
            <w:vAlign w:val="bottom"/>
            <w:hideMark/>
          </w:tcPr>
          <w:p w:rsidRPr="00C43FA5" w:rsidR="00B52D66" w:rsidP="00FC2172" w:rsidRDefault="00B52D66" w14:paraId="7ECF4077" w14:textId="77777777">
            <w:pPr>
              <w:rPr>
                <w:rFonts w:cs="Arial"/>
                <w:sz w:val="16"/>
                <w:szCs w:val="16"/>
              </w:rPr>
            </w:pPr>
            <w:r w:rsidRPr="00C43FA5">
              <w:rPr>
                <w:rFonts w:cs="Arial"/>
                <w:sz w:val="16"/>
                <w:szCs w:val="16"/>
              </w:rPr>
              <w:t xml:space="preserve">            2.970 </w:t>
            </w:r>
          </w:p>
        </w:tc>
        <w:tc>
          <w:tcPr>
            <w:tcW w:w="400" w:type="pct"/>
            <w:tcBorders>
              <w:top w:val="nil"/>
              <w:left w:val="nil"/>
              <w:bottom w:val="nil"/>
              <w:right w:val="nil"/>
            </w:tcBorders>
            <w:noWrap/>
            <w:vAlign w:val="bottom"/>
            <w:hideMark/>
          </w:tcPr>
          <w:p w:rsidRPr="00C43FA5" w:rsidR="00B52D66" w:rsidP="00FC2172" w:rsidRDefault="00B52D66" w14:paraId="6FE9174E" w14:textId="77777777">
            <w:pPr>
              <w:jc w:val="right"/>
              <w:rPr>
                <w:rFonts w:cs="Arial"/>
                <w:sz w:val="16"/>
                <w:szCs w:val="16"/>
              </w:rPr>
            </w:pPr>
            <w:r w:rsidRPr="00C43FA5">
              <w:rPr>
                <w:rFonts w:cs="Arial"/>
                <w:sz w:val="16"/>
                <w:szCs w:val="16"/>
              </w:rPr>
              <w:t>74</w:t>
            </w:r>
          </w:p>
        </w:tc>
        <w:tc>
          <w:tcPr>
            <w:tcW w:w="564" w:type="pct"/>
            <w:tcBorders>
              <w:top w:val="nil"/>
              <w:left w:val="nil"/>
              <w:bottom w:val="nil"/>
              <w:right w:val="nil"/>
            </w:tcBorders>
            <w:noWrap/>
            <w:vAlign w:val="bottom"/>
            <w:hideMark/>
          </w:tcPr>
          <w:p w:rsidRPr="00C43FA5" w:rsidR="00B52D66" w:rsidP="00FC2172" w:rsidRDefault="00B52D66" w14:paraId="5C2FF1C3" w14:textId="77777777">
            <w:pPr>
              <w:rPr>
                <w:rFonts w:cs="Arial"/>
                <w:sz w:val="16"/>
                <w:szCs w:val="16"/>
              </w:rPr>
            </w:pPr>
            <w:r w:rsidRPr="00C43FA5">
              <w:rPr>
                <w:rFonts w:cs="Arial"/>
                <w:sz w:val="16"/>
                <w:szCs w:val="16"/>
              </w:rPr>
              <w:t xml:space="preserve">            2.994 </w:t>
            </w:r>
          </w:p>
        </w:tc>
        <w:tc>
          <w:tcPr>
            <w:tcW w:w="400" w:type="pct"/>
            <w:tcBorders>
              <w:top w:val="nil"/>
              <w:left w:val="nil"/>
              <w:bottom w:val="nil"/>
              <w:right w:val="nil"/>
            </w:tcBorders>
            <w:noWrap/>
            <w:vAlign w:val="bottom"/>
            <w:hideMark/>
          </w:tcPr>
          <w:p w:rsidRPr="00C43FA5" w:rsidR="00B52D66" w:rsidP="00FC2172" w:rsidRDefault="00B52D66" w14:paraId="365AAB5E" w14:textId="77777777">
            <w:pPr>
              <w:jc w:val="right"/>
              <w:rPr>
                <w:rFonts w:cs="Arial"/>
                <w:sz w:val="16"/>
                <w:szCs w:val="16"/>
              </w:rPr>
            </w:pPr>
            <w:r w:rsidRPr="00C43FA5">
              <w:rPr>
                <w:rFonts w:cs="Arial"/>
                <w:sz w:val="16"/>
                <w:szCs w:val="16"/>
              </w:rPr>
              <w:t>73</w:t>
            </w:r>
          </w:p>
        </w:tc>
        <w:tc>
          <w:tcPr>
            <w:tcW w:w="564" w:type="pct"/>
            <w:tcBorders>
              <w:top w:val="nil"/>
              <w:left w:val="nil"/>
              <w:bottom w:val="nil"/>
              <w:right w:val="nil"/>
            </w:tcBorders>
            <w:noWrap/>
            <w:vAlign w:val="bottom"/>
            <w:hideMark/>
          </w:tcPr>
          <w:p w:rsidRPr="00C43FA5" w:rsidR="00B52D66" w:rsidP="00FC2172" w:rsidRDefault="00B52D66" w14:paraId="4F6D13B5" w14:textId="77777777">
            <w:pPr>
              <w:rPr>
                <w:rFonts w:cs="Arial"/>
                <w:sz w:val="16"/>
                <w:szCs w:val="16"/>
              </w:rPr>
            </w:pPr>
            <w:r w:rsidRPr="00C43FA5">
              <w:rPr>
                <w:rFonts w:cs="Arial"/>
                <w:sz w:val="16"/>
                <w:szCs w:val="16"/>
              </w:rPr>
              <w:t xml:space="preserve">            3.044 </w:t>
            </w:r>
          </w:p>
        </w:tc>
        <w:tc>
          <w:tcPr>
            <w:tcW w:w="400" w:type="pct"/>
            <w:tcBorders>
              <w:top w:val="nil"/>
              <w:left w:val="nil"/>
              <w:bottom w:val="nil"/>
              <w:right w:val="nil"/>
            </w:tcBorders>
            <w:noWrap/>
            <w:vAlign w:val="bottom"/>
            <w:hideMark/>
          </w:tcPr>
          <w:p w:rsidRPr="00C43FA5" w:rsidR="00B52D66" w:rsidP="00FC2172" w:rsidRDefault="00B52D66" w14:paraId="2699E970" w14:textId="77777777">
            <w:pPr>
              <w:jc w:val="right"/>
              <w:rPr>
                <w:rFonts w:cs="Arial"/>
                <w:sz w:val="16"/>
                <w:szCs w:val="16"/>
              </w:rPr>
            </w:pPr>
            <w:r w:rsidRPr="00C43FA5">
              <w:rPr>
                <w:rFonts w:cs="Arial"/>
                <w:sz w:val="16"/>
                <w:szCs w:val="16"/>
              </w:rPr>
              <w:t>73</w:t>
            </w:r>
          </w:p>
        </w:tc>
        <w:tc>
          <w:tcPr>
            <w:tcW w:w="564" w:type="pct"/>
            <w:tcBorders>
              <w:top w:val="nil"/>
              <w:left w:val="nil"/>
              <w:bottom w:val="nil"/>
              <w:right w:val="nil"/>
            </w:tcBorders>
            <w:noWrap/>
            <w:vAlign w:val="bottom"/>
            <w:hideMark/>
          </w:tcPr>
          <w:p w:rsidRPr="00C43FA5" w:rsidR="00B52D66" w:rsidP="00FC2172" w:rsidRDefault="00B52D66" w14:paraId="799D29A0" w14:textId="77777777">
            <w:pPr>
              <w:rPr>
                <w:rFonts w:cs="Arial"/>
                <w:sz w:val="16"/>
                <w:szCs w:val="16"/>
              </w:rPr>
            </w:pPr>
            <w:r w:rsidRPr="00C43FA5">
              <w:rPr>
                <w:rFonts w:cs="Arial"/>
                <w:sz w:val="16"/>
                <w:szCs w:val="16"/>
              </w:rPr>
              <w:t xml:space="preserve">            3.007 </w:t>
            </w:r>
          </w:p>
        </w:tc>
        <w:tc>
          <w:tcPr>
            <w:tcW w:w="400" w:type="pct"/>
            <w:tcBorders>
              <w:top w:val="nil"/>
              <w:left w:val="nil"/>
              <w:bottom w:val="nil"/>
              <w:right w:val="nil"/>
            </w:tcBorders>
            <w:noWrap/>
            <w:vAlign w:val="bottom"/>
            <w:hideMark/>
          </w:tcPr>
          <w:p w:rsidRPr="00C43FA5" w:rsidR="00B52D66" w:rsidP="00FC2172" w:rsidRDefault="00B52D66" w14:paraId="1D52EB51" w14:textId="77777777">
            <w:pPr>
              <w:jc w:val="right"/>
              <w:rPr>
                <w:rFonts w:cs="Arial"/>
                <w:sz w:val="16"/>
                <w:szCs w:val="16"/>
              </w:rPr>
            </w:pPr>
            <w:r w:rsidRPr="00C43FA5">
              <w:rPr>
                <w:rFonts w:cs="Arial"/>
                <w:sz w:val="16"/>
                <w:szCs w:val="16"/>
              </w:rPr>
              <w:t>72</w:t>
            </w:r>
          </w:p>
        </w:tc>
      </w:tr>
      <w:tr w:rsidRPr="00C43FA5" w:rsidR="00B52D66" w:rsidTr="00C43FA5" w14:paraId="27294243" w14:textId="77777777">
        <w:trPr>
          <w:trHeight w:val="230"/>
        </w:trPr>
        <w:tc>
          <w:tcPr>
            <w:tcW w:w="1147" w:type="pct"/>
            <w:tcBorders>
              <w:top w:val="nil"/>
              <w:left w:val="nil"/>
              <w:bottom w:val="nil"/>
              <w:right w:val="nil"/>
            </w:tcBorders>
            <w:noWrap/>
            <w:hideMark/>
          </w:tcPr>
          <w:p w:rsidRPr="00C43FA5" w:rsidR="00B52D66" w:rsidP="00FC2172" w:rsidRDefault="00B52D66" w14:paraId="3A77F834" w14:textId="77777777">
            <w:pPr>
              <w:rPr>
                <w:rFonts w:cs="Arial"/>
                <w:sz w:val="16"/>
                <w:szCs w:val="16"/>
              </w:rPr>
            </w:pPr>
            <w:r w:rsidRPr="00C43FA5">
              <w:rPr>
                <w:rFonts w:cs="Arial"/>
                <w:sz w:val="16"/>
                <w:szCs w:val="16"/>
              </w:rPr>
              <w:t xml:space="preserve">   MaT</w:t>
            </w:r>
          </w:p>
        </w:tc>
        <w:tc>
          <w:tcPr>
            <w:tcW w:w="564" w:type="pct"/>
            <w:tcBorders>
              <w:top w:val="nil"/>
              <w:left w:val="nil"/>
              <w:bottom w:val="nil"/>
              <w:right w:val="nil"/>
            </w:tcBorders>
            <w:noWrap/>
            <w:vAlign w:val="bottom"/>
            <w:hideMark/>
          </w:tcPr>
          <w:p w:rsidRPr="00C43FA5" w:rsidR="00B52D66" w:rsidP="00FC2172" w:rsidRDefault="00B52D66" w14:paraId="2779C293" w14:textId="77777777">
            <w:pPr>
              <w:rPr>
                <w:rFonts w:cs="Arial"/>
                <w:sz w:val="16"/>
                <w:szCs w:val="16"/>
              </w:rPr>
            </w:pPr>
            <w:r w:rsidRPr="00C43FA5">
              <w:rPr>
                <w:rFonts w:cs="Arial"/>
                <w:sz w:val="16"/>
                <w:szCs w:val="16"/>
              </w:rPr>
              <w:t xml:space="preserve">               250 </w:t>
            </w:r>
          </w:p>
        </w:tc>
        <w:tc>
          <w:tcPr>
            <w:tcW w:w="400" w:type="pct"/>
            <w:tcBorders>
              <w:top w:val="nil"/>
              <w:left w:val="nil"/>
              <w:bottom w:val="nil"/>
              <w:right w:val="nil"/>
            </w:tcBorders>
            <w:noWrap/>
            <w:vAlign w:val="bottom"/>
            <w:hideMark/>
          </w:tcPr>
          <w:p w:rsidRPr="00C43FA5" w:rsidR="00B52D66" w:rsidP="00FC2172" w:rsidRDefault="00B52D66" w14:paraId="052A5986" w14:textId="77777777">
            <w:pPr>
              <w:jc w:val="right"/>
              <w:rPr>
                <w:rFonts w:cs="Arial"/>
                <w:sz w:val="16"/>
                <w:szCs w:val="16"/>
              </w:rPr>
            </w:pPr>
            <w:r w:rsidRPr="00C43FA5">
              <w:rPr>
                <w:rFonts w:cs="Arial"/>
                <w:sz w:val="16"/>
                <w:szCs w:val="16"/>
              </w:rPr>
              <w:t>59</w:t>
            </w:r>
          </w:p>
        </w:tc>
        <w:tc>
          <w:tcPr>
            <w:tcW w:w="564" w:type="pct"/>
            <w:tcBorders>
              <w:top w:val="nil"/>
              <w:left w:val="nil"/>
              <w:bottom w:val="nil"/>
              <w:right w:val="nil"/>
            </w:tcBorders>
            <w:noWrap/>
            <w:vAlign w:val="bottom"/>
            <w:hideMark/>
          </w:tcPr>
          <w:p w:rsidRPr="00C43FA5" w:rsidR="00B52D66" w:rsidP="00FC2172" w:rsidRDefault="00B52D66" w14:paraId="44B90E2B" w14:textId="77777777">
            <w:pPr>
              <w:rPr>
                <w:rFonts w:cs="Arial"/>
                <w:sz w:val="16"/>
                <w:szCs w:val="16"/>
              </w:rPr>
            </w:pPr>
            <w:r w:rsidRPr="00C43FA5">
              <w:rPr>
                <w:rFonts w:cs="Arial"/>
                <w:sz w:val="16"/>
                <w:szCs w:val="16"/>
              </w:rPr>
              <w:t xml:space="preserve">               238 </w:t>
            </w:r>
          </w:p>
        </w:tc>
        <w:tc>
          <w:tcPr>
            <w:tcW w:w="400" w:type="pct"/>
            <w:tcBorders>
              <w:top w:val="nil"/>
              <w:left w:val="nil"/>
              <w:bottom w:val="nil"/>
              <w:right w:val="nil"/>
            </w:tcBorders>
            <w:noWrap/>
            <w:vAlign w:val="bottom"/>
            <w:hideMark/>
          </w:tcPr>
          <w:p w:rsidRPr="00C43FA5" w:rsidR="00B52D66" w:rsidP="00FC2172" w:rsidRDefault="00B52D66" w14:paraId="0A617312" w14:textId="77777777">
            <w:pPr>
              <w:jc w:val="right"/>
              <w:rPr>
                <w:rFonts w:cs="Arial"/>
                <w:sz w:val="16"/>
                <w:szCs w:val="16"/>
              </w:rPr>
            </w:pPr>
            <w:r w:rsidRPr="00C43FA5">
              <w:rPr>
                <w:rFonts w:cs="Arial"/>
                <w:sz w:val="16"/>
                <w:szCs w:val="16"/>
              </w:rPr>
              <w:t>53</w:t>
            </w:r>
          </w:p>
        </w:tc>
        <w:tc>
          <w:tcPr>
            <w:tcW w:w="564" w:type="pct"/>
            <w:tcBorders>
              <w:top w:val="nil"/>
              <w:left w:val="nil"/>
              <w:bottom w:val="nil"/>
              <w:right w:val="nil"/>
            </w:tcBorders>
            <w:noWrap/>
            <w:vAlign w:val="bottom"/>
            <w:hideMark/>
          </w:tcPr>
          <w:p w:rsidRPr="00C43FA5" w:rsidR="00B52D66" w:rsidP="00FC2172" w:rsidRDefault="00B52D66" w14:paraId="57883F25" w14:textId="77777777">
            <w:pPr>
              <w:rPr>
                <w:rFonts w:cs="Arial"/>
                <w:sz w:val="16"/>
                <w:szCs w:val="16"/>
              </w:rPr>
            </w:pPr>
            <w:r w:rsidRPr="00C43FA5">
              <w:rPr>
                <w:rFonts w:cs="Arial"/>
                <w:sz w:val="16"/>
                <w:szCs w:val="16"/>
              </w:rPr>
              <w:t xml:space="preserve">               252 </w:t>
            </w:r>
          </w:p>
        </w:tc>
        <w:tc>
          <w:tcPr>
            <w:tcW w:w="400" w:type="pct"/>
            <w:tcBorders>
              <w:top w:val="nil"/>
              <w:left w:val="nil"/>
              <w:bottom w:val="nil"/>
              <w:right w:val="nil"/>
            </w:tcBorders>
            <w:noWrap/>
            <w:vAlign w:val="bottom"/>
            <w:hideMark/>
          </w:tcPr>
          <w:p w:rsidRPr="00C43FA5" w:rsidR="00B52D66" w:rsidP="00FC2172" w:rsidRDefault="00B52D66" w14:paraId="20EB64D5" w14:textId="77777777">
            <w:pPr>
              <w:jc w:val="right"/>
              <w:rPr>
                <w:rFonts w:cs="Arial"/>
                <w:sz w:val="16"/>
                <w:szCs w:val="16"/>
              </w:rPr>
            </w:pPr>
            <w:r w:rsidRPr="00C43FA5">
              <w:rPr>
                <w:rFonts w:cs="Arial"/>
                <w:sz w:val="16"/>
                <w:szCs w:val="16"/>
              </w:rPr>
              <w:t>54</w:t>
            </w:r>
          </w:p>
        </w:tc>
        <w:tc>
          <w:tcPr>
            <w:tcW w:w="564" w:type="pct"/>
            <w:tcBorders>
              <w:top w:val="nil"/>
              <w:left w:val="nil"/>
              <w:bottom w:val="nil"/>
              <w:right w:val="nil"/>
            </w:tcBorders>
            <w:noWrap/>
            <w:vAlign w:val="bottom"/>
            <w:hideMark/>
          </w:tcPr>
          <w:p w:rsidRPr="00C43FA5" w:rsidR="00B52D66" w:rsidP="00FC2172" w:rsidRDefault="00B52D66" w14:paraId="0187F28F" w14:textId="77777777">
            <w:pPr>
              <w:rPr>
                <w:rFonts w:cs="Arial"/>
                <w:sz w:val="16"/>
                <w:szCs w:val="16"/>
              </w:rPr>
            </w:pPr>
            <w:r w:rsidRPr="00C43FA5">
              <w:rPr>
                <w:rFonts w:cs="Arial"/>
                <w:sz w:val="16"/>
                <w:szCs w:val="16"/>
              </w:rPr>
              <w:t xml:space="preserve">               196 </w:t>
            </w:r>
          </w:p>
        </w:tc>
        <w:tc>
          <w:tcPr>
            <w:tcW w:w="400" w:type="pct"/>
            <w:tcBorders>
              <w:top w:val="nil"/>
              <w:left w:val="nil"/>
              <w:bottom w:val="nil"/>
              <w:right w:val="nil"/>
            </w:tcBorders>
            <w:noWrap/>
            <w:vAlign w:val="bottom"/>
            <w:hideMark/>
          </w:tcPr>
          <w:p w:rsidRPr="00C43FA5" w:rsidR="00B52D66" w:rsidP="00FC2172" w:rsidRDefault="00B52D66" w14:paraId="57710DBF" w14:textId="77777777">
            <w:pPr>
              <w:jc w:val="right"/>
              <w:rPr>
                <w:rFonts w:cs="Arial"/>
                <w:sz w:val="16"/>
                <w:szCs w:val="16"/>
              </w:rPr>
            </w:pPr>
            <w:r w:rsidRPr="00C43FA5">
              <w:rPr>
                <w:rFonts w:cs="Arial"/>
                <w:sz w:val="16"/>
                <w:szCs w:val="16"/>
              </w:rPr>
              <w:t>58</w:t>
            </w:r>
          </w:p>
        </w:tc>
      </w:tr>
      <w:tr w:rsidRPr="00C43FA5" w:rsidR="00B52D66" w:rsidTr="00C43FA5" w14:paraId="7138D870" w14:textId="77777777">
        <w:trPr>
          <w:trHeight w:val="230"/>
        </w:trPr>
        <w:tc>
          <w:tcPr>
            <w:tcW w:w="1147" w:type="pct"/>
            <w:tcBorders>
              <w:top w:val="nil"/>
              <w:left w:val="nil"/>
              <w:bottom w:val="nil"/>
              <w:right w:val="nil"/>
            </w:tcBorders>
            <w:noWrap/>
            <w:hideMark/>
          </w:tcPr>
          <w:p w:rsidRPr="00C43FA5" w:rsidR="00B52D66" w:rsidP="00FC2172" w:rsidRDefault="00B52D66" w14:paraId="74DFDC87" w14:textId="77777777">
            <w:pPr>
              <w:rPr>
                <w:rFonts w:cs="Arial"/>
                <w:sz w:val="16"/>
                <w:szCs w:val="16"/>
              </w:rPr>
            </w:pPr>
            <w:r w:rsidRPr="00C43FA5">
              <w:rPr>
                <w:rFonts w:cs="Arial"/>
                <w:sz w:val="16"/>
                <w:szCs w:val="16"/>
              </w:rPr>
              <w:t xml:space="preserve">   MVI</w:t>
            </w:r>
          </w:p>
        </w:tc>
        <w:tc>
          <w:tcPr>
            <w:tcW w:w="564" w:type="pct"/>
            <w:tcBorders>
              <w:top w:val="nil"/>
              <w:left w:val="nil"/>
              <w:bottom w:val="nil"/>
              <w:right w:val="nil"/>
            </w:tcBorders>
            <w:noWrap/>
            <w:vAlign w:val="bottom"/>
            <w:hideMark/>
          </w:tcPr>
          <w:p w:rsidRPr="00C43FA5" w:rsidR="00B52D66" w:rsidP="00FC2172" w:rsidRDefault="00B52D66" w14:paraId="4B1C1F3A" w14:textId="77777777">
            <w:pPr>
              <w:rPr>
                <w:rFonts w:cs="Arial"/>
                <w:sz w:val="16"/>
                <w:szCs w:val="16"/>
              </w:rPr>
            </w:pPr>
            <w:r w:rsidRPr="00C43FA5">
              <w:rPr>
                <w:rFonts w:cs="Arial"/>
                <w:sz w:val="16"/>
                <w:szCs w:val="16"/>
              </w:rPr>
              <w:t xml:space="preserve">            1.453 </w:t>
            </w:r>
          </w:p>
        </w:tc>
        <w:tc>
          <w:tcPr>
            <w:tcW w:w="400" w:type="pct"/>
            <w:tcBorders>
              <w:top w:val="nil"/>
              <w:left w:val="nil"/>
              <w:bottom w:val="nil"/>
              <w:right w:val="nil"/>
            </w:tcBorders>
            <w:noWrap/>
            <w:vAlign w:val="bottom"/>
            <w:hideMark/>
          </w:tcPr>
          <w:p w:rsidRPr="00C43FA5" w:rsidR="00B52D66" w:rsidP="00FC2172" w:rsidRDefault="00B52D66" w14:paraId="10E6DB66" w14:textId="77777777">
            <w:pPr>
              <w:jc w:val="right"/>
              <w:rPr>
                <w:rFonts w:cs="Arial"/>
                <w:sz w:val="16"/>
                <w:szCs w:val="16"/>
              </w:rPr>
            </w:pPr>
            <w:r w:rsidRPr="00C43FA5">
              <w:rPr>
                <w:rFonts w:cs="Arial"/>
                <w:sz w:val="16"/>
                <w:szCs w:val="16"/>
              </w:rPr>
              <w:t>63</w:t>
            </w:r>
          </w:p>
        </w:tc>
        <w:tc>
          <w:tcPr>
            <w:tcW w:w="564" w:type="pct"/>
            <w:tcBorders>
              <w:top w:val="nil"/>
              <w:left w:val="nil"/>
              <w:bottom w:val="nil"/>
              <w:right w:val="nil"/>
            </w:tcBorders>
            <w:noWrap/>
            <w:vAlign w:val="bottom"/>
            <w:hideMark/>
          </w:tcPr>
          <w:p w:rsidRPr="00C43FA5" w:rsidR="00B52D66" w:rsidP="00FC2172" w:rsidRDefault="00B52D66" w14:paraId="037B9E0B" w14:textId="77777777">
            <w:pPr>
              <w:rPr>
                <w:rFonts w:cs="Arial"/>
                <w:sz w:val="16"/>
                <w:szCs w:val="16"/>
              </w:rPr>
            </w:pPr>
            <w:r w:rsidRPr="00C43FA5">
              <w:rPr>
                <w:rFonts w:cs="Arial"/>
                <w:sz w:val="16"/>
                <w:szCs w:val="16"/>
              </w:rPr>
              <w:t xml:space="preserve">            1.298 </w:t>
            </w:r>
          </w:p>
        </w:tc>
        <w:tc>
          <w:tcPr>
            <w:tcW w:w="400" w:type="pct"/>
            <w:tcBorders>
              <w:top w:val="nil"/>
              <w:left w:val="nil"/>
              <w:bottom w:val="nil"/>
              <w:right w:val="nil"/>
            </w:tcBorders>
            <w:noWrap/>
            <w:vAlign w:val="bottom"/>
            <w:hideMark/>
          </w:tcPr>
          <w:p w:rsidRPr="00C43FA5" w:rsidR="00B52D66" w:rsidP="00FC2172" w:rsidRDefault="00B52D66" w14:paraId="386AB223" w14:textId="77777777">
            <w:pPr>
              <w:jc w:val="right"/>
              <w:rPr>
                <w:rFonts w:cs="Arial"/>
                <w:sz w:val="16"/>
                <w:szCs w:val="16"/>
              </w:rPr>
            </w:pPr>
            <w:r w:rsidRPr="00C43FA5">
              <w:rPr>
                <w:rFonts w:cs="Arial"/>
                <w:sz w:val="16"/>
                <w:szCs w:val="16"/>
              </w:rPr>
              <w:t>61</w:t>
            </w:r>
          </w:p>
        </w:tc>
        <w:tc>
          <w:tcPr>
            <w:tcW w:w="564" w:type="pct"/>
            <w:tcBorders>
              <w:top w:val="nil"/>
              <w:left w:val="nil"/>
              <w:bottom w:val="nil"/>
              <w:right w:val="nil"/>
            </w:tcBorders>
            <w:noWrap/>
            <w:vAlign w:val="bottom"/>
            <w:hideMark/>
          </w:tcPr>
          <w:p w:rsidRPr="00C43FA5" w:rsidR="00B52D66" w:rsidP="00FC2172" w:rsidRDefault="00B52D66" w14:paraId="7040ADA5" w14:textId="77777777">
            <w:pPr>
              <w:rPr>
                <w:rFonts w:cs="Arial"/>
                <w:sz w:val="16"/>
                <w:szCs w:val="16"/>
              </w:rPr>
            </w:pPr>
            <w:r w:rsidRPr="00C43FA5">
              <w:rPr>
                <w:rFonts w:cs="Arial"/>
                <w:sz w:val="16"/>
                <w:szCs w:val="16"/>
              </w:rPr>
              <w:t xml:space="preserve">            1.251 </w:t>
            </w:r>
          </w:p>
        </w:tc>
        <w:tc>
          <w:tcPr>
            <w:tcW w:w="400" w:type="pct"/>
            <w:tcBorders>
              <w:top w:val="nil"/>
              <w:left w:val="nil"/>
              <w:bottom w:val="nil"/>
              <w:right w:val="nil"/>
            </w:tcBorders>
            <w:noWrap/>
            <w:vAlign w:val="bottom"/>
            <w:hideMark/>
          </w:tcPr>
          <w:p w:rsidRPr="00C43FA5" w:rsidR="00B52D66" w:rsidP="00FC2172" w:rsidRDefault="00B52D66" w14:paraId="7C529756" w14:textId="77777777">
            <w:pPr>
              <w:jc w:val="right"/>
              <w:rPr>
                <w:rFonts w:cs="Arial"/>
                <w:sz w:val="16"/>
                <w:szCs w:val="16"/>
              </w:rPr>
            </w:pPr>
            <w:r w:rsidRPr="00C43FA5">
              <w:rPr>
                <w:rFonts w:cs="Arial"/>
                <w:sz w:val="16"/>
                <w:szCs w:val="16"/>
              </w:rPr>
              <w:t>59</w:t>
            </w:r>
          </w:p>
        </w:tc>
        <w:tc>
          <w:tcPr>
            <w:tcW w:w="564" w:type="pct"/>
            <w:tcBorders>
              <w:top w:val="nil"/>
              <w:left w:val="nil"/>
              <w:bottom w:val="nil"/>
              <w:right w:val="nil"/>
            </w:tcBorders>
            <w:noWrap/>
            <w:vAlign w:val="bottom"/>
            <w:hideMark/>
          </w:tcPr>
          <w:p w:rsidRPr="00C43FA5" w:rsidR="00B52D66" w:rsidP="00FC2172" w:rsidRDefault="00B52D66" w14:paraId="0784BCF3" w14:textId="77777777">
            <w:pPr>
              <w:rPr>
                <w:rFonts w:cs="Arial"/>
                <w:sz w:val="16"/>
                <w:szCs w:val="16"/>
              </w:rPr>
            </w:pPr>
            <w:r w:rsidRPr="00C43FA5">
              <w:rPr>
                <w:rFonts w:cs="Arial"/>
                <w:sz w:val="16"/>
                <w:szCs w:val="16"/>
              </w:rPr>
              <w:t xml:space="preserve">            1.230 </w:t>
            </w:r>
          </w:p>
        </w:tc>
        <w:tc>
          <w:tcPr>
            <w:tcW w:w="400" w:type="pct"/>
            <w:tcBorders>
              <w:top w:val="nil"/>
              <w:left w:val="nil"/>
              <w:bottom w:val="nil"/>
              <w:right w:val="nil"/>
            </w:tcBorders>
            <w:noWrap/>
            <w:vAlign w:val="bottom"/>
            <w:hideMark/>
          </w:tcPr>
          <w:p w:rsidRPr="00C43FA5" w:rsidR="00B52D66" w:rsidP="00FC2172" w:rsidRDefault="00B52D66" w14:paraId="0A516FC0" w14:textId="77777777">
            <w:pPr>
              <w:jc w:val="right"/>
              <w:rPr>
                <w:rFonts w:cs="Arial"/>
                <w:sz w:val="16"/>
                <w:szCs w:val="16"/>
              </w:rPr>
            </w:pPr>
            <w:r w:rsidRPr="00C43FA5">
              <w:rPr>
                <w:rFonts w:cs="Arial"/>
                <w:sz w:val="16"/>
                <w:szCs w:val="16"/>
              </w:rPr>
              <w:t>59</w:t>
            </w:r>
          </w:p>
        </w:tc>
      </w:tr>
      <w:tr w:rsidRPr="00C43FA5" w:rsidR="00B52D66" w:rsidTr="00C43FA5" w14:paraId="7D48AE6C" w14:textId="77777777">
        <w:trPr>
          <w:trHeight w:val="230"/>
        </w:trPr>
        <w:tc>
          <w:tcPr>
            <w:tcW w:w="1147" w:type="pct"/>
            <w:tcBorders>
              <w:top w:val="nil"/>
              <w:left w:val="nil"/>
              <w:bottom w:val="nil"/>
              <w:right w:val="nil"/>
            </w:tcBorders>
            <w:noWrap/>
            <w:hideMark/>
          </w:tcPr>
          <w:p w:rsidRPr="00C43FA5" w:rsidR="00B52D66" w:rsidP="00FC2172" w:rsidRDefault="00B52D66" w14:paraId="2CD429AA" w14:textId="77777777">
            <w:pPr>
              <w:rPr>
                <w:rFonts w:cs="Arial"/>
                <w:sz w:val="16"/>
                <w:szCs w:val="16"/>
              </w:rPr>
            </w:pPr>
            <w:r w:rsidRPr="00C43FA5">
              <w:rPr>
                <w:rFonts w:cs="Arial"/>
                <w:sz w:val="16"/>
                <w:szCs w:val="16"/>
              </w:rPr>
              <w:lastRenderedPageBreak/>
              <w:t xml:space="preserve">   M&amp;T</w:t>
            </w:r>
          </w:p>
        </w:tc>
        <w:tc>
          <w:tcPr>
            <w:tcW w:w="564" w:type="pct"/>
            <w:tcBorders>
              <w:top w:val="nil"/>
              <w:left w:val="nil"/>
              <w:bottom w:val="nil"/>
              <w:right w:val="nil"/>
            </w:tcBorders>
            <w:noWrap/>
            <w:vAlign w:val="bottom"/>
            <w:hideMark/>
          </w:tcPr>
          <w:p w:rsidRPr="00C43FA5" w:rsidR="00B52D66" w:rsidP="00FC2172" w:rsidRDefault="00B52D66" w14:paraId="624F24AA" w14:textId="77777777">
            <w:pPr>
              <w:rPr>
                <w:rFonts w:cs="Arial"/>
                <w:sz w:val="16"/>
                <w:szCs w:val="16"/>
              </w:rPr>
            </w:pPr>
            <w:r w:rsidRPr="00C43FA5">
              <w:rPr>
                <w:rFonts w:cs="Arial"/>
                <w:sz w:val="16"/>
                <w:szCs w:val="16"/>
              </w:rPr>
              <w:t xml:space="preserve">            1.421 </w:t>
            </w:r>
          </w:p>
        </w:tc>
        <w:tc>
          <w:tcPr>
            <w:tcW w:w="400" w:type="pct"/>
            <w:tcBorders>
              <w:top w:val="nil"/>
              <w:left w:val="nil"/>
              <w:bottom w:val="nil"/>
              <w:right w:val="nil"/>
            </w:tcBorders>
            <w:noWrap/>
            <w:vAlign w:val="bottom"/>
            <w:hideMark/>
          </w:tcPr>
          <w:p w:rsidRPr="00C43FA5" w:rsidR="00B52D66" w:rsidP="00FC2172" w:rsidRDefault="00B52D66" w14:paraId="113E79A8" w14:textId="77777777">
            <w:pPr>
              <w:jc w:val="right"/>
              <w:rPr>
                <w:rFonts w:cs="Arial"/>
                <w:sz w:val="16"/>
                <w:szCs w:val="16"/>
              </w:rPr>
            </w:pPr>
            <w:r w:rsidRPr="00C43FA5">
              <w:rPr>
                <w:rFonts w:cs="Arial"/>
                <w:sz w:val="16"/>
                <w:szCs w:val="16"/>
              </w:rPr>
              <w:t>77</w:t>
            </w:r>
          </w:p>
        </w:tc>
        <w:tc>
          <w:tcPr>
            <w:tcW w:w="564" w:type="pct"/>
            <w:tcBorders>
              <w:top w:val="nil"/>
              <w:left w:val="nil"/>
              <w:bottom w:val="nil"/>
              <w:right w:val="nil"/>
            </w:tcBorders>
            <w:noWrap/>
            <w:vAlign w:val="bottom"/>
            <w:hideMark/>
          </w:tcPr>
          <w:p w:rsidRPr="00C43FA5" w:rsidR="00B52D66" w:rsidP="00FC2172" w:rsidRDefault="00B52D66" w14:paraId="24CDEB17" w14:textId="77777777">
            <w:pPr>
              <w:rPr>
                <w:rFonts w:cs="Arial"/>
                <w:sz w:val="16"/>
                <w:szCs w:val="16"/>
              </w:rPr>
            </w:pPr>
            <w:r w:rsidRPr="00C43FA5">
              <w:rPr>
                <w:rFonts w:cs="Arial"/>
                <w:sz w:val="16"/>
                <w:szCs w:val="16"/>
              </w:rPr>
              <w:t xml:space="preserve">            1.315 </w:t>
            </w:r>
          </w:p>
        </w:tc>
        <w:tc>
          <w:tcPr>
            <w:tcW w:w="400" w:type="pct"/>
            <w:tcBorders>
              <w:top w:val="nil"/>
              <w:left w:val="nil"/>
              <w:bottom w:val="nil"/>
              <w:right w:val="nil"/>
            </w:tcBorders>
            <w:noWrap/>
            <w:vAlign w:val="bottom"/>
            <w:hideMark/>
          </w:tcPr>
          <w:p w:rsidRPr="00C43FA5" w:rsidR="00B52D66" w:rsidP="00FC2172" w:rsidRDefault="00B52D66" w14:paraId="0AC088A8" w14:textId="77777777">
            <w:pPr>
              <w:jc w:val="right"/>
              <w:rPr>
                <w:rFonts w:cs="Arial"/>
                <w:sz w:val="16"/>
                <w:szCs w:val="16"/>
              </w:rPr>
            </w:pPr>
            <w:r w:rsidRPr="00C43FA5">
              <w:rPr>
                <w:rFonts w:cs="Arial"/>
                <w:sz w:val="16"/>
                <w:szCs w:val="16"/>
              </w:rPr>
              <w:t>78</w:t>
            </w:r>
          </w:p>
        </w:tc>
        <w:tc>
          <w:tcPr>
            <w:tcW w:w="564" w:type="pct"/>
            <w:tcBorders>
              <w:top w:val="nil"/>
              <w:left w:val="nil"/>
              <w:bottom w:val="nil"/>
              <w:right w:val="nil"/>
            </w:tcBorders>
            <w:noWrap/>
            <w:vAlign w:val="bottom"/>
            <w:hideMark/>
          </w:tcPr>
          <w:p w:rsidRPr="00C43FA5" w:rsidR="00B52D66" w:rsidP="00FC2172" w:rsidRDefault="00B52D66" w14:paraId="17474A75" w14:textId="77777777">
            <w:pPr>
              <w:rPr>
                <w:rFonts w:cs="Arial"/>
                <w:sz w:val="16"/>
                <w:szCs w:val="16"/>
              </w:rPr>
            </w:pPr>
            <w:r w:rsidRPr="00C43FA5">
              <w:rPr>
                <w:rFonts w:cs="Arial"/>
                <w:sz w:val="16"/>
                <w:szCs w:val="16"/>
              </w:rPr>
              <w:t xml:space="preserve">            1.352 </w:t>
            </w:r>
          </w:p>
        </w:tc>
        <w:tc>
          <w:tcPr>
            <w:tcW w:w="400" w:type="pct"/>
            <w:tcBorders>
              <w:top w:val="nil"/>
              <w:left w:val="nil"/>
              <w:bottom w:val="nil"/>
              <w:right w:val="nil"/>
            </w:tcBorders>
            <w:noWrap/>
            <w:vAlign w:val="bottom"/>
            <w:hideMark/>
          </w:tcPr>
          <w:p w:rsidRPr="00C43FA5" w:rsidR="00B52D66" w:rsidP="00FC2172" w:rsidRDefault="00B52D66" w14:paraId="2500318A" w14:textId="77777777">
            <w:pPr>
              <w:jc w:val="right"/>
              <w:rPr>
                <w:rFonts w:cs="Arial"/>
                <w:sz w:val="16"/>
                <w:szCs w:val="16"/>
              </w:rPr>
            </w:pPr>
            <w:r w:rsidRPr="00C43FA5">
              <w:rPr>
                <w:rFonts w:cs="Arial"/>
                <w:sz w:val="16"/>
                <w:szCs w:val="16"/>
              </w:rPr>
              <w:t>77</w:t>
            </w:r>
          </w:p>
        </w:tc>
        <w:tc>
          <w:tcPr>
            <w:tcW w:w="564" w:type="pct"/>
            <w:tcBorders>
              <w:top w:val="nil"/>
              <w:left w:val="nil"/>
              <w:bottom w:val="nil"/>
              <w:right w:val="nil"/>
            </w:tcBorders>
            <w:noWrap/>
            <w:vAlign w:val="bottom"/>
            <w:hideMark/>
          </w:tcPr>
          <w:p w:rsidRPr="00C43FA5" w:rsidR="00B52D66" w:rsidP="00FC2172" w:rsidRDefault="00B52D66" w14:paraId="1379361B" w14:textId="77777777">
            <w:pPr>
              <w:rPr>
                <w:rFonts w:cs="Arial"/>
                <w:sz w:val="16"/>
                <w:szCs w:val="16"/>
              </w:rPr>
            </w:pPr>
            <w:r w:rsidRPr="00C43FA5">
              <w:rPr>
                <w:rFonts w:cs="Arial"/>
                <w:sz w:val="16"/>
                <w:szCs w:val="16"/>
              </w:rPr>
              <w:t xml:space="preserve">            1.197 </w:t>
            </w:r>
          </w:p>
        </w:tc>
        <w:tc>
          <w:tcPr>
            <w:tcW w:w="400" w:type="pct"/>
            <w:tcBorders>
              <w:top w:val="nil"/>
              <w:left w:val="nil"/>
              <w:bottom w:val="nil"/>
              <w:right w:val="nil"/>
            </w:tcBorders>
            <w:noWrap/>
            <w:vAlign w:val="bottom"/>
            <w:hideMark/>
          </w:tcPr>
          <w:p w:rsidRPr="00C43FA5" w:rsidR="00B52D66" w:rsidP="00FC2172" w:rsidRDefault="00B52D66" w14:paraId="2C1D5B6A" w14:textId="77777777">
            <w:pPr>
              <w:jc w:val="right"/>
              <w:rPr>
                <w:rFonts w:cs="Arial"/>
                <w:sz w:val="16"/>
                <w:szCs w:val="16"/>
              </w:rPr>
            </w:pPr>
            <w:r w:rsidRPr="00C43FA5">
              <w:rPr>
                <w:rFonts w:cs="Arial"/>
                <w:sz w:val="16"/>
                <w:szCs w:val="16"/>
              </w:rPr>
              <w:t>76</w:t>
            </w:r>
          </w:p>
        </w:tc>
      </w:tr>
      <w:tr w:rsidRPr="00C43FA5" w:rsidR="00B52D66" w:rsidTr="00C43FA5" w14:paraId="61563BE0" w14:textId="77777777">
        <w:trPr>
          <w:trHeight w:val="230"/>
        </w:trPr>
        <w:tc>
          <w:tcPr>
            <w:tcW w:w="1147" w:type="pct"/>
            <w:tcBorders>
              <w:top w:val="nil"/>
              <w:left w:val="nil"/>
              <w:bottom w:val="nil"/>
              <w:right w:val="nil"/>
            </w:tcBorders>
            <w:noWrap/>
            <w:hideMark/>
          </w:tcPr>
          <w:p w:rsidRPr="00C43FA5" w:rsidR="00B52D66" w:rsidP="00FC2172" w:rsidRDefault="00B52D66" w14:paraId="685858EC" w14:textId="77777777">
            <w:pPr>
              <w:rPr>
                <w:rFonts w:cs="Arial"/>
                <w:sz w:val="16"/>
                <w:szCs w:val="16"/>
              </w:rPr>
            </w:pPr>
            <w:r w:rsidRPr="00C43FA5">
              <w:rPr>
                <w:rFonts w:cs="Arial"/>
                <w:sz w:val="16"/>
                <w:szCs w:val="16"/>
              </w:rPr>
              <w:t xml:space="preserve">   PIE</w:t>
            </w:r>
          </w:p>
        </w:tc>
        <w:tc>
          <w:tcPr>
            <w:tcW w:w="564" w:type="pct"/>
            <w:tcBorders>
              <w:top w:val="nil"/>
              <w:left w:val="nil"/>
              <w:bottom w:val="nil"/>
              <w:right w:val="nil"/>
            </w:tcBorders>
            <w:noWrap/>
            <w:vAlign w:val="bottom"/>
            <w:hideMark/>
          </w:tcPr>
          <w:p w:rsidRPr="00C43FA5" w:rsidR="00B52D66" w:rsidP="00FC2172" w:rsidRDefault="00B52D66" w14:paraId="205840F6" w14:textId="77777777">
            <w:pPr>
              <w:rPr>
                <w:rFonts w:cs="Arial"/>
                <w:sz w:val="16"/>
                <w:szCs w:val="16"/>
              </w:rPr>
            </w:pPr>
            <w:r w:rsidRPr="00C43FA5">
              <w:rPr>
                <w:rFonts w:cs="Arial"/>
                <w:sz w:val="16"/>
                <w:szCs w:val="16"/>
              </w:rPr>
              <w:t xml:space="preserve">            4.751 </w:t>
            </w:r>
          </w:p>
        </w:tc>
        <w:tc>
          <w:tcPr>
            <w:tcW w:w="400" w:type="pct"/>
            <w:tcBorders>
              <w:top w:val="nil"/>
              <w:left w:val="nil"/>
              <w:bottom w:val="nil"/>
              <w:right w:val="nil"/>
            </w:tcBorders>
            <w:noWrap/>
            <w:vAlign w:val="bottom"/>
            <w:hideMark/>
          </w:tcPr>
          <w:p w:rsidRPr="00C43FA5" w:rsidR="00B52D66" w:rsidP="00FC2172" w:rsidRDefault="00B52D66" w14:paraId="74C0CE11" w14:textId="77777777">
            <w:pPr>
              <w:jc w:val="right"/>
              <w:rPr>
                <w:rFonts w:cs="Arial"/>
                <w:sz w:val="16"/>
                <w:szCs w:val="16"/>
              </w:rPr>
            </w:pPr>
            <w:r w:rsidRPr="00C43FA5">
              <w:rPr>
                <w:rFonts w:cs="Arial"/>
                <w:sz w:val="16"/>
                <w:szCs w:val="16"/>
              </w:rPr>
              <w:t>82</w:t>
            </w:r>
          </w:p>
        </w:tc>
        <w:tc>
          <w:tcPr>
            <w:tcW w:w="564" w:type="pct"/>
            <w:tcBorders>
              <w:top w:val="nil"/>
              <w:left w:val="nil"/>
              <w:bottom w:val="nil"/>
              <w:right w:val="nil"/>
            </w:tcBorders>
            <w:noWrap/>
            <w:vAlign w:val="bottom"/>
            <w:hideMark/>
          </w:tcPr>
          <w:p w:rsidRPr="00C43FA5" w:rsidR="00B52D66" w:rsidP="00FC2172" w:rsidRDefault="00B52D66" w14:paraId="23AE64ED" w14:textId="77777777">
            <w:pPr>
              <w:rPr>
                <w:rFonts w:cs="Arial"/>
                <w:sz w:val="16"/>
                <w:szCs w:val="16"/>
              </w:rPr>
            </w:pPr>
            <w:r w:rsidRPr="00C43FA5">
              <w:rPr>
                <w:rFonts w:cs="Arial"/>
                <w:sz w:val="16"/>
                <w:szCs w:val="16"/>
              </w:rPr>
              <w:t xml:space="preserve">            4.311 </w:t>
            </w:r>
          </w:p>
        </w:tc>
        <w:tc>
          <w:tcPr>
            <w:tcW w:w="400" w:type="pct"/>
            <w:tcBorders>
              <w:top w:val="nil"/>
              <w:left w:val="nil"/>
              <w:bottom w:val="nil"/>
              <w:right w:val="nil"/>
            </w:tcBorders>
            <w:noWrap/>
            <w:vAlign w:val="bottom"/>
            <w:hideMark/>
          </w:tcPr>
          <w:p w:rsidRPr="00C43FA5" w:rsidR="00B52D66" w:rsidP="00FC2172" w:rsidRDefault="00B52D66" w14:paraId="7462B096" w14:textId="77777777">
            <w:pPr>
              <w:jc w:val="right"/>
              <w:rPr>
                <w:rFonts w:cs="Arial"/>
                <w:sz w:val="16"/>
                <w:szCs w:val="16"/>
              </w:rPr>
            </w:pPr>
            <w:r w:rsidRPr="00C43FA5">
              <w:rPr>
                <w:rFonts w:cs="Arial"/>
                <w:sz w:val="16"/>
                <w:szCs w:val="16"/>
              </w:rPr>
              <w:t>82</w:t>
            </w:r>
          </w:p>
        </w:tc>
        <w:tc>
          <w:tcPr>
            <w:tcW w:w="564" w:type="pct"/>
            <w:tcBorders>
              <w:top w:val="nil"/>
              <w:left w:val="nil"/>
              <w:bottom w:val="nil"/>
              <w:right w:val="nil"/>
            </w:tcBorders>
            <w:noWrap/>
            <w:vAlign w:val="bottom"/>
            <w:hideMark/>
          </w:tcPr>
          <w:p w:rsidRPr="00C43FA5" w:rsidR="00B52D66" w:rsidP="00FC2172" w:rsidRDefault="00B52D66" w14:paraId="091D5831" w14:textId="77777777">
            <w:pPr>
              <w:rPr>
                <w:rFonts w:cs="Arial"/>
                <w:sz w:val="16"/>
                <w:szCs w:val="16"/>
              </w:rPr>
            </w:pPr>
            <w:r w:rsidRPr="00C43FA5">
              <w:rPr>
                <w:rFonts w:cs="Arial"/>
                <w:sz w:val="16"/>
                <w:szCs w:val="16"/>
              </w:rPr>
              <w:t xml:space="preserve">            4.061 </w:t>
            </w:r>
          </w:p>
        </w:tc>
        <w:tc>
          <w:tcPr>
            <w:tcW w:w="400" w:type="pct"/>
            <w:tcBorders>
              <w:top w:val="nil"/>
              <w:left w:val="nil"/>
              <w:bottom w:val="nil"/>
              <w:right w:val="nil"/>
            </w:tcBorders>
            <w:noWrap/>
            <w:vAlign w:val="bottom"/>
            <w:hideMark/>
          </w:tcPr>
          <w:p w:rsidRPr="00C43FA5" w:rsidR="00B52D66" w:rsidP="00FC2172" w:rsidRDefault="00B52D66" w14:paraId="45CD0048" w14:textId="77777777">
            <w:pPr>
              <w:jc w:val="right"/>
              <w:rPr>
                <w:rFonts w:cs="Arial"/>
                <w:sz w:val="16"/>
                <w:szCs w:val="16"/>
              </w:rPr>
            </w:pPr>
            <w:r w:rsidRPr="00C43FA5">
              <w:rPr>
                <w:rFonts w:cs="Arial"/>
                <w:sz w:val="16"/>
                <w:szCs w:val="16"/>
              </w:rPr>
              <w:t>81</w:t>
            </w:r>
          </w:p>
        </w:tc>
        <w:tc>
          <w:tcPr>
            <w:tcW w:w="564" w:type="pct"/>
            <w:tcBorders>
              <w:top w:val="nil"/>
              <w:left w:val="nil"/>
              <w:bottom w:val="nil"/>
              <w:right w:val="nil"/>
            </w:tcBorders>
            <w:noWrap/>
            <w:vAlign w:val="bottom"/>
            <w:hideMark/>
          </w:tcPr>
          <w:p w:rsidRPr="00C43FA5" w:rsidR="00B52D66" w:rsidP="00FC2172" w:rsidRDefault="00B52D66" w14:paraId="649091A3" w14:textId="77777777">
            <w:pPr>
              <w:rPr>
                <w:rFonts w:cs="Arial"/>
                <w:sz w:val="16"/>
                <w:szCs w:val="16"/>
              </w:rPr>
            </w:pPr>
            <w:r w:rsidRPr="00C43FA5">
              <w:rPr>
                <w:rFonts w:cs="Arial"/>
                <w:sz w:val="16"/>
                <w:szCs w:val="16"/>
              </w:rPr>
              <w:t xml:space="preserve">            3.835 </w:t>
            </w:r>
          </w:p>
        </w:tc>
        <w:tc>
          <w:tcPr>
            <w:tcW w:w="400" w:type="pct"/>
            <w:tcBorders>
              <w:top w:val="nil"/>
              <w:left w:val="nil"/>
              <w:bottom w:val="nil"/>
              <w:right w:val="nil"/>
            </w:tcBorders>
            <w:noWrap/>
            <w:vAlign w:val="bottom"/>
            <w:hideMark/>
          </w:tcPr>
          <w:p w:rsidRPr="00C43FA5" w:rsidR="00B52D66" w:rsidP="00FC2172" w:rsidRDefault="00B52D66" w14:paraId="192FFEFF" w14:textId="77777777">
            <w:pPr>
              <w:jc w:val="right"/>
              <w:rPr>
                <w:rFonts w:cs="Arial"/>
                <w:sz w:val="16"/>
                <w:szCs w:val="16"/>
              </w:rPr>
            </w:pPr>
            <w:r w:rsidRPr="00C43FA5">
              <w:rPr>
                <w:rFonts w:cs="Arial"/>
                <w:sz w:val="16"/>
                <w:szCs w:val="16"/>
              </w:rPr>
              <w:t>81</w:t>
            </w:r>
          </w:p>
        </w:tc>
      </w:tr>
      <w:tr w:rsidRPr="00C43FA5" w:rsidR="00B52D66" w:rsidTr="00C43FA5" w14:paraId="6A72E3D9" w14:textId="77777777">
        <w:trPr>
          <w:trHeight w:val="230"/>
        </w:trPr>
        <w:tc>
          <w:tcPr>
            <w:tcW w:w="1147" w:type="pct"/>
            <w:tcBorders>
              <w:top w:val="nil"/>
              <w:left w:val="nil"/>
              <w:bottom w:val="nil"/>
              <w:right w:val="nil"/>
            </w:tcBorders>
            <w:noWrap/>
            <w:vAlign w:val="bottom"/>
            <w:hideMark/>
          </w:tcPr>
          <w:p w:rsidRPr="00C43FA5" w:rsidR="00B52D66" w:rsidP="00FC2172" w:rsidRDefault="00B52D66" w14:paraId="4443E5E7" w14:textId="77777777">
            <w:pPr>
              <w:rPr>
                <w:rFonts w:cs="Arial"/>
                <w:sz w:val="16"/>
                <w:szCs w:val="16"/>
              </w:rPr>
            </w:pPr>
            <w:r w:rsidRPr="00C43FA5">
              <w:rPr>
                <w:rFonts w:cs="Arial"/>
                <w:sz w:val="16"/>
                <w:szCs w:val="16"/>
              </w:rPr>
              <w:t>vmbo niet-technische profielen</w:t>
            </w:r>
          </w:p>
        </w:tc>
        <w:tc>
          <w:tcPr>
            <w:tcW w:w="564" w:type="pct"/>
            <w:tcBorders>
              <w:top w:val="nil"/>
              <w:left w:val="nil"/>
              <w:bottom w:val="nil"/>
              <w:right w:val="nil"/>
            </w:tcBorders>
            <w:noWrap/>
            <w:vAlign w:val="bottom"/>
            <w:hideMark/>
          </w:tcPr>
          <w:p w:rsidRPr="00C43FA5" w:rsidR="00B52D66" w:rsidP="00FC2172" w:rsidRDefault="00B52D66" w14:paraId="7BD7AD79" w14:textId="77777777">
            <w:pPr>
              <w:rPr>
                <w:rFonts w:cs="Arial"/>
                <w:sz w:val="16"/>
                <w:szCs w:val="16"/>
              </w:rPr>
            </w:pPr>
          </w:p>
        </w:tc>
        <w:tc>
          <w:tcPr>
            <w:tcW w:w="400" w:type="pct"/>
            <w:tcBorders>
              <w:top w:val="nil"/>
              <w:left w:val="nil"/>
              <w:bottom w:val="nil"/>
              <w:right w:val="nil"/>
            </w:tcBorders>
            <w:noWrap/>
            <w:vAlign w:val="bottom"/>
            <w:hideMark/>
          </w:tcPr>
          <w:p w:rsidRPr="00C43FA5" w:rsidR="00B52D66" w:rsidP="00FC2172" w:rsidRDefault="00B52D66" w14:paraId="1C270401" w14:textId="77777777">
            <w:pPr>
              <w:rPr>
                <w:rFonts w:cs="Arial"/>
                <w:sz w:val="16"/>
                <w:szCs w:val="16"/>
              </w:rPr>
            </w:pPr>
            <w:r w:rsidRPr="00C43FA5">
              <w:rPr>
                <w:rFonts w:cs="Arial"/>
                <w:sz w:val="16"/>
                <w:szCs w:val="16"/>
              </w:rPr>
              <w:t> </w:t>
            </w:r>
          </w:p>
        </w:tc>
        <w:tc>
          <w:tcPr>
            <w:tcW w:w="564" w:type="pct"/>
            <w:tcBorders>
              <w:top w:val="nil"/>
              <w:left w:val="nil"/>
              <w:bottom w:val="nil"/>
              <w:right w:val="nil"/>
            </w:tcBorders>
            <w:noWrap/>
            <w:vAlign w:val="bottom"/>
            <w:hideMark/>
          </w:tcPr>
          <w:p w:rsidRPr="00C43FA5" w:rsidR="00B52D66" w:rsidP="00FC2172" w:rsidRDefault="00B52D66" w14:paraId="1FD15662" w14:textId="77777777">
            <w:pPr>
              <w:rPr>
                <w:rFonts w:cs="Arial"/>
                <w:sz w:val="16"/>
                <w:szCs w:val="16"/>
              </w:rPr>
            </w:pPr>
          </w:p>
        </w:tc>
        <w:tc>
          <w:tcPr>
            <w:tcW w:w="400" w:type="pct"/>
            <w:tcBorders>
              <w:top w:val="nil"/>
              <w:left w:val="nil"/>
              <w:bottom w:val="nil"/>
              <w:right w:val="nil"/>
            </w:tcBorders>
            <w:noWrap/>
            <w:vAlign w:val="bottom"/>
            <w:hideMark/>
          </w:tcPr>
          <w:p w:rsidRPr="00C43FA5" w:rsidR="00B52D66" w:rsidP="00FC2172" w:rsidRDefault="00B52D66" w14:paraId="3CEBB409" w14:textId="77777777">
            <w:pPr>
              <w:rPr>
                <w:rFonts w:cs="Arial"/>
                <w:sz w:val="16"/>
                <w:szCs w:val="16"/>
              </w:rPr>
            </w:pPr>
            <w:r w:rsidRPr="00C43FA5">
              <w:rPr>
                <w:rFonts w:cs="Arial"/>
                <w:sz w:val="16"/>
                <w:szCs w:val="16"/>
              </w:rPr>
              <w:t> </w:t>
            </w:r>
          </w:p>
        </w:tc>
        <w:tc>
          <w:tcPr>
            <w:tcW w:w="564" w:type="pct"/>
            <w:tcBorders>
              <w:top w:val="nil"/>
              <w:left w:val="nil"/>
              <w:bottom w:val="nil"/>
              <w:right w:val="nil"/>
            </w:tcBorders>
            <w:noWrap/>
            <w:vAlign w:val="bottom"/>
            <w:hideMark/>
          </w:tcPr>
          <w:p w:rsidRPr="00C43FA5" w:rsidR="00B52D66" w:rsidP="00FC2172" w:rsidRDefault="00B52D66" w14:paraId="39668D38" w14:textId="77777777">
            <w:pPr>
              <w:rPr>
                <w:rFonts w:cs="Arial"/>
                <w:sz w:val="16"/>
                <w:szCs w:val="16"/>
              </w:rPr>
            </w:pPr>
          </w:p>
        </w:tc>
        <w:tc>
          <w:tcPr>
            <w:tcW w:w="400" w:type="pct"/>
            <w:tcBorders>
              <w:top w:val="nil"/>
              <w:left w:val="nil"/>
              <w:bottom w:val="nil"/>
              <w:right w:val="nil"/>
            </w:tcBorders>
            <w:noWrap/>
            <w:vAlign w:val="bottom"/>
            <w:hideMark/>
          </w:tcPr>
          <w:p w:rsidRPr="00C43FA5" w:rsidR="00B52D66" w:rsidP="00FC2172" w:rsidRDefault="00B52D66" w14:paraId="2E446FEB" w14:textId="77777777">
            <w:pPr>
              <w:rPr>
                <w:rFonts w:cs="Arial"/>
                <w:sz w:val="16"/>
                <w:szCs w:val="16"/>
              </w:rPr>
            </w:pPr>
            <w:r w:rsidRPr="00C43FA5">
              <w:rPr>
                <w:rFonts w:cs="Arial"/>
                <w:sz w:val="16"/>
                <w:szCs w:val="16"/>
              </w:rPr>
              <w:t> </w:t>
            </w:r>
          </w:p>
        </w:tc>
        <w:tc>
          <w:tcPr>
            <w:tcW w:w="564" w:type="pct"/>
            <w:tcBorders>
              <w:top w:val="nil"/>
              <w:left w:val="nil"/>
              <w:bottom w:val="nil"/>
              <w:right w:val="nil"/>
            </w:tcBorders>
            <w:noWrap/>
            <w:vAlign w:val="bottom"/>
            <w:hideMark/>
          </w:tcPr>
          <w:p w:rsidRPr="00C43FA5" w:rsidR="00B52D66" w:rsidP="00FC2172" w:rsidRDefault="00B52D66" w14:paraId="1286444B" w14:textId="77777777">
            <w:pPr>
              <w:rPr>
                <w:rFonts w:cs="Arial"/>
                <w:sz w:val="16"/>
                <w:szCs w:val="16"/>
              </w:rPr>
            </w:pPr>
          </w:p>
        </w:tc>
        <w:tc>
          <w:tcPr>
            <w:tcW w:w="400" w:type="pct"/>
            <w:tcBorders>
              <w:top w:val="nil"/>
              <w:left w:val="nil"/>
              <w:bottom w:val="nil"/>
              <w:right w:val="nil"/>
            </w:tcBorders>
            <w:noWrap/>
            <w:vAlign w:val="bottom"/>
            <w:hideMark/>
          </w:tcPr>
          <w:p w:rsidRPr="00C43FA5" w:rsidR="00B52D66" w:rsidP="00FC2172" w:rsidRDefault="00B52D66" w14:paraId="43F6B462" w14:textId="77777777">
            <w:pPr>
              <w:rPr>
                <w:rFonts w:cs="Arial"/>
                <w:sz w:val="16"/>
                <w:szCs w:val="16"/>
              </w:rPr>
            </w:pPr>
            <w:r w:rsidRPr="00C43FA5">
              <w:rPr>
                <w:rFonts w:cs="Arial"/>
                <w:sz w:val="16"/>
                <w:szCs w:val="16"/>
              </w:rPr>
              <w:t> </w:t>
            </w:r>
          </w:p>
        </w:tc>
      </w:tr>
      <w:tr w:rsidRPr="00C43FA5" w:rsidR="00B52D66" w:rsidTr="00C43FA5" w14:paraId="52D61F23" w14:textId="77777777">
        <w:trPr>
          <w:trHeight w:val="230"/>
        </w:trPr>
        <w:tc>
          <w:tcPr>
            <w:tcW w:w="1147" w:type="pct"/>
            <w:tcBorders>
              <w:top w:val="nil"/>
              <w:left w:val="nil"/>
              <w:bottom w:val="nil"/>
              <w:right w:val="nil"/>
            </w:tcBorders>
            <w:noWrap/>
            <w:vAlign w:val="bottom"/>
            <w:hideMark/>
          </w:tcPr>
          <w:p w:rsidRPr="00C43FA5" w:rsidR="00B52D66" w:rsidP="00FC2172" w:rsidRDefault="00B52D66" w14:paraId="549BEA47" w14:textId="77777777">
            <w:pPr>
              <w:rPr>
                <w:rFonts w:cs="Arial"/>
                <w:sz w:val="16"/>
                <w:szCs w:val="16"/>
              </w:rPr>
            </w:pPr>
            <w:r w:rsidRPr="00C43FA5">
              <w:rPr>
                <w:rFonts w:cs="Arial"/>
                <w:sz w:val="16"/>
                <w:szCs w:val="16"/>
              </w:rPr>
              <w:t xml:space="preserve">   D&amp;P</w:t>
            </w:r>
          </w:p>
        </w:tc>
        <w:tc>
          <w:tcPr>
            <w:tcW w:w="564" w:type="pct"/>
            <w:tcBorders>
              <w:top w:val="nil"/>
              <w:left w:val="nil"/>
              <w:bottom w:val="nil"/>
              <w:right w:val="nil"/>
            </w:tcBorders>
            <w:noWrap/>
            <w:vAlign w:val="bottom"/>
            <w:hideMark/>
          </w:tcPr>
          <w:p w:rsidRPr="00C43FA5" w:rsidR="00B52D66" w:rsidP="00FC2172" w:rsidRDefault="00B52D66" w14:paraId="7C777597" w14:textId="77777777">
            <w:pPr>
              <w:rPr>
                <w:rFonts w:cs="Arial"/>
                <w:sz w:val="16"/>
                <w:szCs w:val="16"/>
              </w:rPr>
            </w:pPr>
            <w:r w:rsidRPr="00C43FA5">
              <w:rPr>
                <w:rFonts w:cs="Arial"/>
                <w:sz w:val="16"/>
                <w:szCs w:val="16"/>
              </w:rPr>
              <w:t xml:space="preserve">          15.368 </w:t>
            </w:r>
          </w:p>
        </w:tc>
        <w:tc>
          <w:tcPr>
            <w:tcW w:w="400" w:type="pct"/>
            <w:tcBorders>
              <w:top w:val="nil"/>
              <w:left w:val="nil"/>
              <w:bottom w:val="nil"/>
              <w:right w:val="nil"/>
            </w:tcBorders>
            <w:noWrap/>
            <w:vAlign w:val="bottom"/>
            <w:hideMark/>
          </w:tcPr>
          <w:p w:rsidRPr="00C43FA5" w:rsidR="00B52D66" w:rsidP="00FC2172" w:rsidRDefault="00B52D66" w14:paraId="0DE70CDB" w14:textId="77777777">
            <w:pPr>
              <w:jc w:val="right"/>
              <w:rPr>
                <w:rFonts w:cs="Arial"/>
                <w:sz w:val="16"/>
                <w:szCs w:val="16"/>
              </w:rPr>
            </w:pPr>
            <w:r w:rsidRPr="00C43FA5">
              <w:rPr>
                <w:rFonts w:cs="Arial"/>
                <w:sz w:val="16"/>
                <w:szCs w:val="16"/>
              </w:rPr>
              <w:t>27</w:t>
            </w:r>
          </w:p>
        </w:tc>
        <w:tc>
          <w:tcPr>
            <w:tcW w:w="564" w:type="pct"/>
            <w:tcBorders>
              <w:top w:val="nil"/>
              <w:left w:val="nil"/>
              <w:bottom w:val="nil"/>
              <w:right w:val="nil"/>
            </w:tcBorders>
            <w:noWrap/>
            <w:vAlign w:val="bottom"/>
            <w:hideMark/>
          </w:tcPr>
          <w:p w:rsidRPr="00C43FA5" w:rsidR="00B52D66" w:rsidP="00FC2172" w:rsidRDefault="00B52D66" w14:paraId="73E4EFB8" w14:textId="77777777">
            <w:pPr>
              <w:rPr>
                <w:rFonts w:cs="Arial"/>
                <w:sz w:val="16"/>
                <w:szCs w:val="16"/>
              </w:rPr>
            </w:pPr>
            <w:r w:rsidRPr="00C43FA5">
              <w:rPr>
                <w:rFonts w:cs="Arial"/>
                <w:sz w:val="16"/>
                <w:szCs w:val="16"/>
              </w:rPr>
              <w:t xml:space="preserve">          14.338 </w:t>
            </w:r>
          </w:p>
        </w:tc>
        <w:tc>
          <w:tcPr>
            <w:tcW w:w="400" w:type="pct"/>
            <w:tcBorders>
              <w:top w:val="nil"/>
              <w:left w:val="nil"/>
              <w:bottom w:val="nil"/>
              <w:right w:val="nil"/>
            </w:tcBorders>
            <w:noWrap/>
            <w:vAlign w:val="bottom"/>
            <w:hideMark/>
          </w:tcPr>
          <w:p w:rsidRPr="00C43FA5" w:rsidR="00B52D66" w:rsidP="00FC2172" w:rsidRDefault="00B52D66" w14:paraId="30CD4E98" w14:textId="77777777">
            <w:pPr>
              <w:jc w:val="right"/>
              <w:rPr>
                <w:rFonts w:cs="Arial"/>
                <w:sz w:val="16"/>
                <w:szCs w:val="16"/>
              </w:rPr>
            </w:pPr>
            <w:r w:rsidRPr="00C43FA5">
              <w:rPr>
                <w:rFonts w:cs="Arial"/>
                <w:sz w:val="16"/>
                <w:szCs w:val="16"/>
              </w:rPr>
              <w:t>29</w:t>
            </w:r>
          </w:p>
        </w:tc>
        <w:tc>
          <w:tcPr>
            <w:tcW w:w="564" w:type="pct"/>
            <w:tcBorders>
              <w:top w:val="nil"/>
              <w:left w:val="nil"/>
              <w:bottom w:val="nil"/>
              <w:right w:val="nil"/>
            </w:tcBorders>
            <w:noWrap/>
            <w:vAlign w:val="bottom"/>
            <w:hideMark/>
          </w:tcPr>
          <w:p w:rsidRPr="00C43FA5" w:rsidR="00B52D66" w:rsidP="00FC2172" w:rsidRDefault="00B52D66" w14:paraId="4F4CF4A9" w14:textId="77777777">
            <w:pPr>
              <w:rPr>
                <w:rFonts w:cs="Arial"/>
                <w:sz w:val="16"/>
                <w:szCs w:val="16"/>
              </w:rPr>
            </w:pPr>
            <w:r w:rsidRPr="00C43FA5">
              <w:rPr>
                <w:rFonts w:cs="Arial"/>
                <w:sz w:val="16"/>
                <w:szCs w:val="16"/>
              </w:rPr>
              <w:t xml:space="preserve">          13.192 </w:t>
            </w:r>
          </w:p>
        </w:tc>
        <w:tc>
          <w:tcPr>
            <w:tcW w:w="400" w:type="pct"/>
            <w:tcBorders>
              <w:top w:val="nil"/>
              <w:left w:val="nil"/>
              <w:bottom w:val="nil"/>
              <w:right w:val="nil"/>
            </w:tcBorders>
            <w:noWrap/>
            <w:vAlign w:val="bottom"/>
            <w:hideMark/>
          </w:tcPr>
          <w:p w:rsidRPr="00C43FA5" w:rsidR="00B52D66" w:rsidP="00FC2172" w:rsidRDefault="00B52D66" w14:paraId="5652D042" w14:textId="77777777">
            <w:pPr>
              <w:jc w:val="right"/>
              <w:rPr>
                <w:rFonts w:cs="Arial"/>
                <w:sz w:val="16"/>
                <w:szCs w:val="16"/>
              </w:rPr>
            </w:pPr>
            <w:r w:rsidRPr="00C43FA5">
              <w:rPr>
                <w:rFonts w:cs="Arial"/>
                <w:sz w:val="16"/>
                <w:szCs w:val="16"/>
              </w:rPr>
              <w:t>29</w:t>
            </w:r>
          </w:p>
        </w:tc>
        <w:tc>
          <w:tcPr>
            <w:tcW w:w="564" w:type="pct"/>
            <w:tcBorders>
              <w:top w:val="nil"/>
              <w:left w:val="nil"/>
              <w:bottom w:val="nil"/>
              <w:right w:val="nil"/>
            </w:tcBorders>
            <w:noWrap/>
            <w:vAlign w:val="bottom"/>
            <w:hideMark/>
          </w:tcPr>
          <w:p w:rsidRPr="00C43FA5" w:rsidR="00B52D66" w:rsidP="00FC2172" w:rsidRDefault="00B52D66" w14:paraId="420C5E26" w14:textId="77777777">
            <w:pPr>
              <w:rPr>
                <w:rFonts w:cs="Arial"/>
                <w:sz w:val="16"/>
                <w:szCs w:val="16"/>
              </w:rPr>
            </w:pPr>
            <w:r w:rsidRPr="00C43FA5">
              <w:rPr>
                <w:rFonts w:cs="Arial"/>
                <w:sz w:val="16"/>
                <w:szCs w:val="16"/>
              </w:rPr>
              <w:t xml:space="preserve">          12.561 </w:t>
            </w:r>
          </w:p>
        </w:tc>
        <w:tc>
          <w:tcPr>
            <w:tcW w:w="400" w:type="pct"/>
            <w:tcBorders>
              <w:top w:val="nil"/>
              <w:left w:val="nil"/>
              <w:bottom w:val="nil"/>
              <w:right w:val="nil"/>
            </w:tcBorders>
            <w:noWrap/>
            <w:vAlign w:val="bottom"/>
            <w:hideMark/>
          </w:tcPr>
          <w:p w:rsidRPr="00C43FA5" w:rsidR="00B52D66" w:rsidP="00FC2172" w:rsidRDefault="00B52D66" w14:paraId="6F84C067" w14:textId="77777777">
            <w:pPr>
              <w:jc w:val="right"/>
              <w:rPr>
                <w:rFonts w:cs="Arial"/>
                <w:sz w:val="16"/>
                <w:szCs w:val="16"/>
              </w:rPr>
            </w:pPr>
            <w:r w:rsidRPr="00C43FA5">
              <w:rPr>
                <w:rFonts w:cs="Arial"/>
                <w:sz w:val="16"/>
                <w:szCs w:val="16"/>
              </w:rPr>
              <w:t>29</w:t>
            </w:r>
          </w:p>
        </w:tc>
      </w:tr>
      <w:tr w:rsidRPr="00C43FA5" w:rsidR="00B52D66" w:rsidTr="00C43FA5" w14:paraId="25944065" w14:textId="77777777">
        <w:trPr>
          <w:trHeight w:val="230"/>
        </w:trPr>
        <w:tc>
          <w:tcPr>
            <w:tcW w:w="1147" w:type="pct"/>
            <w:tcBorders>
              <w:top w:val="nil"/>
              <w:left w:val="nil"/>
              <w:bottom w:val="nil"/>
              <w:right w:val="nil"/>
            </w:tcBorders>
            <w:noWrap/>
            <w:vAlign w:val="bottom"/>
            <w:hideMark/>
          </w:tcPr>
          <w:p w:rsidRPr="00C43FA5" w:rsidR="00B52D66" w:rsidP="00FC2172" w:rsidRDefault="00B52D66" w14:paraId="7B7554F5" w14:textId="77777777">
            <w:pPr>
              <w:rPr>
                <w:rFonts w:cs="Arial"/>
                <w:sz w:val="16"/>
                <w:szCs w:val="16"/>
              </w:rPr>
            </w:pPr>
            <w:r w:rsidRPr="00C43FA5">
              <w:rPr>
                <w:rFonts w:cs="Arial"/>
                <w:sz w:val="16"/>
                <w:szCs w:val="16"/>
              </w:rPr>
              <w:t xml:space="preserve">   E&amp;O</w:t>
            </w:r>
          </w:p>
        </w:tc>
        <w:tc>
          <w:tcPr>
            <w:tcW w:w="564" w:type="pct"/>
            <w:tcBorders>
              <w:top w:val="nil"/>
              <w:left w:val="nil"/>
              <w:bottom w:val="nil"/>
              <w:right w:val="nil"/>
            </w:tcBorders>
            <w:noWrap/>
            <w:vAlign w:val="bottom"/>
            <w:hideMark/>
          </w:tcPr>
          <w:p w:rsidRPr="00C43FA5" w:rsidR="00B52D66" w:rsidP="00FC2172" w:rsidRDefault="00B52D66" w14:paraId="5F4933A3" w14:textId="77777777">
            <w:pPr>
              <w:rPr>
                <w:rFonts w:cs="Arial"/>
                <w:sz w:val="16"/>
                <w:szCs w:val="16"/>
              </w:rPr>
            </w:pPr>
            <w:r w:rsidRPr="00C43FA5">
              <w:rPr>
                <w:rFonts w:cs="Arial"/>
                <w:sz w:val="16"/>
                <w:szCs w:val="16"/>
              </w:rPr>
              <w:t xml:space="preserve">            6.232 </w:t>
            </w:r>
          </w:p>
        </w:tc>
        <w:tc>
          <w:tcPr>
            <w:tcW w:w="400" w:type="pct"/>
            <w:tcBorders>
              <w:top w:val="nil"/>
              <w:left w:val="nil"/>
              <w:bottom w:val="nil"/>
              <w:right w:val="nil"/>
            </w:tcBorders>
            <w:noWrap/>
            <w:vAlign w:val="bottom"/>
            <w:hideMark/>
          </w:tcPr>
          <w:p w:rsidRPr="00C43FA5" w:rsidR="00B52D66" w:rsidP="00FC2172" w:rsidRDefault="00B52D66" w14:paraId="164EDF24" w14:textId="77777777">
            <w:pPr>
              <w:jc w:val="right"/>
              <w:rPr>
                <w:rFonts w:cs="Arial"/>
                <w:sz w:val="16"/>
                <w:szCs w:val="16"/>
              </w:rPr>
            </w:pPr>
            <w:r w:rsidRPr="00C43FA5">
              <w:rPr>
                <w:rFonts w:cs="Arial"/>
                <w:sz w:val="16"/>
                <w:szCs w:val="16"/>
              </w:rPr>
              <w:t>21</w:t>
            </w:r>
          </w:p>
        </w:tc>
        <w:tc>
          <w:tcPr>
            <w:tcW w:w="564" w:type="pct"/>
            <w:tcBorders>
              <w:top w:val="nil"/>
              <w:left w:val="nil"/>
              <w:bottom w:val="nil"/>
              <w:right w:val="nil"/>
            </w:tcBorders>
            <w:noWrap/>
            <w:vAlign w:val="bottom"/>
            <w:hideMark/>
          </w:tcPr>
          <w:p w:rsidRPr="00C43FA5" w:rsidR="00B52D66" w:rsidP="00FC2172" w:rsidRDefault="00B52D66" w14:paraId="6AD32345" w14:textId="77777777">
            <w:pPr>
              <w:rPr>
                <w:rFonts w:cs="Arial"/>
                <w:sz w:val="16"/>
                <w:szCs w:val="16"/>
              </w:rPr>
            </w:pPr>
            <w:r w:rsidRPr="00C43FA5">
              <w:rPr>
                <w:rFonts w:cs="Arial"/>
                <w:sz w:val="16"/>
                <w:szCs w:val="16"/>
              </w:rPr>
              <w:t xml:space="preserve">            6.013 </w:t>
            </w:r>
          </w:p>
        </w:tc>
        <w:tc>
          <w:tcPr>
            <w:tcW w:w="400" w:type="pct"/>
            <w:tcBorders>
              <w:top w:val="nil"/>
              <w:left w:val="nil"/>
              <w:bottom w:val="nil"/>
              <w:right w:val="nil"/>
            </w:tcBorders>
            <w:noWrap/>
            <w:vAlign w:val="bottom"/>
            <w:hideMark/>
          </w:tcPr>
          <w:p w:rsidRPr="00C43FA5" w:rsidR="00B52D66" w:rsidP="00FC2172" w:rsidRDefault="00B52D66" w14:paraId="40FCFAF0" w14:textId="77777777">
            <w:pPr>
              <w:jc w:val="right"/>
              <w:rPr>
                <w:rFonts w:cs="Arial"/>
                <w:sz w:val="16"/>
                <w:szCs w:val="16"/>
              </w:rPr>
            </w:pPr>
            <w:r w:rsidRPr="00C43FA5">
              <w:rPr>
                <w:rFonts w:cs="Arial"/>
                <w:sz w:val="16"/>
                <w:szCs w:val="16"/>
              </w:rPr>
              <w:t>22</w:t>
            </w:r>
          </w:p>
        </w:tc>
        <w:tc>
          <w:tcPr>
            <w:tcW w:w="564" w:type="pct"/>
            <w:tcBorders>
              <w:top w:val="nil"/>
              <w:left w:val="nil"/>
              <w:bottom w:val="nil"/>
              <w:right w:val="nil"/>
            </w:tcBorders>
            <w:noWrap/>
            <w:vAlign w:val="bottom"/>
            <w:hideMark/>
          </w:tcPr>
          <w:p w:rsidRPr="00C43FA5" w:rsidR="00B52D66" w:rsidP="00FC2172" w:rsidRDefault="00B52D66" w14:paraId="4433A02E" w14:textId="77777777">
            <w:pPr>
              <w:rPr>
                <w:rFonts w:cs="Arial"/>
                <w:sz w:val="16"/>
                <w:szCs w:val="16"/>
              </w:rPr>
            </w:pPr>
            <w:r w:rsidRPr="00C43FA5">
              <w:rPr>
                <w:rFonts w:cs="Arial"/>
                <w:sz w:val="16"/>
                <w:szCs w:val="16"/>
              </w:rPr>
              <w:t xml:space="preserve">            5.250 </w:t>
            </w:r>
          </w:p>
        </w:tc>
        <w:tc>
          <w:tcPr>
            <w:tcW w:w="400" w:type="pct"/>
            <w:tcBorders>
              <w:top w:val="nil"/>
              <w:left w:val="nil"/>
              <w:bottom w:val="nil"/>
              <w:right w:val="nil"/>
            </w:tcBorders>
            <w:noWrap/>
            <w:vAlign w:val="bottom"/>
            <w:hideMark/>
          </w:tcPr>
          <w:p w:rsidRPr="00C43FA5" w:rsidR="00B52D66" w:rsidP="00FC2172" w:rsidRDefault="00B52D66" w14:paraId="0B94DA22" w14:textId="77777777">
            <w:pPr>
              <w:jc w:val="right"/>
              <w:rPr>
                <w:rFonts w:cs="Arial"/>
                <w:sz w:val="16"/>
                <w:szCs w:val="16"/>
              </w:rPr>
            </w:pPr>
            <w:r w:rsidRPr="00C43FA5">
              <w:rPr>
                <w:rFonts w:cs="Arial"/>
                <w:sz w:val="16"/>
                <w:szCs w:val="16"/>
              </w:rPr>
              <w:t>23</w:t>
            </w:r>
          </w:p>
        </w:tc>
        <w:tc>
          <w:tcPr>
            <w:tcW w:w="564" w:type="pct"/>
            <w:tcBorders>
              <w:top w:val="nil"/>
              <w:left w:val="nil"/>
              <w:bottom w:val="nil"/>
              <w:right w:val="nil"/>
            </w:tcBorders>
            <w:noWrap/>
            <w:vAlign w:val="bottom"/>
            <w:hideMark/>
          </w:tcPr>
          <w:p w:rsidRPr="00C43FA5" w:rsidR="00B52D66" w:rsidP="00FC2172" w:rsidRDefault="00B52D66" w14:paraId="68810086" w14:textId="77777777">
            <w:pPr>
              <w:rPr>
                <w:rFonts w:cs="Arial"/>
                <w:sz w:val="16"/>
                <w:szCs w:val="16"/>
              </w:rPr>
            </w:pPr>
            <w:r w:rsidRPr="00C43FA5">
              <w:rPr>
                <w:rFonts w:cs="Arial"/>
                <w:sz w:val="16"/>
                <w:szCs w:val="16"/>
              </w:rPr>
              <w:t xml:space="preserve">            4.718 </w:t>
            </w:r>
          </w:p>
        </w:tc>
        <w:tc>
          <w:tcPr>
            <w:tcW w:w="400" w:type="pct"/>
            <w:tcBorders>
              <w:top w:val="nil"/>
              <w:left w:val="nil"/>
              <w:bottom w:val="nil"/>
              <w:right w:val="nil"/>
            </w:tcBorders>
            <w:noWrap/>
            <w:vAlign w:val="bottom"/>
            <w:hideMark/>
          </w:tcPr>
          <w:p w:rsidRPr="00C43FA5" w:rsidR="00B52D66" w:rsidP="00FC2172" w:rsidRDefault="00B52D66" w14:paraId="37FDFB08" w14:textId="77777777">
            <w:pPr>
              <w:jc w:val="right"/>
              <w:rPr>
                <w:rFonts w:cs="Arial"/>
                <w:sz w:val="16"/>
                <w:szCs w:val="16"/>
              </w:rPr>
            </w:pPr>
            <w:r w:rsidRPr="00C43FA5">
              <w:rPr>
                <w:rFonts w:cs="Arial"/>
                <w:sz w:val="16"/>
                <w:szCs w:val="16"/>
              </w:rPr>
              <w:t>23</w:t>
            </w:r>
          </w:p>
        </w:tc>
      </w:tr>
      <w:tr w:rsidRPr="00C43FA5" w:rsidR="00B52D66" w:rsidTr="00C43FA5" w14:paraId="7BFDA78E" w14:textId="77777777">
        <w:trPr>
          <w:trHeight w:val="230"/>
        </w:trPr>
        <w:tc>
          <w:tcPr>
            <w:tcW w:w="1147" w:type="pct"/>
            <w:tcBorders>
              <w:top w:val="nil"/>
              <w:left w:val="nil"/>
              <w:bottom w:val="nil"/>
              <w:right w:val="nil"/>
            </w:tcBorders>
            <w:noWrap/>
            <w:vAlign w:val="bottom"/>
            <w:hideMark/>
          </w:tcPr>
          <w:p w:rsidRPr="00C43FA5" w:rsidR="00B52D66" w:rsidP="00FC2172" w:rsidRDefault="00B52D66" w14:paraId="4377180A" w14:textId="77777777">
            <w:pPr>
              <w:rPr>
                <w:rFonts w:cs="Arial"/>
                <w:sz w:val="16"/>
                <w:szCs w:val="16"/>
              </w:rPr>
            </w:pPr>
            <w:r w:rsidRPr="00C43FA5">
              <w:rPr>
                <w:rFonts w:cs="Arial"/>
                <w:sz w:val="16"/>
                <w:szCs w:val="16"/>
              </w:rPr>
              <w:t xml:space="preserve">   Groen</w:t>
            </w:r>
          </w:p>
        </w:tc>
        <w:tc>
          <w:tcPr>
            <w:tcW w:w="564" w:type="pct"/>
            <w:tcBorders>
              <w:top w:val="nil"/>
              <w:left w:val="nil"/>
              <w:bottom w:val="nil"/>
              <w:right w:val="nil"/>
            </w:tcBorders>
            <w:noWrap/>
            <w:vAlign w:val="bottom"/>
            <w:hideMark/>
          </w:tcPr>
          <w:p w:rsidRPr="00C43FA5" w:rsidR="00B52D66" w:rsidP="00FC2172" w:rsidRDefault="00B52D66" w14:paraId="4AE21E0F" w14:textId="77777777">
            <w:pPr>
              <w:rPr>
                <w:rFonts w:cs="Arial"/>
                <w:sz w:val="16"/>
                <w:szCs w:val="16"/>
              </w:rPr>
            </w:pPr>
            <w:r w:rsidRPr="00C43FA5">
              <w:rPr>
                <w:rFonts w:cs="Arial"/>
                <w:sz w:val="16"/>
                <w:szCs w:val="16"/>
              </w:rPr>
              <w:t xml:space="preserve">            7.613 </w:t>
            </w:r>
          </w:p>
        </w:tc>
        <w:tc>
          <w:tcPr>
            <w:tcW w:w="400" w:type="pct"/>
            <w:tcBorders>
              <w:top w:val="nil"/>
              <w:left w:val="nil"/>
              <w:bottom w:val="nil"/>
              <w:right w:val="nil"/>
            </w:tcBorders>
            <w:noWrap/>
            <w:vAlign w:val="bottom"/>
            <w:hideMark/>
          </w:tcPr>
          <w:p w:rsidRPr="00C43FA5" w:rsidR="00B52D66" w:rsidP="00FC2172" w:rsidRDefault="00B52D66" w14:paraId="5FA80AE7" w14:textId="77777777">
            <w:pPr>
              <w:jc w:val="right"/>
              <w:rPr>
                <w:rFonts w:cs="Arial"/>
                <w:sz w:val="16"/>
                <w:szCs w:val="16"/>
              </w:rPr>
            </w:pPr>
            <w:r w:rsidRPr="00C43FA5">
              <w:rPr>
                <w:rFonts w:cs="Arial"/>
                <w:sz w:val="16"/>
                <w:szCs w:val="16"/>
              </w:rPr>
              <w:t>30</w:t>
            </w:r>
          </w:p>
        </w:tc>
        <w:tc>
          <w:tcPr>
            <w:tcW w:w="564" w:type="pct"/>
            <w:tcBorders>
              <w:top w:val="nil"/>
              <w:left w:val="nil"/>
              <w:bottom w:val="nil"/>
              <w:right w:val="nil"/>
            </w:tcBorders>
            <w:noWrap/>
            <w:vAlign w:val="bottom"/>
            <w:hideMark/>
          </w:tcPr>
          <w:p w:rsidRPr="00C43FA5" w:rsidR="00B52D66" w:rsidP="00FC2172" w:rsidRDefault="00B52D66" w14:paraId="4CB71782" w14:textId="77777777">
            <w:pPr>
              <w:rPr>
                <w:rFonts w:cs="Arial"/>
                <w:sz w:val="16"/>
                <w:szCs w:val="16"/>
              </w:rPr>
            </w:pPr>
            <w:r w:rsidRPr="00C43FA5">
              <w:rPr>
                <w:rFonts w:cs="Arial"/>
                <w:sz w:val="16"/>
                <w:szCs w:val="16"/>
              </w:rPr>
              <w:t xml:space="preserve">            7.081 </w:t>
            </w:r>
          </w:p>
        </w:tc>
        <w:tc>
          <w:tcPr>
            <w:tcW w:w="400" w:type="pct"/>
            <w:tcBorders>
              <w:top w:val="nil"/>
              <w:left w:val="nil"/>
              <w:bottom w:val="nil"/>
              <w:right w:val="nil"/>
            </w:tcBorders>
            <w:noWrap/>
            <w:vAlign w:val="bottom"/>
            <w:hideMark/>
          </w:tcPr>
          <w:p w:rsidRPr="00C43FA5" w:rsidR="00B52D66" w:rsidP="00FC2172" w:rsidRDefault="00B52D66" w14:paraId="270DBD08" w14:textId="77777777">
            <w:pPr>
              <w:jc w:val="right"/>
              <w:rPr>
                <w:rFonts w:cs="Arial"/>
                <w:sz w:val="16"/>
                <w:szCs w:val="16"/>
              </w:rPr>
            </w:pPr>
            <w:r w:rsidRPr="00C43FA5">
              <w:rPr>
                <w:rFonts w:cs="Arial"/>
                <w:sz w:val="16"/>
                <w:szCs w:val="16"/>
              </w:rPr>
              <w:t>29</w:t>
            </w:r>
          </w:p>
        </w:tc>
        <w:tc>
          <w:tcPr>
            <w:tcW w:w="564" w:type="pct"/>
            <w:tcBorders>
              <w:top w:val="nil"/>
              <w:left w:val="nil"/>
              <w:bottom w:val="nil"/>
              <w:right w:val="nil"/>
            </w:tcBorders>
            <w:noWrap/>
            <w:vAlign w:val="bottom"/>
            <w:hideMark/>
          </w:tcPr>
          <w:p w:rsidRPr="00C43FA5" w:rsidR="00B52D66" w:rsidP="00FC2172" w:rsidRDefault="00B52D66" w14:paraId="55199779" w14:textId="77777777">
            <w:pPr>
              <w:rPr>
                <w:rFonts w:cs="Arial"/>
                <w:sz w:val="16"/>
                <w:szCs w:val="16"/>
              </w:rPr>
            </w:pPr>
            <w:r w:rsidRPr="00C43FA5">
              <w:rPr>
                <w:rFonts w:cs="Arial"/>
                <w:sz w:val="16"/>
                <w:szCs w:val="16"/>
              </w:rPr>
              <w:t xml:space="preserve">            6.952 </w:t>
            </w:r>
          </w:p>
        </w:tc>
        <w:tc>
          <w:tcPr>
            <w:tcW w:w="400" w:type="pct"/>
            <w:tcBorders>
              <w:top w:val="nil"/>
              <w:left w:val="nil"/>
              <w:bottom w:val="nil"/>
              <w:right w:val="nil"/>
            </w:tcBorders>
            <w:noWrap/>
            <w:vAlign w:val="bottom"/>
            <w:hideMark/>
          </w:tcPr>
          <w:p w:rsidRPr="00C43FA5" w:rsidR="00B52D66" w:rsidP="00FC2172" w:rsidRDefault="00B52D66" w14:paraId="51D4E64E" w14:textId="77777777">
            <w:pPr>
              <w:jc w:val="right"/>
              <w:rPr>
                <w:rFonts w:cs="Arial"/>
                <w:sz w:val="16"/>
                <w:szCs w:val="16"/>
              </w:rPr>
            </w:pPr>
            <w:r w:rsidRPr="00C43FA5">
              <w:rPr>
                <w:rFonts w:cs="Arial"/>
                <w:sz w:val="16"/>
                <w:szCs w:val="16"/>
              </w:rPr>
              <w:t>29</w:t>
            </w:r>
          </w:p>
        </w:tc>
        <w:tc>
          <w:tcPr>
            <w:tcW w:w="564" w:type="pct"/>
            <w:tcBorders>
              <w:top w:val="nil"/>
              <w:left w:val="nil"/>
              <w:bottom w:val="nil"/>
              <w:right w:val="nil"/>
            </w:tcBorders>
            <w:noWrap/>
            <w:vAlign w:val="bottom"/>
            <w:hideMark/>
          </w:tcPr>
          <w:p w:rsidRPr="00C43FA5" w:rsidR="00B52D66" w:rsidP="00FC2172" w:rsidRDefault="00B52D66" w14:paraId="6F942702" w14:textId="77777777">
            <w:pPr>
              <w:rPr>
                <w:rFonts w:cs="Arial"/>
                <w:sz w:val="16"/>
                <w:szCs w:val="16"/>
              </w:rPr>
            </w:pPr>
            <w:r w:rsidRPr="00C43FA5">
              <w:rPr>
                <w:rFonts w:cs="Arial"/>
                <w:sz w:val="16"/>
                <w:szCs w:val="16"/>
              </w:rPr>
              <w:t xml:space="preserve">            7.172 </w:t>
            </w:r>
          </w:p>
        </w:tc>
        <w:tc>
          <w:tcPr>
            <w:tcW w:w="400" w:type="pct"/>
            <w:tcBorders>
              <w:top w:val="nil"/>
              <w:left w:val="nil"/>
              <w:bottom w:val="nil"/>
              <w:right w:val="nil"/>
            </w:tcBorders>
            <w:noWrap/>
            <w:vAlign w:val="bottom"/>
            <w:hideMark/>
          </w:tcPr>
          <w:p w:rsidRPr="00C43FA5" w:rsidR="00B52D66" w:rsidP="00FC2172" w:rsidRDefault="00B52D66" w14:paraId="21A96E6A" w14:textId="77777777">
            <w:pPr>
              <w:jc w:val="right"/>
              <w:rPr>
                <w:rFonts w:cs="Arial"/>
                <w:sz w:val="16"/>
                <w:szCs w:val="16"/>
              </w:rPr>
            </w:pPr>
            <w:r w:rsidRPr="00C43FA5">
              <w:rPr>
                <w:rFonts w:cs="Arial"/>
                <w:sz w:val="16"/>
                <w:szCs w:val="16"/>
              </w:rPr>
              <w:t>30</w:t>
            </w:r>
          </w:p>
        </w:tc>
      </w:tr>
      <w:tr w:rsidRPr="00C43FA5" w:rsidR="00B52D66" w:rsidTr="00C43FA5" w14:paraId="2FABA70E" w14:textId="77777777">
        <w:trPr>
          <w:trHeight w:val="230"/>
        </w:trPr>
        <w:tc>
          <w:tcPr>
            <w:tcW w:w="1147" w:type="pct"/>
            <w:tcBorders>
              <w:top w:val="nil"/>
              <w:left w:val="nil"/>
              <w:bottom w:val="nil"/>
              <w:right w:val="nil"/>
            </w:tcBorders>
            <w:noWrap/>
            <w:vAlign w:val="bottom"/>
            <w:hideMark/>
          </w:tcPr>
          <w:p w:rsidRPr="00C43FA5" w:rsidR="00B52D66" w:rsidP="00FC2172" w:rsidRDefault="00B52D66" w14:paraId="4D11E4A0" w14:textId="77777777">
            <w:pPr>
              <w:rPr>
                <w:rFonts w:cs="Arial"/>
                <w:sz w:val="16"/>
                <w:szCs w:val="16"/>
              </w:rPr>
            </w:pPr>
            <w:r w:rsidRPr="00C43FA5">
              <w:rPr>
                <w:rFonts w:cs="Arial"/>
                <w:sz w:val="16"/>
                <w:szCs w:val="16"/>
              </w:rPr>
              <w:t xml:space="preserve">   HBR</w:t>
            </w:r>
          </w:p>
        </w:tc>
        <w:tc>
          <w:tcPr>
            <w:tcW w:w="564" w:type="pct"/>
            <w:tcBorders>
              <w:top w:val="nil"/>
              <w:left w:val="nil"/>
              <w:bottom w:val="nil"/>
              <w:right w:val="nil"/>
            </w:tcBorders>
            <w:noWrap/>
            <w:vAlign w:val="bottom"/>
            <w:hideMark/>
          </w:tcPr>
          <w:p w:rsidRPr="00C43FA5" w:rsidR="00B52D66" w:rsidP="00FC2172" w:rsidRDefault="00B52D66" w14:paraId="427CB9A6" w14:textId="77777777">
            <w:pPr>
              <w:rPr>
                <w:rFonts w:cs="Arial"/>
                <w:sz w:val="16"/>
                <w:szCs w:val="16"/>
              </w:rPr>
            </w:pPr>
            <w:r w:rsidRPr="00C43FA5">
              <w:rPr>
                <w:rFonts w:cs="Arial"/>
                <w:sz w:val="16"/>
                <w:szCs w:val="16"/>
              </w:rPr>
              <w:t xml:space="preserve">            2.272 </w:t>
            </w:r>
          </w:p>
        </w:tc>
        <w:tc>
          <w:tcPr>
            <w:tcW w:w="400" w:type="pct"/>
            <w:tcBorders>
              <w:top w:val="nil"/>
              <w:left w:val="nil"/>
              <w:bottom w:val="nil"/>
              <w:right w:val="nil"/>
            </w:tcBorders>
            <w:noWrap/>
            <w:vAlign w:val="bottom"/>
            <w:hideMark/>
          </w:tcPr>
          <w:p w:rsidRPr="00C43FA5" w:rsidR="00B52D66" w:rsidP="00FC2172" w:rsidRDefault="00B52D66" w14:paraId="45EAE1E2" w14:textId="77777777">
            <w:pPr>
              <w:jc w:val="right"/>
              <w:rPr>
                <w:rFonts w:cs="Arial"/>
                <w:sz w:val="16"/>
                <w:szCs w:val="16"/>
              </w:rPr>
            </w:pPr>
            <w:r w:rsidRPr="00C43FA5">
              <w:rPr>
                <w:rFonts w:cs="Arial"/>
                <w:sz w:val="16"/>
                <w:szCs w:val="16"/>
              </w:rPr>
              <w:t>12</w:t>
            </w:r>
          </w:p>
        </w:tc>
        <w:tc>
          <w:tcPr>
            <w:tcW w:w="564" w:type="pct"/>
            <w:tcBorders>
              <w:top w:val="nil"/>
              <w:left w:val="nil"/>
              <w:bottom w:val="nil"/>
              <w:right w:val="nil"/>
            </w:tcBorders>
            <w:noWrap/>
            <w:vAlign w:val="bottom"/>
            <w:hideMark/>
          </w:tcPr>
          <w:p w:rsidRPr="00C43FA5" w:rsidR="00B52D66" w:rsidP="00FC2172" w:rsidRDefault="00B52D66" w14:paraId="5EE86701" w14:textId="77777777">
            <w:pPr>
              <w:rPr>
                <w:rFonts w:cs="Arial"/>
                <w:sz w:val="16"/>
                <w:szCs w:val="16"/>
              </w:rPr>
            </w:pPr>
            <w:r w:rsidRPr="00C43FA5">
              <w:rPr>
                <w:rFonts w:cs="Arial"/>
                <w:sz w:val="16"/>
                <w:szCs w:val="16"/>
              </w:rPr>
              <w:t xml:space="preserve">            2.149 </w:t>
            </w:r>
          </w:p>
        </w:tc>
        <w:tc>
          <w:tcPr>
            <w:tcW w:w="400" w:type="pct"/>
            <w:tcBorders>
              <w:top w:val="nil"/>
              <w:left w:val="nil"/>
              <w:bottom w:val="nil"/>
              <w:right w:val="nil"/>
            </w:tcBorders>
            <w:noWrap/>
            <w:vAlign w:val="bottom"/>
            <w:hideMark/>
          </w:tcPr>
          <w:p w:rsidRPr="00C43FA5" w:rsidR="00B52D66" w:rsidP="00FC2172" w:rsidRDefault="00B52D66" w14:paraId="14C46B48" w14:textId="77777777">
            <w:pPr>
              <w:jc w:val="right"/>
              <w:rPr>
                <w:rFonts w:cs="Arial"/>
                <w:sz w:val="16"/>
                <w:szCs w:val="16"/>
              </w:rPr>
            </w:pPr>
            <w:r w:rsidRPr="00C43FA5">
              <w:rPr>
                <w:rFonts w:cs="Arial"/>
                <w:sz w:val="16"/>
                <w:szCs w:val="16"/>
              </w:rPr>
              <w:t>14</w:t>
            </w:r>
          </w:p>
        </w:tc>
        <w:tc>
          <w:tcPr>
            <w:tcW w:w="564" w:type="pct"/>
            <w:tcBorders>
              <w:top w:val="nil"/>
              <w:left w:val="nil"/>
              <w:bottom w:val="nil"/>
              <w:right w:val="nil"/>
            </w:tcBorders>
            <w:noWrap/>
            <w:vAlign w:val="bottom"/>
            <w:hideMark/>
          </w:tcPr>
          <w:p w:rsidRPr="00C43FA5" w:rsidR="00B52D66" w:rsidP="00FC2172" w:rsidRDefault="00B52D66" w14:paraId="4E545B6F" w14:textId="77777777">
            <w:pPr>
              <w:rPr>
                <w:rFonts w:cs="Arial"/>
                <w:sz w:val="16"/>
                <w:szCs w:val="16"/>
              </w:rPr>
            </w:pPr>
            <w:r w:rsidRPr="00C43FA5">
              <w:rPr>
                <w:rFonts w:cs="Arial"/>
                <w:sz w:val="16"/>
                <w:szCs w:val="16"/>
              </w:rPr>
              <w:t xml:space="preserve">            2.050 </w:t>
            </w:r>
          </w:p>
        </w:tc>
        <w:tc>
          <w:tcPr>
            <w:tcW w:w="400" w:type="pct"/>
            <w:tcBorders>
              <w:top w:val="nil"/>
              <w:left w:val="nil"/>
              <w:bottom w:val="nil"/>
              <w:right w:val="nil"/>
            </w:tcBorders>
            <w:noWrap/>
            <w:vAlign w:val="bottom"/>
            <w:hideMark/>
          </w:tcPr>
          <w:p w:rsidRPr="00C43FA5" w:rsidR="00B52D66" w:rsidP="00FC2172" w:rsidRDefault="00B52D66" w14:paraId="15448698" w14:textId="77777777">
            <w:pPr>
              <w:jc w:val="right"/>
              <w:rPr>
                <w:rFonts w:cs="Arial"/>
                <w:sz w:val="16"/>
                <w:szCs w:val="16"/>
              </w:rPr>
            </w:pPr>
            <w:r w:rsidRPr="00C43FA5">
              <w:rPr>
                <w:rFonts w:cs="Arial"/>
                <w:sz w:val="16"/>
                <w:szCs w:val="16"/>
              </w:rPr>
              <w:t>15</w:t>
            </w:r>
          </w:p>
        </w:tc>
        <w:tc>
          <w:tcPr>
            <w:tcW w:w="564" w:type="pct"/>
            <w:tcBorders>
              <w:top w:val="nil"/>
              <w:left w:val="nil"/>
              <w:bottom w:val="nil"/>
              <w:right w:val="nil"/>
            </w:tcBorders>
            <w:noWrap/>
            <w:vAlign w:val="bottom"/>
            <w:hideMark/>
          </w:tcPr>
          <w:p w:rsidRPr="00C43FA5" w:rsidR="00B52D66" w:rsidP="00FC2172" w:rsidRDefault="00B52D66" w14:paraId="00EC43D3" w14:textId="77777777">
            <w:pPr>
              <w:rPr>
                <w:rFonts w:cs="Arial"/>
                <w:sz w:val="16"/>
                <w:szCs w:val="16"/>
              </w:rPr>
            </w:pPr>
            <w:r w:rsidRPr="00C43FA5">
              <w:rPr>
                <w:rFonts w:cs="Arial"/>
                <w:sz w:val="16"/>
                <w:szCs w:val="16"/>
              </w:rPr>
              <w:t xml:space="preserve">            1.975 </w:t>
            </w:r>
          </w:p>
        </w:tc>
        <w:tc>
          <w:tcPr>
            <w:tcW w:w="400" w:type="pct"/>
            <w:tcBorders>
              <w:top w:val="nil"/>
              <w:left w:val="nil"/>
              <w:bottom w:val="nil"/>
              <w:right w:val="nil"/>
            </w:tcBorders>
            <w:noWrap/>
            <w:vAlign w:val="bottom"/>
            <w:hideMark/>
          </w:tcPr>
          <w:p w:rsidRPr="00C43FA5" w:rsidR="00B52D66" w:rsidP="00FC2172" w:rsidRDefault="00B52D66" w14:paraId="02F29786" w14:textId="77777777">
            <w:pPr>
              <w:jc w:val="right"/>
              <w:rPr>
                <w:rFonts w:cs="Arial"/>
                <w:sz w:val="16"/>
                <w:szCs w:val="16"/>
              </w:rPr>
            </w:pPr>
            <w:r w:rsidRPr="00C43FA5">
              <w:rPr>
                <w:rFonts w:cs="Arial"/>
                <w:sz w:val="16"/>
                <w:szCs w:val="16"/>
              </w:rPr>
              <w:t>14</w:t>
            </w:r>
          </w:p>
        </w:tc>
      </w:tr>
      <w:tr w:rsidRPr="00C43FA5" w:rsidR="00B52D66" w:rsidTr="00C43FA5" w14:paraId="2FD8360D" w14:textId="77777777">
        <w:trPr>
          <w:trHeight w:val="230"/>
        </w:trPr>
        <w:tc>
          <w:tcPr>
            <w:tcW w:w="1147" w:type="pct"/>
            <w:tcBorders>
              <w:top w:val="nil"/>
              <w:left w:val="nil"/>
              <w:bottom w:val="single" w:color="auto" w:sz="4" w:space="0"/>
              <w:right w:val="nil"/>
            </w:tcBorders>
            <w:noWrap/>
            <w:vAlign w:val="bottom"/>
            <w:hideMark/>
          </w:tcPr>
          <w:p w:rsidRPr="00C43FA5" w:rsidR="00B52D66" w:rsidP="00FC2172" w:rsidRDefault="00B52D66" w14:paraId="67348BFA" w14:textId="77777777">
            <w:pPr>
              <w:rPr>
                <w:rFonts w:cs="Arial"/>
                <w:sz w:val="16"/>
                <w:szCs w:val="16"/>
              </w:rPr>
            </w:pPr>
            <w:r w:rsidRPr="00C43FA5">
              <w:rPr>
                <w:rFonts w:cs="Arial"/>
                <w:sz w:val="16"/>
                <w:szCs w:val="16"/>
              </w:rPr>
              <w:t xml:space="preserve">   Z&amp;W</w:t>
            </w:r>
          </w:p>
        </w:tc>
        <w:tc>
          <w:tcPr>
            <w:tcW w:w="564" w:type="pct"/>
            <w:tcBorders>
              <w:top w:val="nil"/>
              <w:left w:val="nil"/>
              <w:bottom w:val="single" w:color="auto" w:sz="4" w:space="0"/>
              <w:right w:val="nil"/>
            </w:tcBorders>
            <w:noWrap/>
            <w:vAlign w:val="bottom"/>
            <w:hideMark/>
          </w:tcPr>
          <w:p w:rsidRPr="00C43FA5" w:rsidR="00B52D66" w:rsidP="00FC2172" w:rsidRDefault="00B52D66" w14:paraId="65EAD6BD" w14:textId="77777777">
            <w:pPr>
              <w:rPr>
                <w:rFonts w:cs="Arial"/>
                <w:sz w:val="16"/>
                <w:szCs w:val="16"/>
              </w:rPr>
            </w:pPr>
            <w:r w:rsidRPr="00C43FA5">
              <w:rPr>
                <w:rFonts w:cs="Arial"/>
                <w:sz w:val="16"/>
                <w:szCs w:val="16"/>
              </w:rPr>
              <w:t xml:space="preserve">          11.776 </w:t>
            </w:r>
          </w:p>
        </w:tc>
        <w:tc>
          <w:tcPr>
            <w:tcW w:w="400" w:type="pct"/>
            <w:tcBorders>
              <w:top w:val="nil"/>
              <w:left w:val="nil"/>
              <w:bottom w:val="single" w:color="auto" w:sz="4" w:space="0"/>
              <w:right w:val="nil"/>
            </w:tcBorders>
            <w:noWrap/>
            <w:vAlign w:val="bottom"/>
            <w:hideMark/>
          </w:tcPr>
          <w:p w:rsidRPr="00C43FA5" w:rsidR="00B52D66" w:rsidP="00FC2172" w:rsidRDefault="00B52D66" w14:paraId="7D3CFBCE" w14:textId="77777777">
            <w:pPr>
              <w:jc w:val="right"/>
              <w:rPr>
                <w:rFonts w:cs="Arial"/>
                <w:sz w:val="16"/>
                <w:szCs w:val="16"/>
              </w:rPr>
            </w:pPr>
            <w:r w:rsidRPr="00C43FA5">
              <w:rPr>
                <w:rFonts w:cs="Arial"/>
                <w:sz w:val="16"/>
                <w:szCs w:val="16"/>
              </w:rPr>
              <w:t>5</w:t>
            </w:r>
          </w:p>
        </w:tc>
        <w:tc>
          <w:tcPr>
            <w:tcW w:w="564" w:type="pct"/>
            <w:tcBorders>
              <w:top w:val="nil"/>
              <w:left w:val="nil"/>
              <w:bottom w:val="single" w:color="auto" w:sz="4" w:space="0"/>
              <w:right w:val="nil"/>
            </w:tcBorders>
            <w:noWrap/>
            <w:vAlign w:val="bottom"/>
            <w:hideMark/>
          </w:tcPr>
          <w:p w:rsidRPr="00C43FA5" w:rsidR="00B52D66" w:rsidP="00FC2172" w:rsidRDefault="00B52D66" w14:paraId="2795044D" w14:textId="77777777">
            <w:pPr>
              <w:rPr>
                <w:rFonts w:cs="Arial"/>
                <w:sz w:val="16"/>
                <w:szCs w:val="16"/>
              </w:rPr>
            </w:pPr>
            <w:r w:rsidRPr="00C43FA5">
              <w:rPr>
                <w:rFonts w:cs="Arial"/>
                <w:sz w:val="16"/>
                <w:szCs w:val="16"/>
              </w:rPr>
              <w:t xml:space="preserve">          11.432 </w:t>
            </w:r>
          </w:p>
        </w:tc>
        <w:tc>
          <w:tcPr>
            <w:tcW w:w="400" w:type="pct"/>
            <w:tcBorders>
              <w:top w:val="nil"/>
              <w:left w:val="nil"/>
              <w:bottom w:val="single" w:color="auto" w:sz="4" w:space="0"/>
              <w:right w:val="nil"/>
            </w:tcBorders>
            <w:noWrap/>
            <w:vAlign w:val="bottom"/>
            <w:hideMark/>
          </w:tcPr>
          <w:p w:rsidRPr="00C43FA5" w:rsidR="00B52D66" w:rsidP="00FC2172" w:rsidRDefault="00B52D66" w14:paraId="1AD2B832" w14:textId="77777777">
            <w:pPr>
              <w:jc w:val="right"/>
              <w:rPr>
                <w:rFonts w:cs="Arial"/>
                <w:sz w:val="16"/>
                <w:szCs w:val="16"/>
              </w:rPr>
            </w:pPr>
            <w:r w:rsidRPr="00C43FA5">
              <w:rPr>
                <w:rFonts w:cs="Arial"/>
                <w:sz w:val="16"/>
                <w:szCs w:val="16"/>
              </w:rPr>
              <w:t>6</w:t>
            </w:r>
          </w:p>
        </w:tc>
        <w:tc>
          <w:tcPr>
            <w:tcW w:w="564" w:type="pct"/>
            <w:tcBorders>
              <w:top w:val="nil"/>
              <w:left w:val="nil"/>
              <w:bottom w:val="single" w:color="auto" w:sz="4" w:space="0"/>
              <w:right w:val="nil"/>
            </w:tcBorders>
            <w:noWrap/>
            <w:vAlign w:val="bottom"/>
            <w:hideMark/>
          </w:tcPr>
          <w:p w:rsidRPr="00C43FA5" w:rsidR="00B52D66" w:rsidP="00FC2172" w:rsidRDefault="00B52D66" w14:paraId="20F10ED0" w14:textId="77777777">
            <w:pPr>
              <w:rPr>
                <w:rFonts w:cs="Arial"/>
                <w:sz w:val="16"/>
                <w:szCs w:val="16"/>
              </w:rPr>
            </w:pPr>
            <w:r w:rsidRPr="00C43FA5">
              <w:rPr>
                <w:rFonts w:cs="Arial"/>
                <w:sz w:val="16"/>
                <w:szCs w:val="16"/>
              </w:rPr>
              <w:t xml:space="preserve">          11.300 </w:t>
            </w:r>
          </w:p>
        </w:tc>
        <w:tc>
          <w:tcPr>
            <w:tcW w:w="400" w:type="pct"/>
            <w:tcBorders>
              <w:top w:val="nil"/>
              <w:left w:val="nil"/>
              <w:bottom w:val="single" w:color="auto" w:sz="4" w:space="0"/>
              <w:right w:val="nil"/>
            </w:tcBorders>
            <w:noWrap/>
            <w:vAlign w:val="bottom"/>
            <w:hideMark/>
          </w:tcPr>
          <w:p w:rsidRPr="00C43FA5" w:rsidR="00B52D66" w:rsidP="00FC2172" w:rsidRDefault="00B52D66" w14:paraId="5AD20153" w14:textId="77777777">
            <w:pPr>
              <w:jc w:val="right"/>
              <w:rPr>
                <w:rFonts w:cs="Arial"/>
                <w:sz w:val="16"/>
                <w:szCs w:val="16"/>
              </w:rPr>
            </w:pPr>
            <w:r w:rsidRPr="00C43FA5">
              <w:rPr>
                <w:rFonts w:cs="Arial"/>
                <w:sz w:val="16"/>
                <w:szCs w:val="16"/>
              </w:rPr>
              <w:t>6</w:t>
            </w:r>
          </w:p>
        </w:tc>
        <w:tc>
          <w:tcPr>
            <w:tcW w:w="564" w:type="pct"/>
            <w:tcBorders>
              <w:top w:val="nil"/>
              <w:left w:val="nil"/>
              <w:bottom w:val="single" w:color="auto" w:sz="4" w:space="0"/>
              <w:right w:val="nil"/>
            </w:tcBorders>
            <w:noWrap/>
            <w:vAlign w:val="bottom"/>
            <w:hideMark/>
          </w:tcPr>
          <w:p w:rsidRPr="00C43FA5" w:rsidR="00B52D66" w:rsidP="00FC2172" w:rsidRDefault="00B52D66" w14:paraId="4589BD18" w14:textId="77777777">
            <w:pPr>
              <w:rPr>
                <w:rFonts w:cs="Arial"/>
                <w:sz w:val="16"/>
                <w:szCs w:val="16"/>
              </w:rPr>
            </w:pPr>
            <w:r w:rsidRPr="00C43FA5">
              <w:rPr>
                <w:rFonts w:cs="Arial"/>
                <w:sz w:val="16"/>
                <w:szCs w:val="16"/>
              </w:rPr>
              <w:t xml:space="preserve">          11.111 </w:t>
            </w:r>
          </w:p>
        </w:tc>
        <w:tc>
          <w:tcPr>
            <w:tcW w:w="400" w:type="pct"/>
            <w:tcBorders>
              <w:top w:val="nil"/>
              <w:left w:val="nil"/>
              <w:bottom w:val="single" w:color="auto" w:sz="4" w:space="0"/>
              <w:right w:val="nil"/>
            </w:tcBorders>
            <w:noWrap/>
            <w:vAlign w:val="bottom"/>
            <w:hideMark/>
          </w:tcPr>
          <w:p w:rsidRPr="00C43FA5" w:rsidR="00B52D66" w:rsidP="00FC2172" w:rsidRDefault="00B52D66" w14:paraId="502829CB" w14:textId="77777777">
            <w:pPr>
              <w:jc w:val="right"/>
              <w:rPr>
                <w:rFonts w:cs="Arial"/>
                <w:sz w:val="16"/>
                <w:szCs w:val="16"/>
              </w:rPr>
            </w:pPr>
            <w:r w:rsidRPr="00C43FA5">
              <w:rPr>
                <w:rFonts w:cs="Arial"/>
                <w:sz w:val="16"/>
                <w:szCs w:val="16"/>
              </w:rPr>
              <w:t>6</w:t>
            </w:r>
          </w:p>
        </w:tc>
      </w:tr>
    </w:tbl>
    <w:p w:rsidRPr="00B52D66" w:rsidR="00B52D66" w:rsidP="00B52D66" w:rsidRDefault="00B52D66" w14:paraId="149E5A61" w14:textId="77777777">
      <w:pPr>
        <w:rPr>
          <w:szCs w:val="18"/>
        </w:rPr>
      </w:pPr>
      <w:r w:rsidRPr="00B52D66">
        <w:rPr>
          <w:i/>
          <w:szCs w:val="18"/>
        </w:rPr>
        <w:t>Bron: DUO (eigen bewerking ROA).</w:t>
      </w:r>
    </w:p>
    <w:p w:rsidRPr="00B52D66" w:rsidR="00B52D66" w:rsidP="00B52D66" w:rsidRDefault="00B52D66" w14:paraId="19FE03EC" w14:textId="77777777">
      <w:pPr>
        <w:spacing w:after="160" w:line="259" w:lineRule="auto"/>
        <w:rPr>
          <w:rFonts w:eastAsiaTheme="minorHAnsi" w:cstheme="minorBidi"/>
          <w:szCs w:val="18"/>
          <w:lang w:eastAsia="en-US"/>
        </w:rPr>
      </w:pPr>
      <w:r w:rsidRPr="00B52D66">
        <w:rPr>
          <w:rFonts w:eastAsiaTheme="minorHAnsi" w:cstheme="minorBidi"/>
          <w:szCs w:val="18"/>
          <w:lang w:eastAsia="en-US"/>
        </w:rPr>
        <w:br w:type="page"/>
      </w:r>
    </w:p>
    <w:p w:rsidRPr="00B52D66" w:rsidR="00B52D66" w:rsidP="00C43FA5" w:rsidRDefault="00322D6C" w14:paraId="40E92F8E" w14:textId="69E021B2">
      <w:r>
        <w:rPr>
          <w:rFonts w:eastAsiaTheme="minorHAnsi"/>
        </w:rPr>
        <w:lastRenderedPageBreak/>
        <w:t>Figuur</w:t>
      </w:r>
      <w:r w:rsidRPr="00B52D66">
        <w:rPr>
          <w:rFonts w:eastAsiaTheme="minorHAnsi"/>
        </w:rPr>
        <w:t xml:space="preserve"> </w:t>
      </w:r>
      <w:r>
        <w:rPr>
          <w:rFonts w:eastAsiaTheme="minorHAnsi"/>
        </w:rPr>
        <w:t>B</w:t>
      </w:r>
      <w:r w:rsidR="005A36F0">
        <w:rPr>
          <w:rFonts w:eastAsiaTheme="minorHAnsi"/>
        </w:rPr>
        <w:t>3</w:t>
      </w:r>
      <w:r w:rsidRPr="00B52D66" w:rsidR="00B52D66">
        <w:rPr>
          <w:rFonts w:eastAsiaTheme="minorHAnsi"/>
        </w:rPr>
        <w:t>.1</w:t>
      </w:r>
      <w:r>
        <w:rPr>
          <w:rFonts w:eastAsiaTheme="minorHAnsi"/>
        </w:rPr>
        <w:t>4</w:t>
      </w:r>
      <w:r w:rsidRPr="00B52D66" w:rsidR="00B52D66">
        <w:rPr>
          <w:rFonts w:eastAsiaTheme="minorHAnsi"/>
        </w:rPr>
        <w:t xml:space="preserve">. Doorstroom van vmbo vierdejaarsleerlingen met tenminste 1 technisch keuzevak naar mbo-opleiding, naar techniek-indicatie: </w:t>
      </w:r>
      <w:r w:rsidRPr="00B52D66" w:rsidR="00B52D66">
        <w:t>schooljaar 2019/2020 tot 2022/2023</w:t>
      </w:r>
    </w:p>
    <w:p w:rsidRPr="00B52D66" w:rsidR="00B52D66" w:rsidP="00B52D66" w:rsidRDefault="00B52D66" w14:paraId="4CD2249D" w14:textId="77777777">
      <w:pPr>
        <w:rPr>
          <w:rFonts w:eastAsiaTheme="minorHAnsi"/>
          <w:szCs w:val="18"/>
          <w:lang w:eastAsia="en-US"/>
        </w:rPr>
      </w:pPr>
    </w:p>
    <w:p w:rsidRPr="00B52D66" w:rsidR="00B52D66" w:rsidP="00B52D66" w:rsidRDefault="00B52D66" w14:paraId="34D3868F" w14:textId="77777777">
      <w:pPr>
        <w:rPr>
          <w:szCs w:val="18"/>
        </w:rPr>
      </w:pPr>
      <w:r w:rsidRPr="00B52D66">
        <w:rPr>
          <w:rFonts w:eastAsiaTheme="minorHAnsi"/>
          <w:noProof/>
          <w:szCs w:val="18"/>
          <w:lang w:eastAsia="en-US"/>
        </w:rPr>
        <w:drawing>
          <wp:inline distT="0" distB="0" distL="0" distR="0" wp14:anchorId="70A134D0" wp14:editId="73740473">
            <wp:extent cx="6334330" cy="4608576"/>
            <wp:effectExtent l="0" t="0" r="0" b="1905"/>
            <wp:docPr id="13" name="Picture 13" descr="A graph with blue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with blue lines and numbers&#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6355070" cy="4623665"/>
                    </a:xfrm>
                    <a:prstGeom prst="rect">
                      <a:avLst/>
                    </a:prstGeom>
                  </pic:spPr>
                </pic:pic>
              </a:graphicData>
            </a:graphic>
          </wp:inline>
        </w:drawing>
      </w:r>
      <w:r w:rsidRPr="00B52D66">
        <w:rPr>
          <w:rFonts w:eastAsiaTheme="minorHAnsi"/>
          <w:szCs w:val="18"/>
          <w:lang w:eastAsia="en-US"/>
        </w:rPr>
        <w:br/>
      </w:r>
      <w:r w:rsidRPr="00B52D66">
        <w:rPr>
          <w:i/>
          <w:szCs w:val="18"/>
        </w:rPr>
        <w:t>Bron: DUO (eigen bewerking ROA).</w:t>
      </w:r>
    </w:p>
    <w:p w:rsidRPr="00B52D66" w:rsidR="00B52D66" w:rsidP="00B52D66" w:rsidRDefault="00B52D66" w14:paraId="31DDE887" w14:textId="77777777">
      <w:pPr>
        <w:rPr>
          <w:rFonts w:eastAsiaTheme="minorHAnsi"/>
          <w:szCs w:val="18"/>
          <w:lang w:eastAsia="en-US"/>
        </w:rPr>
      </w:pPr>
    </w:p>
    <w:p w:rsidRPr="00B52D66" w:rsidR="00B52D66" w:rsidP="00B52D66" w:rsidRDefault="00B52D66" w14:paraId="292E4EF2" w14:textId="77777777">
      <w:pPr>
        <w:spacing w:after="160" w:line="259" w:lineRule="auto"/>
        <w:rPr>
          <w:rFonts w:eastAsiaTheme="minorHAnsi" w:cstheme="minorBidi"/>
          <w:szCs w:val="18"/>
          <w:lang w:eastAsia="en-US"/>
        </w:rPr>
      </w:pPr>
      <w:r w:rsidRPr="00B52D66">
        <w:rPr>
          <w:rFonts w:eastAsiaTheme="minorHAnsi" w:cstheme="minorBidi"/>
          <w:szCs w:val="18"/>
          <w:lang w:eastAsia="en-US"/>
        </w:rPr>
        <w:br w:type="page"/>
      </w:r>
    </w:p>
    <w:p w:rsidRPr="00B52D66" w:rsidR="00B52D66" w:rsidP="00C43FA5" w:rsidRDefault="00322D6C" w14:paraId="709773D3" w14:textId="4861752B">
      <w:pPr>
        <w:rPr>
          <w:rFonts w:eastAsiaTheme="minorHAnsi"/>
        </w:rPr>
      </w:pPr>
      <w:r>
        <w:rPr>
          <w:rFonts w:eastAsiaTheme="minorHAnsi"/>
        </w:rPr>
        <w:lastRenderedPageBreak/>
        <w:t>Tabel</w:t>
      </w:r>
      <w:r w:rsidRPr="00B52D66">
        <w:rPr>
          <w:rFonts w:eastAsiaTheme="minorHAnsi"/>
        </w:rPr>
        <w:t xml:space="preserve"> </w:t>
      </w:r>
      <w:r>
        <w:rPr>
          <w:rFonts w:eastAsiaTheme="minorHAnsi"/>
        </w:rPr>
        <w:t>B</w:t>
      </w:r>
      <w:r w:rsidR="005A36F0">
        <w:rPr>
          <w:rFonts w:eastAsiaTheme="minorHAnsi"/>
        </w:rPr>
        <w:t>3</w:t>
      </w:r>
      <w:r w:rsidRPr="00B52D66" w:rsidR="00B52D66">
        <w:rPr>
          <w:rFonts w:eastAsiaTheme="minorHAnsi"/>
        </w:rPr>
        <w:t>.</w:t>
      </w:r>
      <w:r>
        <w:rPr>
          <w:rFonts w:eastAsiaTheme="minorHAnsi"/>
        </w:rPr>
        <w:t>20</w:t>
      </w:r>
      <w:r w:rsidRPr="00B52D66" w:rsidR="00B52D66">
        <w:rPr>
          <w:rFonts w:eastAsiaTheme="minorHAnsi"/>
        </w:rPr>
        <w:t xml:space="preserve"> Aandeel meisjes dat vanuit vmbo instroomt naar een technische mbo-opleiding: </w:t>
      </w:r>
      <w:r w:rsidRPr="00B52D66" w:rsidR="00B52D66">
        <w:t>schooljaar 2019/2020 tot 2022/2023</w:t>
      </w:r>
    </w:p>
    <w:tbl>
      <w:tblPr>
        <w:tblW w:w="9323" w:type="dxa"/>
        <w:tblLook w:val="04A0" w:firstRow="1" w:lastRow="0" w:firstColumn="1" w:lastColumn="0" w:noHBand="0" w:noVBand="1"/>
      </w:tblPr>
      <w:tblGrid>
        <w:gridCol w:w="3402"/>
        <w:gridCol w:w="1481"/>
        <w:gridCol w:w="1480"/>
        <w:gridCol w:w="1480"/>
        <w:gridCol w:w="1480"/>
      </w:tblGrid>
      <w:tr w:rsidRPr="00B52D66" w:rsidR="00B52D66" w:rsidTr="00FC2172" w14:paraId="2CF10DD2" w14:textId="77777777">
        <w:trPr>
          <w:trHeight w:val="290"/>
        </w:trPr>
        <w:tc>
          <w:tcPr>
            <w:tcW w:w="3402" w:type="dxa"/>
            <w:tcBorders>
              <w:top w:val="nil"/>
              <w:left w:val="nil"/>
              <w:bottom w:val="single" w:color="auto" w:sz="4" w:space="0"/>
              <w:right w:val="nil"/>
            </w:tcBorders>
            <w:noWrap/>
            <w:vAlign w:val="bottom"/>
            <w:hideMark/>
          </w:tcPr>
          <w:p w:rsidRPr="00B52D66" w:rsidR="00B52D66" w:rsidP="00FC2172" w:rsidRDefault="00B52D66" w14:paraId="7D4364A7" w14:textId="77777777">
            <w:pPr>
              <w:spacing w:line="240" w:lineRule="auto"/>
              <w:rPr>
                <w:rFonts w:cs="Arial"/>
                <w:szCs w:val="18"/>
                <w:lang w:eastAsia="en-GB"/>
              </w:rPr>
            </w:pPr>
            <w:r w:rsidRPr="00B52D66">
              <w:rPr>
                <w:rFonts w:cs="Arial"/>
                <w:szCs w:val="18"/>
                <w:lang w:eastAsia="en-GB"/>
              </w:rPr>
              <w:t> </w:t>
            </w:r>
          </w:p>
        </w:tc>
        <w:tc>
          <w:tcPr>
            <w:tcW w:w="1481" w:type="dxa"/>
            <w:tcBorders>
              <w:top w:val="single" w:color="auto" w:sz="4" w:space="0"/>
              <w:left w:val="nil"/>
              <w:bottom w:val="single" w:color="auto" w:sz="4" w:space="0"/>
              <w:right w:val="nil"/>
            </w:tcBorders>
            <w:noWrap/>
            <w:vAlign w:val="bottom"/>
            <w:hideMark/>
          </w:tcPr>
          <w:p w:rsidRPr="00B52D66" w:rsidR="00B52D66" w:rsidP="00FC2172" w:rsidRDefault="00B52D66" w14:paraId="1D795661" w14:textId="77777777">
            <w:pPr>
              <w:spacing w:line="240" w:lineRule="auto"/>
              <w:jc w:val="center"/>
              <w:rPr>
                <w:rFonts w:cs="Arial"/>
                <w:b/>
                <w:bCs/>
                <w:szCs w:val="18"/>
                <w:lang w:val="en-GB" w:eastAsia="en-GB"/>
              </w:rPr>
            </w:pPr>
            <w:r w:rsidRPr="00B52D66">
              <w:rPr>
                <w:rFonts w:cs="Arial"/>
                <w:b/>
                <w:bCs/>
                <w:szCs w:val="18"/>
                <w:lang w:val="en-GB" w:eastAsia="en-GB"/>
              </w:rPr>
              <w:t>2019/2020</w:t>
            </w:r>
          </w:p>
        </w:tc>
        <w:tc>
          <w:tcPr>
            <w:tcW w:w="1480" w:type="dxa"/>
            <w:tcBorders>
              <w:top w:val="single" w:color="auto" w:sz="4" w:space="0"/>
              <w:left w:val="nil"/>
              <w:bottom w:val="single" w:color="auto" w:sz="4" w:space="0"/>
              <w:right w:val="nil"/>
            </w:tcBorders>
            <w:noWrap/>
            <w:vAlign w:val="bottom"/>
            <w:hideMark/>
          </w:tcPr>
          <w:p w:rsidRPr="00B52D66" w:rsidR="00B52D66" w:rsidP="00FC2172" w:rsidRDefault="00B52D66" w14:paraId="52F37684" w14:textId="77777777">
            <w:pPr>
              <w:spacing w:line="240" w:lineRule="auto"/>
              <w:jc w:val="center"/>
              <w:rPr>
                <w:rFonts w:cs="Arial"/>
                <w:b/>
                <w:bCs/>
                <w:szCs w:val="18"/>
                <w:lang w:val="en-GB" w:eastAsia="en-GB"/>
              </w:rPr>
            </w:pPr>
            <w:r w:rsidRPr="00B52D66">
              <w:rPr>
                <w:rFonts w:cs="Arial"/>
                <w:b/>
                <w:bCs/>
                <w:szCs w:val="18"/>
                <w:lang w:val="en-GB" w:eastAsia="en-GB"/>
              </w:rPr>
              <w:t>2020/2021</w:t>
            </w:r>
          </w:p>
        </w:tc>
        <w:tc>
          <w:tcPr>
            <w:tcW w:w="1480" w:type="dxa"/>
            <w:tcBorders>
              <w:top w:val="single" w:color="auto" w:sz="4" w:space="0"/>
              <w:left w:val="nil"/>
              <w:bottom w:val="single" w:color="auto" w:sz="4" w:space="0"/>
              <w:right w:val="nil"/>
            </w:tcBorders>
            <w:noWrap/>
            <w:vAlign w:val="bottom"/>
            <w:hideMark/>
          </w:tcPr>
          <w:p w:rsidRPr="00B52D66" w:rsidR="00B52D66" w:rsidP="00FC2172" w:rsidRDefault="00B52D66" w14:paraId="61169765" w14:textId="77777777">
            <w:pPr>
              <w:spacing w:line="240" w:lineRule="auto"/>
              <w:jc w:val="center"/>
              <w:rPr>
                <w:rFonts w:cs="Arial"/>
                <w:b/>
                <w:bCs/>
                <w:szCs w:val="18"/>
                <w:lang w:val="en-GB" w:eastAsia="en-GB"/>
              </w:rPr>
            </w:pPr>
            <w:r w:rsidRPr="00B52D66">
              <w:rPr>
                <w:rFonts w:cs="Arial"/>
                <w:b/>
                <w:bCs/>
                <w:szCs w:val="18"/>
                <w:lang w:val="en-GB" w:eastAsia="en-GB"/>
              </w:rPr>
              <w:t>2021/2022</w:t>
            </w:r>
          </w:p>
        </w:tc>
        <w:tc>
          <w:tcPr>
            <w:tcW w:w="1480" w:type="dxa"/>
            <w:tcBorders>
              <w:top w:val="single" w:color="auto" w:sz="4" w:space="0"/>
              <w:left w:val="nil"/>
              <w:bottom w:val="single" w:color="auto" w:sz="4" w:space="0"/>
              <w:right w:val="nil"/>
            </w:tcBorders>
            <w:noWrap/>
            <w:vAlign w:val="bottom"/>
            <w:hideMark/>
          </w:tcPr>
          <w:p w:rsidRPr="00B52D66" w:rsidR="00B52D66" w:rsidP="00FC2172" w:rsidRDefault="00B52D66" w14:paraId="3ABAD7AE" w14:textId="77777777">
            <w:pPr>
              <w:spacing w:line="240" w:lineRule="auto"/>
              <w:jc w:val="center"/>
              <w:rPr>
                <w:rFonts w:cs="Arial"/>
                <w:b/>
                <w:bCs/>
                <w:szCs w:val="18"/>
                <w:lang w:val="en-GB" w:eastAsia="en-GB"/>
              </w:rPr>
            </w:pPr>
            <w:r w:rsidRPr="00B52D66">
              <w:rPr>
                <w:rFonts w:cs="Arial"/>
                <w:b/>
                <w:bCs/>
                <w:szCs w:val="18"/>
                <w:lang w:val="en-GB" w:eastAsia="en-GB"/>
              </w:rPr>
              <w:t>2022/2023</w:t>
            </w:r>
          </w:p>
        </w:tc>
      </w:tr>
      <w:tr w:rsidRPr="00B52D66" w:rsidR="00B52D66" w:rsidTr="00FC2172" w14:paraId="642C974C" w14:textId="77777777">
        <w:trPr>
          <w:trHeight w:val="290"/>
        </w:trPr>
        <w:tc>
          <w:tcPr>
            <w:tcW w:w="3402" w:type="dxa"/>
            <w:tcBorders>
              <w:top w:val="nil"/>
              <w:left w:val="nil"/>
              <w:bottom w:val="nil"/>
              <w:right w:val="nil"/>
            </w:tcBorders>
            <w:noWrap/>
            <w:vAlign w:val="bottom"/>
            <w:hideMark/>
          </w:tcPr>
          <w:p w:rsidRPr="00B52D66" w:rsidR="00B52D66" w:rsidP="00FC2172" w:rsidRDefault="00B52D66" w14:paraId="36AC0270" w14:textId="77777777">
            <w:pPr>
              <w:spacing w:line="240" w:lineRule="auto"/>
              <w:rPr>
                <w:rFonts w:cs="Arial"/>
                <w:b/>
                <w:bCs/>
                <w:szCs w:val="18"/>
                <w:lang w:val="en-GB" w:eastAsia="en-GB"/>
              </w:rPr>
            </w:pPr>
            <w:r w:rsidRPr="00B52D66">
              <w:rPr>
                <w:rFonts w:cs="Arial"/>
                <w:b/>
                <w:bCs/>
                <w:szCs w:val="18"/>
                <w:lang w:val="en-GB" w:eastAsia="en-GB"/>
              </w:rPr>
              <w:t>vmbo technische profielen</w:t>
            </w:r>
          </w:p>
        </w:tc>
        <w:tc>
          <w:tcPr>
            <w:tcW w:w="1481" w:type="dxa"/>
            <w:tcBorders>
              <w:top w:val="nil"/>
              <w:left w:val="nil"/>
              <w:bottom w:val="nil"/>
              <w:right w:val="nil"/>
            </w:tcBorders>
            <w:noWrap/>
            <w:vAlign w:val="bottom"/>
            <w:hideMark/>
          </w:tcPr>
          <w:p w:rsidRPr="00B52D66" w:rsidR="00B52D66" w:rsidP="00FC2172" w:rsidRDefault="00B52D66" w14:paraId="7FE651A9" w14:textId="77777777">
            <w:pPr>
              <w:spacing w:line="240" w:lineRule="auto"/>
              <w:rPr>
                <w:rFonts w:cs="Arial"/>
                <w:b/>
                <w:bCs/>
                <w:szCs w:val="18"/>
                <w:lang w:val="en-GB" w:eastAsia="en-GB"/>
              </w:rPr>
            </w:pPr>
          </w:p>
        </w:tc>
        <w:tc>
          <w:tcPr>
            <w:tcW w:w="1480" w:type="dxa"/>
            <w:tcBorders>
              <w:top w:val="nil"/>
              <w:left w:val="nil"/>
              <w:bottom w:val="nil"/>
              <w:right w:val="nil"/>
            </w:tcBorders>
            <w:noWrap/>
            <w:vAlign w:val="bottom"/>
            <w:hideMark/>
          </w:tcPr>
          <w:p w:rsidRPr="00B52D66" w:rsidR="00B52D66" w:rsidP="00FC2172" w:rsidRDefault="00B52D66" w14:paraId="41D7AB78" w14:textId="77777777">
            <w:pPr>
              <w:spacing w:line="240" w:lineRule="auto"/>
              <w:rPr>
                <w:rFonts w:cs="Arial"/>
                <w:szCs w:val="18"/>
                <w:lang w:val="en-GB" w:eastAsia="en-GB"/>
              </w:rPr>
            </w:pPr>
          </w:p>
        </w:tc>
        <w:tc>
          <w:tcPr>
            <w:tcW w:w="1480" w:type="dxa"/>
            <w:tcBorders>
              <w:top w:val="nil"/>
              <w:left w:val="nil"/>
              <w:bottom w:val="nil"/>
              <w:right w:val="nil"/>
            </w:tcBorders>
            <w:noWrap/>
            <w:vAlign w:val="bottom"/>
            <w:hideMark/>
          </w:tcPr>
          <w:p w:rsidRPr="00B52D66" w:rsidR="00B52D66" w:rsidP="00FC2172" w:rsidRDefault="00B52D66" w14:paraId="09D9E3CD" w14:textId="77777777">
            <w:pPr>
              <w:spacing w:line="240" w:lineRule="auto"/>
              <w:rPr>
                <w:rFonts w:cs="Arial"/>
                <w:szCs w:val="18"/>
                <w:lang w:val="en-GB" w:eastAsia="en-GB"/>
              </w:rPr>
            </w:pPr>
          </w:p>
        </w:tc>
        <w:tc>
          <w:tcPr>
            <w:tcW w:w="1480" w:type="dxa"/>
            <w:tcBorders>
              <w:top w:val="nil"/>
              <w:left w:val="nil"/>
              <w:bottom w:val="nil"/>
              <w:right w:val="nil"/>
            </w:tcBorders>
            <w:noWrap/>
            <w:vAlign w:val="bottom"/>
            <w:hideMark/>
          </w:tcPr>
          <w:p w:rsidRPr="00B52D66" w:rsidR="00B52D66" w:rsidP="00FC2172" w:rsidRDefault="00B52D66" w14:paraId="0704F4B6" w14:textId="77777777">
            <w:pPr>
              <w:spacing w:line="240" w:lineRule="auto"/>
              <w:rPr>
                <w:rFonts w:cs="Arial"/>
                <w:szCs w:val="18"/>
                <w:lang w:val="en-GB" w:eastAsia="en-GB"/>
              </w:rPr>
            </w:pPr>
          </w:p>
        </w:tc>
      </w:tr>
      <w:tr w:rsidRPr="00B52D66" w:rsidR="00B52D66" w:rsidTr="00FC2172" w14:paraId="5162DF44" w14:textId="77777777">
        <w:trPr>
          <w:trHeight w:val="290"/>
        </w:trPr>
        <w:tc>
          <w:tcPr>
            <w:tcW w:w="3402" w:type="dxa"/>
            <w:tcBorders>
              <w:top w:val="nil"/>
              <w:left w:val="nil"/>
              <w:bottom w:val="nil"/>
              <w:right w:val="nil"/>
            </w:tcBorders>
            <w:noWrap/>
            <w:hideMark/>
          </w:tcPr>
          <w:p w:rsidRPr="00B52D66" w:rsidR="00B52D66" w:rsidP="00FC2172" w:rsidRDefault="00B52D66" w14:paraId="1DB52CC2" w14:textId="77777777">
            <w:pPr>
              <w:spacing w:line="240" w:lineRule="auto"/>
              <w:rPr>
                <w:rFonts w:cs="Arial"/>
                <w:szCs w:val="18"/>
                <w:lang w:val="en-GB" w:eastAsia="en-GB"/>
              </w:rPr>
            </w:pPr>
            <w:r w:rsidRPr="00B52D66">
              <w:rPr>
                <w:rFonts w:cs="Arial"/>
                <w:szCs w:val="18"/>
                <w:lang w:val="en-GB" w:eastAsia="en-GB"/>
              </w:rPr>
              <w:t xml:space="preserve">   BWI</w:t>
            </w:r>
          </w:p>
        </w:tc>
        <w:tc>
          <w:tcPr>
            <w:tcW w:w="1481" w:type="dxa"/>
            <w:tcBorders>
              <w:top w:val="nil"/>
              <w:left w:val="nil"/>
              <w:bottom w:val="nil"/>
              <w:right w:val="nil"/>
            </w:tcBorders>
            <w:noWrap/>
            <w:vAlign w:val="bottom"/>
            <w:hideMark/>
          </w:tcPr>
          <w:p w:rsidRPr="00B52D66" w:rsidR="00B52D66" w:rsidP="00FC2172" w:rsidRDefault="00B52D66" w14:paraId="4A82C267" w14:textId="77777777">
            <w:pPr>
              <w:spacing w:line="240" w:lineRule="auto"/>
              <w:jc w:val="center"/>
              <w:rPr>
                <w:rFonts w:cs="Arial"/>
                <w:szCs w:val="18"/>
                <w:lang w:val="en-GB" w:eastAsia="en-GB"/>
              </w:rPr>
            </w:pPr>
            <w:r w:rsidRPr="00B52D66">
              <w:rPr>
                <w:rFonts w:cs="Arial"/>
                <w:szCs w:val="18"/>
                <w:lang w:val="en-GB" w:eastAsia="en-GB"/>
              </w:rPr>
              <w:t>8,1</w:t>
            </w:r>
          </w:p>
        </w:tc>
        <w:tc>
          <w:tcPr>
            <w:tcW w:w="1480" w:type="dxa"/>
            <w:tcBorders>
              <w:top w:val="nil"/>
              <w:left w:val="nil"/>
              <w:bottom w:val="nil"/>
              <w:right w:val="nil"/>
            </w:tcBorders>
            <w:noWrap/>
            <w:vAlign w:val="bottom"/>
            <w:hideMark/>
          </w:tcPr>
          <w:p w:rsidRPr="00B52D66" w:rsidR="00B52D66" w:rsidP="00FC2172" w:rsidRDefault="00B52D66" w14:paraId="1568BE8A" w14:textId="77777777">
            <w:pPr>
              <w:spacing w:line="240" w:lineRule="auto"/>
              <w:jc w:val="center"/>
              <w:rPr>
                <w:rFonts w:cs="Arial"/>
                <w:szCs w:val="18"/>
                <w:lang w:val="en-GB" w:eastAsia="en-GB"/>
              </w:rPr>
            </w:pPr>
            <w:r w:rsidRPr="00B52D66">
              <w:rPr>
                <w:rFonts w:cs="Arial"/>
                <w:szCs w:val="18"/>
                <w:lang w:val="en-GB" w:eastAsia="en-GB"/>
              </w:rPr>
              <w:t>7,1</w:t>
            </w:r>
          </w:p>
        </w:tc>
        <w:tc>
          <w:tcPr>
            <w:tcW w:w="1480" w:type="dxa"/>
            <w:tcBorders>
              <w:top w:val="nil"/>
              <w:left w:val="nil"/>
              <w:bottom w:val="nil"/>
              <w:right w:val="nil"/>
            </w:tcBorders>
            <w:noWrap/>
            <w:vAlign w:val="bottom"/>
            <w:hideMark/>
          </w:tcPr>
          <w:p w:rsidRPr="00B52D66" w:rsidR="00B52D66" w:rsidP="00FC2172" w:rsidRDefault="00B52D66" w14:paraId="6E6274CB" w14:textId="77777777">
            <w:pPr>
              <w:spacing w:line="240" w:lineRule="auto"/>
              <w:jc w:val="center"/>
              <w:rPr>
                <w:rFonts w:cs="Arial"/>
                <w:szCs w:val="18"/>
                <w:lang w:val="en-GB" w:eastAsia="en-GB"/>
              </w:rPr>
            </w:pPr>
            <w:r w:rsidRPr="00B52D66">
              <w:rPr>
                <w:rFonts w:cs="Arial"/>
                <w:szCs w:val="18"/>
                <w:lang w:val="en-GB" w:eastAsia="en-GB"/>
              </w:rPr>
              <w:t>8,2</w:t>
            </w:r>
          </w:p>
        </w:tc>
        <w:tc>
          <w:tcPr>
            <w:tcW w:w="1480" w:type="dxa"/>
            <w:tcBorders>
              <w:top w:val="nil"/>
              <w:left w:val="nil"/>
              <w:bottom w:val="nil"/>
              <w:right w:val="nil"/>
            </w:tcBorders>
            <w:noWrap/>
            <w:vAlign w:val="bottom"/>
            <w:hideMark/>
          </w:tcPr>
          <w:p w:rsidRPr="00B52D66" w:rsidR="00B52D66" w:rsidP="00FC2172" w:rsidRDefault="00B52D66" w14:paraId="52278695" w14:textId="77777777">
            <w:pPr>
              <w:spacing w:line="240" w:lineRule="auto"/>
              <w:jc w:val="center"/>
              <w:rPr>
                <w:rFonts w:cs="Arial"/>
                <w:szCs w:val="18"/>
                <w:lang w:val="en-GB" w:eastAsia="en-GB"/>
              </w:rPr>
            </w:pPr>
            <w:r w:rsidRPr="00B52D66">
              <w:rPr>
                <w:rFonts w:cs="Arial"/>
                <w:szCs w:val="18"/>
                <w:lang w:val="en-GB" w:eastAsia="en-GB"/>
              </w:rPr>
              <w:t>7,3</w:t>
            </w:r>
          </w:p>
        </w:tc>
      </w:tr>
      <w:tr w:rsidRPr="00B52D66" w:rsidR="00B52D66" w:rsidTr="00FC2172" w14:paraId="009D0A44" w14:textId="77777777">
        <w:trPr>
          <w:trHeight w:val="290"/>
        </w:trPr>
        <w:tc>
          <w:tcPr>
            <w:tcW w:w="3402" w:type="dxa"/>
            <w:tcBorders>
              <w:top w:val="nil"/>
              <w:left w:val="nil"/>
              <w:bottom w:val="nil"/>
              <w:right w:val="nil"/>
            </w:tcBorders>
            <w:noWrap/>
            <w:hideMark/>
          </w:tcPr>
          <w:p w:rsidRPr="00B52D66" w:rsidR="00B52D66" w:rsidP="00FC2172" w:rsidRDefault="00B52D66" w14:paraId="591C0513" w14:textId="77777777">
            <w:pPr>
              <w:spacing w:line="240" w:lineRule="auto"/>
              <w:rPr>
                <w:rFonts w:cs="Arial"/>
                <w:szCs w:val="18"/>
                <w:lang w:val="en-GB" w:eastAsia="en-GB"/>
              </w:rPr>
            </w:pPr>
            <w:r w:rsidRPr="00B52D66">
              <w:rPr>
                <w:rFonts w:cs="Arial"/>
                <w:szCs w:val="18"/>
                <w:lang w:val="en-GB" w:eastAsia="en-GB"/>
              </w:rPr>
              <w:t xml:space="preserve">   MaT</w:t>
            </w:r>
          </w:p>
        </w:tc>
        <w:tc>
          <w:tcPr>
            <w:tcW w:w="1481" w:type="dxa"/>
            <w:tcBorders>
              <w:top w:val="nil"/>
              <w:left w:val="nil"/>
              <w:bottom w:val="nil"/>
              <w:right w:val="nil"/>
            </w:tcBorders>
            <w:noWrap/>
            <w:vAlign w:val="bottom"/>
            <w:hideMark/>
          </w:tcPr>
          <w:p w:rsidRPr="00B52D66" w:rsidR="00B52D66" w:rsidP="00FC2172" w:rsidRDefault="00B52D66" w14:paraId="22FB8DC9" w14:textId="77777777">
            <w:pPr>
              <w:spacing w:line="240" w:lineRule="auto"/>
              <w:jc w:val="center"/>
              <w:rPr>
                <w:rFonts w:cs="Arial"/>
                <w:szCs w:val="18"/>
                <w:lang w:val="en-GB" w:eastAsia="en-GB"/>
              </w:rPr>
            </w:pPr>
            <w:r w:rsidRPr="00B52D66">
              <w:rPr>
                <w:rFonts w:cs="Arial"/>
                <w:szCs w:val="18"/>
                <w:lang w:val="en-GB" w:eastAsia="en-GB"/>
              </w:rPr>
              <w:t>2,0</w:t>
            </w:r>
          </w:p>
        </w:tc>
        <w:tc>
          <w:tcPr>
            <w:tcW w:w="1480" w:type="dxa"/>
            <w:tcBorders>
              <w:top w:val="nil"/>
              <w:left w:val="nil"/>
              <w:bottom w:val="nil"/>
              <w:right w:val="nil"/>
            </w:tcBorders>
            <w:noWrap/>
            <w:vAlign w:val="bottom"/>
            <w:hideMark/>
          </w:tcPr>
          <w:p w:rsidRPr="00B52D66" w:rsidR="00B52D66" w:rsidP="00FC2172" w:rsidRDefault="00B52D66" w14:paraId="277B105E" w14:textId="77777777">
            <w:pPr>
              <w:spacing w:line="240" w:lineRule="auto"/>
              <w:jc w:val="center"/>
              <w:rPr>
                <w:rFonts w:cs="Arial"/>
                <w:szCs w:val="18"/>
                <w:lang w:val="en-GB" w:eastAsia="en-GB"/>
              </w:rPr>
            </w:pPr>
            <w:r w:rsidRPr="00B52D66">
              <w:rPr>
                <w:rFonts w:cs="Arial"/>
                <w:szCs w:val="18"/>
                <w:lang w:val="en-GB" w:eastAsia="en-GB"/>
              </w:rPr>
              <w:t>2,4</w:t>
            </w:r>
          </w:p>
        </w:tc>
        <w:tc>
          <w:tcPr>
            <w:tcW w:w="1480" w:type="dxa"/>
            <w:tcBorders>
              <w:top w:val="nil"/>
              <w:left w:val="nil"/>
              <w:bottom w:val="nil"/>
              <w:right w:val="nil"/>
            </w:tcBorders>
            <w:noWrap/>
            <w:vAlign w:val="bottom"/>
            <w:hideMark/>
          </w:tcPr>
          <w:p w:rsidRPr="00B52D66" w:rsidR="00B52D66" w:rsidP="00FC2172" w:rsidRDefault="00B52D66" w14:paraId="372FB067" w14:textId="77777777">
            <w:pPr>
              <w:spacing w:line="240" w:lineRule="auto"/>
              <w:jc w:val="center"/>
              <w:rPr>
                <w:rFonts w:cs="Arial"/>
                <w:szCs w:val="18"/>
                <w:lang w:val="en-GB" w:eastAsia="en-GB"/>
              </w:rPr>
            </w:pPr>
            <w:r w:rsidRPr="00B52D66">
              <w:rPr>
                <w:rFonts w:cs="Arial"/>
                <w:szCs w:val="18"/>
                <w:lang w:val="en-GB" w:eastAsia="en-GB"/>
              </w:rPr>
              <w:t>8,1</w:t>
            </w:r>
          </w:p>
        </w:tc>
        <w:tc>
          <w:tcPr>
            <w:tcW w:w="1480" w:type="dxa"/>
            <w:tcBorders>
              <w:top w:val="nil"/>
              <w:left w:val="nil"/>
              <w:bottom w:val="nil"/>
              <w:right w:val="nil"/>
            </w:tcBorders>
            <w:noWrap/>
            <w:vAlign w:val="bottom"/>
            <w:hideMark/>
          </w:tcPr>
          <w:p w:rsidRPr="00B52D66" w:rsidR="00B52D66" w:rsidP="00FC2172" w:rsidRDefault="00B52D66" w14:paraId="3B8F397B" w14:textId="77777777">
            <w:pPr>
              <w:spacing w:line="240" w:lineRule="auto"/>
              <w:jc w:val="center"/>
              <w:rPr>
                <w:rFonts w:cs="Arial"/>
                <w:szCs w:val="18"/>
                <w:lang w:val="en-GB" w:eastAsia="en-GB"/>
              </w:rPr>
            </w:pPr>
            <w:r w:rsidRPr="00B52D66">
              <w:rPr>
                <w:rFonts w:cs="Arial"/>
                <w:szCs w:val="18"/>
                <w:lang w:val="en-GB" w:eastAsia="en-GB"/>
              </w:rPr>
              <w:t>5,3</w:t>
            </w:r>
          </w:p>
        </w:tc>
      </w:tr>
      <w:tr w:rsidRPr="00B52D66" w:rsidR="00B52D66" w:rsidTr="00FC2172" w14:paraId="06A926C6" w14:textId="77777777">
        <w:trPr>
          <w:trHeight w:val="290"/>
        </w:trPr>
        <w:tc>
          <w:tcPr>
            <w:tcW w:w="3402" w:type="dxa"/>
            <w:tcBorders>
              <w:top w:val="nil"/>
              <w:left w:val="nil"/>
              <w:bottom w:val="nil"/>
              <w:right w:val="nil"/>
            </w:tcBorders>
            <w:noWrap/>
            <w:hideMark/>
          </w:tcPr>
          <w:p w:rsidRPr="00B52D66" w:rsidR="00B52D66" w:rsidP="00FC2172" w:rsidRDefault="00B52D66" w14:paraId="239F795E" w14:textId="77777777">
            <w:pPr>
              <w:spacing w:line="240" w:lineRule="auto"/>
              <w:rPr>
                <w:rFonts w:cs="Arial"/>
                <w:szCs w:val="18"/>
                <w:lang w:val="en-GB" w:eastAsia="en-GB"/>
              </w:rPr>
            </w:pPr>
            <w:r w:rsidRPr="00B52D66">
              <w:rPr>
                <w:rFonts w:cs="Arial"/>
                <w:szCs w:val="18"/>
                <w:lang w:val="en-GB" w:eastAsia="en-GB"/>
              </w:rPr>
              <w:t xml:space="preserve">   MVI</w:t>
            </w:r>
          </w:p>
        </w:tc>
        <w:tc>
          <w:tcPr>
            <w:tcW w:w="1481" w:type="dxa"/>
            <w:tcBorders>
              <w:top w:val="nil"/>
              <w:left w:val="nil"/>
              <w:bottom w:val="nil"/>
              <w:right w:val="nil"/>
            </w:tcBorders>
            <w:noWrap/>
            <w:vAlign w:val="bottom"/>
            <w:hideMark/>
          </w:tcPr>
          <w:p w:rsidRPr="00B52D66" w:rsidR="00B52D66" w:rsidP="00FC2172" w:rsidRDefault="00B52D66" w14:paraId="37FFDA80" w14:textId="77777777">
            <w:pPr>
              <w:spacing w:line="240" w:lineRule="auto"/>
              <w:jc w:val="center"/>
              <w:rPr>
                <w:rFonts w:cs="Arial"/>
                <w:szCs w:val="18"/>
                <w:lang w:val="en-GB" w:eastAsia="en-GB"/>
              </w:rPr>
            </w:pPr>
            <w:r w:rsidRPr="00B52D66">
              <w:rPr>
                <w:rFonts w:cs="Arial"/>
                <w:szCs w:val="18"/>
                <w:lang w:val="en-GB" w:eastAsia="en-GB"/>
              </w:rPr>
              <w:t>20,1</w:t>
            </w:r>
          </w:p>
        </w:tc>
        <w:tc>
          <w:tcPr>
            <w:tcW w:w="1480" w:type="dxa"/>
            <w:tcBorders>
              <w:top w:val="nil"/>
              <w:left w:val="nil"/>
              <w:bottom w:val="nil"/>
              <w:right w:val="nil"/>
            </w:tcBorders>
            <w:noWrap/>
            <w:vAlign w:val="bottom"/>
            <w:hideMark/>
          </w:tcPr>
          <w:p w:rsidRPr="00B52D66" w:rsidR="00B52D66" w:rsidP="00FC2172" w:rsidRDefault="00B52D66" w14:paraId="6D6E2D30" w14:textId="77777777">
            <w:pPr>
              <w:spacing w:line="240" w:lineRule="auto"/>
              <w:jc w:val="center"/>
              <w:rPr>
                <w:rFonts w:cs="Arial"/>
                <w:szCs w:val="18"/>
                <w:lang w:val="en-GB" w:eastAsia="en-GB"/>
              </w:rPr>
            </w:pPr>
            <w:r w:rsidRPr="00B52D66">
              <w:rPr>
                <w:rFonts w:cs="Arial"/>
                <w:szCs w:val="18"/>
                <w:lang w:val="en-GB" w:eastAsia="en-GB"/>
              </w:rPr>
              <w:t>21,2</w:t>
            </w:r>
          </w:p>
        </w:tc>
        <w:tc>
          <w:tcPr>
            <w:tcW w:w="1480" w:type="dxa"/>
            <w:tcBorders>
              <w:top w:val="nil"/>
              <w:left w:val="nil"/>
              <w:bottom w:val="nil"/>
              <w:right w:val="nil"/>
            </w:tcBorders>
            <w:noWrap/>
            <w:vAlign w:val="bottom"/>
            <w:hideMark/>
          </w:tcPr>
          <w:p w:rsidRPr="00B52D66" w:rsidR="00B52D66" w:rsidP="00FC2172" w:rsidRDefault="00B52D66" w14:paraId="36C873F0" w14:textId="77777777">
            <w:pPr>
              <w:spacing w:line="240" w:lineRule="auto"/>
              <w:jc w:val="center"/>
              <w:rPr>
                <w:rFonts w:cs="Arial"/>
                <w:szCs w:val="18"/>
                <w:lang w:val="en-GB" w:eastAsia="en-GB"/>
              </w:rPr>
            </w:pPr>
            <w:r w:rsidRPr="00B52D66">
              <w:rPr>
                <w:rFonts w:cs="Arial"/>
                <w:szCs w:val="18"/>
                <w:lang w:val="en-GB" w:eastAsia="en-GB"/>
              </w:rPr>
              <w:t>20,0</w:t>
            </w:r>
          </w:p>
        </w:tc>
        <w:tc>
          <w:tcPr>
            <w:tcW w:w="1480" w:type="dxa"/>
            <w:tcBorders>
              <w:top w:val="nil"/>
              <w:left w:val="nil"/>
              <w:bottom w:val="nil"/>
              <w:right w:val="nil"/>
            </w:tcBorders>
            <w:noWrap/>
            <w:vAlign w:val="bottom"/>
            <w:hideMark/>
          </w:tcPr>
          <w:p w:rsidRPr="00B52D66" w:rsidR="00B52D66" w:rsidP="00FC2172" w:rsidRDefault="00B52D66" w14:paraId="43148E70" w14:textId="77777777">
            <w:pPr>
              <w:spacing w:line="240" w:lineRule="auto"/>
              <w:jc w:val="center"/>
              <w:rPr>
                <w:rFonts w:cs="Arial"/>
                <w:szCs w:val="18"/>
                <w:lang w:val="en-GB" w:eastAsia="en-GB"/>
              </w:rPr>
            </w:pPr>
            <w:r w:rsidRPr="00B52D66">
              <w:rPr>
                <w:rFonts w:cs="Arial"/>
                <w:szCs w:val="18"/>
                <w:lang w:val="en-GB" w:eastAsia="en-GB"/>
              </w:rPr>
              <w:t>22,3</w:t>
            </w:r>
          </w:p>
        </w:tc>
      </w:tr>
      <w:tr w:rsidRPr="00B52D66" w:rsidR="00B52D66" w:rsidTr="00FC2172" w14:paraId="503458E6" w14:textId="77777777">
        <w:trPr>
          <w:trHeight w:val="290"/>
        </w:trPr>
        <w:tc>
          <w:tcPr>
            <w:tcW w:w="3402" w:type="dxa"/>
            <w:tcBorders>
              <w:top w:val="nil"/>
              <w:left w:val="nil"/>
              <w:bottom w:val="nil"/>
              <w:right w:val="nil"/>
            </w:tcBorders>
            <w:noWrap/>
            <w:hideMark/>
          </w:tcPr>
          <w:p w:rsidRPr="00B52D66" w:rsidR="00B52D66" w:rsidP="00FC2172" w:rsidRDefault="00B52D66" w14:paraId="2241235E" w14:textId="77777777">
            <w:pPr>
              <w:spacing w:line="240" w:lineRule="auto"/>
              <w:rPr>
                <w:rFonts w:cs="Arial"/>
                <w:szCs w:val="18"/>
                <w:lang w:val="en-GB" w:eastAsia="en-GB"/>
              </w:rPr>
            </w:pPr>
            <w:r w:rsidRPr="00B52D66">
              <w:rPr>
                <w:rFonts w:cs="Arial"/>
                <w:szCs w:val="18"/>
                <w:lang w:val="en-GB" w:eastAsia="en-GB"/>
              </w:rPr>
              <w:t xml:space="preserve">   M&amp;T</w:t>
            </w:r>
          </w:p>
        </w:tc>
        <w:tc>
          <w:tcPr>
            <w:tcW w:w="1481" w:type="dxa"/>
            <w:tcBorders>
              <w:top w:val="nil"/>
              <w:left w:val="nil"/>
              <w:bottom w:val="nil"/>
              <w:right w:val="nil"/>
            </w:tcBorders>
            <w:noWrap/>
            <w:vAlign w:val="bottom"/>
            <w:hideMark/>
          </w:tcPr>
          <w:p w:rsidRPr="00B52D66" w:rsidR="00B52D66" w:rsidP="00FC2172" w:rsidRDefault="00B52D66" w14:paraId="37F691C9" w14:textId="77777777">
            <w:pPr>
              <w:spacing w:line="240" w:lineRule="auto"/>
              <w:jc w:val="center"/>
              <w:rPr>
                <w:rFonts w:cs="Arial"/>
                <w:szCs w:val="18"/>
                <w:lang w:val="en-GB" w:eastAsia="en-GB"/>
              </w:rPr>
            </w:pPr>
            <w:r w:rsidRPr="00B52D66">
              <w:rPr>
                <w:rFonts w:cs="Arial"/>
                <w:szCs w:val="18"/>
                <w:lang w:val="en-GB" w:eastAsia="en-GB"/>
              </w:rPr>
              <w:t>1,8</w:t>
            </w:r>
          </w:p>
        </w:tc>
        <w:tc>
          <w:tcPr>
            <w:tcW w:w="1480" w:type="dxa"/>
            <w:tcBorders>
              <w:top w:val="nil"/>
              <w:left w:val="nil"/>
              <w:bottom w:val="nil"/>
              <w:right w:val="nil"/>
            </w:tcBorders>
            <w:noWrap/>
            <w:vAlign w:val="bottom"/>
            <w:hideMark/>
          </w:tcPr>
          <w:p w:rsidRPr="00B52D66" w:rsidR="00B52D66" w:rsidP="00FC2172" w:rsidRDefault="00B52D66" w14:paraId="09438E2F" w14:textId="77777777">
            <w:pPr>
              <w:spacing w:line="240" w:lineRule="auto"/>
              <w:jc w:val="center"/>
              <w:rPr>
                <w:rFonts w:cs="Arial"/>
                <w:szCs w:val="18"/>
                <w:lang w:val="en-GB" w:eastAsia="en-GB"/>
              </w:rPr>
            </w:pPr>
            <w:r w:rsidRPr="00B52D66">
              <w:rPr>
                <w:rFonts w:cs="Arial"/>
                <w:szCs w:val="18"/>
                <w:lang w:val="en-GB" w:eastAsia="en-GB"/>
              </w:rPr>
              <w:t>1,5</w:t>
            </w:r>
          </w:p>
        </w:tc>
        <w:tc>
          <w:tcPr>
            <w:tcW w:w="1480" w:type="dxa"/>
            <w:tcBorders>
              <w:top w:val="nil"/>
              <w:left w:val="nil"/>
              <w:bottom w:val="nil"/>
              <w:right w:val="nil"/>
            </w:tcBorders>
            <w:noWrap/>
            <w:vAlign w:val="bottom"/>
            <w:hideMark/>
          </w:tcPr>
          <w:p w:rsidRPr="00B52D66" w:rsidR="00B52D66" w:rsidP="00FC2172" w:rsidRDefault="00B52D66" w14:paraId="7FB26375" w14:textId="77777777">
            <w:pPr>
              <w:spacing w:line="240" w:lineRule="auto"/>
              <w:jc w:val="center"/>
              <w:rPr>
                <w:rFonts w:cs="Arial"/>
                <w:szCs w:val="18"/>
                <w:lang w:val="en-GB" w:eastAsia="en-GB"/>
              </w:rPr>
            </w:pPr>
            <w:r w:rsidRPr="00B52D66">
              <w:rPr>
                <w:rFonts w:cs="Arial"/>
                <w:szCs w:val="18"/>
                <w:lang w:val="en-GB" w:eastAsia="en-GB"/>
              </w:rPr>
              <w:t>1,6</w:t>
            </w:r>
          </w:p>
        </w:tc>
        <w:tc>
          <w:tcPr>
            <w:tcW w:w="1480" w:type="dxa"/>
            <w:tcBorders>
              <w:top w:val="nil"/>
              <w:left w:val="nil"/>
              <w:bottom w:val="nil"/>
              <w:right w:val="nil"/>
            </w:tcBorders>
            <w:noWrap/>
            <w:vAlign w:val="bottom"/>
            <w:hideMark/>
          </w:tcPr>
          <w:p w:rsidRPr="00B52D66" w:rsidR="00B52D66" w:rsidP="00FC2172" w:rsidRDefault="00B52D66" w14:paraId="799E7D28" w14:textId="77777777">
            <w:pPr>
              <w:spacing w:line="240" w:lineRule="auto"/>
              <w:jc w:val="center"/>
              <w:rPr>
                <w:rFonts w:cs="Arial"/>
                <w:szCs w:val="18"/>
                <w:lang w:val="en-GB" w:eastAsia="en-GB"/>
              </w:rPr>
            </w:pPr>
            <w:r w:rsidRPr="00B52D66">
              <w:rPr>
                <w:rFonts w:cs="Arial"/>
                <w:szCs w:val="18"/>
                <w:lang w:val="en-GB" w:eastAsia="en-GB"/>
              </w:rPr>
              <w:t>3,6</w:t>
            </w:r>
          </w:p>
        </w:tc>
      </w:tr>
      <w:tr w:rsidRPr="00B52D66" w:rsidR="00B52D66" w:rsidTr="00FC2172" w14:paraId="1EB08A5D" w14:textId="77777777">
        <w:trPr>
          <w:trHeight w:val="290"/>
        </w:trPr>
        <w:tc>
          <w:tcPr>
            <w:tcW w:w="3402" w:type="dxa"/>
            <w:tcBorders>
              <w:top w:val="nil"/>
              <w:left w:val="nil"/>
              <w:bottom w:val="nil"/>
              <w:right w:val="nil"/>
            </w:tcBorders>
            <w:noWrap/>
            <w:hideMark/>
          </w:tcPr>
          <w:p w:rsidRPr="00B52D66" w:rsidR="00B52D66" w:rsidP="00FC2172" w:rsidRDefault="00B52D66" w14:paraId="034342A7" w14:textId="77777777">
            <w:pPr>
              <w:spacing w:line="240" w:lineRule="auto"/>
              <w:rPr>
                <w:rFonts w:cs="Arial"/>
                <w:szCs w:val="18"/>
                <w:lang w:val="en-GB" w:eastAsia="en-GB"/>
              </w:rPr>
            </w:pPr>
            <w:r w:rsidRPr="00B52D66">
              <w:rPr>
                <w:rFonts w:cs="Arial"/>
                <w:szCs w:val="18"/>
                <w:lang w:val="en-GB" w:eastAsia="en-GB"/>
              </w:rPr>
              <w:t xml:space="preserve">   PIE</w:t>
            </w:r>
          </w:p>
        </w:tc>
        <w:tc>
          <w:tcPr>
            <w:tcW w:w="1481" w:type="dxa"/>
            <w:tcBorders>
              <w:top w:val="nil"/>
              <w:left w:val="nil"/>
              <w:bottom w:val="nil"/>
              <w:right w:val="nil"/>
            </w:tcBorders>
            <w:noWrap/>
            <w:vAlign w:val="bottom"/>
            <w:hideMark/>
          </w:tcPr>
          <w:p w:rsidRPr="00B52D66" w:rsidR="00B52D66" w:rsidP="00FC2172" w:rsidRDefault="00B52D66" w14:paraId="4660C501" w14:textId="77777777">
            <w:pPr>
              <w:spacing w:line="240" w:lineRule="auto"/>
              <w:jc w:val="center"/>
              <w:rPr>
                <w:rFonts w:cs="Arial"/>
                <w:szCs w:val="18"/>
                <w:lang w:val="en-GB" w:eastAsia="en-GB"/>
              </w:rPr>
            </w:pPr>
            <w:r w:rsidRPr="00B52D66">
              <w:rPr>
                <w:rFonts w:cs="Arial"/>
                <w:szCs w:val="18"/>
                <w:lang w:val="en-GB" w:eastAsia="en-GB"/>
              </w:rPr>
              <w:t>2,2</w:t>
            </w:r>
          </w:p>
        </w:tc>
        <w:tc>
          <w:tcPr>
            <w:tcW w:w="1480" w:type="dxa"/>
            <w:tcBorders>
              <w:top w:val="nil"/>
              <w:left w:val="nil"/>
              <w:bottom w:val="nil"/>
              <w:right w:val="nil"/>
            </w:tcBorders>
            <w:noWrap/>
            <w:vAlign w:val="bottom"/>
            <w:hideMark/>
          </w:tcPr>
          <w:p w:rsidRPr="00B52D66" w:rsidR="00B52D66" w:rsidP="00FC2172" w:rsidRDefault="00B52D66" w14:paraId="09728405" w14:textId="77777777">
            <w:pPr>
              <w:spacing w:line="240" w:lineRule="auto"/>
              <w:jc w:val="center"/>
              <w:rPr>
                <w:rFonts w:cs="Arial"/>
                <w:szCs w:val="18"/>
                <w:lang w:val="en-GB" w:eastAsia="en-GB"/>
              </w:rPr>
            </w:pPr>
            <w:r w:rsidRPr="00B52D66">
              <w:rPr>
                <w:rFonts w:cs="Arial"/>
                <w:szCs w:val="18"/>
                <w:lang w:val="en-GB" w:eastAsia="en-GB"/>
              </w:rPr>
              <w:t>2,5</w:t>
            </w:r>
          </w:p>
        </w:tc>
        <w:tc>
          <w:tcPr>
            <w:tcW w:w="1480" w:type="dxa"/>
            <w:tcBorders>
              <w:top w:val="nil"/>
              <w:left w:val="nil"/>
              <w:bottom w:val="nil"/>
              <w:right w:val="nil"/>
            </w:tcBorders>
            <w:noWrap/>
            <w:vAlign w:val="bottom"/>
            <w:hideMark/>
          </w:tcPr>
          <w:p w:rsidRPr="00B52D66" w:rsidR="00B52D66" w:rsidP="00FC2172" w:rsidRDefault="00B52D66" w14:paraId="093F7755" w14:textId="77777777">
            <w:pPr>
              <w:spacing w:line="240" w:lineRule="auto"/>
              <w:jc w:val="center"/>
              <w:rPr>
                <w:rFonts w:cs="Arial"/>
                <w:szCs w:val="18"/>
                <w:lang w:val="en-GB" w:eastAsia="en-GB"/>
              </w:rPr>
            </w:pPr>
            <w:r w:rsidRPr="00B52D66">
              <w:rPr>
                <w:rFonts w:cs="Arial"/>
                <w:szCs w:val="18"/>
                <w:lang w:val="en-GB" w:eastAsia="en-GB"/>
              </w:rPr>
              <w:t>2,2</w:t>
            </w:r>
          </w:p>
        </w:tc>
        <w:tc>
          <w:tcPr>
            <w:tcW w:w="1480" w:type="dxa"/>
            <w:tcBorders>
              <w:top w:val="nil"/>
              <w:left w:val="nil"/>
              <w:bottom w:val="nil"/>
              <w:right w:val="nil"/>
            </w:tcBorders>
            <w:noWrap/>
            <w:vAlign w:val="bottom"/>
            <w:hideMark/>
          </w:tcPr>
          <w:p w:rsidRPr="00B52D66" w:rsidR="00B52D66" w:rsidP="00FC2172" w:rsidRDefault="00B52D66" w14:paraId="62D19E3E" w14:textId="77777777">
            <w:pPr>
              <w:spacing w:line="240" w:lineRule="auto"/>
              <w:jc w:val="center"/>
              <w:rPr>
                <w:rFonts w:cs="Arial"/>
                <w:szCs w:val="18"/>
                <w:lang w:val="en-GB" w:eastAsia="en-GB"/>
              </w:rPr>
            </w:pPr>
            <w:r w:rsidRPr="00B52D66">
              <w:rPr>
                <w:rFonts w:cs="Arial"/>
                <w:szCs w:val="18"/>
                <w:lang w:val="en-GB" w:eastAsia="en-GB"/>
              </w:rPr>
              <w:t>3,1</w:t>
            </w:r>
          </w:p>
        </w:tc>
      </w:tr>
      <w:tr w:rsidRPr="00B52D66" w:rsidR="00B52D66" w:rsidTr="00FC2172" w14:paraId="02E4C2FF" w14:textId="77777777">
        <w:trPr>
          <w:trHeight w:val="290"/>
        </w:trPr>
        <w:tc>
          <w:tcPr>
            <w:tcW w:w="4883" w:type="dxa"/>
            <w:gridSpan w:val="2"/>
            <w:tcBorders>
              <w:top w:val="nil"/>
              <w:left w:val="nil"/>
              <w:bottom w:val="nil"/>
              <w:right w:val="nil"/>
            </w:tcBorders>
            <w:noWrap/>
            <w:vAlign w:val="bottom"/>
            <w:hideMark/>
          </w:tcPr>
          <w:p w:rsidRPr="00B52D66" w:rsidR="00B52D66" w:rsidP="00FC2172" w:rsidRDefault="00B52D66" w14:paraId="75B8E374" w14:textId="77777777">
            <w:pPr>
              <w:spacing w:line="240" w:lineRule="auto"/>
              <w:rPr>
                <w:rFonts w:cs="Arial"/>
                <w:b/>
                <w:bCs/>
                <w:szCs w:val="18"/>
                <w:lang w:val="en-GB" w:eastAsia="en-GB"/>
              </w:rPr>
            </w:pPr>
            <w:r w:rsidRPr="00B52D66">
              <w:rPr>
                <w:rFonts w:cs="Arial"/>
                <w:b/>
                <w:bCs/>
                <w:szCs w:val="18"/>
                <w:lang w:val="en-GB" w:eastAsia="en-GB"/>
              </w:rPr>
              <w:t>vmbo niet-technische profielen</w:t>
            </w:r>
          </w:p>
        </w:tc>
        <w:tc>
          <w:tcPr>
            <w:tcW w:w="1480" w:type="dxa"/>
            <w:tcBorders>
              <w:top w:val="nil"/>
              <w:left w:val="nil"/>
              <w:bottom w:val="nil"/>
              <w:right w:val="nil"/>
            </w:tcBorders>
            <w:noWrap/>
            <w:vAlign w:val="bottom"/>
            <w:hideMark/>
          </w:tcPr>
          <w:p w:rsidRPr="00B52D66" w:rsidR="00B52D66" w:rsidP="00FC2172" w:rsidRDefault="00B52D66" w14:paraId="50FAD8E5" w14:textId="77777777">
            <w:pPr>
              <w:spacing w:line="240" w:lineRule="auto"/>
              <w:rPr>
                <w:rFonts w:cs="Arial"/>
                <w:b/>
                <w:bCs/>
                <w:szCs w:val="18"/>
                <w:lang w:val="en-GB" w:eastAsia="en-GB"/>
              </w:rPr>
            </w:pPr>
          </w:p>
        </w:tc>
        <w:tc>
          <w:tcPr>
            <w:tcW w:w="1480" w:type="dxa"/>
            <w:tcBorders>
              <w:top w:val="nil"/>
              <w:left w:val="nil"/>
              <w:bottom w:val="nil"/>
              <w:right w:val="nil"/>
            </w:tcBorders>
            <w:noWrap/>
            <w:vAlign w:val="bottom"/>
            <w:hideMark/>
          </w:tcPr>
          <w:p w:rsidRPr="00B52D66" w:rsidR="00B52D66" w:rsidP="00FC2172" w:rsidRDefault="00B52D66" w14:paraId="425F977E" w14:textId="77777777">
            <w:pPr>
              <w:spacing w:line="240" w:lineRule="auto"/>
              <w:jc w:val="center"/>
              <w:rPr>
                <w:rFonts w:cs="Arial"/>
                <w:szCs w:val="18"/>
                <w:lang w:val="en-GB" w:eastAsia="en-GB"/>
              </w:rPr>
            </w:pPr>
          </w:p>
        </w:tc>
        <w:tc>
          <w:tcPr>
            <w:tcW w:w="1480" w:type="dxa"/>
            <w:tcBorders>
              <w:top w:val="nil"/>
              <w:left w:val="nil"/>
              <w:bottom w:val="nil"/>
              <w:right w:val="nil"/>
            </w:tcBorders>
            <w:noWrap/>
            <w:vAlign w:val="bottom"/>
            <w:hideMark/>
          </w:tcPr>
          <w:p w:rsidRPr="00B52D66" w:rsidR="00B52D66" w:rsidP="00FC2172" w:rsidRDefault="00B52D66" w14:paraId="68438F7E" w14:textId="77777777">
            <w:pPr>
              <w:spacing w:line="240" w:lineRule="auto"/>
              <w:jc w:val="center"/>
              <w:rPr>
                <w:rFonts w:cs="Arial"/>
                <w:szCs w:val="18"/>
                <w:lang w:val="en-GB" w:eastAsia="en-GB"/>
              </w:rPr>
            </w:pPr>
          </w:p>
        </w:tc>
      </w:tr>
      <w:tr w:rsidRPr="00B52D66" w:rsidR="00B52D66" w:rsidTr="00FC2172" w14:paraId="3E6F67BB" w14:textId="77777777">
        <w:trPr>
          <w:trHeight w:val="290"/>
        </w:trPr>
        <w:tc>
          <w:tcPr>
            <w:tcW w:w="3402" w:type="dxa"/>
            <w:tcBorders>
              <w:top w:val="nil"/>
              <w:left w:val="nil"/>
              <w:bottom w:val="nil"/>
              <w:right w:val="nil"/>
            </w:tcBorders>
            <w:noWrap/>
            <w:vAlign w:val="bottom"/>
            <w:hideMark/>
          </w:tcPr>
          <w:p w:rsidRPr="00B52D66" w:rsidR="00B52D66" w:rsidP="00FC2172" w:rsidRDefault="00B52D66" w14:paraId="1D196B88" w14:textId="77777777">
            <w:pPr>
              <w:spacing w:line="240" w:lineRule="auto"/>
              <w:rPr>
                <w:rFonts w:cs="Arial"/>
                <w:szCs w:val="18"/>
                <w:lang w:val="en-GB" w:eastAsia="en-GB"/>
              </w:rPr>
            </w:pPr>
            <w:r w:rsidRPr="00B52D66">
              <w:rPr>
                <w:rFonts w:cs="Arial"/>
                <w:szCs w:val="18"/>
                <w:lang w:val="en-GB" w:eastAsia="en-GB"/>
              </w:rPr>
              <w:t xml:space="preserve">   D&amp;P</w:t>
            </w:r>
          </w:p>
        </w:tc>
        <w:tc>
          <w:tcPr>
            <w:tcW w:w="1481" w:type="dxa"/>
            <w:tcBorders>
              <w:top w:val="nil"/>
              <w:left w:val="nil"/>
              <w:bottom w:val="nil"/>
              <w:right w:val="nil"/>
            </w:tcBorders>
            <w:noWrap/>
            <w:vAlign w:val="bottom"/>
            <w:hideMark/>
          </w:tcPr>
          <w:p w:rsidRPr="00B52D66" w:rsidR="00B52D66" w:rsidP="00FC2172" w:rsidRDefault="00B52D66" w14:paraId="733F1167" w14:textId="77777777">
            <w:pPr>
              <w:spacing w:line="240" w:lineRule="auto"/>
              <w:jc w:val="center"/>
              <w:rPr>
                <w:rFonts w:cs="Arial"/>
                <w:szCs w:val="18"/>
                <w:lang w:val="en-GB" w:eastAsia="en-GB"/>
              </w:rPr>
            </w:pPr>
            <w:r w:rsidRPr="00B52D66">
              <w:rPr>
                <w:rFonts w:cs="Arial"/>
                <w:szCs w:val="18"/>
                <w:lang w:val="en-GB" w:eastAsia="en-GB"/>
              </w:rPr>
              <w:t>15,9</w:t>
            </w:r>
          </w:p>
        </w:tc>
        <w:tc>
          <w:tcPr>
            <w:tcW w:w="1480" w:type="dxa"/>
            <w:tcBorders>
              <w:top w:val="nil"/>
              <w:left w:val="nil"/>
              <w:bottom w:val="nil"/>
              <w:right w:val="nil"/>
            </w:tcBorders>
            <w:noWrap/>
            <w:vAlign w:val="bottom"/>
            <w:hideMark/>
          </w:tcPr>
          <w:p w:rsidRPr="00B52D66" w:rsidR="00B52D66" w:rsidP="00FC2172" w:rsidRDefault="00B52D66" w14:paraId="558B9AD2" w14:textId="77777777">
            <w:pPr>
              <w:spacing w:line="240" w:lineRule="auto"/>
              <w:jc w:val="center"/>
              <w:rPr>
                <w:rFonts w:cs="Arial"/>
                <w:szCs w:val="18"/>
                <w:lang w:val="en-GB" w:eastAsia="en-GB"/>
              </w:rPr>
            </w:pPr>
            <w:r w:rsidRPr="00B52D66">
              <w:rPr>
                <w:rFonts w:cs="Arial"/>
                <w:szCs w:val="18"/>
                <w:lang w:val="en-GB" w:eastAsia="en-GB"/>
              </w:rPr>
              <w:t>15,6</w:t>
            </w:r>
          </w:p>
        </w:tc>
        <w:tc>
          <w:tcPr>
            <w:tcW w:w="1480" w:type="dxa"/>
            <w:tcBorders>
              <w:top w:val="nil"/>
              <w:left w:val="nil"/>
              <w:bottom w:val="nil"/>
              <w:right w:val="nil"/>
            </w:tcBorders>
            <w:noWrap/>
            <w:vAlign w:val="bottom"/>
            <w:hideMark/>
          </w:tcPr>
          <w:p w:rsidRPr="00B52D66" w:rsidR="00B52D66" w:rsidP="00FC2172" w:rsidRDefault="00B52D66" w14:paraId="67BF549C" w14:textId="77777777">
            <w:pPr>
              <w:spacing w:line="240" w:lineRule="auto"/>
              <w:jc w:val="center"/>
              <w:rPr>
                <w:rFonts w:cs="Arial"/>
                <w:szCs w:val="18"/>
                <w:lang w:val="en-GB" w:eastAsia="en-GB"/>
              </w:rPr>
            </w:pPr>
            <w:r w:rsidRPr="00B52D66">
              <w:rPr>
                <w:rFonts w:cs="Arial"/>
                <w:szCs w:val="18"/>
                <w:lang w:val="en-GB" w:eastAsia="en-GB"/>
              </w:rPr>
              <w:t>15,6</w:t>
            </w:r>
          </w:p>
        </w:tc>
        <w:tc>
          <w:tcPr>
            <w:tcW w:w="1480" w:type="dxa"/>
            <w:tcBorders>
              <w:top w:val="nil"/>
              <w:left w:val="nil"/>
              <w:bottom w:val="nil"/>
              <w:right w:val="nil"/>
            </w:tcBorders>
            <w:noWrap/>
            <w:vAlign w:val="bottom"/>
            <w:hideMark/>
          </w:tcPr>
          <w:p w:rsidRPr="00B52D66" w:rsidR="00B52D66" w:rsidP="00FC2172" w:rsidRDefault="00B52D66" w14:paraId="321DDB36" w14:textId="77777777">
            <w:pPr>
              <w:spacing w:line="240" w:lineRule="auto"/>
              <w:jc w:val="center"/>
              <w:rPr>
                <w:rFonts w:cs="Arial"/>
                <w:szCs w:val="18"/>
                <w:lang w:val="en-GB" w:eastAsia="en-GB"/>
              </w:rPr>
            </w:pPr>
            <w:r w:rsidRPr="00B52D66">
              <w:rPr>
                <w:rFonts w:cs="Arial"/>
                <w:szCs w:val="18"/>
                <w:lang w:val="en-GB" w:eastAsia="en-GB"/>
              </w:rPr>
              <w:t>15,6</w:t>
            </w:r>
          </w:p>
        </w:tc>
      </w:tr>
      <w:tr w:rsidRPr="00B52D66" w:rsidR="00B52D66" w:rsidTr="00FC2172" w14:paraId="2D1EF0B4" w14:textId="77777777">
        <w:trPr>
          <w:trHeight w:val="290"/>
        </w:trPr>
        <w:tc>
          <w:tcPr>
            <w:tcW w:w="3402" w:type="dxa"/>
            <w:tcBorders>
              <w:top w:val="nil"/>
              <w:left w:val="nil"/>
              <w:bottom w:val="nil"/>
              <w:right w:val="nil"/>
            </w:tcBorders>
            <w:noWrap/>
            <w:vAlign w:val="bottom"/>
            <w:hideMark/>
          </w:tcPr>
          <w:p w:rsidRPr="00B52D66" w:rsidR="00B52D66" w:rsidP="00FC2172" w:rsidRDefault="00B52D66" w14:paraId="52EB44DA" w14:textId="77777777">
            <w:pPr>
              <w:spacing w:line="240" w:lineRule="auto"/>
              <w:rPr>
                <w:rFonts w:cs="Arial"/>
                <w:szCs w:val="18"/>
                <w:lang w:val="en-GB" w:eastAsia="en-GB"/>
              </w:rPr>
            </w:pPr>
            <w:r w:rsidRPr="00B52D66">
              <w:rPr>
                <w:rFonts w:cs="Arial"/>
                <w:szCs w:val="18"/>
                <w:lang w:val="en-GB" w:eastAsia="en-GB"/>
              </w:rPr>
              <w:t xml:space="preserve">   E&amp;O</w:t>
            </w:r>
          </w:p>
        </w:tc>
        <w:tc>
          <w:tcPr>
            <w:tcW w:w="1481" w:type="dxa"/>
            <w:tcBorders>
              <w:top w:val="nil"/>
              <w:left w:val="nil"/>
              <w:bottom w:val="nil"/>
              <w:right w:val="nil"/>
            </w:tcBorders>
            <w:noWrap/>
            <w:vAlign w:val="bottom"/>
            <w:hideMark/>
          </w:tcPr>
          <w:p w:rsidRPr="00B52D66" w:rsidR="00B52D66" w:rsidP="00FC2172" w:rsidRDefault="00B52D66" w14:paraId="26BD49D2" w14:textId="77777777">
            <w:pPr>
              <w:spacing w:line="240" w:lineRule="auto"/>
              <w:jc w:val="center"/>
              <w:rPr>
                <w:rFonts w:cs="Arial"/>
                <w:szCs w:val="18"/>
                <w:lang w:val="en-GB" w:eastAsia="en-GB"/>
              </w:rPr>
            </w:pPr>
            <w:r w:rsidRPr="00B52D66">
              <w:rPr>
                <w:rFonts w:cs="Arial"/>
                <w:szCs w:val="18"/>
                <w:lang w:val="en-GB" w:eastAsia="en-GB"/>
              </w:rPr>
              <w:t>13,4</w:t>
            </w:r>
          </w:p>
        </w:tc>
        <w:tc>
          <w:tcPr>
            <w:tcW w:w="1480" w:type="dxa"/>
            <w:tcBorders>
              <w:top w:val="nil"/>
              <w:left w:val="nil"/>
              <w:bottom w:val="nil"/>
              <w:right w:val="nil"/>
            </w:tcBorders>
            <w:noWrap/>
            <w:vAlign w:val="bottom"/>
            <w:hideMark/>
          </w:tcPr>
          <w:p w:rsidRPr="00B52D66" w:rsidR="00B52D66" w:rsidP="00FC2172" w:rsidRDefault="00B52D66" w14:paraId="46C5C2F9" w14:textId="77777777">
            <w:pPr>
              <w:spacing w:line="240" w:lineRule="auto"/>
              <w:jc w:val="center"/>
              <w:rPr>
                <w:rFonts w:cs="Arial"/>
                <w:szCs w:val="18"/>
                <w:lang w:val="en-GB" w:eastAsia="en-GB"/>
              </w:rPr>
            </w:pPr>
            <w:r w:rsidRPr="00B52D66">
              <w:rPr>
                <w:rFonts w:cs="Arial"/>
                <w:szCs w:val="18"/>
                <w:lang w:val="en-GB" w:eastAsia="en-GB"/>
              </w:rPr>
              <w:t>12,4</w:t>
            </w:r>
          </w:p>
        </w:tc>
        <w:tc>
          <w:tcPr>
            <w:tcW w:w="1480" w:type="dxa"/>
            <w:tcBorders>
              <w:top w:val="nil"/>
              <w:left w:val="nil"/>
              <w:bottom w:val="nil"/>
              <w:right w:val="nil"/>
            </w:tcBorders>
            <w:noWrap/>
            <w:vAlign w:val="bottom"/>
            <w:hideMark/>
          </w:tcPr>
          <w:p w:rsidRPr="00B52D66" w:rsidR="00B52D66" w:rsidP="00FC2172" w:rsidRDefault="00B52D66" w14:paraId="2BD5A173" w14:textId="77777777">
            <w:pPr>
              <w:spacing w:line="240" w:lineRule="auto"/>
              <w:jc w:val="center"/>
              <w:rPr>
                <w:rFonts w:cs="Arial"/>
                <w:szCs w:val="18"/>
                <w:lang w:val="en-GB" w:eastAsia="en-GB"/>
              </w:rPr>
            </w:pPr>
            <w:r w:rsidRPr="00B52D66">
              <w:rPr>
                <w:rFonts w:cs="Arial"/>
                <w:szCs w:val="18"/>
                <w:lang w:val="en-GB" w:eastAsia="en-GB"/>
              </w:rPr>
              <w:t>13,0</w:t>
            </w:r>
          </w:p>
        </w:tc>
        <w:tc>
          <w:tcPr>
            <w:tcW w:w="1480" w:type="dxa"/>
            <w:tcBorders>
              <w:top w:val="nil"/>
              <w:left w:val="nil"/>
              <w:bottom w:val="nil"/>
              <w:right w:val="nil"/>
            </w:tcBorders>
            <w:noWrap/>
            <w:vAlign w:val="bottom"/>
            <w:hideMark/>
          </w:tcPr>
          <w:p w:rsidRPr="00B52D66" w:rsidR="00B52D66" w:rsidP="00FC2172" w:rsidRDefault="00B52D66" w14:paraId="3D9F8E32" w14:textId="77777777">
            <w:pPr>
              <w:spacing w:line="240" w:lineRule="auto"/>
              <w:jc w:val="center"/>
              <w:rPr>
                <w:rFonts w:cs="Arial"/>
                <w:szCs w:val="18"/>
                <w:lang w:val="en-GB" w:eastAsia="en-GB"/>
              </w:rPr>
            </w:pPr>
            <w:r w:rsidRPr="00B52D66">
              <w:rPr>
                <w:rFonts w:cs="Arial"/>
                <w:szCs w:val="18"/>
                <w:lang w:val="en-GB" w:eastAsia="en-GB"/>
              </w:rPr>
              <w:t>13,2</w:t>
            </w:r>
          </w:p>
        </w:tc>
      </w:tr>
      <w:tr w:rsidRPr="00B52D66" w:rsidR="00B52D66" w:rsidTr="00FC2172" w14:paraId="76A91BE7" w14:textId="77777777">
        <w:trPr>
          <w:trHeight w:val="290"/>
        </w:trPr>
        <w:tc>
          <w:tcPr>
            <w:tcW w:w="3402" w:type="dxa"/>
            <w:tcBorders>
              <w:top w:val="nil"/>
              <w:left w:val="nil"/>
              <w:bottom w:val="nil"/>
              <w:right w:val="nil"/>
            </w:tcBorders>
            <w:noWrap/>
            <w:vAlign w:val="bottom"/>
            <w:hideMark/>
          </w:tcPr>
          <w:p w:rsidRPr="00B52D66" w:rsidR="00B52D66" w:rsidP="00FC2172" w:rsidRDefault="00B52D66" w14:paraId="1704E962" w14:textId="77777777">
            <w:pPr>
              <w:spacing w:line="240" w:lineRule="auto"/>
              <w:rPr>
                <w:rFonts w:cs="Arial"/>
                <w:szCs w:val="18"/>
                <w:lang w:val="en-GB" w:eastAsia="en-GB"/>
              </w:rPr>
            </w:pPr>
            <w:r w:rsidRPr="00B52D66">
              <w:rPr>
                <w:rFonts w:cs="Arial"/>
                <w:szCs w:val="18"/>
                <w:lang w:val="en-GB" w:eastAsia="en-GB"/>
              </w:rPr>
              <w:t xml:space="preserve">   Groen</w:t>
            </w:r>
          </w:p>
        </w:tc>
        <w:tc>
          <w:tcPr>
            <w:tcW w:w="1481" w:type="dxa"/>
            <w:tcBorders>
              <w:top w:val="nil"/>
              <w:left w:val="nil"/>
              <w:bottom w:val="nil"/>
              <w:right w:val="nil"/>
            </w:tcBorders>
            <w:noWrap/>
            <w:vAlign w:val="bottom"/>
            <w:hideMark/>
          </w:tcPr>
          <w:p w:rsidRPr="00B52D66" w:rsidR="00B52D66" w:rsidP="00FC2172" w:rsidRDefault="00B52D66" w14:paraId="327A0CB9" w14:textId="77777777">
            <w:pPr>
              <w:spacing w:line="240" w:lineRule="auto"/>
              <w:jc w:val="center"/>
              <w:rPr>
                <w:rFonts w:cs="Arial"/>
                <w:szCs w:val="18"/>
                <w:lang w:val="en-GB" w:eastAsia="en-GB"/>
              </w:rPr>
            </w:pPr>
            <w:r w:rsidRPr="00B52D66">
              <w:rPr>
                <w:rFonts w:cs="Arial"/>
                <w:szCs w:val="18"/>
                <w:lang w:val="en-GB" w:eastAsia="en-GB"/>
              </w:rPr>
              <w:t>15,9</w:t>
            </w:r>
          </w:p>
        </w:tc>
        <w:tc>
          <w:tcPr>
            <w:tcW w:w="1480" w:type="dxa"/>
            <w:tcBorders>
              <w:top w:val="nil"/>
              <w:left w:val="nil"/>
              <w:bottom w:val="nil"/>
              <w:right w:val="nil"/>
            </w:tcBorders>
            <w:noWrap/>
            <w:vAlign w:val="bottom"/>
            <w:hideMark/>
          </w:tcPr>
          <w:p w:rsidRPr="00B52D66" w:rsidR="00B52D66" w:rsidP="00FC2172" w:rsidRDefault="00B52D66" w14:paraId="0F46F0EC" w14:textId="77777777">
            <w:pPr>
              <w:spacing w:line="240" w:lineRule="auto"/>
              <w:jc w:val="center"/>
              <w:rPr>
                <w:rFonts w:cs="Arial"/>
                <w:szCs w:val="18"/>
                <w:lang w:val="en-GB" w:eastAsia="en-GB"/>
              </w:rPr>
            </w:pPr>
            <w:r w:rsidRPr="00B52D66">
              <w:rPr>
                <w:rFonts w:cs="Arial"/>
                <w:szCs w:val="18"/>
                <w:lang w:val="en-GB" w:eastAsia="en-GB"/>
              </w:rPr>
              <w:t>16,2</w:t>
            </w:r>
          </w:p>
        </w:tc>
        <w:tc>
          <w:tcPr>
            <w:tcW w:w="1480" w:type="dxa"/>
            <w:tcBorders>
              <w:top w:val="nil"/>
              <w:left w:val="nil"/>
              <w:bottom w:val="nil"/>
              <w:right w:val="nil"/>
            </w:tcBorders>
            <w:noWrap/>
            <w:vAlign w:val="bottom"/>
            <w:hideMark/>
          </w:tcPr>
          <w:p w:rsidRPr="00B52D66" w:rsidR="00B52D66" w:rsidP="00FC2172" w:rsidRDefault="00B52D66" w14:paraId="2F954DCD" w14:textId="77777777">
            <w:pPr>
              <w:spacing w:line="240" w:lineRule="auto"/>
              <w:jc w:val="center"/>
              <w:rPr>
                <w:rFonts w:cs="Arial"/>
                <w:szCs w:val="18"/>
                <w:lang w:val="en-GB" w:eastAsia="en-GB"/>
              </w:rPr>
            </w:pPr>
            <w:r w:rsidRPr="00B52D66">
              <w:rPr>
                <w:rFonts w:cs="Arial"/>
                <w:szCs w:val="18"/>
                <w:lang w:val="en-GB" w:eastAsia="en-GB"/>
              </w:rPr>
              <w:t>17,7</w:t>
            </w:r>
          </w:p>
        </w:tc>
        <w:tc>
          <w:tcPr>
            <w:tcW w:w="1480" w:type="dxa"/>
            <w:tcBorders>
              <w:top w:val="nil"/>
              <w:left w:val="nil"/>
              <w:bottom w:val="nil"/>
              <w:right w:val="nil"/>
            </w:tcBorders>
            <w:noWrap/>
            <w:vAlign w:val="bottom"/>
            <w:hideMark/>
          </w:tcPr>
          <w:p w:rsidRPr="00B52D66" w:rsidR="00B52D66" w:rsidP="00FC2172" w:rsidRDefault="00B52D66" w14:paraId="0DD67091" w14:textId="77777777">
            <w:pPr>
              <w:spacing w:line="240" w:lineRule="auto"/>
              <w:jc w:val="center"/>
              <w:rPr>
                <w:rFonts w:cs="Arial"/>
                <w:szCs w:val="18"/>
                <w:lang w:val="en-GB" w:eastAsia="en-GB"/>
              </w:rPr>
            </w:pPr>
            <w:r w:rsidRPr="00B52D66">
              <w:rPr>
                <w:rFonts w:cs="Arial"/>
                <w:szCs w:val="18"/>
                <w:lang w:val="en-GB" w:eastAsia="en-GB"/>
              </w:rPr>
              <w:t>18,3</w:t>
            </w:r>
          </w:p>
        </w:tc>
      </w:tr>
      <w:tr w:rsidRPr="00B52D66" w:rsidR="00B52D66" w:rsidTr="00FC2172" w14:paraId="7CAB256B" w14:textId="77777777">
        <w:trPr>
          <w:trHeight w:val="290"/>
        </w:trPr>
        <w:tc>
          <w:tcPr>
            <w:tcW w:w="3402" w:type="dxa"/>
            <w:tcBorders>
              <w:top w:val="nil"/>
              <w:left w:val="nil"/>
              <w:bottom w:val="nil"/>
              <w:right w:val="nil"/>
            </w:tcBorders>
            <w:noWrap/>
            <w:vAlign w:val="bottom"/>
            <w:hideMark/>
          </w:tcPr>
          <w:p w:rsidRPr="00B52D66" w:rsidR="00B52D66" w:rsidP="00FC2172" w:rsidRDefault="00B52D66" w14:paraId="50A053B8" w14:textId="77777777">
            <w:pPr>
              <w:spacing w:line="240" w:lineRule="auto"/>
              <w:rPr>
                <w:rFonts w:cs="Arial"/>
                <w:szCs w:val="18"/>
                <w:lang w:val="en-GB" w:eastAsia="en-GB"/>
              </w:rPr>
            </w:pPr>
            <w:r w:rsidRPr="00B52D66">
              <w:rPr>
                <w:rFonts w:cs="Arial"/>
                <w:szCs w:val="18"/>
                <w:lang w:val="en-GB" w:eastAsia="en-GB"/>
              </w:rPr>
              <w:t xml:space="preserve">   HBR</w:t>
            </w:r>
          </w:p>
        </w:tc>
        <w:tc>
          <w:tcPr>
            <w:tcW w:w="1481" w:type="dxa"/>
            <w:tcBorders>
              <w:top w:val="nil"/>
              <w:left w:val="nil"/>
              <w:bottom w:val="nil"/>
              <w:right w:val="nil"/>
            </w:tcBorders>
            <w:noWrap/>
            <w:vAlign w:val="bottom"/>
            <w:hideMark/>
          </w:tcPr>
          <w:p w:rsidRPr="00B52D66" w:rsidR="00B52D66" w:rsidP="00FC2172" w:rsidRDefault="00B52D66" w14:paraId="31B89BC7" w14:textId="77777777">
            <w:pPr>
              <w:spacing w:line="240" w:lineRule="auto"/>
              <w:jc w:val="center"/>
              <w:rPr>
                <w:rFonts w:cs="Arial"/>
                <w:szCs w:val="18"/>
                <w:lang w:val="en-GB" w:eastAsia="en-GB"/>
              </w:rPr>
            </w:pPr>
            <w:r w:rsidRPr="00B52D66">
              <w:rPr>
                <w:rFonts w:cs="Arial"/>
                <w:szCs w:val="18"/>
                <w:lang w:val="en-GB" w:eastAsia="en-GB"/>
              </w:rPr>
              <w:t>16,3</w:t>
            </w:r>
          </w:p>
        </w:tc>
        <w:tc>
          <w:tcPr>
            <w:tcW w:w="1480" w:type="dxa"/>
            <w:tcBorders>
              <w:top w:val="nil"/>
              <w:left w:val="nil"/>
              <w:bottom w:val="nil"/>
              <w:right w:val="nil"/>
            </w:tcBorders>
            <w:noWrap/>
            <w:vAlign w:val="bottom"/>
            <w:hideMark/>
          </w:tcPr>
          <w:p w:rsidRPr="00B52D66" w:rsidR="00B52D66" w:rsidP="00FC2172" w:rsidRDefault="00B52D66" w14:paraId="123CE448" w14:textId="77777777">
            <w:pPr>
              <w:spacing w:line="240" w:lineRule="auto"/>
              <w:jc w:val="center"/>
              <w:rPr>
                <w:rFonts w:cs="Arial"/>
                <w:szCs w:val="18"/>
                <w:lang w:val="en-GB" w:eastAsia="en-GB"/>
              </w:rPr>
            </w:pPr>
            <w:r w:rsidRPr="00B52D66">
              <w:rPr>
                <w:rFonts w:cs="Arial"/>
                <w:szCs w:val="18"/>
                <w:lang w:val="en-GB" w:eastAsia="en-GB"/>
              </w:rPr>
              <w:t>14,0</w:t>
            </w:r>
          </w:p>
        </w:tc>
        <w:tc>
          <w:tcPr>
            <w:tcW w:w="1480" w:type="dxa"/>
            <w:tcBorders>
              <w:top w:val="nil"/>
              <w:left w:val="nil"/>
              <w:bottom w:val="nil"/>
              <w:right w:val="nil"/>
            </w:tcBorders>
            <w:noWrap/>
            <w:vAlign w:val="bottom"/>
            <w:hideMark/>
          </w:tcPr>
          <w:p w:rsidRPr="00B52D66" w:rsidR="00B52D66" w:rsidP="00FC2172" w:rsidRDefault="00B52D66" w14:paraId="450E6078" w14:textId="77777777">
            <w:pPr>
              <w:spacing w:line="240" w:lineRule="auto"/>
              <w:jc w:val="center"/>
              <w:rPr>
                <w:rFonts w:cs="Arial"/>
                <w:szCs w:val="18"/>
                <w:lang w:val="en-GB" w:eastAsia="en-GB"/>
              </w:rPr>
            </w:pPr>
            <w:r w:rsidRPr="00B52D66">
              <w:rPr>
                <w:rFonts w:cs="Arial"/>
                <w:szCs w:val="18"/>
                <w:lang w:val="en-GB" w:eastAsia="en-GB"/>
              </w:rPr>
              <w:t>19,3</w:t>
            </w:r>
          </w:p>
        </w:tc>
        <w:tc>
          <w:tcPr>
            <w:tcW w:w="1480" w:type="dxa"/>
            <w:tcBorders>
              <w:top w:val="nil"/>
              <w:left w:val="nil"/>
              <w:bottom w:val="nil"/>
              <w:right w:val="nil"/>
            </w:tcBorders>
            <w:noWrap/>
            <w:vAlign w:val="bottom"/>
            <w:hideMark/>
          </w:tcPr>
          <w:p w:rsidRPr="00B52D66" w:rsidR="00B52D66" w:rsidP="00FC2172" w:rsidRDefault="00B52D66" w14:paraId="5397ABEA" w14:textId="77777777">
            <w:pPr>
              <w:spacing w:line="240" w:lineRule="auto"/>
              <w:jc w:val="center"/>
              <w:rPr>
                <w:rFonts w:cs="Arial"/>
                <w:szCs w:val="18"/>
                <w:lang w:val="en-GB" w:eastAsia="en-GB"/>
              </w:rPr>
            </w:pPr>
            <w:r w:rsidRPr="00B52D66">
              <w:rPr>
                <w:rFonts w:cs="Arial"/>
                <w:szCs w:val="18"/>
                <w:lang w:val="en-GB" w:eastAsia="en-GB"/>
              </w:rPr>
              <w:t>24,7</w:t>
            </w:r>
          </w:p>
        </w:tc>
      </w:tr>
      <w:tr w:rsidRPr="00B52D66" w:rsidR="00B52D66" w:rsidTr="00FC2172" w14:paraId="555D15E3" w14:textId="77777777">
        <w:trPr>
          <w:trHeight w:val="290"/>
        </w:trPr>
        <w:tc>
          <w:tcPr>
            <w:tcW w:w="3402" w:type="dxa"/>
            <w:tcBorders>
              <w:top w:val="nil"/>
              <w:left w:val="nil"/>
              <w:bottom w:val="single" w:color="auto" w:sz="4" w:space="0"/>
              <w:right w:val="nil"/>
            </w:tcBorders>
            <w:noWrap/>
            <w:vAlign w:val="bottom"/>
            <w:hideMark/>
          </w:tcPr>
          <w:p w:rsidRPr="00B52D66" w:rsidR="00B52D66" w:rsidP="00FC2172" w:rsidRDefault="00B52D66" w14:paraId="4CC76BE9" w14:textId="77777777">
            <w:pPr>
              <w:spacing w:line="240" w:lineRule="auto"/>
              <w:rPr>
                <w:rFonts w:cs="Arial"/>
                <w:szCs w:val="18"/>
                <w:lang w:val="en-GB" w:eastAsia="en-GB"/>
              </w:rPr>
            </w:pPr>
            <w:r w:rsidRPr="00B52D66">
              <w:rPr>
                <w:rFonts w:cs="Arial"/>
                <w:szCs w:val="18"/>
                <w:lang w:val="en-GB" w:eastAsia="en-GB"/>
              </w:rPr>
              <w:t xml:space="preserve">   Z&amp;W</w:t>
            </w:r>
          </w:p>
        </w:tc>
        <w:tc>
          <w:tcPr>
            <w:tcW w:w="1481" w:type="dxa"/>
            <w:tcBorders>
              <w:top w:val="nil"/>
              <w:left w:val="nil"/>
              <w:bottom w:val="single" w:color="auto" w:sz="4" w:space="0"/>
              <w:right w:val="nil"/>
            </w:tcBorders>
            <w:noWrap/>
            <w:vAlign w:val="bottom"/>
            <w:hideMark/>
          </w:tcPr>
          <w:p w:rsidRPr="00B52D66" w:rsidR="00B52D66" w:rsidP="00FC2172" w:rsidRDefault="00B52D66" w14:paraId="1983B52B" w14:textId="77777777">
            <w:pPr>
              <w:spacing w:line="240" w:lineRule="auto"/>
              <w:jc w:val="center"/>
              <w:rPr>
                <w:rFonts w:cs="Arial"/>
                <w:szCs w:val="18"/>
                <w:lang w:val="en-GB" w:eastAsia="en-GB"/>
              </w:rPr>
            </w:pPr>
            <w:r w:rsidRPr="00B52D66">
              <w:rPr>
                <w:rFonts w:cs="Arial"/>
                <w:szCs w:val="18"/>
                <w:lang w:val="en-GB" w:eastAsia="en-GB"/>
              </w:rPr>
              <w:t>45,4</w:t>
            </w:r>
          </w:p>
        </w:tc>
        <w:tc>
          <w:tcPr>
            <w:tcW w:w="1480" w:type="dxa"/>
            <w:tcBorders>
              <w:top w:val="nil"/>
              <w:left w:val="nil"/>
              <w:bottom w:val="single" w:color="auto" w:sz="4" w:space="0"/>
              <w:right w:val="nil"/>
            </w:tcBorders>
            <w:noWrap/>
            <w:vAlign w:val="bottom"/>
            <w:hideMark/>
          </w:tcPr>
          <w:p w:rsidRPr="00B52D66" w:rsidR="00B52D66" w:rsidP="00FC2172" w:rsidRDefault="00B52D66" w14:paraId="6CC9FF32" w14:textId="77777777">
            <w:pPr>
              <w:spacing w:line="240" w:lineRule="auto"/>
              <w:jc w:val="center"/>
              <w:rPr>
                <w:rFonts w:cs="Arial"/>
                <w:szCs w:val="18"/>
                <w:lang w:val="en-GB" w:eastAsia="en-GB"/>
              </w:rPr>
            </w:pPr>
            <w:r w:rsidRPr="00B52D66">
              <w:rPr>
                <w:rFonts w:cs="Arial"/>
                <w:szCs w:val="18"/>
                <w:lang w:val="en-GB" w:eastAsia="en-GB"/>
              </w:rPr>
              <w:t>46,5</w:t>
            </w:r>
          </w:p>
        </w:tc>
        <w:tc>
          <w:tcPr>
            <w:tcW w:w="1480" w:type="dxa"/>
            <w:tcBorders>
              <w:top w:val="nil"/>
              <w:left w:val="nil"/>
              <w:bottom w:val="single" w:color="auto" w:sz="4" w:space="0"/>
              <w:right w:val="nil"/>
            </w:tcBorders>
            <w:noWrap/>
            <w:vAlign w:val="bottom"/>
            <w:hideMark/>
          </w:tcPr>
          <w:p w:rsidRPr="00B52D66" w:rsidR="00B52D66" w:rsidP="00FC2172" w:rsidRDefault="00B52D66" w14:paraId="1C50136F" w14:textId="77777777">
            <w:pPr>
              <w:spacing w:line="240" w:lineRule="auto"/>
              <w:jc w:val="center"/>
              <w:rPr>
                <w:rFonts w:cs="Arial"/>
                <w:szCs w:val="18"/>
                <w:lang w:val="en-GB" w:eastAsia="en-GB"/>
              </w:rPr>
            </w:pPr>
            <w:r w:rsidRPr="00B52D66">
              <w:rPr>
                <w:rFonts w:cs="Arial"/>
                <w:szCs w:val="18"/>
                <w:lang w:val="en-GB" w:eastAsia="en-GB"/>
              </w:rPr>
              <w:t>48,9</w:t>
            </w:r>
          </w:p>
        </w:tc>
        <w:tc>
          <w:tcPr>
            <w:tcW w:w="1480" w:type="dxa"/>
            <w:tcBorders>
              <w:top w:val="nil"/>
              <w:left w:val="nil"/>
              <w:bottom w:val="single" w:color="auto" w:sz="4" w:space="0"/>
              <w:right w:val="nil"/>
            </w:tcBorders>
            <w:noWrap/>
            <w:vAlign w:val="bottom"/>
            <w:hideMark/>
          </w:tcPr>
          <w:p w:rsidRPr="00B52D66" w:rsidR="00B52D66" w:rsidP="00FC2172" w:rsidRDefault="00B52D66" w14:paraId="47063CF3" w14:textId="77777777">
            <w:pPr>
              <w:spacing w:line="240" w:lineRule="auto"/>
              <w:jc w:val="center"/>
              <w:rPr>
                <w:rFonts w:cs="Arial"/>
                <w:szCs w:val="18"/>
                <w:lang w:val="en-GB" w:eastAsia="en-GB"/>
              </w:rPr>
            </w:pPr>
            <w:r w:rsidRPr="00B52D66">
              <w:rPr>
                <w:rFonts w:cs="Arial"/>
                <w:szCs w:val="18"/>
                <w:lang w:val="en-GB" w:eastAsia="en-GB"/>
              </w:rPr>
              <w:t>47,4</w:t>
            </w:r>
          </w:p>
        </w:tc>
      </w:tr>
    </w:tbl>
    <w:p w:rsidRPr="00B52D66" w:rsidR="00B52D66" w:rsidP="00B52D66" w:rsidRDefault="00B52D66" w14:paraId="6F1D769C" w14:textId="77777777">
      <w:pPr>
        <w:rPr>
          <w:szCs w:val="18"/>
        </w:rPr>
      </w:pPr>
      <w:r w:rsidRPr="00B52D66">
        <w:rPr>
          <w:i/>
          <w:szCs w:val="18"/>
        </w:rPr>
        <w:t>Bron: DUO (eigen bewerking ROA).</w:t>
      </w:r>
    </w:p>
    <w:p w:rsidRPr="00B52D66" w:rsidR="00B52D66" w:rsidP="00B52D66" w:rsidRDefault="00B52D66" w14:paraId="585C3402" w14:textId="77777777">
      <w:pPr>
        <w:spacing w:after="160" w:line="259" w:lineRule="auto"/>
        <w:jc w:val="both"/>
        <w:rPr>
          <w:rFonts w:eastAsiaTheme="minorHAnsi" w:cstheme="minorBidi"/>
          <w:szCs w:val="18"/>
          <w:lang w:eastAsia="en-US"/>
        </w:rPr>
      </w:pPr>
    </w:p>
    <w:p w:rsidRPr="00B52D66" w:rsidR="00B52D66" w:rsidP="00C43FA5" w:rsidRDefault="00322D6C" w14:paraId="64441BF2" w14:textId="17CD9D78">
      <w:pPr>
        <w:rPr>
          <w:rFonts w:eastAsiaTheme="minorHAnsi"/>
        </w:rPr>
      </w:pPr>
      <w:r>
        <w:rPr>
          <w:rFonts w:eastAsiaTheme="minorHAnsi"/>
        </w:rPr>
        <w:t>Tabel B</w:t>
      </w:r>
      <w:r w:rsidR="005A36F0">
        <w:rPr>
          <w:rFonts w:eastAsiaTheme="minorHAnsi"/>
        </w:rPr>
        <w:t>3</w:t>
      </w:r>
      <w:r w:rsidRPr="00B52D66" w:rsidR="00B52D66">
        <w:rPr>
          <w:rFonts w:eastAsiaTheme="minorHAnsi"/>
        </w:rPr>
        <w:t>.</w:t>
      </w:r>
      <w:r>
        <w:rPr>
          <w:rFonts w:eastAsiaTheme="minorHAnsi"/>
        </w:rPr>
        <w:t>21</w:t>
      </w:r>
      <w:r w:rsidRPr="00B52D66" w:rsidR="00B52D66">
        <w:rPr>
          <w:rFonts w:eastAsiaTheme="minorHAnsi"/>
        </w:rPr>
        <w:t xml:space="preserve"> Aandeel leerlingen met migratieachtergrond dat vanuit vmbo instroomt naar een technische mbo-opleiding: </w:t>
      </w:r>
      <w:r w:rsidRPr="00B52D66" w:rsidR="00B52D66">
        <w:t>schooljaar 2019/2020 tot 2022/2023</w:t>
      </w:r>
    </w:p>
    <w:tbl>
      <w:tblPr>
        <w:tblW w:w="9322" w:type="dxa"/>
        <w:tblLook w:val="04A0" w:firstRow="1" w:lastRow="0" w:firstColumn="1" w:lastColumn="0" w:noHBand="0" w:noVBand="1"/>
      </w:tblPr>
      <w:tblGrid>
        <w:gridCol w:w="3402"/>
        <w:gridCol w:w="1480"/>
        <w:gridCol w:w="1480"/>
        <w:gridCol w:w="1480"/>
        <w:gridCol w:w="1480"/>
      </w:tblGrid>
      <w:tr w:rsidRPr="00B52D66" w:rsidR="00B52D66" w:rsidTr="00FC2172" w14:paraId="5333E41C" w14:textId="77777777">
        <w:trPr>
          <w:trHeight w:val="290"/>
        </w:trPr>
        <w:tc>
          <w:tcPr>
            <w:tcW w:w="3402" w:type="dxa"/>
            <w:tcBorders>
              <w:top w:val="nil"/>
              <w:left w:val="nil"/>
              <w:bottom w:val="single" w:color="auto" w:sz="4" w:space="0"/>
              <w:right w:val="nil"/>
            </w:tcBorders>
            <w:noWrap/>
            <w:vAlign w:val="bottom"/>
            <w:hideMark/>
          </w:tcPr>
          <w:p w:rsidRPr="00B52D66" w:rsidR="00B52D66" w:rsidP="00FC2172" w:rsidRDefault="00B52D66" w14:paraId="23F11059" w14:textId="77777777">
            <w:pPr>
              <w:spacing w:line="240" w:lineRule="auto"/>
              <w:rPr>
                <w:rFonts w:cs="Arial"/>
                <w:szCs w:val="18"/>
                <w:lang w:eastAsia="en-GB"/>
              </w:rPr>
            </w:pPr>
            <w:r w:rsidRPr="00B52D66">
              <w:rPr>
                <w:rFonts w:cs="Arial"/>
                <w:szCs w:val="18"/>
                <w:lang w:eastAsia="en-GB"/>
              </w:rPr>
              <w:t> </w:t>
            </w:r>
          </w:p>
        </w:tc>
        <w:tc>
          <w:tcPr>
            <w:tcW w:w="1480" w:type="dxa"/>
            <w:tcBorders>
              <w:top w:val="single" w:color="auto" w:sz="4" w:space="0"/>
              <w:left w:val="nil"/>
              <w:bottom w:val="single" w:color="auto" w:sz="4" w:space="0"/>
              <w:right w:val="nil"/>
            </w:tcBorders>
            <w:noWrap/>
            <w:vAlign w:val="bottom"/>
            <w:hideMark/>
          </w:tcPr>
          <w:p w:rsidRPr="00B52D66" w:rsidR="00B52D66" w:rsidP="00FC2172" w:rsidRDefault="00B52D66" w14:paraId="720CDC5A" w14:textId="77777777">
            <w:pPr>
              <w:spacing w:line="240" w:lineRule="auto"/>
              <w:jc w:val="center"/>
              <w:rPr>
                <w:rFonts w:cs="Arial"/>
                <w:b/>
                <w:bCs/>
                <w:szCs w:val="18"/>
                <w:lang w:val="en-GB" w:eastAsia="en-GB"/>
              </w:rPr>
            </w:pPr>
            <w:r w:rsidRPr="00B52D66">
              <w:rPr>
                <w:rFonts w:cs="Arial"/>
                <w:b/>
                <w:bCs/>
                <w:szCs w:val="18"/>
                <w:lang w:val="en-GB" w:eastAsia="en-GB"/>
              </w:rPr>
              <w:t>2019/2020</w:t>
            </w:r>
          </w:p>
        </w:tc>
        <w:tc>
          <w:tcPr>
            <w:tcW w:w="1480" w:type="dxa"/>
            <w:tcBorders>
              <w:top w:val="single" w:color="auto" w:sz="4" w:space="0"/>
              <w:left w:val="nil"/>
              <w:bottom w:val="single" w:color="auto" w:sz="4" w:space="0"/>
              <w:right w:val="nil"/>
            </w:tcBorders>
            <w:noWrap/>
            <w:vAlign w:val="bottom"/>
            <w:hideMark/>
          </w:tcPr>
          <w:p w:rsidRPr="00B52D66" w:rsidR="00B52D66" w:rsidP="00FC2172" w:rsidRDefault="00B52D66" w14:paraId="726E6779" w14:textId="77777777">
            <w:pPr>
              <w:spacing w:line="240" w:lineRule="auto"/>
              <w:jc w:val="center"/>
              <w:rPr>
                <w:rFonts w:cs="Arial"/>
                <w:b/>
                <w:bCs/>
                <w:szCs w:val="18"/>
                <w:lang w:val="en-GB" w:eastAsia="en-GB"/>
              </w:rPr>
            </w:pPr>
            <w:r w:rsidRPr="00B52D66">
              <w:rPr>
                <w:rFonts w:cs="Arial"/>
                <w:b/>
                <w:bCs/>
                <w:szCs w:val="18"/>
                <w:lang w:val="en-GB" w:eastAsia="en-GB"/>
              </w:rPr>
              <w:t>2020/2021</w:t>
            </w:r>
          </w:p>
        </w:tc>
        <w:tc>
          <w:tcPr>
            <w:tcW w:w="1480" w:type="dxa"/>
            <w:tcBorders>
              <w:top w:val="single" w:color="auto" w:sz="4" w:space="0"/>
              <w:left w:val="nil"/>
              <w:bottom w:val="single" w:color="auto" w:sz="4" w:space="0"/>
              <w:right w:val="nil"/>
            </w:tcBorders>
            <w:noWrap/>
            <w:vAlign w:val="bottom"/>
            <w:hideMark/>
          </w:tcPr>
          <w:p w:rsidRPr="00B52D66" w:rsidR="00B52D66" w:rsidP="00FC2172" w:rsidRDefault="00B52D66" w14:paraId="108473B0" w14:textId="77777777">
            <w:pPr>
              <w:spacing w:line="240" w:lineRule="auto"/>
              <w:jc w:val="center"/>
              <w:rPr>
                <w:rFonts w:cs="Arial"/>
                <w:b/>
                <w:bCs/>
                <w:szCs w:val="18"/>
                <w:lang w:val="en-GB" w:eastAsia="en-GB"/>
              </w:rPr>
            </w:pPr>
            <w:r w:rsidRPr="00B52D66">
              <w:rPr>
                <w:rFonts w:cs="Arial"/>
                <w:b/>
                <w:bCs/>
                <w:szCs w:val="18"/>
                <w:lang w:val="en-GB" w:eastAsia="en-GB"/>
              </w:rPr>
              <w:t>2021/2022</w:t>
            </w:r>
          </w:p>
        </w:tc>
        <w:tc>
          <w:tcPr>
            <w:tcW w:w="1480" w:type="dxa"/>
            <w:tcBorders>
              <w:top w:val="single" w:color="auto" w:sz="4" w:space="0"/>
              <w:left w:val="nil"/>
              <w:bottom w:val="single" w:color="auto" w:sz="4" w:space="0"/>
              <w:right w:val="nil"/>
            </w:tcBorders>
            <w:noWrap/>
            <w:vAlign w:val="bottom"/>
            <w:hideMark/>
          </w:tcPr>
          <w:p w:rsidRPr="00B52D66" w:rsidR="00B52D66" w:rsidP="00FC2172" w:rsidRDefault="00B52D66" w14:paraId="4456DB9D" w14:textId="77777777">
            <w:pPr>
              <w:spacing w:line="240" w:lineRule="auto"/>
              <w:jc w:val="center"/>
              <w:rPr>
                <w:rFonts w:cs="Arial"/>
                <w:b/>
                <w:bCs/>
                <w:szCs w:val="18"/>
                <w:lang w:val="en-GB" w:eastAsia="en-GB"/>
              </w:rPr>
            </w:pPr>
            <w:r w:rsidRPr="00B52D66">
              <w:rPr>
                <w:rFonts w:cs="Arial"/>
                <w:b/>
                <w:bCs/>
                <w:szCs w:val="18"/>
                <w:lang w:val="en-GB" w:eastAsia="en-GB"/>
              </w:rPr>
              <w:t>2022/2023</w:t>
            </w:r>
          </w:p>
        </w:tc>
      </w:tr>
      <w:tr w:rsidRPr="00B52D66" w:rsidR="00B52D66" w:rsidTr="00FC2172" w14:paraId="22719CDF" w14:textId="77777777">
        <w:trPr>
          <w:trHeight w:val="290"/>
        </w:trPr>
        <w:tc>
          <w:tcPr>
            <w:tcW w:w="3402" w:type="dxa"/>
            <w:tcBorders>
              <w:top w:val="nil"/>
              <w:left w:val="nil"/>
              <w:bottom w:val="nil"/>
              <w:right w:val="nil"/>
            </w:tcBorders>
            <w:noWrap/>
            <w:vAlign w:val="bottom"/>
            <w:hideMark/>
          </w:tcPr>
          <w:p w:rsidRPr="00B52D66" w:rsidR="00B52D66" w:rsidP="00FC2172" w:rsidRDefault="00B52D66" w14:paraId="08C2EA5B" w14:textId="77777777">
            <w:pPr>
              <w:spacing w:line="240" w:lineRule="auto"/>
              <w:rPr>
                <w:rFonts w:cs="Arial"/>
                <w:b/>
                <w:bCs/>
                <w:szCs w:val="18"/>
                <w:lang w:val="en-GB" w:eastAsia="en-GB"/>
              </w:rPr>
            </w:pPr>
            <w:r w:rsidRPr="00B52D66">
              <w:rPr>
                <w:rFonts w:cs="Arial"/>
                <w:b/>
                <w:bCs/>
                <w:szCs w:val="18"/>
                <w:lang w:val="en-GB" w:eastAsia="en-GB"/>
              </w:rPr>
              <w:t>vmbo technische profielen</w:t>
            </w:r>
          </w:p>
        </w:tc>
        <w:tc>
          <w:tcPr>
            <w:tcW w:w="1480" w:type="dxa"/>
            <w:tcBorders>
              <w:top w:val="nil"/>
              <w:left w:val="nil"/>
              <w:bottom w:val="nil"/>
              <w:right w:val="nil"/>
            </w:tcBorders>
            <w:noWrap/>
            <w:vAlign w:val="bottom"/>
            <w:hideMark/>
          </w:tcPr>
          <w:p w:rsidRPr="00B52D66" w:rsidR="00B52D66" w:rsidP="00FC2172" w:rsidRDefault="00B52D66" w14:paraId="38A552EA" w14:textId="77777777">
            <w:pPr>
              <w:spacing w:line="240" w:lineRule="auto"/>
              <w:rPr>
                <w:rFonts w:cs="Arial"/>
                <w:b/>
                <w:bCs/>
                <w:szCs w:val="18"/>
                <w:lang w:val="en-GB" w:eastAsia="en-GB"/>
              </w:rPr>
            </w:pPr>
          </w:p>
        </w:tc>
        <w:tc>
          <w:tcPr>
            <w:tcW w:w="1480" w:type="dxa"/>
            <w:tcBorders>
              <w:top w:val="nil"/>
              <w:left w:val="nil"/>
              <w:bottom w:val="nil"/>
              <w:right w:val="nil"/>
            </w:tcBorders>
            <w:noWrap/>
            <w:vAlign w:val="bottom"/>
            <w:hideMark/>
          </w:tcPr>
          <w:p w:rsidRPr="00B52D66" w:rsidR="00B52D66" w:rsidP="00FC2172" w:rsidRDefault="00B52D66" w14:paraId="396ABB24" w14:textId="77777777">
            <w:pPr>
              <w:spacing w:line="240" w:lineRule="auto"/>
              <w:rPr>
                <w:rFonts w:cs="Arial"/>
                <w:szCs w:val="18"/>
                <w:lang w:val="en-GB" w:eastAsia="en-GB"/>
              </w:rPr>
            </w:pPr>
          </w:p>
        </w:tc>
        <w:tc>
          <w:tcPr>
            <w:tcW w:w="1480" w:type="dxa"/>
            <w:tcBorders>
              <w:top w:val="nil"/>
              <w:left w:val="nil"/>
              <w:bottom w:val="nil"/>
              <w:right w:val="nil"/>
            </w:tcBorders>
            <w:noWrap/>
            <w:vAlign w:val="bottom"/>
            <w:hideMark/>
          </w:tcPr>
          <w:p w:rsidRPr="00B52D66" w:rsidR="00B52D66" w:rsidP="00FC2172" w:rsidRDefault="00B52D66" w14:paraId="4E9A2FA4" w14:textId="77777777">
            <w:pPr>
              <w:spacing w:line="240" w:lineRule="auto"/>
              <w:rPr>
                <w:rFonts w:cs="Arial"/>
                <w:szCs w:val="18"/>
                <w:lang w:val="en-GB" w:eastAsia="en-GB"/>
              </w:rPr>
            </w:pPr>
          </w:p>
        </w:tc>
        <w:tc>
          <w:tcPr>
            <w:tcW w:w="1480" w:type="dxa"/>
            <w:tcBorders>
              <w:top w:val="nil"/>
              <w:left w:val="nil"/>
              <w:bottom w:val="nil"/>
              <w:right w:val="nil"/>
            </w:tcBorders>
            <w:noWrap/>
            <w:vAlign w:val="bottom"/>
            <w:hideMark/>
          </w:tcPr>
          <w:p w:rsidRPr="00B52D66" w:rsidR="00B52D66" w:rsidP="00FC2172" w:rsidRDefault="00B52D66" w14:paraId="0C227F12" w14:textId="77777777">
            <w:pPr>
              <w:spacing w:line="240" w:lineRule="auto"/>
              <w:rPr>
                <w:rFonts w:cs="Arial"/>
                <w:szCs w:val="18"/>
                <w:lang w:val="en-GB" w:eastAsia="en-GB"/>
              </w:rPr>
            </w:pPr>
          </w:p>
        </w:tc>
      </w:tr>
      <w:tr w:rsidRPr="00B52D66" w:rsidR="00B52D66" w:rsidTr="00FC2172" w14:paraId="166432FA" w14:textId="77777777">
        <w:trPr>
          <w:trHeight w:val="290"/>
        </w:trPr>
        <w:tc>
          <w:tcPr>
            <w:tcW w:w="3402" w:type="dxa"/>
            <w:tcBorders>
              <w:top w:val="nil"/>
              <w:left w:val="nil"/>
              <w:bottom w:val="nil"/>
              <w:right w:val="nil"/>
            </w:tcBorders>
            <w:noWrap/>
            <w:hideMark/>
          </w:tcPr>
          <w:p w:rsidRPr="00B52D66" w:rsidR="00B52D66" w:rsidP="00FC2172" w:rsidRDefault="00B52D66" w14:paraId="7B9BEDDA" w14:textId="77777777">
            <w:pPr>
              <w:spacing w:line="240" w:lineRule="auto"/>
              <w:rPr>
                <w:rFonts w:cs="Arial"/>
                <w:szCs w:val="18"/>
                <w:lang w:val="en-GB" w:eastAsia="en-GB"/>
              </w:rPr>
            </w:pPr>
            <w:r w:rsidRPr="00B52D66">
              <w:rPr>
                <w:rFonts w:cs="Arial"/>
                <w:szCs w:val="18"/>
                <w:lang w:val="en-GB" w:eastAsia="en-GB"/>
              </w:rPr>
              <w:t xml:space="preserve">   BWI</w:t>
            </w:r>
          </w:p>
        </w:tc>
        <w:tc>
          <w:tcPr>
            <w:tcW w:w="1480" w:type="dxa"/>
            <w:tcBorders>
              <w:top w:val="nil"/>
              <w:left w:val="nil"/>
              <w:bottom w:val="nil"/>
              <w:right w:val="nil"/>
            </w:tcBorders>
            <w:noWrap/>
            <w:vAlign w:val="bottom"/>
            <w:hideMark/>
          </w:tcPr>
          <w:p w:rsidRPr="00B52D66" w:rsidR="00B52D66" w:rsidP="00FC2172" w:rsidRDefault="00B52D66" w14:paraId="2800B20B" w14:textId="77777777">
            <w:pPr>
              <w:spacing w:line="240" w:lineRule="auto"/>
              <w:jc w:val="center"/>
              <w:rPr>
                <w:rFonts w:cs="Arial"/>
                <w:szCs w:val="18"/>
                <w:lang w:val="en-GB" w:eastAsia="en-GB"/>
              </w:rPr>
            </w:pPr>
            <w:r w:rsidRPr="00B52D66">
              <w:rPr>
                <w:rFonts w:cs="Arial"/>
                <w:szCs w:val="18"/>
                <w:lang w:val="en-GB" w:eastAsia="en-GB"/>
              </w:rPr>
              <w:t>8,8</w:t>
            </w:r>
          </w:p>
        </w:tc>
        <w:tc>
          <w:tcPr>
            <w:tcW w:w="1480" w:type="dxa"/>
            <w:tcBorders>
              <w:top w:val="nil"/>
              <w:left w:val="nil"/>
              <w:bottom w:val="nil"/>
              <w:right w:val="nil"/>
            </w:tcBorders>
            <w:noWrap/>
            <w:vAlign w:val="bottom"/>
            <w:hideMark/>
          </w:tcPr>
          <w:p w:rsidRPr="00B52D66" w:rsidR="00B52D66" w:rsidP="00FC2172" w:rsidRDefault="00B52D66" w14:paraId="3DBB0E90" w14:textId="77777777">
            <w:pPr>
              <w:spacing w:line="240" w:lineRule="auto"/>
              <w:jc w:val="center"/>
              <w:rPr>
                <w:rFonts w:cs="Arial"/>
                <w:szCs w:val="18"/>
                <w:lang w:val="en-GB" w:eastAsia="en-GB"/>
              </w:rPr>
            </w:pPr>
            <w:r w:rsidRPr="00B52D66">
              <w:rPr>
                <w:rFonts w:cs="Arial"/>
                <w:szCs w:val="18"/>
                <w:lang w:val="en-GB" w:eastAsia="en-GB"/>
              </w:rPr>
              <w:t>9,6</w:t>
            </w:r>
          </w:p>
        </w:tc>
        <w:tc>
          <w:tcPr>
            <w:tcW w:w="1480" w:type="dxa"/>
            <w:tcBorders>
              <w:top w:val="nil"/>
              <w:left w:val="nil"/>
              <w:bottom w:val="nil"/>
              <w:right w:val="nil"/>
            </w:tcBorders>
            <w:noWrap/>
            <w:vAlign w:val="bottom"/>
            <w:hideMark/>
          </w:tcPr>
          <w:p w:rsidRPr="00B52D66" w:rsidR="00B52D66" w:rsidP="00FC2172" w:rsidRDefault="00B52D66" w14:paraId="4C2A777D" w14:textId="77777777">
            <w:pPr>
              <w:spacing w:line="240" w:lineRule="auto"/>
              <w:jc w:val="center"/>
              <w:rPr>
                <w:rFonts w:cs="Arial"/>
                <w:szCs w:val="18"/>
                <w:lang w:val="en-GB" w:eastAsia="en-GB"/>
              </w:rPr>
            </w:pPr>
            <w:r w:rsidRPr="00B52D66">
              <w:rPr>
                <w:rFonts w:cs="Arial"/>
                <w:szCs w:val="18"/>
                <w:lang w:val="en-GB" w:eastAsia="en-GB"/>
              </w:rPr>
              <w:t>9,7</w:t>
            </w:r>
          </w:p>
        </w:tc>
        <w:tc>
          <w:tcPr>
            <w:tcW w:w="1480" w:type="dxa"/>
            <w:tcBorders>
              <w:top w:val="nil"/>
              <w:left w:val="nil"/>
              <w:bottom w:val="nil"/>
              <w:right w:val="nil"/>
            </w:tcBorders>
            <w:noWrap/>
            <w:vAlign w:val="bottom"/>
            <w:hideMark/>
          </w:tcPr>
          <w:p w:rsidRPr="00B52D66" w:rsidR="00B52D66" w:rsidP="00FC2172" w:rsidRDefault="00B52D66" w14:paraId="1436D3B3" w14:textId="77777777">
            <w:pPr>
              <w:spacing w:line="240" w:lineRule="auto"/>
              <w:jc w:val="center"/>
              <w:rPr>
                <w:rFonts w:cs="Arial"/>
                <w:szCs w:val="18"/>
                <w:lang w:val="en-GB" w:eastAsia="en-GB"/>
              </w:rPr>
            </w:pPr>
            <w:r w:rsidRPr="00B52D66">
              <w:rPr>
                <w:rFonts w:cs="Arial"/>
                <w:szCs w:val="18"/>
                <w:lang w:val="en-GB" w:eastAsia="en-GB"/>
              </w:rPr>
              <w:t>11,6</w:t>
            </w:r>
          </w:p>
        </w:tc>
      </w:tr>
      <w:tr w:rsidRPr="00B52D66" w:rsidR="00B52D66" w:rsidTr="00FC2172" w14:paraId="4984151E" w14:textId="77777777">
        <w:trPr>
          <w:trHeight w:val="290"/>
        </w:trPr>
        <w:tc>
          <w:tcPr>
            <w:tcW w:w="3402" w:type="dxa"/>
            <w:tcBorders>
              <w:top w:val="nil"/>
              <w:left w:val="nil"/>
              <w:bottom w:val="nil"/>
              <w:right w:val="nil"/>
            </w:tcBorders>
            <w:noWrap/>
            <w:hideMark/>
          </w:tcPr>
          <w:p w:rsidRPr="00B52D66" w:rsidR="00B52D66" w:rsidP="00FC2172" w:rsidRDefault="00B52D66" w14:paraId="1D045619" w14:textId="77777777">
            <w:pPr>
              <w:spacing w:line="240" w:lineRule="auto"/>
              <w:rPr>
                <w:rFonts w:cs="Arial"/>
                <w:szCs w:val="18"/>
                <w:lang w:val="en-GB" w:eastAsia="en-GB"/>
              </w:rPr>
            </w:pPr>
            <w:r w:rsidRPr="00B52D66">
              <w:rPr>
                <w:rFonts w:cs="Arial"/>
                <w:szCs w:val="18"/>
                <w:lang w:val="en-GB" w:eastAsia="en-GB"/>
              </w:rPr>
              <w:t xml:space="preserve">   MaT</w:t>
            </w:r>
          </w:p>
        </w:tc>
        <w:tc>
          <w:tcPr>
            <w:tcW w:w="1480" w:type="dxa"/>
            <w:tcBorders>
              <w:top w:val="nil"/>
              <w:left w:val="nil"/>
              <w:bottom w:val="nil"/>
              <w:right w:val="nil"/>
            </w:tcBorders>
            <w:noWrap/>
            <w:vAlign w:val="bottom"/>
            <w:hideMark/>
          </w:tcPr>
          <w:p w:rsidRPr="00B52D66" w:rsidR="00B52D66" w:rsidP="00FC2172" w:rsidRDefault="00B52D66" w14:paraId="4A67B62D" w14:textId="77777777">
            <w:pPr>
              <w:spacing w:line="240" w:lineRule="auto"/>
              <w:jc w:val="center"/>
              <w:rPr>
                <w:rFonts w:cs="Arial"/>
                <w:szCs w:val="18"/>
                <w:lang w:val="en-GB" w:eastAsia="en-GB"/>
              </w:rPr>
            </w:pPr>
            <w:r w:rsidRPr="00B52D66">
              <w:rPr>
                <w:rFonts w:cs="Arial"/>
                <w:szCs w:val="18"/>
                <w:lang w:val="en-GB" w:eastAsia="en-GB"/>
              </w:rPr>
              <w:t>23,0</w:t>
            </w:r>
          </w:p>
        </w:tc>
        <w:tc>
          <w:tcPr>
            <w:tcW w:w="1480" w:type="dxa"/>
            <w:tcBorders>
              <w:top w:val="nil"/>
              <w:left w:val="nil"/>
              <w:bottom w:val="nil"/>
              <w:right w:val="nil"/>
            </w:tcBorders>
            <w:noWrap/>
            <w:vAlign w:val="bottom"/>
            <w:hideMark/>
          </w:tcPr>
          <w:p w:rsidRPr="00B52D66" w:rsidR="00B52D66" w:rsidP="00FC2172" w:rsidRDefault="00B52D66" w14:paraId="07C4C5ED" w14:textId="77777777">
            <w:pPr>
              <w:spacing w:line="240" w:lineRule="auto"/>
              <w:jc w:val="center"/>
              <w:rPr>
                <w:rFonts w:cs="Arial"/>
                <w:szCs w:val="18"/>
                <w:lang w:val="en-GB" w:eastAsia="en-GB"/>
              </w:rPr>
            </w:pPr>
            <w:r w:rsidRPr="00B52D66">
              <w:rPr>
                <w:rFonts w:cs="Arial"/>
                <w:szCs w:val="18"/>
                <w:lang w:val="en-GB" w:eastAsia="en-GB"/>
              </w:rPr>
              <w:t>25,6</w:t>
            </w:r>
          </w:p>
        </w:tc>
        <w:tc>
          <w:tcPr>
            <w:tcW w:w="1480" w:type="dxa"/>
            <w:tcBorders>
              <w:top w:val="nil"/>
              <w:left w:val="nil"/>
              <w:bottom w:val="nil"/>
              <w:right w:val="nil"/>
            </w:tcBorders>
            <w:noWrap/>
            <w:vAlign w:val="bottom"/>
            <w:hideMark/>
          </w:tcPr>
          <w:p w:rsidRPr="00B52D66" w:rsidR="00B52D66" w:rsidP="00FC2172" w:rsidRDefault="00B52D66" w14:paraId="22E9C5F4" w14:textId="77777777">
            <w:pPr>
              <w:spacing w:line="240" w:lineRule="auto"/>
              <w:jc w:val="center"/>
              <w:rPr>
                <w:rFonts w:cs="Arial"/>
                <w:szCs w:val="18"/>
                <w:lang w:val="en-GB" w:eastAsia="en-GB"/>
              </w:rPr>
            </w:pPr>
            <w:r w:rsidRPr="00B52D66">
              <w:rPr>
                <w:rFonts w:cs="Arial"/>
                <w:szCs w:val="18"/>
                <w:lang w:val="en-GB" w:eastAsia="en-GB"/>
              </w:rPr>
              <w:t>28,9</w:t>
            </w:r>
          </w:p>
        </w:tc>
        <w:tc>
          <w:tcPr>
            <w:tcW w:w="1480" w:type="dxa"/>
            <w:tcBorders>
              <w:top w:val="nil"/>
              <w:left w:val="nil"/>
              <w:bottom w:val="nil"/>
              <w:right w:val="nil"/>
            </w:tcBorders>
            <w:noWrap/>
            <w:vAlign w:val="bottom"/>
            <w:hideMark/>
          </w:tcPr>
          <w:p w:rsidRPr="00B52D66" w:rsidR="00B52D66" w:rsidP="00FC2172" w:rsidRDefault="00B52D66" w14:paraId="7D5BE599" w14:textId="77777777">
            <w:pPr>
              <w:spacing w:line="240" w:lineRule="auto"/>
              <w:jc w:val="center"/>
              <w:rPr>
                <w:rFonts w:cs="Arial"/>
                <w:szCs w:val="18"/>
                <w:lang w:val="en-GB" w:eastAsia="en-GB"/>
              </w:rPr>
            </w:pPr>
            <w:r w:rsidRPr="00B52D66">
              <w:rPr>
                <w:rFonts w:cs="Arial"/>
                <w:szCs w:val="18"/>
                <w:lang w:val="en-GB" w:eastAsia="en-GB"/>
              </w:rPr>
              <w:t>26,3</w:t>
            </w:r>
          </w:p>
        </w:tc>
      </w:tr>
      <w:tr w:rsidRPr="00B52D66" w:rsidR="00B52D66" w:rsidTr="00FC2172" w14:paraId="5D63F5EE" w14:textId="77777777">
        <w:trPr>
          <w:trHeight w:val="290"/>
        </w:trPr>
        <w:tc>
          <w:tcPr>
            <w:tcW w:w="3402" w:type="dxa"/>
            <w:tcBorders>
              <w:top w:val="nil"/>
              <w:left w:val="nil"/>
              <w:bottom w:val="nil"/>
              <w:right w:val="nil"/>
            </w:tcBorders>
            <w:noWrap/>
            <w:hideMark/>
          </w:tcPr>
          <w:p w:rsidRPr="00B52D66" w:rsidR="00B52D66" w:rsidP="00FC2172" w:rsidRDefault="00B52D66" w14:paraId="6B2B0786" w14:textId="77777777">
            <w:pPr>
              <w:spacing w:line="240" w:lineRule="auto"/>
              <w:rPr>
                <w:rFonts w:cs="Arial"/>
                <w:szCs w:val="18"/>
                <w:lang w:val="en-GB" w:eastAsia="en-GB"/>
              </w:rPr>
            </w:pPr>
            <w:r w:rsidRPr="00B52D66">
              <w:rPr>
                <w:rFonts w:cs="Arial"/>
                <w:szCs w:val="18"/>
                <w:lang w:val="en-GB" w:eastAsia="en-GB"/>
              </w:rPr>
              <w:t xml:space="preserve">   MVI</w:t>
            </w:r>
          </w:p>
        </w:tc>
        <w:tc>
          <w:tcPr>
            <w:tcW w:w="1480" w:type="dxa"/>
            <w:tcBorders>
              <w:top w:val="nil"/>
              <w:left w:val="nil"/>
              <w:bottom w:val="nil"/>
              <w:right w:val="nil"/>
            </w:tcBorders>
            <w:noWrap/>
            <w:vAlign w:val="bottom"/>
            <w:hideMark/>
          </w:tcPr>
          <w:p w:rsidRPr="00B52D66" w:rsidR="00B52D66" w:rsidP="00FC2172" w:rsidRDefault="00B52D66" w14:paraId="6CCC8189" w14:textId="77777777">
            <w:pPr>
              <w:spacing w:line="240" w:lineRule="auto"/>
              <w:jc w:val="center"/>
              <w:rPr>
                <w:rFonts w:cs="Arial"/>
                <w:szCs w:val="18"/>
                <w:lang w:val="en-GB" w:eastAsia="en-GB"/>
              </w:rPr>
            </w:pPr>
            <w:r w:rsidRPr="00B52D66">
              <w:rPr>
                <w:rFonts w:cs="Arial"/>
                <w:szCs w:val="18"/>
                <w:lang w:val="en-GB" w:eastAsia="en-GB"/>
              </w:rPr>
              <w:t>33,2</w:t>
            </w:r>
          </w:p>
        </w:tc>
        <w:tc>
          <w:tcPr>
            <w:tcW w:w="1480" w:type="dxa"/>
            <w:tcBorders>
              <w:top w:val="nil"/>
              <w:left w:val="nil"/>
              <w:bottom w:val="nil"/>
              <w:right w:val="nil"/>
            </w:tcBorders>
            <w:noWrap/>
            <w:vAlign w:val="bottom"/>
            <w:hideMark/>
          </w:tcPr>
          <w:p w:rsidRPr="00B52D66" w:rsidR="00B52D66" w:rsidP="00FC2172" w:rsidRDefault="00B52D66" w14:paraId="7C92474C" w14:textId="77777777">
            <w:pPr>
              <w:spacing w:line="240" w:lineRule="auto"/>
              <w:jc w:val="center"/>
              <w:rPr>
                <w:rFonts w:cs="Arial"/>
                <w:szCs w:val="18"/>
                <w:lang w:val="en-GB" w:eastAsia="en-GB"/>
              </w:rPr>
            </w:pPr>
            <w:r w:rsidRPr="00B52D66">
              <w:rPr>
                <w:rFonts w:cs="Arial"/>
                <w:szCs w:val="18"/>
                <w:lang w:val="en-GB" w:eastAsia="en-GB"/>
              </w:rPr>
              <w:t>35,5</w:t>
            </w:r>
          </w:p>
        </w:tc>
        <w:tc>
          <w:tcPr>
            <w:tcW w:w="1480" w:type="dxa"/>
            <w:tcBorders>
              <w:top w:val="nil"/>
              <w:left w:val="nil"/>
              <w:bottom w:val="nil"/>
              <w:right w:val="nil"/>
            </w:tcBorders>
            <w:noWrap/>
            <w:vAlign w:val="bottom"/>
            <w:hideMark/>
          </w:tcPr>
          <w:p w:rsidRPr="00B52D66" w:rsidR="00B52D66" w:rsidP="00FC2172" w:rsidRDefault="00B52D66" w14:paraId="12C6296C" w14:textId="77777777">
            <w:pPr>
              <w:spacing w:line="240" w:lineRule="auto"/>
              <w:jc w:val="center"/>
              <w:rPr>
                <w:rFonts w:cs="Arial"/>
                <w:szCs w:val="18"/>
                <w:lang w:val="en-GB" w:eastAsia="en-GB"/>
              </w:rPr>
            </w:pPr>
            <w:r w:rsidRPr="00B52D66">
              <w:rPr>
                <w:rFonts w:cs="Arial"/>
                <w:szCs w:val="18"/>
                <w:lang w:val="en-GB" w:eastAsia="en-GB"/>
              </w:rPr>
              <w:t>39,1</w:t>
            </w:r>
          </w:p>
        </w:tc>
        <w:tc>
          <w:tcPr>
            <w:tcW w:w="1480" w:type="dxa"/>
            <w:tcBorders>
              <w:top w:val="nil"/>
              <w:left w:val="nil"/>
              <w:bottom w:val="nil"/>
              <w:right w:val="nil"/>
            </w:tcBorders>
            <w:noWrap/>
            <w:vAlign w:val="bottom"/>
            <w:hideMark/>
          </w:tcPr>
          <w:p w:rsidRPr="00B52D66" w:rsidR="00B52D66" w:rsidP="00FC2172" w:rsidRDefault="00B52D66" w14:paraId="572FBC9F" w14:textId="77777777">
            <w:pPr>
              <w:spacing w:line="240" w:lineRule="auto"/>
              <w:jc w:val="center"/>
              <w:rPr>
                <w:rFonts w:cs="Arial"/>
                <w:szCs w:val="18"/>
                <w:lang w:val="en-GB" w:eastAsia="en-GB"/>
              </w:rPr>
            </w:pPr>
            <w:r w:rsidRPr="00B52D66">
              <w:rPr>
                <w:rFonts w:cs="Arial"/>
                <w:szCs w:val="18"/>
                <w:lang w:val="en-GB" w:eastAsia="en-GB"/>
              </w:rPr>
              <w:t>43,4</w:t>
            </w:r>
          </w:p>
        </w:tc>
      </w:tr>
      <w:tr w:rsidRPr="00B52D66" w:rsidR="00B52D66" w:rsidTr="00FC2172" w14:paraId="5B6CC0B7" w14:textId="77777777">
        <w:trPr>
          <w:trHeight w:val="290"/>
        </w:trPr>
        <w:tc>
          <w:tcPr>
            <w:tcW w:w="3402" w:type="dxa"/>
            <w:tcBorders>
              <w:top w:val="nil"/>
              <w:left w:val="nil"/>
              <w:bottom w:val="nil"/>
              <w:right w:val="nil"/>
            </w:tcBorders>
            <w:noWrap/>
            <w:hideMark/>
          </w:tcPr>
          <w:p w:rsidRPr="00B52D66" w:rsidR="00B52D66" w:rsidP="00FC2172" w:rsidRDefault="00B52D66" w14:paraId="5EDE80F4" w14:textId="77777777">
            <w:pPr>
              <w:spacing w:line="240" w:lineRule="auto"/>
              <w:rPr>
                <w:rFonts w:cs="Arial"/>
                <w:szCs w:val="18"/>
                <w:lang w:val="en-GB" w:eastAsia="en-GB"/>
              </w:rPr>
            </w:pPr>
            <w:r w:rsidRPr="00B52D66">
              <w:rPr>
                <w:rFonts w:cs="Arial"/>
                <w:szCs w:val="18"/>
                <w:lang w:val="en-GB" w:eastAsia="en-GB"/>
              </w:rPr>
              <w:t xml:space="preserve">   M&amp;T</w:t>
            </w:r>
          </w:p>
        </w:tc>
        <w:tc>
          <w:tcPr>
            <w:tcW w:w="1480" w:type="dxa"/>
            <w:tcBorders>
              <w:top w:val="nil"/>
              <w:left w:val="nil"/>
              <w:bottom w:val="nil"/>
              <w:right w:val="nil"/>
            </w:tcBorders>
            <w:noWrap/>
            <w:vAlign w:val="bottom"/>
            <w:hideMark/>
          </w:tcPr>
          <w:p w:rsidRPr="00B52D66" w:rsidR="00B52D66" w:rsidP="00FC2172" w:rsidRDefault="00B52D66" w14:paraId="1905F426" w14:textId="77777777">
            <w:pPr>
              <w:spacing w:line="240" w:lineRule="auto"/>
              <w:jc w:val="center"/>
              <w:rPr>
                <w:rFonts w:cs="Arial"/>
                <w:szCs w:val="18"/>
                <w:lang w:val="en-GB" w:eastAsia="en-GB"/>
              </w:rPr>
            </w:pPr>
            <w:r w:rsidRPr="00B52D66">
              <w:rPr>
                <w:rFonts w:cs="Arial"/>
                <w:szCs w:val="18"/>
                <w:lang w:val="en-GB" w:eastAsia="en-GB"/>
              </w:rPr>
              <w:t>13,6</w:t>
            </w:r>
          </w:p>
        </w:tc>
        <w:tc>
          <w:tcPr>
            <w:tcW w:w="1480" w:type="dxa"/>
            <w:tcBorders>
              <w:top w:val="nil"/>
              <w:left w:val="nil"/>
              <w:bottom w:val="nil"/>
              <w:right w:val="nil"/>
            </w:tcBorders>
            <w:noWrap/>
            <w:vAlign w:val="bottom"/>
            <w:hideMark/>
          </w:tcPr>
          <w:p w:rsidRPr="00B52D66" w:rsidR="00B52D66" w:rsidP="00FC2172" w:rsidRDefault="00B52D66" w14:paraId="147411AD" w14:textId="77777777">
            <w:pPr>
              <w:spacing w:line="240" w:lineRule="auto"/>
              <w:jc w:val="center"/>
              <w:rPr>
                <w:rFonts w:cs="Arial"/>
                <w:szCs w:val="18"/>
                <w:lang w:val="en-GB" w:eastAsia="en-GB"/>
              </w:rPr>
            </w:pPr>
            <w:r w:rsidRPr="00B52D66">
              <w:rPr>
                <w:rFonts w:cs="Arial"/>
                <w:szCs w:val="18"/>
                <w:lang w:val="en-GB" w:eastAsia="en-GB"/>
              </w:rPr>
              <w:t>14,3</w:t>
            </w:r>
          </w:p>
        </w:tc>
        <w:tc>
          <w:tcPr>
            <w:tcW w:w="1480" w:type="dxa"/>
            <w:tcBorders>
              <w:top w:val="nil"/>
              <w:left w:val="nil"/>
              <w:bottom w:val="nil"/>
              <w:right w:val="nil"/>
            </w:tcBorders>
            <w:noWrap/>
            <w:vAlign w:val="bottom"/>
            <w:hideMark/>
          </w:tcPr>
          <w:p w:rsidRPr="00B52D66" w:rsidR="00B52D66" w:rsidP="00FC2172" w:rsidRDefault="00B52D66" w14:paraId="43D6D258" w14:textId="77777777">
            <w:pPr>
              <w:spacing w:line="240" w:lineRule="auto"/>
              <w:jc w:val="center"/>
              <w:rPr>
                <w:rFonts w:cs="Arial"/>
                <w:szCs w:val="18"/>
                <w:lang w:val="en-GB" w:eastAsia="en-GB"/>
              </w:rPr>
            </w:pPr>
            <w:r w:rsidRPr="00B52D66">
              <w:rPr>
                <w:rFonts w:cs="Arial"/>
                <w:szCs w:val="18"/>
                <w:lang w:val="en-GB" w:eastAsia="en-GB"/>
              </w:rPr>
              <w:t>14,0</w:t>
            </w:r>
          </w:p>
        </w:tc>
        <w:tc>
          <w:tcPr>
            <w:tcW w:w="1480" w:type="dxa"/>
            <w:tcBorders>
              <w:top w:val="nil"/>
              <w:left w:val="nil"/>
              <w:bottom w:val="nil"/>
              <w:right w:val="nil"/>
            </w:tcBorders>
            <w:noWrap/>
            <w:vAlign w:val="bottom"/>
            <w:hideMark/>
          </w:tcPr>
          <w:p w:rsidRPr="00B52D66" w:rsidR="00B52D66" w:rsidP="00FC2172" w:rsidRDefault="00B52D66" w14:paraId="23505229" w14:textId="77777777">
            <w:pPr>
              <w:spacing w:line="240" w:lineRule="auto"/>
              <w:jc w:val="center"/>
              <w:rPr>
                <w:rFonts w:cs="Arial"/>
                <w:szCs w:val="18"/>
                <w:lang w:val="en-GB" w:eastAsia="en-GB"/>
              </w:rPr>
            </w:pPr>
            <w:r w:rsidRPr="00B52D66">
              <w:rPr>
                <w:rFonts w:cs="Arial"/>
                <w:szCs w:val="18"/>
                <w:lang w:val="en-GB" w:eastAsia="en-GB"/>
              </w:rPr>
              <w:t>16,5</w:t>
            </w:r>
          </w:p>
        </w:tc>
      </w:tr>
      <w:tr w:rsidRPr="00B52D66" w:rsidR="00B52D66" w:rsidTr="00FC2172" w14:paraId="2B29723A" w14:textId="77777777">
        <w:trPr>
          <w:trHeight w:val="290"/>
        </w:trPr>
        <w:tc>
          <w:tcPr>
            <w:tcW w:w="3402" w:type="dxa"/>
            <w:tcBorders>
              <w:top w:val="nil"/>
              <w:left w:val="nil"/>
              <w:bottom w:val="nil"/>
              <w:right w:val="nil"/>
            </w:tcBorders>
            <w:noWrap/>
            <w:hideMark/>
          </w:tcPr>
          <w:p w:rsidRPr="00B52D66" w:rsidR="00B52D66" w:rsidP="00FC2172" w:rsidRDefault="00B52D66" w14:paraId="762A13CE" w14:textId="77777777">
            <w:pPr>
              <w:spacing w:line="240" w:lineRule="auto"/>
              <w:rPr>
                <w:rFonts w:cs="Arial"/>
                <w:szCs w:val="18"/>
                <w:lang w:val="en-GB" w:eastAsia="en-GB"/>
              </w:rPr>
            </w:pPr>
            <w:r w:rsidRPr="00B52D66">
              <w:rPr>
                <w:rFonts w:cs="Arial"/>
                <w:szCs w:val="18"/>
                <w:lang w:val="en-GB" w:eastAsia="en-GB"/>
              </w:rPr>
              <w:t xml:space="preserve">   PIE</w:t>
            </w:r>
          </w:p>
        </w:tc>
        <w:tc>
          <w:tcPr>
            <w:tcW w:w="1480" w:type="dxa"/>
            <w:tcBorders>
              <w:top w:val="nil"/>
              <w:left w:val="nil"/>
              <w:bottom w:val="nil"/>
              <w:right w:val="nil"/>
            </w:tcBorders>
            <w:noWrap/>
            <w:vAlign w:val="bottom"/>
            <w:hideMark/>
          </w:tcPr>
          <w:p w:rsidRPr="00B52D66" w:rsidR="00B52D66" w:rsidP="00FC2172" w:rsidRDefault="00B52D66" w14:paraId="4746B22F" w14:textId="77777777">
            <w:pPr>
              <w:spacing w:line="240" w:lineRule="auto"/>
              <w:jc w:val="center"/>
              <w:rPr>
                <w:rFonts w:cs="Arial"/>
                <w:szCs w:val="18"/>
                <w:lang w:val="en-GB" w:eastAsia="en-GB"/>
              </w:rPr>
            </w:pPr>
            <w:r w:rsidRPr="00B52D66">
              <w:rPr>
                <w:rFonts w:cs="Arial"/>
                <w:szCs w:val="18"/>
                <w:lang w:val="en-GB" w:eastAsia="en-GB"/>
              </w:rPr>
              <w:t>17,6</w:t>
            </w:r>
          </w:p>
        </w:tc>
        <w:tc>
          <w:tcPr>
            <w:tcW w:w="1480" w:type="dxa"/>
            <w:tcBorders>
              <w:top w:val="nil"/>
              <w:left w:val="nil"/>
              <w:bottom w:val="nil"/>
              <w:right w:val="nil"/>
            </w:tcBorders>
            <w:noWrap/>
            <w:vAlign w:val="bottom"/>
            <w:hideMark/>
          </w:tcPr>
          <w:p w:rsidRPr="00B52D66" w:rsidR="00B52D66" w:rsidP="00FC2172" w:rsidRDefault="00B52D66" w14:paraId="7E2E81B9" w14:textId="77777777">
            <w:pPr>
              <w:spacing w:line="240" w:lineRule="auto"/>
              <w:jc w:val="center"/>
              <w:rPr>
                <w:rFonts w:cs="Arial"/>
                <w:szCs w:val="18"/>
                <w:lang w:val="en-GB" w:eastAsia="en-GB"/>
              </w:rPr>
            </w:pPr>
            <w:r w:rsidRPr="00B52D66">
              <w:rPr>
                <w:rFonts w:cs="Arial"/>
                <w:szCs w:val="18"/>
                <w:lang w:val="en-GB" w:eastAsia="en-GB"/>
              </w:rPr>
              <w:t>20,4</w:t>
            </w:r>
          </w:p>
        </w:tc>
        <w:tc>
          <w:tcPr>
            <w:tcW w:w="1480" w:type="dxa"/>
            <w:tcBorders>
              <w:top w:val="nil"/>
              <w:left w:val="nil"/>
              <w:bottom w:val="nil"/>
              <w:right w:val="nil"/>
            </w:tcBorders>
            <w:noWrap/>
            <w:vAlign w:val="bottom"/>
            <w:hideMark/>
          </w:tcPr>
          <w:p w:rsidRPr="00B52D66" w:rsidR="00B52D66" w:rsidP="00FC2172" w:rsidRDefault="00B52D66" w14:paraId="59338F71" w14:textId="77777777">
            <w:pPr>
              <w:spacing w:line="240" w:lineRule="auto"/>
              <w:jc w:val="center"/>
              <w:rPr>
                <w:rFonts w:cs="Arial"/>
                <w:szCs w:val="18"/>
                <w:lang w:val="en-GB" w:eastAsia="en-GB"/>
              </w:rPr>
            </w:pPr>
            <w:r w:rsidRPr="00B52D66">
              <w:rPr>
                <w:rFonts w:cs="Arial"/>
                <w:szCs w:val="18"/>
                <w:lang w:val="en-GB" w:eastAsia="en-GB"/>
              </w:rPr>
              <w:t>20,8</w:t>
            </w:r>
          </w:p>
        </w:tc>
        <w:tc>
          <w:tcPr>
            <w:tcW w:w="1480" w:type="dxa"/>
            <w:tcBorders>
              <w:top w:val="nil"/>
              <w:left w:val="nil"/>
              <w:bottom w:val="nil"/>
              <w:right w:val="nil"/>
            </w:tcBorders>
            <w:noWrap/>
            <w:vAlign w:val="bottom"/>
            <w:hideMark/>
          </w:tcPr>
          <w:p w:rsidRPr="00B52D66" w:rsidR="00B52D66" w:rsidP="00FC2172" w:rsidRDefault="00B52D66" w14:paraId="2A12B7FF" w14:textId="77777777">
            <w:pPr>
              <w:spacing w:line="240" w:lineRule="auto"/>
              <w:jc w:val="center"/>
              <w:rPr>
                <w:rFonts w:cs="Arial"/>
                <w:szCs w:val="18"/>
                <w:lang w:val="en-GB" w:eastAsia="en-GB"/>
              </w:rPr>
            </w:pPr>
            <w:r w:rsidRPr="00B52D66">
              <w:rPr>
                <w:rFonts w:cs="Arial"/>
                <w:szCs w:val="18"/>
                <w:lang w:val="en-GB" w:eastAsia="en-GB"/>
              </w:rPr>
              <w:t>19,9</w:t>
            </w:r>
          </w:p>
        </w:tc>
      </w:tr>
      <w:tr w:rsidRPr="00B52D66" w:rsidR="00B52D66" w:rsidTr="00FC2172" w14:paraId="4C4B92EC" w14:textId="77777777">
        <w:trPr>
          <w:trHeight w:val="290"/>
        </w:trPr>
        <w:tc>
          <w:tcPr>
            <w:tcW w:w="3402" w:type="dxa"/>
            <w:tcBorders>
              <w:top w:val="nil"/>
              <w:left w:val="nil"/>
              <w:bottom w:val="nil"/>
              <w:right w:val="nil"/>
            </w:tcBorders>
            <w:noWrap/>
            <w:vAlign w:val="bottom"/>
            <w:hideMark/>
          </w:tcPr>
          <w:p w:rsidRPr="00B52D66" w:rsidR="00B52D66" w:rsidP="00FC2172" w:rsidRDefault="00B52D66" w14:paraId="700FE493" w14:textId="77777777">
            <w:pPr>
              <w:spacing w:line="240" w:lineRule="auto"/>
              <w:rPr>
                <w:rFonts w:cs="Arial"/>
                <w:b/>
                <w:bCs/>
                <w:szCs w:val="18"/>
                <w:lang w:val="en-GB" w:eastAsia="en-GB"/>
              </w:rPr>
            </w:pPr>
            <w:r w:rsidRPr="00B52D66">
              <w:rPr>
                <w:rFonts w:cs="Arial"/>
                <w:b/>
                <w:bCs/>
                <w:szCs w:val="18"/>
                <w:lang w:val="en-GB" w:eastAsia="en-GB"/>
              </w:rPr>
              <w:t>vmbo niet-technische profielen</w:t>
            </w:r>
          </w:p>
        </w:tc>
        <w:tc>
          <w:tcPr>
            <w:tcW w:w="1480" w:type="dxa"/>
            <w:tcBorders>
              <w:top w:val="nil"/>
              <w:left w:val="nil"/>
              <w:bottom w:val="nil"/>
              <w:right w:val="nil"/>
            </w:tcBorders>
            <w:noWrap/>
            <w:vAlign w:val="bottom"/>
            <w:hideMark/>
          </w:tcPr>
          <w:p w:rsidRPr="00B52D66" w:rsidR="00B52D66" w:rsidP="00FC2172" w:rsidRDefault="00B52D66" w14:paraId="2CC0BC83" w14:textId="77777777">
            <w:pPr>
              <w:spacing w:line="240" w:lineRule="auto"/>
              <w:rPr>
                <w:rFonts w:cs="Arial"/>
                <w:b/>
                <w:bCs/>
                <w:szCs w:val="18"/>
                <w:lang w:val="en-GB" w:eastAsia="en-GB"/>
              </w:rPr>
            </w:pPr>
          </w:p>
        </w:tc>
        <w:tc>
          <w:tcPr>
            <w:tcW w:w="1480" w:type="dxa"/>
            <w:tcBorders>
              <w:top w:val="nil"/>
              <w:left w:val="nil"/>
              <w:bottom w:val="nil"/>
              <w:right w:val="nil"/>
            </w:tcBorders>
            <w:noWrap/>
            <w:vAlign w:val="bottom"/>
            <w:hideMark/>
          </w:tcPr>
          <w:p w:rsidRPr="00B52D66" w:rsidR="00B52D66" w:rsidP="00FC2172" w:rsidRDefault="00B52D66" w14:paraId="790CB0A6" w14:textId="77777777">
            <w:pPr>
              <w:spacing w:line="240" w:lineRule="auto"/>
              <w:jc w:val="center"/>
              <w:rPr>
                <w:rFonts w:cs="Arial"/>
                <w:szCs w:val="18"/>
                <w:lang w:val="en-GB" w:eastAsia="en-GB"/>
              </w:rPr>
            </w:pPr>
          </w:p>
        </w:tc>
        <w:tc>
          <w:tcPr>
            <w:tcW w:w="1480" w:type="dxa"/>
            <w:tcBorders>
              <w:top w:val="nil"/>
              <w:left w:val="nil"/>
              <w:bottom w:val="nil"/>
              <w:right w:val="nil"/>
            </w:tcBorders>
            <w:noWrap/>
            <w:vAlign w:val="bottom"/>
            <w:hideMark/>
          </w:tcPr>
          <w:p w:rsidRPr="00B52D66" w:rsidR="00B52D66" w:rsidP="00FC2172" w:rsidRDefault="00B52D66" w14:paraId="76E1BFF2" w14:textId="77777777">
            <w:pPr>
              <w:spacing w:line="240" w:lineRule="auto"/>
              <w:jc w:val="center"/>
              <w:rPr>
                <w:rFonts w:cs="Arial"/>
                <w:szCs w:val="18"/>
                <w:lang w:val="en-GB" w:eastAsia="en-GB"/>
              </w:rPr>
            </w:pPr>
          </w:p>
        </w:tc>
        <w:tc>
          <w:tcPr>
            <w:tcW w:w="1480" w:type="dxa"/>
            <w:tcBorders>
              <w:top w:val="nil"/>
              <w:left w:val="nil"/>
              <w:bottom w:val="nil"/>
              <w:right w:val="nil"/>
            </w:tcBorders>
            <w:noWrap/>
            <w:vAlign w:val="bottom"/>
            <w:hideMark/>
          </w:tcPr>
          <w:p w:rsidRPr="00B52D66" w:rsidR="00B52D66" w:rsidP="00FC2172" w:rsidRDefault="00B52D66" w14:paraId="4D8D99A1" w14:textId="77777777">
            <w:pPr>
              <w:spacing w:line="240" w:lineRule="auto"/>
              <w:jc w:val="center"/>
              <w:rPr>
                <w:rFonts w:cs="Arial"/>
                <w:szCs w:val="18"/>
                <w:lang w:val="en-GB" w:eastAsia="en-GB"/>
              </w:rPr>
            </w:pPr>
          </w:p>
        </w:tc>
      </w:tr>
      <w:tr w:rsidRPr="00B52D66" w:rsidR="00B52D66" w:rsidTr="00FC2172" w14:paraId="7E304EDC" w14:textId="77777777">
        <w:trPr>
          <w:trHeight w:val="290"/>
        </w:trPr>
        <w:tc>
          <w:tcPr>
            <w:tcW w:w="3402" w:type="dxa"/>
            <w:tcBorders>
              <w:top w:val="nil"/>
              <w:left w:val="nil"/>
              <w:bottom w:val="nil"/>
              <w:right w:val="nil"/>
            </w:tcBorders>
            <w:noWrap/>
            <w:vAlign w:val="bottom"/>
            <w:hideMark/>
          </w:tcPr>
          <w:p w:rsidRPr="00B52D66" w:rsidR="00B52D66" w:rsidP="00FC2172" w:rsidRDefault="00B52D66" w14:paraId="0A5054FC" w14:textId="77777777">
            <w:pPr>
              <w:spacing w:line="240" w:lineRule="auto"/>
              <w:rPr>
                <w:rFonts w:cs="Arial"/>
                <w:szCs w:val="18"/>
                <w:lang w:val="en-GB" w:eastAsia="en-GB"/>
              </w:rPr>
            </w:pPr>
            <w:r w:rsidRPr="00B52D66">
              <w:rPr>
                <w:rFonts w:cs="Arial"/>
                <w:szCs w:val="18"/>
                <w:lang w:val="en-GB" w:eastAsia="en-GB"/>
              </w:rPr>
              <w:t xml:space="preserve">   D&amp;P</w:t>
            </w:r>
          </w:p>
        </w:tc>
        <w:tc>
          <w:tcPr>
            <w:tcW w:w="1480" w:type="dxa"/>
            <w:tcBorders>
              <w:top w:val="nil"/>
              <w:left w:val="nil"/>
              <w:bottom w:val="nil"/>
              <w:right w:val="nil"/>
            </w:tcBorders>
            <w:noWrap/>
            <w:vAlign w:val="bottom"/>
            <w:hideMark/>
          </w:tcPr>
          <w:p w:rsidRPr="00B52D66" w:rsidR="00B52D66" w:rsidP="00FC2172" w:rsidRDefault="00B52D66" w14:paraId="46D8F494" w14:textId="77777777">
            <w:pPr>
              <w:spacing w:line="240" w:lineRule="auto"/>
              <w:jc w:val="center"/>
              <w:rPr>
                <w:rFonts w:cs="Arial"/>
                <w:szCs w:val="18"/>
                <w:lang w:val="en-GB" w:eastAsia="en-GB"/>
              </w:rPr>
            </w:pPr>
            <w:r w:rsidRPr="00B52D66">
              <w:rPr>
                <w:rFonts w:cs="Arial"/>
                <w:szCs w:val="18"/>
                <w:lang w:val="en-GB" w:eastAsia="en-GB"/>
              </w:rPr>
              <w:t>21,6</w:t>
            </w:r>
          </w:p>
        </w:tc>
        <w:tc>
          <w:tcPr>
            <w:tcW w:w="1480" w:type="dxa"/>
            <w:tcBorders>
              <w:top w:val="nil"/>
              <w:left w:val="nil"/>
              <w:bottom w:val="nil"/>
              <w:right w:val="nil"/>
            </w:tcBorders>
            <w:noWrap/>
            <w:vAlign w:val="bottom"/>
            <w:hideMark/>
          </w:tcPr>
          <w:p w:rsidRPr="00B52D66" w:rsidR="00B52D66" w:rsidP="00FC2172" w:rsidRDefault="00B52D66" w14:paraId="0C2BB1FA" w14:textId="77777777">
            <w:pPr>
              <w:spacing w:line="240" w:lineRule="auto"/>
              <w:jc w:val="center"/>
              <w:rPr>
                <w:rFonts w:cs="Arial"/>
                <w:szCs w:val="18"/>
                <w:lang w:val="en-GB" w:eastAsia="en-GB"/>
              </w:rPr>
            </w:pPr>
            <w:r w:rsidRPr="00B52D66">
              <w:rPr>
                <w:rFonts w:cs="Arial"/>
                <w:szCs w:val="18"/>
                <w:lang w:val="en-GB" w:eastAsia="en-GB"/>
              </w:rPr>
              <w:t>25,6</w:t>
            </w:r>
          </w:p>
        </w:tc>
        <w:tc>
          <w:tcPr>
            <w:tcW w:w="1480" w:type="dxa"/>
            <w:tcBorders>
              <w:top w:val="nil"/>
              <w:left w:val="nil"/>
              <w:bottom w:val="nil"/>
              <w:right w:val="nil"/>
            </w:tcBorders>
            <w:noWrap/>
            <w:vAlign w:val="bottom"/>
            <w:hideMark/>
          </w:tcPr>
          <w:p w:rsidRPr="00B52D66" w:rsidR="00B52D66" w:rsidP="00FC2172" w:rsidRDefault="00B52D66" w14:paraId="03577FFE" w14:textId="77777777">
            <w:pPr>
              <w:spacing w:line="240" w:lineRule="auto"/>
              <w:jc w:val="center"/>
              <w:rPr>
                <w:rFonts w:cs="Arial"/>
                <w:szCs w:val="18"/>
                <w:lang w:val="en-GB" w:eastAsia="en-GB"/>
              </w:rPr>
            </w:pPr>
            <w:r w:rsidRPr="00B52D66">
              <w:rPr>
                <w:rFonts w:cs="Arial"/>
                <w:szCs w:val="18"/>
                <w:lang w:val="en-GB" w:eastAsia="en-GB"/>
              </w:rPr>
              <w:t>25,2</w:t>
            </w:r>
          </w:p>
        </w:tc>
        <w:tc>
          <w:tcPr>
            <w:tcW w:w="1480" w:type="dxa"/>
            <w:tcBorders>
              <w:top w:val="nil"/>
              <w:left w:val="nil"/>
              <w:bottom w:val="nil"/>
              <w:right w:val="nil"/>
            </w:tcBorders>
            <w:noWrap/>
            <w:vAlign w:val="bottom"/>
            <w:hideMark/>
          </w:tcPr>
          <w:p w:rsidRPr="00B52D66" w:rsidR="00B52D66" w:rsidP="00FC2172" w:rsidRDefault="00B52D66" w14:paraId="4ED5E147" w14:textId="77777777">
            <w:pPr>
              <w:spacing w:line="240" w:lineRule="auto"/>
              <w:jc w:val="center"/>
              <w:rPr>
                <w:rFonts w:cs="Arial"/>
                <w:szCs w:val="18"/>
                <w:lang w:val="en-GB" w:eastAsia="en-GB"/>
              </w:rPr>
            </w:pPr>
            <w:r w:rsidRPr="00B52D66">
              <w:rPr>
                <w:rFonts w:cs="Arial"/>
                <w:szCs w:val="18"/>
                <w:lang w:val="en-GB" w:eastAsia="en-GB"/>
              </w:rPr>
              <w:t>24,2</w:t>
            </w:r>
          </w:p>
        </w:tc>
      </w:tr>
      <w:tr w:rsidRPr="00B52D66" w:rsidR="00B52D66" w:rsidTr="00FC2172" w14:paraId="0C390BC6" w14:textId="77777777">
        <w:trPr>
          <w:trHeight w:val="290"/>
        </w:trPr>
        <w:tc>
          <w:tcPr>
            <w:tcW w:w="3402" w:type="dxa"/>
            <w:tcBorders>
              <w:top w:val="nil"/>
              <w:left w:val="nil"/>
              <w:bottom w:val="nil"/>
              <w:right w:val="nil"/>
            </w:tcBorders>
            <w:noWrap/>
            <w:vAlign w:val="bottom"/>
            <w:hideMark/>
          </w:tcPr>
          <w:p w:rsidRPr="00B52D66" w:rsidR="00B52D66" w:rsidP="00FC2172" w:rsidRDefault="00B52D66" w14:paraId="1E4E479C" w14:textId="77777777">
            <w:pPr>
              <w:spacing w:line="240" w:lineRule="auto"/>
              <w:rPr>
                <w:rFonts w:cs="Arial"/>
                <w:szCs w:val="18"/>
                <w:lang w:val="en-GB" w:eastAsia="en-GB"/>
              </w:rPr>
            </w:pPr>
            <w:r w:rsidRPr="00B52D66">
              <w:rPr>
                <w:rFonts w:cs="Arial"/>
                <w:szCs w:val="18"/>
                <w:lang w:val="en-GB" w:eastAsia="en-GB"/>
              </w:rPr>
              <w:t xml:space="preserve">   E&amp;O</w:t>
            </w:r>
          </w:p>
        </w:tc>
        <w:tc>
          <w:tcPr>
            <w:tcW w:w="1480" w:type="dxa"/>
            <w:tcBorders>
              <w:top w:val="nil"/>
              <w:left w:val="nil"/>
              <w:bottom w:val="nil"/>
              <w:right w:val="nil"/>
            </w:tcBorders>
            <w:noWrap/>
            <w:vAlign w:val="bottom"/>
            <w:hideMark/>
          </w:tcPr>
          <w:p w:rsidRPr="00B52D66" w:rsidR="00B52D66" w:rsidP="00FC2172" w:rsidRDefault="00B52D66" w14:paraId="3C1DDE8C" w14:textId="77777777">
            <w:pPr>
              <w:spacing w:line="240" w:lineRule="auto"/>
              <w:jc w:val="center"/>
              <w:rPr>
                <w:rFonts w:cs="Arial"/>
                <w:szCs w:val="18"/>
                <w:lang w:val="en-GB" w:eastAsia="en-GB"/>
              </w:rPr>
            </w:pPr>
            <w:r w:rsidRPr="00B52D66">
              <w:rPr>
                <w:rFonts w:cs="Arial"/>
                <w:szCs w:val="18"/>
                <w:lang w:val="en-GB" w:eastAsia="en-GB"/>
              </w:rPr>
              <w:t>43,6</w:t>
            </w:r>
          </w:p>
        </w:tc>
        <w:tc>
          <w:tcPr>
            <w:tcW w:w="1480" w:type="dxa"/>
            <w:tcBorders>
              <w:top w:val="nil"/>
              <w:left w:val="nil"/>
              <w:bottom w:val="nil"/>
              <w:right w:val="nil"/>
            </w:tcBorders>
            <w:noWrap/>
            <w:vAlign w:val="bottom"/>
            <w:hideMark/>
          </w:tcPr>
          <w:p w:rsidRPr="00B52D66" w:rsidR="00B52D66" w:rsidP="00FC2172" w:rsidRDefault="00B52D66" w14:paraId="60EF8782" w14:textId="77777777">
            <w:pPr>
              <w:spacing w:line="240" w:lineRule="auto"/>
              <w:jc w:val="center"/>
              <w:rPr>
                <w:rFonts w:cs="Arial"/>
                <w:szCs w:val="18"/>
                <w:lang w:val="en-GB" w:eastAsia="en-GB"/>
              </w:rPr>
            </w:pPr>
            <w:r w:rsidRPr="00B52D66">
              <w:rPr>
                <w:rFonts w:cs="Arial"/>
                <w:szCs w:val="18"/>
                <w:lang w:val="en-GB" w:eastAsia="en-GB"/>
              </w:rPr>
              <w:t>44,8</w:t>
            </w:r>
          </w:p>
        </w:tc>
        <w:tc>
          <w:tcPr>
            <w:tcW w:w="1480" w:type="dxa"/>
            <w:tcBorders>
              <w:top w:val="nil"/>
              <w:left w:val="nil"/>
              <w:bottom w:val="nil"/>
              <w:right w:val="nil"/>
            </w:tcBorders>
            <w:noWrap/>
            <w:vAlign w:val="bottom"/>
            <w:hideMark/>
          </w:tcPr>
          <w:p w:rsidRPr="00B52D66" w:rsidR="00B52D66" w:rsidP="00FC2172" w:rsidRDefault="00B52D66" w14:paraId="602E8095" w14:textId="77777777">
            <w:pPr>
              <w:spacing w:line="240" w:lineRule="auto"/>
              <w:jc w:val="center"/>
              <w:rPr>
                <w:rFonts w:cs="Arial"/>
                <w:szCs w:val="18"/>
                <w:lang w:val="en-GB" w:eastAsia="en-GB"/>
              </w:rPr>
            </w:pPr>
            <w:r w:rsidRPr="00B52D66">
              <w:rPr>
                <w:rFonts w:cs="Arial"/>
                <w:szCs w:val="18"/>
                <w:lang w:val="en-GB" w:eastAsia="en-GB"/>
              </w:rPr>
              <w:t>44,5</w:t>
            </w:r>
          </w:p>
        </w:tc>
        <w:tc>
          <w:tcPr>
            <w:tcW w:w="1480" w:type="dxa"/>
            <w:tcBorders>
              <w:top w:val="nil"/>
              <w:left w:val="nil"/>
              <w:bottom w:val="nil"/>
              <w:right w:val="nil"/>
            </w:tcBorders>
            <w:noWrap/>
            <w:vAlign w:val="bottom"/>
            <w:hideMark/>
          </w:tcPr>
          <w:p w:rsidRPr="00B52D66" w:rsidR="00B52D66" w:rsidP="00FC2172" w:rsidRDefault="00B52D66" w14:paraId="7307C5B8" w14:textId="77777777">
            <w:pPr>
              <w:spacing w:line="240" w:lineRule="auto"/>
              <w:jc w:val="center"/>
              <w:rPr>
                <w:rFonts w:cs="Arial"/>
                <w:szCs w:val="18"/>
                <w:lang w:val="en-GB" w:eastAsia="en-GB"/>
              </w:rPr>
            </w:pPr>
            <w:r w:rsidRPr="00B52D66">
              <w:rPr>
                <w:rFonts w:cs="Arial"/>
                <w:szCs w:val="18"/>
                <w:lang w:val="en-GB" w:eastAsia="en-GB"/>
              </w:rPr>
              <w:t>44,8</w:t>
            </w:r>
          </w:p>
        </w:tc>
      </w:tr>
      <w:tr w:rsidRPr="00B52D66" w:rsidR="00B52D66" w:rsidTr="00FC2172" w14:paraId="17105E48" w14:textId="77777777">
        <w:trPr>
          <w:trHeight w:val="290"/>
        </w:trPr>
        <w:tc>
          <w:tcPr>
            <w:tcW w:w="3402" w:type="dxa"/>
            <w:tcBorders>
              <w:top w:val="nil"/>
              <w:left w:val="nil"/>
              <w:bottom w:val="nil"/>
              <w:right w:val="nil"/>
            </w:tcBorders>
            <w:noWrap/>
            <w:vAlign w:val="bottom"/>
            <w:hideMark/>
          </w:tcPr>
          <w:p w:rsidRPr="00B52D66" w:rsidR="00B52D66" w:rsidP="00FC2172" w:rsidRDefault="00B52D66" w14:paraId="03855C03" w14:textId="77777777">
            <w:pPr>
              <w:spacing w:line="240" w:lineRule="auto"/>
              <w:rPr>
                <w:rFonts w:cs="Arial"/>
                <w:szCs w:val="18"/>
                <w:lang w:val="en-GB" w:eastAsia="en-GB"/>
              </w:rPr>
            </w:pPr>
            <w:r w:rsidRPr="00B52D66">
              <w:rPr>
                <w:rFonts w:cs="Arial"/>
                <w:szCs w:val="18"/>
                <w:lang w:val="en-GB" w:eastAsia="en-GB"/>
              </w:rPr>
              <w:t xml:space="preserve">   Groen</w:t>
            </w:r>
          </w:p>
        </w:tc>
        <w:tc>
          <w:tcPr>
            <w:tcW w:w="1480" w:type="dxa"/>
            <w:tcBorders>
              <w:top w:val="nil"/>
              <w:left w:val="nil"/>
              <w:bottom w:val="nil"/>
              <w:right w:val="nil"/>
            </w:tcBorders>
            <w:noWrap/>
            <w:vAlign w:val="bottom"/>
            <w:hideMark/>
          </w:tcPr>
          <w:p w:rsidRPr="00B52D66" w:rsidR="00B52D66" w:rsidP="00FC2172" w:rsidRDefault="00B52D66" w14:paraId="2E279198" w14:textId="77777777">
            <w:pPr>
              <w:spacing w:line="240" w:lineRule="auto"/>
              <w:jc w:val="center"/>
              <w:rPr>
                <w:rFonts w:cs="Arial"/>
                <w:szCs w:val="18"/>
                <w:lang w:val="en-GB" w:eastAsia="en-GB"/>
              </w:rPr>
            </w:pPr>
            <w:r w:rsidRPr="00B52D66">
              <w:rPr>
                <w:rFonts w:cs="Arial"/>
                <w:szCs w:val="18"/>
                <w:lang w:val="en-GB" w:eastAsia="en-GB"/>
              </w:rPr>
              <w:t>8,4</w:t>
            </w:r>
          </w:p>
        </w:tc>
        <w:tc>
          <w:tcPr>
            <w:tcW w:w="1480" w:type="dxa"/>
            <w:tcBorders>
              <w:top w:val="nil"/>
              <w:left w:val="nil"/>
              <w:bottom w:val="nil"/>
              <w:right w:val="nil"/>
            </w:tcBorders>
            <w:noWrap/>
            <w:vAlign w:val="bottom"/>
            <w:hideMark/>
          </w:tcPr>
          <w:p w:rsidRPr="00B52D66" w:rsidR="00B52D66" w:rsidP="00FC2172" w:rsidRDefault="00B52D66" w14:paraId="3F093807" w14:textId="77777777">
            <w:pPr>
              <w:spacing w:line="240" w:lineRule="auto"/>
              <w:jc w:val="center"/>
              <w:rPr>
                <w:rFonts w:cs="Arial"/>
                <w:szCs w:val="18"/>
                <w:lang w:val="en-GB" w:eastAsia="en-GB"/>
              </w:rPr>
            </w:pPr>
            <w:r w:rsidRPr="00B52D66">
              <w:rPr>
                <w:rFonts w:cs="Arial"/>
                <w:szCs w:val="18"/>
                <w:lang w:val="en-GB" w:eastAsia="en-GB"/>
              </w:rPr>
              <w:t>9,0</w:t>
            </w:r>
          </w:p>
        </w:tc>
        <w:tc>
          <w:tcPr>
            <w:tcW w:w="1480" w:type="dxa"/>
            <w:tcBorders>
              <w:top w:val="nil"/>
              <w:left w:val="nil"/>
              <w:bottom w:val="nil"/>
              <w:right w:val="nil"/>
            </w:tcBorders>
            <w:noWrap/>
            <w:vAlign w:val="bottom"/>
            <w:hideMark/>
          </w:tcPr>
          <w:p w:rsidRPr="00B52D66" w:rsidR="00B52D66" w:rsidP="00FC2172" w:rsidRDefault="00B52D66" w14:paraId="5FB74D24" w14:textId="77777777">
            <w:pPr>
              <w:spacing w:line="240" w:lineRule="auto"/>
              <w:jc w:val="center"/>
              <w:rPr>
                <w:rFonts w:cs="Arial"/>
                <w:szCs w:val="18"/>
                <w:lang w:val="en-GB" w:eastAsia="en-GB"/>
              </w:rPr>
            </w:pPr>
            <w:r w:rsidRPr="00B52D66">
              <w:rPr>
                <w:rFonts w:cs="Arial"/>
                <w:szCs w:val="18"/>
                <w:lang w:val="en-GB" w:eastAsia="en-GB"/>
              </w:rPr>
              <w:t>10,2</w:t>
            </w:r>
          </w:p>
        </w:tc>
        <w:tc>
          <w:tcPr>
            <w:tcW w:w="1480" w:type="dxa"/>
            <w:tcBorders>
              <w:top w:val="nil"/>
              <w:left w:val="nil"/>
              <w:bottom w:val="nil"/>
              <w:right w:val="nil"/>
            </w:tcBorders>
            <w:noWrap/>
            <w:vAlign w:val="bottom"/>
            <w:hideMark/>
          </w:tcPr>
          <w:p w:rsidRPr="00B52D66" w:rsidR="00B52D66" w:rsidP="00FC2172" w:rsidRDefault="00B52D66" w14:paraId="16174DCD" w14:textId="77777777">
            <w:pPr>
              <w:spacing w:line="240" w:lineRule="auto"/>
              <w:jc w:val="center"/>
              <w:rPr>
                <w:rFonts w:cs="Arial"/>
                <w:szCs w:val="18"/>
                <w:lang w:val="en-GB" w:eastAsia="en-GB"/>
              </w:rPr>
            </w:pPr>
            <w:r w:rsidRPr="00B52D66">
              <w:rPr>
                <w:rFonts w:cs="Arial"/>
                <w:szCs w:val="18"/>
                <w:lang w:val="en-GB" w:eastAsia="en-GB"/>
              </w:rPr>
              <w:t>11,7</w:t>
            </w:r>
          </w:p>
        </w:tc>
      </w:tr>
      <w:tr w:rsidRPr="00B52D66" w:rsidR="00B52D66" w:rsidTr="00FC2172" w14:paraId="0A7A863C" w14:textId="77777777">
        <w:trPr>
          <w:trHeight w:val="290"/>
        </w:trPr>
        <w:tc>
          <w:tcPr>
            <w:tcW w:w="3402" w:type="dxa"/>
            <w:tcBorders>
              <w:top w:val="nil"/>
              <w:left w:val="nil"/>
              <w:bottom w:val="nil"/>
              <w:right w:val="nil"/>
            </w:tcBorders>
            <w:noWrap/>
            <w:vAlign w:val="bottom"/>
            <w:hideMark/>
          </w:tcPr>
          <w:p w:rsidRPr="00B52D66" w:rsidR="00B52D66" w:rsidP="00FC2172" w:rsidRDefault="00B52D66" w14:paraId="69FDBB75" w14:textId="77777777">
            <w:pPr>
              <w:spacing w:line="240" w:lineRule="auto"/>
              <w:rPr>
                <w:rFonts w:cs="Arial"/>
                <w:szCs w:val="18"/>
                <w:lang w:val="en-GB" w:eastAsia="en-GB"/>
              </w:rPr>
            </w:pPr>
            <w:r w:rsidRPr="00B52D66">
              <w:rPr>
                <w:rFonts w:cs="Arial"/>
                <w:szCs w:val="18"/>
                <w:lang w:val="en-GB" w:eastAsia="en-GB"/>
              </w:rPr>
              <w:t xml:space="preserve">   HBR</w:t>
            </w:r>
          </w:p>
        </w:tc>
        <w:tc>
          <w:tcPr>
            <w:tcW w:w="1480" w:type="dxa"/>
            <w:tcBorders>
              <w:top w:val="nil"/>
              <w:left w:val="nil"/>
              <w:bottom w:val="nil"/>
              <w:right w:val="nil"/>
            </w:tcBorders>
            <w:noWrap/>
            <w:vAlign w:val="bottom"/>
            <w:hideMark/>
          </w:tcPr>
          <w:p w:rsidRPr="00B52D66" w:rsidR="00B52D66" w:rsidP="00FC2172" w:rsidRDefault="00B52D66" w14:paraId="460D6666" w14:textId="77777777">
            <w:pPr>
              <w:spacing w:line="240" w:lineRule="auto"/>
              <w:jc w:val="center"/>
              <w:rPr>
                <w:rFonts w:cs="Arial"/>
                <w:szCs w:val="18"/>
                <w:lang w:val="en-GB" w:eastAsia="en-GB"/>
              </w:rPr>
            </w:pPr>
            <w:r w:rsidRPr="00B52D66">
              <w:rPr>
                <w:rFonts w:cs="Arial"/>
                <w:szCs w:val="18"/>
                <w:lang w:val="en-GB" w:eastAsia="en-GB"/>
              </w:rPr>
              <w:t>15,6</w:t>
            </w:r>
          </w:p>
        </w:tc>
        <w:tc>
          <w:tcPr>
            <w:tcW w:w="1480" w:type="dxa"/>
            <w:tcBorders>
              <w:top w:val="nil"/>
              <w:left w:val="nil"/>
              <w:bottom w:val="nil"/>
              <w:right w:val="nil"/>
            </w:tcBorders>
            <w:noWrap/>
            <w:vAlign w:val="bottom"/>
            <w:hideMark/>
          </w:tcPr>
          <w:p w:rsidRPr="00B52D66" w:rsidR="00B52D66" w:rsidP="00FC2172" w:rsidRDefault="00B52D66" w14:paraId="0B1E2A4E" w14:textId="77777777">
            <w:pPr>
              <w:spacing w:line="240" w:lineRule="auto"/>
              <w:jc w:val="center"/>
              <w:rPr>
                <w:rFonts w:cs="Arial"/>
                <w:szCs w:val="18"/>
                <w:lang w:val="en-GB" w:eastAsia="en-GB"/>
              </w:rPr>
            </w:pPr>
            <w:r w:rsidRPr="00B52D66">
              <w:rPr>
                <w:rFonts w:cs="Arial"/>
                <w:szCs w:val="18"/>
                <w:lang w:val="en-GB" w:eastAsia="en-GB"/>
              </w:rPr>
              <w:t>22,3</w:t>
            </w:r>
          </w:p>
        </w:tc>
        <w:tc>
          <w:tcPr>
            <w:tcW w:w="1480" w:type="dxa"/>
            <w:tcBorders>
              <w:top w:val="nil"/>
              <w:left w:val="nil"/>
              <w:bottom w:val="nil"/>
              <w:right w:val="nil"/>
            </w:tcBorders>
            <w:noWrap/>
            <w:vAlign w:val="bottom"/>
            <w:hideMark/>
          </w:tcPr>
          <w:p w:rsidRPr="00B52D66" w:rsidR="00B52D66" w:rsidP="00FC2172" w:rsidRDefault="00B52D66" w14:paraId="1F499E3F" w14:textId="77777777">
            <w:pPr>
              <w:spacing w:line="240" w:lineRule="auto"/>
              <w:jc w:val="center"/>
              <w:rPr>
                <w:rFonts w:cs="Arial"/>
                <w:szCs w:val="18"/>
                <w:lang w:val="en-GB" w:eastAsia="en-GB"/>
              </w:rPr>
            </w:pPr>
            <w:r w:rsidRPr="00B52D66">
              <w:rPr>
                <w:rFonts w:cs="Arial"/>
                <w:szCs w:val="18"/>
                <w:lang w:val="en-GB" w:eastAsia="en-GB"/>
              </w:rPr>
              <w:t>21,8</w:t>
            </w:r>
          </w:p>
        </w:tc>
        <w:tc>
          <w:tcPr>
            <w:tcW w:w="1480" w:type="dxa"/>
            <w:tcBorders>
              <w:top w:val="nil"/>
              <w:left w:val="nil"/>
              <w:bottom w:val="nil"/>
              <w:right w:val="nil"/>
            </w:tcBorders>
            <w:noWrap/>
            <w:vAlign w:val="bottom"/>
            <w:hideMark/>
          </w:tcPr>
          <w:p w:rsidRPr="00B52D66" w:rsidR="00B52D66" w:rsidP="00FC2172" w:rsidRDefault="00B52D66" w14:paraId="66489B4B" w14:textId="77777777">
            <w:pPr>
              <w:spacing w:line="240" w:lineRule="auto"/>
              <w:jc w:val="center"/>
              <w:rPr>
                <w:rFonts w:cs="Arial"/>
                <w:szCs w:val="18"/>
                <w:lang w:val="en-GB" w:eastAsia="en-GB"/>
              </w:rPr>
            </w:pPr>
            <w:r w:rsidRPr="00B52D66">
              <w:rPr>
                <w:rFonts w:cs="Arial"/>
                <w:szCs w:val="18"/>
                <w:lang w:val="en-GB" w:eastAsia="en-GB"/>
              </w:rPr>
              <w:t>27,6</w:t>
            </w:r>
          </w:p>
        </w:tc>
      </w:tr>
      <w:tr w:rsidRPr="00B52D66" w:rsidR="00B52D66" w:rsidTr="00FC2172" w14:paraId="77ECE2A7" w14:textId="77777777">
        <w:trPr>
          <w:trHeight w:val="290"/>
        </w:trPr>
        <w:tc>
          <w:tcPr>
            <w:tcW w:w="3402" w:type="dxa"/>
            <w:tcBorders>
              <w:top w:val="nil"/>
              <w:left w:val="nil"/>
              <w:bottom w:val="single" w:color="auto" w:sz="4" w:space="0"/>
              <w:right w:val="nil"/>
            </w:tcBorders>
            <w:noWrap/>
            <w:vAlign w:val="bottom"/>
            <w:hideMark/>
          </w:tcPr>
          <w:p w:rsidRPr="00B52D66" w:rsidR="00B52D66" w:rsidP="00FC2172" w:rsidRDefault="00B52D66" w14:paraId="197C5430" w14:textId="77777777">
            <w:pPr>
              <w:spacing w:line="240" w:lineRule="auto"/>
              <w:rPr>
                <w:rFonts w:cs="Arial"/>
                <w:szCs w:val="18"/>
                <w:lang w:val="en-GB" w:eastAsia="en-GB"/>
              </w:rPr>
            </w:pPr>
            <w:r w:rsidRPr="00B52D66">
              <w:rPr>
                <w:rFonts w:cs="Arial"/>
                <w:szCs w:val="18"/>
                <w:lang w:val="en-GB" w:eastAsia="en-GB"/>
              </w:rPr>
              <w:t xml:space="preserve">   Z&amp;W</w:t>
            </w:r>
          </w:p>
        </w:tc>
        <w:tc>
          <w:tcPr>
            <w:tcW w:w="1480" w:type="dxa"/>
            <w:tcBorders>
              <w:top w:val="nil"/>
              <w:left w:val="nil"/>
              <w:bottom w:val="single" w:color="auto" w:sz="4" w:space="0"/>
              <w:right w:val="nil"/>
            </w:tcBorders>
            <w:noWrap/>
            <w:vAlign w:val="bottom"/>
            <w:hideMark/>
          </w:tcPr>
          <w:p w:rsidRPr="00B52D66" w:rsidR="00B52D66" w:rsidP="00FC2172" w:rsidRDefault="00B52D66" w14:paraId="51B6653E" w14:textId="77777777">
            <w:pPr>
              <w:spacing w:line="240" w:lineRule="auto"/>
              <w:jc w:val="center"/>
              <w:rPr>
                <w:rFonts w:cs="Arial"/>
                <w:szCs w:val="18"/>
                <w:lang w:val="en-GB" w:eastAsia="en-GB"/>
              </w:rPr>
            </w:pPr>
            <w:r w:rsidRPr="00B52D66">
              <w:rPr>
                <w:rFonts w:cs="Arial"/>
                <w:szCs w:val="18"/>
                <w:lang w:val="en-GB" w:eastAsia="en-GB"/>
              </w:rPr>
              <w:t>28,6</w:t>
            </w:r>
          </w:p>
        </w:tc>
        <w:tc>
          <w:tcPr>
            <w:tcW w:w="1480" w:type="dxa"/>
            <w:tcBorders>
              <w:top w:val="nil"/>
              <w:left w:val="nil"/>
              <w:bottom w:val="single" w:color="auto" w:sz="4" w:space="0"/>
              <w:right w:val="nil"/>
            </w:tcBorders>
            <w:noWrap/>
            <w:vAlign w:val="bottom"/>
            <w:hideMark/>
          </w:tcPr>
          <w:p w:rsidRPr="00B52D66" w:rsidR="00B52D66" w:rsidP="00FC2172" w:rsidRDefault="00B52D66" w14:paraId="5D56D104" w14:textId="77777777">
            <w:pPr>
              <w:spacing w:line="240" w:lineRule="auto"/>
              <w:jc w:val="center"/>
              <w:rPr>
                <w:rFonts w:cs="Arial"/>
                <w:szCs w:val="18"/>
                <w:lang w:val="en-GB" w:eastAsia="en-GB"/>
              </w:rPr>
            </w:pPr>
            <w:r w:rsidRPr="00B52D66">
              <w:rPr>
                <w:rFonts w:cs="Arial"/>
                <w:szCs w:val="18"/>
                <w:lang w:val="en-GB" w:eastAsia="en-GB"/>
              </w:rPr>
              <w:t>30,6</w:t>
            </w:r>
          </w:p>
        </w:tc>
        <w:tc>
          <w:tcPr>
            <w:tcW w:w="1480" w:type="dxa"/>
            <w:tcBorders>
              <w:top w:val="nil"/>
              <w:left w:val="nil"/>
              <w:bottom w:val="single" w:color="auto" w:sz="4" w:space="0"/>
              <w:right w:val="nil"/>
            </w:tcBorders>
            <w:noWrap/>
            <w:vAlign w:val="bottom"/>
            <w:hideMark/>
          </w:tcPr>
          <w:p w:rsidRPr="00B52D66" w:rsidR="00B52D66" w:rsidP="00FC2172" w:rsidRDefault="00B52D66" w14:paraId="669D69F5" w14:textId="77777777">
            <w:pPr>
              <w:spacing w:line="240" w:lineRule="auto"/>
              <w:jc w:val="center"/>
              <w:rPr>
                <w:rFonts w:cs="Arial"/>
                <w:szCs w:val="18"/>
                <w:lang w:val="en-GB" w:eastAsia="en-GB"/>
              </w:rPr>
            </w:pPr>
            <w:r w:rsidRPr="00B52D66">
              <w:rPr>
                <w:rFonts w:cs="Arial"/>
                <w:szCs w:val="18"/>
                <w:lang w:val="en-GB" w:eastAsia="en-GB"/>
              </w:rPr>
              <w:t>29,4</w:t>
            </w:r>
          </w:p>
        </w:tc>
        <w:tc>
          <w:tcPr>
            <w:tcW w:w="1480" w:type="dxa"/>
            <w:tcBorders>
              <w:top w:val="nil"/>
              <w:left w:val="nil"/>
              <w:bottom w:val="single" w:color="auto" w:sz="4" w:space="0"/>
              <w:right w:val="nil"/>
            </w:tcBorders>
            <w:noWrap/>
            <w:vAlign w:val="bottom"/>
            <w:hideMark/>
          </w:tcPr>
          <w:p w:rsidRPr="00B52D66" w:rsidR="00B52D66" w:rsidP="00FC2172" w:rsidRDefault="00B52D66" w14:paraId="3FF6BE3C" w14:textId="77777777">
            <w:pPr>
              <w:spacing w:line="240" w:lineRule="auto"/>
              <w:jc w:val="center"/>
              <w:rPr>
                <w:rFonts w:cs="Arial"/>
                <w:szCs w:val="18"/>
                <w:lang w:val="en-GB" w:eastAsia="en-GB"/>
              </w:rPr>
            </w:pPr>
            <w:r w:rsidRPr="00B52D66">
              <w:rPr>
                <w:rFonts w:cs="Arial"/>
                <w:szCs w:val="18"/>
                <w:lang w:val="en-GB" w:eastAsia="en-GB"/>
              </w:rPr>
              <w:t>31,5</w:t>
            </w:r>
          </w:p>
        </w:tc>
      </w:tr>
    </w:tbl>
    <w:p w:rsidRPr="00B52D66" w:rsidR="00B52D66" w:rsidP="00B52D66" w:rsidRDefault="00B52D66" w14:paraId="55C01F39" w14:textId="77777777">
      <w:pPr>
        <w:rPr>
          <w:rFonts w:eastAsiaTheme="minorHAnsi" w:cstheme="minorBidi"/>
          <w:szCs w:val="18"/>
          <w:lang w:eastAsia="en-US"/>
        </w:rPr>
      </w:pPr>
      <w:r w:rsidRPr="00B52D66">
        <w:rPr>
          <w:i/>
          <w:szCs w:val="18"/>
        </w:rPr>
        <w:t>Bron: DUO (eigen bewerking ROA).</w:t>
      </w:r>
    </w:p>
    <w:p w:rsidRPr="00B52D66" w:rsidR="00B52D66" w:rsidP="00B52D66" w:rsidRDefault="00B52D66" w14:paraId="3CA4FADE" w14:textId="77777777">
      <w:pPr>
        <w:pStyle w:val="Plattetekst"/>
        <w:rPr>
          <w:szCs w:val="18"/>
          <w:lang w:eastAsia="en-US"/>
        </w:rPr>
      </w:pPr>
    </w:p>
    <w:p w:rsidRPr="00B52D66" w:rsidR="00B52D66" w:rsidRDefault="00B52D66" w14:paraId="1DB5A057" w14:textId="77777777">
      <w:pPr>
        <w:spacing w:after="160" w:line="259" w:lineRule="auto"/>
        <w:rPr>
          <w:rFonts w:eastAsiaTheme="majorEastAsia" w:cstheme="majorBidi"/>
          <w:b/>
          <w:bCs/>
          <w:color w:val="1D509A"/>
          <w:szCs w:val="18"/>
          <w:lang w:eastAsia="en-US"/>
        </w:rPr>
      </w:pPr>
      <w:r w:rsidRPr="00B52D66">
        <w:rPr>
          <w:szCs w:val="18"/>
        </w:rPr>
        <w:br w:type="page"/>
      </w:r>
    </w:p>
    <w:p w:rsidRPr="00A45539" w:rsidR="00C43FA5" w:rsidP="00E90991" w:rsidRDefault="00C43FA5" w14:paraId="250C5C60" w14:textId="308B5D77">
      <w:pPr>
        <w:pStyle w:val="Kop1"/>
      </w:pPr>
      <w:bookmarkStart w:name="_Toc33800898" w:id="208"/>
      <w:bookmarkStart w:name="_Toc158042078" w:id="209"/>
      <w:bookmarkStart w:name="_Toc203573646" w:id="210"/>
      <w:r w:rsidRPr="00E90991">
        <w:lastRenderedPageBreak/>
        <w:t>Bijlage</w:t>
      </w:r>
      <w:r>
        <w:t xml:space="preserve"> 4: </w:t>
      </w:r>
      <w:r w:rsidRPr="00A45539">
        <w:t>Beschikbaarheid voldoende docenten</w:t>
      </w:r>
      <w:bookmarkEnd w:id="208"/>
      <w:r w:rsidRPr="00A45539">
        <w:t>/instructeurs</w:t>
      </w:r>
      <w:bookmarkEnd w:id="209"/>
      <w:bookmarkEnd w:id="210"/>
    </w:p>
    <w:p w:rsidR="00C43FA5" w:rsidP="00C43FA5" w:rsidRDefault="00C43FA5" w14:paraId="66408AF7" w14:textId="77777777">
      <w:pPr>
        <w:rPr>
          <w:rFonts w:cs="Tahoma"/>
          <w:szCs w:val="18"/>
        </w:rPr>
      </w:pPr>
      <w:r w:rsidRPr="00AB7EB1">
        <w:rPr>
          <w:rFonts w:cs="Tahoma"/>
          <w:szCs w:val="18"/>
        </w:rPr>
        <w:t xml:space="preserve">Onderdeel van de plannen van STO is om </w:t>
      </w:r>
      <w:r>
        <w:rPr>
          <w:rFonts w:cs="Tahoma"/>
          <w:szCs w:val="18"/>
        </w:rPr>
        <w:t>een (dreigend)</w:t>
      </w:r>
      <w:r w:rsidRPr="00AB7EB1">
        <w:rPr>
          <w:rFonts w:cs="Tahoma"/>
          <w:szCs w:val="18"/>
        </w:rPr>
        <w:t xml:space="preserve"> lerarentekort voor technisch vmbo aan te pakken. </w:t>
      </w:r>
    </w:p>
    <w:p w:rsidRPr="00D35534" w:rsidR="00C43FA5" w:rsidP="00C43FA5" w:rsidRDefault="00C43FA5" w14:paraId="5520197E" w14:textId="77777777">
      <w:pPr>
        <w:spacing w:after="160" w:line="259" w:lineRule="auto"/>
      </w:pPr>
      <w:r w:rsidRPr="00D35534">
        <w:rPr>
          <w:rFonts w:cs="Tahoma"/>
          <w:szCs w:val="18"/>
        </w:rPr>
        <w:t>Recente cijfers uit ander onderzoek laten een actueel tekort</w:t>
      </w:r>
      <w:r>
        <w:rPr>
          <w:rFonts w:cs="Tahoma"/>
          <w:szCs w:val="18"/>
        </w:rPr>
        <w:t xml:space="preserve"> in het beroepsgerichte vmbo</w:t>
      </w:r>
      <w:r w:rsidRPr="00D35534">
        <w:rPr>
          <w:rFonts w:cs="Tahoma"/>
          <w:szCs w:val="18"/>
        </w:rPr>
        <w:t xml:space="preserve"> zien (zie kader).</w:t>
      </w:r>
    </w:p>
    <w:tbl>
      <w:tblPr>
        <w:tblStyle w:val="Tabelrasterlicht"/>
        <w:tblW w:w="0" w:type="auto"/>
        <w:tblCellMar>
          <w:top w:w="113" w:type="dxa"/>
          <w:left w:w="113" w:type="dxa"/>
          <w:bottom w:w="113" w:type="dxa"/>
          <w:right w:w="113" w:type="dxa"/>
        </w:tblCellMar>
        <w:tblLook w:val="04A0" w:firstRow="1" w:lastRow="0" w:firstColumn="1" w:lastColumn="0" w:noHBand="0" w:noVBand="1"/>
      </w:tblPr>
      <w:tblGrid>
        <w:gridCol w:w="9350"/>
      </w:tblGrid>
      <w:tr w:rsidR="00C43FA5" w:rsidTr="00FC2172" w14:paraId="71F1AF9B" w14:textId="77777777">
        <w:tc>
          <w:tcPr>
            <w:tcW w:w="9396" w:type="dxa"/>
            <w:hideMark/>
          </w:tcPr>
          <w:p w:rsidRPr="00D35534" w:rsidR="00C43FA5" w:rsidP="00FC2172" w:rsidRDefault="00C43FA5" w14:paraId="4B7EE8F7" w14:textId="77777777">
            <w:r w:rsidRPr="00D35534">
              <w:t>Het totale landelijke gemiddelde tekort aan leraren in het voortgezet onderwijs bedraagt 5,8% van de werkgelegenheid voor leraren. Dit vertaalt zich naar een tekort van ongeveer 3.800 fte. De beroepsgerichte vakken in het vmbo behoren tot de vakken met de grootste tekorten met een gemiddeld tekort van 9,2%.  </w:t>
            </w:r>
          </w:p>
          <w:p w:rsidRPr="00C6593C" w:rsidR="00C43FA5" w:rsidP="00FC2172" w:rsidRDefault="00C43FA5" w14:paraId="5EBC1EAD" w14:textId="77777777">
            <w:r w:rsidRPr="00D35534">
              <w:t>Bron: Centerdata (december 2023). Personeelstekorten voortgezet onderwijs. Peildatum 1 oktober 2023. Centerdata: Tilburg.</w:t>
            </w:r>
            <w:r w:rsidRPr="00C6593C">
              <w:t xml:space="preserve"> </w:t>
            </w:r>
          </w:p>
        </w:tc>
      </w:tr>
    </w:tbl>
    <w:p w:rsidR="00C43FA5" w:rsidP="00C43FA5" w:rsidRDefault="00C43FA5" w14:paraId="5FEAC890" w14:textId="77777777">
      <w:pPr>
        <w:jc w:val="both"/>
        <w:rPr>
          <w:rFonts w:cs="Tahoma"/>
          <w:szCs w:val="18"/>
        </w:rPr>
      </w:pPr>
    </w:p>
    <w:p w:rsidR="00C43FA5" w:rsidP="00C43FA5" w:rsidRDefault="00C43FA5" w14:paraId="4D1D34DF" w14:textId="77777777">
      <w:pPr>
        <w:rPr>
          <w:rFonts w:cs="Tahoma"/>
          <w:szCs w:val="18"/>
        </w:rPr>
      </w:pPr>
      <w:r>
        <w:rPr>
          <w:rFonts w:cs="Tahoma"/>
          <w:szCs w:val="18"/>
        </w:rPr>
        <w:t>Om meer in detail te kunnen kijken naar deze tekorten, gaan we in op gegevens uit 2022/2023, omdat deze op dit moment de meest actuele beschikbare data zijn.</w:t>
      </w:r>
      <w:r>
        <w:rPr>
          <w:rStyle w:val="Voetnootmarkering"/>
          <w:rFonts w:cs="Tahoma"/>
          <w:szCs w:val="18"/>
        </w:rPr>
        <w:footnoteReference w:id="18"/>
      </w:r>
      <w:r>
        <w:rPr>
          <w:rFonts w:cs="Tahoma"/>
          <w:szCs w:val="18"/>
        </w:rPr>
        <w:t xml:space="preserve"> </w:t>
      </w:r>
      <w:r w:rsidRPr="00AB7EB1">
        <w:rPr>
          <w:rFonts w:cs="Tahoma"/>
          <w:szCs w:val="18"/>
        </w:rPr>
        <w:t xml:space="preserve">Dit hoofdstuk geeft </w:t>
      </w:r>
      <w:r>
        <w:rPr>
          <w:rFonts w:cs="Tahoma"/>
          <w:szCs w:val="18"/>
        </w:rPr>
        <w:t xml:space="preserve">daarom </w:t>
      </w:r>
      <w:r w:rsidRPr="00AB7EB1">
        <w:rPr>
          <w:rFonts w:cs="Tahoma"/>
          <w:szCs w:val="18"/>
        </w:rPr>
        <w:t xml:space="preserve">inzicht in het aantal lesgevenden in de technische profielen (hierna ook wel </w:t>
      </w:r>
      <w:r>
        <w:rPr>
          <w:rFonts w:cs="Tahoma"/>
          <w:szCs w:val="18"/>
        </w:rPr>
        <w:t xml:space="preserve">‘lesgevenden’ of </w:t>
      </w:r>
      <w:r w:rsidRPr="00AB7EB1">
        <w:rPr>
          <w:rFonts w:cs="Tahoma"/>
          <w:szCs w:val="18"/>
        </w:rPr>
        <w:t xml:space="preserve">‘techniekdocenten’ genoemd) en de kenmerken van die lesgevenden in schooljaar 2022/23 (twee jaar geleden, vijf jaar na start van STO). </w:t>
      </w:r>
    </w:p>
    <w:p w:rsidR="00C43FA5" w:rsidP="00C43FA5" w:rsidRDefault="00C43FA5" w14:paraId="748232D0" w14:textId="77777777">
      <w:pPr>
        <w:rPr>
          <w:rFonts w:cs="Tahoma"/>
          <w:szCs w:val="18"/>
        </w:rPr>
      </w:pPr>
    </w:p>
    <w:p w:rsidRPr="00AB7EB1" w:rsidR="00C43FA5" w:rsidP="00C43FA5" w:rsidRDefault="00C43FA5" w14:paraId="41E453AB" w14:textId="77777777">
      <w:pPr>
        <w:rPr>
          <w:rFonts w:cs="Tahoma"/>
          <w:szCs w:val="18"/>
        </w:rPr>
      </w:pPr>
      <w:r w:rsidRPr="00AB7EB1">
        <w:rPr>
          <w:rFonts w:cs="Tahoma"/>
          <w:szCs w:val="18"/>
        </w:rPr>
        <w:t xml:space="preserve">Ook is gekeken in hoeverre zij afkomstig waren uit het bedrijfsleven en </w:t>
      </w:r>
      <w:r>
        <w:rPr>
          <w:rFonts w:cs="Tahoma"/>
          <w:szCs w:val="18"/>
        </w:rPr>
        <w:t xml:space="preserve">is het potentieel </w:t>
      </w:r>
      <w:r w:rsidRPr="00AB7EB1">
        <w:rPr>
          <w:rFonts w:cs="Tahoma"/>
          <w:szCs w:val="18"/>
        </w:rPr>
        <w:t>van toekomstige lesgevenden</w:t>
      </w:r>
      <w:r>
        <w:rPr>
          <w:rFonts w:cs="Tahoma"/>
          <w:szCs w:val="18"/>
        </w:rPr>
        <w:t xml:space="preserve"> beoordeeld</w:t>
      </w:r>
      <w:r w:rsidRPr="00AB7EB1">
        <w:rPr>
          <w:rFonts w:cs="Tahoma"/>
          <w:szCs w:val="18"/>
        </w:rPr>
        <w:t>. De cijfers gaan hoofdzakelijk over schooljaar 202</w:t>
      </w:r>
      <w:r>
        <w:rPr>
          <w:rFonts w:cs="Tahoma"/>
          <w:szCs w:val="18"/>
        </w:rPr>
        <w:t>2</w:t>
      </w:r>
      <w:r w:rsidRPr="00AB7EB1">
        <w:rPr>
          <w:rFonts w:cs="Tahoma"/>
          <w:szCs w:val="18"/>
        </w:rPr>
        <w:t>/</w:t>
      </w:r>
      <w:r>
        <w:rPr>
          <w:rFonts w:cs="Tahoma"/>
          <w:szCs w:val="18"/>
        </w:rPr>
        <w:t>23</w:t>
      </w:r>
      <w:r w:rsidRPr="00AB7EB1">
        <w:rPr>
          <w:rStyle w:val="Voetnootmarkering"/>
          <w:rFonts w:cs="Tahoma"/>
          <w:szCs w:val="18"/>
        </w:rPr>
        <w:footnoteReference w:id="19"/>
      </w:r>
      <w:r>
        <w:rPr>
          <w:rFonts w:cs="Tahoma"/>
          <w:szCs w:val="18"/>
        </w:rPr>
        <w:t>.</w:t>
      </w:r>
      <w:r w:rsidRPr="00AB7EB1">
        <w:rPr>
          <w:rFonts w:cs="Tahoma"/>
          <w:szCs w:val="18"/>
        </w:rPr>
        <w:t xml:space="preserve"> Om de ontwikkeling </w:t>
      </w:r>
      <w:r>
        <w:rPr>
          <w:rFonts w:cs="Tahoma"/>
          <w:szCs w:val="18"/>
        </w:rPr>
        <w:t>in</w:t>
      </w:r>
      <w:r w:rsidRPr="00AB7EB1">
        <w:rPr>
          <w:rFonts w:cs="Tahoma"/>
          <w:szCs w:val="18"/>
        </w:rPr>
        <w:t xml:space="preserve"> </w:t>
      </w:r>
      <w:r>
        <w:rPr>
          <w:rFonts w:cs="Tahoma"/>
          <w:szCs w:val="18"/>
        </w:rPr>
        <w:t xml:space="preserve">de </w:t>
      </w:r>
      <w:r w:rsidRPr="00AB7EB1">
        <w:rPr>
          <w:rFonts w:cs="Tahoma"/>
          <w:szCs w:val="18"/>
        </w:rPr>
        <w:t xml:space="preserve">tijd weer te geven, worden waar mogelijk ook cijfers van eerdere </w:t>
      </w:r>
      <w:r>
        <w:rPr>
          <w:rFonts w:cs="Tahoma"/>
          <w:szCs w:val="18"/>
        </w:rPr>
        <w:t>schooljaren</w:t>
      </w:r>
      <w:r w:rsidRPr="00AB7EB1">
        <w:rPr>
          <w:rFonts w:cs="Tahoma"/>
          <w:szCs w:val="18"/>
        </w:rPr>
        <w:t xml:space="preserve"> getoond.</w:t>
      </w:r>
      <w:r>
        <w:rPr>
          <w:rFonts w:cs="Tahoma"/>
          <w:szCs w:val="18"/>
        </w:rPr>
        <w:t xml:space="preserve"> Daarin wordt een vergelijking getrokken met de ‘nulmeting’ van schooljaar 2017/18, het schooljaar voorafgaand aan de STO-periode.</w:t>
      </w:r>
    </w:p>
    <w:p w:rsidRPr="00CF4882" w:rsidR="00C43FA5" w:rsidP="00C43FA5" w:rsidRDefault="00C43FA5" w14:paraId="6F6A9592" w14:textId="77777777">
      <w:pPr>
        <w:rPr>
          <w:rFonts w:cs="Tahoma"/>
          <w:szCs w:val="18"/>
          <w:highlight w:val="yellow"/>
        </w:rPr>
      </w:pPr>
    </w:p>
    <w:p w:rsidRPr="00AB7EB1" w:rsidR="00C43FA5" w:rsidP="00C43FA5" w:rsidRDefault="00C43FA5" w14:paraId="66F8E2B2" w14:textId="77777777">
      <w:pPr>
        <w:rPr>
          <w:rFonts w:cs="Tahoma"/>
          <w:szCs w:val="18"/>
        </w:rPr>
      </w:pPr>
      <w:r w:rsidRPr="00AB7EB1">
        <w:rPr>
          <w:rFonts w:cs="Tahoma"/>
          <w:szCs w:val="18"/>
        </w:rPr>
        <w:t>De analyses hebben betrekking op al het personeel dat op schol</w:t>
      </w:r>
      <w:r>
        <w:rPr>
          <w:rFonts w:cs="Tahoma"/>
          <w:szCs w:val="18"/>
        </w:rPr>
        <w:t>en</w:t>
      </w:r>
      <w:r w:rsidRPr="00AB7EB1">
        <w:rPr>
          <w:rFonts w:cs="Tahoma"/>
          <w:szCs w:val="18"/>
        </w:rPr>
        <w:t xml:space="preserve"> lesgeeft, ongeacht bevoegdheid, contractsoort of functie. Veruit de meeste personen zijn ‘onderwijsgevend personeel’ (docent), een </w:t>
      </w:r>
      <w:r>
        <w:rPr>
          <w:rFonts w:cs="Tahoma"/>
          <w:szCs w:val="18"/>
        </w:rPr>
        <w:t>deel is</w:t>
      </w:r>
      <w:r w:rsidRPr="00AB7EB1">
        <w:rPr>
          <w:rFonts w:cs="Tahoma"/>
          <w:szCs w:val="18"/>
        </w:rPr>
        <w:t xml:space="preserve"> onderwijsondersteunend personeel (waaronder instructeurs).</w:t>
      </w:r>
      <w:r w:rsidRPr="00AB7EB1">
        <w:rPr>
          <w:rStyle w:val="Voetnootmarkering"/>
          <w:rFonts w:cs="Tahoma"/>
          <w:szCs w:val="18"/>
        </w:rPr>
        <w:footnoteReference w:id="20"/>
      </w:r>
      <w:r w:rsidRPr="00AB7EB1">
        <w:rPr>
          <w:rFonts w:cs="Tahoma"/>
          <w:szCs w:val="18"/>
        </w:rPr>
        <w:t xml:space="preserve"> Personeel dat niet</w:t>
      </w:r>
      <w:r>
        <w:rPr>
          <w:rFonts w:cs="Tahoma"/>
          <w:szCs w:val="18"/>
        </w:rPr>
        <w:t xml:space="preserve"> </w:t>
      </w:r>
      <w:r w:rsidRPr="00AB7EB1">
        <w:rPr>
          <w:rFonts w:cs="Tahoma"/>
          <w:szCs w:val="18"/>
        </w:rPr>
        <w:t>in</w:t>
      </w:r>
      <w:r>
        <w:rPr>
          <w:rFonts w:cs="Tahoma"/>
          <w:szCs w:val="18"/>
        </w:rPr>
        <w:t xml:space="preserve"> </w:t>
      </w:r>
      <w:r w:rsidRPr="00AB7EB1">
        <w:rPr>
          <w:rFonts w:cs="Tahoma"/>
          <w:szCs w:val="18"/>
        </w:rPr>
        <w:t xml:space="preserve">loondienst van de school is, maar wel op de school lesgeeft, telt ook mee. Dit kan gaan om uitzend- of oproepkrachten, gedetacheerden en (onbevoegde) hybride </w:t>
      </w:r>
      <w:r>
        <w:rPr>
          <w:rFonts w:cs="Tahoma"/>
          <w:szCs w:val="18"/>
        </w:rPr>
        <w:t>(</w:t>
      </w:r>
      <w:r w:rsidRPr="00AB7EB1">
        <w:rPr>
          <w:rFonts w:cs="Tahoma"/>
          <w:szCs w:val="18"/>
        </w:rPr>
        <w:t>gast</w:t>
      </w:r>
      <w:r>
        <w:rPr>
          <w:rFonts w:cs="Tahoma"/>
          <w:szCs w:val="18"/>
        </w:rPr>
        <w:t>)</w:t>
      </w:r>
      <w:r w:rsidRPr="00AB7EB1">
        <w:rPr>
          <w:rFonts w:cs="Tahoma"/>
          <w:szCs w:val="18"/>
        </w:rPr>
        <w:t xml:space="preserve">docenten. </w:t>
      </w:r>
      <w:r>
        <w:rPr>
          <w:rFonts w:cs="Tahoma"/>
          <w:szCs w:val="18"/>
        </w:rPr>
        <w:t xml:space="preserve">Tezamen zijn dat alle </w:t>
      </w:r>
      <w:r w:rsidRPr="00AB7EB1">
        <w:rPr>
          <w:rFonts w:cs="Tahoma"/>
          <w:szCs w:val="18"/>
        </w:rPr>
        <w:t xml:space="preserve">lesgevenden. </w:t>
      </w:r>
    </w:p>
    <w:p w:rsidRPr="00CF4882" w:rsidR="00C43FA5" w:rsidP="00C43FA5" w:rsidRDefault="00C43FA5" w14:paraId="751DACCA" w14:textId="77777777">
      <w:pPr>
        <w:rPr>
          <w:rFonts w:cs="Tahoma"/>
          <w:szCs w:val="18"/>
          <w:highlight w:val="yellow"/>
        </w:rPr>
      </w:pPr>
    </w:p>
    <w:p w:rsidR="00C43FA5" w:rsidP="00C43FA5" w:rsidRDefault="00C43FA5" w14:paraId="0E7AB154" w14:textId="26BE773A">
      <w:pPr>
        <w:rPr>
          <w:rFonts w:cs="Tahoma"/>
          <w:szCs w:val="18"/>
        </w:rPr>
      </w:pPr>
      <w:r w:rsidRPr="00AB7EB1">
        <w:rPr>
          <w:rFonts w:cs="Tahoma"/>
          <w:szCs w:val="18"/>
        </w:rPr>
        <w:t xml:space="preserve">Het hoofdbestand </w:t>
      </w:r>
      <w:r>
        <w:rPr>
          <w:rFonts w:cs="Tahoma"/>
          <w:szCs w:val="18"/>
        </w:rPr>
        <w:t xml:space="preserve">voor deze analyse bestaat uit </w:t>
      </w:r>
      <w:r w:rsidRPr="00AB7EB1">
        <w:rPr>
          <w:rFonts w:cs="Tahoma"/>
          <w:szCs w:val="18"/>
        </w:rPr>
        <w:t>DUO-personeelsgegevens met informatie over alle personen die lesgeven in Nederland, zoals salaris, bevoegdheid, functie en deeltijdfactor. Aan de</w:t>
      </w:r>
      <w:r>
        <w:rPr>
          <w:rFonts w:cs="Tahoma"/>
          <w:szCs w:val="18"/>
        </w:rPr>
        <w:t>ze</w:t>
      </w:r>
      <w:r w:rsidRPr="00AB7EB1">
        <w:rPr>
          <w:rFonts w:cs="Tahoma"/>
          <w:szCs w:val="18"/>
        </w:rPr>
        <w:t xml:space="preserve"> gegevens zijn gegevens </w:t>
      </w:r>
      <w:r>
        <w:rPr>
          <w:rFonts w:cs="Tahoma"/>
          <w:szCs w:val="18"/>
        </w:rPr>
        <w:t xml:space="preserve">van IPTO </w:t>
      </w:r>
      <w:r w:rsidRPr="00AB7EB1">
        <w:rPr>
          <w:rFonts w:cs="Tahoma"/>
          <w:szCs w:val="18"/>
        </w:rPr>
        <w:t xml:space="preserve">(Integrale Personeels Tellingen Onderwijs) gekoppeld om te achterhalen in welke vakken personen lesgeven en hoeveel uur per week ze per vak staan ingeroosterd. Vervolgens is een koppeling gemaakt met microdatabestanden van het CBS, met onder meer informatie over de arbeidsmarkpositie in eerdere jaren en over de gevolgde (voor)opleiding. </w:t>
      </w:r>
      <w:r w:rsidR="00DE5F13">
        <w:rPr>
          <w:rFonts w:cs="Tahoma"/>
          <w:szCs w:val="18"/>
        </w:rPr>
        <w:t>De Appendix bij Bijlage 4</w:t>
      </w:r>
      <w:r w:rsidRPr="00AB7EB1">
        <w:rPr>
          <w:rFonts w:cs="Tahoma"/>
          <w:szCs w:val="18"/>
        </w:rPr>
        <w:t xml:space="preserve"> geeft een nadere verantwoording van de gebruikte gegevens.</w:t>
      </w:r>
    </w:p>
    <w:p w:rsidRPr="00A45539" w:rsidR="00C43FA5" w:rsidP="00C43FA5" w:rsidRDefault="00C43FA5" w14:paraId="13F1A561" w14:textId="77777777">
      <w:pPr>
        <w:rPr>
          <w:rFonts w:cs="Tahoma"/>
          <w:szCs w:val="18"/>
        </w:rPr>
      </w:pPr>
    </w:p>
    <w:p w:rsidR="00C43FA5" w:rsidP="002047EC" w:rsidRDefault="00C43FA5" w14:paraId="3862471E" w14:textId="5FEA32A8">
      <w:pPr>
        <w:pStyle w:val="Kop2"/>
        <w:rPr>
          <w:szCs w:val="18"/>
        </w:rPr>
      </w:pPr>
      <w:bookmarkStart w:name="_Toc158042079" w:id="211"/>
      <w:bookmarkStart w:name="_Toc203573647" w:id="212"/>
      <w:r w:rsidRPr="00A45539">
        <w:rPr>
          <w:szCs w:val="18"/>
        </w:rPr>
        <w:t xml:space="preserve">Aantal </w:t>
      </w:r>
      <w:r>
        <w:rPr>
          <w:szCs w:val="18"/>
        </w:rPr>
        <w:t>lesgevenden</w:t>
      </w:r>
      <w:bookmarkEnd w:id="211"/>
      <w:bookmarkEnd w:id="212"/>
    </w:p>
    <w:p w:rsidRPr="0065314C" w:rsidR="00C43FA5" w:rsidP="00C43FA5" w:rsidRDefault="00C43FA5" w14:paraId="2D4F0B50" w14:textId="77777777">
      <w:pPr>
        <w:rPr>
          <w:lang w:eastAsia="en-US"/>
        </w:rPr>
      </w:pPr>
    </w:p>
    <w:p w:rsidRPr="00A45539" w:rsidR="00C43FA5" w:rsidP="00C43FA5" w:rsidRDefault="00C43FA5" w14:paraId="4C71C57E" w14:textId="73F0A9BC">
      <w:pPr>
        <w:rPr>
          <w:rFonts w:cs="Tahoma"/>
          <w:szCs w:val="18"/>
        </w:rPr>
      </w:pPr>
      <w:r w:rsidRPr="00A45539">
        <w:rPr>
          <w:rFonts w:cs="Tahoma"/>
          <w:szCs w:val="18"/>
        </w:rPr>
        <w:t>In totaal waren er in schooljaar 202</w:t>
      </w:r>
      <w:r>
        <w:rPr>
          <w:rFonts w:cs="Tahoma"/>
          <w:szCs w:val="18"/>
        </w:rPr>
        <w:t>2</w:t>
      </w:r>
      <w:r w:rsidRPr="00A45539">
        <w:rPr>
          <w:rFonts w:cs="Tahoma"/>
          <w:szCs w:val="18"/>
        </w:rPr>
        <w:t>/2</w:t>
      </w:r>
      <w:r>
        <w:rPr>
          <w:rFonts w:cs="Tahoma"/>
          <w:szCs w:val="18"/>
        </w:rPr>
        <w:t>3</w:t>
      </w:r>
      <w:r w:rsidRPr="00A45539">
        <w:rPr>
          <w:rFonts w:cs="Tahoma"/>
          <w:szCs w:val="18"/>
        </w:rPr>
        <w:t xml:space="preserve"> ongeveer 24.</w:t>
      </w:r>
      <w:r>
        <w:rPr>
          <w:rFonts w:cs="Tahoma"/>
          <w:szCs w:val="18"/>
        </w:rPr>
        <w:t>6</w:t>
      </w:r>
      <w:r w:rsidRPr="00A45539">
        <w:rPr>
          <w:rFonts w:cs="Tahoma"/>
          <w:szCs w:val="18"/>
        </w:rPr>
        <w:t xml:space="preserve">00 </w:t>
      </w:r>
      <w:r>
        <w:rPr>
          <w:rFonts w:cs="Tahoma"/>
          <w:szCs w:val="18"/>
        </w:rPr>
        <w:t>lesgevenden</w:t>
      </w:r>
      <w:r w:rsidRPr="00A45539">
        <w:rPr>
          <w:rFonts w:cs="Tahoma"/>
          <w:szCs w:val="18"/>
        </w:rPr>
        <w:t xml:space="preserve"> in de beroepsgerichte leerwegen</w:t>
      </w:r>
      <w:r>
        <w:rPr>
          <w:rFonts w:cs="Tahoma"/>
          <w:szCs w:val="18"/>
        </w:rPr>
        <w:t xml:space="preserve"> (bb, kb en gl)</w:t>
      </w:r>
      <w:r w:rsidRPr="00A45539">
        <w:rPr>
          <w:rFonts w:cs="Tahoma"/>
          <w:szCs w:val="18"/>
        </w:rPr>
        <w:t xml:space="preserve"> van het vmbo, </w:t>
      </w:r>
      <w:r>
        <w:rPr>
          <w:rFonts w:cs="Tahoma"/>
          <w:szCs w:val="18"/>
        </w:rPr>
        <w:t xml:space="preserve">ongeveer evenveel als in </w:t>
      </w:r>
      <w:r w:rsidRPr="00A45539">
        <w:rPr>
          <w:rFonts w:cs="Tahoma"/>
          <w:szCs w:val="18"/>
        </w:rPr>
        <w:t>202</w:t>
      </w:r>
      <w:r>
        <w:rPr>
          <w:rFonts w:cs="Tahoma"/>
          <w:szCs w:val="18"/>
        </w:rPr>
        <w:t>1</w:t>
      </w:r>
      <w:r w:rsidRPr="00A45539">
        <w:rPr>
          <w:rFonts w:cs="Tahoma"/>
          <w:szCs w:val="18"/>
        </w:rPr>
        <w:t>/2</w:t>
      </w:r>
      <w:r>
        <w:rPr>
          <w:rFonts w:cs="Tahoma"/>
          <w:szCs w:val="18"/>
        </w:rPr>
        <w:t>2</w:t>
      </w:r>
      <w:r w:rsidRPr="00A45539">
        <w:rPr>
          <w:rFonts w:cs="Tahoma"/>
          <w:szCs w:val="18"/>
        </w:rPr>
        <w:t>.</w:t>
      </w:r>
      <w:r w:rsidRPr="00A45539">
        <w:rPr>
          <w:rStyle w:val="Voetnootmarkering"/>
          <w:rFonts w:cs="Tahoma"/>
          <w:szCs w:val="18"/>
        </w:rPr>
        <w:footnoteReference w:id="21"/>
      </w:r>
      <w:r w:rsidRPr="00A45539">
        <w:rPr>
          <w:rFonts w:cs="Tahoma"/>
          <w:szCs w:val="18"/>
        </w:rPr>
        <w:t xml:space="preserve"> De </w:t>
      </w:r>
      <w:r>
        <w:rPr>
          <w:rFonts w:cs="Tahoma"/>
          <w:szCs w:val="18"/>
        </w:rPr>
        <w:t>personen</w:t>
      </w:r>
      <w:r w:rsidRPr="00A45539">
        <w:rPr>
          <w:rFonts w:cs="Tahoma"/>
          <w:szCs w:val="18"/>
        </w:rPr>
        <w:t xml:space="preserve"> die lesgeven in beroepsgerichte profielen zijn hier</w:t>
      </w:r>
      <w:r>
        <w:rPr>
          <w:rFonts w:cs="Tahoma"/>
          <w:szCs w:val="18"/>
        </w:rPr>
        <w:t>in</w:t>
      </w:r>
      <w:r w:rsidRPr="00A45539">
        <w:rPr>
          <w:rFonts w:cs="Tahoma"/>
          <w:szCs w:val="18"/>
        </w:rPr>
        <w:t xml:space="preserve"> geïdentificeerd. Zij geven (ten minste een deel van de tijd) les in een </w:t>
      </w:r>
      <w:r w:rsidRPr="00A45539">
        <w:rPr>
          <w:rFonts w:cs="Tahoma"/>
          <w:i/>
          <w:iCs/>
          <w:szCs w:val="18"/>
        </w:rPr>
        <w:t>profielvak</w:t>
      </w:r>
      <w:r w:rsidRPr="00A45539">
        <w:rPr>
          <w:rFonts w:cs="Tahoma"/>
          <w:szCs w:val="18"/>
        </w:rPr>
        <w:t xml:space="preserve"> behorend tot één van de tien profielen.</w:t>
      </w:r>
      <w:r w:rsidRPr="00A45539" w:rsidDel="00772C99">
        <w:rPr>
          <w:rFonts w:cs="Tahoma"/>
          <w:szCs w:val="18"/>
        </w:rPr>
        <w:t xml:space="preserve"> </w:t>
      </w:r>
    </w:p>
    <w:p w:rsidRPr="00A45539" w:rsidR="00C43FA5" w:rsidP="00C43FA5" w:rsidRDefault="00C43FA5" w14:paraId="43B24CEA" w14:textId="77777777">
      <w:pPr>
        <w:rPr>
          <w:rFonts w:cs="Tahoma"/>
          <w:szCs w:val="18"/>
        </w:rPr>
      </w:pPr>
    </w:p>
    <w:p w:rsidRPr="00A45539" w:rsidR="00C43FA5" w:rsidP="00C43FA5" w:rsidRDefault="00C43FA5" w14:paraId="2A3D7431" w14:textId="77777777">
      <w:pPr>
        <w:rPr>
          <w:rFonts w:cs="Tahoma"/>
          <w:szCs w:val="18"/>
        </w:rPr>
      </w:pPr>
      <w:r w:rsidRPr="00A45539">
        <w:rPr>
          <w:rFonts w:cs="Tahoma"/>
          <w:szCs w:val="18"/>
        </w:rPr>
        <w:lastRenderedPageBreak/>
        <w:t xml:space="preserve">Daarnaast is ook gekeken in welke mate </w:t>
      </w:r>
      <w:r>
        <w:rPr>
          <w:rFonts w:cs="Tahoma"/>
          <w:szCs w:val="18"/>
        </w:rPr>
        <w:t>personen in de beroepsgerichte leerwegen</w:t>
      </w:r>
      <w:r w:rsidRPr="00A45539">
        <w:rPr>
          <w:rFonts w:cs="Tahoma"/>
          <w:szCs w:val="18"/>
        </w:rPr>
        <w:t xml:space="preserve"> lesgeven in:</w:t>
      </w:r>
      <w:r>
        <w:rPr>
          <w:rStyle w:val="Voetnootmarkering"/>
          <w:rFonts w:cs="Tahoma"/>
          <w:szCs w:val="18"/>
        </w:rPr>
        <w:footnoteReference w:id="22"/>
      </w:r>
    </w:p>
    <w:p w:rsidRPr="00A45539" w:rsidR="00C43FA5" w:rsidP="00426692" w:rsidRDefault="00C43FA5" w14:paraId="129F44B6" w14:textId="77777777">
      <w:pPr>
        <w:pStyle w:val="Lijstalinea"/>
        <w:numPr>
          <w:ilvl w:val="0"/>
          <w:numId w:val="21"/>
        </w:numPr>
        <w:tabs>
          <w:tab w:val="left" w:pos="357"/>
          <w:tab w:val="left" w:pos="714"/>
        </w:tabs>
        <w:spacing w:line="280" w:lineRule="atLeast"/>
        <w:ind w:left="284" w:hanging="284"/>
        <w:rPr>
          <w:rFonts w:cs="Tahoma"/>
          <w:szCs w:val="18"/>
        </w:rPr>
      </w:pPr>
      <w:r w:rsidRPr="00A45539">
        <w:rPr>
          <w:rFonts w:cs="Tahoma"/>
          <w:szCs w:val="18"/>
        </w:rPr>
        <w:t>Algemeen vormend</w:t>
      </w:r>
      <w:r>
        <w:rPr>
          <w:rFonts w:cs="Tahoma"/>
          <w:szCs w:val="18"/>
        </w:rPr>
        <w:t>e</w:t>
      </w:r>
      <w:r w:rsidRPr="00A45539">
        <w:rPr>
          <w:rFonts w:cs="Tahoma"/>
          <w:szCs w:val="18"/>
        </w:rPr>
        <w:t xml:space="preserve"> vakken (avo-vakken)</w:t>
      </w:r>
      <w:r>
        <w:rPr>
          <w:rFonts w:cs="Tahoma"/>
          <w:szCs w:val="18"/>
        </w:rPr>
        <w:t>, zoals</w:t>
      </w:r>
      <w:r w:rsidRPr="00A45539">
        <w:rPr>
          <w:rFonts w:cs="Tahoma"/>
          <w:szCs w:val="18"/>
        </w:rPr>
        <w:t xml:space="preserve"> Nederlands, rekenen, aardrijkskunde, levensbeschouwing en lichamelijke opvoeding.</w:t>
      </w:r>
    </w:p>
    <w:p w:rsidRPr="00A45539" w:rsidR="00C43FA5" w:rsidP="00426692" w:rsidRDefault="00C43FA5" w14:paraId="031BA37B" w14:textId="77777777">
      <w:pPr>
        <w:pStyle w:val="Lijstalinea"/>
        <w:numPr>
          <w:ilvl w:val="0"/>
          <w:numId w:val="21"/>
        </w:numPr>
        <w:tabs>
          <w:tab w:val="left" w:pos="357"/>
          <w:tab w:val="left" w:pos="714"/>
        </w:tabs>
        <w:spacing w:line="280" w:lineRule="atLeast"/>
        <w:ind w:left="284" w:hanging="284"/>
        <w:rPr>
          <w:rFonts w:cs="Tahoma"/>
          <w:szCs w:val="18"/>
        </w:rPr>
      </w:pPr>
      <w:r w:rsidRPr="00A45539">
        <w:rPr>
          <w:rFonts w:cs="Tahoma"/>
          <w:szCs w:val="18"/>
        </w:rPr>
        <w:t xml:space="preserve">Overige vakken, die geen avo-vak zijn en ook niet toe te schrijven zijn aan een specifiek profiel. Hieronder vallen </w:t>
      </w:r>
      <w:r>
        <w:rPr>
          <w:rFonts w:cs="Tahoma"/>
          <w:szCs w:val="18"/>
        </w:rPr>
        <w:t>less</w:t>
      </w:r>
      <w:r w:rsidRPr="00A45539">
        <w:rPr>
          <w:rFonts w:cs="Tahoma"/>
          <w:szCs w:val="18"/>
        </w:rPr>
        <w:t>en als handvaardigheid</w:t>
      </w:r>
      <w:r>
        <w:rPr>
          <w:rFonts w:cs="Tahoma"/>
          <w:szCs w:val="18"/>
        </w:rPr>
        <w:t xml:space="preserve">, </w:t>
      </w:r>
      <w:r w:rsidRPr="00A45539">
        <w:rPr>
          <w:rFonts w:cs="Tahoma"/>
          <w:szCs w:val="18"/>
        </w:rPr>
        <w:t>burgerschap, mentor</w:t>
      </w:r>
      <w:r>
        <w:rPr>
          <w:rFonts w:cs="Tahoma"/>
          <w:szCs w:val="18"/>
        </w:rPr>
        <w:t>bijeenkomsten</w:t>
      </w:r>
      <w:r w:rsidRPr="00A45539">
        <w:rPr>
          <w:rFonts w:cs="Tahoma"/>
          <w:szCs w:val="18"/>
        </w:rPr>
        <w:t xml:space="preserve"> en loopbaanoriëntatie.</w:t>
      </w:r>
    </w:p>
    <w:p w:rsidRPr="00A45539" w:rsidR="00C43FA5" w:rsidP="00C43FA5" w:rsidRDefault="00C43FA5" w14:paraId="565B6359" w14:textId="77777777">
      <w:pPr>
        <w:rPr>
          <w:rFonts w:cs="Tahoma"/>
          <w:szCs w:val="18"/>
        </w:rPr>
      </w:pPr>
    </w:p>
    <w:p w:rsidR="00C43FA5" w:rsidP="00C43FA5" w:rsidRDefault="00C43FA5" w14:paraId="0AFF39FC" w14:textId="5E686F13">
      <w:pPr>
        <w:keepNext/>
        <w:keepLines/>
        <w:rPr>
          <w:rFonts w:cs="Tahoma"/>
          <w:szCs w:val="18"/>
        </w:rPr>
      </w:pPr>
      <w:r w:rsidRPr="00F635D3">
        <w:rPr>
          <w:rFonts w:cs="Tahoma"/>
          <w:szCs w:val="18"/>
        </w:rPr>
        <w:t>Figu</w:t>
      </w:r>
      <w:r>
        <w:rPr>
          <w:rFonts w:cs="Tahoma"/>
          <w:szCs w:val="18"/>
        </w:rPr>
        <w:t xml:space="preserve">ren </w:t>
      </w:r>
      <w:r w:rsidR="00DE5F13">
        <w:rPr>
          <w:rFonts w:cs="Tahoma"/>
          <w:szCs w:val="18"/>
        </w:rPr>
        <w:t>B</w:t>
      </w:r>
      <w:r w:rsidR="00500C21">
        <w:rPr>
          <w:rFonts w:cs="Tahoma"/>
          <w:szCs w:val="18"/>
        </w:rPr>
        <w:t>4</w:t>
      </w:r>
      <w:r w:rsidRPr="00F635D3">
        <w:rPr>
          <w:rFonts w:cs="Tahoma"/>
          <w:szCs w:val="18"/>
        </w:rPr>
        <w:t>.1</w:t>
      </w:r>
      <w:r>
        <w:rPr>
          <w:rFonts w:cs="Tahoma"/>
          <w:szCs w:val="18"/>
        </w:rPr>
        <w:t>a</w:t>
      </w:r>
      <w:r w:rsidRPr="00F635D3">
        <w:rPr>
          <w:rFonts w:cs="Tahoma"/>
          <w:szCs w:val="18"/>
        </w:rPr>
        <w:t xml:space="preserve"> </w:t>
      </w:r>
      <w:r>
        <w:rPr>
          <w:rFonts w:cs="Tahoma"/>
          <w:szCs w:val="18"/>
        </w:rPr>
        <w:t xml:space="preserve">en </w:t>
      </w:r>
      <w:r w:rsidR="00DE5F13">
        <w:rPr>
          <w:rFonts w:cs="Tahoma"/>
          <w:szCs w:val="18"/>
        </w:rPr>
        <w:t>B</w:t>
      </w:r>
      <w:r w:rsidR="00500C21">
        <w:rPr>
          <w:rFonts w:cs="Tahoma"/>
          <w:szCs w:val="18"/>
        </w:rPr>
        <w:t>4</w:t>
      </w:r>
      <w:r>
        <w:rPr>
          <w:rFonts w:cs="Tahoma"/>
          <w:szCs w:val="18"/>
        </w:rPr>
        <w:t>.1b geven</w:t>
      </w:r>
      <w:r w:rsidRPr="00A45539">
        <w:rPr>
          <w:rFonts w:cs="Tahoma"/>
          <w:szCs w:val="18"/>
        </w:rPr>
        <w:t xml:space="preserve"> het aantal </w:t>
      </w:r>
      <w:r>
        <w:rPr>
          <w:rFonts w:cs="Tahoma"/>
          <w:szCs w:val="18"/>
        </w:rPr>
        <w:t>lesgevenden in technische profielvakken</w:t>
      </w:r>
      <w:r w:rsidRPr="00A45539">
        <w:rPr>
          <w:rFonts w:cs="Tahoma"/>
          <w:szCs w:val="18"/>
        </w:rPr>
        <w:t xml:space="preserve"> in personen en </w:t>
      </w:r>
      <w:r>
        <w:rPr>
          <w:rFonts w:cs="Tahoma"/>
          <w:szCs w:val="18"/>
        </w:rPr>
        <w:t xml:space="preserve">in </w:t>
      </w:r>
      <w:r w:rsidRPr="00A45539">
        <w:rPr>
          <w:rFonts w:cs="Tahoma"/>
          <w:szCs w:val="18"/>
        </w:rPr>
        <w:t xml:space="preserve">fte </w:t>
      </w:r>
      <w:r>
        <w:rPr>
          <w:rFonts w:cs="Tahoma"/>
          <w:szCs w:val="18"/>
        </w:rPr>
        <w:t xml:space="preserve">(full time equivalent) </w:t>
      </w:r>
      <w:r w:rsidRPr="00A45539">
        <w:rPr>
          <w:rFonts w:cs="Tahoma"/>
          <w:szCs w:val="18"/>
        </w:rPr>
        <w:t xml:space="preserve">weer </w:t>
      </w:r>
      <w:r>
        <w:rPr>
          <w:rFonts w:cs="Tahoma"/>
          <w:szCs w:val="18"/>
        </w:rPr>
        <w:t>voor</w:t>
      </w:r>
      <w:r w:rsidRPr="00A45539">
        <w:rPr>
          <w:rFonts w:cs="Tahoma"/>
          <w:szCs w:val="18"/>
        </w:rPr>
        <w:t xml:space="preserve"> de vijf technische profielen.</w:t>
      </w:r>
      <w:r w:rsidRPr="00A45539">
        <w:rPr>
          <w:rStyle w:val="Voetnootmarkering"/>
          <w:rFonts w:cs="Tahoma"/>
          <w:szCs w:val="18"/>
        </w:rPr>
        <w:footnoteReference w:id="23"/>
      </w:r>
      <w:r w:rsidRPr="00A45539">
        <w:rPr>
          <w:rFonts w:cs="Tahoma"/>
          <w:szCs w:val="18"/>
        </w:rPr>
        <w:t xml:space="preserve"> Ook is de procentuele verandering ten opzichte van het </w:t>
      </w:r>
      <w:r>
        <w:rPr>
          <w:rFonts w:cs="Tahoma"/>
          <w:szCs w:val="18"/>
        </w:rPr>
        <w:t>school</w:t>
      </w:r>
      <w:r w:rsidRPr="00A45539">
        <w:rPr>
          <w:rFonts w:cs="Tahoma"/>
          <w:szCs w:val="18"/>
        </w:rPr>
        <w:t xml:space="preserve">jaar </w:t>
      </w:r>
      <w:r>
        <w:rPr>
          <w:rFonts w:cs="Tahoma"/>
          <w:szCs w:val="18"/>
        </w:rPr>
        <w:t xml:space="preserve">daarvoor </w:t>
      </w:r>
      <w:r w:rsidRPr="00A45539">
        <w:rPr>
          <w:rFonts w:cs="Tahoma"/>
          <w:szCs w:val="18"/>
        </w:rPr>
        <w:t>in de figuren weergegeven.</w:t>
      </w:r>
    </w:p>
    <w:p w:rsidR="00C43FA5" w:rsidP="00C43FA5" w:rsidRDefault="00C43FA5" w14:paraId="7C602B32" w14:textId="77777777">
      <w:pPr>
        <w:keepNext/>
        <w:keepLines/>
        <w:rPr>
          <w:rFonts w:cs="Tahoma"/>
          <w:szCs w:val="18"/>
        </w:rPr>
      </w:pPr>
    </w:p>
    <w:p w:rsidR="00C43FA5" w:rsidP="00C43FA5" w:rsidRDefault="00C43FA5" w14:paraId="10661547" w14:textId="77777777">
      <w:pPr>
        <w:rPr>
          <w:rFonts w:cs="Tahoma"/>
          <w:szCs w:val="18"/>
        </w:rPr>
      </w:pPr>
      <w:r w:rsidRPr="00A45539">
        <w:rPr>
          <w:rFonts w:cs="Tahoma"/>
          <w:szCs w:val="18"/>
        </w:rPr>
        <w:t xml:space="preserve">In totaal zijn er bijna 1.600 </w:t>
      </w:r>
      <w:r>
        <w:rPr>
          <w:rFonts w:cs="Tahoma"/>
          <w:szCs w:val="18"/>
        </w:rPr>
        <w:t>personen</w:t>
      </w:r>
      <w:r w:rsidRPr="00A45539">
        <w:rPr>
          <w:rFonts w:cs="Tahoma"/>
          <w:szCs w:val="18"/>
        </w:rPr>
        <w:t xml:space="preserve"> </w:t>
      </w:r>
      <w:r>
        <w:rPr>
          <w:rFonts w:cs="Tahoma"/>
          <w:szCs w:val="18"/>
        </w:rPr>
        <w:t xml:space="preserve">(ruim 1.000 fte) </w:t>
      </w:r>
      <w:r w:rsidRPr="00A45539">
        <w:rPr>
          <w:rFonts w:cs="Tahoma"/>
          <w:szCs w:val="18"/>
        </w:rPr>
        <w:t>die lesgeven in een technisch profiel</w:t>
      </w:r>
      <w:r>
        <w:rPr>
          <w:rFonts w:cs="Tahoma"/>
          <w:szCs w:val="18"/>
        </w:rPr>
        <w:t xml:space="preserve">vak. </w:t>
      </w:r>
      <w:r w:rsidRPr="00A45539">
        <w:rPr>
          <w:rFonts w:cs="Tahoma"/>
          <w:szCs w:val="18"/>
        </w:rPr>
        <w:t>In 202</w:t>
      </w:r>
      <w:r>
        <w:rPr>
          <w:rFonts w:cs="Tahoma"/>
          <w:szCs w:val="18"/>
        </w:rPr>
        <w:t>2</w:t>
      </w:r>
      <w:r w:rsidRPr="00A45539">
        <w:rPr>
          <w:rFonts w:cs="Tahoma"/>
          <w:szCs w:val="18"/>
        </w:rPr>
        <w:t>/2</w:t>
      </w:r>
      <w:r>
        <w:rPr>
          <w:rFonts w:cs="Tahoma"/>
          <w:szCs w:val="18"/>
        </w:rPr>
        <w:t>3</w:t>
      </w:r>
      <w:r w:rsidRPr="00A45539">
        <w:rPr>
          <w:rFonts w:cs="Tahoma"/>
          <w:szCs w:val="18"/>
        </w:rPr>
        <w:t xml:space="preserve"> is er een stijging van </w:t>
      </w:r>
      <w:r>
        <w:rPr>
          <w:rFonts w:cs="Tahoma"/>
          <w:szCs w:val="18"/>
        </w:rPr>
        <w:t>dit</w:t>
      </w:r>
      <w:r w:rsidRPr="00A45539">
        <w:rPr>
          <w:rFonts w:cs="Tahoma"/>
          <w:szCs w:val="18"/>
        </w:rPr>
        <w:t xml:space="preserve"> aantal in </w:t>
      </w:r>
      <w:r>
        <w:rPr>
          <w:rFonts w:cs="Tahoma"/>
          <w:szCs w:val="18"/>
        </w:rPr>
        <w:t xml:space="preserve">zowel </w:t>
      </w:r>
      <w:r w:rsidRPr="00A45539">
        <w:rPr>
          <w:rFonts w:cs="Tahoma"/>
          <w:szCs w:val="18"/>
        </w:rPr>
        <w:t>personen</w:t>
      </w:r>
      <w:r>
        <w:rPr>
          <w:rFonts w:cs="Tahoma"/>
          <w:szCs w:val="18"/>
        </w:rPr>
        <w:t xml:space="preserve"> (+2%)</w:t>
      </w:r>
      <w:r w:rsidRPr="00A45539">
        <w:rPr>
          <w:rFonts w:cs="Tahoma"/>
          <w:szCs w:val="18"/>
        </w:rPr>
        <w:t xml:space="preserve"> </w:t>
      </w:r>
      <w:r>
        <w:rPr>
          <w:rFonts w:cs="Tahoma"/>
          <w:szCs w:val="18"/>
        </w:rPr>
        <w:t>als</w:t>
      </w:r>
      <w:r w:rsidRPr="00A45539">
        <w:rPr>
          <w:rFonts w:cs="Tahoma"/>
          <w:szCs w:val="18"/>
        </w:rPr>
        <w:t xml:space="preserve"> </w:t>
      </w:r>
      <w:r>
        <w:rPr>
          <w:rFonts w:cs="Tahoma"/>
          <w:szCs w:val="18"/>
        </w:rPr>
        <w:t xml:space="preserve">in </w:t>
      </w:r>
      <w:r w:rsidRPr="00A45539">
        <w:rPr>
          <w:rFonts w:cs="Tahoma"/>
          <w:szCs w:val="18"/>
        </w:rPr>
        <w:t>fte</w:t>
      </w:r>
      <w:r>
        <w:rPr>
          <w:rFonts w:cs="Tahoma"/>
          <w:szCs w:val="18"/>
        </w:rPr>
        <w:t xml:space="preserve"> (+3%). Over de gehele STO-periode is de stijging in aantal lesgevenden 7 procent, en aantal fte 14 procent. </w:t>
      </w:r>
    </w:p>
    <w:p w:rsidR="00C43FA5" w:rsidP="00C43FA5" w:rsidRDefault="00C43FA5" w14:paraId="374AFEDD" w14:textId="77777777">
      <w:pPr>
        <w:rPr>
          <w:rFonts w:cs="Tahoma"/>
          <w:szCs w:val="18"/>
        </w:rPr>
      </w:pPr>
    </w:p>
    <w:p w:rsidR="00C43FA5" w:rsidP="00C43FA5" w:rsidRDefault="00C43FA5" w14:paraId="5320355B" w14:textId="77777777">
      <w:pPr>
        <w:rPr>
          <w:rFonts w:cs="Tahoma"/>
          <w:szCs w:val="18"/>
        </w:rPr>
      </w:pPr>
      <w:r>
        <w:rPr>
          <w:rFonts w:cs="Tahoma"/>
          <w:szCs w:val="18"/>
        </w:rPr>
        <w:t xml:space="preserve">Een stijging in 2022/23 in het aantal personen leidt niet altijd tot een stijging in het aantal fte, zoals bij het profielvak M&amp;T. Het omgekeerde komt ook voor. Bij het profielvak MVI is er geen stijging van het aantal personen, maar wel van het aantal fte. Bij BWI en PIE is er zowel een stijging van het aantal personen, als van het aantal fte. Vooral bij BWI is het aantal fte door de jaren heen gestegen. </w:t>
      </w:r>
      <w:r w:rsidRPr="00A45539">
        <w:rPr>
          <w:rFonts w:cs="Tahoma"/>
          <w:szCs w:val="18"/>
        </w:rPr>
        <w:t xml:space="preserve">Ten opzichte van de nulmeting </w:t>
      </w:r>
      <w:r>
        <w:rPr>
          <w:rFonts w:cs="Tahoma"/>
          <w:szCs w:val="18"/>
        </w:rPr>
        <w:t xml:space="preserve">is het aantal personen dat lesgeeft binnen het profiel BWI met 18 procent gestegen en het aantal fte met 25 procent. Voor alle technische profielvakken samen is de stijging in aantal lesgevenden van 7 procent, en aantal fte van 14 procent. </w:t>
      </w:r>
    </w:p>
    <w:p w:rsidRPr="00A45539" w:rsidR="00C43FA5" w:rsidP="00C43FA5" w:rsidRDefault="00C43FA5" w14:paraId="15ABD26E" w14:textId="77777777">
      <w:pPr>
        <w:keepNext/>
        <w:keepLines/>
        <w:rPr>
          <w:rFonts w:cs="Tahoma"/>
          <w:szCs w:val="18"/>
        </w:rPr>
      </w:pPr>
    </w:p>
    <w:p w:rsidRPr="00A45539" w:rsidR="00C43FA5" w:rsidP="00C43FA5" w:rsidRDefault="00C43FA5" w14:paraId="7BB48ECA" w14:textId="677A14BA">
      <w:pPr>
        <w:pStyle w:val="Bijschrift"/>
        <w:keepNext/>
        <w:keepLines/>
        <w:tabs>
          <w:tab w:val="clear" w:pos="357"/>
          <w:tab w:val="clear" w:pos="714"/>
        </w:tabs>
      </w:pPr>
      <w:r w:rsidRPr="00A45539">
        <w:t xml:space="preserve">Figuur </w:t>
      </w:r>
      <w:r w:rsidR="007C0796">
        <w:t>B</w:t>
      </w:r>
      <w:r w:rsidR="00500C21">
        <w:t>4</w:t>
      </w:r>
      <w:r w:rsidRPr="00A45539">
        <w:t xml:space="preserve">.1a </w:t>
      </w:r>
      <w:r>
        <w:tab/>
        <w:t>A</w:t>
      </w:r>
      <w:r w:rsidRPr="00A45539">
        <w:t xml:space="preserve">antal </w:t>
      </w:r>
      <w:r>
        <w:t>lesgevenden (in personen) in technische profielen, 2017/18-2022/23</w:t>
      </w:r>
    </w:p>
    <w:p w:rsidRPr="00A45539" w:rsidR="00C43FA5" w:rsidP="00C43FA5" w:rsidRDefault="00C43FA5" w14:paraId="58D6CA80" w14:textId="77777777">
      <w:r>
        <w:rPr>
          <w:noProof/>
          <w14:ligatures w14:val="standardContextual"/>
        </w:rPr>
        <w:drawing>
          <wp:inline distT="0" distB="0" distL="0" distR="0" wp14:anchorId="3B98E49E" wp14:editId="738752D8">
            <wp:extent cx="5760720" cy="2802890"/>
            <wp:effectExtent l="0" t="0" r="11430" b="16510"/>
            <wp:docPr id="278007192" name="Grafiek 1">
              <a:extLst xmlns:a="http://schemas.openxmlformats.org/drawingml/2006/main">
                <a:ext uri="{FF2B5EF4-FFF2-40B4-BE49-F238E27FC236}">
                  <a16:creationId xmlns:a16="http://schemas.microsoft.com/office/drawing/2014/main" id="{42D90A1B-1388-443D-826E-687014B84A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Pr="00A45539" w:rsidR="00C43FA5" w:rsidP="00C43FA5" w:rsidRDefault="00C43FA5" w14:paraId="432378BA" w14:textId="77777777">
      <w:pPr>
        <w:pStyle w:val="Bron"/>
        <w:keepNext/>
        <w:keepLines/>
        <w:rPr>
          <w:rFonts w:cs="Tahoma"/>
          <w:sz w:val="18"/>
          <w:szCs w:val="18"/>
        </w:rPr>
      </w:pPr>
      <w:r w:rsidRPr="00F75D9D">
        <w:rPr>
          <w:rFonts w:cs="Tahoma"/>
        </w:rPr>
        <w:lastRenderedPageBreak/>
        <w:t>Bron:</w:t>
      </w:r>
      <w:r w:rsidRPr="00F75D9D">
        <w:rPr>
          <w:rFonts w:cs="Tahoma"/>
        </w:rPr>
        <w:tab/>
        <w:t>DUO/IPTO, bewerking SEO (202</w:t>
      </w:r>
      <w:r>
        <w:rPr>
          <w:rFonts w:cs="Tahoma"/>
        </w:rPr>
        <w:t>5</w:t>
      </w:r>
      <w:r w:rsidRPr="00F75D9D">
        <w:rPr>
          <w:rFonts w:cs="Tahoma"/>
        </w:rPr>
        <w:t xml:space="preserve">). Verandering in percentages ten opzichte van </w:t>
      </w:r>
      <w:r>
        <w:rPr>
          <w:rFonts w:cs="Tahoma"/>
        </w:rPr>
        <w:t>het schooljaar ervoor</w:t>
      </w:r>
      <w:r w:rsidRPr="00F75D9D">
        <w:rPr>
          <w:rFonts w:cs="Tahoma"/>
        </w:rPr>
        <w:t xml:space="preserve"> boven de balken weergegeven</w:t>
      </w:r>
      <w:r w:rsidRPr="00A45539">
        <w:rPr>
          <w:rFonts w:cs="Tahoma"/>
          <w:sz w:val="18"/>
          <w:szCs w:val="18"/>
        </w:rPr>
        <w:t>.</w:t>
      </w:r>
    </w:p>
    <w:p w:rsidR="00C43FA5" w:rsidP="00C43FA5" w:rsidRDefault="00C43FA5" w14:paraId="42DB4472" w14:textId="77777777">
      <w:pPr>
        <w:pStyle w:val="Bijschrift"/>
        <w:keepNext/>
        <w:keepLines/>
        <w:tabs>
          <w:tab w:val="clear" w:pos="357"/>
          <w:tab w:val="clear" w:pos="714"/>
        </w:tabs>
      </w:pPr>
    </w:p>
    <w:p w:rsidRPr="00A45539" w:rsidR="00C43FA5" w:rsidP="00C43FA5" w:rsidRDefault="00C43FA5" w14:paraId="70DDB130" w14:textId="517A01D4">
      <w:pPr>
        <w:pStyle w:val="Bijschrift"/>
        <w:keepNext/>
        <w:keepLines/>
        <w:tabs>
          <w:tab w:val="clear" w:pos="357"/>
          <w:tab w:val="clear" w:pos="714"/>
        </w:tabs>
      </w:pPr>
      <w:r w:rsidRPr="00A45539">
        <w:t xml:space="preserve">Figuur </w:t>
      </w:r>
      <w:r w:rsidR="009E219F">
        <w:t>B</w:t>
      </w:r>
      <w:r w:rsidR="00500C21">
        <w:t>4</w:t>
      </w:r>
      <w:r w:rsidRPr="00A45539">
        <w:t xml:space="preserve">.1b </w:t>
      </w:r>
      <w:r>
        <w:tab/>
        <w:t>T</w:t>
      </w:r>
      <w:r w:rsidRPr="00A45539">
        <w:t xml:space="preserve">otaal aantal </w:t>
      </w:r>
      <w:r>
        <w:t>lesgevenden (in fte) in technische profielen, 2017/18-2022/23</w:t>
      </w:r>
    </w:p>
    <w:p w:rsidRPr="00A45539" w:rsidR="00C43FA5" w:rsidP="00C43FA5" w:rsidRDefault="00C43FA5" w14:paraId="03E36E3C" w14:textId="77777777">
      <w:r>
        <w:rPr>
          <w:noProof/>
          <w14:ligatures w14:val="standardContextual"/>
        </w:rPr>
        <w:drawing>
          <wp:inline distT="0" distB="0" distL="0" distR="0" wp14:anchorId="29821351" wp14:editId="7E2BE529">
            <wp:extent cx="5760720" cy="2769079"/>
            <wp:effectExtent l="0" t="0" r="11430" b="12700"/>
            <wp:docPr id="2072343531" name="Grafiek 1">
              <a:extLst xmlns:a="http://schemas.openxmlformats.org/drawingml/2006/main">
                <a:ext uri="{FF2B5EF4-FFF2-40B4-BE49-F238E27FC236}">
                  <a16:creationId xmlns:a16="http://schemas.microsoft.com/office/drawing/2014/main" id="{70207094-7C43-493B-8C9D-013A41D5D4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Pr="00317F0A" w:rsidR="00C43FA5" w:rsidP="00C43FA5" w:rsidRDefault="00C43FA5" w14:paraId="4708A792" w14:textId="77777777">
      <w:pPr>
        <w:pStyle w:val="Bron"/>
        <w:keepNext/>
        <w:keepLines/>
        <w:rPr>
          <w:rFonts w:cs="Tahoma"/>
        </w:rPr>
      </w:pPr>
      <w:r w:rsidRPr="00F75D9D">
        <w:rPr>
          <w:rFonts w:cs="Tahoma"/>
        </w:rPr>
        <w:t>Bron:</w:t>
      </w:r>
      <w:r w:rsidRPr="00F75D9D">
        <w:rPr>
          <w:rFonts w:cs="Tahoma"/>
        </w:rPr>
        <w:tab/>
        <w:t>DUO/IPTO, bewerking SEO (202</w:t>
      </w:r>
      <w:r>
        <w:rPr>
          <w:rFonts w:cs="Tahoma"/>
        </w:rPr>
        <w:t>5</w:t>
      </w:r>
      <w:r w:rsidRPr="00F75D9D">
        <w:rPr>
          <w:rFonts w:cs="Tahoma"/>
        </w:rPr>
        <w:t xml:space="preserve">). Verandering in percentages ten opzichte van </w:t>
      </w:r>
      <w:r>
        <w:rPr>
          <w:rFonts w:cs="Tahoma"/>
        </w:rPr>
        <w:t>het schooljaa</w:t>
      </w:r>
      <w:r w:rsidRPr="00F75D9D">
        <w:rPr>
          <w:rFonts w:cs="Tahoma"/>
        </w:rPr>
        <w:t>r</w:t>
      </w:r>
      <w:r>
        <w:rPr>
          <w:rFonts w:cs="Tahoma"/>
        </w:rPr>
        <w:t xml:space="preserve"> ervoor</w:t>
      </w:r>
      <w:r w:rsidRPr="00F75D9D">
        <w:rPr>
          <w:rFonts w:cs="Tahoma"/>
        </w:rPr>
        <w:t xml:space="preserve"> boven de balken weergegeven.</w:t>
      </w:r>
    </w:p>
    <w:p w:rsidR="00C43FA5" w:rsidP="00C43FA5" w:rsidRDefault="00C43FA5" w14:paraId="32117996" w14:textId="674470DD">
      <w:pPr>
        <w:rPr>
          <w:rFonts w:cs="Tahoma"/>
          <w:szCs w:val="18"/>
        </w:rPr>
      </w:pPr>
      <w:r>
        <w:rPr>
          <w:rFonts w:cs="Tahoma"/>
          <w:szCs w:val="18"/>
        </w:rPr>
        <w:t xml:space="preserve">In de </w:t>
      </w:r>
      <w:r w:rsidR="009E219F">
        <w:rPr>
          <w:rFonts w:cs="Tahoma"/>
          <w:szCs w:val="18"/>
        </w:rPr>
        <w:t xml:space="preserve">appendix bij bijlage 4 </w:t>
      </w:r>
      <w:r>
        <w:rPr>
          <w:rFonts w:cs="Tahoma"/>
          <w:szCs w:val="18"/>
        </w:rPr>
        <w:t xml:space="preserve">zijn dezelfde figuren opgenomen, maar dan voor de niet-technische profielen. Bij de technische profielen is de lescapaciteit in zowel personen als fte dus gestegen in de STO-periode. Bij de niet-technische profielen zien we in de gehele STO-periode juist een </w:t>
      </w:r>
      <w:r w:rsidRPr="00851EEF">
        <w:rPr>
          <w:rFonts w:cs="Tahoma"/>
          <w:i/>
          <w:iCs/>
          <w:szCs w:val="18"/>
        </w:rPr>
        <w:t>daling</w:t>
      </w:r>
      <w:r>
        <w:rPr>
          <w:rFonts w:cs="Tahoma"/>
          <w:szCs w:val="18"/>
        </w:rPr>
        <w:t xml:space="preserve"> van ongeveer 11 procent (in zowel personen als fte) van het aantal profieldocenten. De niet-technische profielen zijn met name tijdens het eerste coronajaar (2020/21) flink achteruitgegaan, vooral bij het profiel Z&amp;W (het grootste profiel).</w:t>
      </w:r>
    </w:p>
    <w:p w:rsidR="00C43FA5" w:rsidP="00C43FA5" w:rsidRDefault="00C43FA5" w14:paraId="63723865" w14:textId="77777777">
      <w:pPr>
        <w:rPr>
          <w:rFonts w:cs="Tahoma"/>
          <w:szCs w:val="18"/>
        </w:rPr>
      </w:pPr>
    </w:p>
    <w:p w:rsidR="00C43FA5" w:rsidP="00C43FA5" w:rsidRDefault="00C43FA5" w14:paraId="2FEA70C8" w14:textId="77777777">
      <w:pPr>
        <w:rPr>
          <w:rFonts w:cs="Tahoma"/>
          <w:szCs w:val="18"/>
        </w:rPr>
      </w:pPr>
      <w:r w:rsidRPr="00A45539">
        <w:rPr>
          <w:rFonts w:cs="Tahoma"/>
          <w:szCs w:val="18"/>
        </w:rPr>
        <w:t>Bij de niet-technische profielen is er in 202</w:t>
      </w:r>
      <w:r>
        <w:rPr>
          <w:rFonts w:cs="Tahoma"/>
          <w:szCs w:val="18"/>
        </w:rPr>
        <w:t>2</w:t>
      </w:r>
      <w:r w:rsidRPr="00A45539">
        <w:rPr>
          <w:rFonts w:cs="Tahoma"/>
          <w:szCs w:val="18"/>
        </w:rPr>
        <w:t>/2</w:t>
      </w:r>
      <w:r>
        <w:rPr>
          <w:rFonts w:cs="Tahoma"/>
          <w:szCs w:val="18"/>
        </w:rPr>
        <w:t>3</w:t>
      </w:r>
      <w:r w:rsidRPr="00A45539">
        <w:rPr>
          <w:rFonts w:cs="Tahoma"/>
          <w:szCs w:val="18"/>
        </w:rPr>
        <w:t xml:space="preserve"> </w:t>
      </w:r>
      <w:r>
        <w:rPr>
          <w:rFonts w:cs="Tahoma"/>
          <w:szCs w:val="18"/>
        </w:rPr>
        <w:t xml:space="preserve">– ten opzichte van 2021/22 – wel weer </w:t>
      </w:r>
      <w:r w:rsidRPr="00A45539">
        <w:rPr>
          <w:rFonts w:cs="Tahoma"/>
          <w:szCs w:val="18"/>
        </w:rPr>
        <w:t xml:space="preserve">een stijging van het aantal </w:t>
      </w:r>
      <w:r>
        <w:rPr>
          <w:rFonts w:cs="Tahoma"/>
          <w:szCs w:val="18"/>
        </w:rPr>
        <w:t>lesgevenden</w:t>
      </w:r>
      <w:r w:rsidRPr="00A45539">
        <w:rPr>
          <w:rFonts w:cs="Tahoma"/>
          <w:szCs w:val="18"/>
        </w:rPr>
        <w:t xml:space="preserve"> van ongeveer </w:t>
      </w:r>
      <w:r>
        <w:rPr>
          <w:rFonts w:cs="Tahoma"/>
          <w:szCs w:val="18"/>
        </w:rPr>
        <w:t>5</w:t>
      </w:r>
      <w:r w:rsidRPr="00A45539">
        <w:rPr>
          <w:rFonts w:cs="Tahoma"/>
          <w:szCs w:val="18"/>
        </w:rPr>
        <w:t xml:space="preserve"> procent in personen en</w:t>
      </w:r>
      <w:r>
        <w:rPr>
          <w:rFonts w:cs="Tahoma"/>
          <w:szCs w:val="18"/>
        </w:rPr>
        <w:t xml:space="preserve"> 3 procent in</w:t>
      </w:r>
      <w:r w:rsidRPr="00A45539">
        <w:rPr>
          <w:rFonts w:cs="Tahoma"/>
          <w:szCs w:val="18"/>
        </w:rPr>
        <w:t xml:space="preserve"> fte</w:t>
      </w:r>
      <w:r>
        <w:rPr>
          <w:rFonts w:cs="Tahoma"/>
          <w:szCs w:val="18"/>
        </w:rPr>
        <w:t xml:space="preserve">. Opvallend daarin is de sterke stijging van het aantal lesgevenden in het profielvak Groen, met ongeveer 28 procent meer lesgevenden. Bij de andere profielvakken is er ook een lichte stijging, behalve bij E&amp;O. </w:t>
      </w:r>
    </w:p>
    <w:p w:rsidRPr="00A45539" w:rsidR="00C43FA5" w:rsidP="00C43FA5" w:rsidRDefault="00C43FA5" w14:paraId="4FF56652" w14:textId="77777777">
      <w:pPr>
        <w:rPr>
          <w:rFonts w:cs="Tahoma"/>
          <w:szCs w:val="18"/>
        </w:rPr>
      </w:pPr>
    </w:p>
    <w:p w:rsidR="00C43FA5" w:rsidP="00C43FA5" w:rsidRDefault="00C43FA5" w14:paraId="14634470" w14:textId="47AAB29D">
      <w:pPr>
        <w:rPr>
          <w:rFonts w:cs="Tahoma"/>
          <w:szCs w:val="18"/>
        </w:rPr>
      </w:pPr>
      <w:r>
        <w:rPr>
          <w:rFonts w:cs="Tahoma"/>
          <w:szCs w:val="18"/>
        </w:rPr>
        <w:t>Lesgevenden</w:t>
      </w:r>
      <w:r w:rsidRPr="00A45539">
        <w:rPr>
          <w:rFonts w:cs="Tahoma"/>
          <w:szCs w:val="18"/>
        </w:rPr>
        <w:t xml:space="preserve"> geven doorgaans niet alleen les in profielvakken, maar ook in avo- en</w:t>
      </w:r>
      <w:r>
        <w:rPr>
          <w:rFonts w:cs="Tahoma"/>
          <w:szCs w:val="18"/>
        </w:rPr>
        <w:t>/of</w:t>
      </w:r>
      <w:r w:rsidRPr="00A45539">
        <w:rPr>
          <w:rFonts w:cs="Tahoma"/>
          <w:szCs w:val="18"/>
        </w:rPr>
        <w:t xml:space="preserve"> </w:t>
      </w:r>
      <w:r w:rsidRPr="00310D79">
        <w:rPr>
          <w:rFonts w:cs="Tahoma"/>
          <w:szCs w:val="18"/>
        </w:rPr>
        <w:t xml:space="preserve">overige vakken. Figuur </w:t>
      </w:r>
      <w:r w:rsidR="009E219F">
        <w:rPr>
          <w:rFonts w:cs="Tahoma"/>
          <w:szCs w:val="18"/>
        </w:rPr>
        <w:t>B</w:t>
      </w:r>
      <w:r w:rsidR="00500C21">
        <w:rPr>
          <w:rFonts w:cs="Tahoma"/>
          <w:szCs w:val="18"/>
        </w:rPr>
        <w:t>4</w:t>
      </w:r>
      <w:r w:rsidRPr="00310D79">
        <w:rPr>
          <w:rFonts w:cs="Tahoma"/>
          <w:szCs w:val="18"/>
        </w:rPr>
        <w:t>.2 toont</w:t>
      </w:r>
      <w:r w:rsidRPr="00A45539">
        <w:rPr>
          <w:rFonts w:cs="Tahoma"/>
          <w:szCs w:val="18"/>
        </w:rPr>
        <w:t xml:space="preserve"> om </w:t>
      </w:r>
      <w:r>
        <w:rPr>
          <w:rFonts w:cs="Tahoma"/>
          <w:szCs w:val="18"/>
        </w:rPr>
        <w:t>welk aandeel</w:t>
      </w:r>
      <w:r w:rsidRPr="00A45539">
        <w:rPr>
          <w:rFonts w:cs="Tahoma"/>
          <w:szCs w:val="18"/>
        </w:rPr>
        <w:t xml:space="preserve"> dat gaat. Van alle </w:t>
      </w:r>
      <w:r>
        <w:rPr>
          <w:rFonts w:cs="Tahoma"/>
          <w:szCs w:val="18"/>
        </w:rPr>
        <w:t>lesgevenden</w:t>
      </w:r>
      <w:r w:rsidRPr="00A45539">
        <w:rPr>
          <w:rFonts w:cs="Tahoma"/>
          <w:szCs w:val="18"/>
        </w:rPr>
        <w:t xml:space="preserve"> in een technisch profiel</w:t>
      </w:r>
      <w:r>
        <w:rPr>
          <w:rFonts w:cs="Tahoma"/>
          <w:szCs w:val="18"/>
        </w:rPr>
        <w:t>vak</w:t>
      </w:r>
      <w:r w:rsidRPr="00A45539">
        <w:rPr>
          <w:rFonts w:cs="Tahoma"/>
          <w:szCs w:val="18"/>
        </w:rPr>
        <w:t xml:space="preserve"> geeft ongeveer </w:t>
      </w:r>
      <w:r>
        <w:rPr>
          <w:rFonts w:cs="Tahoma"/>
          <w:szCs w:val="18"/>
        </w:rPr>
        <w:t xml:space="preserve">een kwart </w:t>
      </w:r>
      <w:r w:rsidRPr="00A45539">
        <w:rPr>
          <w:rFonts w:cs="Tahoma"/>
          <w:szCs w:val="18"/>
        </w:rPr>
        <w:t>ook les in een avo-vak in 20</w:t>
      </w:r>
      <w:r>
        <w:rPr>
          <w:rFonts w:cs="Tahoma"/>
          <w:szCs w:val="18"/>
        </w:rPr>
        <w:t>22</w:t>
      </w:r>
      <w:r w:rsidRPr="00A45539">
        <w:rPr>
          <w:rFonts w:cs="Tahoma"/>
          <w:szCs w:val="18"/>
        </w:rPr>
        <w:t>/2</w:t>
      </w:r>
      <w:r>
        <w:rPr>
          <w:rFonts w:cs="Tahoma"/>
          <w:szCs w:val="18"/>
        </w:rPr>
        <w:t>3</w:t>
      </w:r>
      <w:r w:rsidRPr="00A45539">
        <w:rPr>
          <w:rFonts w:cs="Tahoma"/>
          <w:szCs w:val="18"/>
        </w:rPr>
        <w:t xml:space="preserve">. Dat is meer dan </w:t>
      </w:r>
      <w:r>
        <w:rPr>
          <w:rFonts w:cs="Tahoma"/>
          <w:szCs w:val="18"/>
        </w:rPr>
        <w:t>het schooljaar ervoor</w:t>
      </w:r>
      <w:r w:rsidRPr="00A45539">
        <w:rPr>
          <w:rFonts w:cs="Tahoma"/>
          <w:szCs w:val="18"/>
        </w:rPr>
        <w:t>, en</w:t>
      </w:r>
      <w:r>
        <w:rPr>
          <w:rFonts w:cs="Tahoma"/>
          <w:szCs w:val="18"/>
        </w:rPr>
        <w:t xml:space="preserve"> het </w:t>
      </w:r>
      <w:r w:rsidRPr="00A45539">
        <w:rPr>
          <w:rFonts w:cs="Tahoma"/>
          <w:szCs w:val="18"/>
        </w:rPr>
        <w:t xml:space="preserve">geldt voor alle technische profielen afzonderlijk. Ten opzichte van de </w:t>
      </w:r>
      <w:r w:rsidRPr="00571BC0">
        <w:rPr>
          <w:rFonts w:cs="Tahoma"/>
          <w:szCs w:val="18"/>
        </w:rPr>
        <w:t>nulmeting (schooljaar 2017/18)</w:t>
      </w:r>
      <w:r w:rsidRPr="00A45539">
        <w:rPr>
          <w:rFonts w:cs="Tahoma"/>
          <w:szCs w:val="18"/>
        </w:rPr>
        <w:t xml:space="preserve"> is er wel in alle technische profielen een daling, het scherpst binnen het profiel PIE. Het aandeel </w:t>
      </w:r>
      <w:r>
        <w:rPr>
          <w:rFonts w:cs="Tahoma"/>
          <w:szCs w:val="18"/>
        </w:rPr>
        <w:t>lesgevenden</w:t>
      </w:r>
      <w:r w:rsidRPr="00A45539">
        <w:rPr>
          <w:rFonts w:cs="Tahoma"/>
          <w:szCs w:val="18"/>
        </w:rPr>
        <w:t xml:space="preserve"> in technische </w:t>
      </w:r>
      <w:r>
        <w:rPr>
          <w:rFonts w:cs="Tahoma"/>
          <w:szCs w:val="18"/>
        </w:rPr>
        <w:t>profielvakken</w:t>
      </w:r>
      <w:r w:rsidRPr="00A45539">
        <w:rPr>
          <w:rFonts w:cs="Tahoma"/>
          <w:szCs w:val="18"/>
        </w:rPr>
        <w:t xml:space="preserve"> dat ook </w:t>
      </w:r>
      <w:r>
        <w:rPr>
          <w:rFonts w:cs="Tahoma"/>
          <w:szCs w:val="18"/>
        </w:rPr>
        <w:t>lesgeeft in éé</w:t>
      </w:r>
      <w:r w:rsidRPr="00A45539">
        <w:rPr>
          <w:rFonts w:cs="Tahoma"/>
          <w:szCs w:val="18"/>
        </w:rPr>
        <w:t>n</w:t>
      </w:r>
      <w:r>
        <w:rPr>
          <w:rFonts w:cs="Tahoma"/>
          <w:szCs w:val="18"/>
        </w:rPr>
        <w:t xml:space="preserve"> of meerdere</w:t>
      </w:r>
      <w:r w:rsidRPr="00A45539">
        <w:rPr>
          <w:rFonts w:cs="Tahoma"/>
          <w:szCs w:val="18"/>
        </w:rPr>
        <w:t xml:space="preserve"> overig</w:t>
      </w:r>
      <w:r>
        <w:rPr>
          <w:rFonts w:cs="Tahoma"/>
          <w:szCs w:val="18"/>
        </w:rPr>
        <w:t>e</w:t>
      </w:r>
      <w:r w:rsidRPr="00A45539">
        <w:rPr>
          <w:rFonts w:cs="Tahoma"/>
          <w:szCs w:val="18"/>
        </w:rPr>
        <w:t xml:space="preserve"> </w:t>
      </w:r>
      <w:r>
        <w:rPr>
          <w:rFonts w:cs="Tahoma"/>
          <w:szCs w:val="18"/>
        </w:rPr>
        <w:t xml:space="preserve">(schooleigen) </w:t>
      </w:r>
      <w:r w:rsidRPr="00A45539">
        <w:rPr>
          <w:rFonts w:cs="Tahoma"/>
          <w:szCs w:val="18"/>
        </w:rPr>
        <w:t>vak</w:t>
      </w:r>
      <w:r>
        <w:rPr>
          <w:rFonts w:cs="Tahoma"/>
          <w:szCs w:val="18"/>
        </w:rPr>
        <w:t>ken</w:t>
      </w:r>
      <w:r w:rsidRPr="00A45539">
        <w:rPr>
          <w:rFonts w:cs="Tahoma"/>
          <w:szCs w:val="18"/>
        </w:rPr>
        <w:t xml:space="preserve"> is door de jaren heen</w:t>
      </w:r>
      <w:r>
        <w:rPr>
          <w:rFonts w:cs="Tahoma"/>
          <w:szCs w:val="18"/>
        </w:rPr>
        <w:t xml:space="preserve"> juist iets gestegen</w:t>
      </w:r>
      <w:r w:rsidRPr="00A45539">
        <w:rPr>
          <w:rFonts w:cs="Tahoma"/>
          <w:szCs w:val="18"/>
        </w:rPr>
        <w:t xml:space="preserve">. </w:t>
      </w:r>
    </w:p>
    <w:p w:rsidR="00C43FA5" w:rsidP="00C43FA5" w:rsidRDefault="00C43FA5" w14:paraId="3F453EB3" w14:textId="77777777">
      <w:pPr>
        <w:spacing w:after="160" w:line="259" w:lineRule="auto"/>
        <w:rPr>
          <w:bCs/>
          <w:i/>
          <w:color w:val="7F7F7F" w:themeColor="text1" w:themeTint="80"/>
          <w:szCs w:val="18"/>
        </w:rPr>
      </w:pPr>
      <w:r>
        <w:br w:type="page"/>
      </w:r>
    </w:p>
    <w:p w:rsidRPr="00A45539" w:rsidR="00C43FA5" w:rsidP="00C43FA5" w:rsidRDefault="00C43FA5" w14:paraId="5E8333D7" w14:textId="7A931330">
      <w:pPr>
        <w:pStyle w:val="Bijschrift"/>
        <w:tabs>
          <w:tab w:val="clear" w:pos="357"/>
          <w:tab w:val="clear" w:pos="714"/>
        </w:tabs>
        <w:ind w:left="1036" w:hanging="1036"/>
        <w:rPr>
          <w:noProof/>
        </w:rPr>
      </w:pPr>
      <w:r w:rsidRPr="00A45539">
        <w:lastRenderedPageBreak/>
        <w:t xml:space="preserve">Figuur </w:t>
      </w:r>
      <w:r w:rsidR="009E219F">
        <w:t>B</w:t>
      </w:r>
      <w:r w:rsidR="00500C21">
        <w:t>4</w:t>
      </w:r>
      <w:r w:rsidRPr="00A45539">
        <w:t xml:space="preserve">.2 </w:t>
      </w:r>
      <w:r>
        <w:tab/>
        <w:t xml:space="preserve">Aandeel techniekdocenten dat ook lesgeeft in een avo-vak of een overig vak, </w:t>
      </w:r>
      <w:r>
        <w:rPr>
          <w:noProof/>
        </w:rPr>
        <w:t>2017/18-2022/23</w:t>
      </w:r>
    </w:p>
    <w:p w:rsidRPr="00A45539" w:rsidR="00C43FA5" w:rsidP="7C716BD1" w:rsidRDefault="00C43FA5" w14:paraId="6A689EA3" w14:textId="77777777">
      <w:pPr>
        <w:rPr>
          <w:noProof/>
        </w:rPr>
      </w:pPr>
      <w:r>
        <w:rPr>
          <w:noProof/>
          <w14:ligatures w14:val="standardContextual"/>
        </w:rPr>
        <w:drawing>
          <wp:inline distT="0" distB="0" distL="0" distR="0" wp14:anchorId="750354D2" wp14:editId="1BD9F11B">
            <wp:extent cx="5760720" cy="2743200"/>
            <wp:effectExtent l="0" t="0" r="11430" b="0"/>
            <wp:docPr id="1738643107" name="Grafiek 1">
              <a:extLst xmlns:a="http://schemas.openxmlformats.org/drawingml/2006/main">
                <a:ext uri="{FF2B5EF4-FFF2-40B4-BE49-F238E27FC236}">
                  <a16:creationId xmlns:a16="http://schemas.microsoft.com/office/drawing/2014/main" id="{D2C8A7CA-64A7-BF80-9803-4D330E0ACA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Pr="00A45539" w:rsidR="00C43FA5" w:rsidP="00C43FA5" w:rsidRDefault="00C43FA5" w14:paraId="4A9AC3C2" w14:textId="77777777">
      <w:r>
        <w:rPr>
          <w:noProof/>
          <w14:ligatures w14:val="standardContextual"/>
        </w:rPr>
        <w:drawing>
          <wp:inline distT="0" distB="0" distL="0" distR="0" wp14:anchorId="1303532E" wp14:editId="019AD24C">
            <wp:extent cx="5760720" cy="2743200"/>
            <wp:effectExtent l="0" t="0" r="11430" b="0"/>
            <wp:docPr id="1866040720" name="Grafiek 1">
              <a:extLst xmlns:a="http://schemas.openxmlformats.org/drawingml/2006/main">
                <a:ext uri="{FF2B5EF4-FFF2-40B4-BE49-F238E27FC236}">
                  <a16:creationId xmlns:a16="http://schemas.microsoft.com/office/drawing/2014/main" id="{AB648353-EE4D-4C04-9453-81E99EEB97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Pr="00A45539" w:rsidR="00C43FA5" w:rsidP="00C43FA5" w:rsidRDefault="00C43FA5" w14:paraId="2E54BC93" w14:textId="77777777">
      <w:pPr>
        <w:pStyle w:val="Bron"/>
        <w:rPr>
          <w:rFonts w:cs="Tahoma"/>
          <w:sz w:val="18"/>
          <w:szCs w:val="18"/>
        </w:rPr>
      </w:pPr>
      <w:r w:rsidRPr="00F75D9D">
        <w:rPr>
          <w:rFonts w:cs="Tahoma"/>
        </w:rPr>
        <w:t>Bron:</w:t>
      </w:r>
      <w:r w:rsidRPr="00F75D9D">
        <w:rPr>
          <w:rFonts w:cs="Tahoma"/>
        </w:rPr>
        <w:tab/>
        <w:t>DUO/IPTO, bewerking SEO (202</w:t>
      </w:r>
      <w:r>
        <w:rPr>
          <w:rFonts w:cs="Tahoma"/>
        </w:rPr>
        <w:t>5</w:t>
      </w:r>
      <w:r w:rsidRPr="00F75D9D">
        <w:rPr>
          <w:rFonts w:cs="Tahoma"/>
        </w:rPr>
        <w:t>). De combinatie avo-</w:t>
      </w:r>
      <w:r>
        <w:rPr>
          <w:rFonts w:cs="Tahoma"/>
        </w:rPr>
        <w:t>vak</w:t>
      </w:r>
      <w:r w:rsidRPr="00F75D9D">
        <w:rPr>
          <w:rFonts w:cs="Tahoma"/>
        </w:rPr>
        <w:t xml:space="preserve"> en MaT-</w:t>
      </w:r>
      <w:r>
        <w:rPr>
          <w:rFonts w:cs="Tahoma"/>
        </w:rPr>
        <w:t>vak</w:t>
      </w:r>
      <w:r w:rsidRPr="00F75D9D">
        <w:rPr>
          <w:rFonts w:cs="Tahoma"/>
        </w:rPr>
        <w:t xml:space="preserve"> kan niet worden weergegeven vanwege de exportregels van het </w:t>
      </w:r>
      <w:r w:rsidRPr="00A41F39">
        <w:rPr>
          <w:rFonts w:cs="Tahoma"/>
        </w:rPr>
        <w:t xml:space="preserve">CBS. </w:t>
      </w:r>
      <w:r>
        <w:rPr>
          <w:rFonts w:cs="Tahoma"/>
        </w:rPr>
        <w:t>Ook</w:t>
      </w:r>
      <w:r w:rsidRPr="00A41F39">
        <w:rPr>
          <w:rFonts w:cs="Tahoma"/>
        </w:rPr>
        <w:t xml:space="preserve"> </w:t>
      </w:r>
      <w:r>
        <w:rPr>
          <w:rFonts w:cs="Tahoma"/>
        </w:rPr>
        <w:t xml:space="preserve">de </w:t>
      </w:r>
      <w:r w:rsidRPr="00A41F39">
        <w:rPr>
          <w:rFonts w:cs="Tahoma"/>
        </w:rPr>
        <w:t>combinatie overig vak en MaT-vak in 2022/23 kan</w:t>
      </w:r>
      <w:r>
        <w:rPr>
          <w:rFonts w:cs="Tahoma"/>
        </w:rPr>
        <w:t xml:space="preserve"> hierdoor</w:t>
      </w:r>
      <w:r w:rsidRPr="00A41F39">
        <w:rPr>
          <w:rFonts w:cs="Tahoma"/>
        </w:rPr>
        <w:t xml:space="preserve"> niet worden weergegeven.</w:t>
      </w:r>
    </w:p>
    <w:p w:rsidR="00C43FA5" w:rsidP="00C43FA5" w:rsidRDefault="00C43FA5" w14:paraId="03D317BE" w14:textId="6C01980D">
      <w:pPr>
        <w:rPr>
          <w:rFonts w:cs="Tahoma"/>
          <w:szCs w:val="18"/>
        </w:rPr>
      </w:pPr>
      <w:r>
        <w:rPr>
          <w:rFonts w:cs="Tahoma"/>
          <w:szCs w:val="18"/>
        </w:rPr>
        <w:t>Lesgevenden in niet-technische profielvakken</w:t>
      </w:r>
      <w:r w:rsidRPr="00A45539">
        <w:rPr>
          <w:rFonts w:cs="Tahoma"/>
          <w:szCs w:val="18"/>
        </w:rPr>
        <w:t xml:space="preserve"> </w:t>
      </w:r>
      <w:r>
        <w:rPr>
          <w:rFonts w:cs="Tahoma"/>
          <w:szCs w:val="18"/>
        </w:rPr>
        <w:t xml:space="preserve">geven duidelijk vaker dan docenten in de technische profielen </w:t>
      </w:r>
      <w:r w:rsidRPr="00A45539">
        <w:rPr>
          <w:rFonts w:cs="Tahoma"/>
          <w:szCs w:val="18"/>
        </w:rPr>
        <w:t>ook les in een avo-vak</w:t>
      </w:r>
      <w:r w:rsidR="0049292F">
        <w:rPr>
          <w:rFonts w:cs="Tahoma"/>
          <w:szCs w:val="18"/>
        </w:rPr>
        <w:t xml:space="preserve"> </w:t>
      </w:r>
      <w:r>
        <w:rPr>
          <w:rFonts w:cs="Tahoma"/>
          <w:szCs w:val="18"/>
        </w:rPr>
        <w:t>(</w:t>
      </w:r>
      <w:r w:rsidRPr="00A45539">
        <w:rPr>
          <w:rFonts w:cs="Tahoma"/>
          <w:szCs w:val="18"/>
        </w:rPr>
        <w:t xml:space="preserve">40 </w:t>
      </w:r>
      <w:r>
        <w:rPr>
          <w:rFonts w:cs="Tahoma"/>
          <w:szCs w:val="18"/>
        </w:rPr>
        <w:t>versus 25</w:t>
      </w:r>
      <w:r w:rsidRPr="00A45539">
        <w:rPr>
          <w:rFonts w:cs="Tahoma"/>
          <w:szCs w:val="18"/>
        </w:rPr>
        <w:t xml:space="preserve"> procent</w:t>
      </w:r>
      <w:r>
        <w:rPr>
          <w:rFonts w:cs="Tahoma"/>
          <w:szCs w:val="18"/>
        </w:rPr>
        <w:t xml:space="preserve">, zie bijlagen). </w:t>
      </w:r>
      <w:r w:rsidRPr="00A45539">
        <w:rPr>
          <w:rFonts w:cs="Tahoma"/>
          <w:szCs w:val="18"/>
        </w:rPr>
        <w:t xml:space="preserve"> De verschillen tussen de niet-technische profielen zijn wel groter. Bij HBR is het ongeveer 15 procent, terwijl bij E&amp;O </w:t>
      </w:r>
      <w:r>
        <w:rPr>
          <w:rFonts w:cs="Tahoma"/>
          <w:szCs w:val="18"/>
        </w:rPr>
        <w:t>meer dan 60 procent</w:t>
      </w:r>
      <w:r w:rsidRPr="00A45539">
        <w:rPr>
          <w:rFonts w:cs="Tahoma"/>
          <w:szCs w:val="18"/>
        </w:rPr>
        <w:t xml:space="preserve"> </w:t>
      </w:r>
      <w:r>
        <w:rPr>
          <w:rFonts w:cs="Tahoma"/>
          <w:szCs w:val="18"/>
        </w:rPr>
        <w:t xml:space="preserve">ook </w:t>
      </w:r>
      <w:r w:rsidRPr="00A45539">
        <w:rPr>
          <w:rFonts w:cs="Tahoma"/>
          <w:szCs w:val="18"/>
        </w:rPr>
        <w:t xml:space="preserve">lesgeeft in een avo-vak. Dat is ook </w:t>
      </w:r>
      <w:r>
        <w:rPr>
          <w:rFonts w:cs="Tahoma"/>
          <w:szCs w:val="18"/>
        </w:rPr>
        <w:t>te verwachten omdat bevoegde E&amp;O-</w:t>
      </w:r>
      <w:r w:rsidRPr="00A45539">
        <w:rPr>
          <w:rFonts w:cs="Tahoma"/>
          <w:szCs w:val="18"/>
        </w:rPr>
        <w:t xml:space="preserve">docenten </w:t>
      </w:r>
      <w:r>
        <w:rPr>
          <w:rFonts w:cs="Tahoma"/>
          <w:szCs w:val="18"/>
        </w:rPr>
        <w:t xml:space="preserve">ook bevoegd zijn om het </w:t>
      </w:r>
      <w:r w:rsidRPr="00A45539">
        <w:rPr>
          <w:rFonts w:cs="Tahoma"/>
          <w:szCs w:val="18"/>
        </w:rPr>
        <w:t>avo-vak Economie</w:t>
      </w:r>
      <w:r>
        <w:rPr>
          <w:rFonts w:cs="Tahoma"/>
          <w:szCs w:val="18"/>
        </w:rPr>
        <w:t xml:space="preserve"> te geven</w:t>
      </w:r>
      <w:r w:rsidRPr="00A45539">
        <w:rPr>
          <w:rFonts w:cs="Tahoma"/>
          <w:szCs w:val="18"/>
        </w:rPr>
        <w:t>. Ten opzichte van 2017/18 is het percentage wat afgenomen, maar niet zo sterk als bij de technische profielen. Dat komt voornamelijk door een daling bij Z&amp;W</w:t>
      </w:r>
      <w:r>
        <w:rPr>
          <w:rFonts w:cs="Tahoma"/>
          <w:szCs w:val="18"/>
        </w:rPr>
        <w:t xml:space="preserve"> in het coronajaar 2020/21</w:t>
      </w:r>
      <w:r w:rsidRPr="00A45539">
        <w:rPr>
          <w:rFonts w:cs="Tahoma"/>
          <w:szCs w:val="18"/>
        </w:rPr>
        <w:t xml:space="preserve">. Alleen bij het profiel E&amp;O is een stijging zichtbaar. </w:t>
      </w:r>
    </w:p>
    <w:p w:rsidR="00C43FA5" w:rsidP="00C43FA5" w:rsidRDefault="00C43FA5" w14:paraId="54427A50" w14:textId="77777777">
      <w:pPr>
        <w:rPr>
          <w:rFonts w:cs="Tahoma"/>
          <w:szCs w:val="18"/>
        </w:rPr>
      </w:pPr>
    </w:p>
    <w:p w:rsidRPr="00A45539" w:rsidR="00C43FA5" w:rsidP="00C43FA5" w:rsidRDefault="00C43FA5" w14:paraId="155B21F0" w14:textId="6FF760AF">
      <w:pPr>
        <w:rPr>
          <w:rFonts w:cs="Tahoma"/>
          <w:szCs w:val="18"/>
        </w:rPr>
      </w:pPr>
      <w:r w:rsidRPr="00A45539">
        <w:rPr>
          <w:rFonts w:cs="Tahoma"/>
          <w:szCs w:val="18"/>
        </w:rPr>
        <w:t xml:space="preserve">Van alle </w:t>
      </w:r>
      <w:r>
        <w:rPr>
          <w:rFonts w:cs="Tahoma"/>
          <w:szCs w:val="18"/>
        </w:rPr>
        <w:t>lesgevenden</w:t>
      </w:r>
      <w:r w:rsidRPr="00A45539">
        <w:rPr>
          <w:rFonts w:cs="Tahoma"/>
          <w:szCs w:val="18"/>
        </w:rPr>
        <w:t xml:space="preserve"> in een niet-technisch profiel geeft </w:t>
      </w:r>
      <w:r w:rsidRPr="00310D79">
        <w:rPr>
          <w:rFonts w:cs="Tahoma"/>
          <w:szCs w:val="18"/>
        </w:rPr>
        <w:t xml:space="preserve">73 procent ook les in een overig vak, een iets groter deel dan </w:t>
      </w:r>
      <w:r>
        <w:rPr>
          <w:rFonts w:cs="Tahoma"/>
          <w:szCs w:val="18"/>
        </w:rPr>
        <w:t>bij</w:t>
      </w:r>
      <w:r w:rsidRPr="00310D79">
        <w:rPr>
          <w:rFonts w:cs="Tahoma"/>
          <w:szCs w:val="18"/>
        </w:rPr>
        <w:t xml:space="preserve"> de technische profielen</w:t>
      </w:r>
      <w:r>
        <w:rPr>
          <w:rFonts w:cs="Tahoma"/>
          <w:szCs w:val="18"/>
        </w:rPr>
        <w:t xml:space="preserve"> (67 procent)</w:t>
      </w:r>
      <w:r w:rsidRPr="00310D79">
        <w:rPr>
          <w:rFonts w:cs="Tahoma"/>
          <w:szCs w:val="18"/>
        </w:rPr>
        <w:t xml:space="preserve">. Dat aandeel is </w:t>
      </w:r>
      <w:r>
        <w:rPr>
          <w:rFonts w:cs="Tahoma"/>
          <w:szCs w:val="18"/>
        </w:rPr>
        <w:t>juist</w:t>
      </w:r>
      <w:r w:rsidRPr="00310D79">
        <w:rPr>
          <w:rFonts w:cs="Tahoma"/>
          <w:szCs w:val="18"/>
        </w:rPr>
        <w:t xml:space="preserve"> zeer vergelijkbaar </w:t>
      </w:r>
      <w:r>
        <w:rPr>
          <w:rFonts w:cs="Tahoma"/>
          <w:szCs w:val="18"/>
        </w:rPr>
        <w:t xml:space="preserve">bij </w:t>
      </w:r>
      <w:r w:rsidRPr="00310D79">
        <w:rPr>
          <w:rFonts w:cs="Tahoma"/>
          <w:szCs w:val="18"/>
        </w:rPr>
        <w:t xml:space="preserve">de niet-technische profielen en verandert nauwelijks over de tijd. Zie </w:t>
      </w:r>
      <w:r w:rsidR="0049292F">
        <w:rPr>
          <w:rFonts w:cs="Tahoma"/>
          <w:szCs w:val="18"/>
        </w:rPr>
        <w:t>de Appendix bij Bijlage 4</w:t>
      </w:r>
      <w:r w:rsidRPr="00310D79">
        <w:rPr>
          <w:rFonts w:cs="Tahoma"/>
          <w:szCs w:val="18"/>
        </w:rPr>
        <w:t xml:space="preserve"> voor de</w:t>
      </w:r>
      <w:r w:rsidRPr="00A45539">
        <w:rPr>
          <w:rFonts w:cs="Tahoma"/>
          <w:szCs w:val="18"/>
        </w:rPr>
        <w:t xml:space="preserve"> figuren.</w:t>
      </w:r>
    </w:p>
    <w:p w:rsidR="00C43FA5" w:rsidP="00C43FA5" w:rsidRDefault="00C43FA5" w14:paraId="6431A39D" w14:textId="77777777">
      <w:pPr>
        <w:jc w:val="both"/>
        <w:rPr>
          <w:rFonts w:cs="Tahoma"/>
          <w:szCs w:val="18"/>
        </w:rPr>
      </w:pPr>
    </w:p>
    <w:p w:rsidR="00C43FA5" w:rsidP="00C43FA5" w:rsidRDefault="00C43FA5" w14:paraId="5F5EBD69" w14:textId="77777777">
      <w:pPr>
        <w:jc w:val="both"/>
        <w:rPr>
          <w:rFonts w:cs="Tahoma"/>
          <w:szCs w:val="18"/>
        </w:rPr>
      </w:pPr>
    </w:p>
    <w:p w:rsidRPr="00571BC0" w:rsidR="00C43FA5" w:rsidP="00C43FA5" w:rsidRDefault="00C43FA5" w14:paraId="50955D41" w14:textId="77777777">
      <w:pPr>
        <w:pStyle w:val="Kop2"/>
        <w:rPr>
          <w:szCs w:val="18"/>
        </w:rPr>
      </w:pPr>
      <w:bookmarkStart w:name="_Toc203573648" w:id="213"/>
      <w:r w:rsidRPr="00571BC0">
        <w:rPr>
          <w:szCs w:val="18"/>
        </w:rPr>
        <w:lastRenderedPageBreak/>
        <w:t>Aantal lesgevenden per school</w:t>
      </w:r>
      <w:bookmarkEnd w:id="213"/>
    </w:p>
    <w:p w:rsidRPr="00A45539" w:rsidR="00C43FA5" w:rsidP="00C43FA5" w:rsidRDefault="00C43FA5" w14:paraId="0D2766F9" w14:textId="0045186F">
      <w:pPr>
        <w:jc w:val="both"/>
        <w:rPr>
          <w:rFonts w:cs="Tahoma"/>
          <w:szCs w:val="18"/>
        </w:rPr>
      </w:pPr>
      <w:r>
        <w:rPr>
          <w:rFonts w:cs="Tahoma"/>
          <w:szCs w:val="18"/>
        </w:rPr>
        <w:t xml:space="preserve">In Figuur </w:t>
      </w:r>
      <w:r w:rsidR="00EA2E59">
        <w:rPr>
          <w:rFonts w:cs="Tahoma"/>
          <w:szCs w:val="18"/>
        </w:rPr>
        <w:t>B</w:t>
      </w:r>
      <w:r w:rsidR="0049292F">
        <w:rPr>
          <w:rFonts w:cs="Tahoma"/>
          <w:szCs w:val="18"/>
        </w:rPr>
        <w:t>4</w:t>
      </w:r>
      <w:r>
        <w:rPr>
          <w:rFonts w:cs="Tahoma"/>
          <w:szCs w:val="18"/>
        </w:rPr>
        <w:t xml:space="preserve">.3 geven we het </w:t>
      </w:r>
      <w:r w:rsidRPr="00A45539">
        <w:rPr>
          <w:rFonts w:cs="Tahoma"/>
          <w:szCs w:val="18"/>
        </w:rPr>
        <w:t xml:space="preserve">aantal </w:t>
      </w:r>
      <w:r>
        <w:rPr>
          <w:rFonts w:cs="Tahoma"/>
          <w:szCs w:val="18"/>
        </w:rPr>
        <w:t>lesgevenden</w:t>
      </w:r>
      <w:r w:rsidRPr="00A45539">
        <w:rPr>
          <w:rFonts w:cs="Tahoma"/>
          <w:szCs w:val="18"/>
        </w:rPr>
        <w:t xml:space="preserve"> per </w:t>
      </w:r>
      <w:r>
        <w:rPr>
          <w:rFonts w:cs="Tahoma"/>
          <w:szCs w:val="18"/>
        </w:rPr>
        <w:t>school</w:t>
      </w:r>
      <w:r w:rsidRPr="00A45539">
        <w:rPr>
          <w:rFonts w:cs="Tahoma"/>
          <w:szCs w:val="18"/>
        </w:rPr>
        <w:t>.</w:t>
      </w:r>
      <w:r>
        <w:rPr>
          <w:rStyle w:val="Voetnootmarkering"/>
          <w:rFonts w:cs="Tahoma"/>
          <w:szCs w:val="18"/>
        </w:rPr>
        <w:footnoteReference w:id="24"/>
      </w:r>
      <w:r w:rsidRPr="00A45539">
        <w:rPr>
          <w:rFonts w:cs="Tahoma"/>
          <w:szCs w:val="18"/>
        </w:rPr>
        <w:t xml:space="preserve"> </w:t>
      </w:r>
      <w:r>
        <w:rPr>
          <w:rFonts w:cs="Tahoma"/>
          <w:szCs w:val="18"/>
        </w:rPr>
        <w:t>Daarin zien we dat het aantal lesgevenden per school in 2022/23 in vergelijking met het jaar ervoor is gestegen. Per profiel be</w:t>
      </w:r>
      <w:r w:rsidRPr="00A45539">
        <w:rPr>
          <w:rFonts w:cs="Tahoma"/>
          <w:szCs w:val="18"/>
        </w:rPr>
        <w:t xml:space="preserve">zien </w:t>
      </w:r>
      <w:r>
        <w:rPr>
          <w:rFonts w:cs="Tahoma"/>
          <w:szCs w:val="18"/>
        </w:rPr>
        <w:t xml:space="preserve">blijkt </w:t>
      </w:r>
      <w:r w:rsidRPr="00A45539">
        <w:rPr>
          <w:rFonts w:cs="Tahoma"/>
          <w:szCs w:val="18"/>
        </w:rPr>
        <w:t xml:space="preserve">dat het aantal </w:t>
      </w:r>
      <w:r>
        <w:rPr>
          <w:rFonts w:cs="Tahoma"/>
          <w:szCs w:val="18"/>
        </w:rPr>
        <w:t xml:space="preserve">lesgevenden per school schommelt voor </w:t>
      </w:r>
      <w:r w:rsidRPr="00A45539">
        <w:rPr>
          <w:rFonts w:cs="Tahoma"/>
          <w:szCs w:val="18"/>
        </w:rPr>
        <w:t>MVI</w:t>
      </w:r>
      <w:r>
        <w:rPr>
          <w:rFonts w:cs="Tahoma"/>
          <w:szCs w:val="18"/>
        </w:rPr>
        <w:t xml:space="preserve"> en in mindere mate voor PIE,</w:t>
      </w:r>
      <w:r w:rsidRPr="00A45539">
        <w:rPr>
          <w:rFonts w:cs="Tahoma"/>
          <w:szCs w:val="18"/>
        </w:rPr>
        <w:t xml:space="preserve"> en </w:t>
      </w:r>
      <w:r>
        <w:rPr>
          <w:rFonts w:cs="Tahoma"/>
          <w:szCs w:val="18"/>
        </w:rPr>
        <w:t xml:space="preserve">dat het </w:t>
      </w:r>
      <w:r w:rsidRPr="00A45539">
        <w:rPr>
          <w:rFonts w:cs="Tahoma"/>
          <w:szCs w:val="18"/>
        </w:rPr>
        <w:t xml:space="preserve">aantal </w:t>
      </w:r>
      <w:r>
        <w:rPr>
          <w:rFonts w:cs="Tahoma"/>
          <w:szCs w:val="18"/>
        </w:rPr>
        <w:t xml:space="preserve">stijgt voor </w:t>
      </w:r>
      <w:r w:rsidRPr="00A45539">
        <w:rPr>
          <w:rFonts w:cs="Tahoma"/>
          <w:szCs w:val="18"/>
        </w:rPr>
        <w:t>BWI</w:t>
      </w:r>
      <w:r>
        <w:rPr>
          <w:rFonts w:cs="Tahoma"/>
          <w:szCs w:val="18"/>
        </w:rPr>
        <w:t xml:space="preserve"> en M&amp;T</w:t>
      </w:r>
      <w:r w:rsidRPr="00A45539">
        <w:rPr>
          <w:rFonts w:cs="Tahoma"/>
          <w:szCs w:val="18"/>
        </w:rPr>
        <w:t xml:space="preserve"> </w:t>
      </w:r>
      <w:r>
        <w:rPr>
          <w:rFonts w:cs="Tahoma"/>
          <w:szCs w:val="18"/>
        </w:rPr>
        <w:t>in de laatste jaren</w:t>
      </w:r>
      <w:r w:rsidRPr="00A45539">
        <w:rPr>
          <w:rFonts w:cs="Tahoma"/>
          <w:szCs w:val="18"/>
        </w:rPr>
        <w:t xml:space="preserve">. </w:t>
      </w:r>
    </w:p>
    <w:p w:rsidRPr="00A45539" w:rsidR="00C43FA5" w:rsidP="00C43FA5" w:rsidRDefault="00C43FA5" w14:paraId="3BA62890" w14:textId="77777777">
      <w:pPr>
        <w:jc w:val="both"/>
        <w:rPr>
          <w:rFonts w:cs="Tahoma"/>
          <w:szCs w:val="18"/>
        </w:rPr>
      </w:pPr>
    </w:p>
    <w:p w:rsidR="00C43FA5" w:rsidP="00C43FA5" w:rsidRDefault="00C43FA5" w14:paraId="706EE870" w14:textId="77777777">
      <w:pPr>
        <w:jc w:val="both"/>
        <w:rPr>
          <w:rFonts w:cs="Tahoma"/>
          <w:szCs w:val="18"/>
        </w:rPr>
      </w:pPr>
      <w:r w:rsidRPr="00A45539">
        <w:rPr>
          <w:rFonts w:cs="Tahoma"/>
          <w:szCs w:val="18"/>
        </w:rPr>
        <w:t xml:space="preserve">Bij </w:t>
      </w:r>
      <w:r w:rsidRPr="00310D79">
        <w:rPr>
          <w:rFonts w:cs="Tahoma"/>
          <w:szCs w:val="18"/>
        </w:rPr>
        <w:t>de niet-technische profiel</w:t>
      </w:r>
      <w:r>
        <w:rPr>
          <w:rFonts w:cs="Tahoma"/>
          <w:szCs w:val="18"/>
        </w:rPr>
        <w:t>vakk</w:t>
      </w:r>
      <w:r w:rsidRPr="00310D79">
        <w:rPr>
          <w:rFonts w:cs="Tahoma"/>
          <w:szCs w:val="18"/>
        </w:rPr>
        <w:t xml:space="preserve">en is het gemiddeld aantal </w:t>
      </w:r>
      <w:r>
        <w:rPr>
          <w:rFonts w:cs="Tahoma"/>
          <w:szCs w:val="18"/>
        </w:rPr>
        <w:t>lesgevenden</w:t>
      </w:r>
      <w:r w:rsidRPr="00310D79">
        <w:rPr>
          <w:rFonts w:cs="Tahoma"/>
          <w:szCs w:val="18"/>
        </w:rPr>
        <w:t xml:space="preserve"> per vestiging </w:t>
      </w:r>
      <w:r>
        <w:rPr>
          <w:rFonts w:cs="Tahoma"/>
          <w:szCs w:val="18"/>
        </w:rPr>
        <w:t>in 2022/23 juist gestegen met 8 procent</w:t>
      </w:r>
      <w:r w:rsidRPr="00310D79">
        <w:rPr>
          <w:rFonts w:cs="Tahoma"/>
          <w:szCs w:val="18"/>
        </w:rPr>
        <w:t xml:space="preserve"> (figuur in Bijlage </w:t>
      </w:r>
      <w:r>
        <w:rPr>
          <w:rFonts w:cs="Tahoma"/>
          <w:szCs w:val="18"/>
        </w:rPr>
        <w:t>C</w:t>
      </w:r>
      <w:r w:rsidRPr="00310D79">
        <w:rPr>
          <w:rFonts w:cs="Tahoma"/>
          <w:szCs w:val="18"/>
        </w:rPr>
        <w:t>)</w:t>
      </w:r>
      <w:r>
        <w:rPr>
          <w:rFonts w:cs="Tahoma"/>
          <w:szCs w:val="18"/>
        </w:rPr>
        <w:t>, terwijl het totaal aantal niet-techniekdocenten dus is gedaald in de STO-periode</w:t>
      </w:r>
      <w:r w:rsidRPr="00310D79">
        <w:rPr>
          <w:rFonts w:cs="Tahoma"/>
          <w:szCs w:val="18"/>
        </w:rPr>
        <w:t xml:space="preserve">. </w:t>
      </w:r>
      <w:r>
        <w:rPr>
          <w:rFonts w:cs="Tahoma"/>
          <w:szCs w:val="18"/>
        </w:rPr>
        <w:t>Bij alle niet-technische profielvakken zien we een stijging, maar bij Groen is die opvallend groot. Dat is niet raar, gezien de grote stijging in het aantal lesgevenden in dat profielvak.</w:t>
      </w:r>
    </w:p>
    <w:p w:rsidRPr="00A45539" w:rsidR="00C43FA5" w:rsidP="00C43FA5" w:rsidRDefault="00C43FA5" w14:paraId="69D7FF81" w14:textId="77777777">
      <w:pPr>
        <w:jc w:val="both"/>
        <w:rPr>
          <w:rFonts w:cs="Tahoma"/>
          <w:szCs w:val="18"/>
        </w:rPr>
      </w:pPr>
    </w:p>
    <w:p w:rsidR="00C43FA5" w:rsidP="00C43FA5" w:rsidRDefault="00C43FA5" w14:paraId="1E71EA95" w14:textId="75C6FB5D">
      <w:pPr>
        <w:pStyle w:val="Bijschrift"/>
        <w:rPr>
          <w:rStyle w:val="Verwijzingopmerking"/>
          <w:bCs w:val="0"/>
          <w:i w:val="0"/>
          <w:color w:val="auto"/>
        </w:rPr>
      </w:pPr>
      <w:r w:rsidRPr="00A45539">
        <w:t xml:space="preserve">Figuur </w:t>
      </w:r>
      <w:r w:rsidR="00556586">
        <w:t>B</w:t>
      </w:r>
      <w:r w:rsidR="0049292F">
        <w:t>4</w:t>
      </w:r>
      <w:r w:rsidRPr="00A45539">
        <w:t xml:space="preserve">.3 </w:t>
      </w:r>
      <w:r>
        <w:tab/>
        <w:t>A</w:t>
      </w:r>
      <w:r w:rsidRPr="00A45539">
        <w:t xml:space="preserve">antal </w:t>
      </w:r>
      <w:r>
        <w:t>lesgevenden in technische profielvakken</w:t>
      </w:r>
      <w:r w:rsidRPr="00A45539">
        <w:t xml:space="preserve"> per </w:t>
      </w:r>
      <w:r>
        <w:t>school, 2017/18-2022/23</w:t>
      </w:r>
    </w:p>
    <w:p w:rsidRPr="00A45539" w:rsidR="00C43FA5" w:rsidP="00C43FA5" w:rsidRDefault="00C43FA5" w14:paraId="13410D21" w14:textId="77777777">
      <w:pPr>
        <w:pStyle w:val="Bijschrift"/>
      </w:pPr>
      <w:r>
        <w:rPr>
          <w:noProof/>
          <w14:ligatures w14:val="standardContextual"/>
        </w:rPr>
        <w:drawing>
          <wp:inline distT="0" distB="0" distL="0" distR="0" wp14:anchorId="2B826522" wp14:editId="446E93AF">
            <wp:extent cx="5760720" cy="2991485"/>
            <wp:effectExtent l="0" t="0" r="11430" b="18415"/>
            <wp:docPr id="988518854" name="Grafiek 1">
              <a:extLst xmlns:a="http://schemas.openxmlformats.org/drawingml/2006/main">
                <a:ext uri="{FF2B5EF4-FFF2-40B4-BE49-F238E27FC236}">
                  <a16:creationId xmlns:a16="http://schemas.microsoft.com/office/drawing/2014/main" id="{33499006-4060-4093-960B-019592C532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Pr="0065314C" w:rsidR="00C43FA5" w:rsidP="00C43FA5" w:rsidRDefault="00C43FA5" w14:paraId="41A16AE7" w14:textId="77777777">
      <w:pPr>
        <w:pStyle w:val="Bron"/>
        <w:rPr>
          <w:rFonts w:cs="Tahoma"/>
        </w:rPr>
      </w:pPr>
      <w:r w:rsidRPr="0065314C">
        <w:rPr>
          <w:rFonts w:cs="Tahoma"/>
        </w:rPr>
        <w:t>Bron:</w:t>
      </w:r>
      <w:r w:rsidRPr="0065314C">
        <w:rPr>
          <w:rFonts w:cs="Tahoma"/>
        </w:rPr>
        <w:tab/>
        <w:t>DUO/IPTO, bewerking SEO (202</w:t>
      </w:r>
      <w:r>
        <w:rPr>
          <w:rFonts w:cs="Tahoma"/>
        </w:rPr>
        <w:t>5</w:t>
      </w:r>
      <w:r w:rsidRPr="0065314C">
        <w:rPr>
          <w:rFonts w:cs="Tahoma"/>
        </w:rPr>
        <w:t xml:space="preserve">). Verandering in percentages ten opzichte van </w:t>
      </w:r>
      <w:r>
        <w:rPr>
          <w:rFonts w:cs="Tahoma"/>
        </w:rPr>
        <w:t>het schooljaar ervoor</w:t>
      </w:r>
      <w:r w:rsidRPr="0065314C">
        <w:rPr>
          <w:rFonts w:cs="Tahoma"/>
        </w:rPr>
        <w:t xml:space="preserve"> boven de balken weergegeven. </w:t>
      </w:r>
      <w:r>
        <w:rPr>
          <w:rFonts w:cs="Tahoma"/>
        </w:rPr>
        <w:t xml:space="preserve">* </w:t>
      </w:r>
      <w:r w:rsidRPr="0065314C">
        <w:rPr>
          <w:rFonts w:cs="Tahoma"/>
        </w:rPr>
        <w:t xml:space="preserve">De gegevens van MaT zijn niet weergegeven vanwege de </w:t>
      </w:r>
      <w:r>
        <w:rPr>
          <w:rFonts w:cs="Tahoma"/>
        </w:rPr>
        <w:t>exportregels</w:t>
      </w:r>
      <w:r w:rsidRPr="0065314C">
        <w:rPr>
          <w:rFonts w:cs="Tahoma"/>
        </w:rPr>
        <w:t xml:space="preserve"> van het CBS.</w:t>
      </w:r>
    </w:p>
    <w:p w:rsidR="00C43FA5" w:rsidP="00C43FA5" w:rsidRDefault="00C43FA5" w14:paraId="688EF76F" w14:textId="77777777">
      <w:pPr>
        <w:rPr>
          <w:rFonts w:cs="Tahoma"/>
          <w:szCs w:val="18"/>
        </w:rPr>
      </w:pPr>
    </w:p>
    <w:p w:rsidRPr="00A45539" w:rsidR="00C43FA5" w:rsidP="00C43FA5" w:rsidRDefault="00C43FA5" w14:paraId="4FB73D28" w14:textId="77777777">
      <w:pPr>
        <w:rPr>
          <w:szCs w:val="18"/>
        </w:rPr>
      </w:pPr>
    </w:p>
    <w:p w:rsidR="00C43FA5" w:rsidP="00C43FA5" w:rsidRDefault="00C43FA5" w14:paraId="43B20D95" w14:textId="1998091E">
      <w:pPr>
        <w:jc w:val="both"/>
        <w:rPr>
          <w:rFonts w:cs="Tahoma"/>
          <w:szCs w:val="18"/>
        </w:rPr>
      </w:pPr>
      <w:r w:rsidRPr="00310D79">
        <w:rPr>
          <w:rFonts w:cs="Tahoma"/>
          <w:szCs w:val="18"/>
        </w:rPr>
        <w:t xml:space="preserve">Naast het aantal </w:t>
      </w:r>
      <w:r>
        <w:rPr>
          <w:rFonts w:cs="Tahoma"/>
          <w:szCs w:val="18"/>
        </w:rPr>
        <w:t>lesgevenden</w:t>
      </w:r>
      <w:r w:rsidRPr="00310D79">
        <w:rPr>
          <w:rFonts w:cs="Tahoma"/>
          <w:szCs w:val="18"/>
        </w:rPr>
        <w:t xml:space="preserve"> per </w:t>
      </w:r>
      <w:r>
        <w:rPr>
          <w:rFonts w:cs="Tahoma"/>
          <w:szCs w:val="18"/>
        </w:rPr>
        <w:t>school</w:t>
      </w:r>
      <w:r w:rsidRPr="00310D79">
        <w:rPr>
          <w:rFonts w:cs="Tahoma"/>
          <w:szCs w:val="18"/>
        </w:rPr>
        <w:t xml:space="preserve">, hebben we ook gekeken naar het aantal </w:t>
      </w:r>
      <w:r>
        <w:rPr>
          <w:rFonts w:cs="Tahoma"/>
          <w:szCs w:val="18"/>
        </w:rPr>
        <w:t>lesgevenden</w:t>
      </w:r>
      <w:r w:rsidRPr="00310D79">
        <w:rPr>
          <w:rFonts w:cs="Tahoma"/>
          <w:szCs w:val="18"/>
        </w:rPr>
        <w:t xml:space="preserve"> </w:t>
      </w:r>
      <w:r>
        <w:rPr>
          <w:rFonts w:cs="Tahoma"/>
          <w:szCs w:val="18"/>
        </w:rPr>
        <w:t xml:space="preserve">in technische profielvakken </w:t>
      </w:r>
      <w:r w:rsidRPr="00310D79">
        <w:rPr>
          <w:rFonts w:cs="Tahoma"/>
          <w:szCs w:val="18"/>
        </w:rPr>
        <w:t xml:space="preserve">per STO-regio. Figuur </w:t>
      </w:r>
      <w:r w:rsidR="00D570F5">
        <w:rPr>
          <w:rFonts w:cs="Tahoma"/>
          <w:szCs w:val="18"/>
        </w:rPr>
        <w:t>B4</w:t>
      </w:r>
      <w:r w:rsidRPr="00310D79">
        <w:rPr>
          <w:rFonts w:cs="Tahoma"/>
          <w:szCs w:val="18"/>
        </w:rPr>
        <w:t>.</w:t>
      </w:r>
      <w:r w:rsidR="00D570F5">
        <w:rPr>
          <w:rFonts w:cs="Tahoma"/>
          <w:szCs w:val="18"/>
        </w:rPr>
        <w:t>4</w:t>
      </w:r>
      <w:r w:rsidRPr="00310D79">
        <w:rPr>
          <w:rFonts w:cs="Tahoma"/>
          <w:szCs w:val="18"/>
        </w:rPr>
        <w:t xml:space="preserve"> laat zien dat </w:t>
      </w:r>
      <w:r>
        <w:rPr>
          <w:rFonts w:cs="Tahoma"/>
          <w:szCs w:val="18"/>
        </w:rPr>
        <w:t xml:space="preserve">dit aantal </w:t>
      </w:r>
      <w:r w:rsidRPr="00310D79">
        <w:rPr>
          <w:rFonts w:cs="Tahoma"/>
          <w:szCs w:val="18"/>
        </w:rPr>
        <w:t xml:space="preserve">per STO-regio over het algemeen </w:t>
      </w:r>
      <w:r w:rsidRPr="00DF6822">
        <w:rPr>
          <w:rFonts w:cs="Tahoma"/>
          <w:i/>
          <w:iCs/>
          <w:szCs w:val="18"/>
        </w:rPr>
        <w:t>stijgt</w:t>
      </w:r>
      <w:r w:rsidRPr="00310D79">
        <w:rPr>
          <w:rFonts w:cs="Tahoma"/>
          <w:szCs w:val="18"/>
        </w:rPr>
        <w:t xml:space="preserve">. In 2020/21 nam het aantal </w:t>
      </w:r>
      <w:r>
        <w:rPr>
          <w:rFonts w:cs="Tahoma"/>
          <w:szCs w:val="18"/>
        </w:rPr>
        <w:t>lesgevenden per regio</w:t>
      </w:r>
      <w:r w:rsidRPr="00310D79">
        <w:rPr>
          <w:rFonts w:cs="Tahoma"/>
          <w:szCs w:val="18"/>
        </w:rPr>
        <w:t xml:space="preserve"> nog licht af, maar </w:t>
      </w:r>
      <w:r>
        <w:rPr>
          <w:rFonts w:cs="Tahoma"/>
          <w:szCs w:val="18"/>
        </w:rPr>
        <w:t>vanaf</w:t>
      </w:r>
      <w:r w:rsidRPr="00310D79">
        <w:rPr>
          <w:rFonts w:cs="Tahoma"/>
          <w:szCs w:val="18"/>
        </w:rPr>
        <w:t xml:space="preserve"> 2021/22 is de stijgende lijn weer doorgezet. Bij de meeste technische profielen zien we deze stijging </w:t>
      </w:r>
      <w:r>
        <w:rPr>
          <w:rFonts w:cs="Tahoma"/>
          <w:szCs w:val="18"/>
        </w:rPr>
        <w:t>in alle</w:t>
      </w:r>
      <w:r w:rsidRPr="00310D79">
        <w:rPr>
          <w:rFonts w:cs="Tahoma"/>
          <w:szCs w:val="18"/>
        </w:rPr>
        <w:t xml:space="preserve"> </w:t>
      </w:r>
      <w:r>
        <w:rPr>
          <w:rFonts w:cs="Tahoma"/>
          <w:szCs w:val="18"/>
        </w:rPr>
        <w:t>STO-</w:t>
      </w:r>
      <w:r w:rsidRPr="00310D79">
        <w:rPr>
          <w:rFonts w:cs="Tahoma"/>
          <w:szCs w:val="18"/>
        </w:rPr>
        <w:t xml:space="preserve">jaren, alleen bij PIE zien we </w:t>
      </w:r>
      <w:r>
        <w:rPr>
          <w:rFonts w:cs="Tahoma"/>
          <w:szCs w:val="18"/>
        </w:rPr>
        <w:t>een dip in het eerste coronajaar</w:t>
      </w:r>
      <w:r w:rsidRPr="00310D79">
        <w:rPr>
          <w:rFonts w:cs="Tahoma"/>
          <w:szCs w:val="18"/>
        </w:rPr>
        <w:t>.</w:t>
      </w:r>
      <w:r>
        <w:rPr>
          <w:rFonts w:cs="Tahoma"/>
          <w:szCs w:val="18"/>
        </w:rPr>
        <w:t xml:space="preserve"> Bij MVI zien we de laatste jaren een daling, maar sinds de start van STO zien we netto stijging van 3 procent.</w:t>
      </w:r>
      <w:r w:rsidRPr="00310D79">
        <w:rPr>
          <w:rFonts w:cs="Tahoma"/>
          <w:szCs w:val="18"/>
        </w:rPr>
        <w:t xml:space="preserve"> </w:t>
      </w:r>
    </w:p>
    <w:p w:rsidR="00C43FA5" w:rsidP="00C43FA5" w:rsidRDefault="00C43FA5" w14:paraId="20BFF61B" w14:textId="77777777">
      <w:pPr>
        <w:jc w:val="both"/>
        <w:rPr>
          <w:rFonts w:cs="Tahoma"/>
          <w:szCs w:val="18"/>
        </w:rPr>
      </w:pPr>
    </w:p>
    <w:p w:rsidRPr="00A45539" w:rsidR="00C43FA5" w:rsidP="00C43FA5" w:rsidRDefault="00C43FA5" w14:paraId="7F512FA3" w14:textId="0CC7642B">
      <w:pPr>
        <w:jc w:val="both"/>
        <w:rPr>
          <w:rFonts w:cs="Tahoma"/>
          <w:szCs w:val="18"/>
        </w:rPr>
      </w:pPr>
      <w:r w:rsidRPr="00310D79">
        <w:rPr>
          <w:rFonts w:cs="Tahoma"/>
          <w:szCs w:val="18"/>
        </w:rPr>
        <w:t xml:space="preserve">Het aantal </w:t>
      </w:r>
      <w:r>
        <w:rPr>
          <w:rFonts w:cs="Tahoma"/>
          <w:szCs w:val="18"/>
        </w:rPr>
        <w:t xml:space="preserve">lesgevenden </w:t>
      </w:r>
      <w:r w:rsidRPr="00310D79">
        <w:rPr>
          <w:rFonts w:cs="Tahoma"/>
          <w:szCs w:val="18"/>
        </w:rPr>
        <w:t>per STO-regio</w:t>
      </w:r>
      <w:r>
        <w:rPr>
          <w:rFonts w:cs="Tahoma"/>
          <w:szCs w:val="18"/>
        </w:rPr>
        <w:t xml:space="preserve"> in </w:t>
      </w:r>
      <w:r w:rsidRPr="00310D79">
        <w:rPr>
          <w:rFonts w:cs="Tahoma"/>
          <w:szCs w:val="18"/>
        </w:rPr>
        <w:t>niet-technische profiel</w:t>
      </w:r>
      <w:r>
        <w:rPr>
          <w:rFonts w:cs="Tahoma"/>
          <w:szCs w:val="18"/>
        </w:rPr>
        <w:t>vakken</w:t>
      </w:r>
      <w:r w:rsidRPr="00310D79">
        <w:rPr>
          <w:rFonts w:cs="Tahoma"/>
          <w:szCs w:val="18"/>
        </w:rPr>
        <w:t xml:space="preserve"> is in 202</w:t>
      </w:r>
      <w:r>
        <w:rPr>
          <w:rFonts w:cs="Tahoma"/>
          <w:szCs w:val="18"/>
        </w:rPr>
        <w:t>2</w:t>
      </w:r>
      <w:r w:rsidRPr="00310D79">
        <w:rPr>
          <w:rFonts w:cs="Tahoma"/>
          <w:szCs w:val="18"/>
        </w:rPr>
        <w:t>/2</w:t>
      </w:r>
      <w:r>
        <w:rPr>
          <w:rFonts w:cs="Tahoma"/>
          <w:szCs w:val="18"/>
        </w:rPr>
        <w:t>3</w:t>
      </w:r>
      <w:r w:rsidRPr="00310D79">
        <w:rPr>
          <w:rFonts w:cs="Tahoma"/>
          <w:szCs w:val="18"/>
        </w:rPr>
        <w:t xml:space="preserve"> </w:t>
      </w:r>
      <w:r>
        <w:rPr>
          <w:rFonts w:cs="Tahoma"/>
          <w:szCs w:val="18"/>
        </w:rPr>
        <w:t>gestegen met 5 procent ten opzichte van het schooljaar ervoor</w:t>
      </w:r>
      <w:r w:rsidRPr="00310D79">
        <w:rPr>
          <w:rFonts w:cs="Tahoma"/>
          <w:szCs w:val="18"/>
        </w:rPr>
        <w:t xml:space="preserve"> (zie </w:t>
      </w:r>
      <w:r w:rsidR="0049292F">
        <w:rPr>
          <w:rFonts w:cs="Tahoma"/>
          <w:szCs w:val="18"/>
        </w:rPr>
        <w:t>Appendix bij Bijlage 4</w:t>
      </w:r>
      <w:r w:rsidRPr="00310D79">
        <w:rPr>
          <w:rFonts w:cs="Tahoma"/>
          <w:szCs w:val="18"/>
        </w:rPr>
        <w:t xml:space="preserve">). Dat komt </w:t>
      </w:r>
      <w:r>
        <w:rPr>
          <w:rFonts w:cs="Tahoma"/>
          <w:szCs w:val="18"/>
        </w:rPr>
        <w:t xml:space="preserve">wederom vooral </w:t>
      </w:r>
      <w:r w:rsidRPr="00310D79">
        <w:rPr>
          <w:rFonts w:cs="Tahoma"/>
          <w:szCs w:val="18"/>
        </w:rPr>
        <w:t xml:space="preserve">door </w:t>
      </w:r>
      <w:r>
        <w:rPr>
          <w:rFonts w:cs="Tahoma"/>
          <w:szCs w:val="18"/>
        </w:rPr>
        <w:t>de</w:t>
      </w:r>
      <w:r w:rsidRPr="00310D79">
        <w:rPr>
          <w:rFonts w:cs="Tahoma"/>
          <w:szCs w:val="18"/>
        </w:rPr>
        <w:t xml:space="preserve"> stijging van het aantal </w:t>
      </w:r>
      <w:r>
        <w:rPr>
          <w:rFonts w:cs="Tahoma"/>
          <w:szCs w:val="18"/>
        </w:rPr>
        <w:t>lesgevenden binnen Groen, maar ook bij de meeste andere niet-technische profielen is er een stijging van het aantal lesgevenden per STO-regio.</w:t>
      </w:r>
    </w:p>
    <w:p w:rsidRPr="00A45539" w:rsidR="00C43FA5" w:rsidP="00C43FA5" w:rsidRDefault="00C43FA5" w14:paraId="689D8B81" w14:textId="77777777">
      <w:pPr>
        <w:jc w:val="both"/>
        <w:rPr>
          <w:rFonts w:cs="Calibri Light"/>
          <w:szCs w:val="18"/>
          <w:highlight w:val="yellow"/>
        </w:rPr>
      </w:pPr>
    </w:p>
    <w:p w:rsidRPr="00A45539" w:rsidR="00C43FA5" w:rsidP="00C43FA5" w:rsidRDefault="00C43FA5" w14:paraId="7EFDC779" w14:textId="24FDE210">
      <w:pPr>
        <w:pStyle w:val="Bijschrift"/>
      </w:pPr>
      <w:r w:rsidRPr="00A45539">
        <w:t xml:space="preserve">Figuur </w:t>
      </w:r>
      <w:r w:rsidR="00556586">
        <w:t>B</w:t>
      </w:r>
      <w:r w:rsidR="0049292F">
        <w:t>4</w:t>
      </w:r>
      <w:r w:rsidRPr="00A45539">
        <w:t>.</w:t>
      </w:r>
      <w:r w:rsidR="00D570F5">
        <w:t>4</w:t>
      </w:r>
      <w:r w:rsidRPr="00A45539">
        <w:t xml:space="preserve"> </w:t>
      </w:r>
      <w:r>
        <w:tab/>
      </w:r>
      <w:r w:rsidRPr="00A45539">
        <w:t xml:space="preserve">Het aantal </w:t>
      </w:r>
      <w:r>
        <w:t>lesgevenden</w:t>
      </w:r>
      <w:r w:rsidRPr="00A45539">
        <w:t xml:space="preserve"> </w:t>
      </w:r>
      <w:r>
        <w:t xml:space="preserve">in technische profielvakken </w:t>
      </w:r>
      <w:r w:rsidRPr="00A45539">
        <w:t xml:space="preserve">per STO-regio neemt toe </w:t>
      </w:r>
    </w:p>
    <w:p w:rsidRPr="00A45539" w:rsidR="00C43FA5" w:rsidP="00C43FA5" w:rsidRDefault="00C43FA5" w14:paraId="68DA7792" w14:textId="77777777">
      <w:r>
        <w:rPr>
          <w:noProof/>
          <w14:ligatures w14:val="standardContextual"/>
        </w:rPr>
        <w:lastRenderedPageBreak/>
        <w:drawing>
          <wp:inline distT="0" distB="0" distL="0" distR="0" wp14:anchorId="612466BE" wp14:editId="4C86782A">
            <wp:extent cx="5760720" cy="2764155"/>
            <wp:effectExtent l="0" t="0" r="11430" b="17145"/>
            <wp:docPr id="665216576" name="Grafiek 1">
              <a:extLst xmlns:a="http://schemas.openxmlformats.org/drawingml/2006/main">
                <a:ext uri="{FF2B5EF4-FFF2-40B4-BE49-F238E27FC236}">
                  <a16:creationId xmlns:a16="http://schemas.microsoft.com/office/drawing/2014/main" id="{56E56167-6AD0-45EF-8685-19E64D0B76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Pr="0065314C" w:rsidR="00C43FA5" w:rsidP="00C43FA5" w:rsidRDefault="00C43FA5" w14:paraId="202A1DBE" w14:textId="77777777">
      <w:pPr>
        <w:pStyle w:val="Bron"/>
        <w:rPr>
          <w:rFonts w:cs="Tahoma"/>
        </w:rPr>
      </w:pPr>
      <w:r w:rsidRPr="0065314C">
        <w:rPr>
          <w:rFonts w:cs="Tahoma"/>
        </w:rPr>
        <w:t>Bron:</w:t>
      </w:r>
      <w:r w:rsidRPr="0065314C">
        <w:rPr>
          <w:rFonts w:cs="Tahoma"/>
        </w:rPr>
        <w:tab/>
        <w:t>DUO/IPTO, bewerking SEO (202</w:t>
      </w:r>
      <w:r>
        <w:rPr>
          <w:rFonts w:cs="Tahoma"/>
        </w:rPr>
        <w:t>5</w:t>
      </w:r>
      <w:r w:rsidRPr="0065314C">
        <w:rPr>
          <w:rFonts w:cs="Tahoma"/>
        </w:rPr>
        <w:t xml:space="preserve">). Verandering in percentages ten opzichte van </w:t>
      </w:r>
      <w:r>
        <w:rPr>
          <w:rFonts w:cs="Tahoma"/>
        </w:rPr>
        <w:t>het schooljaar ervoor</w:t>
      </w:r>
      <w:r w:rsidRPr="0065314C">
        <w:rPr>
          <w:rFonts w:cs="Tahoma"/>
        </w:rPr>
        <w:t xml:space="preserve"> boven de balken weergegeven.</w:t>
      </w:r>
    </w:p>
    <w:p w:rsidRPr="00A45539" w:rsidR="00C43FA5" w:rsidP="00C43FA5" w:rsidRDefault="00C43FA5" w14:paraId="0AC3C59D" w14:textId="77777777">
      <w:pPr>
        <w:rPr>
          <w:szCs w:val="18"/>
        </w:rPr>
      </w:pPr>
    </w:p>
    <w:p w:rsidR="00C43FA5" w:rsidP="00C43FA5" w:rsidRDefault="00C43FA5" w14:paraId="1380C55F" w14:textId="77777777">
      <w:pPr>
        <w:pStyle w:val="Kop2"/>
        <w:rPr>
          <w:szCs w:val="18"/>
        </w:rPr>
      </w:pPr>
      <w:bookmarkStart w:name="_Toc158042080" w:id="214"/>
      <w:bookmarkStart w:name="_Toc203573649" w:id="215"/>
      <w:r w:rsidRPr="00A45539">
        <w:rPr>
          <w:szCs w:val="18"/>
        </w:rPr>
        <w:t xml:space="preserve">Kenmerken </w:t>
      </w:r>
      <w:bookmarkEnd w:id="214"/>
      <w:r>
        <w:rPr>
          <w:szCs w:val="18"/>
        </w:rPr>
        <w:t>lesgevenden</w:t>
      </w:r>
      <w:bookmarkEnd w:id="215"/>
    </w:p>
    <w:p w:rsidRPr="0065314C" w:rsidR="00C43FA5" w:rsidP="00C43FA5" w:rsidRDefault="00C43FA5" w14:paraId="4E207CDE" w14:textId="77777777">
      <w:pPr>
        <w:rPr>
          <w:lang w:eastAsia="en-US"/>
        </w:rPr>
      </w:pPr>
    </w:p>
    <w:p w:rsidR="00C43FA5" w:rsidP="00C43FA5" w:rsidRDefault="00C43FA5" w14:paraId="4F6322B2" w14:textId="77777777">
      <w:pPr>
        <w:jc w:val="both"/>
        <w:rPr>
          <w:rFonts w:cs="Tahoma"/>
          <w:szCs w:val="18"/>
        </w:rPr>
      </w:pPr>
      <w:r>
        <w:rPr>
          <w:rFonts w:cs="Tahoma"/>
          <w:szCs w:val="18"/>
        </w:rPr>
        <w:t xml:space="preserve">In deze paragraaf kijken we nader naar een aantal kenmerken van alle lesgevenden, namelijk leeftijd, bevoegdheid, contractsoort, functiegroep, geslacht, opleidingsniveau en opleidingsrichting. </w:t>
      </w:r>
    </w:p>
    <w:p w:rsidRPr="00310D79" w:rsidR="00C43FA5" w:rsidP="00C43FA5" w:rsidRDefault="00C43FA5" w14:paraId="2936DC89" w14:textId="486E990D">
      <w:pPr>
        <w:jc w:val="both"/>
        <w:rPr>
          <w:rFonts w:cs="Tahoma"/>
          <w:szCs w:val="18"/>
        </w:rPr>
      </w:pPr>
      <w:r>
        <w:rPr>
          <w:rFonts w:cs="Tahoma"/>
          <w:szCs w:val="18"/>
        </w:rPr>
        <w:t xml:space="preserve">Bij de </w:t>
      </w:r>
      <w:r w:rsidRPr="00A45539">
        <w:rPr>
          <w:rFonts w:cs="Tahoma"/>
          <w:szCs w:val="18"/>
        </w:rPr>
        <w:t>leeftijd zien we dat het aandeel 18</w:t>
      </w:r>
      <w:r>
        <w:rPr>
          <w:rFonts w:cs="Tahoma"/>
          <w:szCs w:val="18"/>
        </w:rPr>
        <w:t>-</w:t>
      </w:r>
      <w:r w:rsidRPr="00A45539">
        <w:rPr>
          <w:rFonts w:cs="Tahoma"/>
          <w:szCs w:val="18"/>
        </w:rPr>
        <w:t xml:space="preserve"> tot en met 49</w:t>
      </w:r>
      <w:r>
        <w:rPr>
          <w:rFonts w:cs="Tahoma"/>
          <w:szCs w:val="18"/>
        </w:rPr>
        <w:t>-</w:t>
      </w:r>
      <w:r w:rsidRPr="00A45539">
        <w:rPr>
          <w:rFonts w:cs="Tahoma"/>
          <w:szCs w:val="18"/>
        </w:rPr>
        <w:t xml:space="preserve">jarigen onder </w:t>
      </w:r>
      <w:r>
        <w:rPr>
          <w:rFonts w:cs="Tahoma"/>
          <w:szCs w:val="18"/>
        </w:rPr>
        <w:t>lesgevenden in technische profielen</w:t>
      </w:r>
      <w:r w:rsidRPr="00A45539">
        <w:rPr>
          <w:rFonts w:cs="Tahoma"/>
          <w:szCs w:val="18"/>
        </w:rPr>
        <w:t xml:space="preserve"> groter is geworden door de jaren heen (</w:t>
      </w:r>
      <w:r w:rsidRPr="00310D79">
        <w:rPr>
          <w:rFonts w:cs="Tahoma"/>
          <w:szCs w:val="18"/>
        </w:rPr>
        <w:t xml:space="preserve">zie Figuur </w:t>
      </w:r>
      <w:r w:rsidR="00556586">
        <w:rPr>
          <w:rFonts w:cs="Tahoma"/>
          <w:szCs w:val="18"/>
        </w:rPr>
        <w:t>B</w:t>
      </w:r>
      <w:r w:rsidR="00B07200">
        <w:rPr>
          <w:rFonts w:cs="Tahoma"/>
          <w:szCs w:val="18"/>
        </w:rPr>
        <w:t>4</w:t>
      </w:r>
      <w:r w:rsidRPr="00310D79">
        <w:rPr>
          <w:rFonts w:cs="Tahoma"/>
          <w:szCs w:val="18"/>
        </w:rPr>
        <w:t>.</w:t>
      </w:r>
      <w:r w:rsidR="00D570F5">
        <w:rPr>
          <w:rFonts w:cs="Tahoma"/>
          <w:szCs w:val="18"/>
        </w:rPr>
        <w:t>5</w:t>
      </w:r>
      <w:r w:rsidRPr="00310D79">
        <w:rPr>
          <w:rFonts w:cs="Tahoma"/>
          <w:szCs w:val="18"/>
        </w:rPr>
        <w:t>). Dat is ten koste gegaan van de leeftijdsgroep 50</w:t>
      </w:r>
      <w:r>
        <w:rPr>
          <w:rFonts w:cs="Tahoma"/>
          <w:szCs w:val="18"/>
        </w:rPr>
        <w:t>-</w:t>
      </w:r>
      <w:r w:rsidRPr="00310D79">
        <w:rPr>
          <w:rFonts w:cs="Tahoma"/>
          <w:szCs w:val="18"/>
        </w:rPr>
        <w:t xml:space="preserve"> tot en met 59</w:t>
      </w:r>
      <w:r>
        <w:rPr>
          <w:rFonts w:cs="Tahoma"/>
          <w:szCs w:val="18"/>
        </w:rPr>
        <w:t>-</w:t>
      </w:r>
      <w:r w:rsidRPr="00310D79">
        <w:rPr>
          <w:rFonts w:cs="Tahoma"/>
          <w:szCs w:val="18"/>
        </w:rPr>
        <w:t>jarigen</w:t>
      </w:r>
      <w:r>
        <w:rPr>
          <w:rFonts w:cs="Tahoma"/>
          <w:szCs w:val="18"/>
        </w:rPr>
        <w:t xml:space="preserve"> en 60-plussers (44 procent</w:t>
      </w:r>
      <w:r w:rsidRPr="00310D79">
        <w:rPr>
          <w:rFonts w:cs="Tahoma"/>
          <w:szCs w:val="18"/>
        </w:rPr>
        <w:t xml:space="preserve"> van de </w:t>
      </w:r>
      <w:r>
        <w:rPr>
          <w:rFonts w:cs="Tahoma"/>
          <w:szCs w:val="18"/>
        </w:rPr>
        <w:t>lesgevenden in technische profielen</w:t>
      </w:r>
      <w:r w:rsidRPr="00A45539">
        <w:rPr>
          <w:rFonts w:cs="Tahoma"/>
          <w:szCs w:val="18"/>
        </w:rPr>
        <w:t xml:space="preserve"> </w:t>
      </w:r>
      <w:r w:rsidRPr="00310D79">
        <w:rPr>
          <w:rFonts w:cs="Tahoma"/>
          <w:szCs w:val="18"/>
        </w:rPr>
        <w:t>is 50-plus</w:t>
      </w:r>
      <w:r>
        <w:rPr>
          <w:rFonts w:cs="Tahoma"/>
          <w:szCs w:val="18"/>
        </w:rPr>
        <w:t>)</w:t>
      </w:r>
      <w:r w:rsidRPr="00310D79">
        <w:rPr>
          <w:rFonts w:cs="Tahoma"/>
          <w:szCs w:val="18"/>
        </w:rPr>
        <w:t>. De gemiddelde leeftijd van techniekdocenten is tussen 2017/18 en 202</w:t>
      </w:r>
      <w:r>
        <w:rPr>
          <w:rFonts w:cs="Tahoma"/>
          <w:szCs w:val="18"/>
        </w:rPr>
        <w:t>2</w:t>
      </w:r>
      <w:r w:rsidRPr="00310D79">
        <w:rPr>
          <w:rFonts w:cs="Tahoma"/>
          <w:szCs w:val="18"/>
        </w:rPr>
        <w:t>/2</w:t>
      </w:r>
      <w:r>
        <w:rPr>
          <w:rFonts w:cs="Tahoma"/>
          <w:szCs w:val="18"/>
        </w:rPr>
        <w:t>3</w:t>
      </w:r>
      <w:r w:rsidRPr="00310D79">
        <w:rPr>
          <w:rFonts w:cs="Tahoma"/>
          <w:szCs w:val="18"/>
        </w:rPr>
        <w:t xml:space="preserve"> gedaald van 48,3 naar </w:t>
      </w:r>
      <w:r>
        <w:rPr>
          <w:rFonts w:cs="Tahoma"/>
          <w:szCs w:val="18"/>
        </w:rPr>
        <w:t>46,9</w:t>
      </w:r>
      <w:r w:rsidRPr="00310D79">
        <w:rPr>
          <w:rFonts w:cs="Tahoma"/>
          <w:szCs w:val="18"/>
        </w:rPr>
        <w:t>. We zien dus een verjonging over de hele breedte.</w:t>
      </w:r>
    </w:p>
    <w:p w:rsidRPr="00310D79" w:rsidR="00C43FA5" w:rsidP="00C43FA5" w:rsidRDefault="00C43FA5" w14:paraId="38B72D64" w14:textId="77777777">
      <w:pPr>
        <w:jc w:val="both"/>
        <w:rPr>
          <w:rFonts w:cs="Tahoma"/>
          <w:szCs w:val="18"/>
        </w:rPr>
      </w:pPr>
    </w:p>
    <w:p w:rsidRPr="00A45539" w:rsidR="00C43FA5" w:rsidP="00C43FA5" w:rsidRDefault="00C43FA5" w14:paraId="665522F4" w14:textId="57695651">
      <w:pPr>
        <w:jc w:val="both"/>
        <w:rPr>
          <w:rFonts w:cs="Tahoma"/>
          <w:szCs w:val="18"/>
        </w:rPr>
      </w:pPr>
      <w:r>
        <w:rPr>
          <w:rFonts w:cs="Tahoma"/>
          <w:szCs w:val="18"/>
        </w:rPr>
        <w:t>B</w:t>
      </w:r>
      <w:r w:rsidRPr="00310D79">
        <w:rPr>
          <w:rFonts w:cs="Tahoma"/>
          <w:szCs w:val="18"/>
        </w:rPr>
        <w:t xml:space="preserve">ij </w:t>
      </w:r>
      <w:r>
        <w:rPr>
          <w:rFonts w:cs="Tahoma"/>
          <w:szCs w:val="18"/>
        </w:rPr>
        <w:t>de lesgevenden</w:t>
      </w:r>
      <w:r w:rsidRPr="00310D79">
        <w:rPr>
          <w:rFonts w:cs="Tahoma"/>
          <w:szCs w:val="18"/>
        </w:rPr>
        <w:t xml:space="preserve"> in niet-technische profiel</w:t>
      </w:r>
      <w:r>
        <w:rPr>
          <w:rFonts w:cs="Tahoma"/>
          <w:szCs w:val="18"/>
        </w:rPr>
        <w:t>vakk</w:t>
      </w:r>
      <w:r w:rsidRPr="00310D79">
        <w:rPr>
          <w:rFonts w:cs="Tahoma"/>
          <w:szCs w:val="18"/>
        </w:rPr>
        <w:t xml:space="preserve">en </w:t>
      </w:r>
      <w:r>
        <w:rPr>
          <w:rFonts w:cs="Tahoma"/>
          <w:szCs w:val="18"/>
        </w:rPr>
        <w:t xml:space="preserve">is de </w:t>
      </w:r>
      <w:r w:rsidRPr="00310D79">
        <w:rPr>
          <w:rFonts w:cs="Tahoma"/>
          <w:szCs w:val="18"/>
        </w:rPr>
        <w:t xml:space="preserve">verjonging </w:t>
      </w:r>
      <w:r>
        <w:rPr>
          <w:rFonts w:cs="Tahoma"/>
          <w:szCs w:val="18"/>
        </w:rPr>
        <w:t xml:space="preserve">minder sterk </w:t>
      </w:r>
      <w:r w:rsidRPr="00310D79">
        <w:rPr>
          <w:rFonts w:cs="Tahoma"/>
          <w:szCs w:val="18"/>
        </w:rPr>
        <w:t>(</w:t>
      </w:r>
      <w:r w:rsidR="00B07200">
        <w:rPr>
          <w:rFonts w:cs="Tahoma"/>
          <w:szCs w:val="18"/>
        </w:rPr>
        <w:t>zie Appendix bij Bijlage 4</w:t>
      </w:r>
      <w:r w:rsidRPr="00310D79">
        <w:rPr>
          <w:rFonts w:cs="Tahoma"/>
          <w:szCs w:val="18"/>
        </w:rPr>
        <w:t xml:space="preserve">). De gemiddelde leeftijd </w:t>
      </w:r>
      <w:r>
        <w:rPr>
          <w:rFonts w:cs="Tahoma"/>
          <w:szCs w:val="18"/>
        </w:rPr>
        <w:t xml:space="preserve">daalde in deze groep </w:t>
      </w:r>
      <w:r w:rsidRPr="00310D79">
        <w:rPr>
          <w:rFonts w:cs="Tahoma"/>
          <w:szCs w:val="18"/>
        </w:rPr>
        <w:t>van 43,7 in 201</w:t>
      </w:r>
      <w:r w:rsidRPr="00A45539">
        <w:rPr>
          <w:rFonts w:cs="Tahoma"/>
          <w:szCs w:val="18"/>
        </w:rPr>
        <w:t>7/18 naar 4</w:t>
      </w:r>
      <w:r>
        <w:rPr>
          <w:rFonts w:cs="Tahoma"/>
          <w:szCs w:val="18"/>
        </w:rPr>
        <w:t>2,9</w:t>
      </w:r>
      <w:r w:rsidRPr="00A45539">
        <w:rPr>
          <w:rFonts w:cs="Tahoma"/>
          <w:szCs w:val="18"/>
        </w:rPr>
        <w:t xml:space="preserve"> in 202</w:t>
      </w:r>
      <w:r>
        <w:rPr>
          <w:rFonts w:cs="Tahoma"/>
          <w:szCs w:val="18"/>
        </w:rPr>
        <w:t>2</w:t>
      </w:r>
      <w:r w:rsidRPr="00A45539">
        <w:rPr>
          <w:rFonts w:cs="Tahoma"/>
          <w:szCs w:val="18"/>
        </w:rPr>
        <w:t>/2</w:t>
      </w:r>
      <w:r>
        <w:rPr>
          <w:rFonts w:cs="Tahoma"/>
          <w:szCs w:val="18"/>
        </w:rPr>
        <w:t>3</w:t>
      </w:r>
      <w:r w:rsidRPr="00A45539">
        <w:rPr>
          <w:rFonts w:cs="Tahoma"/>
          <w:szCs w:val="18"/>
        </w:rPr>
        <w:t xml:space="preserve">, maar ligt </w:t>
      </w:r>
      <w:r>
        <w:rPr>
          <w:rFonts w:cs="Tahoma"/>
          <w:szCs w:val="18"/>
        </w:rPr>
        <w:t xml:space="preserve">nog </w:t>
      </w:r>
      <w:r w:rsidRPr="00A45539">
        <w:rPr>
          <w:rFonts w:cs="Tahoma"/>
          <w:szCs w:val="18"/>
        </w:rPr>
        <w:t xml:space="preserve">wel </w:t>
      </w:r>
      <w:r>
        <w:rPr>
          <w:rFonts w:cs="Tahoma"/>
          <w:szCs w:val="18"/>
        </w:rPr>
        <w:t xml:space="preserve">flink </w:t>
      </w:r>
      <w:r w:rsidRPr="00A45539">
        <w:rPr>
          <w:rFonts w:cs="Tahoma"/>
          <w:szCs w:val="18"/>
        </w:rPr>
        <w:t xml:space="preserve">lager dan bij technische profielen. </w:t>
      </w:r>
      <w:r>
        <w:rPr>
          <w:rFonts w:cs="Tahoma"/>
          <w:szCs w:val="18"/>
        </w:rPr>
        <w:t>Het aandeel t/m 49 jaar is toegenomen (en 50 plus afgenomen), maar in mindere mate.</w:t>
      </w:r>
    </w:p>
    <w:p w:rsidRPr="00A45539" w:rsidR="00C43FA5" w:rsidP="00C43FA5" w:rsidRDefault="00C43FA5" w14:paraId="6B2ACB5F" w14:textId="77777777">
      <w:pPr>
        <w:jc w:val="both"/>
        <w:rPr>
          <w:rFonts w:cs="Tahoma"/>
          <w:szCs w:val="18"/>
        </w:rPr>
      </w:pPr>
    </w:p>
    <w:p w:rsidRPr="00A45539" w:rsidR="00C43FA5" w:rsidP="00C43FA5" w:rsidRDefault="00C43FA5" w14:paraId="63C8E875" w14:textId="39F6C559">
      <w:pPr>
        <w:pStyle w:val="Bijschrift"/>
      </w:pPr>
      <w:r w:rsidRPr="00A45539">
        <w:t xml:space="preserve">Figuur </w:t>
      </w:r>
      <w:r w:rsidR="00556586">
        <w:t>B</w:t>
      </w:r>
      <w:r w:rsidR="00B07200">
        <w:t>4</w:t>
      </w:r>
      <w:r w:rsidRPr="00A45539">
        <w:t>.</w:t>
      </w:r>
      <w:r w:rsidR="00D570F5">
        <w:t>5</w:t>
      </w:r>
      <w:r w:rsidRPr="00A45539">
        <w:t xml:space="preserve"> </w:t>
      </w:r>
      <w:r>
        <w:tab/>
        <w:t>Leeftijdsverdeling</w:t>
      </w:r>
      <w:r w:rsidRPr="00A45539">
        <w:t xml:space="preserve"> </w:t>
      </w:r>
      <w:r>
        <w:t>lesgevenden</w:t>
      </w:r>
      <w:r w:rsidRPr="00A45539">
        <w:t xml:space="preserve"> in technische profiel</w:t>
      </w:r>
      <w:r>
        <w:t>vakk</w:t>
      </w:r>
      <w:r w:rsidRPr="00A45539">
        <w:t xml:space="preserve">en </w:t>
      </w:r>
      <w:r>
        <w:t>2017/18 en 2022/23</w:t>
      </w:r>
    </w:p>
    <w:p w:rsidRPr="00A45539" w:rsidR="00C43FA5" w:rsidP="7C716BD1" w:rsidRDefault="00C43FA5" w14:paraId="2D8AAE8A" w14:textId="77777777">
      <w:pPr>
        <w:rPr>
          <w:noProof/>
        </w:rPr>
      </w:pPr>
      <w:r>
        <w:rPr>
          <w:noProof/>
          <w14:ligatures w14:val="standardContextual"/>
        </w:rPr>
        <w:lastRenderedPageBreak/>
        <w:drawing>
          <wp:inline distT="0" distB="0" distL="0" distR="0" wp14:anchorId="5DBCC7BC" wp14:editId="2E476764">
            <wp:extent cx="5760000" cy="3147060"/>
            <wp:effectExtent l="0" t="0" r="12700" b="15240"/>
            <wp:docPr id="944600544" name="Grafiek 1">
              <a:extLst xmlns:a="http://schemas.openxmlformats.org/drawingml/2006/main">
                <a:ext uri="{FF2B5EF4-FFF2-40B4-BE49-F238E27FC236}">
                  <a16:creationId xmlns:a16="http://schemas.microsoft.com/office/drawing/2014/main" id="{0EECEF48-D708-4258-9599-3B08D3FA17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Pr="0065314C" w:rsidR="00C43FA5" w:rsidP="00C43FA5" w:rsidRDefault="00C43FA5" w14:paraId="3C56BC66" w14:textId="77777777">
      <w:pPr>
        <w:pStyle w:val="Bron"/>
        <w:rPr>
          <w:rFonts w:cs="Tahoma"/>
        </w:rPr>
      </w:pPr>
      <w:r w:rsidRPr="0065314C">
        <w:rPr>
          <w:rFonts w:cs="Tahoma"/>
        </w:rPr>
        <w:t>Bron:</w:t>
      </w:r>
      <w:r w:rsidRPr="0065314C">
        <w:rPr>
          <w:rFonts w:cs="Tahoma"/>
        </w:rPr>
        <w:tab/>
        <w:t>DUO/IPTO, bewerking SEO (202</w:t>
      </w:r>
      <w:r>
        <w:rPr>
          <w:rFonts w:cs="Tahoma"/>
        </w:rPr>
        <w:t>5</w:t>
      </w:r>
      <w:r w:rsidRPr="0065314C">
        <w:rPr>
          <w:rFonts w:cs="Tahoma"/>
        </w:rPr>
        <w:t>)</w:t>
      </w:r>
      <w:r>
        <w:rPr>
          <w:rFonts w:cs="Tahoma"/>
        </w:rPr>
        <w:t xml:space="preserve">. </w:t>
      </w:r>
      <w:r w:rsidRPr="0065314C">
        <w:rPr>
          <w:rFonts w:cs="Tahoma"/>
        </w:rPr>
        <w:t xml:space="preserve">De gegevens van MaT zijn niet weergegeven vanwege de </w:t>
      </w:r>
      <w:r>
        <w:rPr>
          <w:rFonts w:cs="Tahoma"/>
        </w:rPr>
        <w:t>exportregels</w:t>
      </w:r>
      <w:r w:rsidRPr="0065314C">
        <w:rPr>
          <w:rFonts w:cs="Tahoma"/>
        </w:rPr>
        <w:t xml:space="preserve"> van het CBS.</w:t>
      </w:r>
    </w:p>
    <w:p w:rsidR="00C43FA5" w:rsidP="00C43FA5" w:rsidRDefault="00C43FA5" w14:paraId="66866DD8" w14:textId="77777777">
      <w:pPr>
        <w:jc w:val="both"/>
        <w:rPr>
          <w:rFonts w:cs="Tahoma"/>
          <w:szCs w:val="18"/>
        </w:rPr>
      </w:pPr>
    </w:p>
    <w:p w:rsidR="00C43FA5" w:rsidP="00C43FA5" w:rsidRDefault="00C43FA5" w14:paraId="4E30DAAC" w14:textId="03E886A9">
      <w:pPr>
        <w:jc w:val="both"/>
        <w:rPr>
          <w:rFonts w:cs="Tahoma"/>
          <w:szCs w:val="18"/>
        </w:rPr>
      </w:pPr>
      <w:r w:rsidRPr="00310D79">
        <w:rPr>
          <w:rFonts w:cs="Tahoma"/>
          <w:szCs w:val="18"/>
        </w:rPr>
        <w:t xml:space="preserve">Figuur </w:t>
      </w:r>
      <w:r w:rsidR="00556586">
        <w:rPr>
          <w:rFonts w:cs="Tahoma"/>
          <w:szCs w:val="18"/>
        </w:rPr>
        <w:t>B</w:t>
      </w:r>
      <w:r w:rsidR="00B07200">
        <w:rPr>
          <w:rFonts w:cs="Tahoma"/>
          <w:szCs w:val="18"/>
        </w:rPr>
        <w:t>4</w:t>
      </w:r>
      <w:r w:rsidRPr="00310D79">
        <w:rPr>
          <w:rFonts w:cs="Tahoma"/>
          <w:szCs w:val="18"/>
        </w:rPr>
        <w:t>.</w:t>
      </w:r>
      <w:r w:rsidR="00D570F5">
        <w:rPr>
          <w:rFonts w:cs="Tahoma"/>
          <w:szCs w:val="18"/>
        </w:rPr>
        <w:t>6</w:t>
      </w:r>
      <w:r w:rsidRPr="00310D79">
        <w:rPr>
          <w:rFonts w:cs="Tahoma"/>
          <w:szCs w:val="18"/>
        </w:rPr>
        <w:t xml:space="preserve"> geeft </w:t>
      </w:r>
      <w:r>
        <w:rPr>
          <w:rFonts w:cs="Tahoma"/>
          <w:szCs w:val="18"/>
        </w:rPr>
        <w:t xml:space="preserve">de verdeling van bevoegdheid, contractsoort, functiegroep en geslacht </w:t>
      </w:r>
      <w:r w:rsidRPr="00310D79">
        <w:rPr>
          <w:rFonts w:cs="Tahoma"/>
          <w:szCs w:val="18"/>
        </w:rPr>
        <w:t xml:space="preserve">weer </w:t>
      </w:r>
      <w:r>
        <w:rPr>
          <w:rFonts w:cs="Tahoma"/>
          <w:szCs w:val="18"/>
        </w:rPr>
        <w:t>voor</w:t>
      </w:r>
      <w:r w:rsidRPr="00310D79">
        <w:rPr>
          <w:rFonts w:cs="Tahoma"/>
          <w:szCs w:val="18"/>
        </w:rPr>
        <w:t xml:space="preserve"> techniekdocenten. Daar</w:t>
      </w:r>
      <w:r>
        <w:rPr>
          <w:rFonts w:cs="Tahoma"/>
          <w:szCs w:val="18"/>
        </w:rPr>
        <w:t xml:space="preserve">uit blijkt </w:t>
      </w:r>
      <w:r w:rsidRPr="00310D79">
        <w:rPr>
          <w:rFonts w:cs="Tahoma"/>
          <w:szCs w:val="18"/>
        </w:rPr>
        <w:t xml:space="preserve">dat het aandeel </w:t>
      </w:r>
      <w:r>
        <w:rPr>
          <w:rFonts w:cs="Tahoma"/>
          <w:szCs w:val="18"/>
        </w:rPr>
        <w:t xml:space="preserve">lesgevenden in technische profielvakken dat </w:t>
      </w:r>
      <w:r w:rsidRPr="00310D79">
        <w:rPr>
          <w:rFonts w:cs="Tahoma"/>
          <w:szCs w:val="18"/>
        </w:rPr>
        <w:t xml:space="preserve">bevoegd </w:t>
      </w:r>
      <w:r>
        <w:rPr>
          <w:rFonts w:cs="Tahoma"/>
          <w:szCs w:val="18"/>
        </w:rPr>
        <w:t xml:space="preserve">lesgeeft </w:t>
      </w:r>
      <w:r w:rsidRPr="00310D79">
        <w:rPr>
          <w:rFonts w:cs="Tahoma"/>
          <w:szCs w:val="18"/>
        </w:rPr>
        <w:t>tussen 2017/18 en 20</w:t>
      </w:r>
      <w:r>
        <w:rPr>
          <w:rFonts w:cs="Tahoma"/>
          <w:szCs w:val="18"/>
        </w:rPr>
        <w:t>22</w:t>
      </w:r>
      <w:r w:rsidRPr="00310D79">
        <w:rPr>
          <w:rFonts w:cs="Tahoma"/>
          <w:szCs w:val="18"/>
        </w:rPr>
        <w:t>/2</w:t>
      </w:r>
      <w:r>
        <w:rPr>
          <w:rFonts w:cs="Tahoma"/>
          <w:szCs w:val="18"/>
        </w:rPr>
        <w:t>3</w:t>
      </w:r>
      <w:r w:rsidRPr="00310D79">
        <w:rPr>
          <w:rFonts w:cs="Tahoma"/>
          <w:szCs w:val="18"/>
        </w:rPr>
        <w:t xml:space="preserve"> is gestegen (van 51 naar </w:t>
      </w:r>
      <w:r>
        <w:rPr>
          <w:rFonts w:cs="Tahoma"/>
          <w:szCs w:val="18"/>
        </w:rPr>
        <w:t>58</w:t>
      </w:r>
      <w:r w:rsidRPr="00310D79">
        <w:rPr>
          <w:rFonts w:cs="Tahoma"/>
          <w:szCs w:val="18"/>
        </w:rPr>
        <w:t xml:space="preserve"> procent), maar </w:t>
      </w:r>
      <w:r>
        <w:rPr>
          <w:rFonts w:cs="Tahoma"/>
          <w:szCs w:val="18"/>
        </w:rPr>
        <w:t xml:space="preserve">dat </w:t>
      </w:r>
      <w:r w:rsidRPr="00310D79">
        <w:rPr>
          <w:rFonts w:cs="Tahoma"/>
          <w:szCs w:val="18"/>
        </w:rPr>
        <w:t>het aandeel met een vast contract is gedaald (</w:t>
      </w:r>
      <w:r w:rsidRPr="00A45539">
        <w:rPr>
          <w:rFonts w:cs="Tahoma"/>
          <w:szCs w:val="18"/>
        </w:rPr>
        <w:t>van 84</w:t>
      </w:r>
      <w:r>
        <w:rPr>
          <w:rFonts w:cs="Tahoma"/>
          <w:szCs w:val="18"/>
        </w:rPr>
        <w:t xml:space="preserve"> in 2017/18</w:t>
      </w:r>
      <w:r w:rsidRPr="00A45539">
        <w:rPr>
          <w:rFonts w:cs="Tahoma"/>
          <w:szCs w:val="18"/>
        </w:rPr>
        <w:t xml:space="preserve"> naar 77 procent</w:t>
      </w:r>
      <w:r>
        <w:rPr>
          <w:rFonts w:cs="Tahoma"/>
          <w:szCs w:val="18"/>
        </w:rPr>
        <w:t xml:space="preserve"> in 2022/23</w:t>
      </w:r>
      <w:r w:rsidRPr="00A45539">
        <w:rPr>
          <w:rFonts w:cs="Tahoma"/>
          <w:szCs w:val="18"/>
        </w:rPr>
        <w:t>). Het aandeel o</w:t>
      </w:r>
      <w:r>
        <w:rPr>
          <w:rFonts w:cs="Tahoma"/>
          <w:szCs w:val="18"/>
        </w:rPr>
        <w:t>nderwijso</w:t>
      </w:r>
      <w:r w:rsidRPr="00A45539">
        <w:rPr>
          <w:rFonts w:cs="Tahoma"/>
          <w:szCs w:val="18"/>
        </w:rPr>
        <w:t>ndersteunend</w:t>
      </w:r>
      <w:r>
        <w:rPr>
          <w:rFonts w:cs="Tahoma"/>
          <w:szCs w:val="18"/>
        </w:rPr>
        <w:t xml:space="preserve"> personeel is gestegen van 15 naar 24 procent. Het aandeel vrouwen is gestegen, van 14 naar 17 procent gedurende de STO-periode.</w:t>
      </w:r>
      <w:r w:rsidRPr="00A45539">
        <w:rPr>
          <w:rFonts w:cs="Tahoma"/>
          <w:szCs w:val="18"/>
        </w:rPr>
        <w:t xml:space="preserve"> Vooral bij het aandeel bevoegd zijn de verschillen tussen technische profielen groot. Bij MVI is er een stijging van 1</w:t>
      </w:r>
      <w:r>
        <w:rPr>
          <w:rFonts w:cs="Tahoma"/>
          <w:szCs w:val="18"/>
        </w:rPr>
        <w:t>7</w:t>
      </w:r>
      <w:r w:rsidRPr="00A45539">
        <w:rPr>
          <w:rFonts w:cs="Tahoma"/>
          <w:szCs w:val="18"/>
        </w:rPr>
        <w:t xml:space="preserve"> procentpunt, tegenover een </w:t>
      </w:r>
      <w:r>
        <w:rPr>
          <w:rFonts w:cs="Tahoma"/>
          <w:szCs w:val="18"/>
        </w:rPr>
        <w:t>daling</w:t>
      </w:r>
      <w:r w:rsidRPr="00A45539">
        <w:rPr>
          <w:rFonts w:cs="Tahoma"/>
          <w:szCs w:val="18"/>
        </w:rPr>
        <w:t xml:space="preserve"> van </w:t>
      </w:r>
      <w:r>
        <w:rPr>
          <w:rFonts w:cs="Tahoma"/>
          <w:szCs w:val="18"/>
        </w:rPr>
        <w:t>2</w:t>
      </w:r>
      <w:r w:rsidRPr="00A45539">
        <w:rPr>
          <w:rFonts w:cs="Tahoma"/>
          <w:szCs w:val="18"/>
        </w:rPr>
        <w:t xml:space="preserve"> procentpunt bij BWI. </w:t>
      </w:r>
    </w:p>
    <w:p w:rsidR="00C43FA5" w:rsidP="00C43FA5" w:rsidRDefault="00C43FA5" w14:paraId="4341E535" w14:textId="77777777">
      <w:pPr>
        <w:jc w:val="both"/>
        <w:rPr>
          <w:rFonts w:cs="Tahoma"/>
          <w:szCs w:val="18"/>
        </w:rPr>
      </w:pPr>
    </w:p>
    <w:p w:rsidR="00C43FA5" w:rsidP="00C43FA5" w:rsidRDefault="00C43FA5" w14:paraId="5202EB3C" w14:textId="4DB7B79F">
      <w:pPr>
        <w:jc w:val="both"/>
        <w:rPr>
          <w:rFonts w:cs="Tahoma"/>
          <w:szCs w:val="18"/>
        </w:rPr>
      </w:pPr>
      <w:r w:rsidRPr="00A45539">
        <w:rPr>
          <w:rFonts w:cs="Tahoma"/>
          <w:szCs w:val="18"/>
        </w:rPr>
        <w:t xml:space="preserve">Ook bij de niet-technische profielen zien we een stijging van het aandeel bevoegd, het sterkst bij </w:t>
      </w:r>
      <w:r>
        <w:rPr>
          <w:rFonts w:cs="Tahoma"/>
          <w:szCs w:val="18"/>
        </w:rPr>
        <w:t>Groen en</w:t>
      </w:r>
      <w:r w:rsidRPr="00A45539">
        <w:rPr>
          <w:rFonts w:cs="Tahoma"/>
          <w:szCs w:val="18"/>
        </w:rPr>
        <w:t xml:space="preserve"> D&amp;P (zie </w:t>
      </w:r>
      <w:r w:rsidR="00B07200">
        <w:rPr>
          <w:rFonts w:cs="Tahoma"/>
          <w:szCs w:val="18"/>
        </w:rPr>
        <w:t>Appendix bij Bijlage 4</w:t>
      </w:r>
      <w:r w:rsidRPr="00A45539">
        <w:rPr>
          <w:rFonts w:cs="Tahoma"/>
          <w:szCs w:val="18"/>
        </w:rPr>
        <w:t xml:space="preserve">). Het aandeel vrouwen ligt </w:t>
      </w:r>
      <w:r>
        <w:rPr>
          <w:rFonts w:cs="Tahoma"/>
          <w:szCs w:val="18"/>
        </w:rPr>
        <w:t xml:space="preserve">bij de niet-technische profielen </w:t>
      </w:r>
      <w:r w:rsidRPr="00A45539">
        <w:rPr>
          <w:rFonts w:cs="Tahoma"/>
          <w:szCs w:val="18"/>
        </w:rPr>
        <w:t xml:space="preserve">een stuk hoger dan bij </w:t>
      </w:r>
      <w:r>
        <w:rPr>
          <w:rFonts w:cs="Tahoma"/>
          <w:szCs w:val="18"/>
        </w:rPr>
        <w:t xml:space="preserve">de </w:t>
      </w:r>
      <w:r w:rsidRPr="00A45539">
        <w:rPr>
          <w:rFonts w:cs="Tahoma"/>
          <w:szCs w:val="18"/>
        </w:rPr>
        <w:t xml:space="preserve">technische profielen, </w:t>
      </w:r>
      <w:r>
        <w:rPr>
          <w:rFonts w:cs="Tahoma"/>
          <w:szCs w:val="18"/>
        </w:rPr>
        <w:t>maar dat geldt niet voor</w:t>
      </w:r>
      <w:r w:rsidRPr="00A45539">
        <w:rPr>
          <w:rFonts w:cs="Tahoma"/>
          <w:szCs w:val="18"/>
        </w:rPr>
        <w:t xml:space="preserve"> bij MVI. Daarentegen zijn er relatief weinig ondersteuners bij de niet-technische profielen</w:t>
      </w:r>
      <w:r>
        <w:rPr>
          <w:rFonts w:cs="Tahoma"/>
          <w:szCs w:val="18"/>
        </w:rPr>
        <w:t>.</w:t>
      </w:r>
      <w:r w:rsidRPr="00A45539">
        <w:rPr>
          <w:rFonts w:cs="Tahoma"/>
          <w:szCs w:val="18"/>
        </w:rPr>
        <w:t xml:space="preserve"> </w:t>
      </w:r>
    </w:p>
    <w:p w:rsidRPr="00A45539" w:rsidR="00C43FA5" w:rsidP="00C43FA5" w:rsidRDefault="00C43FA5" w14:paraId="5507337D" w14:textId="77777777">
      <w:pPr>
        <w:jc w:val="both"/>
        <w:rPr>
          <w:rFonts w:cs="Tahoma"/>
          <w:szCs w:val="18"/>
        </w:rPr>
      </w:pPr>
    </w:p>
    <w:p w:rsidRPr="00A45539" w:rsidR="00C43FA5" w:rsidP="00C43FA5" w:rsidRDefault="00C43FA5" w14:paraId="104F2252" w14:textId="176AA58C">
      <w:pPr>
        <w:pStyle w:val="Bijschrift"/>
      </w:pPr>
      <w:r w:rsidRPr="00A45539">
        <w:t xml:space="preserve">Figuur </w:t>
      </w:r>
      <w:r w:rsidR="00556586">
        <w:t>B</w:t>
      </w:r>
      <w:r w:rsidR="00B07200">
        <w:t>4</w:t>
      </w:r>
      <w:r w:rsidRPr="00A45539">
        <w:t>.</w:t>
      </w:r>
      <w:r w:rsidR="00D570F5">
        <w:t>6</w:t>
      </w:r>
      <w:r w:rsidRPr="00A45539">
        <w:t xml:space="preserve"> </w:t>
      </w:r>
      <w:r>
        <w:tab/>
        <w:t>Het aandeel bevoegd, ondersteunend, vast contract en vrouw van</w:t>
      </w:r>
      <w:r w:rsidRPr="00A45539">
        <w:t xml:space="preserve"> </w:t>
      </w:r>
      <w:r>
        <w:t>lesgevenden</w:t>
      </w:r>
      <w:r w:rsidRPr="00A45539">
        <w:t xml:space="preserve"> </w:t>
      </w:r>
      <w:r>
        <w:t>in technische profielvakken 2017/18 en 2022/23</w:t>
      </w:r>
    </w:p>
    <w:p w:rsidRPr="00A45539" w:rsidR="00C43FA5" w:rsidP="7C716BD1" w:rsidRDefault="00C43FA5" w14:paraId="46E46A72" w14:textId="77777777">
      <w:pPr>
        <w:rPr>
          <w:noProof/>
        </w:rPr>
      </w:pPr>
      <w:r>
        <w:rPr>
          <w:noProof/>
          <w14:ligatures w14:val="standardContextual"/>
        </w:rPr>
        <w:lastRenderedPageBreak/>
        <w:drawing>
          <wp:inline distT="0" distB="0" distL="0" distR="0" wp14:anchorId="045636FB" wp14:editId="7A87F1E1">
            <wp:extent cx="2880000" cy="2880000"/>
            <wp:effectExtent l="0" t="0" r="15875" b="15875"/>
            <wp:docPr id="113562754" name="Grafiek 1">
              <a:extLst xmlns:a="http://schemas.openxmlformats.org/drawingml/2006/main">
                <a:ext uri="{FF2B5EF4-FFF2-40B4-BE49-F238E27FC236}">
                  <a16:creationId xmlns:a16="http://schemas.microsoft.com/office/drawing/2014/main" id="{5653DC3C-ED2B-4B90-B671-15BA5E15EC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Pr>
          <w:noProof/>
          <w14:ligatures w14:val="standardContextual"/>
        </w:rPr>
        <w:drawing>
          <wp:inline distT="0" distB="0" distL="0" distR="0" wp14:anchorId="4C573581" wp14:editId="48AC7DF0">
            <wp:extent cx="2844000" cy="2880000"/>
            <wp:effectExtent l="0" t="0" r="13970" b="15875"/>
            <wp:docPr id="740751050" name="Grafiek 1">
              <a:extLst xmlns:a="http://schemas.openxmlformats.org/drawingml/2006/main">
                <a:ext uri="{FF2B5EF4-FFF2-40B4-BE49-F238E27FC236}">
                  <a16:creationId xmlns:a16="http://schemas.microsoft.com/office/drawing/2014/main" id="{00F8103C-0383-4EAA-9C97-CC1016332B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7C716BD1">
        <w:rPr>
          <w:noProof/>
        </w:rPr>
        <w:t xml:space="preserve"> </w:t>
      </w:r>
    </w:p>
    <w:p w:rsidRPr="00A45539" w:rsidR="00C43FA5" w:rsidP="7C716BD1" w:rsidRDefault="00C43FA5" w14:paraId="43D47C45" w14:textId="77777777">
      <w:pPr>
        <w:rPr>
          <w:noProof/>
        </w:rPr>
      </w:pPr>
      <w:r>
        <w:rPr>
          <w:noProof/>
          <w14:ligatures w14:val="standardContextual"/>
        </w:rPr>
        <w:drawing>
          <wp:inline distT="0" distB="0" distL="0" distR="0" wp14:anchorId="1C68457E" wp14:editId="673EBC6D">
            <wp:extent cx="2880000" cy="2880000"/>
            <wp:effectExtent l="0" t="0" r="15875" b="15875"/>
            <wp:docPr id="406487156" name="Grafiek 1">
              <a:extLst xmlns:a="http://schemas.openxmlformats.org/drawingml/2006/main">
                <a:ext uri="{FF2B5EF4-FFF2-40B4-BE49-F238E27FC236}">
                  <a16:creationId xmlns:a16="http://schemas.microsoft.com/office/drawing/2014/main" id="{35A53632-18BE-4284-88E1-11D31B3D58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Pr>
          <w:noProof/>
          <w14:ligatures w14:val="standardContextual"/>
        </w:rPr>
        <w:drawing>
          <wp:inline distT="0" distB="0" distL="0" distR="0" wp14:anchorId="6CCF90A4" wp14:editId="71ECC4C2">
            <wp:extent cx="2844000" cy="2880000"/>
            <wp:effectExtent l="0" t="0" r="13970" b="15875"/>
            <wp:docPr id="1983644227" name="Grafiek 1">
              <a:extLst xmlns:a="http://schemas.openxmlformats.org/drawingml/2006/main">
                <a:ext uri="{FF2B5EF4-FFF2-40B4-BE49-F238E27FC236}">
                  <a16:creationId xmlns:a16="http://schemas.microsoft.com/office/drawing/2014/main" id="{5275C1BC-3416-4B70-A2C8-7BCC3140D6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Pr="0065314C" w:rsidR="00C43FA5" w:rsidP="00C43FA5" w:rsidRDefault="00C43FA5" w14:paraId="49B02946" w14:textId="77777777">
      <w:pPr>
        <w:pStyle w:val="Bron"/>
        <w:rPr>
          <w:rFonts w:cs="Tahoma"/>
        </w:rPr>
      </w:pPr>
      <w:r w:rsidRPr="0065314C">
        <w:rPr>
          <w:rFonts w:cs="Tahoma"/>
        </w:rPr>
        <w:t>Bron:</w:t>
      </w:r>
      <w:r w:rsidRPr="0065314C">
        <w:rPr>
          <w:rFonts w:cs="Tahoma"/>
        </w:rPr>
        <w:tab/>
        <w:t>DUO/IPTO, bewerking SEO (202</w:t>
      </w:r>
      <w:r>
        <w:rPr>
          <w:rFonts w:cs="Tahoma"/>
        </w:rPr>
        <w:t>5</w:t>
      </w:r>
      <w:r w:rsidRPr="0065314C">
        <w:rPr>
          <w:rFonts w:cs="Tahoma"/>
        </w:rPr>
        <w:t xml:space="preserve">). Niet alle gegevens zijn weergegeven vanwege de </w:t>
      </w:r>
      <w:r>
        <w:rPr>
          <w:rFonts w:cs="Tahoma"/>
        </w:rPr>
        <w:t>exportregels</w:t>
      </w:r>
      <w:r w:rsidRPr="0065314C">
        <w:rPr>
          <w:rFonts w:cs="Tahoma"/>
        </w:rPr>
        <w:t xml:space="preserve"> van het CBS</w:t>
      </w:r>
      <w:r>
        <w:rPr>
          <w:rFonts w:cs="Tahoma"/>
        </w:rPr>
        <w:t>.</w:t>
      </w:r>
    </w:p>
    <w:p w:rsidRPr="00A45539" w:rsidR="00C43FA5" w:rsidP="00C43FA5" w:rsidRDefault="00C43FA5" w14:paraId="062C43D7" w14:textId="77777777">
      <w:pPr>
        <w:rPr>
          <w:rFonts w:cs="Tahoma"/>
          <w:szCs w:val="18"/>
        </w:rPr>
      </w:pPr>
    </w:p>
    <w:p w:rsidRPr="00310D79" w:rsidR="00C43FA5" w:rsidP="00C43FA5" w:rsidRDefault="00C43FA5" w14:paraId="6B3347AD" w14:textId="2EEA6119">
      <w:pPr>
        <w:jc w:val="both"/>
        <w:rPr>
          <w:rFonts w:cs="Tahoma"/>
          <w:szCs w:val="18"/>
        </w:rPr>
      </w:pPr>
      <w:r w:rsidRPr="00310D79">
        <w:rPr>
          <w:rFonts w:cs="Tahoma"/>
          <w:szCs w:val="18"/>
        </w:rPr>
        <w:t>Wat betreft opleidingsniveau</w:t>
      </w:r>
      <w:r>
        <w:rPr>
          <w:rFonts w:cs="Tahoma"/>
          <w:szCs w:val="18"/>
        </w:rPr>
        <w:t xml:space="preserve">: </w:t>
      </w:r>
      <w:r w:rsidRPr="00310D79">
        <w:rPr>
          <w:rFonts w:cs="Tahoma"/>
          <w:szCs w:val="18"/>
        </w:rPr>
        <w:t xml:space="preserve">het aandeel </w:t>
      </w:r>
      <w:r>
        <w:rPr>
          <w:rFonts w:cs="Tahoma"/>
          <w:szCs w:val="18"/>
        </w:rPr>
        <w:t xml:space="preserve">lesgevenden in technische profielvakken met </w:t>
      </w:r>
      <w:r w:rsidRPr="00310D79">
        <w:rPr>
          <w:rFonts w:cs="Tahoma"/>
          <w:szCs w:val="18"/>
        </w:rPr>
        <w:t xml:space="preserve">een </w:t>
      </w:r>
      <w:r>
        <w:rPr>
          <w:rFonts w:cs="Tahoma"/>
          <w:szCs w:val="18"/>
        </w:rPr>
        <w:t>m</w:t>
      </w:r>
      <w:r w:rsidRPr="00310D79">
        <w:rPr>
          <w:rFonts w:cs="Tahoma"/>
          <w:szCs w:val="18"/>
        </w:rPr>
        <w:t xml:space="preserve">bo-diploma is gestegen (Figuur </w:t>
      </w:r>
      <w:r w:rsidR="00556586">
        <w:rPr>
          <w:rFonts w:cs="Tahoma"/>
          <w:szCs w:val="18"/>
        </w:rPr>
        <w:t>B</w:t>
      </w:r>
      <w:r w:rsidR="00B07200">
        <w:rPr>
          <w:rFonts w:cs="Tahoma"/>
          <w:szCs w:val="18"/>
        </w:rPr>
        <w:t>4</w:t>
      </w:r>
      <w:r w:rsidRPr="00310D79">
        <w:rPr>
          <w:rFonts w:cs="Tahoma"/>
          <w:szCs w:val="18"/>
        </w:rPr>
        <w:t>.</w:t>
      </w:r>
      <w:r w:rsidR="00D570F5">
        <w:rPr>
          <w:rFonts w:cs="Tahoma"/>
          <w:szCs w:val="18"/>
        </w:rPr>
        <w:t>7</w:t>
      </w:r>
      <w:r w:rsidRPr="00310D79">
        <w:rPr>
          <w:rFonts w:cs="Tahoma"/>
          <w:szCs w:val="18"/>
        </w:rPr>
        <w:t>).</w:t>
      </w:r>
      <w:r>
        <w:rPr>
          <w:rStyle w:val="Voetnootmarkering"/>
          <w:rFonts w:cs="Tahoma"/>
          <w:szCs w:val="18"/>
        </w:rPr>
        <w:footnoteReference w:id="25"/>
      </w:r>
      <w:r w:rsidRPr="00310D79">
        <w:rPr>
          <w:rFonts w:cs="Tahoma"/>
          <w:szCs w:val="18"/>
        </w:rPr>
        <w:t xml:space="preserve"> Tegelijkertijd zien we een daling van het aandeel met </w:t>
      </w:r>
      <w:r>
        <w:rPr>
          <w:rFonts w:cs="Tahoma"/>
          <w:szCs w:val="18"/>
        </w:rPr>
        <w:t>een h</w:t>
      </w:r>
      <w:r w:rsidRPr="00310D79">
        <w:rPr>
          <w:rFonts w:cs="Tahoma"/>
          <w:szCs w:val="18"/>
        </w:rPr>
        <w:t>bo</w:t>
      </w:r>
      <w:r>
        <w:rPr>
          <w:rFonts w:cs="Tahoma"/>
          <w:szCs w:val="18"/>
        </w:rPr>
        <w:t>-</w:t>
      </w:r>
      <w:r w:rsidRPr="00310D79">
        <w:rPr>
          <w:rFonts w:cs="Tahoma"/>
          <w:szCs w:val="18"/>
        </w:rPr>
        <w:t xml:space="preserve"> en een onbekend opleidingsniveau. Het aandeel </w:t>
      </w:r>
      <w:r>
        <w:rPr>
          <w:rFonts w:cs="Tahoma"/>
          <w:szCs w:val="18"/>
        </w:rPr>
        <w:t>w</w:t>
      </w:r>
      <w:r w:rsidRPr="00310D79">
        <w:rPr>
          <w:rFonts w:cs="Tahoma"/>
          <w:szCs w:val="18"/>
        </w:rPr>
        <w:t xml:space="preserve">o is gelijk gebleven. Er zijn geen grote verschillen tussen de technische profielen, behalve dat het aandeel </w:t>
      </w:r>
      <w:r>
        <w:rPr>
          <w:rFonts w:cs="Tahoma"/>
          <w:szCs w:val="18"/>
        </w:rPr>
        <w:t>h</w:t>
      </w:r>
      <w:r w:rsidRPr="00310D79">
        <w:rPr>
          <w:rFonts w:cs="Tahoma"/>
          <w:szCs w:val="18"/>
        </w:rPr>
        <w:t>bo</w:t>
      </w:r>
      <w:r>
        <w:rPr>
          <w:rFonts w:cs="Tahoma"/>
          <w:szCs w:val="18"/>
        </w:rPr>
        <w:t>’ers</w:t>
      </w:r>
      <w:r w:rsidRPr="00310D79">
        <w:rPr>
          <w:rFonts w:cs="Tahoma"/>
          <w:szCs w:val="18"/>
        </w:rPr>
        <w:t xml:space="preserve"> groter is bij MVI en het aandeel </w:t>
      </w:r>
      <w:r>
        <w:rPr>
          <w:rFonts w:cs="Tahoma"/>
          <w:szCs w:val="18"/>
        </w:rPr>
        <w:t>m</w:t>
      </w:r>
      <w:r w:rsidRPr="00310D79">
        <w:rPr>
          <w:rFonts w:cs="Tahoma"/>
          <w:szCs w:val="18"/>
        </w:rPr>
        <w:t>bo</w:t>
      </w:r>
      <w:r>
        <w:rPr>
          <w:rFonts w:cs="Tahoma"/>
          <w:szCs w:val="18"/>
        </w:rPr>
        <w:t>’ers</w:t>
      </w:r>
      <w:r w:rsidRPr="00310D79">
        <w:rPr>
          <w:rFonts w:cs="Tahoma"/>
          <w:szCs w:val="18"/>
        </w:rPr>
        <w:t xml:space="preserve"> kleiner.</w:t>
      </w:r>
    </w:p>
    <w:p w:rsidRPr="00310D79" w:rsidR="00C43FA5" w:rsidP="00C43FA5" w:rsidRDefault="00C43FA5" w14:paraId="29519702" w14:textId="77777777">
      <w:pPr>
        <w:jc w:val="both"/>
        <w:rPr>
          <w:rFonts w:cs="Tahoma"/>
          <w:szCs w:val="18"/>
        </w:rPr>
      </w:pPr>
    </w:p>
    <w:p w:rsidRPr="00A45539" w:rsidR="00C43FA5" w:rsidP="00C43FA5" w:rsidRDefault="00C43FA5" w14:paraId="3A1AF594" w14:textId="233729C2">
      <w:pPr>
        <w:keepNext/>
        <w:keepLines/>
        <w:jc w:val="both"/>
        <w:rPr>
          <w:rFonts w:cs="Tahoma"/>
          <w:szCs w:val="18"/>
        </w:rPr>
      </w:pPr>
      <w:r w:rsidRPr="00310D79">
        <w:rPr>
          <w:rFonts w:cs="Tahoma"/>
          <w:szCs w:val="18"/>
        </w:rPr>
        <w:lastRenderedPageBreak/>
        <w:t xml:space="preserve">Bij de niet-technische profielen zijn er ook enkele verschillen over de tijd (zie </w:t>
      </w:r>
      <w:r w:rsidR="00B07200">
        <w:rPr>
          <w:rFonts w:cs="Tahoma"/>
          <w:szCs w:val="18"/>
        </w:rPr>
        <w:t>Appendix bij Bijlage 4</w:t>
      </w:r>
      <w:r w:rsidRPr="00310D79">
        <w:rPr>
          <w:rFonts w:cs="Tahoma"/>
          <w:szCs w:val="18"/>
        </w:rPr>
        <w:t xml:space="preserve">). </w:t>
      </w:r>
      <w:r>
        <w:rPr>
          <w:rFonts w:cs="Tahoma"/>
          <w:szCs w:val="18"/>
        </w:rPr>
        <w:t>Vooral het</w:t>
      </w:r>
      <w:r w:rsidRPr="00A45539">
        <w:rPr>
          <w:rFonts w:cs="Tahoma"/>
          <w:szCs w:val="18"/>
        </w:rPr>
        <w:t xml:space="preserve"> aandeel </w:t>
      </w:r>
      <w:r>
        <w:rPr>
          <w:rFonts w:cs="Tahoma"/>
          <w:szCs w:val="18"/>
        </w:rPr>
        <w:t>m</w:t>
      </w:r>
      <w:r w:rsidRPr="00A45539">
        <w:rPr>
          <w:rFonts w:cs="Tahoma"/>
          <w:szCs w:val="18"/>
        </w:rPr>
        <w:t>bo</w:t>
      </w:r>
      <w:r>
        <w:rPr>
          <w:rFonts w:cs="Tahoma"/>
          <w:szCs w:val="18"/>
        </w:rPr>
        <w:t>’ers -</w:t>
      </w:r>
      <w:r w:rsidRPr="00A45539">
        <w:rPr>
          <w:rFonts w:cs="Tahoma"/>
          <w:szCs w:val="18"/>
        </w:rPr>
        <w:t xml:space="preserve"> en</w:t>
      </w:r>
      <w:r>
        <w:rPr>
          <w:rFonts w:cs="Tahoma"/>
          <w:szCs w:val="18"/>
        </w:rPr>
        <w:t xml:space="preserve"> in mindere mate het aandeel</w:t>
      </w:r>
      <w:r w:rsidRPr="00A45539">
        <w:rPr>
          <w:rFonts w:cs="Tahoma"/>
          <w:szCs w:val="18"/>
        </w:rPr>
        <w:t xml:space="preserve"> </w:t>
      </w:r>
      <w:r>
        <w:rPr>
          <w:rFonts w:cs="Tahoma"/>
          <w:szCs w:val="18"/>
        </w:rPr>
        <w:t>h</w:t>
      </w:r>
      <w:r w:rsidRPr="00A45539">
        <w:rPr>
          <w:rFonts w:cs="Tahoma"/>
          <w:szCs w:val="18"/>
        </w:rPr>
        <w:t>bo</w:t>
      </w:r>
      <w:r>
        <w:rPr>
          <w:rFonts w:cs="Tahoma"/>
          <w:szCs w:val="18"/>
        </w:rPr>
        <w:t>-opgeleiden</w:t>
      </w:r>
      <w:r w:rsidRPr="00A45539">
        <w:rPr>
          <w:rFonts w:cs="Tahoma"/>
          <w:szCs w:val="18"/>
        </w:rPr>
        <w:t xml:space="preserve"> is gestegen, terwijl het aandeel </w:t>
      </w:r>
      <w:r>
        <w:rPr>
          <w:rFonts w:cs="Tahoma"/>
          <w:szCs w:val="18"/>
        </w:rPr>
        <w:t>w</w:t>
      </w:r>
      <w:r w:rsidRPr="00A45539">
        <w:rPr>
          <w:rFonts w:cs="Tahoma"/>
          <w:szCs w:val="18"/>
        </w:rPr>
        <w:t>o</w:t>
      </w:r>
      <w:r>
        <w:rPr>
          <w:rFonts w:cs="Tahoma"/>
          <w:szCs w:val="18"/>
        </w:rPr>
        <w:t>-opgeleiden</w:t>
      </w:r>
      <w:r w:rsidRPr="00A45539">
        <w:rPr>
          <w:rFonts w:cs="Tahoma"/>
          <w:szCs w:val="18"/>
        </w:rPr>
        <w:t xml:space="preserve"> en </w:t>
      </w:r>
      <w:r>
        <w:rPr>
          <w:rFonts w:cs="Tahoma"/>
          <w:szCs w:val="18"/>
        </w:rPr>
        <w:t xml:space="preserve">de groep </w:t>
      </w:r>
      <w:r w:rsidRPr="00A45539">
        <w:rPr>
          <w:rFonts w:cs="Tahoma"/>
          <w:szCs w:val="18"/>
        </w:rPr>
        <w:t xml:space="preserve">onbekend juist is gedaald. Er zijn geen noemenswaardige verschillen tussen de niet-technische profielen. In vergelijking met technische profielen zijn er meer </w:t>
      </w:r>
      <w:r>
        <w:rPr>
          <w:rFonts w:cs="Tahoma"/>
          <w:szCs w:val="18"/>
        </w:rPr>
        <w:t>h</w:t>
      </w:r>
      <w:r w:rsidRPr="00A45539">
        <w:rPr>
          <w:rFonts w:cs="Tahoma"/>
          <w:szCs w:val="18"/>
        </w:rPr>
        <w:t>bo</w:t>
      </w:r>
      <w:r>
        <w:rPr>
          <w:rFonts w:cs="Tahoma"/>
          <w:szCs w:val="18"/>
        </w:rPr>
        <w:t>-</w:t>
      </w:r>
      <w:r w:rsidRPr="00A45539">
        <w:rPr>
          <w:rFonts w:cs="Tahoma"/>
          <w:szCs w:val="18"/>
        </w:rPr>
        <w:t xml:space="preserve"> en minder </w:t>
      </w:r>
      <w:r>
        <w:rPr>
          <w:rFonts w:cs="Tahoma"/>
          <w:szCs w:val="18"/>
        </w:rPr>
        <w:t>m</w:t>
      </w:r>
      <w:r w:rsidRPr="00A45539">
        <w:rPr>
          <w:rFonts w:cs="Tahoma"/>
          <w:szCs w:val="18"/>
        </w:rPr>
        <w:t>bo-opgeleiden.</w:t>
      </w:r>
    </w:p>
    <w:p w:rsidRPr="00A45539" w:rsidR="00C43FA5" w:rsidP="00C43FA5" w:rsidRDefault="00C43FA5" w14:paraId="374BFE0A" w14:textId="77777777">
      <w:pPr>
        <w:jc w:val="both"/>
        <w:rPr>
          <w:rFonts w:cs="Tahoma"/>
          <w:szCs w:val="18"/>
        </w:rPr>
      </w:pPr>
    </w:p>
    <w:p w:rsidRPr="00A45539" w:rsidR="00C43FA5" w:rsidP="00C43FA5" w:rsidRDefault="00C43FA5" w14:paraId="795DA636" w14:textId="23752136">
      <w:pPr>
        <w:pStyle w:val="Bijschrift"/>
      </w:pPr>
      <w:r w:rsidRPr="00A45539">
        <w:t xml:space="preserve">Figuur </w:t>
      </w:r>
      <w:r w:rsidR="00556586">
        <w:t>B</w:t>
      </w:r>
      <w:r w:rsidR="00B07200">
        <w:t>4</w:t>
      </w:r>
      <w:r w:rsidRPr="00A45539">
        <w:t>.</w:t>
      </w:r>
      <w:r w:rsidR="00D570F5">
        <w:t>7</w:t>
      </w:r>
      <w:r w:rsidRPr="00A45539">
        <w:t xml:space="preserve"> </w:t>
      </w:r>
      <w:r>
        <w:tab/>
        <w:t>Opleidingsniveau van lesgevenden in technische profielvakken 2017/18 en 2022/23</w:t>
      </w:r>
      <w:r w:rsidRPr="00A45539">
        <w:t xml:space="preserve"> </w:t>
      </w:r>
    </w:p>
    <w:p w:rsidRPr="00A45539" w:rsidR="00C43FA5" w:rsidP="7C716BD1" w:rsidRDefault="00C43FA5" w14:paraId="18BE6AFE" w14:textId="77777777">
      <w:pPr>
        <w:rPr>
          <w:noProof/>
        </w:rPr>
      </w:pPr>
      <w:r>
        <w:rPr>
          <w:noProof/>
          <w14:ligatures w14:val="standardContextual"/>
        </w:rPr>
        <w:drawing>
          <wp:inline distT="0" distB="0" distL="0" distR="0" wp14:anchorId="234536F2" wp14:editId="3159AE1E">
            <wp:extent cx="5760000" cy="3147060"/>
            <wp:effectExtent l="0" t="0" r="12700" b="15240"/>
            <wp:docPr id="1126518448" name="Grafiek 1">
              <a:extLst xmlns:a="http://schemas.openxmlformats.org/drawingml/2006/main">
                <a:ext uri="{FF2B5EF4-FFF2-40B4-BE49-F238E27FC236}">
                  <a16:creationId xmlns:a16="http://schemas.microsoft.com/office/drawing/2014/main" id="{231FBAF2-FA78-40BC-AF04-E17E74267C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Pr="0065314C" w:rsidR="00C43FA5" w:rsidP="00C43FA5" w:rsidRDefault="00C43FA5" w14:paraId="5C1B5209" w14:textId="77777777">
      <w:pPr>
        <w:pStyle w:val="Bron"/>
        <w:rPr>
          <w:rFonts w:cs="Tahoma"/>
        </w:rPr>
      </w:pPr>
      <w:r w:rsidRPr="0065314C">
        <w:rPr>
          <w:rFonts w:cs="Tahoma"/>
        </w:rPr>
        <w:t>Bron:</w:t>
      </w:r>
      <w:r w:rsidRPr="0065314C">
        <w:rPr>
          <w:rFonts w:cs="Tahoma"/>
        </w:rPr>
        <w:tab/>
        <w:t>DUO/IPTO, bewerking SEO (202</w:t>
      </w:r>
      <w:r>
        <w:rPr>
          <w:rFonts w:cs="Tahoma"/>
        </w:rPr>
        <w:t>5</w:t>
      </w:r>
      <w:r w:rsidRPr="0065314C">
        <w:rPr>
          <w:rFonts w:cs="Tahoma"/>
        </w:rPr>
        <w:t xml:space="preserve">). Niet alle gegevens zijn weergegeven vanwege de </w:t>
      </w:r>
      <w:r>
        <w:rPr>
          <w:rFonts w:cs="Tahoma"/>
        </w:rPr>
        <w:t>exportregels</w:t>
      </w:r>
      <w:r w:rsidRPr="0065314C">
        <w:rPr>
          <w:rFonts w:cs="Tahoma"/>
        </w:rPr>
        <w:t xml:space="preserve"> van het CBS</w:t>
      </w:r>
      <w:r>
        <w:rPr>
          <w:rFonts w:cs="Tahoma"/>
        </w:rPr>
        <w:t>.</w:t>
      </w:r>
    </w:p>
    <w:p w:rsidRPr="00A45539" w:rsidR="00C43FA5" w:rsidP="00C43FA5" w:rsidRDefault="00C43FA5" w14:paraId="1F271337" w14:textId="77777777">
      <w:pPr>
        <w:rPr>
          <w:rFonts w:cs="Tahoma"/>
          <w:szCs w:val="18"/>
        </w:rPr>
      </w:pPr>
    </w:p>
    <w:p w:rsidRPr="00A45539" w:rsidR="00C43FA5" w:rsidP="00C43FA5" w:rsidRDefault="00C43FA5" w14:paraId="3918E6B1" w14:textId="77777777">
      <w:pPr>
        <w:jc w:val="both"/>
        <w:rPr>
          <w:rFonts w:cs="Tahoma"/>
          <w:szCs w:val="18"/>
        </w:rPr>
      </w:pPr>
      <w:r>
        <w:rPr>
          <w:rFonts w:cs="Tahoma"/>
          <w:szCs w:val="18"/>
        </w:rPr>
        <w:t xml:space="preserve">We onderscheiden in deze analyse </w:t>
      </w:r>
      <w:r w:rsidRPr="00A45539">
        <w:rPr>
          <w:rFonts w:cs="Tahoma"/>
          <w:szCs w:val="18"/>
        </w:rPr>
        <w:t xml:space="preserve">drie opleidingsrichtingen. Ten eerste </w:t>
      </w:r>
      <w:r>
        <w:rPr>
          <w:rFonts w:cs="Tahoma"/>
          <w:szCs w:val="18"/>
        </w:rPr>
        <w:t xml:space="preserve">alle eerste- en tweedegraads </w:t>
      </w:r>
      <w:r w:rsidRPr="00A45539">
        <w:rPr>
          <w:rFonts w:cs="Tahoma"/>
          <w:szCs w:val="18"/>
        </w:rPr>
        <w:t>lerarenopleidingen algemene en beroepsgerichte vakken</w:t>
      </w:r>
      <w:r>
        <w:rPr>
          <w:rFonts w:cs="Tahoma"/>
          <w:szCs w:val="18"/>
        </w:rPr>
        <w:t xml:space="preserve">, </w:t>
      </w:r>
      <w:r w:rsidRPr="00A45539">
        <w:rPr>
          <w:rFonts w:cs="Tahoma"/>
          <w:szCs w:val="18"/>
        </w:rPr>
        <w:t xml:space="preserve">ten tweede </w:t>
      </w:r>
      <w:r>
        <w:rPr>
          <w:rFonts w:cs="Tahoma"/>
          <w:szCs w:val="18"/>
        </w:rPr>
        <w:t xml:space="preserve">alle </w:t>
      </w:r>
      <w:r w:rsidRPr="00A45539">
        <w:rPr>
          <w:rFonts w:cs="Tahoma"/>
          <w:szCs w:val="18"/>
        </w:rPr>
        <w:t>overige onderwijsopleidingen (zoals pabo) en ten derde alle andere</w:t>
      </w:r>
      <w:r>
        <w:rPr>
          <w:rFonts w:cs="Tahoma"/>
          <w:szCs w:val="18"/>
        </w:rPr>
        <w:t xml:space="preserve"> </w:t>
      </w:r>
      <w:r w:rsidRPr="00A45539">
        <w:rPr>
          <w:rFonts w:cs="Tahoma"/>
          <w:szCs w:val="18"/>
        </w:rPr>
        <w:t xml:space="preserve">opleidingen buiten het onderwijs. Voor een deel van de </w:t>
      </w:r>
      <w:r>
        <w:rPr>
          <w:rFonts w:cs="Tahoma"/>
          <w:szCs w:val="18"/>
        </w:rPr>
        <w:t>lesgevenden</w:t>
      </w:r>
      <w:r w:rsidRPr="00A45539">
        <w:rPr>
          <w:rFonts w:cs="Tahoma"/>
          <w:szCs w:val="18"/>
        </w:rPr>
        <w:t xml:space="preserve"> is de opleidingsrichting niet bekend. </w:t>
      </w:r>
    </w:p>
    <w:p w:rsidRPr="00A45539" w:rsidR="00C43FA5" w:rsidP="00C43FA5" w:rsidRDefault="00C43FA5" w14:paraId="0B56F99B" w14:textId="77777777">
      <w:pPr>
        <w:jc w:val="both"/>
        <w:rPr>
          <w:rFonts w:cs="Tahoma"/>
          <w:szCs w:val="18"/>
        </w:rPr>
      </w:pPr>
    </w:p>
    <w:p w:rsidR="00C43FA5" w:rsidP="00C43FA5" w:rsidRDefault="00C43FA5" w14:paraId="22B278F7" w14:textId="0888AEBA">
      <w:pPr>
        <w:jc w:val="both"/>
        <w:rPr>
          <w:rFonts w:cs="Tahoma"/>
          <w:szCs w:val="18"/>
        </w:rPr>
      </w:pPr>
      <w:r>
        <w:rPr>
          <w:rFonts w:cs="Tahoma"/>
          <w:szCs w:val="18"/>
        </w:rPr>
        <w:t>Voor</w:t>
      </w:r>
      <w:r w:rsidRPr="00A45539">
        <w:rPr>
          <w:rFonts w:cs="Tahoma"/>
          <w:szCs w:val="18"/>
        </w:rPr>
        <w:t xml:space="preserve"> </w:t>
      </w:r>
      <w:r>
        <w:rPr>
          <w:rFonts w:cs="Tahoma"/>
          <w:szCs w:val="18"/>
        </w:rPr>
        <w:t xml:space="preserve">lesgevenden in de technische profielvakken zien we dat net iets minder dan de helft een eerste- of tweedegraads lerarenopleiding heeft gevolgd (zie Figuur </w:t>
      </w:r>
      <w:r w:rsidR="00556586">
        <w:rPr>
          <w:rFonts w:cs="Tahoma"/>
          <w:szCs w:val="18"/>
        </w:rPr>
        <w:t>B</w:t>
      </w:r>
      <w:r w:rsidR="00B07200">
        <w:rPr>
          <w:rFonts w:cs="Tahoma"/>
          <w:szCs w:val="18"/>
        </w:rPr>
        <w:t>4</w:t>
      </w:r>
      <w:r>
        <w:rPr>
          <w:rFonts w:cs="Tahoma"/>
          <w:szCs w:val="18"/>
        </w:rPr>
        <w:t>.</w:t>
      </w:r>
      <w:r w:rsidR="00D570F5">
        <w:rPr>
          <w:rFonts w:cs="Tahoma"/>
          <w:szCs w:val="18"/>
        </w:rPr>
        <w:t>8</w:t>
      </w:r>
      <w:r>
        <w:rPr>
          <w:rFonts w:cs="Tahoma"/>
          <w:szCs w:val="18"/>
        </w:rPr>
        <w:t>). Dat aandeel is door de jaren gedaald. Tegelijkertijd zien we een stijging van het aandeel met een opleiding buiten het onderwijs.</w:t>
      </w:r>
      <w:r w:rsidRPr="00F109F7">
        <w:rPr>
          <w:rFonts w:cs="Tahoma"/>
          <w:szCs w:val="18"/>
        </w:rPr>
        <w:t xml:space="preserve"> </w:t>
      </w:r>
      <w:r w:rsidRPr="00A45539">
        <w:rPr>
          <w:rFonts w:cs="Tahoma"/>
          <w:szCs w:val="18"/>
        </w:rPr>
        <w:t>Deze opleidingen zijn divers van aard en hebben vaak een technisch karakter, zoals mbo-techniek.</w:t>
      </w:r>
      <w:r>
        <w:rPr>
          <w:rFonts w:cs="Tahoma"/>
          <w:szCs w:val="18"/>
        </w:rPr>
        <w:t xml:space="preserve"> </w:t>
      </w:r>
      <w:r w:rsidRPr="00310D79">
        <w:rPr>
          <w:rFonts w:cs="Tahoma"/>
          <w:szCs w:val="18"/>
        </w:rPr>
        <w:t xml:space="preserve">Dit </w:t>
      </w:r>
      <w:r>
        <w:rPr>
          <w:rFonts w:cs="Tahoma"/>
          <w:szCs w:val="18"/>
        </w:rPr>
        <w:t>wijst erop</w:t>
      </w:r>
      <w:r w:rsidRPr="00310D79">
        <w:rPr>
          <w:rFonts w:cs="Tahoma"/>
          <w:szCs w:val="18"/>
        </w:rPr>
        <w:t xml:space="preserve"> dat techniekdocenten vaker dan voorheen </w:t>
      </w:r>
      <w:r>
        <w:rPr>
          <w:rFonts w:cs="Tahoma"/>
          <w:szCs w:val="18"/>
        </w:rPr>
        <w:t xml:space="preserve">de weg naar het onderwijs vinden anders dan via de gangbare route via de lerarenopleiding. </w:t>
      </w:r>
      <w:r w:rsidRPr="00310D79">
        <w:rPr>
          <w:rFonts w:cs="Tahoma"/>
          <w:szCs w:val="18"/>
        </w:rPr>
        <w:t>Bij niet-technische profielen zien we</w:t>
      </w:r>
      <w:r w:rsidRPr="00A45539">
        <w:rPr>
          <w:rFonts w:cs="Tahoma"/>
          <w:szCs w:val="18"/>
        </w:rPr>
        <w:t xml:space="preserve"> juist een stijging bij </w:t>
      </w:r>
      <w:r>
        <w:rPr>
          <w:rFonts w:cs="Tahoma"/>
          <w:szCs w:val="18"/>
        </w:rPr>
        <w:t xml:space="preserve">het aandeel met een </w:t>
      </w:r>
      <w:r w:rsidRPr="00A45539">
        <w:rPr>
          <w:rFonts w:cs="Tahoma"/>
          <w:szCs w:val="18"/>
        </w:rPr>
        <w:t xml:space="preserve">lerarenopleiding (zie </w:t>
      </w:r>
      <w:r w:rsidR="00B07200">
        <w:rPr>
          <w:rFonts w:cs="Tahoma"/>
          <w:szCs w:val="18"/>
        </w:rPr>
        <w:t>Appendix bij Bijlage 4</w:t>
      </w:r>
      <w:r w:rsidRPr="00A45539">
        <w:rPr>
          <w:rFonts w:cs="Tahoma"/>
          <w:szCs w:val="18"/>
        </w:rPr>
        <w:t xml:space="preserve">). Sowieso is het aandeel </w:t>
      </w:r>
      <w:r>
        <w:rPr>
          <w:rFonts w:cs="Tahoma"/>
          <w:szCs w:val="18"/>
        </w:rPr>
        <w:t xml:space="preserve">met een lerarenopleiding gemiddeld hoger en het aandeel met een </w:t>
      </w:r>
      <w:r w:rsidRPr="00A45539">
        <w:rPr>
          <w:rFonts w:cs="Tahoma"/>
          <w:szCs w:val="18"/>
        </w:rPr>
        <w:t xml:space="preserve">overige, niet-onderwijs gerelateerde opleiding </w:t>
      </w:r>
      <w:r>
        <w:rPr>
          <w:rFonts w:cs="Tahoma"/>
          <w:szCs w:val="18"/>
        </w:rPr>
        <w:t>gemiddeld lager dan</w:t>
      </w:r>
      <w:r w:rsidRPr="00A45539">
        <w:rPr>
          <w:rFonts w:cs="Tahoma"/>
          <w:szCs w:val="18"/>
        </w:rPr>
        <w:t xml:space="preserve"> bij de technische profielen.</w:t>
      </w:r>
    </w:p>
    <w:p w:rsidRPr="00A45539" w:rsidR="00C43FA5" w:rsidP="00C43FA5" w:rsidRDefault="00C43FA5" w14:paraId="33D76469" w14:textId="77777777">
      <w:pPr>
        <w:jc w:val="both"/>
        <w:rPr>
          <w:rFonts w:cs="Tahoma"/>
          <w:szCs w:val="18"/>
        </w:rPr>
      </w:pPr>
    </w:p>
    <w:p w:rsidRPr="00A45539" w:rsidR="00C43FA5" w:rsidP="00C43FA5" w:rsidRDefault="00C43FA5" w14:paraId="6933F153" w14:textId="77777777">
      <w:pPr>
        <w:jc w:val="both"/>
        <w:rPr>
          <w:rFonts w:cs="Tahoma"/>
          <w:szCs w:val="18"/>
        </w:rPr>
      </w:pPr>
      <w:r w:rsidRPr="00A45539">
        <w:rPr>
          <w:rFonts w:cs="Tahoma"/>
          <w:szCs w:val="18"/>
        </w:rPr>
        <w:t>Het ondersteunend personeel in de technische profielen heeft logischerwijs minder vaak een lerarenopleiding gevolgd (</w:t>
      </w:r>
      <w:r>
        <w:rPr>
          <w:rFonts w:cs="Tahoma"/>
          <w:szCs w:val="18"/>
        </w:rPr>
        <w:t>minder dan 10 procent</w:t>
      </w:r>
      <w:r w:rsidRPr="00A45539">
        <w:rPr>
          <w:rFonts w:cs="Tahoma"/>
          <w:szCs w:val="18"/>
        </w:rPr>
        <w:t>, niet weergegeven) en vaker een overige opleiding afgerond (</w:t>
      </w:r>
      <w:r>
        <w:rPr>
          <w:rFonts w:cs="Tahoma"/>
          <w:szCs w:val="18"/>
        </w:rPr>
        <w:t>meer dan 60 procent</w:t>
      </w:r>
      <w:r w:rsidRPr="00A45539">
        <w:rPr>
          <w:rFonts w:cs="Tahoma"/>
          <w:szCs w:val="18"/>
        </w:rPr>
        <w:t>, niet weergegeven). Van een groot deel (25 procent, niet weergegeven) is de opleiding onbekend. Het aandeel onbekend is sinds 2017-18 wel gedaald (</w:t>
      </w:r>
      <w:r>
        <w:rPr>
          <w:rFonts w:cs="Tahoma"/>
          <w:szCs w:val="18"/>
        </w:rPr>
        <w:t>wa</w:t>
      </w:r>
      <w:r w:rsidRPr="00A45539">
        <w:rPr>
          <w:rFonts w:cs="Tahoma"/>
          <w:szCs w:val="18"/>
        </w:rPr>
        <w:t>s 34 procent).</w:t>
      </w:r>
      <w:r>
        <w:rPr>
          <w:rFonts w:cs="Tahoma"/>
          <w:szCs w:val="18"/>
        </w:rPr>
        <w:t xml:space="preserve"> Een daling van het aandeel onbekend kan samenhangen met het feit dat van oudere mensen de opleiding niet altijd bekend is.</w:t>
      </w:r>
      <w:r w:rsidRPr="00A45539">
        <w:rPr>
          <w:rFonts w:cs="Tahoma"/>
          <w:szCs w:val="18"/>
        </w:rPr>
        <w:t xml:space="preserve"> </w:t>
      </w:r>
    </w:p>
    <w:p w:rsidRPr="00A45539" w:rsidR="00C43FA5" w:rsidP="00C43FA5" w:rsidRDefault="00C43FA5" w14:paraId="08BDED8C" w14:textId="77777777">
      <w:pPr>
        <w:rPr>
          <w:rFonts w:cs="Tahoma"/>
          <w:szCs w:val="18"/>
        </w:rPr>
      </w:pPr>
    </w:p>
    <w:p w:rsidRPr="00A45539" w:rsidR="00C43FA5" w:rsidP="00C43FA5" w:rsidRDefault="00C43FA5" w14:paraId="794ED904" w14:textId="6F7B1F77">
      <w:pPr>
        <w:pStyle w:val="Bijschrift"/>
        <w:rPr>
          <w:noProof/>
        </w:rPr>
      </w:pPr>
      <w:r w:rsidRPr="00A45539">
        <w:t xml:space="preserve">Figuur </w:t>
      </w:r>
      <w:r w:rsidR="00556586">
        <w:t>B</w:t>
      </w:r>
      <w:r w:rsidR="0088695F">
        <w:t>4</w:t>
      </w:r>
      <w:r w:rsidRPr="00A45539">
        <w:t>.</w:t>
      </w:r>
      <w:r w:rsidR="00D570F5">
        <w:t>8</w:t>
      </w:r>
      <w:r w:rsidRPr="00A45539">
        <w:t xml:space="preserve"> </w:t>
      </w:r>
      <w:r>
        <w:t>Opleidingsrichting van lesgevenden in technische profielvakken 2017/18 en 2022/23</w:t>
      </w:r>
      <w:r w:rsidRPr="00A45539">
        <w:t xml:space="preserve"> </w:t>
      </w:r>
    </w:p>
    <w:p w:rsidRPr="00A45539" w:rsidR="00C43FA5" w:rsidP="7C716BD1" w:rsidRDefault="00C43FA5" w14:paraId="60E86164" w14:textId="77777777">
      <w:pPr>
        <w:rPr>
          <w:noProof/>
        </w:rPr>
      </w:pPr>
      <w:r>
        <w:rPr>
          <w:noProof/>
          <w14:ligatures w14:val="standardContextual"/>
        </w:rPr>
        <w:lastRenderedPageBreak/>
        <w:drawing>
          <wp:inline distT="0" distB="0" distL="0" distR="0" wp14:anchorId="58798452" wp14:editId="48D62C4F">
            <wp:extent cx="5760720" cy="3146425"/>
            <wp:effectExtent l="0" t="0" r="11430" b="15875"/>
            <wp:docPr id="837509637" name="Grafiek 1">
              <a:extLst xmlns:a="http://schemas.openxmlformats.org/drawingml/2006/main">
                <a:ext uri="{FF2B5EF4-FFF2-40B4-BE49-F238E27FC236}">
                  <a16:creationId xmlns:a16="http://schemas.microsoft.com/office/drawing/2014/main" id="{CDA55886-2D1B-4AFB-89CF-1DCC3CFA60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C43FA5" w:rsidP="00C43FA5" w:rsidRDefault="00C43FA5" w14:paraId="4DED2BBE" w14:textId="77777777">
      <w:pPr>
        <w:pStyle w:val="Bron"/>
        <w:rPr>
          <w:rFonts w:cs="Tahoma"/>
        </w:rPr>
      </w:pPr>
      <w:r w:rsidRPr="0065314C">
        <w:rPr>
          <w:rFonts w:cs="Tahoma"/>
        </w:rPr>
        <w:t>Bron:</w:t>
      </w:r>
      <w:r w:rsidRPr="0065314C">
        <w:rPr>
          <w:rFonts w:cs="Tahoma"/>
        </w:rPr>
        <w:tab/>
        <w:t>DUO/IPTO, bewerking SEO (202</w:t>
      </w:r>
      <w:r>
        <w:rPr>
          <w:rFonts w:cs="Tahoma"/>
        </w:rPr>
        <w:t>5</w:t>
      </w:r>
      <w:r w:rsidRPr="0065314C">
        <w:rPr>
          <w:rFonts w:cs="Tahoma"/>
        </w:rPr>
        <w:t xml:space="preserve">). Niet alle gegevens zijn weergegeven vanwege de </w:t>
      </w:r>
      <w:r>
        <w:rPr>
          <w:rFonts w:cs="Tahoma"/>
        </w:rPr>
        <w:t>exportregels</w:t>
      </w:r>
      <w:r w:rsidRPr="0065314C">
        <w:rPr>
          <w:rFonts w:cs="Tahoma"/>
        </w:rPr>
        <w:t xml:space="preserve"> van het CBS</w:t>
      </w:r>
      <w:r>
        <w:rPr>
          <w:rFonts w:cs="Tahoma"/>
        </w:rPr>
        <w:t>.</w:t>
      </w:r>
    </w:p>
    <w:p w:rsidRPr="0065314C" w:rsidR="00C43FA5" w:rsidP="00C43FA5" w:rsidRDefault="00C43FA5" w14:paraId="1EB3FFE0" w14:textId="77777777"/>
    <w:p w:rsidR="00C43FA5" w:rsidP="00C43FA5" w:rsidRDefault="00C43FA5" w14:paraId="7A6C04C5" w14:textId="58F94BE5">
      <w:pPr>
        <w:pStyle w:val="Kop2"/>
        <w:rPr>
          <w:szCs w:val="18"/>
        </w:rPr>
      </w:pPr>
      <w:bookmarkStart w:name="_Toc158042081" w:id="216"/>
      <w:bookmarkStart w:name="_Toc203573650" w:id="217"/>
      <w:r w:rsidRPr="00A45539">
        <w:rPr>
          <w:szCs w:val="18"/>
        </w:rPr>
        <w:t xml:space="preserve">Loopbaan </w:t>
      </w:r>
      <w:bookmarkEnd w:id="216"/>
      <w:r>
        <w:rPr>
          <w:szCs w:val="18"/>
        </w:rPr>
        <w:t>lesgevenden</w:t>
      </w:r>
      <w:bookmarkEnd w:id="217"/>
    </w:p>
    <w:p w:rsidRPr="00A45539" w:rsidR="00C43FA5" w:rsidP="00C43FA5" w:rsidRDefault="00C43FA5" w14:paraId="1CFFF5F3" w14:textId="6173034D">
      <w:pPr>
        <w:jc w:val="both"/>
        <w:rPr>
          <w:rFonts w:cs="Tahoma"/>
          <w:szCs w:val="18"/>
        </w:rPr>
      </w:pPr>
      <w:r w:rsidRPr="00A45539">
        <w:rPr>
          <w:rFonts w:cs="Tahoma"/>
          <w:szCs w:val="18"/>
        </w:rPr>
        <w:t xml:space="preserve">De opleiding van </w:t>
      </w:r>
      <w:r>
        <w:rPr>
          <w:rFonts w:cs="Tahoma"/>
          <w:szCs w:val="18"/>
        </w:rPr>
        <w:t>veel lesgevenden in technische profielen</w:t>
      </w:r>
      <w:r w:rsidRPr="00A45539">
        <w:rPr>
          <w:rFonts w:cs="Tahoma"/>
          <w:szCs w:val="18"/>
        </w:rPr>
        <w:t xml:space="preserve"> </w:t>
      </w:r>
      <w:r>
        <w:rPr>
          <w:rFonts w:cs="Tahoma"/>
          <w:szCs w:val="18"/>
        </w:rPr>
        <w:t xml:space="preserve">indiceert </w:t>
      </w:r>
      <w:r w:rsidRPr="00A45539">
        <w:rPr>
          <w:rFonts w:cs="Tahoma"/>
          <w:szCs w:val="18"/>
        </w:rPr>
        <w:t xml:space="preserve">dat een deel van hen niet altijd in het onderwijs werkzaam is geweest. Van de </w:t>
      </w:r>
      <w:r>
        <w:rPr>
          <w:rFonts w:cs="Tahoma"/>
          <w:szCs w:val="18"/>
        </w:rPr>
        <w:t>lesgevenden</w:t>
      </w:r>
      <w:r w:rsidRPr="00A45539">
        <w:rPr>
          <w:rFonts w:cs="Tahoma"/>
          <w:szCs w:val="18"/>
        </w:rPr>
        <w:t xml:space="preserve"> die </w:t>
      </w:r>
      <w:r>
        <w:rPr>
          <w:rFonts w:cs="Tahoma"/>
          <w:szCs w:val="18"/>
        </w:rPr>
        <w:t xml:space="preserve">op </w:t>
      </w:r>
      <w:r w:rsidRPr="00A45539">
        <w:rPr>
          <w:rFonts w:cs="Tahoma"/>
          <w:szCs w:val="18"/>
        </w:rPr>
        <w:t>1 oktober 202</w:t>
      </w:r>
      <w:r>
        <w:rPr>
          <w:rFonts w:cs="Tahoma"/>
          <w:szCs w:val="18"/>
        </w:rPr>
        <w:t>2</w:t>
      </w:r>
      <w:r w:rsidRPr="00A45539">
        <w:rPr>
          <w:rFonts w:cs="Tahoma"/>
          <w:szCs w:val="18"/>
        </w:rPr>
        <w:t xml:space="preserve"> in het </w:t>
      </w:r>
      <w:r>
        <w:rPr>
          <w:rFonts w:cs="Tahoma"/>
          <w:szCs w:val="18"/>
        </w:rPr>
        <w:t>vmbo</w:t>
      </w:r>
      <w:r w:rsidRPr="00A45539">
        <w:rPr>
          <w:rFonts w:cs="Tahoma"/>
          <w:szCs w:val="18"/>
        </w:rPr>
        <w:t xml:space="preserve"> werkzaam waren, is bekeken wat hun werksituatie was</w:t>
      </w:r>
      <w:r>
        <w:rPr>
          <w:rFonts w:cs="Tahoma"/>
          <w:szCs w:val="18"/>
        </w:rPr>
        <w:t xml:space="preserve"> twee (in 2020) en vijf jaar eerder (in 2017)</w:t>
      </w:r>
      <w:r w:rsidRPr="00A45539">
        <w:rPr>
          <w:rFonts w:cs="Tahoma"/>
          <w:szCs w:val="18"/>
        </w:rPr>
        <w:t xml:space="preserve">. </w:t>
      </w:r>
      <w:r>
        <w:rPr>
          <w:rFonts w:cs="Tahoma"/>
          <w:szCs w:val="18"/>
        </w:rPr>
        <w:t xml:space="preserve">Datzelfde is gedaan voor alle eerdere cohorten vmbo-docenten vanaf het cohort 2017/18. </w:t>
      </w:r>
      <w:r w:rsidRPr="00A45539">
        <w:rPr>
          <w:rFonts w:cs="Tahoma"/>
          <w:szCs w:val="18"/>
        </w:rPr>
        <w:t>Daarbij is onderscheid gemaakt tussen</w:t>
      </w:r>
      <w:r>
        <w:rPr>
          <w:rFonts w:cs="Tahoma"/>
          <w:szCs w:val="18"/>
        </w:rPr>
        <w:t>:</w:t>
      </w:r>
      <w:r w:rsidRPr="00A45539">
        <w:rPr>
          <w:rFonts w:cs="Tahoma"/>
          <w:szCs w:val="18"/>
        </w:rPr>
        <w:t xml:space="preserve"> studerend, werkzaam in het onderwijs en werkzaam in een andere sector. Werkzaam in een andere sector is uitgesplitst naar verschillende sectoren</w:t>
      </w:r>
      <w:r w:rsidRPr="00A45539">
        <w:rPr>
          <w:rStyle w:val="Voetnootmarkering"/>
          <w:rFonts w:cs="Tahoma"/>
          <w:szCs w:val="18"/>
        </w:rPr>
        <w:footnoteReference w:id="26"/>
      </w:r>
      <w:r w:rsidRPr="00A45539">
        <w:rPr>
          <w:rFonts w:cs="Tahoma"/>
          <w:szCs w:val="18"/>
        </w:rPr>
        <w:t>:</w:t>
      </w:r>
    </w:p>
    <w:p w:rsidRPr="00A45539" w:rsidR="00C43FA5" w:rsidP="00426692" w:rsidRDefault="00C43FA5" w14:paraId="228B32D6" w14:textId="77777777">
      <w:pPr>
        <w:pStyle w:val="Lijstalinea"/>
        <w:numPr>
          <w:ilvl w:val="0"/>
          <w:numId w:val="22"/>
        </w:numPr>
        <w:tabs>
          <w:tab w:val="left" w:pos="357"/>
          <w:tab w:val="left" w:pos="714"/>
        </w:tabs>
        <w:ind w:left="284" w:hanging="284"/>
        <w:jc w:val="both"/>
        <w:rPr>
          <w:rFonts w:cs="Tahoma"/>
          <w:szCs w:val="18"/>
        </w:rPr>
      </w:pPr>
      <w:r w:rsidRPr="00A45539">
        <w:rPr>
          <w:rFonts w:cs="Tahoma"/>
          <w:szCs w:val="18"/>
        </w:rPr>
        <w:t>Primaire sector (landbouw, bosbouw en visserij), industrie, energievoorzieningen en de bouw;</w:t>
      </w:r>
    </w:p>
    <w:p w:rsidRPr="00A45539" w:rsidR="00C43FA5" w:rsidP="00426692" w:rsidRDefault="00C43FA5" w14:paraId="512A0120" w14:textId="77777777">
      <w:pPr>
        <w:pStyle w:val="Lijstalinea"/>
        <w:numPr>
          <w:ilvl w:val="0"/>
          <w:numId w:val="22"/>
        </w:numPr>
        <w:tabs>
          <w:tab w:val="left" w:pos="357"/>
          <w:tab w:val="left" w:pos="714"/>
        </w:tabs>
        <w:ind w:left="284" w:hanging="284"/>
        <w:jc w:val="both"/>
        <w:rPr>
          <w:rFonts w:cs="Tahoma"/>
          <w:szCs w:val="18"/>
        </w:rPr>
      </w:pPr>
      <w:r w:rsidRPr="00A45539">
        <w:rPr>
          <w:rFonts w:cs="Tahoma"/>
          <w:szCs w:val="18"/>
        </w:rPr>
        <w:t>Winkel (groot- en detailhandel) en horeca;</w:t>
      </w:r>
    </w:p>
    <w:p w:rsidRPr="00A45539" w:rsidR="00C43FA5" w:rsidP="00426692" w:rsidRDefault="00C43FA5" w14:paraId="537A0A1B" w14:textId="77777777">
      <w:pPr>
        <w:pStyle w:val="Lijstalinea"/>
        <w:numPr>
          <w:ilvl w:val="0"/>
          <w:numId w:val="22"/>
        </w:numPr>
        <w:tabs>
          <w:tab w:val="left" w:pos="357"/>
          <w:tab w:val="left" w:pos="714"/>
        </w:tabs>
        <w:ind w:left="284" w:hanging="284"/>
        <w:jc w:val="both"/>
        <w:rPr>
          <w:rFonts w:cs="Tahoma"/>
          <w:szCs w:val="18"/>
        </w:rPr>
      </w:pPr>
      <w:r w:rsidRPr="00A45539">
        <w:rPr>
          <w:rFonts w:cs="Tahoma"/>
          <w:szCs w:val="18"/>
        </w:rPr>
        <w:t>Zakelijke dienstverlening en informatie;</w:t>
      </w:r>
    </w:p>
    <w:p w:rsidRPr="00A45539" w:rsidR="00C43FA5" w:rsidP="00426692" w:rsidRDefault="00C43FA5" w14:paraId="0BE293B7" w14:textId="77777777">
      <w:pPr>
        <w:pStyle w:val="Lijstalinea"/>
        <w:numPr>
          <w:ilvl w:val="0"/>
          <w:numId w:val="22"/>
        </w:numPr>
        <w:tabs>
          <w:tab w:val="left" w:pos="357"/>
          <w:tab w:val="left" w:pos="714"/>
        </w:tabs>
        <w:ind w:left="284" w:hanging="284"/>
        <w:jc w:val="both"/>
        <w:rPr>
          <w:rFonts w:cs="Tahoma"/>
          <w:szCs w:val="18"/>
        </w:rPr>
      </w:pPr>
      <w:r w:rsidRPr="00A45539">
        <w:rPr>
          <w:rFonts w:cs="Tahoma"/>
          <w:szCs w:val="18"/>
        </w:rPr>
        <w:t>Overheid en zorg;</w:t>
      </w:r>
    </w:p>
    <w:p w:rsidRPr="00310D79" w:rsidR="00C43FA5" w:rsidP="00426692" w:rsidRDefault="00C43FA5" w14:paraId="0E498829" w14:textId="77777777">
      <w:pPr>
        <w:pStyle w:val="Lijstalinea"/>
        <w:numPr>
          <w:ilvl w:val="0"/>
          <w:numId w:val="22"/>
        </w:numPr>
        <w:tabs>
          <w:tab w:val="left" w:pos="357"/>
          <w:tab w:val="left" w:pos="714"/>
        </w:tabs>
        <w:ind w:left="284" w:hanging="284"/>
        <w:jc w:val="both"/>
        <w:rPr>
          <w:rFonts w:cs="Tahoma"/>
          <w:szCs w:val="18"/>
        </w:rPr>
      </w:pPr>
      <w:r w:rsidRPr="00310D79">
        <w:rPr>
          <w:rFonts w:cs="Tahoma"/>
          <w:szCs w:val="18"/>
        </w:rPr>
        <w:t>Overig en onbekend.</w:t>
      </w:r>
    </w:p>
    <w:p w:rsidRPr="00310D79" w:rsidR="00C43FA5" w:rsidP="00C43FA5" w:rsidRDefault="00C43FA5" w14:paraId="35F9349C" w14:textId="77777777">
      <w:pPr>
        <w:jc w:val="both"/>
        <w:rPr>
          <w:rFonts w:cs="Tahoma"/>
          <w:szCs w:val="18"/>
        </w:rPr>
      </w:pPr>
    </w:p>
    <w:p w:rsidR="00C43FA5" w:rsidP="00C43FA5" w:rsidRDefault="00C43FA5" w14:paraId="3464027D" w14:textId="619EFC77">
      <w:pPr>
        <w:jc w:val="both"/>
        <w:rPr>
          <w:rFonts w:cs="Tahoma"/>
          <w:szCs w:val="18"/>
        </w:rPr>
      </w:pPr>
      <w:r w:rsidRPr="00310D79">
        <w:rPr>
          <w:rFonts w:cs="Tahoma"/>
          <w:szCs w:val="18"/>
        </w:rPr>
        <w:t xml:space="preserve">Figuur </w:t>
      </w:r>
      <w:r w:rsidR="00556586">
        <w:rPr>
          <w:rFonts w:cs="Tahoma"/>
          <w:szCs w:val="18"/>
        </w:rPr>
        <w:t>B</w:t>
      </w:r>
      <w:r w:rsidR="0088695F">
        <w:rPr>
          <w:rFonts w:cs="Tahoma"/>
          <w:szCs w:val="18"/>
        </w:rPr>
        <w:t>4</w:t>
      </w:r>
      <w:r w:rsidRPr="00310D79">
        <w:rPr>
          <w:rFonts w:cs="Tahoma"/>
          <w:szCs w:val="18"/>
        </w:rPr>
        <w:t>.</w:t>
      </w:r>
      <w:r w:rsidR="00D570F5">
        <w:rPr>
          <w:rFonts w:cs="Tahoma"/>
          <w:szCs w:val="18"/>
        </w:rPr>
        <w:t>9</w:t>
      </w:r>
      <w:r w:rsidRPr="00310D79" w:rsidR="00D570F5">
        <w:rPr>
          <w:rFonts w:cs="Tahoma"/>
          <w:szCs w:val="18"/>
        </w:rPr>
        <w:t xml:space="preserve"> </w:t>
      </w:r>
      <w:r w:rsidRPr="00310D79">
        <w:rPr>
          <w:rFonts w:cs="Tahoma"/>
          <w:szCs w:val="18"/>
        </w:rPr>
        <w:t>laat zien d</w:t>
      </w:r>
      <w:r>
        <w:rPr>
          <w:rFonts w:cs="Tahoma"/>
          <w:szCs w:val="18"/>
        </w:rPr>
        <w:t>at 11 procent van de lesgevenden in de technische profielen in 2022/23 twee jaar</w:t>
      </w:r>
      <w:r w:rsidR="000424D4">
        <w:rPr>
          <w:rFonts w:cs="Tahoma"/>
          <w:szCs w:val="18"/>
        </w:rPr>
        <w:t xml:space="preserve"> </w:t>
      </w:r>
      <w:r>
        <w:rPr>
          <w:rFonts w:cs="Tahoma"/>
          <w:szCs w:val="18"/>
        </w:rPr>
        <w:t>daarvoor</w:t>
      </w:r>
      <w:r w:rsidR="000424D4">
        <w:rPr>
          <w:rFonts w:cs="Tahoma"/>
          <w:szCs w:val="18"/>
        </w:rPr>
        <w:t xml:space="preserve"> </w:t>
      </w:r>
      <w:r w:rsidRPr="00310D79">
        <w:rPr>
          <w:rFonts w:cs="Tahoma"/>
          <w:szCs w:val="18"/>
        </w:rPr>
        <w:t>werkzaam was in een andere sector dan het onderwijs. De grootste groep was werkzaam in de sectoren primair, industrie, energievoorzieningen en bouw</w:t>
      </w:r>
      <w:r>
        <w:rPr>
          <w:rFonts w:cs="Tahoma"/>
          <w:szCs w:val="18"/>
        </w:rPr>
        <w:t xml:space="preserve"> (28 procent)</w:t>
      </w:r>
      <w:r w:rsidRPr="00310D79">
        <w:rPr>
          <w:rFonts w:cs="Tahoma"/>
          <w:szCs w:val="18"/>
        </w:rPr>
        <w:t xml:space="preserve">. </w:t>
      </w:r>
      <w:r>
        <w:rPr>
          <w:rFonts w:cs="Tahoma"/>
          <w:szCs w:val="18"/>
        </w:rPr>
        <w:t>Verder</w:t>
      </w:r>
      <w:r w:rsidRPr="00310D79">
        <w:rPr>
          <w:rFonts w:cs="Tahoma"/>
          <w:szCs w:val="18"/>
        </w:rPr>
        <w:t xml:space="preserve"> was </w:t>
      </w:r>
      <w:r>
        <w:rPr>
          <w:rFonts w:cs="Tahoma"/>
          <w:szCs w:val="18"/>
        </w:rPr>
        <w:t xml:space="preserve">14 procent twee jaar ervoor </w:t>
      </w:r>
      <w:r w:rsidRPr="00310D79">
        <w:rPr>
          <w:rFonts w:cs="Tahoma"/>
          <w:szCs w:val="18"/>
        </w:rPr>
        <w:t xml:space="preserve">nog aan het studeren. </w:t>
      </w:r>
      <w:r>
        <w:rPr>
          <w:rFonts w:cs="Tahoma"/>
          <w:szCs w:val="18"/>
        </w:rPr>
        <w:t xml:space="preserve">Vijf jaar ervoor – in 2017 – was 23 procent van de lesgevenden in de technische profielen buiten het onderwijs werkzaam, en studeerde 16 procent nog. </w:t>
      </w:r>
    </w:p>
    <w:p w:rsidR="00C43FA5" w:rsidP="00C43FA5" w:rsidRDefault="00C43FA5" w14:paraId="7BC049A0" w14:textId="77777777">
      <w:pPr>
        <w:jc w:val="both"/>
        <w:rPr>
          <w:rFonts w:cs="Tahoma"/>
          <w:szCs w:val="18"/>
        </w:rPr>
      </w:pPr>
    </w:p>
    <w:p w:rsidRPr="00310D79" w:rsidR="00C43FA5" w:rsidP="00C43FA5" w:rsidRDefault="00C43FA5" w14:paraId="1AD585A0" w14:textId="77777777">
      <w:pPr>
        <w:jc w:val="both"/>
        <w:rPr>
          <w:rFonts w:cs="Tahoma"/>
          <w:szCs w:val="18"/>
        </w:rPr>
      </w:pPr>
      <w:r>
        <w:rPr>
          <w:rFonts w:cs="Tahoma"/>
          <w:szCs w:val="18"/>
        </w:rPr>
        <w:t>Wat opvalt is dat het aandeel techniekdocenten dat enkele jaren eerder nog buiten het onderwijs werkzaam was, is gestegen</w:t>
      </w:r>
      <w:r w:rsidRPr="00310D79">
        <w:rPr>
          <w:rFonts w:cs="Tahoma"/>
          <w:szCs w:val="18"/>
        </w:rPr>
        <w:t>.</w:t>
      </w:r>
      <w:r>
        <w:rPr>
          <w:rFonts w:cs="Tahoma"/>
          <w:szCs w:val="18"/>
        </w:rPr>
        <w:t xml:space="preserve"> Zo geldt voor het eerste cohort techniekdocenten binnen STO (het cohort 2017/18) dat 11 procent van hen vijf jaar eerder (in 2012) nog buiten het onderwijs werkzaam was, tegenover zoals gezegd 23 procent in het cohort 2022/23. </w:t>
      </w:r>
    </w:p>
    <w:p w:rsidRPr="00310D79" w:rsidR="00C43FA5" w:rsidP="00C43FA5" w:rsidRDefault="00C43FA5" w14:paraId="0C740067" w14:textId="77777777">
      <w:pPr>
        <w:jc w:val="both"/>
        <w:rPr>
          <w:rFonts w:cs="Tahoma"/>
          <w:szCs w:val="18"/>
        </w:rPr>
      </w:pPr>
    </w:p>
    <w:p w:rsidRPr="00A45539" w:rsidR="00C43FA5" w:rsidP="00C43FA5" w:rsidRDefault="00C43FA5" w14:paraId="59402883" w14:textId="0D203270">
      <w:pPr>
        <w:jc w:val="both"/>
        <w:rPr>
          <w:rFonts w:cs="Tahoma"/>
          <w:szCs w:val="18"/>
        </w:rPr>
      </w:pPr>
      <w:r w:rsidRPr="00310D79">
        <w:rPr>
          <w:rFonts w:cs="Tahoma"/>
          <w:szCs w:val="18"/>
        </w:rPr>
        <w:t xml:space="preserve">Bij </w:t>
      </w:r>
      <w:r>
        <w:rPr>
          <w:rFonts w:cs="Tahoma"/>
          <w:szCs w:val="18"/>
        </w:rPr>
        <w:t xml:space="preserve">de </w:t>
      </w:r>
      <w:r w:rsidRPr="00310D79">
        <w:rPr>
          <w:rFonts w:cs="Tahoma"/>
          <w:szCs w:val="18"/>
        </w:rPr>
        <w:t xml:space="preserve">niet-technische profielen </w:t>
      </w:r>
      <w:r>
        <w:rPr>
          <w:rFonts w:cs="Tahoma"/>
          <w:szCs w:val="18"/>
        </w:rPr>
        <w:t xml:space="preserve">geldt voor de huidige cohorten lesgevenden in veel minder mate dat zij in eerdere jaren een baan buiten het onderwijs hadden (zie figuren in </w:t>
      </w:r>
      <w:r w:rsidR="000424D4">
        <w:rPr>
          <w:rFonts w:cs="Tahoma"/>
          <w:szCs w:val="18"/>
        </w:rPr>
        <w:t>Appendix bij Bijlage 4</w:t>
      </w:r>
      <w:r>
        <w:rPr>
          <w:rFonts w:cs="Tahoma"/>
          <w:szCs w:val="18"/>
        </w:rPr>
        <w:t xml:space="preserve">). Voor het cohort 2022/23 zien we dat twee jaar ervoor (in 2020) 8 procent en vijf jaar ervoor 14 procent van hen een baan buiten het onderwijs had, </w:t>
      </w:r>
      <w:r>
        <w:rPr>
          <w:rFonts w:cs="Tahoma"/>
          <w:szCs w:val="18"/>
        </w:rPr>
        <w:lastRenderedPageBreak/>
        <w:t xml:space="preserve">tegenover 11 en 23 procent bij de technische profielen. Ook is de stijging van dit aandeel voor recentere cohorten minder sterk dan bij de technische profielen (maar is het wel stijgend). </w:t>
      </w:r>
    </w:p>
    <w:p w:rsidRPr="00A45539" w:rsidR="00C43FA5" w:rsidP="00C43FA5" w:rsidRDefault="00C43FA5" w14:paraId="0D5F132B" w14:textId="77777777">
      <w:pPr>
        <w:jc w:val="both"/>
        <w:rPr>
          <w:rFonts w:cs="Tahoma"/>
          <w:szCs w:val="18"/>
        </w:rPr>
      </w:pPr>
    </w:p>
    <w:p w:rsidRPr="00A45539" w:rsidR="00C43FA5" w:rsidP="00C43FA5" w:rsidRDefault="00C43FA5" w14:paraId="136F097A" w14:textId="385C542B">
      <w:pPr>
        <w:pStyle w:val="Bijschrift"/>
        <w:rPr>
          <w:noProof/>
        </w:rPr>
      </w:pPr>
      <w:r w:rsidRPr="00A45539">
        <w:t xml:space="preserve">Figuur </w:t>
      </w:r>
      <w:r w:rsidR="000424D4">
        <w:t>B4</w:t>
      </w:r>
      <w:r w:rsidRPr="00A45539">
        <w:t>.</w:t>
      </w:r>
      <w:r w:rsidR="00D570F5">
        <w:t>9</w:t>
      </w:r>
      <w:r w:rsidRPr="00A45539">
        <w:t xml:space="preserve">a </w:t>
      </w:r>
      <w:r>
        <w:tab/>
        <w:t>Werksituatie van verschillende cohorten lesgevenden in technische profielvakken</w:t>
      </w:r>
      <w:r w:rsidRPr="00A45539" w:rsidDel="007A3440">
        <w:t xml:space="preserve"> </w:t>
      </w:r>
    </w:p>
    <w:p w:rsidR="00C43FA5" w:rsidP="7C716BD1" w:rsidRDefault="00C43FA5" w14:paraId="25CB5148" w14:textId="77777777">
      <w:pPr>
        <w:rPr>
          <w:noProof/>
        </w:rPr>
      </w:pPr>
      <w:r>
        <w:rPr>
          <w:noProof/>
          <w14:ligatures w14:val="standardContextual"/>
        </w:rPr>
        <w:drawing>
          <wp:inline distT="0" distB="0" distL="0" distR="0" wp14:anchorId="5B6EA977" wp14:editId="3F68211B">
            <wp:extent cx="5758095" cy="3322320"/>
            <wp:effectExtent l="0" t="0" r="14605" b="11430"/>
            <wp:docPr id="610039035" name="Grafiek 1">
              <a:extLst xmlns:a="http://schemas.openxmlformats.org/drawingml/2006/main">
                <a:ext uri="{FF2B5EF4-FFF2-40B4-BE49-F238E27FC236}">
                  <a16:creationId xmlns:a16="http://schemas.microsoft.com/office/drawing/2014/main" id="{47DEC3D0-4150-440B-B915-B8F5936A8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Pr="00A45539" w:rsidR="00C43FA5" w:rsidP="00C43FA5" w:rsidRDefault="00C43FA5" w14:paraId="03FA0755" w14:textId="77777777">
      <w:pPr>
        <w:rPr>
          <w:noProof/>
          <w:szCs w:val="18"/>
        </w:rPr>
      </w:pPr>
    </w:p>
    <w:p w:rsidRPr="00A45539" w:rsidR="00C43FA5" w:rsidP="00C43FA5" w:rsidRDefault="00C43FA5" w14:paraId="29F808FE" w14:textId="653D6E1B">
      <w:pPr>
        <w:pStyle w:val="Bijschrift"/>
        <w:rPr>
          <w:noProof/>
        </w:rPr>
      </w:pPr>
      <w:r w:rsidRPr="00A45539">
        <w:t xml:space="preserve">Figuur </w:t>
      </w:r>
      <w:r w:rsidR="000424D4">
        <w:t>B4</w:t>
      </w:r>
      <w:r w:rsidRPr="00A45539">
        <w:t>.</w:t>
      </w:r>
      <w:r w:rsidR="00D570F5">
        <w:t>9</w:t>
      </w:r>
      <w:r w:rsidRPr="00A45539">
        <w:t xml:space="preserve">b </w:t>
      </w:r>
      <w:r>
        <w:tab/>
        <w:t>Sector buiten onderwijs van verschillende cohorten lesgevenden in technische profielvakken</w:t>
      </w:r>
    </w:p>
    <w:p w:rsidRPr="00A45539" w:rsidR="00C43FA5" w:rsidP="7C716BD1" w:rsidRDefault="00C43FA5" w14:paraId="2B7DCC32" w14:textId="77777777">
      <w:pPr>
        <w:rPr>
          <w:noProof/>
        </w:rPr>
      </w:pPr>
      <w:r>
        <w:rPr>
          <w:noProof/>
          <w14:ligatures w14:val="standardContextual"/>
        </w:rPr>
        <w:drawing>
          <wp:inline distT="0" distB="0" distL="0" distR="0" wp14:anchorId="18CAF1B6" wp14:editId="3CA791FC">
            <wp:extent cx="5756190" cy="3322320"/>
            <wp:effectExtent l="0" t="0" r="16510" b="11430"/>
            <wp:docPr id="228749580" name="Grafiek 1">
              <a:extLst xmlns:a="http://schemas.openxmlformats.org/drawingml/2006/main">
                <a:ext uri="{FF2B5EF4-FFF2-40B4-BE49-F238E27FC236}">
                  <a16:creationId xmlns:a16="http://schemas.microsoft.com/office/drawing/2014/main" id="{51A76A1D-E7C3-4805-B8B7-B34FBEB036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C43FA5" w:rsidP="00C43FA5" w:rsidRDefault="00C43FA5" w14:paraId="140F5E6D" w14:textId="77777777">
      <w:pPr>
        <w:pStyle w:val="Bron"/>
        <w:rPr>
          <w:rFonts w:cs="Tahoma"/>
        </w:rPr>
      </w:pPr>
      <w:r w:rsidRPr="0065314C">
        <w:rPr>
          <w:rFonts w:cs="Tahoma"/>
        </w:rPr>
        <w:t>Bron:</w:t>
      </w:r>
      <w:r w:rsidRPr="0065314C">
        <w:rPr>
          <w:rFonts w:cs="Tahoma"/>
        </w:rPr>
        <w:tab/>
        <w:t>DUO/IPTO, bewerking SEO (202</w:t>
      </w:r>
      <w:r>
        <w:rPr>
          <w:rFonts w:cs="Tahoma"/>
        </w:rPr>
        <w:t>5</w:t>
      </w:r>
      <w:r w:rsidRPr="0065314C">
        <w:rPr>
          <w:rFonts w:cs="Tahoma"/>
        </w:rPr>
        <w:t>).</w:t>
      </w:r>
    </w:p>
    <w:p w:rsidRPr="00A45539" w:rsidR="00C43FA5" w:rsidP="00C43FA5" w:rsidRDefault="00C43FA5" w14:paraId="2CA64148" w14:textId="77777777">
      <w:pPr>
        <w:jc w:val="both"/>
        <w:rPr>
          <w:rFonts w:cs="Tahoma"/>
          <w:szCs w:val="18"/>
        </w:rPr>
      </w:pPr>
      <w:r w:rsidRPr="00A45539">
        <w:rPr>
          <w:rFonts w:cs="Tahoma"/>
          <w:szCs w:val="18"/>
        </w:rPr>
        <w:lastRenderedPageBreak/>
        <w:t xml:space="preserve">Daarnaast is gekeken of de </w:t>
      </w:r>
      <w:r>
        <w:rPr>
          <w:rFonts w:cs="Tahoma"/>
          <w:szCs w:val="18"/>
        </w:rPr>
        <w:t>lesgevenden</w:t>
      </w:r>
      <w:r w:rsidRPr="00A45539">
        <w:rPr>
          <w:rFonts w:cs="Tahoma"/>
          <w:szCs w:val="18"/>
        </w:rPr>
        <w:t xml:space="preserve"> van 202</w:t>
      </w:r>
      <w:r>
        <w:rPr>
          <w:rFonts w:cs="Tahoma"/>
          <w:szCs w:val="18"/>
        </w:rPr>
        <w:t>2</w:t>
      </w:r>
      <w:r w:rsidRPr="00A45539">
        <w:rPr>
          <w:rFonts w:cs="Tahoma"/>
          <w:szCs w:val="18"/>
        </w:rPr>
        <w:t>/2</w:t>
      </w:r>
      <w:r>
        <w:rPr>
          <w:rFonts w:cs="Tahoma"/>
          <w:szCs w:val="18"/>
        </w:rPr>
        <w:t>3</w:t>
      </w:r>
      <w:r w:rsidRPr="00A45539">
        <w:rPr>
          <w:rFonts w:cs="Tahoma"/>
          <w:szCs w:val="18"/>
        </w:rPr>
        <w:t xml:space="preserve"> hun hoofdbaan buiten het onderwijs hadden (niet </w:t>
      </w:r>
      <w:r w:rsidRPr="002A4B5D">
        <w:rPr>
          <w:rFonts w:cs="Tahoma"/>
          <w:szCs w:val="18"/>
        </w:rPr>
        <w:t xml:space="preserve">weergegeven). Dat was voor techniekdocenten in </w:t>
      </w:r>
      <w:r>
        <w:rPr>
          <w:rFonts w:cs="Tahoma"/>
          <w:szCs w:val="18"/>
        </w:rPr>
        <w:t>8</w:t>
      </w:r>
      <w:r w:rsidRPr="002A4B5D">
        <w:rPr>
          <w:rFonts w:cs="Tahoma"/>
          <w:szCs w:val="18"/>
        </w:rPr>
        <w:t xml:space="preserve"> procent en voor niet-techniekdocenten in </w:t>
      </w:r>
      <w:r>
        <w:rPr>
          <w:rFonts w:cs="Tahoma"/>
          <w:szCs w:val="18"/>
        </w:rPr>
        <w:t>11</w:t>
      </w:r>
      <w:r w:rsidRPr="002A4B5D">
        <w:rPr>
          <w:rFonts w:cs="Tahoma"/>
          <w:szCs w:val="18"/>
        </w:rPr>
        <w:t xml:space="preserve"> procent het geval. In vergelijking</w:t>
      </w:r>
      <w:r w:rsidRPr="00A45539">
        <w:rPr>
          <w:rFonts w:cs="Tahoma"/>
          <w:szCs w:val="18"/>
        </w:rPr>
        <w:t xml:space="preserve"> met schooljaar 2017/18 zien we een sterke ontwikkeling. Toen had namelijk </w:t>
      </w:r>
      <w:r>
        <w:rPr>
          <w:rFonts w:cs="Tahoma"/>
          <w:szCs w:val="18"/>
        </w:rPr>
        <w:t>2</w:t>
      </w:r>
      <w:r w:rsidRPr="00A45539">
        <w:rPr>
          <w:rFonts w:cs="Tahoma"/>
          <w:szCs w:val="18"/>
        </w:rPr>
        <w:t xml:space="preserve"> procent van de techniekdocenten een hoofdbaan buiten het onderwijs, tegenover 3 procent van de niet-techniekdocenten. Het aandeel met een hoofdbaan buiten het onderwijs is dus onder zowel techniekdocenten als niet-techniekdocenten gestegen.</w:t>
      </w:r>
    </w:p>
    <w:p w:rsidRPr="008F4490" w:rsidR="00C43FA5" w:rsidP="00C43FA5" w:rsidRDefault="00C43FA5" w14:paraId="01233E27" w14:textId="77777777"/>
    <w:p w:rsidR="00C43FA5" w:rsidP="00C43FA5" w:rsidRDefault="00C43FA5" w14:paraId="40140D39" w14:textId="77777777">
      <w:pPr>
        <w:pStyle w:val="Kop2"/>
        <w:rPr>
          <w:szCs w:val="18"/>
        </w:rPr>
      </w:pPr>
      <w:bookmarkStart w:name="_Toc158042082" w:id="218"/>
      <w:bookmarkStart w:name="_Toc203573651" w:id="219"/>
      <w:r w:rsidRPr="00A45539">
        <w:rPr>
          <w:szCs w:val="18"/>
        </w:rPr>
        <w:t>Toekomstige techniekdocenten</w:t>
      </w:r>
      <w:bookmarkEnd w:id="218"/>
      <w:bookmarkEnd w:id="219"/>
    </w:p>
    <w:p w:rsidR="00C43FA5" w:rsidP="00C43FA5" w:rsidRDefault="00C43FA5" w14:paraId="5C4C203E" w14:textId="77777777">
      <w:pPr>
        <w:jc w:val="both"/>
        <w:rPr>
          <w:rFonts w:cs="Tahoma"/>
          <w:szCs w:val="18"/>
        </w:rPr>
      </w:pPr>
    </w:p>
    <w:p w:rsidR="00C43FA5" w:rsidP="00C43FA5" w:rsidRDefault="00C43FA5" w14:paraId="6F7DDC56" w14:textId="00B5EDEF">
      <w:pPr>
        <w:jc w:val="both"/>
        <w:rPr>
          <w:rFonts w:cs="Tahoma"/>
          <w:szCs w:val="18"/>
        </w:rPr>
      </w:pPr>
      <w:r>
        <w:rPr>
          <w:rFonts w:cs="Tahoma"/>
          <w:szCs w:val="18"/>
        </w:rPr>
        <w:t xml:space="preserve">In vorige rapporten is vastgesteld dat techniekdocenten een verscheidenheid aan opleidingen hebben gevolgd, voordat ze techniekdocent zijn geworden. De meest voorkomende opleidingen zijn de volgende zes: </w:t>
      </w:r>
      <w:r w:rsidRPr="00A45539">
        <w:rPr>
          <w:rFonts w:cs="Tahoma"/>
          <w:szCs w:val="18"/>
        </w:rPr>
        <w:t>leraar tweedegraads techniek, leraar tweedegraads bouwtechniek, leraar tweedegraads motorvoertuigentechniek, leraar tweedegraads elektrotechniek</w:t>
      </w:r>
      <w:r>
        <w:rPr>
          <w:rFonts w:cs="Tahoma"/>
          <w:szCs w:val="18"/>
        </w:rPr>
        <w:t xml:space="preserve">, </w:t>
      </w:r>
      <w:r w:rsidRPr="00A45539">
        <w:rPr>
          <w:rFonts w:cs="Tahoma"/>
          <w:szCs w:val="18"/>
        </w:rPr>
        <w:t>leraar tweedegraads technisch beroepsonderwijs</w:t>
      </w:r>
      <w:r>
        <w:rPr>
          <w:rFonts w:cs="Tahoma"/>
          <w:szCs w:val="18"/>
        </w:rPr>
        <w:t xml:space="preserve"> en</w:t>
      </w:r>
      <w:r w:rsidRPr="00310D79">
        <w:rPr>
          <w:rFonts w:cs="Tahoma"/>
          <w:szCs w:val="18"/>
        </w:rPr>
        <w:t xml:space="preserve"> leraar tweedegraads mens en technologie</w:t>
      </w:r>
      <w:r>
        <w:rPr>
          <w:rFonts w:cs="Tahoma"/>
          <w:szCs w:val="18"/>
        </w:rPr>
        <w:t>). Met de instroom en gediplomeerde uitstroom in deze opleidingen modelleren we de toekomstige instroom van techniekdocenten.</w:t>
      </w:r>
    </w:p>
    <w:p w:rsidR="00C43FA5" w:rsidP="00C43FA5" w:rsidRDefault="00C43FA5" w14:paraId="4A7ACC13" w14:textId="77777777">
      <w:pPr>
        <w:jc w:val="both"/>
        <w:rPr>
          <w:rFonts w:cs="Tahoma"/>
          <w:szCs w:val="18"/>
        </w:rPr>
      </w:pPr>
    </w:p>
    <w:p w:rsidR="00C43FA5" w:rsidP="00C43FA5" w:rsidRDefault="00C43FA5" w14:paraId="63F3C00E" w14:textId="77777777">
      <w:pPr>
        <w:jc w:val="both"/>
        <w:rPr>
          <w:rFonts w:cs="Tahoma"/>
          <w:szCs w:val="18"/>
        </w:rPr>
      </w:pPr>
      <w:r>
        <w:rPr>
          <w:rFonts w:cs="Tahoma"/>
          <w:szCs w:val="18"/>
        </w:rPr>
        <w:t xml:space="preserve">Ongeveer 20 procent van de techniekdocenten in 2022/23 heeft één van deze opleidingen afgerond. Bij oudere cohorten heeft ongeveer eenzelfde percentage één van deze opleidingen afgerond. Dit lage aandeel geeft aan dat techniekdocenten zeer verscheiden zijn wat betreft hun opleidingsachtergrond. 80 procent heeft namelijk een andere opleiding afgerond. Onder de techniekdocenten van cohort 2022/23 die </w:t>
      </w:r>
      <w:r w:rsidRPr="001A10BE">
        <w:rPr>
          <w:rFonts w:cs="Tahoma"/>
          <w:i/>
          <w:iCs/>
          <w:szCs w:val="18"/>
        </w:rPr>
        <w:t>recent</w:t>
      </w:r>
      <w:r>
        <w:rPr>
          <w:rFonts w:cs="Tahoma"/>
          <w:szCs w:val="18"/>
        </w:rPr>
        <w:t xml:space="preserve"> daarvoor hebben gestudeerd</w:t>
      </w:r>
      <w:r>
        <w:rPr>
          <w:rStyle w:val="Voetnootmarkering"/>
          <w:rFonts w:cs="Tahoma"/>
          <w:szCs w:val="18"/>
        </w:rPr>
        <w:footnoteReference w:id="27"/>
      </w:r>
      <w:r>
        <w:rPr>
          <w:rFonts w:cs="Tahoma"/>
          <w:szCs w:val="18"/>
        </w:rPr>
        <w:t xml:space="preserve"> is het aandeel ook 20 procent, maar dat aandeel is ten opzichte van eerdere cohorten gedaald (was 30 procent in 2017/18).</w:t>
      </w:r>
      <w:r w:rsidRPr="00D5401D">
        <w:rPr>
          <w:rFonts w:cs="Tahoma"/>
          <w:szCs w:val="18"/>
        </w:rPr>
        <w:t xml:space="preserve"> </w:t>
      </w:r>
      <w:r>
        <w:rPr>
          <w:rFonts w:cs="Tahoma"/>
          <w:szCs w:val="18"/>
        </w:rPr>
        <w:t>De zes opleidingen waarmee we de toekomstige instroom inschatten, zijn dus iets minder voorspellend geworden voor deze toekomstige instroom en dat maakt het voorspellen van deze instroom moeilijker.</w:t>
      </w:r>
    </w:p>
    <w:p w:rsidR="00C43FA5" w:rsidP="00C43FA5" w:rsidRDefault="00C43FA5" w14:paraId="191BBA0C" w14:textId="77777777">
      <w:pPr>
        <w:jc w:val="both"/>
        <w:rPr>
          <w:rFonts w:cs="Tahoma"/>
          <w:szCs w:val="18"/>
        </w:rPr>
      </w:pPr>
    </w:p>
    <w:p w:rsidR="00C43FA5" w:rsidP="00C43FA5" w:rsidRDefault="00C43FA5" w14:paraId="57BD137B" w14:textId="61BE7D88">
      <w:pPr>
        <w:jc w:val="both"/>
        <w:rPr>
          <w:rFonts w:cs="Tahoma"/>
          <w:szCs w:val="18"/>
        </w:rPr>
      </w:pPr>
      <w:r w:rsidRPr="00310D79">
        <w:rPr>
          <w:rFonts w:cs="Tahoma"/>
          <w:szCs w:val="18"/>
        </w:rPr>
        <w:t xml:space="preserve">Figuur </w:t>
      </w:r>
      <w:r w:rsidR="00A74B9E">
        <w:rPr>
          <w:rFonts w:cs="Tahoma"/>
          <w:szCs w:val="18"/>
        </w:rPr>
        <w:t>B4</w:t>
      </w:r>
      <w:r w:rsidRPr="00310D79">
        <w:rPr>
          <w:rFonts w:cs="Tahoma"/>
          <w:szCs w:val="18"/>
        </w:rPr>
        <w:t>.1</w:t>
      </w:r>
      <w:r w:rsidR="00D570F5">
        <w:rPr>
          <w:rFonts w:cs="Tahoma"/>
          <w:szCs w:val="18"/>
        </w:rPr>
        <w:t>0</w:t>
      </w:r>
      <w:r w:rsidRPr="00310D79">
        <w:rPr>
          <w:rFonts w:cs="Tahoma"/>
          <w:szCs w:val="18"/>
        </w:rPr>
        <w:t xml:space="preserve"> geeft de ontwikkeling weer van de instroom in </w:t>
      </w:r>
      <w:r>
        <w:rPr>
          <w:rFonts w:cs="Tahoma"/>
          <w:szCs w:val="18"/>
        </w:rPr>
        <w:t xml:space="preserve">de </w:t>
      </w:r>
      <w:r w:rsidRPr="00310D79">
        <w:rPr>
          <w:rFonts w:cs="Tahoma"/>
          <w:szCs w:val="18"/>
        </w:rPr>
        <w:t>bachelor</w:t>
      </w:r>
      <w:r>
        <w:rPr>
          <w:rFonts w:cs="Tahoma"/>
          <w:szCs w:val="18"/>
        </w:rPr>
        <w:t xml:space="preserve"> en gediplomeerde uitstroom</w:t>
      </w:r>
      <w:r w:rsidRPr="00310D79">
        <w:rPr>
          <w:rFonts w:cs="Tahoma"/>
          <w:szCs w:val="18"/>
        </w:rPr>
        <w:t xml:space="preserve"> van de</w:t>
      </w:r>
      <w:r>
        <w:rPr>
          <w:rFonts w:cs="Tahoma"/>
          <w:szCs w:val="18"/>
        </w:rPr>
        <w:t>ze</w:t>
      </w:r>
      <w:r w:rsidRPr="00310D79">
        <w:rPr>
          <w:rFonts w:cs="Tahoma"/>
          <w:szCs w:val="18"/>
        </w:rPr>
        <w:t xml:space="preserve"> zes opleidingen. Over de tijd is </w:t>
      </w:r>
      <w:r>
        <w:rPr>
          <w:rFonts w:cs="Tahoma"/>
          <w:szCs w:val="18"/>
        </w:rPr>
        <w:t>geen eenduidig</w:t>
      </w:r>
      <w:r w:rsidRPr="00310D79">
        <w:rPr>
          <w:rFonts w:cs="Tahoma"/>
          <w:szCs w:val="18"/>
        </w:rPr>
        <w:t xml:space="preserve"> patroon zichtbaar</w:t>
      </w:r>
      <w:r>
        <w:rPr>
          <w:rFonts w:cs="Tahoma"/>
          <w:szCs w:val="18"/>
        </w:rPr>
        <w:t xml:space="preserve">, maar de gediplomeerde uitstroom in 2023/24 is op zijn laagste punt in vergelijking met de andere jaren. De gediplomeerde uitstroom in 2021/22 – midden in de coronacrisis – lijkt een negatieve uitschieter te zijn. </w:t>
      </w:r>
      <w:r w:rsidRPr="00310D79">
        <w:rPr>
          <w:rFonts w:cs="Tahoma"/>
          <w:szCs w:val="18"/>
        </w:rPr>
        <w:t>De studenten die instromen in de bachelor zullen pas na enkele jaren hun diploma halen. Met dat diploma kunnen ze vervolgens toetreden tot het lerarencorps in de technische profielen op het vmbo. Door middel van</w:t>
      </w:r>
      <w:r>
        <w:rPr>
          <w:rFonts w:cs="Tahoma"/>
          <w:szCs w:val="18"/>
        </w:rPr>
        <w:t xml:space="preserve"> een</w:t>
      </w:r>
      <w:r w:rsidRPr="00310D79">
        <w:rPr>
          <w:rFonts w:cs="Tahoma"/>
          <w:szCs w:val="18"/>
        </w:rPr>
        <w:t xml:space="preserve"> regressieanalyse kunnen we het aantal gediplomeerden voorspellen op basis van recente gegevens over de instroom in de bachelor.</w:t>
      </w:r>
      <w:r w:rsidRPr="00310D79">
        <w:rPr>
          <w:rStyle w:val="Voetnootmarkering"/>
          <w:rFonts w:cs="Tahoma"/>
          <w:szCs w:val="18"/>
        </w:rPr>
        <w:footnoteReference w:id="28"/>
      </w:r>
      <w:r w:rsidRPr="00310D79">
        <w:rPr>
          <w:rFonts w:cs="Tahoma"/>
          <w:szCs w:val="18"/>
        </w:rPr>
        <w:t xml:space="preserve"> De voorspelling is in de figuur weergegeven als de lichtoranje</w:t>
      </w:r>
      <w:r w:rsidRPr="00A45539">
        <w:rPr>
          <w:rFonts w:cs="Tahoma"/>
          <w:szCs w:val="18"/>
        </w:rPr>
        <w:t xml:space="preserve"> balken. Daaruit blijkt dat het aantal gediplomeerden van de top zes opleidingen ten opzichte 202</w:t>
      </w:r>
      <w:r>
        <w:rPr>
          <w:rFonts w:cs="Tahoma"/>
          <w:szCs w:val="18"/>
        </w:rPr>
        <w:t>2</w:t>
      </w:r>
      <w:r w:rsidRPr="00A45539">
        <w:rPr>
          <w:rFonts w:cs="Tahoma"/>
          <w:szCs w:val="18"/>
        </w:rPr>
        <w:t>/2</w:t>
      </w:r>
      <w:r>
        <w:rPr>
          <w:rFonts w:cs="Tahoma"/>
          <w:szCs w:val="18"/>
        </w:rPr>
        <w:t>3</w:t>
      </w:r>
      <w:r w:rsidRPr="00A45539">
        <w:rPr>
          <w:rFonts w:cs="Tahoma"/>
          <w:szCs w:val="18"/>
        </w:rPr>
        <w:t xml:space="preserve"> </w:t>
      </w:r>
      <w:r>
        <w:rPr>
          <w:rFonts w:cs="Tahoma"/>
          <w:szCs w:val="18"/>
        </w:rPr>
        <w:t>daalt</w:t>
      </w:r>
      <w:r w:rsidRPr="00A45539">
        <w:rPr>
          <w:rFonts w:cs="Tahoma"/>
          <w:szCs w:val="18"/>
        </w:rPr>
        <w:t>.</w:t>
      </w:r>
      <w:r>
        <w:rPr>
          <w:rFonts w:cs="Tahoma"/>
          <w:szCs w:val="18"/>
        </w:rPr>
        <w:t xml:space="preserve"> </w:t>
      </w:r>
      <w:r w:rsidRPr="00A45539">
        <w:rPr>
          <w:rFonts w:cs="Tahoma"/>
          <w:szCs w:val="18"/>
        </w:rPr>
        <w:t xml:space="preserve">We verwachten in de komende jaren dus een lichte daling in het aantal nieuwe techniekdocenten vanuit deze opleidingen. </w:t>
      </w:r>
    </w:p>
    <w:p w:rsidR="00C43FA5" w:rsidP="00C43FA5" w:rsidRDefault="00C43FA5" w14:paraId="0BA14D93" w14:textId="77777777">
      <w:pPr>
        <w:jc w:val="both"/>
        <w:rPr>
          <w:rFonts w:cs="Tahoma"/>
          <w:szCs w:val="18"/>
        </w:rPr>
      </w:pPr>
    </w:p>
    <w:p w:rsidRPr="00310D79" w:rsidR="00C43FA5" w:rsidP="00C43FA5" w:rsidRDefault="00C43FA5" w14:paraId="4629A57E" w14:textId="77777777">
      <w:pPr>
        <w:jc w:val="both"/>
        <w:rPr>
          <w:rFonts w:cs="Tahoma"/>
          <w:szCs w:val="18"/>
        </w:rPr>
      </w:pPr>
      <w:r>
        <w:rPr>
          <w:rFonts w:cs="Tahoma"/>
          <w:szCs w:val="18"/>
        </w:rPr>
        <w:t>We herhalen dat deze</w:t>
      </w:r>
      <w:r w:rsidRPr="00A45539">
        <w:rPr>
          <w:rFonts w:cs="Tahoma"/>
          <w:szCs w:val="18"/>
        </w:rPr>
        <w:t xml:space="preserve"> figuur alleen een indicatie </w:t>
      </w:r>
      <w:r>
        <w:rPr>
          <w:rFonts w:cs="Tahoma"/>
          <w:szCs w:val="18"/>
        </w:rPr>
        <w:t xml:space="preserve">geeft van </w:t>
      </w:r>
      <w:r w:rsidRPr="00A45539">
        <w:rPr>
          <w:rFonts w:cs="Tahoma"/>
          <w:i/>
          <w:iCs/>
          <w:szCs w:val="18"/>
        </w:rPr>
        <w:t>de ontwikkeling in</w:t>
      </w:r>
      <w:r w:rsidRPr="00A45539">
        <w:rPr>
          <w:rFonts w:cs="Tahoma"/>
          <w:szCs w:val="18"/>
        </w:rPr>
        <w:t xml:space="preserve"> het aantal nieuwe vmbo-techniekdocenten en geen beeld </w:t>
      </w:r>
      <w:r>
        <w:rPr>
          <w:rFonts w:cs="Tahoma"/>
          <w:szCs w:val="18"/>
        </w:rPr>
        <w:t xml:space="preserve">geeft </w:t>
      </w:r>
      <w:r w:rsidRPr="00A45539">
        <w:rPr>
          <w:rFonts w:cs="Tahoma"/>
          <w:szCs w:val="18"/>
        </w:rPr>
        <w:t xml:space="preserve">van het daadwerkelijke </w:t>
      </w:r>
      <w:r w:rsidRPr="00A45539">
        <w:rPr>
          <w:rFonts w:cs="Tahoma"/>
          <w:i/>
          <w:iCs/>
          <w:szCs w:val="18"/>
        </w:rPr>
        <w:t>aantal</w:t>
      </w:r>
      <w:r w:rsidRPr="00A45539">
        <w:rPr>
          <w:rFonts w:cs="Tahoma"/>
          <w:szCs w:val="18"/>
        </w:rPr>
        <w:t xml:space="preserve"> nieuwe vmbo-techniekdocenten. Een deel van de vmbo-techniekdocenten is immers afkomstig vanuit andere opleidingen en andersom wordt maar een deel van de </w:t>
      </w:r>
      <w:r>
        <w:rPr>
          <w:rFonts w:cs="Tahoma"/>
          <w:szCs w:val="18"/>
        </w:rPr>
        <w:t xml:space="preserve">studenten </w:t>
      </w:r>
      <w:r w:rsidRPr="00A45539">
        <w:rPr>
          <w:rFonts w:cs="Tahoma"/>
          <w:szCs w:val="18"/>
        </w:rPr>
        <w:t xml:space="preserve">vanuit deze zes opleidingen (meteen) vmbo-techniekdocent. </w:t>
      </w:r>
    </w:p>
    <w:p w:rsidRPr="00310D79" w:rsidR="00C43FA5" w:rsidP="00C43FA5" w:rsidRDefault="00C43FA5" w14:paraId="46BEA93E" w14:textId="77777777">
      <w:pPr>
        <w:jc w:val="both"/>
        <w:rPr>
          <w:rFonts w:cs="Tahoma"/>
          <w:szCs w:val="18"/>
        </w:rPr>
      </w:pPr>
    </w:p>
    <w:p w:rsidRPr="00A45539" w:rsidR="00C43FA5" w:rsidP="00C43FA5" w:rsidRDefault="00C43FA5" w14:paraId="1B6F7A87" w14:textId="0AF17D79">
      <w:pPr>
        <w:pStyle w:val="Bijschrift"/>
      </w:pPr>
      <w:r w:rsidRPr="00A45539">
        <w:t xml:space="preserve">Figuur </w:t>
      </w:r>
      <w:r w:rsidR="00A74B9E">
        <w:t>B4</w:t>
      </w:r>
      <w:r w:rsidRPr="00A45539">
        <w:t>.1</w:t>
      </w:r>
      <w:r w:rsidR="00D570F5">
        <w:t>0</w:t>
      </w:r>
      <w:r w:rsidRPr="00A45539">
        <w:t xml:space="preserve"> </w:t>
      </w:r>
      <w:r>
        <w:tab/>
        <w:t>Aantal instroom en gediplomeerde uitstroom in de zes meest voorkomende opleidingen van lesgevenden in technische profielen</w:t>
      </w:r>
    </w:p>
    <w:p w:rsidRPr="00A45539" w:rsidR="00C43FA5" w:rsidP="00C43FA5" w:rsidRDefault="00C43FA5" w14:paraId="1EBC6011" w14:textId="77777777">
      <w:r>
        <w:rPr>
          <w:noProof/>
          <w14:ligatures w14:val="standardContextual"/>
        </w:rPr>
        <w:lastRenderedPageBreak/>
        <w:drawing>
          <wp:inline distT="0" distB="0" distL="0" distR="0" wp14:anchorId="0398333D" wp14:editId="00F2519A">
            <wp:extent cx="5760720" cy="2668270"/>
            <wp:effectExtent l="0" t="0" r="11430" b="17780"/>
            <wp:docPr id="7326904" name="Grafiek 1">
              <a:extLst xmlns:a="http://schemas.openxmlformats.org/drawingml/2006/main">
                <a:ext uri="{FF2B5EF4-FFF2-40B4-BE49-F238E27FC236}">
                  <a16:creationId xmlns:a16="http://schemas.microsoft.com/office/drawing/2014/main" id="{06228B2A-7626-1B34-04B0-3D4F568109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C43FA5" w:rsidP="00C43FA5" w:rsidRDefault="00C43FA5" w14:paraId="3BBE298B" w14:textId="77777777">
      <w:pPr>
        <w:pStyle w:val="Bron"/>
      </w:pPr>
      <w:r w:rsidRPr="0065314C">
        <w:t>Bron:</w:t>
      </w:r>
      <w:r w:rsidRPr="0065314C">
        <w:tab/>
        <w:t xml:space="preserve">DUO/IPTO en CBS-microdata, bewerking SEO (2023). </w:t>
      </w:r>
    </w:p>
    <w:p w:rsidRPr="0065314C" w:rsidR="00C43FA5" w:rsidP="00C43FA5" w:rsidRDefault="00C43FA5" w14:paraId="094C8A46" w14:textId="77777777"/>
    <w:p w:rsidR="00C43FA5" w:rsidP="00C43FA5" w:rsidRDefault="00C43FA5" w14:paraId="58614B90" w14:textId="77777777">
      <w:pPr>
        <w:pStyle w:val="Kop2"/>
        <w:rPr>
          <w:szCs w:val="18"/>
        </w:rPr>
      </w:pPr>
      <w:bookmarkStart w:name="_Toc158042083" w:id="220"/>
      <w:bookmarkStart w:name="_Toc203573652" w:id="221"/>
      <w:r w:rsidRPr="00A45539">
        <w:rPr>
          <w:szCs w:val="18"/>
        </w:rPr>
        <w:t>Conclusie</w:t>
      </w:r>
      <w:bookmarkEnd w:id="220"/>
      <w:bookmarkEnd w:id="221"/>
    </w:p>
    <w:p w:rsidRPr="0065314C" w:rsidR="00C43FA5" w:rsidP="00C43FA5" w:rsidRDefault="00C43FA5" w14:paraId="279CACA1" w14:textId="77777777">
      <w:pPr>
        <w:rPr>
          <w:lang w:eastAsia="en-US"/>
        </w:rPr>
      </w:pPr>
    </w:p>
    <w:p w:rsidR="00C43FA5" w:rsidP="00C43FA5" w:rsidRDefault="00C43FA5" w14:paraId="409763BF" w14:textId="77777777">
      <w:pPr>
        <w:jc w:val="both"/>
        <w:rPr>
          <w:rFonts w:cs="Tahoma"/>
          <w:szCs w:val="18"/>
        </w:rPr>
      </w:pPr>
      <w:r w:rsidRPr="00BE0842">
        <w:rPr>
          <w:rFonts w:cs="Tahoma"/>
          <w:szCs w:val="18"/>
        </w:rPr>
        <w:t>Het technisch vmbo kampt met een (dreigend) lerarentekort. De STO-middelen worden daarom deels ingezet om</w:t>
      </w:r>
      <w:r w:rsidRPr="00A45539">
        <w:rPr>
          <w:rFonts w:cs="Tahoma"/>
          <w:szCs w:val="18"/>
        </w:rPr>
        <w:t xml:space="preserve"> voldoende techniekdocenten te verkrijgen, zodat blijvend (duurzaam) technisch/technologisch onderwijs mogelijk </w:t>
      </w:r>
      <w:r>
        <w:rPr>
          <w:rFonts w:cs="Tahoma"/>
          <w:szCs w:val="18"/>
        </w:rPr>
        <w:t xml:space="preserve">is. </w:t>
      </w:r>
      <w:r w:rsidRPr="00A45539">
        <w:rPr>
          <w:rFonts w:cs="Tahoma"/>
          <w:szCs w:val="18"/>
        </w:rPr>
        <w:t xml:space="preserve">Ten opzichte van de nulmeting uit schooljaar 2017/18 </w:t>
      </w:r>
      <w:r>
        <w:rPr>
          <w:rFonts w:cs="Tahoma"/>
          <w:szCs w:val="18"/>
        </w:rPr>
        <w:t>waren</w:t>
      </w:r>
      <w:r w:rsidRPr="00A45539">
        <w:rPr>
          <w:rFonts w:cs="Tahoma"/>
          <w:szCs w:val="18"/>
        </w:rPr>
        <w:t xml:space="preserve"> er in schooljaar 2021/22 ongeveer </w:t>
      </w:r>
      <w:r>
        <w:rPr>
          <w:rFonts w:cs="Tahoma"/>
          <w:szCs w:val="18"/>
        </w:rPr>
        <w:t>7</w:t>
      </w:r>
      <w:r w:rsidRPr="00A45539">
        <w:rPr>
          <w:rFonts w:cs="Tahoma"/>
          <w:szCs w:val="18"/>
        </w:rPr>
        <w:t xml:space="preserve"> procent meer </w:t>
      </w:r>
      <w:r>
        <w:rPr>
          <w:rFonts w:cs="Tahoma"/>
          <w:szCs w:val="18"/>
        </w:rPr>
        <w:t>lesgevenden in de technische profielen</w:t>
      </w:r>
      <w:r w:rsidRPr="00A45539">
        <w:rPr>
          <w:rFonts w:cs="Tahoma"/>
          <w:szCs w:val="18"/>
        </w:rPr>
        <w:t xml:space="preserve"> en </w:t>
      </w:r>
      <w:r>
        <w:rPr>
          <w:rFonts w:cs="Tahoma"/>
          <w:szCs w:val="18"/>
        </w:rPr>
        <w:t>14</w:t>
      </w:r>
      <w:r w:rsidRPr="00A45539">
        <w:rPr>
          <w:rFonts w:cs="Tahoma"/>
          <w:szCs w:val="18"/>
        </w:rPr>
        <w:t xml:space="preserve"> procent meer fte. Opvallend is dat in dezelfde periode het aantal </w:t>
      </w:r>
      <w:r>
        <w:rPr>
          <w:rFonts w:cs="Tahoma"/>
          <w:szCs w:val="18"/>
        </w:rPr>
        <w:t>lesgevenden</w:t>
      </w:r>
      <w:r w:rsidRPr="00A45539">
        <w:rPr>
          <w:rFonts w:cs="Tahoma"/>
          <w:szCs w:val="18"/>
        </w:rPr>
        <w:t xml:space="preserve"> in niet-technische profielen is gedaald</w:t>
      </w:r>
      <w:r>
        <w:rPr>
          <w:rFonts w:cs="Tahoma"/>
          <w:szCs w:val="18"/>
        </w:rPr>
        <w:t xml:space="preserve"> (met 11 procent), met name in Z&amp;W (meer dan 30 procent)</w:t>
      </w:r>
      <w:r w:rsidRPr="00A45539">
        <w:rPr>
          <w:rFonts w:cs="Tahoma"/>
          <w:szCs w:val="18"/>
        </w:rPr>
        <w:t xml:space="preserve">. De technische profielen hebben </w:t>
      </w:r>
      <w:r>
        <w:rPr>
          <w:rFonts w:cs="Tahoma"/>
          <w:szCs w:val="18"/>
        </w:rPr>
        <w:t xml:space="preserve">in die periode </w:t>
      </w:r>
      <w:r w:rsidRPr="00A45539">
        <w:rPr>
          <w:rFonts w:cs="Tahoma"/>
          <w:szCs w:val="18"/>
        </w:rPr>
        <w:t>dus meer</w:t>
      </w:r>
      <w:r>
        <w:rPr>
          <w:rFonts w:cs="Tahoma"/>
          <w:szCs w:val="18"/>
        </w:rPr>
        <w:t xml:space="preserve"> lesgevenden</w:t>
      </w:r>
      <w:r w:rsidRPr="00A45539">
        <w:rPr>
          <w:rFonts w:cs="Tahoma"/>
          <w:szCs w:val="18"/>
        </w:rPr>
        <w:t xml:space="preserve"> aan weten te trekken, waar de rest van het beroepsgericht vmbo dat niet is gelukt.</w:t>
      </w:r>
      <w:r>
        <w:rPr>
          <w:rFonts w:cs="Tahoma"/>
          <w:szCs w:val="18"/>
        </w:rPr>
        <w:t xml:space="preserve"> </w:t>
      </w:r>
    </w:p>
    <w:p w:rsidR="00C43FA5" w:rsidP="00C43FA5" w:rsidRDefault="00C43FA5" w14:paraId="0ADA6644" w14:textId="77777777">
      <w:pPr>
        <w:jc w:val="both"/>
        <w:rPr>
          <w:rFonts w:cs="Tahoma"/>
          <w:szCs w:val="18"/>
        </w:rPr>
      </w:pPr>
    </w:p>
    <w:p w:rsidR="00C43FA5" w:rsidP="00C43FA5" w:rsidRDefault="00C43FA5" w14:paraId="7791E3F0" w14:textId="77777777">
      <w:pPr>
        <w:jc w:val="both"/>
        <w:rPr>
          <w:rFonts w:cs="Tahoma"/>
          <w:szCs w:val="18"/>
        </w:rPr>
      </w:pPr>
      <w:r>
        <w:rPr>
          <w:rFonts w:cs="Tahoma"/>
          <w:szCs w:val="18"/>
        </w:rPr>
        <w:t>De stijging van het aantal techniekdocenten gaat gepaard met een stijging van het aantal techniekdocenten per school. In toenemende mate komen die lesgevenden via alternatieve routes naar het onderwijs dan via een lerarenopleiding. Techniekdocenten hebben namelijk steeds vaker een achtergrond in een andere sector. Van de techniekdocenten van schooljaar 2017/18 werkte 11 procent vijf jaar daarvoor buiten het onderwijs. Van de techniekdocenten van schooljaar 2022/23 is dat aandeel gestegen naar bijna een kwart. Ook zijn er meer hybride docenten (docenten met een andere hoofdbaan dan hun baan in het onderwijs). Het technische docentencorps is door de jaren heen gemiddeld jonger geworden, maar nog steeds gemiddeld vier jaar ouder dan docenten in niet-technische profielen.</w:t>
      </w:r>
    </w:p>
    <w:p w:rsidR="00C43FA5" w:rsidP="00C43FA5" w:rsidRDefault="00C43FA5" w14:paraId="32E278F5" w14:textId="77777777">
      <w:pPr>
        <w:jc w:val="both"/>
        <w:rPr>
          <w:rFonts w:cs="Tahoma"/>
        </w:rPr>
      </w:pPr>
    </w:p>
    <w:p w:rsidR="00C43FA5" w:rsidP="00C43FA5" w:rsidRDefault="00C43FA5" w14:paraId="354711C4" w14:textId="77777777">
      <w:pPr>
        <w:jc w:val="both"/>
        <w:rPr>
          <w:rFonts w:cs="Tahoma"/>
          <w:szCs w:val="18"/>
        </w:rPr>
      </w:pPr>
    </w:p>
    <w:p w:rsidRPr="00A45539" w:rsidR="00C43FA5" w:rsidP="00C43FA5" w:rsidRDefault="00C43FA5" w14:paraId="02815FFA" w14:textId="77777777">
      <w:pPr>
        <w:rPr>
          <w:rFonts w:cs="Tahoma"/>
          <w:szCs w:val="18"/>
        </w:rPr>
      </w:pPr>
      <w:r w:rsidRPr="00A45539">
        <w:rPr>
          <w:rFonts w:cs="Tahoma"/>
          <w:szCs w:val="18"/>
        </w:rPr>
        <w:br/>
      </w:r>
    </w:p>
    <w:p w:rsidRPr="00A45539" w:rsidR="00C43FA5" w:rsidP="00C43FA5" w:rsidRDefault="00C43FA5" w14:paraId="384BB025" w14:textId="70171232">
      <w:pPr>
        <w:pStyle w:val="samenvatting"/>
      </w:pPr>
      <w:bookmarkStart w:name="_Toc203573653" w:id="222"/>
      <w:r>
        <w:lastRenderedPageBreak/>
        <w:t>Appendix bij bijlage 4 V</w:t>
      </w:r>
      <w:r w:rsidRPr="00A45539">
        <w:t>erantwoording analyses docenten</w:t>
      </w:r>
      <w:bookmarkEnd w:id="222"/>
    </w:p>
    <w:p w:rsidRPr="006C203F" w:rsidR="00C43FA5" w:rsidP="00C43FA5" w:rsidRDefault="00C43FA5" w14:paraId="4AB1495E" w14:textId="71B4F4DD">
      <w:pPr>
        <w:rPr>
          <w:szCs w:val="18"/>
        </w:rPr>
      </w:pPr>
      <w:r w:rsidRPr="00A45539">
        <w:rPr>
          <w:szCs w:val="18"/>
        </w:rPr>
        <w:t xml:space="preserve">Deze </w:t>
      </w:r>
      <w:r w:rsidR="00A74B9E">
        <w:rPr>
          <w:szCs w:val="18"/>
        </w:rPr>
        <w:t>appendix</w:t>
      </w:r>
      <w:r w:rsidRPr="00A45539" w:rsidR="00A74B9E">
        <w:rPr>
          <w:szCs w:val="18"/>
        </w:rPr>
        <w:t xml:space="preserve"> </w:t>
      </w:r>
      <w:r w:rsidRPr="006C203F">
        <w:rPr>
          <w:szCs w:val="18"/>
        </w:rPr>
        <w:t xml:space="preserve">bevat de verantwoording van de analyses van de docentengegevens, waarvan de uitkomsten zijn weergegeven in </w:t>
      </w:r>
      <w:r w:rsidR="00A74B9E">
        <w:rPr>
          <w:szCs w:val="18"/>
        </w:rPr>
        <w:t>Bijlage</w:t>
      </w:r>
      <w:r w:rsidRPr="006C203F" w:rsidR="00A74B9E">
        <w:rPr>
          <w:szCs w:val="18"/>
        </w:rPr>
        <w:t xml:space="preserve"> </w:t>
      </w:r>
      <w:r w:rsidR="00A74B9E">
        <w:rPr>
          <w:szCs w:val="18"/>
        </w:rPr>
        <w:t>4</w:t>
      </w:r>
      <w:r w:rsidRPr="006C203F">
        <w:rPr>
          <w:szCs w:val="18"/>
        </w:rPr>
        <w:t>. De data bevatten alle docenten die op de peildatum (1 oktober van een schooljaar) lesgeven in het vmbo. De gegevens van schooljaar 202</w:t>
      </w:r>
      <w:r>
        <w:rPr>
          <w:szCs w:val="18"/>
        </w:rPr>
        <w:t>2</w:t>
      </w:r>
      <w:r w:rsidRPr="006C203F">
        <w:rPr>
          <w:szCs w:val="18"/>
        </w:rPr>
        <w:t>/2</w:t>
      </w:r>
      <w:r>
        <w:rPr>
          <w:szCs w:val="18"/>
        </w:rPr>
        <w:t>3</w:t>
      </w:r>
      <w:r w:rsidRPr="006C203F">
        <w:rPr>
          <w:szCs w:val="18"/>
        </w:rPr>
        <w:t xml:space="preserve"> zijn hoofdzakelijk weergegeven, maar ook de gegevens van de schooljaren 2017/18, 2018/19, 2019/20</w:t>
      </w:r>
      <w:r>
        <w:rPr>
          <w:szCs w:val="18"/>
        </w:rPr>
        <w:t>,</w:t>
      </w:r>
      <w:r w:rsidRPr="006C203F">
        <w:rPr>
          <w:szCs w:val="18"/>
        </w:rPr>
        <w:t xml:space="preserve"> 2020/21 </w:t>
      </w:r>
      <w:r>
        <w:rPr>
          <w:szCs w:val="18"/>
        </w:rPr>
        <w:t xml:space="preserve">en 2021/22 </w:t>
      </w:r>
      <w:r w:rsidRPr="006C203F">
        <w:rPr>
          <w:szCs w:val="18"/>
        </w:rPr>
        <w:t>komen voor. De gegevens komen voort uit de Integrale Personeels Tellingen Onderwijs (IPTO). IPTO bevat gegevens over (onder andere) vakken die docenten geven en hun bevoegdheid.</w:t>
      </w:r>
      <w:r w:rsidRPr="006C203F">
        <w:rPr>
          <w:rStyle w:val="Voetnootmarkering"/>
          <w:szCs w:val="18"/>
        </w:rPr>
        <w:footnoteReference w:id="29"/>
      </w:r>
      <w:r w:rsidRPr="006C203F">
        <w:rPr>
          <w:szCs w:val="18"/>
        </w:rPr>
        <w:t xml:space="preserve"> Hieraan zijn personeelsgegevens, zoals functie en deeltijdfactor, gekoppeld vanuit het DUO-personeelsbestand. Ten slotte is er een koppeling gemaakt met CBS-microdatabestanden, die info over de loopbaan en de opleiding van docenten bevat. Bij het werken met CBS-gegevens gelden strenge </w:t>
      </w:r>
      <w:r>
        <w:rPr>
          <w:szCs w:val="18"/>
        </w:rPr>
        <w:t>exportregels</w:t>
      </w:r>
      <w:r w:rsidRPr="006C203F">
        <w:rPr>
          <w:szCs w:val="18"/>
        </w:rPr>
        <w:t>, waardoor resultaten met minder dan tien waarnemingen niet weergegeven kunnen worden. Daardoor ontbreken in het docentenhoofdstuk sommige resultaten.</w:t>
      </w:r>
    </w:p>
    <w:p w:rsidRPr="006C203F" w:rsidR="00C43FA5" w:rsidP="00C43FA5" w:rsidRDefault="00C43FA5" w14:paraId="0E588866" w14:textId="77777777">
      <w:pPr>
        <w:rPr>
          <w:szCs w:val="18"/>
        </w:rPr>
      </w:pPr>
    </w:p>
    <w:p w:rsidRPr="006C203F" w:rsidR="00C43FA5" w:rsidP="00C43FA5" w:rsidRDefault="00C43FA5" w14:paraId="75755E15" w14:textId="70F66FC5">
      <w:pPr>
        <w:rPr>
          <w:szCs w:val="18"/>
        </w:rPr>
      </w:pPr>
      <w:r w:rsidRPr="006C203F">
        <w:rPr>
          <w:szCs w:val="18"/>
        </w:rPr>
        <w:t>Docenten zijn ingedeeld in een profiel op basis van de vakken die zij geven. Geeft een docent op de peildatum bijvoorbeeld les in een vak wat specifiek hoort bij het profiel BWI, dan is die docent als profieldocent BWI geteld. Tabel B</w:t>
      </w:r>
      <w:r w:rsidR="00A74B9E">
        <w:rPr>
          <w:szCs w:val="18"/>
        </w:rPr>
        <w:t>4</w:t>
      </w:r>
      <w:r w:rsidRPr="006C203F">
        <w:rPr>
          <w:szCs w:val="18"/>
        </w:rPr>
        <w:t xml:space="preserve">.1 geeft de vakken weer die volgens die indeling specifiek bij één van de tien profielen horen. Ten opzichte van vorige </w:t>
      </w:r>
      <w:r>
        <w:rPr>
          <w:szCs w:val="18"/>
        </w:rPr>
        <w:t>metingen</w:t>
      </w:r>
      <w:r w:rsidRPr="006C203F">
        <w:rPr>
          <w:szCs w:val="18"/>
        </w:rPr>
        <w:t xml:space="preserve"> komen de vakken in de tweede kolom niet of nauwelijks meer terug. Het toewijzen aan een profiel gebeurt dus bijna altijd door het profielvak of het keuzevak bij het profiel. Tabellen B</w:t>
      </w:r>
      <w:r w:rsidR="00D570F5">
        <w:rPr>
          <w:szCs w:val="18"/>
        </w:rPr>
        <w:t>4</w:t>
      </w:r>
      <w:r w:rsidRPr="006C203F">
        <w:rPr>
          <w:szCs w:val="18"/>
        </w:rPr>
        <w:t>.2 en B</w:t>
      </w:r>
      <w:r w:rsidR="00D570F5">
        <w:rPr>
          <w:szCs w:val="18"/>
        </w:rPr>
        <w:t>4</w:t>
      </w:r>
      <w:r w:rsidRPr="006C203F">
        <w:rPr>
          <w:szCs w:val="18"/>
        </w:rPr>
        <w:t>.3 laten respectievelijk de avo-vakken zien en de overige vakken. Deze keuzes zijn gemaakt in overleg met experts in het werkveld.</w:t>
      </w:r>
    </w:p>
    <w:p w:rsidRPr="006C203F" w:rsidR="00C43FA5" w:rsidP="00C43FA5" w:rsidRDefault="00C43FA5" w14:paraId="32A75234" w14:textId="77777777">
      <w:pPr>
        <w:rPr>
          <w:szCs w:val="18"/>
        </w:rPr>
      </w:pPr>
    </w:p>
    <w:p w:rsidRPr="006C203F" w:rsidR="00C43FA5" w:rsidP="00C43FA5" w:rsidRDefault="00C43FA5" w14:paraId="5809510F" w14:textId="77777777">
      <w:pPr>
        <w:jc w:val="both"/>
        <w:rPr>
          <w:szCs w:val="18"/>
        </w:rPr>
      </w:pPr>
      <w:r w:rsidRPr="006C203F">
        <w:rPr>
          <w:szCs w:val="18"/>
        </w:rPr>
        <w:t xml:space="preserve">In de beveiligde omgeving van het CBS zijn de persoonsgegevens van de docenten gepseudonimiseerd door middel van een voor de onderzoekers onherkenbare code. Deze code is vervolgens gebruikt om de IPTO- en DUO-gegevens te koppelen aan de CBS-microdata, zoals de gegevens van de Belastingdienst en de polisadministratie van het UWV. Vanuit die bestanden is achterhaald bij welke bedrijven de docenten in eerdere jaren hebben gewerkt, waardoor hun loopbaan in beeld kon worden gebracht. Iemand kan meerdere banen tegelijk hebben. Daarom is van iedere docent de hoofdbaan per jaar bepaald, door te achterhalen bij welke baan per jaar het meeste uren is gewerkt. </w:t>
      </w:r>
    </w:p>
    <w:p w:rsidRPr="006C203F" w:rsidR="00C43FA5" w:rsidP="00C43FA5" w:rsidRDefault="00C43FA5" w14:paraId="787780D1" w14:textId="77777777">
      <w:pPr>
        <w:jc w:val="both"/>
        <w:rPr>
          <w:szCs w:val="18"/>
        </w:rPr>
      </w:pPr>
    </w:p>
    <w:p w:rsidRPr="00A45539" w:rsidR="00C43FA5" w:rsidP="00C43FA5" w:rsidRDefault="00C43FA5" w14:paraId="1B95BFFF" w14:textId="5CD5DAB3">
      <w:pPr>
        <w:jc w:val="both"/>
        <w:rPr>
          <w:szCs w:val="18"/>
        </w:rPr>
      </w:pPr>
      <w:r w:rsidRPr="006C203F">
        <w:rPr>
          <w:szCs w:val="18"/>
        </w:rPr>
        <w:t>Het CBS hanteert de SBI-indeling om bedrijven in te delen in sectoren op basis van hun bedrijfsactiviteiten. Deze indeling is zeer gedetailleerd. Zo zit een tomatenteler in de hoofdsector Landbouw, bosbouw en visserij, in de subsector Teelt van eenjarige gewassen en vervolgens in de indeling daaronder in Teelt van groenten onder glas. Op basis van de SBI-indeling is een groepering gemaakt van samengestelde sectoren. Tabel B</w:t>
      </w:r>
      <w:r w:rsidR="00D570F5">
        <w:rPr>
          <w:szCs w:val="18"/>
        </w:rPr>
        <w:t>4</w:t>
      </w:r>
      <w:r w:rsidRPr="006C203F">
        <w:rPr>
          <w:szCs w:val="18"/>
        </w:rPr>
        <w:t>.4 geeft deze groepering weer. Zelfstandigen of niet-werkenden komen in de groep overig en onbekend terecht. Ook zijn studerenden apart weergegeven, zodat het bijbaantje in de horeca niet wordt aangemerkt</w:t>
      </w:r>
      <w:r w:rsidRPr="00A45539">
        <w:rPr>
          <w:szCs w:val="18"/>
        </w:rPr>
        <w:t xml:space="preserve"> als hun hoofdbaan.</w:t>
      </w:r>
    </w:p>
    <w:p w:rsidRPr="00A45539" w:rsidR="00C43FA5" w:rsidP="00C43FA5" w:rsidRDefault="00C43FA5" w14:paraId="5AF36D08" w14:textId="77777777">
      <w:pPr>
        <w:rPr>
          <w:szCs w:val="18"/>
        </w:rPr>
      </w:pPr>
    </w:p>
    <w:p w:rsidRPr="00A45539" w:rsidR="00C43FA5" w:rsidP="00C43FA5" w:rsidRDefault="00C43FA5" w14:paraId="47AAAC1D" w14:textId="4CBA646E">
      <w:pPr>
        <w:pStyle w:val="Bijschrift"/>
        <w:keepNext/>
      </w:pPr>
      <w:r w:rsidRPr="00A45539">
        <w:lastRenderedPageBreak/>
        <w:t xml:space="preserve">Tabel </w:t>
      </w:r>
      <w:r>
        <w:t>B</w:t>
      </w:r>
      <w:r w:rsidR="00AE1506">
        <w:t>4</w:t>
      </w:r>
      <w:r w:rsidRPr="00A45539">
        <w:t>.</w:t>
      </w:r>
      <w:r>
        <w:fldChar w:fldCharType="begin"/>
      </w:r>
      <w:r>
        <w:instrText xml:space="preserve"> SEQ Tabel_A. \* ARABIC </w:instrText>
      </w:r>
      <w:r>
        <w:fldChar w:fldCharType="separate"/>
      </w:r>
      <w:r>
        <w:rPr>
          <w:noProof/>
        </w:rPr>
        <w:t>1</w:t>
      </w:r>
      <w:r>
        <w:rPr>
          <w:noProof/>
        </w:rPr>
        <w:fldChar w:fldCharType="end"/>
      </w:r>
      <w:r w:rsidRPr="00A45539">
        <w:tab/>
        <w:t>Vakken per profiel</w:t>
      </w:r>
    </w:p>
    <w:tbl>
      <w:tblPr>
        <w:tblStyle w:val="Tabelrasterlicht"/>
        <w:tblW w:w="5000" w:type="pct"/>
        <w:tblLook w:val="04A0" w:firstRow="1" w:lastRow="0" w:firstColumn="1" w:lastColumn="0" w:noHBand="0" w:noVBand="1"/>
      </w:tblPr>
      <w:tblGrid>
        <w:gridCol w:w="1838"/>
        <w:gridCol w:w="4591"/>
        <w:gridCol w:w="2921"/>
      </w:tblGrid>
      <w:tr w:rsidRPr="00D86440" w:rsidR="00C43FA5" w:rsidTr="00FC2172" w14:paraId="36C351B7" w14:textId="77777777">
        <w:tc>
          <w:tcPr>
            <w:tcW w:w="983" w:type="pct"/>
            <w:hideMark/>
          </w:tcPr>
          <w:p w:rsidRPr="00D86440" w:rsidR="00C43FA5" w:rsidP="00FC2172" w:rsidRDefault="00C43FA5" w14:paraId="7999B710" w14:textId="77777777">
            <w:pPr>
              <w:pStyle w:val="TabelKopje"/>
              <w:rPr>
                <w:sz w:val="16"/>
                <w:szCs w:val="16"/>
              </w:rPr>
            </w:pPr>
            <w:r w:rsidRPr="00D86440">
              <w:rPr>
                <w:sz w:val="16"/>
                <w:szCs w:val="16"/>
              </w:rPr>
              <w:t>Profiel</w:t>
            </w:r>
          </w:p>
        </w:tc>
        <w:tc>
          <w:tcPr>
            <w:tcW w:w="4017" w:type="pct"/>
            <w:gridSpan w:val="2"/>
            <w:hideMark/>
          </w:tcPr>
          <w:p w:rsidRPr="00D86440" w:rsidR="00C43FA5" w:rsidP="00FC2172" w:rsidRDefault="00C43FA5" w14:paraId="1910DB8C" w14:textId="77777777">
            <w:pPr>
              <w:pStyle w:val="TabelKopje"/>
              <w:jc w:val="center"/>
              <w:rPr>
                <w:sz w:val="16"/>
                <w:szCs w:val="16"/>
              </w:rPr>
            </w:pPr>
            <w:r w:rsidRPr="00D86440">
              <w:rPr>
                <w:sz w:val="16"/>
                <w:szCs w:val="16"/>
              </w:rPr>
              <w:t>Vakken behorend tot profiel</w:t>
            </w:r>
          </w:p>
        </w:tc>
      </w:tr>
      <w:tr w:rsidRPr="00D86440" w:rsidR="00C43FA5" w:rsidTr="00FC2172" w14:paraId="55C05FDC" w14:textId="77777777">
        <w:tc>
          <w:tcPr>
            <w:tcW w:w="983" w:type="pct"/>
            <w:hideMark/>
          </w:tcPr>
          <w:p w:rsidRPr="00D86440" w:rsidR="00C43FA5" w:rsidP="00FC2172" w:rsidRDefault="00C43FA5" w14:paraId="7E22BABC" w14:textId="77777777">
            <w:pPr>
              <w:pStyle w:val="Tabeltekst"/>
              <w:rPr>
                <w:rFonts w:ascii="Trebuchet MS" w:hAnsi="Trebuchet MS"/>
                <w:szCs w:val="16"/>
              </w:rPr>
            </w:pPr>
            <w:r w:rsidRPr="00D86440">
              <w:rPr>
                <w:rFonts w:ascii="Trebuchet MS" w:hAnsi="Trebuchet MS"/>
                <w:szCs w:val="16"/>
              </w:rPr>
              <w:t>Profiel BWI</w:t>
            </w:r>
          </w:p>
        </w:tc>
        <w:tc>
          <w:tcPr>
            <w:tcW w:w="2455" w:type="pct"/>
            <w:hideMark/>
          </w:tcPr>
          <w:p w:rsidRPr="00CF4882" w:rsidR="00C43FA5" w:rsidP="00FC2172" w:rsidRDefault="00C43FA5" w14:paraId="1562B5A9" w14:textId="77777777">
            <w:pPr>
              <w:pStyle w:val="Tabelgetal"/>
              <w:jc w:val="left"/>
              <w:rPr>
                <w:rFonts w:ascii="Trebuchet MS" w:hAnsi="Trebuchet MS"/>
                <w:szCs w:val="16"/>
              </w:rPr>
            </w:pPr>
            <w:r w:rsidRPr="00CF4882">
              <w:rPr>
                <w:rFonts w:ascii="Trebuchet MS" w:hAnsi="Trebuchet MS"/>
                <w:szCs w:val="16"/>
              </w:rPr>
              <w:t>Bouwbreed (komt niet meer voor)</w:t>
            </w:r>
          </w:p>
          <w:p w:rsidRPr="00CF4882" w:rsidR="00C43FA5" w:rsidP="00FC2172" w:rsidRDefault="00C43FA5" w14:paraId="06DFD583" w14:textId="77777777">
            <w:pPr>
              <w:pStyle w:val="Tabelgetal"/>
              <w:jc w:val="left"/>
              <w:rPr>
                <w:rFonts w:ascii="Trebuchet MS" w:hAnsi="Trebuchet MS"/>
                <w:szCs w:val="16"/>
              </w:rPr>
            </w:pPr>
            <w:r w:rsidRPr="00CF4882">
              <w:rPr>
                <w:rFonts w:ascii="Trebuchet MS" w:hAnsi="Trebuchet MS"/>
                <w:szCs w:val="16"/>
              </w:rPr>
              <w:t>Bouwtechniek (komt niet meer voor)</w:t>
            </w:r>
          </w:p>
        </w:tc>
        <w:tc>
          <w:tcPr>
            <w:tcW w:w="1562" w:type="pct"/>
            <w:hideMark/>
          </w:tcPr>
          <w:p w:rsidRPr="00CF4882" w:rsidR="00C43FA5" w:rsidP="00FC2172" w:rsidRDefault="00C43FA5" w14:paraId="540EB025" w14:textId="77777777">
            <w:pPr>
              <w:pStyle w:val="Tabelgetal"/>
              <w:jc w:val="left"/>
              <w:rPr>
                <w:rFonts w:ascii="Trebuchet MS" w:hAnsi="Trebuchet MS"/>
                <w:szCs w:val="16"/>
              </w:rPr>
            </w:pPr>
            <w:r w:rsidRPr="00CF4882">
              <w:rPr>
                <w:rFonts w:ascii="Trebuchet MS" w:hAnsi="Trebuchet MS"/>
                <w:szCs w:val="16"/>
              </w:rPr>
              <w:t>profielvak (BWI)</w:t>
            </w:r>
          </w:p>
          <w:p w:rsidRPr="00CF4882" w:rsidR="00C43FA5" w:rsidP="00FC2172" w:rsidRDefault="00C43FA5" w14:paraId="52886610" w14:textId="77777777">
            <w:pPr>
              <w:pStyle w:val="Tabelgetal"/>
              <w:jc w:val="left"/>
              <w:rPr>
                <w:rFonts w:ascii="Trebuchet MS" w:hAnsi="Trebuchet MS"/>
                <w:szCs w:val="16"/>
              </w:rPr>
            </w:pPr>
            <w:r w:rsidRPr="00CF4882">
              <w:rPr>
                <w:rFonts w:ascii="Trebuchet MS" w:hAnsi="Trebuchet MS"/>
                <w:szCs w:val="16"/>
              </w:rPr>
              <w:t>keuzevak bij profielvak (BWI)</w:t>
            </w:r>
          </w:p>
        </w:tc>
      </w:tr>
      <w:tr w:rsidRPr="00D86440" w:rsidR="00C43FA5" w:rsidTr="00FC2172" w14:paraId="7C9E53B4" w14:textId="77777777">
        <w:tc>
          <w:tcPr>
            <w:tcW w:w="983" w:type="pct"/>
          </w:tcPr>
          <w:p w:rsidRPr="00CF4882" w:rsidR="00C43FA5" w:rsidP="00FC2172" w:rsidRDefault="00C43FA5" w14:paraId="502A51EA" w14:textId="77777777">
            <w:pPr>
              <w:pStyle w:val="Tabeltekst"/>
              <w:rPr>
                <w:rFonts w:ascii="Trebuchet MS" w:hAnsi="Trebuchet MS"/>
                <w:szCs w:val="16"/>
              </w:rPr>
            </w:pPr>
          </w:p>
        </w:tc>
        <w:tc>
          <w:tcPr>
            <w:tcW w:w="2455" w:type="pct"/>
          </w:tcPr>
          <w:p w:rsidRPr="00CF4882" w:rsidR="00C43FA5" w:rsidP="00FC2172" w:rsidRDefault="00C43FA5" w14:paraId="0295536E" w14:textId="77777777">
            <w:pPr>
              <w:pStyle w:val="Tabelgetal"/>
              <w:jc w:val="left"/>
              <w:rPr>
                <w:rFonts w:ascii="Trebuchet MS" w:hAnsi="Trebuchet MS"/>
                <w:szCs w:val="16"/>
              </w:rPr>
            </w:pPr>
          </w:p>
        </w:tc>
        <w:tc>
          <w:tcPr>
            <w:tcW w:w="1562" w:type="pct"/>
          </w:tcPr>
          <w:p w:rsidRPr="00CF4882" w:rsidR="00C43FA5" w:rsidP="00FC2172" w:rsidRDefault="00C43FA5" w14:paraId="35AE5923" w14:textId="77777777">
            <w:pPr>
              <w:pStyle w:val="Tabelgetal"/>
              <w:jc w:val="left"/>
              <w:rPr>
                <w:rFonts w:ascii="Trebuchet MS" w:hAnsi="Trebuchet MS"/>
                <w:szCs w:val="16"/>
              </w:rPr>
            </w:pPr>
          </w:p>
        </w:tc>
      </w:tr>
      <w:tr w:rsidRPr="00D86440" w:rsidR="00C43FA5" w:rsidTr="00FC2172" w14:paraId="689790F8" w14:textId="77777777">
        <w:tc>
          <w:tcPr>
            <w:tcW w:w="983" w:type="pct"/>
            <w:hideMark/>
          </w:tcPr>
          <w:p w:rsidRPr="00D86440" w:rsidR="00C43FA5" w:rsidP="00FC2172" w:rsidRDefault="00C43FA5" w14:paraId="60FE15E0" w14:textId="77777777">
            <w:pPr>
              <w:pStyle w:val="Tabeltekst"/>
              <w:rPr>
                <w:rFonts w:ascii="Trebuchet MS" w:hAnsi="Trebuchet MS"/>
                <w:szCs w:val="16"/>
              </w:rPr>
            </w:pPr>
            <w:r w:rsidRPr="00D86440">
              <w:rPr>
                <w:rFonts w:ascii="Trebuchet MS" w:hAnsi="Trebuchet MS"/>
                <w:szCs w:val="16"/>
              </w:rPr>
              <w:t>Profiel PIE</w:t>
            </w:r>
          </w:p>
        </w:tc>
        <w:tc>
          <w:tcPr>
            <w:tcW w:w="2455" w:type="pct"/>
            <w:hideMark/>
          </w:tcPr>
          <w:p w:rsidRPr="00CF4882" w:rsidR="00C43FA5" w:rsidP="00FC2172" w:rsidRDefault="00C43FA5" w14:paraId="0E9A2B63" w14:textId="77777777">
            <w:pPr>
              <w:pStyle w:val="Tabelgetal"/>
              <w:jc w:val="left"/>
              <w:rPr>
                <w:rFonts w:ascii="Trebuchet MS" w:hAnsi="Trebuchet MS"/>
                <w:szCs w:val="16"/>
              </w:rPr>
            </w:pPr>
            <w:r w:rsidRPr="00CF4882">
              <w:rPr>
                <w:rFonts w:ascii="Trebuchet MS" w:hAnsi="Trebuchet MS"/>
                <w:szCs w:val="16"/>
              </w:rPr>
              <w:t>Metaaltechniek (komt nauwelijks voor)</w:t>
            </w:r>
          </w:p>
          <w:p w:rsidRPr="00CF4882" w:rsidR="00C43FA5" w:rsidP="00FC2172" w:rsidRDefault="00C43FA5" w14:paraId="4B7F35DA" w14:textId="77777777">
            <w:pPr>
              <w:pStyle w:val="Tabelgetal"/>
              <w:jc w:val="left"/>
              <w:rPr>
                <w:rFonts w:ascii="Trebuchet MS" w:hAnsi="Trebuchet MS"/>
                <w:szCs w:val="16"/>
              </w:rPr>
            </w:pPr>
            <w:r w:rsidRPr="00CF4882">
              <w:rPr>
                <w:rFonts w:ascii="Trebuchet MS" w:hAnsi="Trebuchet MS"/>
                <w:szCs w:val="16"/>
              </w:rPr>
              <w:t>Elektrotechniek (komt niet meer voor)</w:t>
            </w:r>
          </w:p>
          <w:p w:rsidRPr="00CF4882" w:rsidR="00C43FA5" w:rsidP="00FC2172" w:rsidRDefault="00C43FA5" w14:paraId="6A41D192" w14:textId="77777777">
            <w:pPr>
              <w:pStyle w:val="Tabelgetal"/>
              <w:jc w:val="left"/>
              <w:rPr>
                <w:rFonts w:ascii="Trebuchet MS" w:hAnsi="Trebuchet MS"/>
                <w:szCs w:val="16"/>
              </w:rPr>
            </w:pPr>
            <w:r w:rsidRPr="00CF4882">
              <w:rPr>
                <w:rFonts w:ascii="Trebuchet MS" w:hAnsi="Trebuchet MS"/>
                <w:szCs w:val="16"/>
              </w:rPr>
              <w:t>Installatietechniek (komt nauwelijks voor)</w:t>
            </w:r>
          </w:p>
          <w:p w:rsidRPr="00CF4882" w:rsidR="00C43FA5" w:rsidP="00FC2172" w:rsidRDefault="00C43FA5" w14:paraId="7A11C506" w14:textId="77777777">
            <w:pPr>
              <w:pStyle w:val="Tabelgetal"/>
              <w:jc w:val="left"/>
              <w:rPr>
                <w:rFonts w:ascii="Trebuchet MS" w:hAnsi="Trebuchet MS"/>
                <w:szCs w:val="16"/>
              </w:rPr>
            </w:pPr>
            <w:r w:rsidRPr="00CF4882">
              <w:rPr>
                <w:rFonts w:ascii="Trebuchet MS" w:hAnsi="Trebuchet MS"/>
                <w:szCs w:val="16"/>
              </w:rPr>
              <w:t>Metal-elektro (komt niet meer voor)</w:t>
            </w:r>
          </w:p>
          <w:p w:rsidRPr="00CF4882" w:rsidR="00C43FA5" w:rsidP="00FC2172" w:rsidRDefault="00C43FA5" w14:paraId="16C0621B" w14:textId="77777777">
            <w:pPr>
              <w:pStyle w:val="Tabelgetal"/>
              <w:jc w:val="left"/>
              <w:rPr>
                <w:rFonts w:ascii="Trebuchet MS" w:hAnsi="Trebuchet MS"/>
                <w:szCs w:val="16"/>
              </w:rPr>
            </w:pPr>
            <w:r w:rsidRPr="00CF4882">
              <w:rPr>
                <w:rFonts w:ascii="Trebuchet MS" w:hAnsi="Trebuchet MS"/>
                <w:szCs w:val="16"/>
              </w:rPr>
              <w:t>Instalektro (komt niet meer voor)</w:t>
            </w:r>
          </w:p>
        </w:tc>
        <w:tc>
          <w:tcPr>
            <w:tcW w:w="1562" w:type="pct"/>
            <w:hideMark/>
          </w:tcPr>
          <w:p w:rsidRPr="00CF4882" w:rsidR="00C43FA5" w:rsidP="00FC2172" w:rsidRDefault="00C43FA5" w14:paraId="6D806113" w14:textId="77777777">
            <w:pPr>
              <w:pStyle w:val="Tabelgetal"/>
              <w:jc w:val="left"/>
              <w:rPr>
                <w:rFonts w:ascii="Trebuchet MS" w:hAnsi="Trebuchet MS"/>
                <w:szCs w:val="16"/>
              </w:rPr>
            </w:pPr>
            <w:r w:rsidRPr="00CF4882">
              <w:rPr>
                <w:rFonts w:ascii="Trebuchet MS" w:hAnsi="Trebuchet MS"/>
                <w:szCs w:val="16"/>
              </w:rPr>
              <w:t>profielvak (PIE)</w:t>
            </w:r>
          </w:p>
          <w:p w:rsidRPr="00CF4882" w:rsidR="00C43FA5" w:rsidP="00FC2172" w:rsidRDefault="00C43FA5" w14:paraId="711909BD" w14:textId="77777777">
            <w:pPr>
              <w:pStyle w:val="Tabelgetal"/>
              <w:jc w:val="left"/>
              <w:rPr>
                <w:rFonts w:ascii="Trebuchet MS" w:hAnsi="Trebuchet MS"/>
                <w:szCs w:val="16"/>
              </w:rPr>
            </w:pPr>
            <w:r w:rsidRPr="00CF4882">
              <w:rPr>
                <w:rFonts w:ascii="Trebuchet MS" w:hAnsi="Trebuchet MS"/>
                <w:szCs w:val="16"/>
              </w:rPr>
              <w:t>keuzevak bij profielvak (PIE)</w:t>
            </w:r>
          </w:p>
        </w:tc>
      </w:tr>
      <w:tr w:rsidRPr="00D86440" w:rsidR="00C43FA5" w:rsidTr="00FC2172" w14:paraId="45D01F61" w14:textId="77777777">
        <w:tc>
          <w:tcPr>
            <w:tcW w:w="983" w:type="pct"/>
          </w:tcPr>
          <w:p w:rsidRPr="00CF4882" w:rsidR="00C43FA5" w:rsidP="00FC2172" w:rsidRDefault="00C43FA5" w14:paraId="19A156EF" w14:textId="77777777">
            <w:pPr>
              <w:pStyle w:val="Tabeltekst"/>
              <w:rPr>
                <w:rFonts w:ascii="Trebuchet MS" w:hAnsi="Trebuchet MS"/>
                <w:szCs w:val="16"/>
              </w:rPr>
            </w:pPr>
          </w:p>
        </w:tc>
        <w:tc>
          <w:tcPr>
            <w:tcW w:w="2455" w:type="pct"/>
          </w:tcPr>
          <w:p w:rsidRPr="00CF4882" w:rsidR="00C43FA5" w:rsidP="00FC2172" w:rsidRDefault="00C43FA5" w14:paraId="5D90C452" w14:textId="77777777">
            <w:pPr>
              <w:pStyle w:val="Tabelgetal"/>
              <w:jc w:val="left"/>
              <w:rPr>
                <w:rFonts w:ascii="Trebuchet MS" w:hAnsi="Trebuchet MS"/>
                <w:szCs w:val="16"/>
              </w:rPr>
            </w:pPr>
          </w:p>
        </w:tc>
        <w:tc>
          <w:tcPr>
            <w:tcW w:w="1562" w:type="pct"/>
          </w:tcPr>
          <w:p w:rsidRPr="00CF4882" w:rsidR="00C43FA5" w:rsidP="00FC2172" w:rsidRDefault="00C43FA5" w14:paraId="15C87228" w14:textId="77777777">
            <w:pPr>
              <w:pStyle w:val="Tabelgetal"/>
              <w:jc w:val="left"/>
              <w:rPr>
                <w:rFonts w:ascii="Trebuchet MS" w:hAnsi="Trebuchet MS"/>
                <w:szCs w:val="16"/>
              </w:rPr>
            </w:pPr>
          </w:p>
        </w:tc>
      </w:tr>
      <w:tr w:rsidRPr="00D86440" w:rsidR="00C43FA5" w:rsidTr="00FC2172" w14:paraId="5B972B64" w14:textId="77777777">
        <w:tc>
          <w:tcPr>
            <w:tcW w:w="983" w:type="pct"/>
            <w:hideMark/>
          </w:tcPr>
          <w:p w:rsidRPr="00D86440" w:rsidR="00C43FA5" w:rsidP="00FC2172" w:rsidRDefault="00C43FA5" w14:paraId="5C50A494" w14:textId="77777777">
            <w:pPr>
              <w:pStyle w:val="Tabeltekst"/>
              <w:rPr>
                <w:rFonts w:ascii="Trebuchet MS" w:hAnsi="Trebuchet MS"/>
                <w:szCs w:val="16"/>
              </w:rPr>
            </w:pPr>
            <w:r w:rsidRPr="00D86440">
              <w:rPr>
                <w:rFonts w:ascii="Trebuchet MS" w:hAnsi="Trebuchet MS"/>
                <w:szCs w:val="16"/>
              </w:rPr>
              <w:t>Profiel M&amp;T</w:t>
            </w:r>
          </w:p>
        </w:tc>
        <w:tc>
          <w:tcPr>
            <w:tcW w:w="2455" w:type="pct"/>
            <w:hideMark/>
          </w:tcPr>
          <w:p w:rsidRPr="00CF4882" w:rsidR="00C43FA5" w:rsidP="00FC2172" w:rsidRDefault="00C43FA5" w14:paraId="1CC6A187" w14:textId="77777777">
            <w:pPr>
              <w:pStyle w:val="Tabelgetal"/>
              <w:jc w:val="left"/>
              <w:rPr>
                <w:rFonts w:ascii="Trebuchet MS" w:hAnsi="Trebuchet MS"/>
                <w:szCs w:val="16"/>
              </w:rPr>
            </w:pPr>
            <w:r w:rsidRPr="00CF4882">
              <w:rPr>
                <w:rFonts w:ascii="Trebuchet MS" w:hAnsi="Trebuchet MS"/>
                <w:szCs w:val="16"/>
              </w:rPr>
              <w:t>Voertuigentechniek (komt niet meer voor)</w:t>
            </w:r>
          </w:p>
          <w:p w:rsidRPr="00CF4882" w:rsidR="00C43FA5" w:rsidP="00FC2172" w:rsidRDefault="00C43FA5" w14:paraId="0B2F70C4" w14:textId="77777777">
            <w:pPr>
              <w:pStyle w:val="Tabelgetal"/>
              <w:jc w:val="left"/>
              <w:rPr>
                <w:rFonts w:ascii="Trebuchet MS" w:hAnsi="Trebuchet MS"/>
                <w:szCs w:val="16"/>
              </w:rPr>
            </w:pPr>
            <w:r w:rsidRPr="00CF4882">
              <w:rPr>
                <w:rFonts w:ascii="Trebuchet MS" w:hAnsi="Trebuchet MS"/>
                <w:szCs w:val="16"/>
              </w:rPr>
              <w:t xml:space="preserve">Transport en logistiek (komt nauwelijks voor) </w:t>
            </w:r>
          </w:p>
        </w:tc>
        <w:tc>
          <w:tcPr>
            <w:tcW w:w="1562" w:type="pct"/>
            <w:hideMark/>
          </w:tcPr>
          <w:p w:rsidRPr="00CF4882" w:rsidR="00C43FA5" w:rsidP="00FC2172" w:rsidRDefault="00C43FA5" w14:paraId="3605D5F0" w14:textId="77777777">
            <w:pPr>
              <w:pStyle w:val="Tabelgetal"/>
              <w:jc w:val="left"/>
              <w:rPr>
                <w:rFonts w:ascii="Trebuchet MS" w:hAnsi="Trebuchet MS"/>
                <w:szCs w:val="16"/>
              </w:rPr>
            </w:pPr>
            <w:r w:rsidRPr="00CF4882">
              <w:rPr>
                <w:rFonts w:ascii="Trebuchet MS" w:hAnsi="Trebuchet MS"/>
                <w:szCs w:val="16"/>
              </w:rPr>
              <w:t>profielvak (M&amp;T)</w:t>
            </w:r>
          </w:p>
          <w:p w:rsidRPr="00CF4882" w:rsidR="00C43FA5" w:rsidP="00FC2172" w:rsidRDefault="00C43FA5" w14:paraId="18ED1DA6" w14:textId="77777777">
            <w:pPr>
              <w:pStyle w:val="Tabelgetal"/>
              <w:jc w:val="left"/>
              <w:rPr>
                <w:rFonts w:ascii="Trebuchet MS" w:hAnsi="Trebuchet MS"/>
                <w:szCs w:val="16"/>
              </w:rPr>
            </w:pPr>
            <w:r w:rsidRPr="00CF4882">
              <w:rPr>
                <w:rFonts w:ascii="Trebuchet MS" w:hAnsi="Trebuchet MS"/>
                <w:szCs w:val="16"/>
              </w:rPr>
              <w:t>keuzevak bij profielvak (M&amp;T)</w:t>
            </w:r>
          </w:p>
        </w:tc>
      </w:tr>
      <w:tr w:rsidRPr="00D86440" w:rsidR="00C43FA5" w:rsidTr="00FC2172" w14:paraId="7CCB52EE" w14:textId="77777777">
        <w:tc>
          <w:tcPr>
            <w:tcW w:w="983" w:type="pct"/>
          </w:tcPr>
          <w:p w:rsidRPr="00CF4882" w:rsidR="00C43FA5" w:rsidP="00FC2172" w:rsidRDefault="00C43FA5" w14:paraId="51687D1C" w14:textId="77777777">
            <w:pPr>
              <w:pStyle w:val="Tabeltekst"/>
              <w:rPr>
                <w:rFonts w:ascii="Trebuchet MS" w:hAnsi="Trebuchet MS"/>
                <w:szCs w:val="16"/>
              </w:rPr>
            </w:pPr>
          </w:p>
        </w:tc>
        <w:tc>
          <w:tcPr>
            <w:tcW w:w="2455" w:type="pct"/>
          </w:tcPr>
          <w:p w:rsidRPr="00CF4882" w:rsidR="00C43FA5" w:rsidP="00FC2172" w:rsidRDefault="00C43FA5" w14:paraId="30947696" w14:textId="77777777">
            <w:pPr>
              <w:pStyle w:val="Tabelgetal"/>
              <w:jc w:val="left"/>
              <w:rPr>
                <w:rFonts w:ascii="Trebuchet MS" w:hAnsi="Trebuchet MS"/>
                <w:szCs w:val="16"/>
              </w:rPr>
            </w:pPr>
          </w:p>
        </w:tc>
        <w:tc>
          <w:tcPr>
            <w:tcW w:w="1562" w:type="pct"/>
          </w:tcPr>
          <w:p w:rsidRPr="00CF4882" w:rsidR="00C43FA5" w:rsidP="00FC2172" w:rsidRDefault="00C43FA5" w14:paraId="4A96230C" w14:textId="77777777">
            <w:pPr>
              <w:pStyle w:val="Tabelgetal"/>
              <w:jc w:val="left"/>
              <w:rPr>
                <w:rFonts w:ascii="Trebuchet MS" w:hAnsi="Trebuchet MS"/>
                <w:szCs w:val="16"/>
              </w:rPr>
            </w:pPr>
          </w:p>
        </w:tc>
      </w:tr>
      <w:tr w:rsidRPr="00D86440" w:rsidR="00C43FA5" w:rsidTr="00FC2172" w14:paraId="4F6D946F" w14:textId="77777777">
        <w:tc>
          <w:tcPr>
            <w:tcW w:w="983" w:type="pct"/>
            <w:hideMark/>
          </w:tcPr>
          <w:p w:rsidRPr="00D86440" w:rsidR="00C43FA5" w:rsidP="00FC2172" w:rsidRDefault="00C43FA5" w14:paraId="1F3970EB" w14:textId="77777777">
            <w:pPr>
              <w:pStyle w:val="Tabeltekst"/>
              <w:rPr>
                <w:rFonts w:ascii="Trebuchet MS" w:hAnsi="Trebuchet MS"/>
                <w:szCs w:val="16"/>
              </w:rPr>
            </w:pPr>
            <w:r w:rsidRPr="00D86440">
              <w:rPr>
                <w:rFonts w:ascii="Trebuchet MS" w:hAnsi="Trebuchet MS"/>
                <w:szCs w:val="16"/>
              </w:rPr>
              <w:t>Profiel MVI</w:t>
            </w:r>
          </w:p>
        </w:tc>
        <w:tc>
          <w:tcPr>
            <w:tcW w:w="2455" w:type="pct"/>
            <w:hideMark/>
          </w:tcPr>
          <w:p w:rsidRPr="00CF4882" w:rsidR="00C43FA5" w:rsidP="00FC2172" w:rsidRDefault="00C43FA5" w14:paraId="79ADB5F8" w14:textId="77777777">
            <w:pPr>
              <w:pStyle w:val="Tabelgetal"/>
              <w:jc w:val="left"/>
              <w:rPr>
                <w:rFonts w:ascii="Trebuchet MS" w:hAnsi="Trebuchet MS"/>
                <w:szCs w:val="16"/>
              </w:rPr>
            </w:pPr>
            <w:r w:rsidRPr="00CF4882">
              <w:rPr>
                <w:rFonts w:ascii="Trebuchet MS" w:hAnsi="Trebuchet MS"/>
                <w:szCs w:val="16"/>
              </w:rPr>
              <w:t>Grafische techniek (komt niet meer voor)</w:t>
            </w:r>
          </w:p>
          <w:p w:rsidRPr="00CF4882" w:rsidR="00C43FA5" w:rsidP="00FC2172" w:rsidRDefault="00C43FA5" w14:paraId="182AD9B1" w14:textId="77777777">
            <w:pPr>
              <w:pStyle w:val="Tabelgetal"/>
              <w:jc w:val="left"/>
              <w:rPr>
                <w:rFonts w:ascii="Trebuchet MS" w:hAnsi="Trebuchet MS"/>
                <w:szCs w:val="16"/>
              </w:rPr>
            </w:pPr>
            <w:r w:rsidRPr="00CF4882">
              <w:rPr>
                <w:rFonts w:ascii="Trebuchet MS" w:hAnsi="Trebuchet MS"/>
                <w:szCs w:val="16"/>
              </w:rPr>
              <w:t>ICT-route (komt niet meer voor)</w:t>
            </w:r>
          </w:p>
        </w:tc>
        <w:tc>
          <w:tcPr>
            <w:tcW w:w="1562" w:type="pct"/>
            <w:hideMark/>
          </w:tcPr>
          <w:p w:rsidRPr="00CF4882" w:rsidR="00C43FA5" w:rsidP="00FC2172" w:rsidRDefault="00C43FA5" w14:paraId="3EEE12AC" w14:textId="77777777">
            <w:pPr>
              <w:pStyle w:val="Tabelgetal"/>
              <w:jc w:val="left"/>
              <w:rPr>
                <w:rFonts w:ascii="Trebuchet MS" w:hAnsi="Trebuchet MS"/>
                <w:szCs w:val="16"/>
              </w:rPr>
            </w:pPr>
            <w:r w:rsidRPr="00CF4882">
              <w:rPr>
                <w:rFonts w:ascii="Trebuchet MS" w:hAnsi="Trebuchet MS"/>
                <w:szCs w:val="16"/>
              </w:rPr>
              <w:t>profielvak (MVI)</w:t>
            </w:r>
          </w:p>
          <w:p w:rsidRPr="00CF4882" w:rsidR="00C43FA5" w:rsidP="00FC2172" w:rsidRDefault="00C43FA5" w14:paraId="4E4F333D" w14:textId="77777777">
            <w:pPr>
              <w:pStyle w:val="Tabelgetal"/>
              <w:jc w:val="left"/>
              <w:rPr>
                <w:rFonts w:ascii="Trebuchet MS" w:hAnsi="Trebuchet MS"/>
                <w:szCs w:val="16"/>
              </w:rPr>
            </w:pPr>
            <w:r w:rsidRPr="00CF4882">
              <w:rPr>
                <w:rFonts w:ascii="Trebuchet MS" w:hAnsi="Trebuchet MS"/>
                <w:szCs w:val="16"/>
              </w:rPr>
              <w:t>keuzevak bij profielvak (MVI)</w:t>
            </w:r>
          </w:p>
        </w:tc>
      </w:tr>
      <w:tr w:rsidRPr="00D86440" w:rsidR="00C43FA5" w:rsidTr="00FC2172" w14:paraId="7EAE31B5" w14:textId="77777777">
        <w:tc>
          <w:tcPr>
            <w:tcW w:w="983" w:type="pct"/>
          </w:tcPr>
          <w:p w:rsidRPr="00CF4882" w:rsidR="00C43FA5" w:rsidP="00FC2172" w:rsidRDefault="00C43FA5" w14:paraId="39E44808" w14:textId="77777777">
            <w:pPr>
              <w:pStyle w:val="Tabeltekst"/>
              <w:rPr>
                <w:rFonts w:ascii="Trebuchet MS" w:hAnsi="Trebuchet MS"/>
                <w:szCs w:val="16"/>
              </w:rPr>
            </w:pPr>
          </w:p>
        </w:tc>
        <w:tc>
          <w:tcPr>
            <w:tcW w:w="2455" w:type="pct"/>
          </w:tcPr>
          <w:p w:rsidRPr="00CF4882" w:rsidR="00C43FA5" w:rsidP="00FC2172" w:rsidRDefault="00C43FA5" w14:paraId="05AC2F5B" w14:textId="77777777">
            <w:pPr>
              <w:pStyle w:val="Tabelgetal"/>
              <w:jc w:val="left"/>
              <w:rPr>
                <w:rFonts w:ascii="Trebuchet MS" w:hAnsi="Trebuchet MS"/>
                <w:szCs w:val="16"/>
              </w:rPr>
            </w:pPr>
          </w:p>
        </w:tc>
        <w:tc>
          <w:tcPr>
            <w:tcW w:w="1562" w:type="pct"/>
          </w:tcPr>
          <w:p w:rsidRPr="00CF4882" w:rsidR="00C43FA5" w:rsidP="00FC2172" w:rsidRDefault="00C43FA5" w14:paraId="39A15E5F" w14:textId="77777777">
            <w:pPr>
              <w:pStyle w:val="Tabelgetal"/>
              <w:jc w:val="left"/>
              <w:rPr>
                <w:rFonts w:ascii="Trebuchet MS" w:hAnsi="Trebuchet MS"/>
                <w:szCs w:val="16"/>
              </w:rPr>
            </w:pPr>
          </w:p>
        </w:tc>
      </w:tr>
      <w:tr w:rsidRPr="00D86440" w:rsidR="00C43FA5" w:rsidTr="00FC2172" w14:paraId="3DB53980" w14:textId="77777777">
        <w:tc>
          <w:tcPr>
            <w:tcW w:w="983" w:type="pct"/>
            <w:hideMark/>
          </w:tcPr>
          <w:p w:rsidRPr="00D86440" w:rsidR="00C43FA5" w:rsidP="00FC2172" w:rsidRDefault="00C43FA5" w14:paraId="7BB5ECBA" w14:textId="77777777">
            <w:pPr>
              <w:pStyle w:val="Tabeltekst"/>
              <w:rPr>
                <w:rFonts w:ascii="Trebuchet MS" w:hAnsi="Trebuchet MS"/>
                <w:szCs w:val="16"/>
              </w:rPr>
            </w:pPr>
            <w:r w:rsidRPr="00D86440">
              <w:rPr>
                <w:rFonts w:ascii="Trebuchet MS" w:hAnsi="Trebuchet MS"/>
                <w:szCs w:val="16"/>
              </w:rPr>
              <w:t>Profiel MaT</w:t>
            </w:r>
          </w:p>
        </w:tc>
        <w:tc>
          <w:tcPr>
            <w:tcW w:w="2455" w:type="pct"/>
          </w:tcPr>
          <w:p w:rsidRPr="00D86440" w:rsidR="00C43FA5" w:rsidP="00FC2172" w:rsidRDefault="00C43FA5" w14:paraId="0D47A511" w14:textId="77777777">
            <w:pPr>
              <w:pStyle w:val="Tabelgetal"/>
              <w:jc w:val="left"/>
              <w:rPr>
                <w:rFonts w:ascii="Trebuchet MS" w:hAnsi="Trebuchet MS"/>
                <w:szCs w:val="16"/>
              </w:rPr>
            </w:pPr>
          </w:p>
        </w:tc>
        <w:tc>
          <w:tcPr>
            <w:tcW w:w="1562" w:type="pct"/>
            <w:hideMark/>
          </w:tcPr>
          <w:p w:rsidRPr="00CF4882" w:rsidR="00C43FA5" w:rsidP="00FC2172" w:rsidRDefault="00C43FA5" w14:paraId="10943CA5" w14:textId="77777777">
            <w:pPr>
              <w:pStyle w:val="Tabelgetal"/>
              <w:jc w:val="left"/>
              <w:rPr>
                <w:rFonts w:ascii="Trebuchet MS" w:hAnsi="Trebuchet MS"/>
                <w:szCs w:val="16"/>
              </w:rPr>
            </w:pPr>
            <w:r w:rsidRPr="00CF4882">
              <w:rPr>
                <w:rFonts w:ascii="Trebuchet MS" w:hAnsi="Trebuchet MS"/>
                <w:szCs w:val="16"/>
              </w:rPr>
              <w:t>profielvak (MaT)</w:t>
            </w:r>
          </w:p>
          <w:p w:rsidRPr="00CF4882" w:rsidR="00C43FA5" w:rsidP="00FC2172" w:rsidRDefault="00C43FA5" w14:paraId="21E733A6" w14:textId="77777777">
            <w:pPr>
              <w:pStyle w:val="Tabelgetal"/>
              <w:jc w:val="left"/>
              <w:rPr>
                <w:rFonts w:ascii="Trebuchet MS" w:hAnsi="Trebuchet MS"/>
                <w:szCs w:val="16"/>
              </w:rPr>
            </w:pPr>
            <w:r w:rsidRPr="00CF4882">
              <w:rPr>
                <w:rFonts w:ascii="Trebuchet MS" w:hAnsi="Trebuchet MS"/>
                <w:szCs w:val="16"/>
              </w:rPr>
              <w:t>keuzevak bij profielvak (MaT)</w:t>
            </w:r>
          </w:p>
        </w:tc>
      </w:tr>
      <w:tr w:rsidRPr="00D86440" w:rsidR="00C43FA5" w:rsidTr="00FC2172" w14:paraId="79917136" w14:textId="77777777">
        <w:tc>
          <w:tcPr>
            <w:tcW w:w="983" w:type="pct"/>
          </w:tcPr>
          <w:p w:rsidRPr="00CF4882" w:rsidR="00C43FA5" w:rsidP="00FC2172" w:rsidRDefault="00C43FA5" w14:paraId="6C6BC74D" w14:textId="77777777">
            <w:pPr>
              <w:pStyle w:val="Tabeltekst"/>
              <w:rPr>
                <w:rFonts w:ascii="Trebuchet MS" w:hAnsi="Trebuchet MS"/>
                <w:szCs w:val="16"/>
              </w:rPr>
            </w:pPr>
          </w:p>
        </w:tc>
        <w:tc>
          <w:tcPr>
            <w:tcW w:w="2455" w:type="pct"/>
          </w:tcPr>
          <w:p w:rsidRPr="00CF4882" w:rsidR="00C43FA5" w:rsidP="00FC2172" w:rsidRDefault="00C43FA5" w14:paraId="7DC9D313" w14:textId="77777777">
            <w:pPr>
              <w:pStyle w:val="Tabelgetal"/>
              <w:jc w:val="left"/>
              <w:rPr>
                <w:rFonts w:ascii="Trebuchet MS" w:hAnsi="Trebuchet MS"/>
                <w:szCs w:val="16"/>
              </w:rPr>
            </w:pPr>
          </w:p>
        </w:tc>
        <w:tc>
          <w:tcPr>
            <w:tcW w:w="1562" w:type="pct"/>
          </w:tcPr>
          <w:p w:rsidRPr="00CF4882" w:rsidR="00C43FA5" w:rsidP="00FC2172" w:rsidRDefault="00C43FA5" w14:paraId="42B374B7" w14:textId="77777777">
            <w:pPr>
              <w:pStyle w:val="Tabelgetal"/>
              <w:jc w:val="left"/>
              <w:rPr>
                <w:rFonts w:ascii="Trebuchet MS" w:hAnsi="Trebuchet MS"/>
                <w:szCs w:val="16"/>
              </w:rPr>
            </w:pPr>
          </w:p>
        </w:tc>
      </w:tr>
      <w:tr w:rsidRPr="00D86440" w:rsidR="00C43FA5" w:rsidTr="00FC2172" w14:paraId="0EBCA713" w14:textId="77777777">
        <w:tc>
          <w:tcPr>
            <w:tcW w:w="983" w:type="pct"/>
            <w:hideMark/>
          </w:tcPr>
          <w:p w:rsidRPr="00D86440" w:rsidR="00C43FA5" w:rsidP="00FC2172" w:rsidRDefault="00C43FA5" w14:paraId="5BB11190" w14:textId="77777777">
            <w:pPr>
              <w:pStyle w:val="Tabeltekst"/>
              <w:rPr>
                <w:rFonts w:ascii="Trebuchet MS" w:hAnsi="Trebuchet MS"/>
                <w:szCs w:val="16"/>
              </w:rPr>
            </w:pPr>
            <w:r w:rsidRPr="00D86440">
              <w:rPr>
                <w:rFonts w:ascii="Trebuchet MS" w:hAnsi="Trebuchet MS"/>
                <w:szCs w:val="16"/>
              </w:rPr>
              <w:t>Profiel HBR</w:t>
            </w:r>
          </w:p>
        </w:tc>
        <w:tc>
          <w:tcPr>
            <w:tcW w:w="2455" w:type="pct"/>
            <w:hideMark/>
          </w:tcPr>
          <w:p w:rsidRPr="00CF4882" w:rsidR="00C43FA5" w:rsidP="00FC2172" w:rsidRDefault="00C43FA5" w14:paraId="32FB9F59" w14:textId="77777777">
            <w:pPr>
              <w:pStyle w:val="Tabelgetal"/>
              <w:jc w:val="left"/>
              <w:rPr>
                <w:rFonts w:ascii="Trebuchet MS" w:hAnsi="Trebuchet MS"/>
                <w:szCs w:val="16"/>
              </w:rPr>
            </w:pPr>
            <w:r w:rsidRPr="00CF4882">
              <w:rPr>
                <w:rFonts w:ascii="Trebuchet MS" w:hAnsi="Trebuchet MS"/>
                <w:szCs w:val="16"/>
              </w:rPr>
              <w:t>Consumptief breed (komt niet meer voor)</w:t>
            </w:r>
          </w:p>
          <w:p w:rsidRPr="00CF4882" w:rsidR="00C43FA5" w:rsidP="00FC2172" w:rsidRDefault="00C43FA5" w14:paraId="7A1CF198" w14:textId="77777777">
            <w:pPr>
              <w:pStyle w:val="Tabelgetal"/>
              <w:jc w:val="left"/>
              <w:rPr>
                <w:rFonts w:ascii="Trebuchet MS" w:hAnsi="Trebuchet MS"/>
                <w:szCs w:val="16"/>
              </w:rPr>
            </w:pPr>
            <w:r w:rsidRPr="00CF4882">
              <w:rPr>
                <w:rFonts w:ascii="Trebuchet MS" w:hAnsi="Trebuchet MS"/>
                <w:szCs w:val="16"/>
              </w:rPr>
              <w:t>Consumptieve techniek (komt niet meer voor)</w:t>
            </w:r>
          </w:p>
        </w:tc>
        <w:tc>
          <w:tcPr>
            <w:tcW w:w="1562" w:type="pct"/>
            <w:hideMark/>
          </w:tcPr>
          <w:p w:rsidRPr="00CF4882" w:rsidR="00C43FA5" w:rsidP="00FC2172" w:rsidRDefault="00C43FA5" w14:paraId="436D535F" w14:textId="77777777">
            <w:pPr>
              <w:pStyle w:val="Tabelgetal"/>
              <w:jc w:val="left"/>
              <w:rPr>
                <w:rFonts w:ascii="Trebuchet MS" w:hAnsi="Trebuchet MS"/>
                <w:szCs w:val="16"/>
              </w:rPr>
            </w:pPr>
            <w:r w:rsidRPr="00CF4882">
              <w:rPr>
                <w:rFonts w:ascii="Trebuchet MS" w:hAnsi="Trebuchet MS"/>
                <w:szCs w:val="16"/>
              </w:rPr>
              <w:t>profielvak (HBR)</w:t>
            </w:r>
          </w:p>
          <w:p w:rsidRPr="00CF4882" w:rsidR="00C43FA5" w:rsidP="00FC2172" w:rsidRDefault="00C43FA5" w14:paraId="542446CA" w14:textId="77777777">
            <w:pPr>
              <w:pStyle w:val="Tabelgetal"/>
              <w:jc w:val="left"/>
              <w:rPr>
                <w:rFonts w:ascii="Trebuchet MS" w:hAnsi="Trebuchet MS"/>
                <w:szCs w:val="16"/>
              </w:rPr>
            </w:pPr>
            <w:r w:rsidRPr="00CF4882">
              <w:rPr>
                <w:rFonts w:ascii="Trebuchet MS" w:hAnsi="Trebuchet MS"/>
                <w:szCs w:val="16"/>
              </w:rPr>
              <w:t>keuzevak bij profielvak (HBR)</w:t>
            </w:r>
          </w:p>
        </w:tc>
      </w:tr>
      <w:tr w:rsidRPr="00D86440" w:rsidR="00C43FA5" w:rsidTr="00FC2172" w14:paraId="0F7D8748" w14:textId="77777777">
        <w:tc>
          <w:tcPr>
            <w:tcW w:w="983" w:type="pct"/>
          </w:tcPr>
          <w:p w:rsidRPr="00CF4882" w:rsidR="00C43FA5" w:rsidP="00FC2172" w:rsidRDefault="00C43FA5" w14:paraId="766248C2" w14:textId="77777777">
            <w:pPr>
              <w:pStyle w:val="Tabeltekst"/>
              <w:rPr>
                <w:rFonts w:ascii="Trebuchet MS" w:hAnsi="Trebuchet MS"/>
                <w:szCs w:val="16"/>
              </w:rPr>
            </w:pPr>
          </w:p>
        </w:tc>
        <w:tc>
          <w:tcPr>
            <w:tcW w:w="2455" w:type="pct"/>
          </w:tcPr>
          <w:p w:rsidRPr="00CF4882" w:rsidR="00C43FA5" w:rsidP="00FC2172" w:rsidRDefault="00C43FA5" w14:paraId="338E37E8" w14:textId="77777777">
            <w:pPr>
              <w:pStyle w:val="Tabelgetal"/>
              <w:jc w:val="left"/>
              <w:rPr>
                <w:rFonts w:ascii="Trebuchet MS" w:hAnsi="Trebuchet MS"/>
                <w:szCs w:val="16"/>
              </w:rPr>
            </w:pPr>
          </w:p>
        </w:tc>
        <w:tc>
          <w:tcPr>
            <w:tcW w:w="1562" w:type="pct"/>
          </w:tcPr>
          <w:p w:rsidRPr="00CF4882" w:rsidR="00C43FA5" w:rsidP="00FC2172" w:rsidRDefault="00C43FA5" w14:paraId="72039BD1" w14:textId="77777777">
            <w:pPr>
              <w:pStyle w:val="Tabelgetal"/>
              <w:jc w:val="left"/>
              <w:rPr>
                <w:rFonts w:ascii="Trebuchet MS" w:hAnsi="Trebuchet MS"/>
                <w:szCs w:val="16"/>
              </w:rPr>
            </w:pPr>
          </w:p>
        </w:tc>
      </w:tr>
      <w:tr w:rsidRPr="00D86440" w:rsidR="00C43FA5" w:rsidTr="00FC2172" w14:paraId="0ECD5A28" w14:textId="77777777">
        <w:tc>
          <w:tcPr>
            <w:tcW w:w="983" w:type="pct"/>
            <w:hideMark/>
          </w:tcPr>
          <w:p w:rsidRPr="00D86440" w:rsidR="00C43FA5" w:rsidP="00FC2172" w:rsidRDefault="00C43FA5" w14:paraId="5DBB8D6D" w14:textId="77777777">
            <w:pPr>
              <w:pStyle w:val="Tabeltekst"/>
              <w:rPr>
                <w:rFonts w:ascii="Trebuchet MS" w:hAnsi="Trebuchet MS"/>
                <w:szCs w:val="16"/>
              </w:rPr>
            </w:pPr>
            <w:r w:rsidRPr="00D86440">
              <w:rPr>
                <w:rFonts w:ascii="Trebuchet MS" w:hAnsi="Trebuchet MS"/>
                <w:szCs w:val="16"/>
              </w:rPr>
              <w:t>Profiel Z&amp;W</w:t>
            </w:r>
          </w:p>
        </w:tc>
        <w:tc>
          <w:tcPr>
            <w:tcW w:w="2455" w:type="pct"/>
            <w:hideMark/>
          </w:tcPr>
          <w:p w:rsidRPr="00CF4882" w:rsidR="00C43FA5" w:rsidP="00FC2172" w:rsidRDefault="00C43FA5" w14:paraId="7F2D783E" w14:textId="77777777">
            <w:pPr>
              <w:pStyle w:val="Tabelgetal"/>
              <w:jc w:val="left"/>
              <w:rPr>
                <w:rFonts w:ascii="Trebuchet MS" w:hAnsi="Trebuchet MS"/>
                <w:szCs w:val="16"/>
              </w:rPr>
            </w:pPr>
            <w:r w:rsidRPr="00CF4882">
              <w:rPr>
                <w:rFonts w:ascii="Trebuchet MS" w:hAnsi="Trebuchet MS"/>
                <w:szCs w:val="16"/>
              </w:rPr>
              <w:t>Uiterlijke verzorging (komt niet meer voor)</w:t>
            </w:r>
          </w:p>
          <w:p w:rsidRPr="00CF4882" w:rsidR="00C43FA5" w:rsidP="00FC2172" w:rsidRDefault="00C43FA5" w14:paraId="0E6AE713" w14:textId="77777777">
            <w:pPr>
              <w:pStyle w:val="Tabelgetal"/>
              <w:jc w:val="left"/>
              <w:rPr>
                <w:rFonts w:ascii="Trebuchet MS" w:hAnsi="Trebuchet MS"/>
                <w:szCs w:val="16"/>
              </w:rPr>
            </w:pPr>
            <w:r w:rsidRPr="00CF4882">
              <w:rPr>
                <w:rFonts w:ascii="Trebuchet MS" w:hAnsi="Trebuchet MS"/>
                <w:szCs w:val="16"/>
              </w:rPr>
              <w:t>Verzorging (komt niet meer voor)</w:t>
            </w:r>
          </w:p>
          <w:p w:rsidRPr="00D86440" w:rsidR="00C43FA5" w:rsidP="00FC2172" w:rsidRDefault="00C43FA5" w14:paraId="362F83D1" w14:textId="77777777">
            <w:pPr>
              <w:pStyle w:val="Tabelgetal"/>
              <w:jc w:val="left"/>
              <w:rPr>
                <w:rFonts w:ascii="Trebuchet MS" w:hAnsi="Trebuchet MS"/>
                <w:szCs w:val="16"/>
              </w:rPr>
            </w:pPr>
            <w:r w:rsidRPr="00D86440">
              <w:rPr>
                <w:rFonts w:ascii="Trebuchet MS" w:hAnsi="Trebuchet MS"/>
                <w:szCs w:val="16"/>
              </w:rPr>
              <w:t>Biologie en verzorging</w:t>
            </w:r>
          </w:p>
        </w:tc>
        <w:tc>
          <w:tcPr>
            <w:tcW w:w="1562" w:type="pct"/>
            <w:hideMark/>
          </w:tcPr>
          <w:p w:rsidRPr="00CF4882" w:rsidR="00C43FA5" w:rsidP="00FC2172" w:rsidRDefault="00C43FA5" w14:paraId="57E0C071" w14:textId="77777777">
            <w:pPr>
              <w:pStyle w:val="Tabelgetal"/>
              <w:jc w:val="left"/>
              <w:rPr>
                <w:rFonts w:ascii="Trebuchet MS" w:hAnsi="Trebuchet MS"/>
                <w:szCs w:val="16"/>
              </w:rPr>
            </w:pPr>
            <w:r w:rsidRPr="00CF4882">
              <w:rPr>
                <w:rFonts w:ascii="Trebuchet MS" w:hAnsi="Trebuchet MS"/>
                <w:szCs w:val="16"/>
              </w:rPr>
              <w:t>profielvak (Z&amp;W)</w:t>
            </w:r>
          </w:p>
          <w:p w:rsidRPr="00CF4882" w:rsidR="00C43FA5" w:rsidP="00FC2172" w:rsidRDefault="00C43FA5" w14:paraId="64438EE2" w14:textId="77777777">
            <w:pPr>
              <w:pStyle w:val="Tabelgetal"/>
              <w:jc w:val="left"/>
              <w:rPr>
                <w:rFonts w:ascii="Trebuchet MS" w:hAnsi="Trebuchet MS"/>
                <w:szCs w:val="16"/>
              </w:rPr>
            </w:pPr>
            <w:r w:rsidRPr="00CF4882">
              <w:rPr>
                <w:rFonts w:ascii="Trebuchet MS" w:hAnsi="Trebuchet MS"/>
                <w:szCs w:val="16"/>
              </w:rPr>
              <w:t>keuzevak bij profielvak (Z&amp;W)</w:t>
            </w:r>
          </w:p>
        </w:tc>
      </w:tr>
      <w:tr w:rsidRPr="00D86440" w:rsidR="00C43FA5" w:rsidTr="00FC2172" w14:paraId="57560899" w14:textId="77777777">
        <w:tc>
          <w:tcPr>
            <w:tcW w:w="983" w:type="pct"/>
          </w:tcPr>
          <w:p w:rsidRPr="00CF4882" w:rsidR="00C43FA5" w:rsidP="00FC2172" w:rsidRDefault="00C43FA5" w14:paraId="77087324" w14:textId="77777777">
            <w:pPr>
              <w:pStyle w:val="Tabeltekst"/>
              <w:rPr>
                <w:rFonts w:ascii="Trebuchet MS" w:hAnsi="Trebuchet MS"/>
                <w:szCs w:val="16"/>
              </w:rPr>
            </w:pPr>
          </w:p>
        </w:tc>
        <w:tc>
          <w:tcPr>
            <w:tcW w:w="2455" w:type="pct"/>
          </w:tcPr>
          <w:p w:rsidRPr="00CF4882" w:rsidR="00C43FA5" w:rsidP="00FC2172" w:rsidRDefault="00C43FA5" w14:paraId="1A361847" w14:textId="77777777">
            <w:pPr>
              <w:pStyle w:val="Tabelgetal"/>
              <w:jc w:val="left"/>
              <w:rPr>
                <w:rFonts w:ascii="Trebuchet MS" w:hAnsi="Trebuchet MS"/>
                <w:szCs w:val="16"/>
              </w:rPr>
            </w:pPr>
          </w:p>
        </w:tc>
        <w:tc>
          <w:tcPr>
            <w:tcW w:w="1562" w:type="pct"/>
          </w:tcPr>
          <w:p w:rsidRPr="00CF4882" w:rsidR="00C43FA5" w:rsidP="00FC2172" w:rsidRDefault="00C43FA5" w14:paraId="284E1A5C" w14:textId="77777777">
            <w:pPr>
              <w:pStyle w:val="Tabelgetal"/>
              <w:jc w:val="left"/>
              <w:rPr>
                <w:rFonts w:ascii="Trebuchet MS" w:hAnsi="Trebuchet MS"/>
                <w:szCs w:val="16"/>
              </w:rPr>
            </w:pPr>
          </w:p>
        </w:tc>
      </w:tr>
      <w:tr w:rsidRPr="00D86440" w:rsidR="00C43FA5" w:rsidTr="00FC2172" w14:paraId="539DB1AF" w14:textId="77777777">
        <w:tc>
          <w:tcPr>
            <w:tcW w:w="983" w:type="pct"/>
            <w:hideMark/>
          </w:tcPr>
          <w:p w:rsidRPr="00D86440" w:rsidR="00C43FA5" w:rsidP="00FC2172" w:rsidRDefault="00C43FA5" w14:paraId="1A94B2DF" w14:textId="77777777">
            <w:pPr>
              <w:pStyle w:val="Tabeltekst"/>
              <w:rPr>
                <w:rFonts w:ascii="Trebuchet MS" w:hAnsi="Trebuchet MS"/>
                <w:szCs w:val="16"/>
              </w:rPr>
            </w:pPr>
            <w:r w:rsidRPr="00D86440">
              <w:rPr>
                <w:rFonts w:ascii="Trebuchet MS" w:hAnsi="Trebuchet MS"/>
                <w:szCs w:val="16"/>
              </w:rPr>
              <w:t>Profiel Groen</w:t>
            </w:r>
          </w:p>
        </w:tc>
        <w:tc>
          <w:tcPr>
            <w:tcW w:w="2455" w:type="pct"/>
          </w:tcPr>
          <w:p w:rsidRPr="00CF4882" w:rsidR="00C43FA5" w:rsidP="00FC2172" w:rsidRDefault="00C43FA5" w14:paraId="559ECDF5" w14:textId="77777777">
            <w:pPr>
              <w:pStyle w:val="Tabelgetal"/>
              <w:jc w:val="left"/>
              <w:rPr>
                <w:rFonts w:ascii="Trebuchet MS" w:hAnsi="Trebuchet MS"/>
                <w:szCs w:val="16"/>
              </w:rPr>
            </w:pPr>
            <w:r w:rsidRPr="00CF4882">
              <w:rPr>
                <w:rFonts w:ascii="Trebuchet MS" w:hAnsi="Trebuchet MS"/>
                <w:szCs w:val="16"/>
              </w:rPr>
              <w:t>Agrarische vakken/landbouw (komt niet meer voor)</w:t>
            </w:r>
          </w:p>
          <w:p w:rsidRPr="00CF4882" w:rsidR="00C43FA5" w:rsidP="00FC2172" w:rsidRDefault="00C43FA5" w14:paraId="48500BA4" w14:textId="77777777">
            <w:pPr>
              <w:pStyle w:val="Tabelgetal"/>
              <w:jc w:val="left"/>
              <w:rPr>
                <w:rFonts w:ascii="Trebuchet MS" w:hAnsi="Trebuchet MS"/>
                <w:szCs w:val="16"/>
              </w:rPr>
            </w:pPr>
          </w:p>
        </w:tc>
        <w:tc>
          <w:tcPr>
            <w:tcW w:w="1562" w:type="pct"/>
            <w:hideMark/>
          </w:tcPr>
          <w:p w:rsidRPr="00CF4882" w:rsidR="00C43FA5" w:rsidP="00FC2172" w:rsidRDefault="00C43FA5" w14:paraId="41DB7209" w14:textId="77777777">
            <w:pPr>
              <w:pStyle w:val="Tabelgetal"/>
              <w:jc w:val="left"/>
              <w:rPr>
                <w:rFonts w:ascii="Trebuchet MS" w:hAnsi="Trebuchet MS"/>
                <w:szCs w:val="16"/>
              </w:rPr>
            </w:pPr>
            <w:r w:rsidRPr="00CF4882">
              <w:rPr>
                <w:rFonts w:ascii="Trebuchet MS" w:hAnsi="Trebuchet MS"/>
                <w:szCs w:val="16"/>
              </w:rPr>
              <w:t>profielvak (Groen)</w:t>
            </w:r>
          </w:p>
          <w:p w:rsidRPr="00CF4882" w:rsidR="00C43FA5" w:rsidP="00FC2172" w:rsidRDefault="00C43FA5" w14:paraId="1AB2ACD9" w14:textId="77777777">
            <w:pPr>
              <w:pStyle w:val="Tabelgetal"/>
              <w:jc w:val="left"/>
              <w:rPr>
                <w:rFonts w:ascii="Trebuchet MS" w:hAnsi="Trebuchet MS"/>
                <w:szCs w:val="16"/>
              </w:rPr>
            </w:pPr>
            <w:r w:rsidRPr="00CF4882">
              <w:rPr>
                <w:rFonts w:ascii="Trebuchet MS" w:hAnsi="Trebuchet MS"/>
                <w:szCs w:val="16"/>
              </w:rPr>
              <w:t>keuzevak bij profielvak (Groen)</w:t>
            </w:r>
          </w:p>
        </w:tc>
      </w:tr>
      <w:tr w:rsidRPr="00D86440" w:rsidR="00C43FA5" w:rsidTr="00FC2172" w14:paraId="0902DA48" w14:textId="77777777">
        <w:tc>
          <w:tcPr>
            <w:tcW w:w="983" w:type="pct"/>
          </w:tcPr>
          <w:p w:rsidRPr="00CF4882" w:rsidR="00C43FA5" w:rsidP="00FC2172" w:rsidRDefault="00C43FA5" w14:paraId="63B670E5" w14:textId="77777777">
            <w:pPr>
              <w:pStyle w:val="Tabeltekst"/>
              <w:rPr>
                <w:rFonts w:ascii="Trebuchet MS" w:hAnsi="Trebuchet MS"/>
                <w:szCs w:val="16"/>
              </w:rPr>
            </w:pPr>
          </w:p>
        </w:tc>
        <w:tc>
          <w:tcPr>
            <w:tcW w:w="2455" w:type="pct"/>
          </w:tcPr>
          <w:p w:rsidRPr="00CF4882" w:rsidR="00C43FA5" w:rsidP="00FC2172" w:rsidRDefault="00C43FA5" w14:paraId="6915F7BA" w14:textId="77777777">
            <w:pPr>
              <w:pStyle w:val="Tabelgetal"/>
              <w:jc w:val="left"/>
              <w:rPr>
                <w:rFonts w:ascii="Trebuchet MS" w:hAnsi="Trebuchet MS"/>
                <w:szCs w:val="16"/>
              </w:rPr>
            </w:pPr>
          </w:p>
        </w:tc>
        <w:tc>
          <w:tcPr>
            <w:tcW w:w="1562" w:type="pct"/>
          </w:tcPr>
          <w:p w:rsidRPr="00CF4882" w:rsidR="00C43FA5" w:rsidP="00FC2172" w:rsidRDefault="00C43FA5" w14:paraId="0ACD820D" w14:textId="77777777">
            <w:pPr>
              <w:pStyle w:val="Tabelgetal"/>
              <w:jc w:val="left"/>
              <w:rPr>
                <w:rFonts w:ascii="Trebuchet MS" w:hAnsi="Trebuchet MS"/>
                <w:szCs w:val="16"/>
              </w:rPr>
            </w:pPr>
          </w:p>
        </w:tc>
      </w:tr>
      <w:tr w:rsidRPr="00D86440" w:rsidR="00C43FA5" w:rsidTr="00FC2172" w14:paraId="223CC9A4" w14:textId="77777777">
        <w:tc>
          <w:tcPr>
            <w:tcW w:w="983" w:type="pct"/>
            <w:hideMark/>
          </w:tcPr>
          <w:p w:rsidRPr="00D86440" w:rsidR="00C43FA5" w:rsidP="00FC2172" w:rsidRDefault="00C43FA5" w14:paraId="4D7CC06A" w14:textId="77777777">
            <w:pPr>
              <w:pStyle w:val="Tabeltekst"/>
              <w:rPr>
                <w:rFonts w:ascii="Trebuchet MS" w:hAnsi="Trebuchet MS"/>
                <w:szCs w:val="16"/>
              </w:rPr>
            </w:pPr>
            <w:r w:rsidRPr="00D86440">
              <w:rPr>
                <w:rFonts w:ascii="Trebuchet MS" w:hAnsi="Trebuchet MS"/>
                <w:szCs w:val="16"/>
              </w:rPr>
              <w:t>Profiel E&amp;O</w:t>
            </w:r>
          </w:p>
        </w:tc>
        <w:tc>
          <w:tcPr>
            <w:tcW w:w="2455" w:type="pct"/>
            <w:hideMark/>
          </w:tcPr>
          <w:p w:rsidRPr="00CF4882" w:rsidR="00C43FA5" w:rsidP="00FC2172" w:rsidRDefault="00C43FA5" w14:paraId="45EE8E8E" w14:textId="77777777">
            <w:pPr>
              <w:pStyle w:val="Tabelgetal"/>
              <w:jc w:val="left"/>
              <w:rPr>
                <w:rFonts w:ascii="Trebuchet MS" w:hAnsi="Trebuchet MS"/>
                <w:szCs w:val="16"/>
              </w:rPr>
            </w:pPr>
            <w:r w:rsidRPr="00CF4882">
              <w:rPr>
                <w:rFonts w:ascii="Trebuchet MS" w:hAnsi="Trebuchet MS"/>
                <w:szCs w:val="16"/>
              </w:rPr>
              <w:t>Administratie (komt niet meer voor)</w:t>
            </w:r>
          </w:p>
          <w:p w:rsidRPr="00CF4882" w:rsidR="00C43FA5" w:rsidP="00FC2172" w:rsidRDefault="00C43FA5" w14:paraId="6BDFB493" w14:textId="77777777">
            <w:pPr>
              <w:pStyle w:val="Tabelgetal"/>
              <w:jc w:val="left"/>
              <w:rPr>
                <w:rFonts w:ascii="Trebuchet MS" w:hAnsi="Trebuchet MS"/>
                <w:szCs w:val="16"/>
              </w:rPr>
            </w:pPr>
            <w:r w:rsidRPr="00CF4882">
              <w:rPr>
                <w:rFonts w:ascii="Trebuchet MS" w:hAnsi="Trebuchet MS"/>
                <w:szCs w:val="16"/>
              </w:rPr>
              <w:t>Mode &amp; commercie (komt niet meer voor)</w:t>
            </w:r>
          </w:p>
          <w:p w:rsidRPr="00CF4882" w:rsidR="00C43FA5" w:rsidP="00FC2172" w:rsidRDefault="00C43FA5" w14:paraId="001F6730" w14:textId="77777777">
            <w:pPr>
              <w:pStyle w:val="Tabelgetal"/>
              <w:jc w:val="left"/>
              <w:rPr>
                <w:rFonts w:ascii="Trebuchet MS" w:hAnsi="Trebuchet MS"/>
                <w:szCs w:val="16"/>
              </w:rPr>
            </w:pPr>
            <w:r w:rsidRPr="00CF4882">
              <w:rPr>
                <w:rFonts w:ascii="Trebuchet MS" w:hAnsi="Trebuchet MS"/>
                <w:szCs w:val="16"/>
              </w:rPr>
              <w:t>Handel en administratie (komt niet meer voor)</w:t>
            </w:r>
          </w:p>
          <w:p w:rsidRPr="00CF4882" w:rsidR="00C43FA5" w:rsidP="00FC2172" w:rsidRDefault="00C43FA5" w14:paraId="4FC6529C" w14:textId="77777777">
            <w:pPr>
              <w:pStyle w:val="Tabelgetal"/>
              <w:jc w:val="left"/>
              <w:rPr>
                <w:rFonts w:ascii="Trebuchet MS" w:hAnsi="Trebuchet MS"/>
                <w:szCs w:val="16"/>
              </w:rPr>
            </w:pPr>
            <w:r w:rsidRPr="00CF4882">
              <w:rPr>
                <w:rFonts w:ascii="Trebuchet MS" w:hAnsi="Trebuchet MS"/>
                <w:szCs w:val="16"/>
              </w:rPr>
              <w:t>Handel en verkoop (komt niet meer voor)</w:t>
            </w:r>
          </w:p>
        </w:tc>
        <w:tc>
          <w:tcPr>
            <w:tcW w:w="1562" w:type="pct"/>
            <w:hideMark/>
          </w:tcPr>
          <w:p w:rsidRPr="00CF4882" w:rsidR="00C43FA5" w:rsidP="00FC2172" w:rsidRDefault="00C43FA5" w14:paraId="065C1107" w14:textId="77777777">
            <w:pPr>
              <w:pStyle w:val="Tabelgetal"/>
              <w:jc w:val="left"/>
              <w:rPr>
                <w:rFonts w:ascii="Trebuchet MS" w:hAnsi="Trebuchet MS"/>
                <w:szCs w:val="16"/>
              </w:rPr>
            </w:pPr>
            <w:r w:rsidRPr="00CF4882">
              <w:rPr>
                <w:rFonts w:ascii="Trebuchet MS" w:hAnsi="Trebuchet MS"/>
                <w:szCs w:val="16"/>
              </w:rPr>
              <w:t>profielvak (E&amp;O)</w:t>
            </w:r>
          </w:p>
          <w:p w:rsidRPr="00CF4882" w:rsidR="00C43FA5" w:rsidP="00FC2172" w:rsidRDefault="00C43FA5" w14:paraId="1506000E" w14:textId="77777777">
            <w:pPr>
              <w:pStyle w:val="Tabelgetal"/>
              <w:jc w:val="left"/>
              <w:rPr>
                <w:rFonts w:ascii="Trebuchet MS" w:hAnsi="Trebuchet MS"/>
                <w:szCs w:val="16"/>
              </w:rPr>
            </w:pPr>
            <w:r w:rsidRPr="00CF4882">
              <w:rPr>
                <w:rFonts w:ascii="Trebuchet MS" w:hAnsi="Trebuchet MS"/>
                <w:szCs w:val="16"/>
              </w:rPr>
              <w:t>keuzevak bij profielvak (E&amp;O)</w:t>
            </w:r>
          </w:p>
        </w:tc>
      </w:tr>
      <w:tr w:rsidRPr="00D86440" w:rsidR="00C43FA5" w:rsidTr="00FC2172" w14:paraId="61C470DE" w14:textId="77777777">
        <w:tc>
          <w:tcPr>
            <w:tcW w:w="983" w:type="pct"/>
          </w:tcPr>
          <w:p w:rsidRPr="00CF4882" w:rsidR="00C43FA5" w:rsidP="00FC2172" w:rsidRDefault="00C43FA5" w14:paraId="11106708" w14:textId="77777777">
            <w:pPr>
              <w:pStyle w:val="Tabeltekst"/>
              <w:rPr>
                <w:rFonts w:ascii="Trebuchet MS" w:hAnsi="Trebuchet MS"/>
                <w:szCs w:val="16"/>
              </w:rPr>
            </w:pPr>
          </w:p>
        </w:tc>
        <w:tc>
          <w:tcPr>
            <w:tcW w:w="2455" w:type="pct"/>
          </w:tcPr>
          <w:p w:rsidRPr="00CF4882" w:rsidR="00C43FA5" w:rsidP="00FC2172" w:rsidRDefault="00C43FA5" w14:paraId="3D4D5833" w14:textId="77777777">
            <w:pPr>
              <w:pStyle w:val="Tabelgetal"/>
              <w:jc w:val="left"/>
              <w:rPr>
                <w:rFonts w:ascii="Trebuchet MS" w:hAnsi="Trebuchet MS"/>
                <w:szCs w:val="16"/>
              </w:rPr>
            </w:pPr>
          </w:p>
        </w:tc>
        <w:tc>
          <w:tcPr>
            <w:tcW w:w="1562" w:type="pct"/>
          </w:tcPr>
          <w:p w:rsidRPr="00CF4882" w:rsidR="00C43FA5" w:rsidP="00FC2172" w:rsidRDefault="00C43FA5" w14:paraId="5B3D8281" w14:textId="77777777">
            <w:pPr>
              <w:pStyle w:val="Tabelgetal"/>
              <w:jc w:val="left"/>
              <w:rPr>
                <w:rFonts w:ascii="Trebuchet MS" w:hAnsi="Trebuchet MS"/>
                <w:szCs w:val="16"/>
              </w:rPr>
            </w:pPr>
          </w:p>
        </w:tc>
      </w:tr>
      <w:tr w:rsidRPr="00D86440" w:rsidR="00C43FA5" w:rsidTr="00FC2172" w14:paraId="0A6D52AA" w14:textId="77777777">
        <w:tc>
          <w:tcPr>
            <w:tcW w:w="983" w:type="pct"/>
            <w:hideMark/>
          </w:tcPr>
          <w:p w:rsidRPr="00D86440" w:rsidR="00C43FA5" w:rsidP="00FC2172" w:rsidRDefault="00C43FA5" w14:paraId="482AE4F7" w14:textId="77777777">
            <w:pPr>
              <w:pStyle w:val="Tabeltekst"/>
              <w:rPr>
                <w:rFonts w:ascii="Trebuchet MS" w:hAnsi="Trebuchet MS"/>
                <w:szCs w:val="16"/>
              </w:rPr>
            </w:pPr>
            <w:r w:rsidRPr="00D86440">
              <w:rPr>
                <w:rFonts w:ascii="Trebuchet MS" w:hAnsi="Trebuchet MS"/>
                <w:szCs w:val="16"/>
              </w:rPr>
              <w:t>Profiel D&amp;P</w:t>
            </w:r>
          </w:p>
        </w:tc>
        <w:tc>
          <w:tcPr>
            <w:tcW w:w="2455" w:type="pct"/>
            <w:hideMark/>
          </w:tcPr>
          <w:p w:rsidRPr="00CF4882" w:rsidR="00C43FA5" w:rsidP="00FC2172" w:rsidRDefault="00C43FA5" w14:paraId="309EBC49" w14:textId="77777777">
            <w:pPr>
              <w:pStyle w:val="Tabelgetal"/>
              <w:jc w:val="left"/>
              <w:rPr>
                <w:rFonts w:ascii="Trebuchet MS" w:hAnsi="Trebuchet MS"/>
                <w:szCs w:val="16"/>
              </w:rPr>
            </w:pPr>
            <w:r w:rsidRPr="00CF4882">
              <w:rPr>
                <w:rFonts w:ascii="Trebuchet MS" w:hAnsi="Trebuchet MS"/>
                <w:szCs w:val="16"/>
              </w:rPr>
              <w:t>Sport dienstverlening en veiligheid (komt niet meer voor)</w:t>
            </w:r>
          </w:p>
          <w:p w:rsidRPr="00CF4882" w:rsidR="00C43FA5" w:rsidP="00FC2172" w:rsidRDefault="00C43FA5" w14:paraId="54AA0D37" w14:textId="77777777">
            <w:pPr>
              <w:pStyle w:val="Tabelgetal"/>
              <w:jc w:val="left"/>
              <w:rPr>
                <w:rFonts w:ascii="Trebuchet MS" w:hAnsi="Trebuchet MS"/>
                <w:szCs w:val="16"/>
              </w:rPr>
            </w:pPr>
            <w:r w:rsidRPr="00CF4882">
              <w:rPr>
                <w:rFonts w:ascii="Trebuchet MS" w:hAnsi="Trebuchet MS"/>
                <w:szCs w:val="16"/>
              </w:rPr>
              <w:t>ICT-route (komt niet meer voor)</w:t>
            </w:r>
          </w:p>
        </w:tc>
        <w:tc>
          <w:tcPr>
            <w:tcW w:w="1562" w:type="pct"/>
            <w:hideMark/>
          </w:tcPr>
          <w:p w:rsidRPr="00CF4882" w:rsidR="00C43FA5" w:rsidP="00FC2172" w:rsidRDefault="00C43FA5" w14:paraId="1AC9E8E0" w14:textId="77777777">
            <w:pPr>
              <w:pStyle w:val="Tabelgetal"/>
              <w:jc w:val="left"/>
              <w:rPr>
                <w:rFonts w:ascii="Trebuchet MS" w:hAnsi="Trebuchet MS"/>
                <w:szCs w:val="16"/>
              </w:rPr>
            </w:pPr>
            <w:r w:rsidRPr="00CF4882">
              <w:rPr>
                <w:rFonts w:ascii="Trebuchet MS" w:hAnsi="Trebuchet MS"/>
                <w:szCs w:val="16"/>
              </w:rPr>
              <w:t>profielvak (D&amp;P)</w:t>
            </w:r>
          </w:p>
          <w:p w:rsidRPr="00CF4882" w:rsidR="00C43FA5" w:rsidP="00FC2172" w:rsidRDefault="00C43FA5" w14:paraId="4EF79072" w14:textId="77777777">
            <w:pPr>
              <w:pStyle w:val="Tabelgetal"/>
              <w:jc w:val="left"/>
              <w:rPr>
                <w:rFonts w:ascii="Trebuchet MS" w:hAnsi="Trebuchet MS"/>
                <w:szCs w:val="16"/>
              </w:rPr>
            </w:pPr>
            <w:r w:rsidRPr="00CF4882">
              <w:rPr>
                <w:rFonts w:ascii="Trebuchet MS" w:hAnsi="Trebuchet MS"/>
                <w:szCs w:val="16"/>
              </w:rPr>
              <w:t>keuzevak bij profielvak (D&amp;P)</w:t>
            </w:r>
          </w:p>
        </w:tc>
      </w:tr>
    </w:tbl>
    <w:p w:rsidRPr="00A45539" w:rsidR="00C43FA5" w:rsidP="00C43FA5" w:rsidRDefault="00C43FA5" w14:paraId="1F08F0CB" w14:textId="77777777">
      <w:pPr>
        <w:rPr>
          <w:szCs w:val="18"/>
        </w:rPr>
      </w:pPr>
    </w:p>
    <w:p w:rsidR="00C43FA5" w:rsidP="00C43FA5" w:rsidRDefault="00C43FA5" w14:paraId="350A5597" w14:textId="77777777">
      <w:pPr>
        <w:spacing w:after="160" w:line="259" w:lineRule="auto"/>
        <w:rPr>
          <w:bCs/>
          <w:i/>
          <w:szCs w:val="18"/>
        </w:rPr>
      </w:pPr>
      <w:r>
        <w:br w:type="page"/>
      </w:r>
    </w:p>
    <w:p w:rsidRPr="00A45539" w:rsidR="00C43FA5" w:rsidP="00C43FA5" w:rsidRDefault="00C43FA5" w14:paraId="68826462" w14:textId="70607B4D">
      <w:pPr>
        <w:pStyle w:val="Bijschrift"/>
      </w:pPr>
      <w:r w:rsidRPr="00A45539">
        <w:lastRenderedPageBreak/>
        <w:t xml:space="preserve">Tabel </w:t>
      </w:r>
      <w:r>
        <w:t>B</w:t>
      </w:r>
      <w:r w:rsidR="00AE1506">
        <w:t>4</w:t>
      </w:r>
      <w:r w:rsidRPr="00A45539">
        <w:t>.</w:t>
      </w:r>
      <w:r>
        <w:fldChar w:fldCharType="begin"/>
      </w:r>
      <w:r>
        <w:instrText xml:space="preserve"> SEQ Tabel_A. \* ARABIC </w:instrText>
      </w:r>
      <w:r>
        <w:fldChar w:fldCharType="separate"/>
      </w:r>
      <w:r>
        <w:rPr>
          <w:noProof/>
        </w:rPr>
        <w:t>2</w:t>
      </w:r>
      <w:r>
        <w:rPr>
          <w:noProof/>
        </w:rPr>
        <w:fldChar w:fldCharType="end"/>
      </w:r>
      <w:r w:rsidRPr="00A45539">
        <w:tab/>
        <w:t>Avo-vakken</w:t>
      </w:r>
    </w:p>
    <w:tbl>
      <w:tblPr>
        <w:tblStyle w:val="Tabelrasterlicht"/>
        <w:tblW w:w="5000" w:type="pct"/>
        <w:tblLook w:val="04A0" w:firstRow="1" w:lastRow="0" w:firstColumn="1" w:lastColumn="0" w:noHBand="0" w:noVBand="1"/>
      </w:tblPr>
      <w:tblGrid>
        <w:gridCol w:w="2171"/>
        <w:gridCol w:w="3841"/>
        <w:gridCol w:w="3338"/>
      </w:tblGrid>
      <w:tr w:rsidRPr="00D86440" w:rsidR="00C43FA5" w:rsidTr="00FC2172" w14:paraId="22A66DAD" w14:textId="77777777">
        <w:tc>
          <w:tcPr>
            <w:tcW w:w="1161" w:type="pct"/>
            <w:hideMark/>
          </w:tcPr>
          <w:p w:rsidRPr="00D86440" w:rsidR="00C43FA5" w:rsidP="00FC2172" w:rsidRDefault="00C43FA5" w14:paraId="6D51FE55" w14:textId="77777777">
            <w:pPr>
              <w:pStyle w:val="TabelKopje"/>
              <w:rPr>
                <w:sz w:val="16"/>
                <w:szCs w:val="16"/>
              </w:rPr>
            </w:pPr>
            <w:r w:rsidRPr="00D86440">
              <w:rPr>
                <w:sz w:val="16"/>
                <w:szCs w:val="16"/>
              </w:rPr>
              <w:t>Avo</w:t>
            </w:r>
          </w:p>
        </w:tc>
        <w:tc>
          <w:tcPr>
            <w:tcW w:w="3839" w:type="pct"/>
            <w:gridSpan w:val="2"/>
            <w:hideMark/>
          </w:tcPr>
          <w:p w:rsidRPr="00D86440" w:rsidR="00C43FA5" w:rsidP="00FC2172" w:rsidRDefault="00C43FA5" w14:paraId="7D96F0F2" w14:textId="77777777">
            <w:pPr>
              <w:pStyle w:val="TabelKopje"/>
              <w:rPr>
                <w:sz w:val="16"/>
                <w:szCs w:val="16"/>
              </w:rPr>
            </w:pPr>
            <w:r w:rsidRPr="00D86440">
              <w:rPr>
                <w:sz w:val="16"/>
                <w:szCs w:val="16"/>
              </w:rPr>
              <w:t>Vakken behorend tot avo</w:t>
            </w:r>
          </w:p>
        </w:tc>
      </w:tr>
      <w:tr w:rsidRPr="00D86440" w:rsidR="00C43FA5" w:rsidTr="00FC2172" w14:paraId="5CF1382D" w14:textId="77777777">
        <w:tc>
          <w:tcPr>
            <w:tcW w:w="1161" w:type="pct"/>
            <w:hideMark/>
          </w:tcPr>
          <w:p w:rsidRPr="00D86440" w:rsidR="00C43FA5" w:rsidP="00FC2172" w:rsidRDefault="00C43FA5" w14:paraId="65CA3FC4" w14:textId="77777777">
            <w:pPr>
              <w:pStyle w:val="Tabeltekst"/>
              <w:rPr>
                <w:rFonts w:ascii="Trebuchet MS" w:hAnsi="Trebuchet MS"/>
                <w:szCs w:val="16"/>
              </w:rPr>
            </w:pPr>
            <w:r w:rsidRPr="00D86440">
              <w:rPr>
                <w:rFonts w:ascii="Trebuchet MS" w:hAnsi="Trebuchet MS"/>
                <w:szCs w:val="16"/>
              </w:rPr>
              <w:t>Avo-vakken</w:t>
            </w:r>
          </w:p>
        </w:tc>
        <w:tc>
          <w:tcPr>
            <w:tcW w:w="2054" w:type="pct"/>
            <w:hideMark/>
          </w:tcPr>
          <w:p w:rsidRPr="00CF4882" w:rsidR="00C43FA5" w:rsidP="00FC2172" w:rsidRDefault="00C43FA5" w14:paraId="1AFD2BB4" w14:textId="77777777">
            <w:pPr>
              <w:pStyle w:val="Tabelgetal"/>
              <w:jc w:val="left"/>
              <w:rPr>
                <w:rFonts w:ascii="Trebuchet MS" w:hAnsi="Trebuchet MS"/>
                <w:szCs w:val="16"/>
              </w:rPr>
            </w:pPr>
            <w:r w:rsidRPr="00CF4882">
              <w:rPr>
                <w:rFonts w:ascii="Trebuchet MS" w:hAnsi="Trebuchet MS"/>
                <w:szCs w:val="16"/>
              </w:rPr>
              <w:t>Aardrijkskunde</w:t>
            </w:r>
          </w:p>
          <w:p w:rsidRPr="00CF4882" w:rsidR="00C43FA5" w:rsidP="00FC2172" w:rsidRDefault="00C43FA5" w14:paraId="7D8268A3" w14:textId="77777777">
            <w:pPr>
              <w:pStyle w:val="Tabelgetal"/>
              <w:jc w:val="left"/>
              <w:rPr>
                <w:rFonts w:ascii="Trebuchet MS" w:hAnsi="Trebuchet MS"/>
                <w:szCs w:val="16"/>
              </w:rPr>
            </w:pPr>
            <w:r w:rsidRPr="00CF4882">
              <w:rPr>
                <w:rFonts w:ascii="Trebuchet MS" w:hAnsi="Trebuchet MS"/>
                <w:szCs w:val="16"/>
              </w:rPr>
              <w:t>Economie</w:t>
            </w:r>
          </w:p>
          <w:p w:rsidRPr="00CF4882" w:rsidR="00C43FA5" w:rsidP="00FC2172" w:rsidRDefault="00C43FA5" w14:paraId="0EF523AA" w14:textId="77777777">
            <w:pPr>
              <w:pStyle w:val="Tabelgetal"/>
              <w:jc w:val="left"/>
              <w:rPr>
                <w:rFonts w:ascii="Trebuchet MS" w:hAnsi="Trebuchet MS"/>
                <w:szCs w:val="16"/>
              </w:rPr>
            </w:pPr>
            <w:r w:rsidRPr="00CF4882">
              <w:rPr>
                <w:rFonts w:ascii="Trebuchet MS" w:hAnsi="Trebuchet MS"/>
                <w:szCs w:val="16"/>
              </w:rPr>
              <w:t>Biologie</w:t>
            </w:r>
          </w:p>
          <w:p w:rsidRPr="00CF4882" w:rsidR="00C43FA5" w:rsidP="00FC2172" w:rsidRDefault="00C43FA5" w14:paraId="6D65DA57" w14:textId="77777777">
            <w:pPr>
              <w:pStyle w:val="Tabelgetal"/>
              <w:jc w:val="left"/>
              <w:rPr>
                <w:rFonts w:ascii="Trebuchet MS" w:hAnsi="Trebuchet MS"/>
                <w:szCs w:val="16"/>
              </w:rPr>
            </w:pPr>
            <w:r w:rsidRPr="00CF4882">
              <w:rPr>
                <w:rFonts w:ascii="Trebuchet MS" w:hAnsi="Trebuchet MS"/>
                <w:szCs w:val="16"/>
              </w:rPr>
              <w:t>Duits</w:t>
            </w:r>
          </w:p>
          <w:p w:rsidRPr="00CF4882" w:rsidR="00C43FA5" w:rsidP="00FC2172" w:rsidRDefault="00C43FA5" w14:paraId="77763489" w14:textId="77777777">
            <w:pPr>
              <w:pStyle w:val="Tabelgetal"/>
              <w:jc w:val="left"/>
              <w:rPr>
                <w:rFonts w:ascii="Trebuchet MS" w:hAnsi="Trebuchet MS"/>
                <w:szCs w:val="16"/>
              </w:rPr>
            </w:pPr>
            <w:r w:rsidRPr="00CF4882">
              <w:rPr>
                <w:rFonts w:ascii="Trebuchet MS" w:hAnsi="Trebuchet MS"/>
                <w:szCs w:val="16"/>
              </w:rPr>
              <w:t>Engels</w:t>
            </w:r>
          </w:p>
          <w:p w:rsidRPr="00CF4882" w:rsidR="00C43FA5" w:rsidP="00FC2172" w:rsidRDefault="00C43FA5" w14:paraId="0CCA7292" w14:textId="77777777">
            <w:pPr>
              <w:pStyle w:val="Tabelgetal"/>
              <w:jc w:val="left"/>
              <w:rPr>
                <w:rFonts w:ascii="Trebuchet MS" w:hAnsi="Trebuchet MS"/>
                <w:szCs w:val="16"/>
              </w:rPr>
            </w:pPr>
            <w:r w:rsidRPr="00CF4882">
              <w:rPr>
                <w:rFonts w:ascii="Trebuchet MS" w:hAnsi="Trebuchet MS"/>
                <w:szCs w:val="16"/>
              </w:rPr>
              <w:t>Frans</w:t>
            </w:r>
          </w:p>
          <w:p w:rsidRPr="00CF4882" w:rsidR="00C43FA5" w:rsidP="00FC2172" w:rsidRDefault="00C43FA5" w14:paraId="4D99F5D3" w14:textId="77777777">
            <w:pPr>
              <w:pStyle w:val="Tabelgetal"/>
              <w:jc w:val="left"/>
              <w:rPr>
                <w:rFonts w:ascii="Trebuchet MS" w:hAnsi="Trebuchet MS"/>
                <w:szCs w:val="16"/>
              </w:rPr>
            </w:pPr>
            <w:r w:rsidRPr="00CF4882">
              <w:rPr>
                <w:rFonts w:ascii="Trebuchet MS" w:hAnsi="Trebuchet MS"/>
                <w:szCs w:val="16"/>
              </w:rPr>
              <w:t>Geschiedenis (en staatsinrichting)</w:t>
            </w:r>
          </w:p>
          <w:p w:rsidRPr="00CF4882" w:rsidR="00C43FA5" w:rsidP="00FC2172" w:rsidRDefault="00C43FA5" w14:paraId="26786EA1" w14:textId="77777777">
            <w:pPr>
              <w:pStyle w:val="Tabelgetal"/>
              <w:jc w:val="left"/>
              <w:rPr>
                <w:rFonts w:ascii="Trebuchet MS" w:hAnsi="Trebuchet MS"/>
                <w:szCs w:val="16"/>
              </w:rPr>
            </w:pPr>
            <w:r w:rsidRPr="00CF4882">
              <w:rPr>
                <w:rFonts w:ascii="Trebuchet MS" w:hAnsi="Trebuchet MS"/>
                <w:szCs w:val="16"/>
              </w:rPr>
              <w:t>Klassieke talen (Latijn/Grieks)/klassieke culturele vorming (KCV)</w:t>
            </w:r>
          </w:p>
          <w:p w:rsidRPr="00D86440" w:rsidR="00C43FA5" w:rsidP="00FC2172" w:rsidRDefault="00C43FA5" w14:paraId="7538DB32" w14:textId="77777777">
            <w:pPr>
              <w:pStyle w:val="Tabelgetal"/>
              <w:jc w:val="left"/>
              <w:rPr>
                <w:rFonts w:ascii="Trebuchet MS" w:hAnsi="Trebuchet MS"/>
                <w:szCs w:val="16"/>
              </w:rPr>
            </w:pPr>
            <w:r w:rsidRPr="00D86440">
              <w:rPr>
                <w:rFonts w:ascii="Trebuchet MS" w:hAnsi="Trebuchet MS"/>
                <w:szCs w:val="16"/>
              </w:rPr>
              <w:t>Lichamelijke opvoeding</w:t>
            </w:r>
          </w:p>
        </w:tc>
        <w:tc>
          <w:tcPr>
            <w:tcW w:w="1785" w:type="pct"/>
            <w:hideMark/>
          </w:tcPr>
          <w:p w:rsidRPr="00CF4882" w:rsidR="00C43FA5" w:rsidP="00FC2172" w:rsidRDefault="00C43FA5" w14:paraId="213DFCA9" w14:textId="77777777">
            <w:pPr>
              <w:pStyle w:val="Tabelgetal"/>
              <w:jc w:val="left"/>
              <w:rPr>
                <w:rFonts w:ascii="Trebuchet MS" w:hAnsi="Trebuchet MS"/>
                <w:szCs w:val="16"/>
              </w:rPr>
            </w:pPr>
            <w:r w:rsidRPr="00CF4882">
              <w:rPr>
                <w:rFonts w:ascii="Trebuchet MS" w:hAnsi="Trebuchet MS"/>
                <w:szCs w:val="16"/>
              </w:rPr>
              <w:t>Muziek</w:t>
            </w:r>
          </w:p>
          <w:p w:rsidRPr="00CF4882" w:rsidR="00C43FA5" w:rsidP="00FC2172" w:rsidRDefault="00C43FA5" w14:paraId="62129DA8" w14:textId="77777777">
            <w:pPr>
              <w:pStyle w:val="Tabelgetal"/>
              <w:jc w:val="left"/>
              <w:rPr>
                <w:rFonts w:ascii="Trebuchet MS" w:hAnsi="Trebuchet MS"/>
                <w:szCs w:val="16"/>
              </w:rPr>
            </w:pPr>
            <w:r w:rsidRPr="00CF4882">
              <w:rPr>
                <w:rFonts w:ascii="Trebuchet MS" w:hAnsi="Trebuchet MS"/>
                <w:szCs w:val="16"/>
              </w:rPr>
              <w:t>Natuurkunde/scheikunde (NASK)</w:t>
            </w:r>
          </w:p>
          <w:p w:rsidRPr="00CF4882" w:rsidR="00C43FA5" w:rsidP="00FC2172" w:rsidRDefault="00C43FA5" w14:paraId="7F37340F" w14:textId="77777777">
            <w:pPr>
              <w:pStyle w:val="Tabelgetal"/>
              <w:jc w:val="left"/>
              <w:rPr>
                <w:rFonts w:ascii="Trebuchet MS" w:hAnsi="Trebuchet MS"/>
                <w:szCs w:val="16"/>
              </w:rPr>
            </w:pPr>
            <w:r w:rsidRPr="00CF4882">
              <w:rPr>
                <w:rFonts w:ascii="Trebuchet MS" w:hAnsi="Trebuchet MS"/>
                <w:szCs w:val="16"/>
              </w:rPr>
              <w:t>Natuurkunde</w:t>
            </w:r>
          </w:p>
          <w:p w:rsidRPr="00CF4882" w:rsidR="00C43FA5" w:rsidP="00FC2172" w:rsidRDefault="00C43FA5" w14:paraId="03D51139" w14:textId="77777777">
            <w:pPr>
              <w:pStyle w:val="Tabelgetal"/>
              <w:jc w:val="left"/>
              <w:rPr>
                <w:rFonts w:ascii="Trebuchet MS" w:hAnsi="Trebuchet MS"/>
                <w:szCs w:val="16"/>
              </w:rPr>
            </w:pPr>
            <w:r w:rsidRPr="00CF4882">
              <w:rPr>
                <w:rFonts w:ascii="Trebuchet MS" w:hAnsi="Trebuchet MS"/>
                <w:szCs w:val="16"/>
              </w:rPr>
              <w:t>Nederlands</w:t>
            </w:r>
          </w:p>
          <w:p w:rsidRPr="00CF4882" w:rsidR="00C43FA5" w:rsidP="00FC2172" w:rsidRDefault="00C43FA5" w14:paraId="20026F3B" w14:textId="77777777">
            <w:pPr>
              <w:pStyle w:val="Tabelgetal"/>
              <w:jc w:val="left"/>
              <w:rPr>
                <w:rFonts w:ascii="Trebuchet MS" w:hAnsi="Trebuchet MS"/>
                <w:szCs w:val="16"/>
              </w:rPr>
            </w:pPr>
            <w:r w:rsidRPr="00CF4882">
              <w:rPr>
                <w:rFonts w:ascii="Trebuchet MS" w:hAnsi="Trebuchet MS"/>
                <w:szCs w:val="16"/>
              </w:rPr>
              <w:t>Scheikunde</w:t>
            </w:r>
          </w:p>
          <w:p w:rsidRPr="00CF4882" w:rsidR="00C43FA5" w:rsidP="00FC2172" w:rsidRDefault="00C43FA5" w14:paraId="1871F4C4" w14:textId="77777777">
            <w:pPr>
              <w:pStyle w:val="Tabelgetal"/>
              <w:jc w:val="left"/>
              <w:rPr>
                <w:rFonts w:ascii="Trebuchet MS" w:hAnsi="Trebuchet MS"/>
                <w:szCs w:val="16"/>
              </w:rPr>
            </w:pPr>
            <w:r w:rsidRPr="00CF4882">
              <w:rPr>
                <w:rFonts w:ascii="Trebuchet MS" w:hAnsi="Trebuchet MS"/>
                <w:szCs w:val="16"/>
              </w:rPr>
              <w:t>Techniek</w:t>
            </w:r>
          </w:p>
          <w:p w:rsidRPr="00CF4882" w:rsidR="00C43FA5" w:rsidP="00FC2172" w:rsidRDefault="00C43FA5" w14:paraId="66C7BDDF" w14:textId="77777777">
            <w:pPr>
              <w:pStyle w:val="Tabelgetal"/>
              <w:jc w:val="left"/>
              <w:rPr>
                <w:rFonts w:ascii="Trebuchet MS" w:hAnsi="Trebuchet MS"/>
                <w:szCs w:val="16"/>
              </w:rPr>
            </w:pPr>
            <w:r w:rsidRPr="00CF4882">
              <w:rPr>
                <w:rFonts w:ascii="Trebuchet MS" w:hAnsi="Trebuchet MS"/>
                <w:szCs w:val="16"/>
              </w:rPr>
              <w:t>Tekenen</w:t>
            </w:r>
          </w:p>
          <w:p w:rsidRPr="00CF4882" w:rsidR="00C43FA5" w:rsidP="00FC2172" w:rsidRDefault="00C43FA5" w14:paraId="17CBF678" w14:textId="77777777">
            <w:pPr>
              <w:pStyle w:val="Tabelgetal"/>
              <w:jc w:val="left"/>
              <w:rPr>
                <w:rFonts w:ascii="Trebuchet MS" w:hAnsi="Trebuchet MS"/>
                <w:szCs w:val="16"/>
              </w:rPr>
            </w:pPr>
            <w:r w:rsidRPr="00CF4882">
              <w:rPr>
                <w:rFonts w:ascii="Trebuchet MS" w:hAnsi="Trebuchet MS"/>
                <w:szCs w:val="16"/>
              </w:rPr>
              <w:t>Wiskunde</w:t>
            </w:r>
          </w:p>
          <w:p w:rsidRPr="00CF4882" w:rsidR="00C43FA5" w:rsidP="00FC2172" w:rsidRDefault="00C43FA5" w14:paraId="06BB2700" w14:textId="77777777">
            <w:pPr>
              <w:pStyle w:val="Tabelgetal"/>
              <w:jc w:val="left"/>
              <w:rPr>
                <w:rFonts w:ascii="Trebuchet MS" w:hAnsi="Trebuchet MS"/>
                <w:szCs w:val="16"/>
              </w:rPr>
            </w:pPr>
            <w:r w:rsidRPr="00CF4882">
              <w:rPr>
                <w:rFonts w:ascii="Trebuchet MS" w:hAnsi="Trebuchet MS"/>
                <w:szCs w:val="16"/>
              </w:rPr>
              <w:t>Beeldende vorming</w:t>
            </w:r>
          </w:p>
          <w:p w:rsidRPr="00D86440" w:rsidR="00C43FA5" w:rsidP="00FC2172" w:rsidRDefault="00C43FA5" w14:paraId="54D3D077" w14:textId="77777777">
            <w:pPr>
              <w:pStyle w:val="Tabelgetal"/>
              <w:jc w:val="left"/>
              <w:rPr>
                <w:rFonts w:ascii="Trebuchet MS" w:hAnsi="Trebuchet MS"/>
                <w:szCs w:val="16"/>
              </w:rPr>
            </w:pPr>
            <w:r w:rsidRPr="00D86440">
              <w:rPr>
                <w:rFonts w:ascii="Trebuchet MS" w:hAnsi="Trebuchet MS"/>
                <w:szCs w:val="16"/>
              </w:rPr>
              <w:t>Maatschappijleer</w:t>
            </w:r>
          </w:p>
        </w:tc>
      </w:tr>
    </w:tbl>
    <w:p w:rsidRPr="00A45539" w:rsidR="00C43FA5" w:rsidP="00C43FA5" w:rsidRDefault="00C43FA5" w14:paraId="2D04F31C" w14:textId="77777777">
      <w:pPr>
        <w:rPr>
          <w:szCs w:val="18"/>
        </w:rPr>
      </w:pPr>
    </w:p>
    <w:p w:rsidRPr="00A45539" w:rsidR="00C43FA5" w:rsidP="00C43FA5" w:rsidRDefault="00C43FA5" w14:paraId="31EF4E11" w14:textId="4FB30106">
      <w:pPr>
        <w:pStyle w:val="Bijschrift"/>
      </w:pPr>
      <w:r w:rsidRPr="00A45539">
        <w:t xml:space="preserve">Tabel </w:t>
      </w:r>
      <w:r>
        <w:t>B</w:t>
      </w:r>
      <w:r w:rsidR="00AE1506">
        <w:t>4</w:t>
      </w:r>
      <w:r>
        <w:t>.</w:t>
      </w:r>
      <w:r>
        <w:fldChar w:fldCharType="begin"/>
      </w:r>
      <w:r>
        <w:instrText xml:space="preserve"> SEQ Tabel_A. \* ARABIC </w:instrText>
      </w:r>
      <w:r>
        <w:fldChar w:fldCharType="separate"/>
      </w:r>
      <w:r>
        <w:rPr>
          <w:noProof/>
        </w:rPr>
        <w:t>3</w:t>
      </w:r>
      <w:r>
        <w:rPr>
          <w:noProof/>
        </w:rPr>
        <w:fldChar w:fldCharType="end"/>
      </w:r>
      <w:r w:rsidRPr="00A45539">
        <w:tab/>
        <w:t>Overige vakken</w:t>
      </w:r>
    </w:p>
    <w:tbl>
      <w:tblPr>
        <w:tblStyle w:val="Tabelrasterlicht"/>
        <w:tblW w:w="5000" w:type="pct"/>
        <w:tblLook w:val="04A0" w:firstRow="1" w:lastRow="0" w:firstColumn="1" w:lastColumn="0" w:noHBand="0" w:noVBand="1"/>
      </w:tblPr>
      <w:tblGrid>
        <w:gridCol w:w="2171"/>
        <w:gridCol w:w="3841"/>
        <w:gridCol w:w="3338"/>
      </w:tblGrid>
      <w:tr w:rsidRPr="00D86440" w:rsidR="00C43FA5" w:rsidTr="00FC2172" w14:paraId="7E808546" w14:textId="77777777">
        <w:tc>
          <w:tcPr>
            <w:tcW w:w="1161" w:type="pct"/>
            <w:hideMark/>
          </w:tcPr>
          <w:p w:rsidRPr="00D86440" w:rsidR="00C43FA5" w:rsidP="00FC2172" w:rsidRDefault="00C43FA5" w14:paraId="4492B44C" w14:textId="77777777">
            <w:pPr>
              <w:pStyle w:val="Tabeltekst"/>
              <w:rPr>
                <w:rFonts w:ascii="Trebuchet MS" w:hAnsi="Trebuchet MS"/>
                <w:b/>
                <w:szCs w:val="16"/>
              </w:rPr>
            </w:pPr>
            <w:r w:rsidRPr="00D86440">
              <w:rPr>
                <w:rFonts w:ascii="Trebuchet MS" w:hAnsi="Trebuchet MS"/>
                <w:b/>
                <w:szCs w:val="16"/>
              </w:rPr>
              <w:t>Overig</w:t>
            </w:r>
          </w:p>
        </w:tc>
        <w:tc>
          <w:tcPr>
            <w:tcW w:w="3839" w:type="pct"/>
            <w:gridSpan w:val="2"/>
            <w:hideMark/>
          </w:tcPr>
          <w:p w:rsidRPr="00D86440" w:rsidR="00C43FA5" w:rsidP="00FC2172" w:rsidRDefault="00C43FA5" w14:paraId="4B1BA472" w14:textId="77777777">
            <w:pPr>
              <w:pStyle w:val="Tabeltekst"/>
              <w:rPr>
                <w:rFonts w:ascii="Trebuchet MS" w:hAnsi="Trebuchet MS"/>
                <w:szCs w:val="16"/>
              </w:rPr>
            </w:pPr>
            <w:r w:rsidRPr="00D86440">
              <w:rPr>
                <w:rFonts w:ascii="Trebuchet MS" w:hAnsi="Trebuchet MS"/>
                <w:b/>
                <w:szCs w:val="16"/>
              </w:rPr>
              <w:t>Vakken behorend tot overig</w:t>
            </w:r>
          </w:p>
        </w:tc>
      </w:tr>
      <w:tr w:rsidRPr="00D86440" w:rsidR="00C43FA5" w:rsidTr="00FC2172" w14:paraId="2664217F" w14:textId="77777777">
        <w:tc>
          <w:tcPr>
            <w:tcW w:w="1161" w:type="pct"/>
            <w:hideMark/>
          </w:tcPr>
          <w:p w:rsidRPr="00D86440" w:rsidR="00C43FA5" w:rsidP="00FC2172" w:rsidRDefault="00C43FA5" w14:paraId="2385C2CC" w14:textId="77777777">
            <w:pPr>
              <w:pStyle w:val="Tabeltekst"/>
              <w:rPr>
                <w:rFonts w:ascii="Trebuchet MS" w:hAnsi="Trebuchet MS"/>
                <w:szCs w:val="16"/>
              </w:rPr>
            </w:pPr>
            <w:r w:rsidRPr="00D86440">
              <w:rPr>
                <w:rFonts w:ascii="Trebuchet MS" w:hAnsi="Trebuchet MS"/>
                <w:szCs w:val="16"/>
              </w:rPr>
              <w:t>Overige vakken</w:t>
            </w:r>
          </w:p>
        </w:tc>
        <w:tc>
          <w:tcPr>
            <w:tcW w:w="2054" w:type="pct"/>
            <w:hideMark/>
          </w:tcPr>
          <w:p w:rsidRPr="00CF4882" w:rsidR="00C43FA5" w:rsidP="00FC2172" w:rsidRDefault="00C43FA5" w14:paraId="5D8EC308" w14:textId="77777777">
            <w:pPr>
              <w:pStyle w:val="Tabelgetal"/>
              <w:jc w:val="left"/>
              <w:rPr>
                <w:rFonts w:ascii="Trebuchet MS" w:hAnsi="Trebuchet MS"/>
                <w:szCs w:val="16"/>
              </w:rPr>
            </w:pPr>
            <w:r w:rsidRPr="00CF4882">
              <w:rPr>
                <w:rFonts w:ascii="Trebuchet MS" w:hAnsi="Trebuchet MS"/>
                <w:szCs w:val="16"/>
              </w:rPr>
              <w:t>Algemene voorbereiding op maatschappij en beroep (AVMB)</w:t>
            </w:r>
          </w:p>
          <w:p w:rsidRPr="00CF4882" w:rsidR="00C43FA5" w:rsidP="00FC2172" w:rsidRDefault="00C43FA5" w14:paraId="48DCE937" w14:textId="77777777">
            <w:pPr>
              <w:pStyle w:val="Tabelgetal"/>
              <w:jc w:val="left"/>
              <w:rPr>
                <w:rFonts w:ascii="Trebuchet MS" w:hAnsi="Trebuchet MS"/>
                <w:szCs w:val="16"/>
              </w:rPr>
            </w:pPr>
            <w:r w:rsidRPr="00CF4882">
              <w:rPr>
                <w:rFonts w:ascii="Trebuchet MS" w:hAnsi="Trebuchet MS"/>
                <w:szCs w:val="16"/>
              </w:rPr>
              <w:t>Arabisch</w:t>
            </w:r>
          </w:p>
          <w:p w:rsidRPr="00CF4882" w:rsidR="00C43FA5" w:rsidP="00FC2172" w:rsidRDefault="00C43FA5" w14:paraId="5DEBBE9E" w14:textId="77777777">
            <w:pPr>
              <w:pStyle w:val="Tabelgetal"/>
              <w:jc w:val="left"/>
              <w:rPr>
                <w:rFonts w:ascii="Trebuchet MS" w:hAnsi="Trebuchet MS"/>
                <w:szCs w:val="16"/>
              </w:rPr>
            </w:pPr>
            <w:r w:rsidRPr="00CF4882">
              <w:rPr>
                <w:rFonts w:ascii="Trebuchet MS" w:hAnsi="Trebuchet MS"/>
                <w:szCs w:val="16"/>
              </w:rPr>
              <w:t>Dans</w:t>
            </w:r>
          </w:p>
          <w:p w:rsidRPr="00CF4882" w:rsidR="00C43FA5" w:rsidP="00FC2172" w:rsidRDefault="00C43FA5" w14:paraId="37FC92DC" w14:textId="77777777">
            <w:pPr>
              <w:pStyle w:val="Tabelgetal"/>
              <w:jc w:val="left"/>
              <w:rPr>
                <w:rFonts w:ascii="Trebuchet MS" w:hAnsi="Trebuchet MS"/>
                <w:szCs w:val="16"/>
              </w:rPr>
            </w:pPr>
            <w:r w:rsidRPr="00CF4882">
              <w:rPr>
                <w:rFonts w:ascii="Trebuchet MS" w:hAnsi="Trebuchet MS"/>
                <w:szCs w:val="16"/>
              </w:rPr>
              <w:t>Drama</w:t>
            </w:r>
          </w:p>
          <w:p w:rsidRPr="00CF4882" w:rsidR="00C43FA5" w:rsidP="00FC2172" w:rsidRDefault="00C43FA5" w14:paraId="6F9AC521" w14:textId="77777777">
            <w:pPr>
              <w:pStyle w:val="Tabelgetal"/>
              <w:jc w:val="left"/>
              <w:rPr>
                <w:rFonts w:ascii="Trebuchet MS" w:hAnsi="Trebuchet MS"/>
                <w:szCs w:val="16"/>
              </w:rPr>
            </w:pPr>
            <w:r w:rsidRPr="00CF4882">
              <w:rPr>
                <w:rFonts w:ascii="Trebuchet MS" w:hAnsi="Trebuchet MS"/>
                <w:szCs w:val="16"/>
              </w:rPr>
              <w:t>Filosofie/wijsbegeerte</w:t>
            </w:r>
          </w:p>
          <w:p w:rsidRPr="00CF4882" w:rsidR="00C43FA5" w:rsidP="00FC2172" w:rsidRDefault="00C43FA5" w14:paraId="1F898092" w14:textId="77777777">
            <w:pPr>
              <w:pStyle w:val="Tabelgetal"/>
              <w:jc w:val="left"/>
              <w:rPr>
                <w:rFonts w:ascii="Trebuchet MS" w:hAnsi="Trebuchet MS"/>
                <w:szCs w:val="16"/>
              </w:rPr>
            </w:pPr>
            <w:r w:rsidRPr="00CF4882">
              <w:rPr>
                <w:rFonts w:ascii="Trebuchet MS" w:hAnsi="Trebuchet MS"/>
                <w:szCs w:val="16"/>
              </w:rPr>
              <w:t>Fries</w:t>
            </w:r>
          </w:p>
          <w:p w:rsidRPr="00CF4882" w:rsidR="00C43FA5" w:rsidP="00FC2172" w:rsidRDefault="00C43FA5" w14:paraId="791624FF" w14:textId="77777777">
            <w:pPr>
              <w:pStyle w:val="Tabelgetal"/>
              <w:jc w:val="left"/>
              <w:rPr>
                <w:rFonts w:ascii="Trebuchet MS" w:hAnsi="Trebuchet MS"/>
                <w:szCs w:val="16"/>
              </w:rPr>
            </w:pPr>
            <w:r w:rsidRPr="00CF4882">
              <w:rPr>
                <w:rFonts w:ascii="Trebuchet MS" w:hAnsi="Trebuchet MS"/>
                <w:szCs w:val="16"/>
              </w:rPr>
              <w:t>Handvaardigheid</w:t>
            </w:r>
          </w:p>
          <w:p w:rsidRPr="00CF4882" w:rsidR="00C43FA5" w:rsidP="00FC2172" w:rsidRDefault="00C43FA5" w14:paraId="6196412C" w14:textId="77777777">
            <w:pPr>
              <w:pStyle w:val="Tabelgetal"/>
              <w:jc w:val="left"/>
              <w:rPr>
                <w:rFonts w:ascii="Trebuchet MS" w:hAnsi="Trebuchet MS"/>
                <w:szCs w:val="16"/>
              </w:rPr>
            </w:pPr>
            <w:r w:rsidRPr="00CF4882">
              <w:rPr>
                <w:rFonts w:ascii="Trebuchet MS" w:hAnsi="Trebuchet MS"/>
                <w:szCs w:val="16"/>
              </w:rPr>
              <w:t>Textiele vormgeving</w:t>
            </w:r>
          </w:p>
          <w:p w:rsidRPr="00CF4882" w:rsidR="00C43FA5" w:rsidP="00FC2172" w:rsidRDefault="00C43FA5" w14:paraId="5C4F1C9C" w14:textId="77777777">
            <w:pPr>
              <w:pStyle w:val="Tabelgetal"/>
              <w:jc w:val="left"/>
              <w:rPr>
                <w:rFonts w:ascii="Trebuchet MS" w:hAnsi="Trebuchet MS"/>
                <w:szCs w:val="16"/>
              </w:rPr>
            </w:pPr>
            <w:r w:rsidRPr="00CF4882">
              <w:rPr>
                <w:rFonts w:ascii="Trebuchet MS" w:hAnsi="Trebuchet MS"/>
                <w:szCs w:val="16"/>
              </w:rPr>
              <w:t>Maatschappelijke beroepsvorming (MaBeVo)</w:t>
            </w:r>
          </w:p>
          <w:p w:rsidRPr="00CF4882" w:rsidR="00C43FA5" w:rsidP="00FC2172" w:rsidRDefault="00C43FA5" w14:paraId="62096E87" w14:textId="77777777">
            <w:pPr>
              <w:pStyle w:val="Tabelgetal"/>
              <w:jc w:val="left"/>
              <w:rPr>
                <w:rFonts w:ascii="Trebuchet MS" w:hAnsi="Trebuchet MS"/>
                <w:szCs w:val="16"/>
              </w:rPr>
            </w:pPr>
            <w:r w:rsidRPr="00CF4882">
              <w:rPr>
                <w:rFonts w:ascii="Trebuchet MS" w:hAnsi="Trebuchet MS"/>
                <w:szCs w:val="16"/>
              </w:rPr>
              <w:t>Management en organisatie</w:t>
            </w:r>
          </w:p>
          <w:p w:rsidRPr="00CF4882" w:rsidR="00C43FA5" w:rsidP="00FC2172" w:rsidRDefault="00C43FA5" w14:paraId="1EE2136D" w14:textId="77777777">
            <w:pPr>
              <w:pStyle w:val="Tabelgetal"/>
              <w:jc w:val="left"/>
              <w:rPr>
                <w:rFonts w:ascii="Trebuchet MS" w:hAnsi="Trebuchet MS"/>
                <w:szCs w:val="16"/>
              </w:rPr>
            </w:pPr>
            <w:r w:rsidRPr="00CF4882">
              <w:rPr>
                <w:rFonts w:ascii="Trebuchet MS" w:hAnsi="Trebuchet MS"/>
                <w:szCs w:val="16"/>
              </w:rPr>
              <w:t>Spaans</w:t>
            </w:r>
          </w:p>
          <w:p w:rsidRPr="00CF4882" w:rsidR="00C43FA5" w:rsidP="00FC2172" w:rsidRDefault="00C43FA5" w14:paraId="62100307" w14:textId="77777777">
            <w:pPr>
              <w:pStyle w:val="Tabelgetal"/>
              <w:jc w:val="left"/>
              <w:rPr>
                <w:rFonts w:ascii="Trebuchet MS" w:hAnsi="Trebuchet MS"/>
                <w:szCs w:val="16"/>
              </w:rPr>
            </w:pPr>
            <w:r w:rsidRPr="00CF4882">
              <w:rPr>
                <w:rFonts w:ascii="Trebuchet MS" w:hAnsi="Trebuchet MS"/>
                <w:szCs w:val="16"/>
              </w:rPr>
              <w:t>Turks</w:t>
            </w:r>
          </w:p>
          <w:p w:rsidRPr="00CF4882" w:rsidR="00C43FA5" w:rsidP="00FC2172" w:rsidRDefault="00C43FA5" w14:paraId="1B5119DB" w14:textId="77777777">
            <w:pPr>
              <w:pStyle w:val="Tabelgetal"/>
              <w:jc w:val="left"/>
              <w:rPr>
                <w:rFonts w:ascii="Trebuchet MS" w:hAnsi="Trebuchet MS"/>
                <w:szCs w:val="16"/>
              </w:rPr>
            </w:pPr>
            <w:r w:rsidRPr="00CF4882">
              <w:rPr>
                <w:rFonts w:ascii="Trebuchet MS" w:hAnsi="Trebuchet MS"/>
                <w:szCs w:val="16"/>
              </w:rPr>
              <w:t>Overige vakken</w:t>
            </w:r>
          </w:p>
          <w:p w:rsidRPr="00CF4882" w:rsidR="00C43FA5" w:rsidP="00FC2172" w:rsidRDefault="00C43FA5" w14:paraId="1159B922" w14:textId="77777777">
            <w:pPr>
              <w:pStyle w:val="Tabelgetal"/>
              <w:jc w:val="left"/>
              <w:rPr>
                <w:rFonts w:ascii="Trebuchet MS" w:hAnsi="Trebuchet MS"/>
                <w:szCs w:val="16"/>
              </w:rPr>
            </w:pPr>
            <w:r w:rsidRPr="00CF4882">
              <w:rPr>
                <w:rFonts w:ascii="Trebuchet MS" w:hAnsi="Trebuchet MS"/>
                <w:szCs w:val="16"/>
              </w:rPr>
              <w:t>Algemene natuurwetenschappen (ANW)</w:t>
            </w:r>
          </w:p>
          <w:p w:rsidRPr="00CF4882" w:rsidR="00C43FA5" w:rsidP="00FC2172" w:rsidRDefault="00C43FA5" w14:paraId="3A200746" w14:textId="77777777">
            <w:pPr>
              <w:pStyle w:val="Tabelgetal"/>
              <w:jc w:val="left"/>
              <w:rPr>
                <w:rFonts w:ascii="Trebuchet MS" w:hAnsi="Trebuchet MS"/>
                <w:szCs w:val="16"/>
              </w:rPr>
            </w:pPr>
            <w:r w:rsidRPr="00CF4882">
              <w:rPr>
                <w:rFonts w:ascii="Trebuchet MS" w:hAnsi="Trebuchet MS"/>
                <w:szCs w:val="16"/>
              </w:rPr>
              <w:t>CKV</w:t>
            </w:r>
          </w:p>
          <w:p w:rsidRPr="00CF4882" w:rsidR="00C43FA5" w:rsidP="00FC2172" w:rsidRDefault="00C43FA5" w14:paraId="79C3CB90" w14:textId="77777777">
            <w:pPr>
              <w:pStyle w:val="Tabelgetal"/>
              <w:jc w:val="left"/>
              <w:rPr>
                <w:rFonts w:ascii="Trebuchet MS" w:hAnsi="Trebuchet MS"/>
                <w:szCs w:val="16"/>
              </w:rPr>
            </w:pPr>
            <w:r w:rsidRPr="00CF4882">
              <w:rPr>
                <w:rFonts w:ascii="Trebuchet MS" w:hAnsi="Trebuchet MS"/>
                <w:szCs w:val="16"/>
              </w:rPr>
              <w:t>Praktische sectororiëntatie (PSO)</w:t>
            </w:r>
          </w:p>
          <w:p w:rsidRPr="00CF4882" w:rsidR="00C43FA5" w:rsidP="00FC2172" w:rsidRDefault="00C43FA5" w14:paraId="676549EC" w14:textId="77777777">
            <w:pPr>
              <w:pStyle w:val="Tabelgetal"/>
              <w:jc w:val="left"/>
              <w:rPr>
                <w:rFonts w:ascii="Trebuchet MS" w:hAnsi="Trebuchet MS"/>
                <w:szCs w:val="16"/>
              </w:rPr>
            </w:pPr>
            <w:r w:rsidRPr="00CF4882">
              <w:rPr>
                <w:rFonts w:ascii="Trebuchet MS" w:hAnsi="Trebuchet MS"/>
                <w:szCs w:val="16"/>
              </w:rPr>
              <w:t>Begeleidingsuren/counselinguren</w:t>
            </w:r>
          </w:p>
          <w:p w:rsidRPr="00CF4882" w:rsidR="00C43FA5" w:rsidP="00FC2172" w:rsidRDefault="00C43FA5" w14:paraId="33D1D141" w14:textId="77777777">
            <w:pPr>
              <w:pStyle w:val="Tabelgetal"/>
              <w:jc w:val="left"/>
              <w:rPr>
                <w:rFonts w:ascii="Trebuchet MS" w:hAnsi="Trebuchet MS"/>
                <w:szCs w:val="16"/>
              </w:rPr>
            </w:pPr>
            <w:r w:rsidRPr="00CF4882">
              <w:rPr>
                <w:rFonts w:ascii="Trebuchet MS" w:hAnsi="Trebuchet MS"/>
                <w:szCs w:val="16"/>
              </w:rPr>
              <w:t>Het Nieuwe Leren (HNL)</w:t>
            </w:r>
          </w:p>
        </w:tc>
        <w:tc>
          <w:tcPr>
            <w:tcW w:w="1785" w:type="pct"/>
            <w:hideMark/>
          </w:tcPr>
          <w:p w:rsidRPr="00CF4882" w:rsidR="00C43FA5" w:rsidP="00FC2172" w:rsidRDefault="00C43FA5" w14:paraId="13558162" w14:textId="77777777">
            <w:pPr>
              <w:pStyle w:val="Tabelgetal"/>
              <w:jc w:val="left"/>
              <w:rPr>
                <w:rFonts w:ascii="Trebuchet MS" w:hAnsi="Trebuchet MS"/>
                <w:szCs w:val="16"/>
              </w:rPr>
            </w:pPr>
            <w:r w:rsidRPr="00CF4882">
              <w:rPr>
                <w:rFonts w:ascii="Trebuchet MS" w:hAnsi="Trebuchet MS"/>
                <w:szCs w:val="16"/>
              </w:rPr>
              <w:t>Keuzewerktijd (KWT)</w:t>
            </w:r>
          </w:p>
          <w:p w:rsidRPr="00CF4882" w:rsidR="00C43FA5" w:rsidP="00FC2172" w:rsidRDefault="00C43FA5" w14:paraId="52514D1D" w14:textId="77777777">
            <w:pPr>
              <w:pStyle w:val="Tabelgetal"/>
              <w:jc w:val="left"/>
              <w:rPr>
                <w:rFonts w:ascii="Trebuchet MS" w:hAnsi="Trebuchet MS"/>
                <w:szCs w:val="16"/>
              </w:rPr>
            </w:pPr>
            <w:r w:rsidRPr="00CF4882">
              <w:rPr>
                <w:rFonts w:ascii="Trebuchet MS" w:hAnsi="Trebuchet MS"/>
                <w:szCs w:val="16"/>
              </w:rPr>
              <w:t>Mentorles</w:t>
            </w:r>
          </w:p>
          <w:p w:rsidRPr="00CF4882" w:rsidR="00C43FA5" w:rsidP="00FC2172" w:rsidRDefault="00C43FA5" w14:paraId="14083A70" w14:textId="77777777">
            <w:pPr>
              <w:pStyle w:val="Tabelgetal"/>
              <w:jc w:val="left"/>
              <w:rPr>
                <w:rFonts w:ascii="Trebuchet MS" w:hAnsi="Trebuchet MS"/>
                <w:szCs w:val="16"/>
              </w:rPr>
            </w:pPr>
            <w:r w:rsidRPr="00CF4882">
              <w:rPr>
                <w:rFonts w:ascii="Trebuchet MS" w:hAnsi="Trebuchet MS"/>
                <w:szCs w:val="16"/>
              </w:rPr>
              <w:t>Remedial teaching (RT)</w:t>
            </w:r>
          </w:p>
          <w:p w:rsidRPr="00CF4882" w:rsidR="00C43FA5" w:rsidP="00FC2172" w:rsidRDefault="00C43FA5" w14:paraId="1AB6998E" w14:textId="77777777">
            <w:pPr>
              <w:pStyle w:val="Tabelgetal"/>
              <w:jc w:val="left"/>
              <w:rPr>
                <w:rFonts w:ascii="Trebuchet MS" w:hAnsi="Trebuchet MS"/>
                <w:szCs w:val="16"/>
              </w:rPr>
            </w:pPr>
            <w:r w:rsidRPr="00CF4882">
              <w:rPr>
                <w:rFonts w:ascii="Trebuchet MS" w:hAnsi="Trebuchet MS"/>
                <w:szCs w:val="16"/>
              </w:rPr>
              <w:t>Natuur, leven en technologie (NLT)</w:t>
            </w:r>
          </w:p>
          <w:p w:rsidRPr="00CF4882" w:rsidR="00C43FA5" w:rsidP="00FC2172" w:rsidRDefault="00C43FA5" w14:paraId="6A2D9F45" w14:textId="77777777">
            <w:pPr>
              <w:pStyle w:val="Tabelgetal"/>
              <w:jc w:val="left"/>
              <w:rPr>
                <w:rFonts w:ascii="Trebuchet MS" w:hAnsi="Trebuchet MS"/>
                <w:szCs w:val="16"/>
              </w:rPr>
            </w:pPr>
            <w:r w:rsidRPr="00CF4882">
              <w:rPr>
                <w:rFonts w:ascii="Trebuchet MS" w:hAnsi="Trebuchet MS"/>
                <w:szCs w:val="16"/>
              </w:rPr>
              <w:t>O&amp;O (Onderzoek &amp; Ontwerpen)</w:t>
            </w:r>
          </w:p>
          <w:p w:rsidRPr="00CF4882" w:rsidR="00C43FA5" w:rsidP="00FC2172" w:rsidRDefault="00C43FA5" w14:paraId="73440D3A" w14:textId="77777777">
            <w:pPr>
              <w:pStyle w:val="Tabelgetal"/>
              <w:jc w:val="left"/>
              <w:rPr>
                <w:rFonts w:ascii="Trebuchet MS" w:hAnsi="Trebuchet MS"/>
                <w:szCs w:val="16"/>
              </w:rPr>
            </w:pPr>
            <w:r w:rsidRPr="00CF4882">
              <w:rPr>
                <w:rFonts w:ascii="Trebuchet MS" w:hAnsi="Trebuchet MS"/>
                <w:szCs w:val="16"/>
              </w:rPr>
              <w:t>NT2 (Nederlands als tweede taal)</w:t>
            </w:r>
          </w:p>
          <w:p w:rsidRPr="00CF4882" w:rsidR="00C43FA5" w:rsidP="00FC2172" w:rsidRDefault="00C43FA5" w14:paraId="14BC713E" w14:textId="77777777">
            <w:pPr>
              <w:pStyle w:val="Tabelgetal"/>
              <w:jc w:val="left"/>
              <w:rPr>
                <w:rFonts w:ascii="Trebuchet MS" w:hAnsi="Trebuchet MS"/>
                <w:szCs w:val="16"/>
              </w:rPr>
            </w:pPr>
            <w:r w:rsidRPr="00CF4882">
              <w:rPr>
                <w:rFonts w:ascii="Trebuchet MS" w:hAnsi="Trebuchet MS"/>
                <w:szCs w:val="16"/>
              </w:rPr>
              <w:t xml:space="preserve">Biologie en verzorging </w:t>
            </w:r>
          </w:p>
          <w:p w:rsidRPr="00CF4882" w:rsidR="00C43FA5" w:rsidP="00FC2172" w:rsidRDefault="00C43FA5" w14:paraId="1C512514" w14:textId="77777777">
            <w:pPr>
              <w:pStyle w:val="Tabelgetal"/>
              <w:jc w:val="left"/>
              <w:rPr>
                <w:rFonts w:ascii="Trebuchet MS" w:hAnsi="Trebuchet MS"/>
                <w:szCs w:val="16"/>
              </w:rPr>
            </w:pPr>
            <w:r w:rsidRPr="00CF4882">
              <w:rPr>
                <w:rFonts w:ascii="Trebuchet MS" w:hAnsi="Trebuchet MS"/>
                <w:szCs w:val="16"/>
              </w:rPr>
              <w:t>Rekenen</w:t>
            </w:r>
          </w:p>
          <w:p w:rsidRPr="00CF4882" w:rsidR="00C43FA5" w:rsidP="00FC2172" w:rsidRDefault="00C43FA5" w14:paraId="700823AA" w14:textId="77777777">
            <w:pPr>
              <w:pStyle w:val="Tabelgetal"/>
              <w:jc w:val="left"/>
              <w:rPr>
                <w:rFonts w:ascii="Trebuchet MS" w:hAnsi="Trebuchet MS"/>
                <w:szCs w:val="16"/>
              </w:rPr>
            </w:pPr>
            <w:r w:rsidRPr="00CF4882">
              <w:rPr>
                <w:rFonts w:ascii="Trebuchet MS" w:hAnsi="Trebuchet MS"/>
                <w:szCs w:val="16"/>
              </w:rPr>
              <w:t>Bedrijfseconomie, ondernemerschap en financiële zelfredzaamheid</w:t>
            </w:r>
          </w:p>
          <w:p w:rsidRPr="00CF4882" w:rsidR="00C43FA5" w:rsidP="00FC2172" w:rsidRDefault="00C43FA5" w14:paraId="034D21D4" w14:textId="77777777">
            <w:pPr>
              <w:pStyle w:val="Tabelgetal"/>
              <w:jc w:val="left"/>
              <w:rPr>
                <w:rFonts w:ascii="Trebuchet MS" w:hAnsi="Trebuchet MS"/>
                <w:szCs w:val="16"/>
              </w:rPr>
            </w:pPr>
            <w:r w:rsidRPr="00CF4882">
              <w:rPr>
                <w:rFonts w:ascii="Trebuchet MS" w:hAnsi="Trebuchet MS"/>
                <w:szCs w:val="16"/>
              </w:rPr>
              <w:t>Beweging en sport/bewegen, sport en maatschappij (BSM)</w:t>
            </w:r>
          </w:p>
          <w:p w:rsidRPr="00CF4882" w:rsidR="00C43FA5" w:rsidP="00FC2172" w:rsidRDefault="00C43FA5" w14:paraId="4117793D" w14:textId="77777777">
            <w:pPr>
              <w:pStyle w:val="Tabelgetal"/>
              <w:jc w:val="left"/>
              <w:rPr>
                <w:rFonts w:ascii="Trebuchet MS" w:hAnsi="Trebuchet MS"/>
                <w:szCs w:val="16"/>
              </w:rPr>
            </w:pPr>
            <w:r w:rsidRPr="00CF4882">
              <w:rPr>
                <w:rFonts w:ascii="Trebuchet MS" w:hAnsi="Trebuchet MS"/>
                <w:szCs w:val="16"/>
              </w:rPr>
              <w:t>Intersectoraal vmbo</w:t>
            </w:r>
          </w:p>
          <w:p w:rsidRPr="00CF4882" w:rsidR="00C43FA5" w:rsidP="00FC2172" w:rsidRDefault="00C43FA5" w14:paraId="3C92EDFB" w14:textId="77777777">
            <w:pPr>
              <w:pStyle w:val="Tabelgetal"/>
              <w:jc w:val="left"/>
              <w:rPr>
                <w:rFonts w:ascii="Trebuchet MS" w:hAnsi="Trebuchet MS"/>
                <w:szCs w:val="16"/>
              </w:rPr>
            </w:pPr>
            <w:r w:rsidRPr="00CF4882">
              <w:rPr>
                <w:rFonts w:ascii="Trebuchet MS" w:hAnsi="Trebuchet MS"/>
                <w:szCs w:val="16"/>
              </w:rPr>
              <w:t>Informatica</w:t>
            </w:r>
          </w:p>
          <w:p w:rsidRPr="00CF4882" w:rsidR="00C43FA5" w:rsidP="00FC2172" w:rsidRDefault="00C43FA5" w14:paraId="6BC09856" w14:textId="77777777">
            <w:pPr>
              <w:pStyle w:val="Tabelgetal"/>
              <w:jc w:val="left"/>
              <w:rPr>
                <w:rFonts w:ascii="Trebuchet MS" w:hAnsi="Trebuchet MS"/>
                <w:szCs w:val="16"/>
              </w:rPr>
            </w:pPr>
            <w:r w:rsidRPr="00CF4882">
              <w:rPr>
                <w:rFonts w:ascii="Trebuchet MS" w:hAnsi="Trebuchet MS"/>
                <w:szCs w:val="16"/>
              </w:rPr>
              <w:t>Kunst (algemeen) en cultuur(geschiedenis)</w:t>
            </w:r>
          </w:p>
          <w:p w:rsidRPr="00CF4882" w:rsidR="00C43FA5" w:rsidP="00FC2172" w:rsidRDefault="00C43FA5" w14:paraId="56A1197F" w14:textId="77777777">
            <w:pPr>
              <w:pStyle w:val="Tabelgetal"/>
              <w:jc w:val="left"/>
              <w:rPr>
                <w:rFonts w:ascii="Trebuchet MS" w:hAnsi="Trebuchet MS"/>
                <w:szCs w:val="16"/>
              </w:rPr>
            </w:pPr>
            <w:r w:rsidRPr="00CF4882">
              <w:rPr>
                <w:rFonts w:ascii="Trebuchet MS" w:hAnsi="Trebuchet MS"/>
                <w:szCs w:val="16"/>
              </w:rPr>
              <w:t>Kunstvakken I en II vmbo</w:t>
            </w:r>
          </w:p>
          <w:p w:rsidRPr="00CF4882" w:rsidR="00C43FA5" w:rsidP="00FC2172" w:rsidRDefault="00C43FA5" w14:paraId="7D5BF985" w14:textId="77777777">
            <w:pPr>
              <w:pStyle w:val="Tabelgetal"/>
              <w:jc w:val="left"/>
              <w:rPr>
                <w:rFonts w:ascii="Trebuchet MS" w:hAnsi="Trebuchet MS"/>
                <w:szCs w:val="16"/>
              </w:rPr>
            </w:pPr>
            <w:r w:rsidRPr="00CF4882">
              <w:rPr>
                <w:rFonts w:ascii="Trebuchet MS" w:hAnsi="Trebuchet MS"/>
                <w:szCs w:val="16"/>
              </w:rPr>
              <w:t>Maatschappijwetenschappen</w:t>
            </w:r>
          </w:p>
          <w:p w:rsidRPr="00CF4882" w:rsidR="00C43FA5" w:rsidP="00FC2172" w:rsidRDefault="00C43FA5" w14:paraId="4C806218" w14:textId="77777777">
            <w:pPr>
              <w:pStyle w:val="Tabelgetal"/>
              <w:jc w:val="left"/>
              <w:rPr>
                <w:rFonts w:ascii="Trebuchet MS" w:hAnsi="Trebuchet MS"/>
                <w:szCs w:val="16"/>
              </w:rPr>
            </w:pPr>
            <w:r w:rsidRPr="00CF4882">
              <w:rPr>
                <w:rFonts w:ascii="Trebuchet MS" w:hAnsi="Trebuchet MS"/>
                <w:szCs w:val="16"/>
              </w:rPr>
              <w:t>Moderne vreemde talen en literatuur</w:t>
            </w:r>
          </w:p>
          <w:p w:rsidRPr="00CF4882" w:rsidR="00C43FA5" w:rsidP="00FC2172" w:rsidRDefault="00C43FA5" w14:paraId="74401971" w14:textId="77777777">
            <w:pPr>
              <w:pStyle w:val="Tabelgetal"/>
              <w:jc w:val="left"/>
              <w:rPr>
                <w:rFonts w:ascii="Trebuchet MS" w:hAnsi="Trebuchet MS"/>
                <w:szCs w:val="16"/>
              </w:rPr>
            </w:pPr>
            <w:r w:rsidRPr="00CF4882">
              <w:rPr>
                <w:rFonts w:ascii="Trebuchet MS" w:hAnsi="Trebuchet MS"/>
                <w:szCs w:val="16"/>
              </w:rPr>
              <w:t>Burgerschap</w:t>
            </w:r>
          </w:p>
          <w:p w:rsidRPr="00D86440" w:rsidR="00C43FA5" w:rsidP="00FC2172" w:rsidRDefault="00C43FA5" w14:paraId="5A1D0560" w14:textId="77777777">
            <w:pPr>
              <w:pStyle w:val="Tabelgetal"/>
              <w:jc w:val="left"/>
              <w:rPr>
                <w:rFonts w:ascii="Trebuchet MS" w:hAnsi="Trebuchet MS"/>
                <w:szCs w:val="16"/>
              </w:rPr>
            </w:pPr>
            <w:r w:rsidRPr="00D86440">
              <w:rPr>
                <w:rFonts w:ascii="Trebuchet MS" w:hAnsi="Trebuchet MS"/>
                <w:szCs w:val="16"/>
              </w:rPr>
              <w:t>AVO-vakken gemengd</w:t>
            </w:r>
          </w:p>
        </w:tc>
      </w:tr>
    </w:tbl>
    <w:p w:rsidRPr="00A45539" w:rsidR="00C43FA5" w:rsidP="00C43FA5" w:rsidRDefault="00C43FA5" w14:paraId="6A65D502" w14:textId="77777777">
      <w:pPr>
        <w:rPr>
          <w:szCs w:val="18"/>
        </w:rPr>
      </w:pPr>
    </w:p>
    <w:p w:rsidR="00C43FA5" w:rsidP="00C43FA5" w:rsidRDefault="00C43FA5" w14:paraId="5FA99FB1" w14:textId="77777777">
      <w:pPr>
        <w:pStyle w:val="Bijschrift"/>
      </w:pPr>
      <w:r>
        <w:br/>
      </w:r>
      <w:r>
        <w:br/>
      </w:r>
    </w:p>
    <w:p w:rsidR="00C43FA5" w:rsidP="00C43FA5" w:rsidRDefault="00C43FA5" w14:paraId="09602DB5" w14:textId="77777777">
      <w:pPr>
        <w:spacing w:after="160" w:line="259" w:lineRule="auto"/>
        <w:rPr>
          <w:bCs/>
          <w:i/>
          <w:szCs w:val="18"/>
        </w:rPr>
      </w:pPr>
      <w:r>
        <w:br w:type="page"/>
      </w:r>
    </w:p>
    <w:p w:rsidRPr="00A45539" w:rsidR="00C43FA5" w:rsidP="00C43FA5" w:rsidRDefault="00C43FA5" w14:paraId="49C63B84" w14:textId="77510F50">
      <w:pPr>
        <w:pStyle w:val="Bijschrift"/>
      </w:pPr>
      <w:r w:rsidRPr="00A45539">
        <w:lastRenderedPageBreak/>
        <w:t xml:space="preserve">Tabel </w:t>
      </w:r>
      <w:r>
        <w:t>B</w:t>
      </w:r>
      <w:r w:rsidR="00AE1506">
        <w:t>4</w:t>
      </w:r>
      <w:r w:rsidRPr="00A45539">
        <w:t>.4</w:t>
      </w:r>
      <w:r w:rsidRPr="00A45539">
        <w:tab/>
        <w:t>SBI-sectoren per samengestelde sector</w:t>
      </w:r>
    </w:p>
    <w:tbl>
      <w:tblPr>
        <w:tblStyle w:val="Tabelrasterlicht"/>
        <w:tblW w:w="5000" w:type="pct"/>
        <w:tblLook w:val="04A0" w:firstRow="1" w:lastRow="0" w:firstColumn="1" w:lastColumn="0" w:noHBand="0" w:noVBand="1"/>
      </w:tblPr>
      <w:tblGrid>
        <w:gridCol w:w="4007"/>
        <w:gridCol w:w="5343"/>
      </w:tblGrid>
      <w:tr w:rsidRPr="00D86440" w:rsidR="00C43FA5" w:rsidTr="00FC2172" w14:paraId="730B1A1D" w14:textId="77777777">
        <w:tc>
          <w:tcPr>
            <w:tcW w:w="2143" w:type="pct"/>
            <w:hideMark/>
          </w:tcPr>
          <w:p w:rsidRPr="00D86440" w:rsidR="00C43FA5" w:rsidP="00FC2172" w:rsidRDefault="00C43FA5" w14:paraId="54E60AB9" w14:textId="77777777">
            <w:pPr>
              <w:pStyle w:val="TabelKopje"/>
              <w:rPr>
                <w:sz w:val="16"/>
                <w:szCs w:val="16"/>
              </w:rPr>
            </w:pPr>
            <w:r w:rsidRPr="00D86440">
              <w:rPr>
                <w:sz w:val="16"/>
                <w:szCs w:val="16"/>
              </w:rPr>
              <w:t>Samengestelde sectoren</w:t>
            </w:r>
          </w:p>
        </w:tc>
        <w:tc>
          <w:tcPr>
            <w:tcW w:w="2857" w:type="pct"/>
            <w:hideMark/>
          </w:tcPr>
          <w:p w:rsidRPr="00D86440" w:rsidR="00C43FA5" w:rsidP="00FC2172" w:rsidRDefault="00C43FA5" w14:paraId="183637E5" w14:textId="77777777">
            <w:pPr>
              <w:pStyle w:val="TabelKopje"/>
              <w:jc w:val="center"/>
              <w:rPr>
                <w:sz w:val="16"/>
                <w:szCs w:val="16"/>
              </w:rPr>
            </w:pPr>
            <w:r w:rsidRPr="00D86440">
              <w:rPr>
                <w:sz w:val="16"/>
                <w:szCs w:val="16"/>
              </w:rPr>
              <w:t>Bijbehorende sectoren SBI</w:t>
            </w:r>
          </w:p>
        </w:tc>
      </w:tr>
      <w:tr w:rsidRPr="00D86440" w:rsidR="00C43FA5" w:rsidTr="00FC2172" w14:paraId="0A45717E" w14:textId="77777777">
        <w:tc>
          <w:tcPr>
            <w:tcW w:w="2143" w:type="pct"/>
            <w:hideMark/>
          </w:tcPr>
          <w:p w:rsidRPr="00CF4882" w:rsidR="00C43FA5" w:rsidP="00FC2172" w:rsidRDefault="00C43FA5" w14:paraId="0BF5C725" w14:textId="77777777">
            <w:pPr>
              <w:pStyle w:val="Tabeltekst"/>
              <w:rPr>
                <w:rFonts w:ascii="Trebuchet MS" w:hAnsi="Trebuchet MS"/>
                <w:szCs w:val="16"/>
              </w:rPr>
            </w:pPr>
            <w:r w:rsidRPr="00CF4882">
              <w:rPr>
                <w:rFonts w:ascii="Trebuchet MS" w:hAnsi="Trebuchet MS"/>
                <w:szCs w:val="16"/>
              </w:rPr>
              <w:t>Primair, industrie, energie en bouw</w:t>
            </w:r>
          </w:p>
        </w:tc>
        <w:tc>
          <w:tcPr>
            <w:tcW w:w="2857" w:type="pct"/>
            <w:hideMark/>
          </w:tcPr>
          <w:p w:rsidRPr="00D86440" w:rsidR="00C43FA5" w:rsidP="00426692" w:rsidRDefault="00C43FA5" w14:paraId="6EE58C9D" w14:textId="77777777">
            <w:pPr>
              <w:pStyle w:val="Tabelgetal"/>
              <w:numPr>
                <w:ilvl w:val="0"/>
                <w:numId w:val="19"/>
              </w:numPr>
              <w:ind w:left="227" w:hanging="227"/>
              <w:jc w:val="left"/>
              <w:rPr>
                <w:rFonts w:ascii="Trebuchet MS" w:hAnsi="Trebuchet MS"/>
                <w:szCs w:val="16"/>
              </w:rPr>
            </w:pPr>
            <w:r w:rsidRPr="00D86440">
              <w:rPr>
                <w:rFonts w:ascii="Trebuchet MS" w:hAnsi="Trebuchet MS"/>
                <w:szCs w:val="16"/>
              </w:rPr>
              <w:t>Primaire sector</w:t>
            </w:r>
          </w:p>
          <w:p w:rsidRPr="00D86440" w:rsidR="00C43FA5" w:rsidP="00426692" w:rsidRDefault="00C43FA5" w14:paraId="77504962" w14:textId="77777777">
            <w:pPr>
              <w:pStyle w:val="Tabelgetal"/>
              <w:numPr>
                <w:ilvl w:val="0"/>
                <w:numId w:val="19"/>
              </w:numPr>
              <w:ind w:left="227" w:hanging="227"/>
              <w:jc w:val="left"/>
              <w:rPr>
                <w:rFonts w:ascii="Trebuchet MS" w:hAnsi="Trebuchet MS"/>
                <w:szCs w:val="16"/>
              </w:rPr>
            </w:pPr>
            <w:r w:rsidRPr="00D86440">
              <w:rPr>
                <w:rFonts w:ascii="Trebuchet MS" w:hAnsi="Trebuchet MS"/>
                <w:szCs w:val="16"/>
              </w:rPr>
              <w:t>Industrie</w:t>
            </w:r>
          </w:p>
          <w:p w:rsidRPr="00D86440" w:rsidR="00C43FA5" w:rsidP="00426692" w:rsidRDefault="00C43FA5" w14:paraId="5E1C3999" w14:textId="77777777">
            <w:pPr>
              <w:pStyle w:val="Tabelgetal"/>
              <w:numPr>
                <w:ilvl w:val="0"/>
                <w:numId w:val="19"/>
              </w:numPr>
              <w:ind w:left="227" w:hanging="227"/>
              <w:jc w:val="left"/>
              <w:rPr>
                <w:rFonts w:ascii="Trebuchet MS" w:hAnsi="Trebuchet MS"/>
                <w:szCs w:val="16"/>
              </w:rPr>
            </w:pPr>
            <w:r w:rsidRPr="00D86440">
              <w:rPr>
                <w:rFonts w:ascii="Trebuchet MS" w:hAnsi="Trebuchet MS"/>
                <w:szCs w:val="16"/>
              </w:rPr>
              <w:t>Elektriciteit, water en afval</w:t>
            </w:r>
          </w:p>
          <w:p w:rsidRPr="00D86440" w:rsidR="00C43FA5" w:rsidP="00426692" w:rsidRDefault="00C43FA5" w14:paraId="7BDA8C4D" w14:textId="77777777">
            <w:pPr>
              <w:pStyle w:val="Tabelgetal"/>
              <w:numPr>
                <w:ilvl w:val="0"/>
                <w:numId w:val="19"/>
              </w:numPr>
              <w:ind w:left="227" w:hanging="227"/>
              <w:jc w:val="left"/>
              <w:rPr>
                <w:rFonts w:ascii="Trebuchet MS" w:hAnsi="Trebuchet MS"/>
                <w:szCs w:val="16"/>
              </w:rPr>
            </w:pPr>
            <w:r w:rsidRPr="00D86440">
              <w:rPr>
                <w:rFonts w:ascii="Trebuchet MS" w:hAnsi="Trebuchet MS"/>
                <w:szCs w:val="16"/>
              </w:rPr>
              <w:t>Bouw</w:t>
            </w:r>
          </w:p>
        </w:tc>
      </w:tr>
      <w:tr w:rsidRPr="00D86440" w:rsidR="00C43FA5" w:rsidTr="00FC2172" w14:paraId="630284E0" w14:textId="77777777">
        <w:tc>
          <w:tcPr>
            <w:tcW w:w="2143" w:type="pct"/>
          </w:tcPr>
          <w:p w:rsidRPr="00D86440" w:rsidR="00C43FA5" w:rsidP="00FC2172" w:rsidRDefault="00C43FA5" w14:paraId="251FAAA5" w14:textId="77777777">
            <w:pPr>
              <w:pStyle w:val="Tabeltekst"/>
              <w:rPr>
                <w:rFonts w:ascii="Trebuchet MS" w:hAnsi="Trebuchet MS"/>
                <w:szCs w:val="16"/>
              </w:rPr>
            </w:pPr>
          </w:p>
        </w:tc>
        <w:tc>
          <w:tcPr>
            <w:tcW w:w="2857" w:type="pct"/>
          </w:tcPr>
          <w:p w:rsidRPr="00D86440" w:rsidR="00C43FA5" w:rsidP="00FC2172" w:rsidRDefault="00C43FA5" w14:paraId="4AE23470" w14:textId="77777777">
            <w:pPr>
              <w:pStyle w:val="Tabelgetal"/>
              <w:ind w:left="227" w:hanging="227"/>
              <w:jc w:val="left"/>
              <w:rPr>
                <w:rFonts w:ascii="Trebuchet MS" w:hAnsi="Trebuchet MS"/>
                <w:szCs w:val="16"/>
              </w:rPr>
            </w:pPr>
          </w:p>
        </w:tc>
      </w:tr>
      <w:tr w:rsidRPr="00D86440" w:rsidR="00C43FA5" w:rsidTr="00FC2172" w14:paraId="2414D1BE" w14:textId="77777777">
        <w:tc>
          <w:tcPr>
            <w:tcW w:w="2143" w:type="pct"/>
            <w:hideMark/>
          </w:tcPr>
          <w:p w:rsidRPr="00D86440" w:rsidR="00C43FA5" w:rsidP="00FC2172" w:rsidRDefault="00C43FA5" w14:paraId="72B07D8F" w14:textId="77777777">
            <w:pPr>
              <w:pStyle w:val="Tabeltekst"/>
              <w:rPr>
                <w:rFonts w:ascii="Trebuchet MS" w:hAnsi="Trebuchet MS"/>
                <w:szCs w:val="16"/>
              </w:rPr>
            </w:pPr>
            <w:r w:rsidRPr="00D86440">
              <w:rPr>
                <w:rFonts w:ascii="Trebuchet MS" w:hAnsi="Trebuchet MS"/>
                <w:szCs w:val="16"/>
              </w:rPr>
              <w:t>Winkel en horeca</w:t>
            </w:r>
          </w:p>
        </w:tc>
        <w:tc>
          <w:tcPr>
            <w:tcW w:w="2857" w:type="pct"/>
            <w:hideMark/>
          </w:tcPr>
          <w:p w:rsidRPr="00D86440" w:rsidR="00C43FA5" w:rsidP="00426692" w:rsidRDefault="00C43FA5" w14:paraId="77CDBE46" w14:textId="77777777">
            <w:pPr>
              <w:pStyle w:val="Tabelgetal"/>
              <w:numPr>
                <w:ilvl w:val="0"/>
                <w:numId w:val="20"/>
              </w:numPr>
              <w:ind w:left="227" w:hanging="227"/>
              <w:jc w:val="left"/>
              <w:rPr>
                <w:rFonts w:ascii="Trebuchet MS" w:hAnsi="Trebuchet MS"/>
                <w:szCs w:val="16"/>
              </w:rPr>
            </w:pPr>
            <w:r w:rsidRPr="00D86440">
              <w:rPr>
                <w:rFonts w:ascii="Trebuchet MS" w:hAnsi="Trebuchet MS"/>
                <w:szCs w:val="16"/>
              </w:rPr>
              <w:t>Groot- en detailhandel</w:t>
            </w:r>
          </w:p>
          <w:p w:rsidRPr="00D86440" w:rsidR="00C43FA5" w:rsidP="00426692" w:rsidRDefault="00C43FA5" w14:paraId="2B096FDA" w14:textId="77777777">
            <w:pPr>
              <w:pStyle w:val="Tabelgetal"/>
              <w:numPr>
                <w:ilvl w:val="0"/>
                <w:numId w:val="20"/>
              </w:numPr>
              <w:ind w:left="227" w:hanging="227"/>
              <w:jc w:val="left"/>
              <w:rPr>
                <w:rFonts w:ascii="Trebuchet MS" w:hAnsi="Trebuchet MS"/>
                <w:szCs w:val="16"/>
              </w:rPr>
            </w:pPr>
            <w:r w:rsidRPr="00D86440">
              <w:rPr>
                <w:rFonts w:ascii="Trebuchet MS" w:hAnsi="Trebuchet MS"/>
                <w:szCs w:val="16"/>
              </w:rPr>
              <w:t>Horeca</w:t>
            </w:r>
          </w:p>
        </w:tc>
      </w:tr>
      <w:tr w:rsidRPr="00D86440" w:rsidR="00C43FA5" w:rsidTr="00FC2172" w14:paraId="39BD2ABF" w14:textId="77777777">
        <w:tc>
          <w:tcPr>
            <w:tcW w:w="2143" w:type="pct"/>
          </w:tcPr>
          <w:p w:rsidRPr="00D86440" w:rsidR="00C43FA5" w:rsidP="00FC2172" w:rsidRDefault="00C43FA5" w14:paraId="4DBF2DCE" w14:textId="77777777">
            <w:pPr>
              <w:pStyle w:val="Tabeltekst"/>
              <w:rPr>
                <w:rFonts w:ascii="Trebuchet MS" w:hAnsi="Trebuchet MS"/>
                <w:szCs w:val="16"/>
              </w:rPr>
            </w:pPr>
          </w:p>
        </w:tc>
        <w:tc>
          <w:tcPr>
            <w:tcW w:w="2857" w:type="pct"/>
          </w:tcPr>
          <w:p w:rsidRPr="00D86440" w:rsidR="00C43FA5" w:rsidP="00FC2172" w:rsidRDefault="00C43FA5" w14:paraId="3A4D1220" w14:textId="77777777">
            <w:pPr>
              <w:pStyle w:val="Tabelgetal"/>
              <w:ind w:left="227" w:hanging="227"/>
              <w:jc w:val="left"/>
              <w:rPr>
                <w:rFonts w:ascii="Trebuchet MS" w:hAnsi="Trebuchet MS"/>
                <w:szCs w:val="16"/>
              </w:rPr>
            </w:pPr>
          </w:p>
        </w:tc>
      </w:tr>
      <w:tr w:rsidRPr="00D86440" w:rsidR="00C43FA5" w:rsidTr="00FC2172" w14:paraId="4D0B8D37" w14:textId="77777777">
        <w:tc>
          <w:tcPr>
            <w:tcW w:w="2143" w:type="pct"/>
            <w:hideMark/>
          </w:tcPr>
          <w:p w:rsidRPr="00D86440" w:rsidR="00C43FA5" w:rsidP="00FC2172" w:rsidRDefault="00C43FA5" w14:paraId="291DA20D" w14:textId="77777777">
            <w:pPr>
              <w:pStyle w:val="Tabeltekst"/>
              <w:rPr>
                <w:rFonts w:ascii="Trebuchet MS" w:hAnsi="Trebuchet MS"/>
                <w:szCs w:val="16"/>
              </w:rPr>
            </w:pPr>
            <w:r w:rsidRPr="00D86440">
              <w:rPr>
                <w:rFonts w:ascii="Trebuchet MS" w:hAnsi="Trebuchet MS"/>
                <w:szCs w:val="16"/>
              </w:rPr>
              <w:t>Zakelijke dienstverlening en informatie</w:t>
            </w:r>
          </w:p>
        </w:tc>
        <w:tc>
          <w:tcPr>
            <w:tcW w:w="2857" w:type="pct"/>
            <w:hideMark/>
          </w:tcPr>
          <w:p w:rsidRPr="00D86440" w:rsidR="00C43FA5" w:rsidP="00426692" w:rsidRDefault="00C43FA5" w14:paraId="70DE9D31" w14:textId="77777777">
            <w:pPr>
              <w:pStyle w:val="Tabelgetal"/>
              <w:numPr>
                <w:ilvl w:val="0"/>
                <w:numId w:val="20"/>
              </w:numPr>
              <w:ind w:left="227" w:hanging="227"/>
              <w:jc w:val="left"/>
              <w:rPr>
                <w:rFonts w:ascii="Trebuchet MS" w:hAnsi="Trebuchet MS"/>
                <w:szCs w:val="16"/>
              </w:rPr>
            </w:pPr>
            <w:r w:rsidRPr="00D86440">
              <w:rPr>
                <w:rFonts w:ascii="Trebuchet MS" w:hAnsi="Trebuchet MS"/>
                <w:szCs w:val="16"/>
              </w:rPr>
              <w:t>Informatie en communicatie</w:t>
            </w:r>
          </w:p>
          <w:p w:rsidRPr="00D86440" w:rsidR="00C43FA5" w:rsidP="00426692" w:rsidRDefault="00C43FA5" w14:paraId="27416427" w14:textId="77777777">
            <w:pPr>
              <w:pStyle w:val="Tabelgetal"/>
              <w:numPr>
                <w:ilvl w:val="0"/>
                <w:numId w:val="20"/>
              </w:numPr>
              <w:ind w:left="227" w:hanging="227"/>
              <w:jc w:val="left"/>
              <w:rPr>
                <w:rFonts w:ascii="Trebuchet MS" w:hAnsi="Trebuchet MS"/>
                <w:szCs w:val="16"/>
              </w:rPr>
            </w:pPr>
            <w:r w:rsidRPr="00D86440">
              <w:rPr>
                <w:rFonts w:ascii="Trebuchet MS" w:hAnsi="Trebuchet MS"/>
                <w:szCs w:val="16"/>
              </w:rPr>
              <w:t>Financiële sector</w:t>
            </w:r>
          </w:p>
          <w:p w:rsidRPr="00CF4882" w:rsidR="00C43FA5" w:rsidP="00426692" w:rsidRDefault="00C43FA5" w14:paraId="12ABEFAE" w14:textId="77777777">
            <w:pPr>
              <w:pStyle w:val="Tabelgetal"/>
              <w:numPr>
                <w:ilvl w:val="0"/>
                <w:numId w:val="20"/>
              </w:numPr>
              <w:ind w:left="227" w:hanging="227"/>
              <w:jc w:val="left"/>
              <w:rPr>
                <w:rFonts w:ascii="Trebuchet MS" w:hAnsi="Trebuchet MS"/>
                <w:szCs w:val="16"/>
              </w:rPr>
            </w:pPr>
            <w:r w:rsidRPr="00CF4882">
              <w:rPr>
                <w:rFonts w:ascii="Trebuchet MS" w:hAnsi="Trebuchet MS"/>
                <w:szCs w:val="16"/>
              </w:rPr>
              <w:t>Makelaars, advies, onderzoek en specialistische zakelijke dienstverlening</w:t>
            </w:r>
          </w:p>
          <w:p w:rsidRPr="00D86440" w:rsidR="00C43FA5" w:rsidP="00426692" w:rsidRDefault="00C43FA5" w14:paraId="6916B2EF" w14:textId="77777777">
            <w:pPr>
              <w:pStyle w:val="Tabelgetal"/>
              <w:numPr>
                <w:ilvl w:val="0"/>
                <w:numId w:val="20"/>
              </w:numPr>
              <w:ind w:left="227" w:hanging="227"/>
              <w:jc w:val="left"/>
              <w:rPr>
                <w:rFonts w:ascii="Trebuchet MS" w:hAnsi="Trebuchet MS"/>
                <w:szCs w:val="16"/>
              </w:rPr>
            </w:pPr>
            <w:r w:rsidRPr="00D86440">
              <w:rPr>
                <w:rFonts w:ascii="Trebuchet MS" w:hAnsi="Trebuchet MS"/>
                <w:szCs w:val="16"/>
              </w:rPr>
              <w:t>Zakelijke dienstverlening en verhuur</w:t>
            </w:r>
          </w:p>
          <w:p w:rsidRPr="00D86440" w:rsidR="00C43FA5" w:rsidP="00426692" w:rsidRDefault="00C43FA5" w14:paraId="26DB7B07" w14:textId="77777777">
            <w:pPr>
              <w:pStyle w:val="Tabelgetal"/>
              <w:numPr>
                <w:ilvl w:val="0"/>
                <w:numId w:val="20"/>
              </w:numPr>
              <w:ind w:left="227" w:hanging="227"/>
              <w:jc w:val="left"/>
              <w:rPr>
                <w:rFonts w:ascii="Trebuchet MS" w:hAnsi="Trebuchet MS"/>
                <w:szCs w:val="16"/>
              </w:rPr>
            </w:pPr>
            <w:r w:rsidRPr="00D86440">
              <w:rPr>
                <w:rFonts w:ascii="Trebuchet MS" w:hAnsi="Trebuchet MS"/>
                <w:szCs w:val="16"/>
              </w:rPr>
              <w:t>Uitzendbureaus en banenpools</w:t>
            </w:r>
          </w:p>
        </w:tc>
      </w:tr>
      <w:tr w:rsidRPr="00D86440" w:rsidR="00C43FA5" w:rsidTr="00FC2172" w14:paraId="3463906A" w14:textId="77777777">
        <w:tc>
          <w:tcPr>
            <w:tcW w:w="2143" w:type="pct"/>
          </w:tcPr>
          <w:p w:rsidRPr="00D86440" w:rsidR="00C43FA5" w:rsidP="00FC2172" w:rsidRDefault="00C43FA5" w14:paraId="4F35505F" w14:textId="77777777">
            <w:pPr>
              <w:pStyle w:val="Tabeltekst"/>
              <w:rPr>
                <w:rFonts w:ascii="Trebuchet MS" w:hAnsi="Trebuchet MS"/>
                <w:szCs w:val="16"/>
              </w:rPr>
            </w:pPr>
          </w:p>
        </w:tc>
        <w:tc>
          <w:tcPr>
            <w:tcW w:w="2857" w:type="pct"/>
          </w:tcPr>
          <w:p w:rsidRPr="00D86440" w:rsidR="00C43FA5" w:rsidP="00FC2172" w:rsidRDefault="00C43FA5" w14:paraId="4B591ABD" w14:textId="77777777">
            <w:pPr>
              <w:pStyle w:val="Tabelgetal"/>
              <w:ind w:left="227" w:hanging="227"/>
              <w:jc w:val="left"/>
              <w:rPr>
                <w:rFonts w:ascii="Trebuchet MS" w:hAnsi="Trebuchet MS"/>
                <w:szCs w:val="16"/>
              </w:rPr>
            </w:pPr>
          </w:p>
        </w:tc>
      </w:tr>
      <w:tr w:rsidRPr="00D86440" w:rsidR="00C43FA5" w:rsidTr="00FC2172" w14:paraId="2C500BD4" w14:textId="77777777">
        <w:tc>
          <w:tcPr>
            <w:tcW w:w="2143" w:type="pct"/>
            <w:hideMark/>
          </w:tcPr>
          <w:p w:rsidRPr="00D86440" w:rsidR="00C43FA5" w:rsidP="00FC2172" w:rsidRDefault="00C43FA5" w14:paraId="6AA7FE7C" w14:textId="77777777">
            <w:pPr>
              <w:pStyle w:val="Tabeltekst"/>
              <w:rPr>
                <w:rFonts w:ascii="Trebuchet MS" w:hAnsi="Trebuchet MS"/>
                <w:szCs w:val="16"/>
              </w:rPr>
            </w:pPr>
            <w:r w:rsidRPr="00D86440">
              <w:rPr>
                <w:rFonts w:ascii="Trebuchet MS" w:hAnsi="Trebuchet MS"/>
                <w:szCs w:val="16"/>
              </w:rPr>
              <w:t>Overheid en zorg</w:t>
            </w:r>
          </w:p>
        </w:tc>
        <w:tc>
          <w:tcPr>
            <w:tcW w:w="2857" w:type="pct"/>
            <w:hideMark/>
          </w:tcPr>
          <w:p w:rsidRPr="00D86440" w:rsidR="00C43FA5" w:rsidP="00426692" w:rsidRDefault="00C43FA5" w14:paraId="49DABBEE" w14:textId="77777777">
            <w:pPr>
              <w:pStyle w:val="Tabelgetal"/>
              <w:numPr>
                <w:ilvl w:val="0"/>
                <w:numId w:val="20"/>
              </w:numPr>
              <w:ind w:left="227" w:hanging="227"/>
              <w:jc w:val="left"/>
              <w:rPr>
                <w:rFonts w:ascii="Trebuchet MS" w:hAnsi="Trebuchet MS"/>
                <w:szCs w:val="16"/>
              </w:rPr>
            </w:pPr>
            <w:r w:rsidRPr="00D86440">
              <w:rPr>
                <w:rFonts w:ascii="Trebuchet MS" w:hAnsi="Trebuchet MS"/>
                <w:szCs w:val="16"/>
              </w:rPr>
              <w:t>Overheid en openbaar bestuur</w:t>
            </w:r>
          </w:p>
          <w:p w:rsidRPr="00D86440" w:rsidR="00C43FA5" w:rsidP="00426692" w:rsidRDefault="00C43FA5" w14:paraId="67686DFA" w14:textId="77777777">
            <w:pPr>
              <w:pStyle w:val="Tabelgetal"/>
              <w:numPr>
                <w:ilvl w:val="0"/>
                <w:numId w:val="20"/>
              </w:numPr>
              <w:ind w:left="227" w:hanging="227"/>
              <w:jc w:val="left"/>
              <w:rPr>
                <w:rFonts w:ascii="Trebuchet MS" w:hAnsi="Trebuchet MS"/>
                <w:szCs w:val="16"/>
              </w:rPr>
            </w:pPr>
            <w:r w:rsidRPr="00D86440">
              <w:rPr>
                <w:rFonts w:ascii="Trebuchet MS" w:hAnsi="Trebuchet MS"/>
                <w:szCs w:val="16"/>
              </w:rPr>
              <w:t>Zorg</w:t>
            </w:r>
          </w:p>
        </w:tc>
      </w:tr>
      <w:tr w:rsidRPr="00D86440" w:rsidR="00C43FA5" w:rsidTr="00FC2172" w14:paraId="0482B05E" w14:textId="77777777">
        <w:tc>
          <w:tcPr>
            <w:tcW w:w="2143" w:type="pct"/>
          </w:tcPr>
          <w:p w:rsidRPr="00D86440" w:rsidR="00C43FA5" w:rsidP="00FC2172" w:rsidRDefault="00C43FA5" w14:paraId="15E28F19" w14:textId="77777777">
            <w:pPr>
              <w:pStyle w:val="Tabeltekst"/>
              <w:rPr>
                <w:rFonts w:ascii="Trebuchet MS" w:hAnsi="Trebuchet MS"/>
                <w:szCs w:val="16"/>
              </w:rPr>
            </w:pPr>
          </w:p>
        </w:tc>
        <w:tc>
          <w:tcPr>
            <w:tcW w:w="2857" w:type="pct"/>
          </w:tcPr>
          <w:p w:rsidRPr="00D86440" w:rsidR="00C43FA5" w:rsidP="00FC2172" w:rsidRDefault="00C43FA5" w14:paraId="2F9865B5" w14:textId="77777777">
            <w:pPr>
              <w:pStyle w:val="Tabelgetal"/>
              <w:ind w:left="227" w:hanging="227"/>
              <w:jc w:val="left"/>
              <w:rPr>
                <w:rFonts w:ascii="Trebuchet MS" w:hAnsi="Trebuchet MS"/>
                <w:szCs w:val="16"/>
              </w:rPr>
            </w:pPr>
          </w:p>
        </w:tc>
      </w:tr>
      <w:tr w:rsidRPr="00D86440" w:rsidR="00C43FA5" w:rsidTr="00FC2172" w14:paraId="3B3D702F" w14:textId="77777777">
        <w:tc>
          <w:tcPr>
            <w:tcW w:w="2143" w:type="pct"/>
            <w:hideMark/>
          </w:tcPr>
          <w:p w:rsidRPr="00D86440" w:rsidR="00C43FA5" w:rsidP="00FC2172" w:rsidRDefault="00C43FA5" w14:paraId="24B4B0EF" w14:textId="77777777">
            <w:pPr>
              <w:pStyle w:val="Tabeltekst"/>
              <w:rPr>
                <w:rFonts w:ascii="Trebuchet MS" w:hAnsi="Trebuchet MS"/>
                <w:szCs w:val="16"/>
              </w:rPr>
            </w:pPr>
            <w:r w:rsidRPr="00D86440">
              <w:rPr>
                <w:rFonts w:ascii="Trebuchet MS" w:hAnsi="Trebuchet MS"/>
                <w:szCs w:val="16"/>
              </w:rPr>
              <w:t>Onderwijs</w:t>
            </w:r>
          </w:p>
        </w:tc>
        <w:tc>
          <w:tcPr>
            <w:tcW w:w="2857" w:type="pct"/>
            <w:hideMark/>
          </w:tcPr>
          <w:p w:rsidRPr="00D86440" w:rsidR="00C43FA5" w:rsidP="00426692" w:rsidRDefault="00C43FA5" w14:paraId="42F48FCC" w14:textId="77777777">
            <w:pPr>
              <w:pStyle w:val="Tabelgetal"/>
              <w:numPr>
                <w:ilvl w:val="0"/>
                <w:numId w:val="20"/>
              </w:numPr>
              <w:ind w:left="227" w:hanging="227"/>
              <w:jc w:val="left"/>
              <w:rPr>
                <w:rFonts w:ascii="Trebuchet MS" w:hAnsi="Trebuchet MS"/>
                <w:szCs w:val="16"/>
              </w:rPr>
            </w:pPr>
            <w:r w:rsidRPr="00D86440">
              <w:rPr>
                <w:rFonts w:ascii="Trebuchet MS" w:hAnsi="Trebuchet MS"/>
                <w:szCs w:val="16"/>
              </w:rPr>
              <w:t>Onderwijs</w:t>
            </w:r>
          </w:p>
        </w:tc>
      </w:tr>
      <w:tr w:rsidRPr="00D86440" w:rsidR="00C43FA5" w:rsidTr="00FC2172" w14:paraId="0D66FCFC" w14:textId="77777777">
        <w:tc>
          <w:tcPr>
            <w:tcW w:w="2143" w:type="pct"/>
          </w:tcPr>
          <w:p w:rsidRPr="00D86440" w:rsidR="00C43FA5" w:rsidP="00FC2172" w:rsidRDefault="00C43FA5" w14:paraId="3F058434" w14:textId="77777777">
            <w:pPr>
              <w:pStyle w:val="Tabeltekst"/>
              <w:rPr>
                <w:rFonts w:ascii="Trebuchet MS" w:hAnsi="Trebuchet MS"/>
                <w:szCs w:val="16"/>
              </w:rPr>
            </w:pPr>
          </w:p>
        </w:tc>
        <w:tc>
          <w:tcPr>
            <w:tcW w:w="2857" w:type="pct"/>
          </w:tcPr>
          <w:p w:rsidRPr="00D86440" w:rsidR="00C43FA5" w:rsidP="00FC2172" w:rsidRDefault="00C43FA5" w14:paraId="51ADA385" w14:textId="77777777">
            <w:pPr>
              <w:pStyle w:val="Tabelgetal"/>
              <w:ind w:left="227" w:hanging="227"/>
              <w:jc w:val="left"/>
              <w:rPr>
                <w:rFonts w:ascii="Trebuchet MS" w:hAnsi="Trebuchet MS"/>
                <w:szCs w:val="16"/>
              </w:rPr>
            </w:pPr>
          </w:p>
        </w:tc>
      </w:tr>
      <w:tr w:rsidRPr="00D86440" w:rsidR="00C43FA5" w:rsidTr="00FC2172" w14:paraId="4AB1F8C0" w14:textId="77777777">
        <w:tc>
          <w:tcPr>
            <w:tcW w:w="2143" w:type="pct"/>
            <w:hideMark/>
          </w:tcPr>
          <w:p w:rsidRPr="00D86440" w:rsidR="00C43FA5" w:rsidP="00FC2172" w:rsidRDefault="00C43FA5" w14:paraId="430416F4" w14:textId="77777777">
            <w:pPr>
              <w:pStyle w:val="Tabeltekst"/>
              <w:rPr>
                <w:rFonts w:ascii="Trebuchet MS" w:hAnsi="Trebuchet MS"/>
                <w:szCs w:val="16"/>
              </w:rPr>
            </w:pPr>
            <w:r w:rsidRPr="00D86440">
              <w:rPr>
                <w:rFonts w:ascii="Trebuchet MS" w:hAnsi="Trebuchet MS"/>
                <w:szCs w:val="16"/>
              </w:rPr>
              <w:t>Overig</w:t>
            </w:r>
          </w:p>
        </w:tc>
        <w:tc>
          <w:tcPr>
            <w:tcW w:w="2857" w:type="pct"/>
            <w:hideMark/>
          </w:tcPr>
          <w:p w:rsidRPr="00D86440" w:rsidR="00C43FA5" w:rsidP="00426692" w:rsidRDefault="00C43FA5" w14:paraId="0EF16C74" w14:textId="77777777">
            <w:pPr>
              <w:pStyle w:val="Tabelgetal"/>
              <w:numPr>
                <w:ilvl w:val="0"/>
                <w:numId w:val="20"/>
              </w:numPr>
              <w:ind w:left="227" w:hanging="227"/>
              <w:jc w:val="left"/>
              <w:rPr>
                <w:rFonts w:ascii="Trebuchet MS" w:hAnsi="Trebuchet MS"/>
                <w:szCs w:val="16"/>
              </w:rPr>
            </w:pPr>
            <w:r w:rsidRPr="00D86440">
              <w:rPr>
                <w:rFonts w:ascii="Trebuchet MS" w:hAnsi="Trebuchet MS"/>
                <w:szCs w:val="16"/>
              </w:rPr>
              <w:t>Vervoer en opslag</w:t>
            </w:r>
          </w:p>
          <w:p w:rsidRPr="00D86440" w:rsidR="00C43FA5" w:rsidP="00426692" w:rsidRDefault="00C43FA5" w14:paraId="5EDA6180" w14:textId="77777777">
            <w:pPr>
              <w:pStyle w:val="Tabelgetal"/>
              <w:numPr>
                <w:ilvl w:val="0"/>
                <w:numId w:val="20"/>
              </w:numPr>
              <w:ind w:left="227" w:hanging="227"/>
              <w:jc w:val="left"/>
              <w:rPr>
                <w:rFonts w:ascii="Trebuchet MS" w:hAnsi="Trebuchet MS"/>
                <w:szCs w:val="16"/>
              </w:rPr>
            </w:pPr>
            <w:r w:rsidRPr="00D86440">
              <w:rPr>
                <w:rFonts w:ascii="Trebuchet MS" w:hAnsi="Trebuchet MS"/>
                <w:szCs w:val="16"/>
              </w:rPr>
              <w:t>Kunst, recreatie en sport</w:t>
            </w:r>
          </w:p>
          <w:p w:rsidRPr="00D86440" w:rsidR="00C43FA5" w:rsidP="00426692" w:rsidRDefault="00C43FA5" w14:paraId="7ADB50A6" w14:textId="77777777">
            <w:pPr>
              <w:pStyle w:val="Tabelgetal"/>
              <w:numPr>
                <w:ilvl w:val="0"/>
                <w:numId w:val="20"/>
              </w:numPr>
              <w:ind w:left="227" w:hanging="227"/>
              <w:jc w:val="left"/>
              <w:rPr>
                <w:rFonts w:ascii="Trebuchet MS" w:hAnsi="Trebuchet MS"/>
                <w:szCs w:val="16"/>
              </w:rPr>
            </w:pPr>
            <w:r w:rsidRPr="00D86440">
              <w:rPr>
                <w:rFonts w:ascii="Trebuchet MS" w:hAnsi="Trebuchet MS"/>
                <w:szCs w:val="16"/>
              </w:rPr>
              <w:t>Overig</w:t>
            </w:r>
          </w:p>
        </w:tc>
      </w:tr>
      <w:tr w:rsidRPr="00D86440" w:rsidR="00C43FA5" w:rsidTr="00FC2172" w14:paraId="7BC35E55" w14:textId="77777777">
        <w:tc>
          <w:tcPr>
            <w:tcW w:w="2143" w:type="pct"/>
          </w:tcPr>
          <w:p w:rsidRPr="00D86440" w:rsidR="00C43FA5" w:rsidP="00FC2172" w:rsidRDefault="00C43FA5" w14:paraId="28A0AEC0" w14:textId="77777777">
            <w:pPr>
              <w:pStyle w:val="Tabeltekst"/>
              <w:rPr>
                <w:rFonts w:ascii="Trebuchet MS" w:hAnsi="Trebuchet MS"/>
                <w:szCs w:val="16"/>
              </w:rPr>
            </w:pPr>
          </w:p>
        </w:tc>
        <w:tc>
          <w:tcPr>
            <w:tcW w:w="2857" w:type="pct"/>
          </w:tcPr>
          <w:p w:rsidRPr="00D86440" w:rsidR="00C43FA5" w:rsidP="00FC2172" w:rsidRDefault="00C43FA5" w14:paraId="375CBCCA" w14:textId="77777777">
            <w:pPr>
              <w:pStyle w:val="Tabelgetal"/>
              <w:ind w:left="227" w:hanging="227"/>
              <w:jc w:val="left"/>
              <w:rPr>
                <w:rFonts w:ascii="Trebuchet MS" w:hAnsi="Trebuchet MS"/>
                <w:szCs w:val="16"/>
              </w:rPr>
            </w:pPr>
          </w:p>
        </w:tc>
      </w:tr>
      <w:tr w:rsidRPr="00D86440" w:rsidR="00C43FA5" w:rsidTr="00FC2172" w14:paraId="0F1EE78D" w14:textId="77777777">
        <w:tc>
          <w:tcPr>
            <w:tcW w:w="2143" w:type="pct"/>
            <w:hideMark/>
          </w:tcPr>
          <w:p w:rsidRPr="00D86440" w:rsidR="00C43FA5" w:rsidP="00FC2172" w:rsidRDefault="00C43FA5" w14:paraId="1106D1A0" w14:textId="77777777">
            <w:pPr>
              <w:pStyle w:val="Tabeltekst"/>
              <w:rPr>
                <w:rFonts w:ascii="Trebuchet MS" w:hAnsi="Trebuchet MS"/>
                <w:szCs w:val="16"/>
              </w:rPr>
            </w:pPr>
            <w:r w:rsidRPr="00D86440">
              <w:rPr>
                <w:rFonts w:ascii="Trebuchet MS" w:hAnsi="Trebuchet MS"/>
                <w:szCs w:val="16"/>
              </w:rPr>
              <w:t>Onbekend</w:t>
            </w:r>
          </w:p>
        </w:tc>
        <w:tc>
          <w:tcPr>
            <w:tcW w:w="2857" w:type="pct"/>
            <w:hideMark/>
          </w:tcPr>
          <w:p w:rsidRPr="00D86440" w:rsidR="00C43FA5" w:rsidP="00426692" w:rsidRDefault="00C43FA5" w14:paraId="4DA4AC95" w14:textId="77777777">
            <w:pPr>
              <w:pStyle w:val="Tabelgetal"/>
              <w:numPr>
                <w:ilvl w:val="0"/>
                <w:numId w:val="20"/>
              </w:numPr>
              <w:ind w:left="227" w:hanging="227"/>
              <w:jc w:val="left"/>
              <w:rPr>
                <w:rFonts w:ascii="Trebuchet MS" w:hAnsi="Trebuchet MS"/>
                <w:szCs w:val="16"/>
              </w:rPr>
            </w:pPr>
            <w:r w:rsidRPr="00D86440">
              <w:rPr>
                <w:rFonts w:ascii="Trebuchet MS" w:hAnsi="Trebuchet MS"/>
                <w:szCs w:val="16"/>
              </w:rPr>
              <w:t>Niet-werkend</w:t>
            </w:r>
          </w:p>
          <w:p w:rsidRPr="00D86440" w:rsidR="00C43FA5" w:rsidP="00426692" w:rsidRDefault="00C43FA5" w14:paraId="417DB894" w14:textId="77777777">
            <w:pPr>
              <w:pStyle w:val="Tabelgetal"/>
              <w:numPr>
                <w:ilvl w:val="0"/>
                <w:numId w:val="20"/>
              </w:numPr>
              <w:ind w:left="227" w:hanging="227"/>
              <w:jc w:val="left"/>
              <w:rPr>
                <w:rFonts w:ascii="Trebuchet MS" w:hAnsi="Trebuchet MS"/>
                <w:szCs w:val="16"/>
              </w:rPr>
            </w:pPr>
            <w:r w:rsidRPr="00D86440">
              <w:rPr>
                <w:rFonts w:ascii="Trebuchet MS" w:hAnsi="Trebuchet MS"/>
                <w:szCs w:val="16"/>
              </w:rPr>
              <w:t>Zelfstandigen</w:t>
            </w:r>
          </w:p>
        </w:tc>
      </w:tr>
    </w:tbl>
    <w:p w:rsidR="00C43FA5" w:rsidP="00C43FA5" w:rsidRDefault="00C43FA5" w14:paraId="2FA5C146" w14:textId="349741A5">
      <w:pPr>
        <w:rPr>
          <w:szCs w:val="18"/>
        </w:rPr>
      </w:pPr>
    </w:p>
    <w:p w:rsidR="00C43FA5" w:rsidRDefault="00C43FA5" w14:paraId="29BE1489" w14:textId="77777777">
      <w:pPr>
        <w:spacing w:after="160" w:line="259" w:lineRule="auto"/>
        <w:rPr>
          <w:szCs w:val="18"/>
        </w:rPr>
      </w:pPr>
      <w:r>
        <w:rPr>
          <w:szCs w:val="18"/>
        </w:rPr>
        <w:br w:type="page"/>
      </w:r>
    </w:p>
    <w:p w:rsidRPr="00A45539" w:rsidR="00C43FA5" w:rsidP="00C43FA5" w:rsidRDefault="00C43FA5" w14:paraId="2337F3F8" w14:textId="77777777">
      <w:pPr>
        <w:rPr>
          <w:szCs w:val="18"/>
        </w:rPr>
      </w:pPr>
    </w:p>
    <w:p w:rsidRPr="00A45539" w:rsidR="00C43FA5" w:rsidP="00C43FA5" w:rsidRDefault="00C43FA5" w14:paraId="2ED2E71F" w14:textId="4622BAEB">
      <w:pPr>
        <w:pStyle w:val="Bijschrift"/>
        <w:keepNext/>
        <w:rPr>
          <w:rFonts w:cs="Calibri Light"/>
        </w:rPr>
      </w:pPr>
      <w:r w:rsidRPr="00A45539">
        <w:t xml:space="preserve">Figuur </w:t>
      </w:r>
      <w:r w:rsidR="00AE1506">
        <w:t>B4</w:t>
      </w:r>
      <w:r w:rsidRPr="00A45539">
        <w:t>.1</w:t>
      </w:r>
      <w:r w:rsidR="00AE1506">
        <w:t>1</w:t>
      </w:r>
      <w:r w:rsidRPr="00A45539">
        <w:t xml:space="preserve">a </w:t>
      </w:r>
      <w:r>
        <w:tab/>
      </w:r>
      <w:r w:rsidRPr="00A45539">
        <w:t xml:space="preserve">Het aantal </w:t>
      </w:r>
      <w:r>
        <w:t>lesgevenden</w:t>
      </w:r>
      <w:r w:rsidRPr="00A45539">
        <w:t xml:space="preserve"> in niet-technische profielen, in personen</w:t>
      </w:r>
    </w:p>
    <w:p w:rsidRPr="00A45539" w:rsidR="00C43FA5" w:rsidP="7C716BD1" w:rsidRDefault="00C43FA5" w14:paraId="6BF9665A" w14:textId="77777777">
      <w:pPr>
        <w:jc w:val="both"/>
        <w:rPr>
          <w:rFonts w:cs="Calibri Light"/>
        </w:rPr>
      </w:pPr>
      <w:r>
        <w:rPr>
          <w:noProof/>
          <w14:ligatures w14:val="standardContextual"/>
        </w:rPr>
        <w:drawing>
          <wp:inline distT="0" distB="0" distL="0" distR="0" wp14:anchorId="6B313B63" wp14:editId="5AC038E1">
            <wp:extent cx="5760720" cy="3186430"/>
            <wp:effectExtent l="0" t="0" r="11430" b="13970"/>
            <wp:docPr id="1184564561" name="Grafiek 1">
              <a:extLst xmlns:a="http://schemas.openxmlformats.org/drawingml/2006/main">
                <a:ext uri="{FF2B5EF4-FFF2-40B4-BE49-F238E27FC236}">
                  <a16:creationId xmlns:a16="http://schemas.microsoft.com/office/drawing/2014/main" id="{D287071D-F674-49B1-A38B-9F2B5519F0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C43FA5" w:rsidP="00C43FA5" w:rsidRDefault="00C43FA5" w14:paraId="59D87F95" w14:textId="77777777">
      <w:pPr>
        <w:pStyle w:val="Bron"/>
        <w:spacing w:after="120"/>
        <w:rPr>
          <w:rFonts w:cs="Tahoma"/>
        </w:rPr>
      </w:pPr>
      <w:r w:rsidRPr="00D86440">
        <w:rPr>
          <w:rFonts w:cs="Tahoma"/>
        </w:rPr>
        <w:t>Bron:</w:t>
      </w:r>
      <w:r w:rsidRPr="00D86440">
        <w:rPr>
          <w:rFonts w:cs="Tahoma"/>
        </w:rPr>
        <w:tab/>
        <w:t>DUO/IPTO, bewerking SEO (202</w:t>
      </w:r>
      <w:r>
        <w:rPr>
          <w:rFonts w:cs="Tahoma"/>
        </w:rPr>
        <w:t>5</w:t>
      </w:r>
      <w:r w:rsidRPr="00D86440">
        <w:rPr>
          <w:rFonts w:cs="Tahoma"/>
        </w:rPr>
        <w:t xml:space="preserve">). Verandering in percentages ten opzichte van </w:t>
      </w:r>
      <w:r>
        <w:rPr>
          <w:rFonts w:cs="Tahoma"/>
        </w:rPr>
        <w:t>het schooljaar ervoor</w:t>
      </w:r>
      <w:r w:rsidRPr="00D86440">
        <w:rPr>
          <w:rFonts w:cs="Tahoma"/>
        </w:rPr>
        <w:t xml:space="preserve"> boven de balken weergegeven.</w:t>
      </w:r>
    </w:p>
    <w:p w:rsidRPr="00D86440" w:rsidR="00C43FA5" w:rsidP="00C43FA5" w:rsidRDefault="00C43FA5" w14:paraId="61A35EC1" w14:textId="77777777"/>
    <w:p w:rsidRPr="00A45539" w:rsidR="00C43FA5" w:rsidP="00C43FA5" w:rsidRDefault="00C43FA5" w14:paraId="5376F3F8" w14:textId="3D69B44B">
      <w:pPr>
        <w:pStyle w:val="Bijschrift"/>
        <w:keepNext/>
        <w:rPr>
          <w:rFonts w:cs="Calibri Light"/>
        </w:rPr>
      </w:pPr>
      <w:r w:rsidRPr="00A45539">
        <w:t xml:space="preserve">Figuur </w:t>
      </w:r>
      <w:r w:rsidR="00AE1506">
        <w:t>B4</w:t>
      </w:r>
      <w:r w:rsidRPr="00A45539">
        <w:t>.1</w:t>
      </w:r>
      <w:r w:rsidR="00AE1506">
        <w:t>1</w:t>
      </w:r>
      <w:r w:rsidRPr="00A45539">
        <w:t xml:space="preserve">b </w:t>
      </w:r>
      <w:r>
        <w:tab/>
      </w:r>
      <w:r w:rsidRPr="00A45539">
        <w:t xml:space="preserve">Het aantal </w:t>
      </w:r>
      <w:r>
        <w:t>lesgevenden</w:t>
      </w:r>
      <w:r w:rsidRPr="00A45539">
        <w:t xml:space="preserve"> in niet-technische profielen, in fte</w:t>
      </w:r>
    </w:p>
    <w:p w:rsidRPr="00A45539" w:rsidR="00C43FA5" w:rsidP="7C716BD1" w:rsidRDefault="00C43FA5" w14:paraId="157A537A" w14:textId="77777777">
      <w:pPr>
        <w:jc w:val="both"/>
        <w:rPr>
          <w:rFonts w:cs="Calibri Light"/>
        </w:rPr>
      </w:pPr>
      <w:r>
        <w:rPr>
          <w:noProof/>
          <w14:ligatures w14:val="standardContextual"/>
        </w:rPr>
        <w:drawing>
          <wp:inline distT="0" distB="0" distL="0" distR="0" wp14:anchorId="1B52F51E" wp14:editId="58925085">
            <wp:extent cx="5760720" cy="3176270"/>
            <wp:effectExtent l="0" t="0" r="11430" b="5080"/>
            <wp:docPr id="1956905113" name="Grafiek 1">
              <a:extLst xmlns:a="http://schemas.openxmlformats.org/drawingml/2006/main">
                <a:ext uri="{FF2B5EF4-FFF2-40B4-BE49-F238E27FC236}">
                  <a16:creationId xmlns:a16="http://schemas.microsoft.com/office/drawing/2014/main" id="{1249FDC3-69CD-4186-8A32-F6F8A0B0F9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Pr="00D86440" w:rsidR="00C43FA5" w:rsidP="00C43FA5" w:rsidRDefault="00C43FA5" w14:paraId="10E135C2" w14:textId="77777777">
      <w:pPr>
        <w:pStyle w:val="Bron"/>
        <w:spacing w:after="0"/>
        <w:rPr>
          <w:rFonts w:cs="Tahoma"/>
        </w:rPr>
      </w:pPr>
      <w:r w:rsidRPr="00D86440">
        <w:rPr>
          <w:rFonts w:cs="Tahoma"/>
        </w:rPr>
        <w:t>Bron:</w:t>
      </w:r>
      <w:r w:rsidRPr="00D86440">
        <w:rPr>
          <w:rFonts w:cs="Tahoma"/>
        </w:rPr>
        <w:tab/>
        <w:t>DUO/IPTO, bewerking SEO (202</w:t>
      </w:r>
      <w:r>
        <w:rPr>
          <w:rFonts w:cs="Tahoma"/>
        </w:rPr>
        <w:t>5</w:t>
      </w:r>
      <w:r w:rsidRPr="00D86440">
        <w:rPr>
          <w:rFonts w:cs="Tahoma"/>
        </w:rPr>
        <w:t xml:space="preserve">). Verandering in percentages ten opzichte van </w:t>
      </w:r>
      <w:r>
        <w:rPr>
          <w:rFonts w:cs="Tahoma"/>
        </w:rPr>
        <w:t>het schooljaar ervoor</w:t>
      </w:r>
      <w:r w:rsidRPr="00D86440">
        <w:rPr>
          <w:rFonts w:cs="Tahoma"/>
        </w:rPr>
        <w:t xml:space="preserve"> boven de balken weergegeven.</w:t>
      </w:r>
    </w:p>
    <w:p w:rsidRPr="00A45539" w:rsidR="00C43FA5" w:rsidP="00C43FA5" w:rsidRDefault="00C43FA5" w14:paraId="2AD7FD10" w14:textId="77777777">
      <w:pPr>
        <w:jc w:val="both"/>
        <w:rPr>
          <w:rFonts w:cs="Calibri Light"/>
          <w:szCs w:val="18"/>
        </w:rPr>
      </w:pPr>
    </w:p>
    <w:p w:rsidRPr="00A45539" w:rsidR="00C43FA5" w:rsidP="00C43FA5" w:rsidRDefault="00C43FA5" w14:paraId="3B142162" w14:textId="1B3682CE">
      <w:pPr>
        <w:pStyle w:val="Bijschrift"/>
        <w:keepNext/>
        <w:rPr>
          <w:noProof/>
        </w:rPr>
      </w:pPr>
      <w:r w:rsidRPr="00A45539">
        <w:lastRenderedPageBreak/>
        <w:t xml:space="preserve">Figuur </w:t>
      </w:r>
      <w:r w:rsidR="00AE1506">
        <w:t>B4</w:t>
      </w:r>
      <w:r w:rsidRPr="00A45539">
        <w:t>.</w:t>
      </w:r>
      <w:r w:rsidR="00AE1506">
        <w:t>1</w:t>
      </w:r>
      <w:r w:rsidRPr="00A45539">
        <w:t xml:space="preserve">2 Het aandeel </w:t>
      </w:r>
      <w:r>
        <w:t>lesgevenden</w:t>
      </w:r>
      <w:r w:rsidRPr="00A45539">
        <w:t xml:space="preserve"> in niet-technische profielen dat ook een avo-vak of overig vak doceert</w:t>
      </w:r>
      <w:r w:rsidRPr="00A45539">
        <w:rPr>
          <w:noProof/>
        </w:rPr>
        <w:t xml:space="preserve"> </w:t>
      </w:r>
    </w:p>
    <w:p w:rsidRPr="00A45539" w:rsidR="00C43FA5" w:rsidP="7C716BD1" w:rsidRDefault="00C43FA5" w14:paraId="0E518CE3" w14:textId="77777777">
      <w:pPr>
        <w:jc w:val="both"/>
        <w:rPr>
          <w:noProof/>
        </w:rPr>
      </w:pPr>
      <w:r>
        <w:rPr>
          <w:noProof/>
          <w14:ligatures w14:val="standardContextual"/>
        </w:rPr>
        <w:drawing>
          <wp:inline distT="0" distB="0" distL="0" distR="0" wp14:anchorId="0027E93E" wp14:editId="162BAAB8">
            <wp:extent cx="5760000" cy="2743200"/>
            <wp:effectExtent l="0" t="0" r="12700" b="0"/>
            <wp:docPr id="917075673" name="Grafiek 1">
              <a:extLst xmlns:a="http://schemas.openxmlformats.org/drawingml/2006/main">
                <a:ext uri="{FF2B5EF4-FFF2-40B4-BE49-F238E27FC236}">
                  <a16:creationId xmlns:a16="http://schemas.microsoft.com/office/drawing/2014/main" id="{8A572B18-E640-4063-A2FA-9AAF62BF37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Pr="00A45539" w:rsidR="00C43FA5" w:rsidP="7C716BD1" w:rsidRDefault="00C43FA5" w14:paraId="6996A399" w14:textId="77777777">
      <w:pPr>
        <w:jc w:val="both"/>
        <w:rPr>
          <w:noProof/>
        </w:rPr>
      </w:pPr>
      <w:r>
        <w:rPr>
          <w:noProof/>
          <w14:ligatures w14:val="standardContextual"/>
        </w:rPr>
        <w:drawing>
          <wp:inline distT="0" distB="0" distL="0" distR="0" wp14:anchorId="24411B5B" wp14:editId="70C330FA">
            <wp:extent cx="5760000" cy="2743200"/>
            <wp:effectExtent l="0" t="0" r="12700" b="0"/>
            <wp:docPr id="1951477439" name="Grafiek 1">
              <a:extLst xmlns:a="http://schemas.openxmlformats.org/drawingml/2006/main">
                <a:ext uri="{FF2B5EF4-FFF2-40B4-BE49-F238E27FC236}">
                  <a16:creationId xmlns:a16="http://schemas.microsoft.com/office/drawing/2014/main" id="{6771B6F1-C598-4A1A-AB20-7B2FB9DCE7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Pr="00D86440" w:rsidR="00C43FA5" w:rsidP="00C43FA5" w:rsidRDefault="00C43FA5" w14:paraId="530F1B31" w14:textId="77777777">
      <w:pPr>
        <w:pStyle w:val="Bron"/>
        <w:rPr>
          <w:rFonts w:cs="Tahoma"/>
        </w:rPr>
      </w:pPr>
      <w:r w:rsidRPr="00D86440">
        <w:rPr>
          <w:rFonts w:cs="Tahoma"/>
        </w:rPr>
        <w:t>Bron:</w:t>
      </w:r>
      <w:r w:rsidRPr="00D86440">
        <w:rPr>
          <w:rFonts w:cs="Tahoma"/>
        </w:rPr>
        <w:tab/>
        <w:t>DUO/IPTO, bewerking SEO (202</w:t>
      </w:r>
      <w:r>
        <w:rPr>
          <w:rFonts w:cs="Tahoma"/>
        </w:rPr>
        <w:t>5</w:t>
      </w:r>
      <w:r w:rsidRPr="00D86440">
        <w:rPr>
          <w:rFonts w:cs="Tahoma"/>
        </w:rPr>
        <w:t xml:space="preserve">). </w:t>
      </w:r>
    </w:p>
    <w:p w:rsidR="00C43FA5" w:rsidP="00C43FA5" w:rsidRDefault="00C43FA5" w14:paraId="05931540" w14:textId="77777777">
      <w:pPr>
        <w:spacing w:after="160" w:line="259" w:lineRule="auto"/>
        <w:rPr>
          <w:bCs/>
          <w:i/>
          <w:color w:val="7F7F7F" w:themeColor="text1" w:themeTint="80"/>
          <w:szCs w:val="18"/>
        </w:rPr>
      </w:pPr>
      <w:r>
        <w:br w:type="page"/>
      </w:r>
    </w:p>
    <w:p w:rsidRPr="00A45539" w:rsidR="00C43FA5" w:rsidP="00C43FA5" w:rsidRDefault="00C43FA5" w14:paraId="76A2E1AF" w14:textId="1544DF59">
      <w:pPr>
        <w:pStyle w:val="Bijschrift"/>
      </w:pPr>
      <w:r w:rsidRPr="00A45539">
        <w:lastRenderedPageBreak/>
        <w:t xml:space="preserve">Figuur </w:t>
      </w:r>
      <w:r w:rsidR="00AE1506">
        <w:t>B4</w:t>
      </w:r>
      <w:r w:rsidRPr="00A45539">
        <w:t>.</w:t>
      </w:r>
      <w:r w:rsidR="00AE1506">
        <w:t>1</w:t>
      </w:r>
      <w:r w:rsidRPr="00A45539">
        <w:t xml:space="preserve">3 </w:t>
      </w:r>
      <w:r>
        <w:tab/>
      </w:r>
      <w:r w:rsidRPr="00A45539">
        <w:t xml:space="preserve">Het aantal </w:t>
      </w:r>
      <w:r>
        <w:t>lesgevenden</w:t>
      </w:r>
      <w:r w:rsidRPr="00A45539">
        <w:t xml:space="preserve"> in niet-technische profielen per </w:t>
      </w:r>
      <w:r>
        <w:t>school</w:t>
      </w:r>
    </w:p>
    <w:p w:rsidRPr="00A45539" w:rsidR="00C43FA5" w:rsidP="7C716BD1" w:rsidRDefault="00C43FA5" w14:paraId="61B8E192" w14:textId="77777777">
      <w:pPr>
        <w:jc w:val="both"/>
        <w:rPr>
          <w:rFonts w:cs="Calibri Light"/>
        </w:rPr>
      </w:pPr>
      <w:r>
        <w:rPr>
          <w:noProof/>
          <w14:ligatures w14:val="standardContextual"/>
        </w:rPr>
        <w:drawing>
          <wp:inline distT="0" distB="0" distL="0" distR="0" wp14:anchorId="0B3ADEB6" wp14:editId="6C7E9134">
            <wp:extent cx="5760720" cy="2761615"/>
            <wp:effectExtent l="0" t="0" r="11430" b="635"/>
            <wp:docPr id="1919144582" name="Grafiek 1">
              <a:extLst xmlns:a="http://schemas.openxmlformats.org/drawingml/2006/main">
                <a:ext uri="{FF2B5EF4-FFF2-40B4-BE49-F238E27FC236}">
                  <a16:creationId xmlns:a16="http://schemas.microsoft.com/office/drawing/2014/main" id="{0217EFC4-9D19-4A70-B861-9D07DAD212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C43FA5" w:rsidP="00C43FA5" w:rsidRDefault="00C43FA5" w14:paraId="0CB28691" w14:textId="77777777">
      <w:pPr>
        <w:pStyle w:val="Bron"/>
        <w:rPr>
          <w:rFonts w:cs="Tahoma"/>
        </w:rPr>
      </w:pPr>
      <w:r w:rsidRPr="00D86440">
        <w:rPr>
          <w:rFonts w:cs="Tahoma"/>
        </w:rPr>
        <w:t>Bron:</w:t>
      </w:r>
      <w:r w:rsidRPr="00D86440">
        <w:rPr>
          <w:rFonts w:cs="Tahoma"/>
        </w:rPr>
        <w:tab/>
        <w:t>DUO/IPTO, bewerking SEO (202</w:t>
      </w:r>
      <w:r>
        <w:rPr>
          <w:rFonts w:cs="Tahoma"/>
        </w:rPr>
        <w:t>5</w:t>
      </w:r>
      <w:r w:rsidRPr="00D86440">
        <w:rPr>
          <w:rFonts w:cs="Tahoma"/>
        </w:rPr>
        <w:t xml:space="preserve">). </w:t>
      </w:r>
    </w:p>
    <w:p w:rsidRPr="00D86440" w:rsidR="00C43FA5" w:rsidP="00C43FA5" w:rsidRDefault="00C43FA5" w14:paraId="37E12B10" w14:textId="77777777"/>
    <w:p w:rsidRPr="00A45539" w:rsidR="00C43FA5" w:rsidP="00C43FA5" w:rsidRDefault="00C43FA5" w14:paraId="543DDC1A" w14:textId="3D3D17EA">
      <w:pPr>
        <w:pStyle w:val="Bijschrift"/>
        <w:rPr>
          <w:rFonts w:cs="Calibri Light"/>
        </w:rPr>
      </w:pPr>
      <w:r w:rsidRPr="00A45539">
        <w:t xml:space="preserve">Figuur </w:t>
      </w:r>
      <w:r w:rsidR="00AE1506">
        <w:t>B4</w:t>
      </w:r>
      <w:r w:rsidRPr="00A45539">
        <w:t>.</w:t>
      </w:r>
      <w:r w:rsidR="00AE1506">
        <w:t>14</w:t>
      </w:r>
      <w:r w:rsidRPr="00A45539">
        <w:t xml:space="preserve"> </w:t>
      </w:r>
      <w:r>
        <w:tab/>
      </w:r>
      <w:r w:rsidRPr="00A45539">
        <w:t xml:space="preserve">Het aantal </w:t>
      </w:r>
      <w:r>
        <w:t>lesgevenden</w:t>
      </w:r>
      <w:r w:rsidRPr="00A45539">
        <w:t xml:space="preserve"> in niet-technische profielen per STO-regio</w:t>
      </w:r>
    </w:p>
    <w:p w:rsidRPr="00A45539" w:rsidR="00C43FA5" w:rsidP="7C716BD1" w:rsidRDefault="00C43FA5" w14:paraId="6431C2BC" w14:textId="77777777">
      <w:pPr>
        <w:jc w:val="both"/>
        <w:rPr>
          <w:rFonts w:cs="Calibri Light"/>
        </w:rPr>
      </w:pPr>
      <w:r>
        <w:rPr>
          <w:noProof/>
          <w14:ligatures w14:val="standardContextual"/>
        </w:rPr>
        <w:drawing>
          <wp:inline distT="0" distB="0" distL="0" distR="0" wp14:anchorId="4E9574B8" wp14:editId="56ABA85C">
            <wp:extent cx="5760720" cy="2764155"/>
            <wp:effectExtent l="0" t="0" r="11430" b="17145"/>
            <wp:docPr id="528843938" name="Grafiek 1">
              <a:extLst xmlns:a="http://schemas.openxmlformats.org/drawingml/2006/main">
                <a:ext uri="{FF2B5EF4-FFF2-40B4-BE49-F238E27FC236}">
                  <a16:creationId xmlns:a16="http://schemas.microsoft.com/office/drawing/2014/main" id="{AF9E4B38-7775-4788-AAF1-67C6DC68E3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C43FA5" w:rsidP="00C43FA5" w:rsidRDefault="00C43FA5" w14:paraId="640898B6" w14:textId="77777777">
      <w:pPr>
        <w:pStyle w:val="Bron"/>
        <w:rPr>
          <w:rFonts w:cs="Tahoma"/>
        </w:rPr>
      </w:pPr>
      <w:r w:rsidRPr="00D86440">
        <w:rPr>
          <w:rFonts w:cs="Tahoma"/>
        </w:rPr>
        <w:t>Bron:</w:t>
      </w:r>
      <w:r>
        <w:rPr>
          <w:rFonts w:cs="Tahoma"/>
        </w:rPr>
        <w:t xml:space="preserve"> </w:t>
      </w:r>
      <w:r w:rsidRPr="00D86440">
        <w:rPr>
          <w:rFonts w:cs="Tahoma"/>
        </w:rPr>
        <w:t>DUO/IPTO, bewerking SEO (202</w:t>
      </w:r>
      <w:r>
        <w:rPr>
          <w:rFonts w:cs="Tahoma"/>
        </w:rPr>
        <w:t>5</w:t>
      </w:r>
      <w:r w:rsidRPr="00D86440">
        <w:rPr>
          <w:rFonts w:cs="Tahoma"/>
        </w:rPr>
        <w:t xml:space="preserve">). Verandering in percentages ten opzichte van </w:t>
      </w:r>
      <w:r>
        <w:rPr>
          <w:rFonts w:cs="Tahoma"/>
        </w:rPr>
        <w:t>het schooljaar ervoor</w:t>
      </w:r>
      <w:r w:rsidRPr="00D86440">
        <w:rPr>
          <w:rFonts w:cs="Tahoma"/>
        </w:rPr>
        <w:t xml:space="preserve"> boven de balken weergegeven.</w:t>
      </w:r>
    </w:p>
    <w:p w:rsidRPr="00D86440" w:rsidR="00C43FA5" w:rsidP="00C43FA5" w:rsidRDefault="00C43FA5" w14:paraId="38D765F8" w14:textId="77777777"/>
    <w:p w:rsidRPr="00A45539" w:rsidR="00C43FA5" w:rsidP="00C43FA5" w:rsidRDefault="00C43FA5" w14:paraId="3A6FAB7E" w14:textId="7148FBBC">
      <w:pPr>
        <w:pStyle w:val="Bijschrift"/>
      </w:pPr>
      <w:r w:rsidRPr="00A45539">
        <w:t xml:space="preserve">Figuur </w:t>
      </w:r>
      <w:r w:rsidR="00AE1506">
        <w:t>B4</w:t>
      </w:r>
      <w:r w:rsidRPr="00A45539">
        <w:t>.</w:t>
      </w:r>
      <w:r w:rsidR="00AE1506">
        <w:t>15</w:t>
      </w:r>
      <w:r w:rsidRPr="00A45539">
        <w:t xml:space="preserve"> </w:t>
      </w:r>
      <w:r>
        <w:tab/>
      </w:r>
      <w:r w:rsidRPr="00A45539">
        <w:t xml:space="preserve">De leeftijdsverdeling van </w:t>
      </w:r>
      <w:r>
        <w:t>lesgevenden</w:t>
      </w:r>
      <w:r w:rsidRPr="00A45539">
        <w:t xml:space="preserve"> in niet-technische profielen</w:t>
      </w:r>
    </w:p>
    <w:p w:rsidRPr="00A45539" w:rsidR="00C43FA5" w:rsidP="7C716BD1" w:rsidRDefault="00C43FA5" w14:paraId="6912D6CA" w14:textId="77777777">
      <w:pPr>
        <w:jc w:val="both"/>
        <w:rPr>
          <w:rFonts w:cs="Calibri Light"/>
        </w:rPr>
      </w:pPr>
      <w:r>
        <w:rPr>
          <w:noProof/>
          <w14:ligatures w14:val="standardContextual"/>
        </w:rPr>
        <w:lastRenderedPageBreak/>
        <w:drawing>
          <wp:inline distT="0" distB="0" distL="0" distR="0" wp14:anchorId="1266B262" wp14:editId="08D60EBB">
            <wp:extent cx="5760000" cy="3147060"/>
            <wp:effectExtent l="0" t="0" r="12700" b="15240"/>
            <wp:docPr id="1199315143" name="Grafiek 1">
              <a:extLst xmlns:a="http://schemas.openxmlformats.org/drawingml/2006/main">
                <a:ext uri="{FF2B5EF4-FFF2-40B4-BE49-F238E27FC236}">
                  <a16:creationId xmlns:a16="http://schemas.microsoft.com/office/drawing/2014/main" id="{6454A049-0D68-4A90-9CEA-10D1B9DB07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Pr="00D86440" w:rsidR="00C43FA5" w:rsidP="00C43FA5" w:rsidRDefault="00C43FA5" w14:paraId="12C6F14E" w14:textId="77777777">
      <w:pPr>
        <w:spacing w:before="60"/>
        <w:jc w:val="both"/>
        <w:rPr>
          <w:rFonts w:cs="Tahoma"/>
          <w:color w:val="5F5F5F"/>
          <w:sz w:val="16"/>
          <w:szCs w:val="16"/>
        </w:rPr>
      </w:pPr>
      <w:r w:rsidRPr="00D86440">
        <w:rPr>
          <w:rFonts w:cs="Tahoma"/>
          <w:color w:val="5F5F5F"/>
          <w:sz w:val="16"/>
          <w:szCs w:val="16"/>
        </w:rPr>
        <w:t>Bron:</w:t>
      </w:r>
      <w:r>
        <w:rPr>
          <w:rFonts w:cs="Tahoma"/>
          <w:color w:val="5F5F5F"/>
          <w:sz w:val="16"/>
          <w:szCs w:val="16"/>
        </w:rPr>
        <w:t xml:space="preserve"> </w:t>
      </w:r>
      <w:r w:rsidRPr="00D86440">
        <w:rPr>
          <w:rFonts w:cs="Tahoma"/>
          <w:color w:val="5F5F5F"/>
          <w:sz w:val="16"/>
          <w:szCs w:val="16"/>
        </w:rPr>
        <w:t>DUO/IPTO, bewerking SEO (202</w:t>
      </w:r>
      <w:r>
        <w:rPr>
          <w:rFonts w:cs="Tahoma"/>
          <w:color w:val="5F5F5F"/>
          <w:sz w:val="16"/>
          <w:szCs w:val="16"/>
        </w:rPr>
        <w:t>5</w:t>
      </w:r>
      <w:r w:rsidRPr="00D86440">
        <w:rPr>
          <w:rFonts w:cs="Tahoma"/>
          <w:color w:val="5F5F5F"/>
          <w:sz w:val="16"/>
          <w:szCs w:val="16"/>
        </w:rPr>
        <w:t>).</w:t>
      </w:r>
    </w:p>
    <w:p w:rsidRPr="00A45539" w:rsidR="00C43FA5" w:rsidP="00C43FA5" w:rsidRDefault="00C43FA5" w14:paraId="752402B7" w14:textId="77777777">
      <w:pPr>
        <w:jc w:val="both"/>
        <w:rPr>
          <w:rFonts w:cs="Tahoma"/>
          <w:b/>
          <w:bCs/>
          <w:color w:val="5F5F5F"/>
          <w:szCs w:val="18"/>
        </w:rPr>
      </w:pPr>
    </w:p>
    <w:p w:rsidR="00C43FA5" w:rsidP="00C43FA5" w:rsidRDefault="00C43FA5" w14:paraId="01892E54" w14:textId="77777777">
      <w:pPr>
        <w:spacing w:after="160" w:line="259" w:lineRule="auto"/>
        <w:rPr>
          <w:bCs/>
          <w:i/>
          <w:color w:val="7F7F7F" w:themeColor="text1" w:themeTint="80"/>
          <w:szCs w:val="18"/>
        </w:rPr>
      </w:pPr>
      <w:r>
        <w:br w:type="page"/>
      </w:r>
    </w:p>
    <w:p w:rsidRPr="00A45539" w:rsidR="00C43FA5" w:rsidP="00C43FA5" w:rsidRDefault="00C43FA5" w14:paraId="06C30C22" w14:textId="29B5833D">
      <w:pPr>
        <w:pStyle w:val="Bijschrift"/>
        <w:rPr>
          <w:rFonts w:cs="Tahoma"/>
          <w:b/>
          <w:color w:val="5F5F5F"/>
        </w:rPr>
      </w:pPr>
      <w:r w:rsidRPr="00A45539">
        <w:lastRenderedPageBreak/>
        <w:t xml:space="preserve">Figuur </w:t>
      </w:r>
      <w:r w:rsidR="00AE1506">
        <w:t>B4</w:t>
      </w:r>
      <w:r w:rsidRPr="00A45539">
        <w:t>.</w:t>
      </w:r>
      <w:r w:rsidR="00AE1506">
        <w:t>16</w:t>
      </w:r>
      <w:r>
        <w:tab/>
      </w:r>
      <w:r w:rsidRPr="00A45539">
        <w:t xml:space="preserve">Andere kenmerken van </w:t>
      </w:r>
      <w:r>
        <w:t>lesgevenden</w:t>
      </w:r>
      <w:r w:rsidRPr="00A45539">
        <w:t xml:space="preserve"> in niet-technische profielen</w:t>
      </w:r>
    </w:p>
    <w:p w:rsidRPr="00A45539" w:rsidR="00C43FA5" w:rsidP="7C716BD1" w:rsidRDefault="00C43FA5" w14:paraId="03B53000" w14:textId="77777777">
      <w:pPr>
        <w:jc w:val="both"/>
        <w:rPr>
          <w:rFonts w:cs="Calibri Light"/>
        </w:rPr>
      </w:pPr>
      <w:r>
        <w:rPr>
          <w:noProof/>
          <w14:ligatures w14:val="standardContextual"/>
        </w:rPr>
        <w:drawing>
          <wp:inline distT="0" distB="0" distL="0" distR="0" wp14:anchorId="16FFC718" wp14:editId="6D85AF2B">
            <wp:extent cx="2880000" cy="2880000"/>
            <wp:effectExtent l="0" t="0" r="15875" b="15875"/>
            <wp:docPr id="569404488" name="Grafiek 1">
              <a:extLst xmlns:a="http://schemas.openxmlformats.org/drawingml/2006/main">
                <a:ext uri="{FF2B5EF4-FFF2-40B4-BE49-F238E27FC236}">
                  <a16:creationId xmlns:a16="http://schemas.microsoft.com/office/drawing/2014/main" id="{49D039E4-6197-4F47-B26A-659F65873A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Pr>
          <w:noProof/>
          <w14:ligatures w14:val="standardContextual"/>
        </w:rPr>
        <w:drawing>
          <wp:inline distT="0" distB="0" distL="0" distR="0" wp14:anchorId="3C9E0174" wp14:editId="14AA8A4C">
            <wp:extent cx="2844000" cy="2880000"/>
            <wp:effectExtent l="0" t="0" r="13970" b="15875"/>
            <wp:docPr id="318315634" name="Grafiek 1">
              <a:extLst xmlns:a="http://schemas.openxmlformats.org/drawingml/2006/main">
                <a:ext uri="{FF2B5EF4-FFF2-40B4-BE49-F238E27FC236}">
                  <a16:creationId xmlns:a16="http://schemas.microsoft.com/office/drawing/2014/main" id="{88F6664D-5066-4B25-A603-D8764F5BDE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Pr="7C716BD1">
        <w:rPr>
          <w:noProof/>
        </w:rPr>
        <w:t xml:space="preserve"> </w:t>
      </w:r>
    </w:p>
    <w:p w:rsidRPr="00A45539" w:rsidR="00C43FA5" w:rsidP="7C716BD1" w:rsidRDefault="00C43FA5" w14:paraId="58FF1F17" w14:textId="77777777">
      <w:pPr>
        <w:jc w:val="both"/>
        <w:rPr>
          <w:rFonts w:cs="Calibri Light"/>
        </w:rPr>
      </w:pPr>
      <w:r>
        <w:rPr>
          <w:noProof/>
          <w14:ligatures w14:val="standardContextual"/>
        </w:rPr>
        <w:drawing>
          <wp:inline distT="0" distB="0" distL="0" distR="0" wp14:anchorId="6D884033" wp14:editId="1F13E661">
            <wp:extent cx="2880000" cy="2880000"/>
            <wp:effectExtent l="0" t="0" r="15875" b="15875"/>
            <wp:docPr id="287618203" name="Grafiek 1">
              <a:extLst xmlns:a="http://schemas.openxmlformats.org/drawingml/2006/main">
                <a:ext uri="{FF2B5EF4-FFF2-40B4-BE49-F238E27FC236}">
                  <a16:creationId xmlns:a16="http://schemas.microsoft.com/office/drawing/2014/main" id="{8D1D2401-4F63-40A9-BC90-D463C97CB0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Pr>
          <w:noProof/>
          <w14:ligatures w14:val="standardContextual"/>
        </w:rPr>
        <w:drawing>
          <wp:inline distT="0" distB="0" distL="0" distR="0" wp14:anchorId="5979E8D5" wp14:editId="34E62C2A">
            <wp:extent cx="2844000" cy="2880000"/>
            <wp:effectExtent l="0" t="0" r="13970" b="15875"/>
            <wp:docPr id="952325106" name="Grafiek 1">
              <a:extLst xmlns:a="http://schemas.openxmlformats.org/drawingml/2006/main">
                <a:ext uri="{FF2B5EF4-FFF2-40B4-BE49-F238E27FC236}">
                  <a16:creationId xmlns:a16="http://schemas.microsoft.com/office/drawing/2014/main" id="{A410B609-AD44-4532-81DF-E21511C7E9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Pr="00D86440" w:rsidR="00C43FA5" w:rsidP="00C43FA5" w:rsidRDefault="00C43FA5" w14:paraId="4E58A88F" w14:textId="77777777">
      <w:pPr>
        <w:spacing w:before="60"/>
        <w:jc w:val="both"/>
        <w:rPr>
          <w:rFonts w:cs="Tahoma"/>
          <w:color w:val="5F5F5F"/>
          <w:sz w:val="16"/>
          <w:szCs w:val="16"/>
        </w:rPr>
      </w:pPr>
      <w:r w:rsidRPr="00D86440">
        <w:rPr>
          <w:rFonts w:cs="Tahoma"/>
          <w:color w:val="5F5F5F"/>
          <w:sz w:val="16"/>
          <w:szCs w:val="16"/>
        </w:rPr>
        <w:t>Bron: DUO/IPTO, bewerking SEO (202</w:t>
      </w:r>
      <w:r>
        <w:rPr>
          <w:rFonts w:cs="Tahoma"/>
          <w:color w:val="5F5F5F"/>
          <w:sz w:val="16"/>
          <w:szCs w:val="16"/>
        </w:rPr>
        <w:t>5</w:t>
      </w:r>
      <w:r w:rsidRPr="00D86440">
        <w:rPr>
          <w:rFonts w:cs="Tahoma"/>
          <w:color w:val="5F5F5F"/>
          <w:sz w:val="16"/>
          <w:szCs w:val="16"/>
        </w:rPr>
        <w:t>).</w:t>
      </w:r>
    </w:p>
    <w:p w:rsidRPr="00A45539" w:rsidR="00C43FA5" w:rsidP="00C43FA5" w:rsidRDefault="00C43FA5" w14:paraId="3A474706" w14:textId="77777777">
      <w:pPr>
        <w:jc w:val="both"/>
        <w:rPr>
          <w:rFonts w:cs="Calibri Light"/>
          <w:szCs w:val="18"/>
        </w:rPr>
      </w:pPr>
    </w:p>
    <w:p w:rsidRPr="00A45539" w:rsidR="00C43FA5" w:rsidP="00C43FA5" w:rsidRDefault="00C43FA5" w14:paraId="5B7C792F" w14:textId="77777777">
      <w:pPr>
        <w:jc w:val="both"/>
        <w:rPr>
          <w:rFonts w:cs="Calibri Light"/>
          <w:szCs w:val="18"/>
        </w:rPr>
      </w:pPr>
    </w:p>
    <w:p w:rsidRPr="00A45539" w:rsidR="00C43FA5" w:rsidP="00C43FA5" w:rsidRDefault="00C43FA5" w14:paraId="5141EF44" w14:textId="77777777">
      <w:pPr>
        <w:jc w:val="both"/>
        <w:rPr>
          <w:rFonts w:cs="Calibri Light"/>
          <w:szCs w:val="18"/>
        </w:rPr>
      </w:pPr>
    </w:p>
    <w:p w:rsidR="00C43FA5" w:rsidP="00C43FA5" w:rsidRDefault="00C43FA5" w14:paraId="6984F2D2" w14:textId="77777777">
      <w:pPr>
        <w:spacing w:after="160" w:line="259" w:lineRule="auto"/>
        <w:rPr>
          <w:bCs/>
          <w:i/>
          <w:color w:val="7F7F7F" w:themeColor="text1" w:themeTint="80"/>
          <w:szCs w:val="18"/>
        </w:rPr>
      </w:pPr>
      <w:r>
        <w:br w:type="page"/>
      </w:r>
    </w:p>
    <w:p w:rsidRPr="00A45539" w:rsidR="00C43FA5" w:rsidP="00C43FA5" w:rsidRDefault="00C43FA5" w14:paraId="2C644A71" w14:textId="30417D7B">
      <w:pPr>
        <w:pStyle w:val="Bijschrift"/>
        <w:rPr>
          <w:rFonts w:cs="Tahoma"/>
          <w:b/>
          <w:color w:val="5F5F5F"/>
        </w:rPr>
      </w:pPr>
      <w:r w:rsidRPr="00A45539">
        <w:lastRenderedPageBreak/>
        <w:t xml:space="preserve">Figuur </w:t>
      </w:r>
      <w:r w:rsidR="00AE1506">
        <w:t>B4.17</w:t>
      </w:r>
      <w:r w:rsidRPr="00A45539">
        <w:t xml:space="preserve"> </w:t>
      </w:r>
      <w:r>
        <w:tab/>
      </w:r>
      <w:r w:rsidRPr="00A45539">
        <w:t xml:space="preserve">Het opleidingsniveau van </w:t>
      </w:r>
      <w:r>
        <w:t>lesgevenden</w:t>
      </w:r>
      <w:r w:rsidRPr="00A45539">
        <w:t xml:space="preserve"> in niet-technische profielen</w:t>
      </w:r>
    </w:p>
    <w:p w:rsidRPr="00A45539" w:rsidR="00C43FA5" w:rsidP="7C716BD1" w:rsidRDefault="00C43FA5" w14:paraId="1E8896F6" w14:textId="77777777">
      <w:pPr>
        <w:jc w:val="both"/>
        <w:rPr>
          <w:rFonts w:cs="Calibri Light"/>
        </w:rPr>
      </w:pPr>
      <w:r>
        <w:rPr>
          <w:noProof/>
          <w14:ligatures w14:val="standardContextual"/>
        </w:rPr>
        <w:drawing>
          <wp:inline distT="0" distB="0" distL="0" distR="0" wp14:anchorId="7D39199A" wp14:editId="12981AB1">
            <wp:extent cx="5760000" cy="3147060"/>
            <wp:effectExtent l="0" t="0" r="12700" b="15240"/>
            <wp:docPr id="157596240" name="Grafiek 1">
              <a:extLst xmlns:a="http://schemas.openxmlformats.org/drawingml/2006/main">
                <a:ext uri="{FF2B5EF4-FFF2-40B4-BE49-F238E27FC236}">
                  <a16:creationId xmlns:a16="http://schemas.microsoft.com/office/drawing/2014/main" id="{40B82238-9946-469B-8924-6290DC9480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Pr="00D86440" w:rsidR="00C43FA5" w:rsidP="00C43FA5" w:rsidRDefault="00C43FA5" w14:paraId="791420E6" w14:textId="77777777">
      <w:pPr>
        <w:spacing w:before="60"/>
        <w:jc w:val="both"/>
        <w:rPr>
          <w:rFonts w:cs="Tahoma"/>
          <w:color w:val="5F5F5F"/>
          <w:sz w:val="16"/>
          <w:szCs w:val="16"/>
        </w:rPr>
      </w:pPr>
      <w:r w:rsidRPr="00D86440">
        <w:rPr>
          <w:rFonts w:cs="Tahoma"/>
          <w:color w:val="5F5F5F"/>
          <w:sz w:val="16"/>
          <w:szCs w:val="16"/>
        </w:rPr>
        <w:t>Bron:</w:t>
      </w:r>
      <w:r>
        <w:rPr>
          <w:rFonts w:cs="Tahoma"/>
          <w:color w:val="5F5F5F"/>
          <w:sz w:val="16"/>
          <w:szCs w:val="16"/>
        </w:rPr>
        <w:t xml:space="preserve"> </w:t>
      </w:r>
      <w:r w:rsidRPr="00D86440">
        <w:rPr>
          <w:rFonts w:cs="Tahoma"/>
          <w:color w:val="5F5F5F"/>
          <w:sz w:val="16"/>
          <w:szCs w:val="16"/>
        </w:rPr>
        <w:t>DUO/IPTO, bewerking SEO (202</w:t>
      </w:r>
      <w:r>
        <w:rPr>
          <w:rFonts w:cs="Tahoma"/>
          <w:color w:val="5F5F5F"/>
          <w:sz w:val="16"/>
          <w:szCs w:val="16"/>
        </w:rPr>
        <w:t>5</w:t>
      </w:r>
      <w:r w:rsidRPr="00D86440">
        <w:rPr>
          <w:rFonts w:cs="Tahoma"/>
          <w:color w:val="5F5F5F"/>
          <w:sz w:val="16"/>
          <w:szCs w:val="16"/>
        </w:rPr>
        <w:t>).</w:t>
      </w:r>
    </w:p>
    <w:p w:rsidRPr="00A45539" w:rsidR="00C43FA5" w:rsidP="00C43FA5" w:rsidRDefault="00C43FA5" w14:paraId="143F06FA" w14:textId="77777777">
      <w:pPr>
        <w:jc w:val="both"/>
        <w:rPr>
          <w:rFonts w:cs="Calibri Light"/>
          <w:szCs w:val="18"/>
        </w:rPr>
      </w:pPr>
    </w:p>
    <w:p w:rsidRPr="00A45539" w:rsidR="00C43FA5" w:rsidP="00C43FA5" w:rsidRDefault="00C43FA5" w14:paraId="50FB5C31" w14:textId="1744717D">
      <w:pPr>
        <w:pStyle w:val="Bijschrift"/>
        <w:rPr>
          <w:rFonts w:cs="Tahoma"/>
          <w:b/>
          <w:color w:val="5F5F5F"/>
        </w:rPr>
      </w:pPr>
      <w:r w:rsidRPr="00A45539">
        <w:t xml:space="preserve">Figuur </w:t>
      </w:r>
      <w:r w:rsidR="00AE1506">
        <w:t>B4.18</w:t>
      </w:r>
      <w:r w:rsidRPr="00A45539">
        <w:t xml:space="preserve"> </w:t>
      </w:r>
      <w:r>
        <w:tab/>
      </w:r>
      <w:r w:rsidRPr="00A45539">
        <w:t xml:space="preserve">De opleidingsrichting van </w:t>
      </w:r>
      <w:r>
        <w:t>lesgevenden</w:t>
      </w:r>
      <w:r w:rsidRPr="00A45539">
        <w:t xml:space="preserve"> in niet-technische profielen</w:t>
      </w:r>
    </w:p>
    <w:p w:rsidRPr="00A45539" w:rsidR="00C43FA5" w:rsidP="7C716BD1" w:rsidRDefault="00C43FA5" w14:paraId="560CA68E" w14:textId="77777777">
      <w:pPr>
        <w:jc w:val="both"/>
        <w:rPr>
          <w:rFonts w:cs="Calibri Light"/>
        </w:rPr>
      </w:pPr>
      <w:r>
        <w:rPr>
          <w:noProof/>
          <w14:ligatures w14:val="standardContextual"/>
        </w:rPr>
        <w:drawing>
          <wp:inline distT="0" distB="0" distL="0" distR="0" wp14:anchorId="7044A195" wp14:editId="13F7D48E">
            <wp:extent cx="5760720" cy="3146425"/>
            <wp:effectExtent l="0" t="0" r="11430" b="15875"/>
            <wp:docPr id="201677072" name="Grafiek 1">
              <a:extLst xmlns:a="http://schemas.openxmlformats.org/drawingml/2006/main">
                <a:ext uri="{FF2B5EF4-FFF2-40B4-BE49-F238E27FC236}">
                  <a16:creationId xmlns:a16="http://schemas.microsoft.com/office/drawing/2014/main" id="{BE410199-1803-4476-91B7-EF0880D80A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Pr="00D86440" w:rsidR="00C43FA5" w:rsidP="00C43FA5" w:rsidRDefault="00C43FA5" w14:paraId="3E5E7EDC" w14:textId="77777777">
      <w:pPr>
        <w:spacing w:before="60"/>
        <w:jc w:val="both"/>
        <w:rPr>
          <w:rFonts w:cs="Tahoma"/>
          <w:color w:val="5F5F5F"/>
          <w:sz w:val="16"/>
          <w:szCs w:val="16"/>
        </w:rPr>
      </w:pPr>
      <w:r w:rsidRPr="00D86440">
        <w:rPr>
          <w:rFonts w:cs="Tahoma"/>
          <w:color w:val="5F5F5F"/>
          <w:sz w:val="16"/>
          <w:szCs w:val="16"/>
        </w:rPr>
        <w:t>Bron:</w:t>
      </w:r>
      <w:r>
        <w:rPr>
          <w:rFonts w:cs="Tahoma"/>
          <w:color w:val="5F5F5F"/>
          <w:sz w:val="16"/>
          <w:szCs w:val="16"/>
        </w:rPr>
        <w:t xml:space="preserve"> </w:t>
      </w:r>
      <w:r w:rsidRPr="00D86440">
        <w:rPr>
          <w:rFonts w:cs="Tahoma"/>
          <w:color w:val="5F5F5F"/>
          <w:sz w:val="16"/>
          <w:szCs w:val="16"/>
        </w:rPr>
        <w:t>DUO/IPTO, bewerking SEO (202</w:t>
      </w:r>
      <w:r>
        <w:rPr>
          <w:rFonts w:cs="Tahoma"/>
          <w:color w:val="5F5F5F"/>
          <w:sz w:val="16"/>
          <w:szCs w:val="16"/>
        </w:rPr>
        <w:t>5</w:t>
      </w:r>
      <w:r w:rsidRPr="00D86440">
        <w:rPr>
          <w:rFonts w:cs="Tahoma"/>
          <w:color w:val="5F5F5F"/>
          <w:sz w:val="16"/>
          <w:szCs w:val="16"/>
        </w:rPr>
        <w:t>).</w:t>
      </w:r>
    </w:p>
    <w:p w:rsidRPr="00A45539" w:rsidR="00C43FA5" w:rsidP="00C43FA5" w:rsidRDefault="00C43FA5" w14:paraId="4A359FA1" w14:textId="77777777">
      <w:pPr>
        <w:jc w:val="both"/>
        <w:rPr>
          <w:rFonts w:cs="Calibri Light"/>
          <w:szCs w:val="18"/>
        </w:rPr>
      </w:pPr>
    </w:p>
    <w:p w:rsidR="00C43FA5" w:rsidP="00C43FA5" w:rsidRDefault="00C43FA5" w14:paraId="0639B7F0" w14:textId="77777777">
      <w:pPr>
        <w:spacing w:after="160" w:line="259" w:lineRule="auto"/>
        <w:rPr>
          <w:bCs/>
          <w:i/>
          <w:color w:val="7F7F7F" w:themeColor="text1" w:themeTint="80"/>
          <w:szCs w:val="18"/>
        </w:rPr>
      </w:pPr>
      <w:r>
        <w:br w:type="page"/>
      </w:r>
    </w:p>
    <w:p w:rsidRPr="00A45539" w:rsidR="00C43FA5" w:rsidP="00C43FA5" w:rsidRDefault="00C43FA5" w14:paraId="6F521A7F" w14:textId="3B3163F9">
      <w:pPr>
        <w:pStyle w:val="Bijschrift"/>
        <w:rPr>
          <w:rFonts w:cs="Tahoma"/>
          <w:b/>
          <w:color w:val="5F5F5F"/>
        </w:rPr>
      </w:pPr>
      <w:r w:rsidRPr="00A45539">
        <w:lastRenderedPageBreak/>
        <w:t xml:space="preserve">Figuur </w:t>
      </w:r>
      <w:r w:rsidR="00AE1506">
        <w:t>B4.19</w:t>
      </w:r>
      <w:r>
        <w:tab/>
      </w:r>
      <w:r w:rsidRPr="00A45539">
        <w:t xml:space="preserve">De </w:t>
      </w:r>
      <w:r>
        <w:t>werk</w:t>
      </w:r>
      <w:r w:rsidRPr="00A45539">
        <w:t xml:space="preserve">situatie van </w:t>
      </w:r>
      <w:r>
        <w:t>verschillende cohorten lesgevenden</w:t>
      </w:r>
      <w:r w:rsidRPr="00A45539">
        <w:t xml:space="preserve"> in niet-technische profielen </w:t>
      </w:r>
      <w:r>
        <w:t>twee jaar en vijf jaar eerder</w:t>
      </w:r>
    </w:p>
    <w:p w:rsidRPr="00A45539" w:rsidR="00C43FA5" w:rsidP="7C716BD1" w:rsidRDefault="00C43FA5" w14:paraId="3BCF6FB3" w14:textId="77777777">
      <w:pPr>
        <w:jc w:val="both"/>
        <w:rPr>
          <w:noProof/>
        </w:rPr>
      </w:pPr>
      <w:r>
        <w:rPr>
          <w:noProof/>
          <w14:ligatures w14:val="standardContextual"/>
        </w:rPr>
        <w:drawing>
          <wp:inline distT="0" distB="0" distL="0" distR="0" wp14:anchorId="25A21624" wp14:editId="563832A7">
            <wp:extent cx="5756190" cy="3322320"/>
            <wp:effectExtent l="0" t="0" r="16510" b="11430"/>
            <wp:docPr id="592208018" name="Grafiek 1">
              <a:extLst xmlns:a="http://schemas.openxmlformats.org/drawingml/2006/main">
                <a:ext uri="{FF2B5EF4-FFF2-40B4-BE49-F238E27FC236}">
                  <a16:creationId xmlns:a16="http://schemas.microsoft.com/office/drawing/2014/main" id="{8BAB7E5D-0E16-4CD1-B14B-9432DB97B5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Pr="00D86440" w:rsidR="00C43FA5" w:rsidP="00C43FA5" w:rsidRDefault="00C43FA5" w14:paraId="1FFCFFB8" w14:textId="77777777">
      <w:pPr>
        <w:spacing w:before="60"/>
        <w:jc w:val="both"/>
        <w:rPr>
          <w:rFonts w:cs="Tahoma"/>
          <w:color w:val="5F5F5F"/>
          <w:sz w:val="16"/>
          <w:szCs w:val="16"/>
        </w:rPr>
      </w:pPr>
      <w:r w:rsidRPr="00D86440">
        <w:rPr>
          <w:rFonts w:cs="Tahoma"/>
          <w:color w:val="5F5F5F"/>
          <w:sz w:val="16"/>
          <w:szCs w:val="16"/>
        </w:rPr>
        <w:t>Bron:</w:t>
      </w:r>
      <w:r>
        <w:rPr>
          <w:rFonts w:cs="Tahoma"/>
          <w:color w:val="5F5F5F"/>
          <w:sz w:val="16"/>
          <w:szCs w:val="16"/>
        </w:rPr>
        <w:t xml:space="preserve"> </w:t>
      </w:r>
      <w:r w:rsidRPr="00D86440">
        <w:rPr>
          <w:rFonts w:cs="Tahoma"/>
          <w:color w:val="5F5F5F"/>
          <w:sz w:val="16"/>
          <w:szCs w:val="16"/>
        </w:rPr>
        <w:t>DUO/IPTO, bewerking SEO (202</w:t>
      </w:r>
      <w:r>
        <w:rPr>
          <w:rFonts w:cs="Tahoma"/>
          <w:color w:val="5F5F5F"/>
          <w:sz w:val="16"/>
          <w:szCs w:val="16"/>
        </w:rPr>
        <w:t>5</w:t>
      </w:r>
      <w:r w:rsidRPr="00D86440">
        <w:rPr>
          <w:rFonts w:cs="Tahoma"/>
          <w:color w:val="5F5F5F"/>
          <w:sz w:val="16"/>
          <w:szCs w:val="16"/>
        </w:rPr>
        <w:t>).</w:t>
      </w:r>
    </w:p>
    <w:p w:rsidRPr="00A45539" w:rsidR="00C43FA5" w:rsidP="00C43FA5" w:rsidRDefault="00C43FA5" w14:paraId="47EAF994" w14:textId="77777777">
      <w:pPr>
        <w:jc w:val="both"/>
        <w:rPr>
          <w:rFonts w:cs="Tahoma"/>
          <w:color w:val="5F5F5F"/>
          <w:szCs w:val="18"/>
        </w:rPr>
      </w:pPr>
    </w:p>
    <w:p w:rsidRPr="00A45539" w:rsidR="00C43FA5" w:rsidP="00C43FA5" w:rsidRDefault="00C43FA5" w14:paraId="1C758466" w14:textId="3B8AD0DC">
      <w:pPr>
        <w:pStyle w:val="Bijschrift"/>
        <w:rPr>
          <w:rFonts w:cs="Tahoma"/>
          <w:b/>
          <w:color w:val="5F5F5F"/>
        </w:rPr>
      </w:pPr>
      <w:r w:rsidRPr="00A45539">
        <w:t xml:space="preserve">Figuur </w:t>
      </w:r>
      <w:r w:rsidR="00AE1506">
        <w:t xml:space="preserve">B4.20 </w:t>
      </w:r>
      <w:r w:rsidRPr="00A45539">
        <w:t xml:space="preserve">De sectoren waarin </w:t>
      </w:r>
      <w:r>
        <w:t>lesgevenden</w:t>
      </w:r>
      <w:r w:rsidRPr="00A45539">
        <w:t xml:space="preserve"> in niet-technische profielen werkten als ze nog geen docent waren</w:t>
      </w:r>
      <w:r>
        <w:t xml:space="preserve"> (2 jaar eerder en 5 jaar eerder)</w:t>
      </w:r>
    </w:p>
    <w:p w:rsidRPr="00A45539" w:rsidR="00C43FA5" w:rsidP="7C716BD1" w:rsidRDefault="00C43FA5" w14:paraId="63650A87" w14:textId="77777777">
      <w:pPr>
        <w:jc w:val="both"/>
        <w:rPr>
          <w:rFonts w:cs="Calibri Light"/>
        </w:rPr>
      </w:pPr>
      <w:r>
        <w:rPr>
          <w:noProof/>
          <w14:ligatures w14:val="standardContextual"/>
        </w:rPr>
        <w:drawing>
          <wp:inline distT="0" distB="0" distL="0" distR="0" wp14:anchorId="44FC06C3" wp14:editId="139C355E">
            <wp:extent cx="5756190" cy="3324225"/>
            <wp:effectExtent l="0" t="0" r="16510" b="9525"/>
            <wp:docPr id="148293647" name="Grafiek 1">
              <a:extLst xmlns:a="http://schemas.openxmlformats.org/drawingml/2006/main">
                <a:ext uri="{FF2B5EF4-FFF2-40B4-BE49-F238E27FC236}">
                  <a16:creationId xmlns:a16="http://schemas.microsoft.com/office/drawing/2014/main" id="{3F91B5A3-3F17-433F-AEE7-14BF37BA4B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Pr="00D86440" w:rsidR="00C43FA5" w:rsidP="00C43FA5" w:rsidRDefault="00C43FA5" w14:paraId="3651D634" w14:textId="77777777">
      <w:pPr>
        <w:spacing w:before="60"/>
        <w:jc w:val="both"/>
        <w:rPr>
          <w:rFonts w:cs="Tahoma"/>
          <w:color w:val="5F5F5F"/>
          <w:sz w:val="16"/>
          <w:szCs w:val="16"/>
        </w:rPr>
      </w:pPr>
      <w:r w:rsidRPr="00D86440">
        <w:rPr>
          <w:rFonts w:cs="Tahoma"/>
          <w:color w:val="5F5F5F"/>
          <w:sz w:val="16"/>
          <w:szCs w:val="16"/>
        </w:rPr>
        <w:t>Bron: DUO/IPTO, bewerking SEO (202</w:t>
      </w:r>
      <w:r>
        <w:rPr>
          <w:rFonts w:cs="Tahoma"/>
          <w:color w:val="5F5F5F"/>
          <w:sz w:val="16"/>
          <w:szCs w:val="16"/>
        </w:rPr>
        <w:t>5</w:t>
      </w:r>
      <w:r w:rsidRPr="00D86440">
        <w:rPr>
          <w:rFonts w:cs="Tahoma"/>
          <w:color w:val="5F5F5F"/>
          <w:sz w:val="16"/>
          <w:szCs w:val="16"/>
        </w:rPr>
        <w:t>).</w:t>
      </w:r>
    </w:p>
    <w:p w:rsidR="008E58E5" w:rsidRDefault="008E58E5" w14:paraId="5B183ED4" w14:textId="4D2D48BC">
      <w:pPr>
        <w:spacing w:after="160" w:line="259" w:lineRule="auto"/>
        <w:rPr>
          <w:rFonts w:eastAsiaTheme="majorEastAsia"/>
          <w:lang w:eastAsia="en-US"/>
        </w:rPr>
      </w:pPr>
      <w:r>
        <w:rPr>
          <w:rFonts w:eastAsiaTheme="majorEastAsia"/>
          <w:lang w:eastAsia="en-US"/>
        </w:rPr>
        <w:br w:type="page"/>
      </w:r>
    </w:p>
    <w:p w:rsidR="00B52D66" w:rsidP="00E90991" w:rsidRDefault="008E58E5" w14:paraId="5D4C4570" w14:textId="50D90B7D">
      <w:pPr>
        <w:pStyle w:val="Kop1"/>
      </w:pPr>
      <w:bookmarkStart w:name="_Toc203573654" w:id="223"/>
      <w:r>
        <w:lastRenderedPageBreak/>
        <w:t>Bijlage 5 Referentielijst</w:t>
      </w:r>
      <w:bookmarkEnd w:id="223"/>
    </w:p>
    <w:bookmarkEnd w:id="3"/>
    <w:p w:rsidR="005D7AD3" w:rsidP="008E58E5" w:rsidRDefault="005D7AD3" w14:paraId="46871A87" w14:textId="577B5A6B">
      <w:pPr>
        <w:rPr>
          <w:rFonts w:eastAsiaTheme="majorEastAsia"/>
          <w:lang w:val="en-US" w:eastAsia="en-US"/>
        </w:rPr>
      </w:pPr>
      <w:r w:rsidRPr="007652AD">
        <w:rPr>
          <w:rFonts w:eastAsiaTheme="majorEastAsia"/>
          <w:lang w:val="en-US" w:eastAsia="en-US"/>
        </w:rPr>
        <w:t xml:space="preserve">Hidi, S., &amp; Renninger, K. A. (2006). </w:t>
      </w:r>
      <w:r w:rsidRPr="005E724B">
        <w:rPr>
          <w:rFonts w:eastAsiaTheme="majorEastAsia"/>
          <w:lang w:val="en-US" w:eastAsia="en-US"/>
        </w:rPr>
        <w:t xml:space="preserve">The Four-Phase Model of Interest Development. </w:t>
      </w:r>
      <w:r w:rsidRPr="00283B39">
        <w:rPr>
          <w:rFonts w:eastAsiaTheme="majorEastAsia"/>
          <w:i/>
          <w:lang w:val="en-US" w:eastAsia="en-US"/>
        </w:rPr>
        <w:t>Educational Psychologist, 41</w:t>
      </w:r>
      <w:r w:rsidRPr="005E724B">
        <w:rPr>
          <w:rFonts w:eastAsiaTheme="majorEastAsia"/>
          <w:lang w:val="en-US" w:eastAsia="en-US"/>
        </w:rPr>
        <w:t xml:space="preserve">(2), 111–127. </w:t>
      </w:r>
      <w:hyperlink w:history="1" r:id="rId97">
        <w:r w:rsidRPr="005E724B">
          <w:rPr>
            <w:rStyle w:val="Hyperlink"/>
            <w:rFonts w:eastAsiaTheme="majorEastAsia"/>
            <w:lang w:val="en-US" w:eastAsia="en-US"/>
          </w:rPr>
          <w:t>https://doi.org/10.1207/s15326985ep4102_</w:t>
        </w:r>
        <w:r w:rsidRPr="00D05EC1">
          <w:rPr>
            <w:rStyle w:val="Hyperlink"/>
            <w:rFonts w:eastAsiaTheme="majorEastAsia"/>
            <w:lang w:val="en-US" w:eastAsia="en-US"/>
          </w:rPr>
          <w:t>4</w:t>
        </w:r>
      </w:hyperlink>
    </w:p>
    <w:p w:rsidR="005D7AD3" w:rsidP="008E58E5" w:rsidRDefault="005D7AD3" w14:paraId="481184DC" w14:textId="77777777">
      <w:pPr>
        <w:rPr>
          <w:rFonts w:eastAsiaTheme="majorEastAsia"/>
          <w:lang w:val="en-US" w:eastAsia="en-US"/>
        </w:rPr>
      </w:pPr>
      <w:r w:rsidRPr="00283B39">
        <w:rPr>
          <w:rFonts w:eastAsiaTheme="majorEastAsia"/>
          <w:lang w:val="en-US" w:eastAsia="en-US"/>
        </w:rPr>
        <w:t xml:space="preserve">Lucas, B. and Hanson, J. (2021). </w:t>
      </w:r>
      <w:r w:rsidRPr="00283B39">
        <w:rPr>
          <w:rFonts w:eastAsiaTheme="majorEastAsia"/>
          <w:i/>
          <w:iCs/>
          <w:lang w:val="en-US" w:eastAsia="en-US"/>
        </w:rPr>
        <w:t>Reimagining practical learning in secondary schools: A review of the evidence.</w:t>
      </w:r>
      <w:r w:rsidRPr="00283B39">
        <w:rPr>
          <w:rFonts w:eastAsiaTheme="majorEastAsia"/>
          <w:lang w:val="en-US" w:eastAsia="en-US"/>
        </w:rPr>
        <w:t xml:space="preserve"> </w:t>
      </w:r>
      <w:r w:rsidRPr="007169E9">
        <w:rPr>
          <w:rFonts w:eastAsiaTheme="majorEastAsia"/>
          <w:lang w:val="en-US" w:eastAsia="en-US"/>
        </w:rPr>
        <w:t>London: Royal Academy of Engineering.</w:t>
      </w:r>
    </w:p>
    <w:p w:rsidR="00AB04F8" w:rsidP="008E58E5" w:rsidRDefault="00AB04F8" w14:paraId="414EBDD8" w14:textId="77777777">
      <w:pPr>
        <w:rPr>
          <w:rFonts w:eastAsiaTheme="majorEastAsia"/>
          <w:lang w:val="en-US" w:eastAsia="en-US"/>
        </w:rPr>
      </w:pPr>
    </w:p>
    <w:p w:rsidR="00AB04F8" w:rsidP="008E58E5" w:rsidRDefault="00AB04F8" w14:paraId="1E33EE39" w14:textId="56E2CA0E">
      <w:pPr>
        <w:rPr>
          <w:rFonts w:eastAsiaTheme="majorEastAsia"/>
          <w:lang w:val="en-US" w:eastAsia="en-US"/>
        </w:rPr>
      </w:pPr>
      <w:r w:rsidRPr="00AB04F8">
        <w:rPr>
          <w:rFonts w:eastAsiaTheme="majorEastAsia"/>
          <w:lang w:eastAsia="en-US"/>
        </w:rPr>
        <w:t>Korpershoek, H., Karssen, M., Spijkerboer, A., Petit, R., &amp; Hermans, A. (2022). Effectieve loopbaanoriëntatie en loopbaanbegeleiding (LOB) in het vmbo: een overzichtsstudie van nationale en internationale literatuur.</w:t>
      </w:r>
      <w:r>
        <w:rPr>
          <w:rFonts w:eastAsiaTheme="majorEastAsia"/>
          <w:lang w:eastAsia="en-US"/>
        </w:rPr>
        <w:t xml:space="preserve"> Onderzoek onder begeleiding van NRO.</w:t>
      </w:r>
    </w:p>
    <w:p w:rsidR="005D7AD3" w:rsidP="008E58E5" w:rsidRDefault="005D7AD3" w14:paraId="68AE831B" w14:textId="77777777">
      <w:pPr>
        <w:rPr>
          <w:rFonts w:eastAsiaTheme="majorEastAsia"/>
          <w:lang w:val="en-US" w:eastAsia="en-US"/>
        </w:rPr>
      </w:pPr>
    </w:p>
    <w:p w:rsidRPr="003D09BF" w:rsidR="00893C60" w:rsidP="008E58E5" w:rsidRDefault="00893C60" w14:paraId="22B6BD38" w14:textId="2A9F7989">
      <w:pPr>
        <w:rPr>
          <w:rFonts w:eastAsiaTheme="majorEastAsia"/>
          <w:lang w:val="en-US" w:eastAsia="en-US"/>
        </w:rPr>
      </w:pPr>
      <w:r w:rsidRPr="0096716F">
        <w:rPr>
          <w:rFonts w:eastAsiaTheme="majorEastAsia"/>
          <w:lang w:val="en-US" w:eastAsia="en-US"/>
        </w:rPr>
        <w:t>Mulder, J., Ferket, R., Meng, C.</w:t>
      </w:r>
      <w:r w:rsidRPr="00283B39" w:rsidR="00031B06">
        <w:rPr>
          <w:rFonts w:eastAsiaTheme="majorEastAsia"/>
          <w:lang w:val="en-US" w:eastAsia="en-US"/>
        </w:rPr>
        <w:t xml:space="preserve"> &amp;</w:t>
      </w:r>
      <w:r w:rsidRPr="0096716F">
        <w:rPr>
          <w:rFonts w:eastAsiaTheme="majorEastAsia"/>
          <w:lang w:val="en-US" w:eastAsia="en-US"/>
        </w:rPr>
        <w:t xml:space="preserve"> </w:t>
      </w:r>
      <w:r w:rsidRPr="0096716F" w:rsidR="00031B06">
        <w:rPr>
          <w:rFonts w:eastAsiaTheme="majorEastAsia"/>
          <w:lang w:val="en-US" w:eastAsia="en-US"/>
        </w:rPr>
        <w:t>Westerhuis, A.</w:t>
      </w:r>
      <w:r w:rsidRPr="00283B39" w:rsidR="00031B06">
        <w:rPr>
          <w:rFonts w:eastAsiaTheme="majorEastAsia"/>
          <w:lang w:val="en-US" w:eastAsia="en-US"/>
        </w:rPr>
        <w:t xml:space="preserve"> (2019). </w:t>
      </w:r>
      <w:r w:rsidRPr="00031B06" w:rsidR="00031B06">
        <w:rPr>
          <w:rFonts w:eastAsiaTheme="majorEastAsia"/>
          <w:lang w:eastAsia="en-US"/>
        </w:rPr>
        <w:t>Monitor Sterk Techniekonderwijs; de nulmeting.</w:t>
      </w:r>
      <w:r w:rsidR="00031B06">
        <w:rPr>
          <w:rFonts w:eastAsiaTheme="majorEastAsia"/>
          <w:lang w:eastAsia="en-US"/>
        </w:rPr>
        <w:t xml:space="preserve"> </w:t>
      </w:r>
      <w:r w:rsidRPr="00283B39" w:rsidR="007D7633">
        <w:rPr>
          <w:rFonts w:eastAsiaTheme="majorEastAsia"/>
          <w:i/>
          <w:iCs/>
          <w:lang w:val="en-US" w:eastAsia="en-US"/>
        </w:rPr>
        <w:t>’s Hertogenbosch: Consortium ResearchNed, ecbo, ROA</w:t>
      </w:r>
      <w:r w:rsidRPr="00283B39" w:rsidR="003D09BF">
        <w:rPr>
          <w:rFonts w:eastAsiaTheme="majorEastAsia"/>
          <w:lang w:val="en-US" w:eastAsia="en-US"/>
        </w:rPr>
        <w:t xml:space="preserve">. </w:t>
      </w:r>
      <w:hyperlink w:history="1" r:id="rId98">
        <w:r w:rsidRPr="00283B39" w:rsidR="003D09BF">
          <w:rPr>
            <w:rStyle w:val="Hyperlink"/>
            <w:rFonts w:eastAsiaTheme="majorEastAsia"/>
            <w:lang w:val="en-US"/>
          </w:rPr>
          <w:t>https://www.nro.nl/sites/nro/files/media-files/Monitor-Sterk-Techniekonderwijs-de-nulmeting.-Definitief.pdf</w:t>
        </w:r>
      </w:hyperlink>
      <w:r w:rsidR="003D09BF">
        <w:rPr>
          <w:rFonts w:eastAsiaTheme="majorEastAsia"/>
          <w:lang w:val="en-US" w:eastAsia="en-US"/>
        </w:rPr>
        <w:t xml:space="preserve"> </w:t>
      </w:r>
    </w:p>
    <w:p w:rsidRPr="003D09BF" w:rsidR="00893C60" w:rsidP="008E58E5" w:rsidRDefault="00893C60" w14:paraId="2ABAD4D1" w14:textId="77777777">
      <w:pPr>
        <w:rPr>
          <w:rFonts w:eastAsiaTheme="majorEastAsia"/>
          <w:lang w:val="en-US" w:eastAsia="en-US"/>
        </w:rPr>
      </w:pPr>
    </w:p>
    <w:p w:rsidR="005D7AD3" w:rsidP="008E58E5" w:rsidRDefault="005D7AD3" w14:paraId="3905783A" w14:textId="03A8DC4C">
      <w:pPr>
        <w:rPr>
          <w:rFonts w:eastAsiaTheme="majorEastAsia"/>
          <w:lang w:eastAsia="en-US"/>
        </w:rPr>
      </w:pPr>
      <w:r w:rsidRPr="005D7AD3">
        <w:rPr>
          <w:rFonts w:eastAsiaTheme="majorEastAsia"/>
          <w:lang w:eastAsia="en-US"/>
        </w:rPr>
        <w:t>Muskens, M., Van Casteren, W., De Graaf, D., Van den Berg, E., Doeve, T., Meng, C., Goedhart R., &amp; Voncken, E. (2021). Sterk TechniekOnderwijs. Eerste fase STO: Monitorgegevens en voortgang in het eerste jaar. </w:t>
      </w:r>
      <w:r w:rsidRPr="005D7AD3">
        <w:rPr>
          <w:rFonts w:eastAsiaTheme="majorEastAsia"/>
          <w:i/>
          <w:iCs/>
          <w:lang w:eastAsia="en-US"/>
        </w:rPr>
        <w:t>Nijmegen: Consortium ResearchNed, SEO Economisch Onderzoek, ROA, Bureau Turf.</w:t>
      </w:r>
      <w:r w:rsidRPr="005D7AD3">
        <w:rPr>
          <w:rFonts w:eastAsiaTheme="majorEastAsia"/>
          <w:lang w:eastAsia="en-US"/>
        </w:rPr>
        <w:t> </w:t>
      </w:r>
      <w:r w:rsidRPr="005D7AD3">
        <w:rPr>
          <w:rFonts w:eastAsiaTheme="majorEastAsia"/>
          <w:lang w:eastAsia="en-US"/>
        </w:rPr>
        <w:br/>
      </w:r>
      <w:hyperlink w:tgtFrame="_blank" w:tooltip="(opens in a new window)" w:history="1" r:id="rId99">
        <w:r w:rsidRPr="005D7AD3">
          <w:rPr>
            <w:rStyle w:val="Hyperlink"/>
            <w:rFonts w:eastAsiaTheme="majorEastAsia"/>
            <w:lang w:eastAsia="en-US"/>
          </w:rPr>
          <w:t>https://open.overheid.nl/repository/ronl-9a7ebac9-db82-4242-81fd-4f8cd6ba3499/1/pdf/</w:t>
        </w:r>
        <w:r w:rsidRPr="005D7AD3">
          <w:rPr>
            <w:rStyle w:val="Hyperlink"/>
            <w:rFonts w:eastAsiaTheme="majorEastAsia"/>
            <w:lang w:eastAsia="en-US"/>
          </w:rPr>
          <w:br/>
          <w:t>eerste-fase-sto-monitorgegevens-en-voortgang-in-het-eerste-jaar.pdf</w:t>
        </w:r>
      </w:hyperlink>
    </w:p>
    <w:p w:rsidRPr="008E58E5" w:rsidR="0082515A" w:rsidP="008E58E5" w:rsidRDefault="0082515A" w14:paraId="66B2D927" w14:textId="77777777">
      <w:pPr>
        <w:rPr>
          <w:rFonts w:eastAsiaTheme="majorEastAsia"/>
          <w:lang w:eastAsia="en-US"/>
        </w:rPr>
      </w:pPr>
    </w:p>
    <w:p w:rsidRPr="007169E9" w:rsidR="005D7AD3" w:rsidP="008E58E5" w:rsidRDefault="005D7AD3" w14:paraId="0CC1F726" w14:textId="5D4DEC8E">
      <w:pPr>
        <w:rPr>
          <w:rFonts w:eastAsiaTheme="majorEastAsia"/>
          <w:lang w:eastAsia="en-US"/>
        </w:rPr>
      </w:pPr>
      <w:r w:rsidRPr="00283B39">
        <w:rPr>
          <w:rFonts w:eastAsiaTheme="majorEastAsia"/>
          <w:lang w:val="es-ES" w:eastAsia="en-US"/>
        </w:rPr>
        <w:t xml:space="preserve">Ryan, R. M., &amp; Deci, E. L. (2000). </w:t>
      </w:r>
      <w:r w:rsidRPr="00467A76">
        <w:rPr>
          <w:rFonts w:eastAsiaTheme="majorEastAsia"/>
          <w:lang w:val="en-US" w:eastAsia="en-US"/>
        </w:rPr>
        <w:t xml:space="preserve">Self-determination theory and the facilitation of intrinsic motivation, social development, and well-being. </w:t>
      </w:r>
      <w:r w:rsidRPr="00283B39">
        <w:rPr>
          <w:rFonts w:eastAsiaTheme="majorEastAsia"/>
          <w:i/>
          <w:iCs/>
          <w:lang w:eastAsia="en-US"/>
        </w:rPr>
        <w:t>American Psychologist, 55</w:t>
      </w:r>
      <w:r w:rsidRPr="007169E9">
        <w:rPr>
          <w:rFonts w:eastAsiaTheme="majorEastAsia"/>
          <w:lang w:eastAsia="en-US"/>
        </w:rPr>
        <w:t xml:space="preserve">(1), 68–78. </w:t>
      </w:r>
      <w:hyperlink w:history="1" r:id="rId100">
        <w:r w:rsidRPr="007169E9">
          <w:rPr>
            <w:rStyle w:val="Hyperlink"/>
            <w:rFonts w:eastAsiaTheme="majorEastAsia"/>
            <w:lang w:eastAsia="en-US"/>
          </w:rPr>
          <w:t>https://doi.org/10.1037/0003-066X.55.1.68</w:t>
        </w:r>
      </w:hyperlink>
      <w:r w:rsidRPr="007169E9">
        <w:rPr>
          <w:rFonts w:eastAsiaTheme="majorEastAsia"/>
          <w:lang w:eastAsia="en-US"/>
        </w:rPr>
        <w:t xml:space="preserve">  </w:t>
      </w:r>
    </w:p>
    <w:p w:rsidR="0082515A" w:rsidP="008E58E5" w:rsidRDefault="0082515A" w14:paraId="0CBD81AF" w14:textId="77777777">
      <w:pPr>
        <w:rPr>
          <w:rFonts w:eastAsiaTheme="majorEastAsia"/>
          <w:lang w:eastAsia="en-US"/>
        </w:rPr>
      </w:pPr>
    </w:p>
    <w:p w:rsidR="005D7AD3" w:rsidP="008E58E5" w:rsidRDefault="005D7AD3" w14:paraId="475D2345" w14:textId="29751BF0">
      <w:pPr>
        <w:rPr>
          <w:rFonts w:eastAsiaTheme="majorEastAsia"/>
          <w:lang w:eastAsia="en-US"/>
        </w:rPr>
      </w:pPr>
      <w:r>
        <w:rPr>
          <w:rFonts w:eastAsiaTheme="majorEastAsia"/>
          <w:lang w:eastAsia="en-US"/>
        </w:rPr>
        <w:t xml:space="preserve">Stevens, L.M. (2004). </w:t>
      </w:r>
      <w:r w:rsidRPr="00283B39">
        <w:rPr>
          <w:rFonts w:eastAsiaTheme="majorEastAsia"/>
          <w:i/>
          <w:lang w:eastAsia="en-US"/>
        </w:rPr>
        <w:t>Zin in school.</w:t>
      </w:r>
      <w:r>
        <w:rPr>
          <w:rFonts w:eastAsiaTheme="majorEastAsia"/>
          <w:lang w:eastAsia="en-US"/>
        </w:rPr>
        <w:t xml:space="preserve"> Amersfoort: </w:t>
      </w:r>
      <w:r w:rsidRPr="00774260">
        <w:rPr>
          <w:rFonts w:eastAsiaTheme="majorEastAsia"/>
          <w:lang w:eastAsia="en-US"/>
        </w:rPr>
        <w:t>CPS</w:t>
      </w:r>
      <w:r>
        <w:rPr>
          <w:rFonts w:eastAsiaTheme="majorEastAsia"/>
          <w:lang w:eastAsia="en-US"/>
        </w:rPr>
        <w:t xml:space="preserve">. </w:t>
      </w:r>
    </w:p>
    <w:p w:rsidR="006310D4" w:rsidP="008E58E5" w:rsidRDefault="006310D4" w14:paraId="007C1540" w14:textId="77777777">
      <w:pPr>
        <w:rPr>
          <w:rFonts w:eastAsiaTheme="majorEastAsia"/>
          <w:lang w:eastAsia="en-US"/>
        </w:rPr>
      </w:pPr>
    </w:p>
    <w:p w:rsidR="006310D4" w:rsidP="008E58E5" w:rsidRDefault="006310D4" w14:paraId="0C68C3AF" w14:textId="0F0EF808">
      <w:pPr>
        <w:rPr>
          <w:rFonts w:eastAsiaTheme="majorEastAsia"/>
          <w:lang w:eastAsia="en-US"/>
        </w:rPr>
      </w:pPr>
      <w:r w:rsidRPr="006310D4">
        <w:rPr>
          <w:rFonts w:eastAsiaTheme="majorEastAsia"/>
          <w:lang w:eastAsia="en-US"/>
        </w:rPr>
        <w:t>van Langen, A., &amp; Meelissen, M. R. (2019). De lekkende bèta/technische pijpleiding en hoe deze te repareren: Samenvatting, conclusies en aanbevelingen.</w:t>
      </w:r>
      <w:r>
        <w:rPr>
          <w:rFonts w:eastAsiaTheme="majorEastAsia"/>
          <w:lang w:eastAsia="en-US"/>
        </w:rPr>
        <w:t xml:space="preserve"> Onderzoek in opdracht van OCW.</w:t>
      </w:r>
    </w:p>
    <w:p w:rsidR="0082515A" w:rsidP="008E58E5" w:rsidRDefault="0082515A" w14:paraId="42E3E01E" w14:textId="77777777">
      <w:pPr>
        <w:rPr>
          <w:rFonts w:eastAsiaTheme="majorEastAsia"/>
          <w:lang w:eastAsia="en-US"/>
        </w:rPr>
      </w:pPr>
    </w:p>
    <w:p w:rsidR="005D7AD3" w:rsidP="008E58E5" w:rsidRDefault="005D7AD3" w14:paraId="0C79BC67" w14:textId="7E81C6E5">
      <w:pPr>
        <w:rPr>
          <w:rFonts w:eastAsiaTheme="majorEastAsia"/>
          <w:lang w:eastAsia="en-US"/>
        </w:rPr>
      </w:pPr>
      <w:r w:rsidRPr="00093C1A">
        <w:rPr>
          <w:rFonts w:eastAsiaTheme="majorEastAsia"/>
          <w:lang w:eastAsia="en-US"/>
        </w:rPr>
        <w:t>Voncken, E., Mulder, J., Graaf, D., De Ven, K. Van der, Berg, E., Van den Casteren, W., Van Muskens, M., &amp; Meng, C. (2020). Het docententekort in de technische beroepsgerichte profielen vmbo: Een driedubbele uitdaging. Docenten gezocht voor Sterk Techniekonderwijs. </w:t>
      </w:r>
      <w:r w:rsidRPr="00093C1A">
        <w:rPr>
          <w:rFonts w:eastAsiaTheme="majorEastAsia"/>
          <w:i/>
          <w:iCs/>
          <w:lang w:eastAsia="en-US"/>
        </w:rPr>
        <w:t>De Nieuwe Meso</w:t>
      </w:r>
      <w:r w:rsidR="00665BED">
        <w:rPr>
          <w:rFonts w:eastAsiaTheme="majorEastAsia"/>
          <w:i/>
          <w:iCs/>
          <w:lang w:eastAsia="en-US"/>
        </w:rPr>
        <w:t xml:space="preserve">, </w:t>
      </w:r>
      <w:r w:rsidR="00F94DD1">
        <w:rPr>
          <w:rFonts w:eastAsiaTheme="majorEastAsia"/>
          <w:i/>
          <w:iCs/>
          <w:lang w:eastAsia="en-US"/>
        </w:rPr>
        <w:t xml:space="preserve">december </w:t>
      </w:r>
      <w:r w:rsidRPr="00093C1A">
        <w:rPr>
          <w:rFonts w:eastAsiaTheme="majorEastAsia"/>
          <w:i/>
          <w:iCs/>
          <w:lang w:eastAsia="en-US"/>
        </w:rPr>
        <w:t>2020(4).</w:t>
      </w:r>
      <w:r w:rsidRPr="00093C1A">
        <w:rPr>
          <w:rFonts w:eastAsiaTheme="majorEastAsia"/>
          <w:lang w:eastAsia="en-US"/>
        </w:rPr>
        <w:t> </w:t>
      </w:r>
      <w:hyperlink w:history="1" r:id="rId101">
        <w:r w:rsidRPr="00F94DD1" w:rsidR="00F94DD1">
          <w:rPr>
            <w:rStyle w:val="Hyperlink"/>
            <w:rFonts w:eastAsiaTheme="majorEastAsia"/>
            <w:lang w:eastAsia="en-US"/>
          </w:rPr>
          <w:t>https://www.voion.nl/media/3723/docenten-gezocht-voor-sterk-techniekonderwijs-december-2020.pdf</w:t>
        </w:r>
      </w:hyperlink>
    </w:p>
    <w:p w:rsidRPr="008E58E5" w:rsidR="008E58E5" w:rsidP="543B735E" w:rsidRDefault="55C4BDA6" w14:paraId="20C8B189" w14:textId="0BEA9CA1">
      <w:pPr>
        <w:rPr>
          <w:rFonts w:eastAsiaTheme="majorEastAsia"/>
          <w:lang w:eastAsia="en-US"/>
        </w:rPr>
      </w:pPr>
      <w:r w:rsidRPr="543B735E">
        <w:rPr>
          <w:rFonts w:eastAsiaTheme="majorEastAsia"/>
          <w:lang w:eastAsia="en-US"/>
        </w:rPr>
        <w:t>*</w:t>
      </w:r>
    </w:p>
    <w:sectPr w:rsidRPr="008E58E5" w:rsidR="008E58E5">
      <w:footerReference w:type="default" r:id="rId102"/>
      <w:pgSz w:w="12240" w:h="15840"/>
      <w:pgMar w:top="1440" w:right="1440" w:bottom="1440" w:left="1440" w:header="708" w:footer="708" w:gutter="0"/>
      <w:cols w:space="708"/>
      <w:docGrid w:linePitch="360"/>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12347A" w14:textId="77777777" w:rsidR="001705B6" w:rsidRDefault="001705B6" w:rsidP="00E63A23">
      <w:pPr>
        <w:spacing w:line="240" w:lineRule="auto"/>
      </w:pPr>
      <w:r>
        <w:separator/>
      </w:r>
    </w:p>
  </w:endnote>
  <w:endnote w:type="continuationSeparator" w:id="0">
    <w:p w14:paraId="1017BBD9" w14:textId="77777777" w:rsidR="001705B6" w:rsidRDefault="001705B6" w:rsidP="00E63A23">
      <w:pPr>
        <w:spacing w:line="240" w:lineRule="auto"/>
      </w:pPr>
      <w:r>
        <w:continuationSeparator/>
      </w:r>
    </w:p>
  </w:endnote>
  <w:endnote w:type="continuationNotice" w:id="1">
    <w:p w14:paraId="5F63FDE7" w14:textId="77777777" w:rsidR="001705B6" w:rsidRDefault="001705B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altName w:val="Cambria"/>
    <w:charset w:val="00"/>
    <w:family w:val="swiss"/>
    <w:pitch w:val="variable"/>
    <w:sig w:usb0="800000E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ind Regular">
    <w:altName w:val="Mangal"/>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Open Sans Light">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CB9B1" w14:textId="77777777" w:rsidR="00364DF6" w:rsidRDefault="00364DF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1459921"/>
      <w:docPartObj>
        <w:docPartGallery w:val="Page Numbers (Bottom of Page)"/>
        <w:docPartUnique/>
      </w:docPartObj>
    </w:sdtPr>
    <w:sdtEndPr/>
    <w:sdtContent>
      <w:p w14:paraId="31DEF40C" w14:textId="77777777" w:rsidR="00B52D66" w:rsidRDefault="00B52D66">
        <w:pPr>
          <w:pStyle w:val="Voettekst"/>
          <w:jc w:val="right"/>
        </w:pPr>
        <w:r>
          <w:fldChar w:fldCharType="begin"/>
        </w:r>
        <w:r>
          <w:instrText>PAGE   \* MERGEFORMAT</w:instrText>
        </w:r>
        <w:r>
          <w:fldChar w:fldCharType="separate"/>
        </w:r>
        <w:r>
          <w:rPr>
            <w:lang w:val="en-GB"/>
          </w:rPr>
          <w:t>2</w:t>
        </w:r>
        <w:r>
          <w:fldChar w:fldCharType="end"/>
        </w:r>
      </w:p>
    </w:sdtContent>
  </w:sdt>
  <w:p w14:paraId="51453452" w14:textId="77777777" w:rsidR="00B52D66" w:rsidRDefault="00B52D66">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3F70" w14:textId="77777777" w:rsidR="00364DF6" w:rsidRDefault="00364DF6">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2312432"/>
      <w:docPartObj>
        <w:docPartGallery w:val="Page Numbers (Bottom of Page)"/>
        <w:docPartUnique/>
      </w:docPartObj>
    </w:sdtPr>
    <w:sdtEndPr>
      <w:rPr>
        <w:noProof/>
      </w:rPr>
    </w:sdtEndPr>
    <w:sdtContent>
      <w:p w14:paraId="7D9E1E36" w14:textId="7DED8CBC" w:rsidR="004C254D" w:rsidRDefault="004C254D" w:rsidP="0065314C">
        <w:pPr>
          <w:pStyle w:val="Voettekst"/>
          <w:jc w:val="right"/>
        </w:pPr>
        <w:r>
          <w:fldChar w:fldCharType="begin"/>
        </w:r>
        <w:r>
          <w:instrText xml:space="preserve"> PAGE   \* MERGEFORMAT </w:instrText>
        </w:r>
        <w:r>
          <w:fldChar w:fldCharType="separate"/>
        </w:r>
        <w:r w:rsidR="00BB2947">
          <w:rPr>
            <w:noProof/>
          </w:rPr>
          <w:t>37</w:t>
        </w:r>
        <w:r>
          <w:rPr>
            <w:noProof/>
          </w:rPr>
          <w:fldChar w:fldCharType="end"/>
        </w:r>
      </w:p>
    </w:sdtContent>
  </w:sdt>
  <w:p w14:paraId="74DBDBB6" w14:textId="77777777" w:rsidR="003A7BDF" w:rsidRDefault="003A7B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4B719C" w14:textId="77777777" w:rsidR="001705B6" w:rsidRDefault="001705B6" w:rsidP="00E63A23">
      <w:pPr>
        <w:spacing w:line="240" w:lineRule="auto"/>
      </w:pPr>
      <w:r>
        <w:separator/>
      </w:r>
    </w:p>
  </w:footnote>
  <w:footnote w:type="continuationSeparator" w:id="0">
    <w:p w14:paraId="2AE47A62" w14:textId="77777777" w:rsidR="001705B6" w:rsidRDefault="001705B6" w:rsidP="00E63A23">
      <w:pPr>
        <w:spacing w:line="240" w:lineRule="auto"/>
      </w:pPr>
      <w:r>
        <w:continuationSeparator/>
      </w:r>
    </w:p>
  </w:footnote>
  <w:footnote w:type="continuationNotice" w:id="1">
    <w:p w14:paraId="6A915F3D" w14:textId="77777777" w:rsidR="001705B6" w:rsidRDefault="001705B6">
      <w:pPr>
        <w:spacing w:line="240" w:lineRule="auto"/>
      </w:pPr>
    </w:p>
  </w:footnote>
  <w:footnote w:id="2">
    <w:p w14:paraId="7F040D8F" w14:textId="7E97CFD0" w:rsidR="009E1D78" w:rsidRDefault="009E1D78" w:rsidP="009E1D78">
      <w:pPr>
        <w:pStyle w:val="Voetnoottekst"/>
      </w:pPr>
      <w:r>
        <w:rPr>
          <w:rStyle w:val="Voetnootmarkering"/>
        </w:rPr>
        <w:footnoteRef/>
      </w:r>
      <w:r>
        <w:t xml:space="preserve"> De plannen 2025-202</w:t>
      </w:r>
      <w:r w:rsidR="004F7478">
        <w:t>9</w:t>
      </w:r>
      <w:r>
        <w:t xml:space="preserve"> zijn ingediend door 74 STO-regio’s door samenvoegingen. </w:t>
      </w:r>
    </w:p>
  </w:footnote>
  <w:footnote w:id="3">
    <w:p w14:paraId="598927C0" w14:textId="77777777" w:rsidR="009E1D78" w:rsidRDefault="009E1D78" w:rsidP="009E1D78">
      <w:pPr>
        <w:pStyle w:val="Voetnoottekst"/>
      </w:pPr>
      <w:r>
        <w:rPr>
          <w:rStyle w:val="Voetnootmarkering"/>
        </w:rPr>
        <w:footnoteRef/>
      </w:r>
      <w:r>
        <w:t xml:space="preserve"> </w:t>
      </w:r>
      <w:r w:rsidRPr="00FB3E22">
        <w:t>https://www.rijksoverheid.nl/onderwerpen/leerlingendaling/prognosecijfers-leerlingendaling.</w:t>
      </w:r>
    </w:p>
  </w:footnote>
  <w:footnote w:id="4">
    <w:p w14:paraId="1BABB43D" w14:textId="77777777" w:rsidR="0095088E" w:rsidRDefault="0095088E" w:rsidP="0095088E">
      <w:pPr>
        <w:pStyle w:val="Voetnoottekst"/>
      </w:pPr>
      <w:r>
        <w:rPr>
          <w:rStyle w:val="Voetnootmarkering"/>
        </w:rPr>
        <w:footnoteRef/>
      </w:r>
      <w:r>
        <w:t xml:space="preserve"> </w:t>
      </w:r>
      <w:r w:rsidRPr="006D65A1">
        <w:t>In 2021 is voor 60 regio’s enquête-data beschikbaar; voor 2024 voor 51.</w:t>
      </w:r>
      <w:r>
        <w:t xml:space="preserve"> Voor 41 regio’s is data uit 2021 en 2025 beschikbaar en voor 29 regio’s voor 2021, 2024 én 2025.</w:t>
      </w:r>
    </w:p>
  </w:footnote>
  <w:footnote w:id="5">
    <w:p w14:paraId="150EA67C" w14:textId="77777777" w:rsidR="00404B15" w:rsidRDefault="00404B15" w:rsidP="00404B15">
      <w:pPr>
        <w:pStyle w:val="Voetnoottekst"/>
      </w:pPr>
      <w:r>
        <w:rPr>
          <w:rStyle w:val="Voetnootmarkering"/>
        </w:rPr>
        <w:footnoteRef/>
      </w:r>
      <w:r>
        <w:t xml:space="preserve"> </w:t>
      </w:r>
      <w:r>
        <w:tab/>
        <w:t>“A</w:t>
      </w:r>
      <w:r w:rsidRPr="006413F6">
        <w:t>nder</w:t>
      </w:r>
      <w:r>
        <w:t>e uitdaging”</w:t>
      </w:r>
      <w:r w:rsidRPr="006413F6">
        <w:t xml:space="preserve"> is niet door iedereen aangevinkt dus die aandelen gaan niet over de totale n</w:t>
      </w:r>
    </w:p>
  </w:footnote>
  <w:footnote w:id="6">
    <w:p w14:paraId="6E158D87" w14:textId="0768F275" w:rsidR="0095088E" w:rsidRDefault="0095088E" w:rsidP="0095088E">
      <w:pPr>
        <w:pStyle w:val="Voetnoottekst"/>
      </w:pPr>
      <w:r>
        <w:rPr>
          <w:rStyle w:val="Voetnootmarkering"/>
        </w:rPr>
        <w:footnoteRef/>
      </w:r>
      <w:r>
        <w:t xml:space="preserve"> </w:t>
      </w:r>
      <w:r w:rsidRPr="00D61AD6">
        <w:t xml:space="preserve"> </w:t>
      </w:r>
      <w:r>
        <w:t>D</w:t>
      </w:r>
      <w:r w:rsidRPr="00D61AD6">
        <w:t>e</w:t>
      </w:r>
      <w:r>
        <w:t xml:space="preserve"> totale</w:t>
      </w:r>
      <w:r w:rsidRPr="00D61AD6">
        <w:t xml:space="preserve"> N is hierbij </w:t>
      </w:r>
      <w:r>
        <w:t>lager (N=29),</w:t>
      </w:r>
      <w:r w:rsidRPr="00D61AD6">
        <w:t xml:space="preserve"> omdat alleen programmaleiders die alle vragenlijsten hebben ingevuld zijn meegenomen</w:t>
      </w:r>
      <w:r>
        <w:t xml:space="preserve">. Dit maakt dat de percentages van 2021 en 2025 niet overeenkomen met tabel </w:t>
      </w:r>
      <w:r w:rsidR="00E630E6">
        <w:t>4</w:t>
      </w:r>
      <w:r>
        <w:t xml:space="preserve">.4. </w:t>
      </w:r>
    </w:p>
  </w:footnote>
  <w:footnote w:id="7">
    <w:p w14:paraId="3445AF69" w14:textId="77777777" w:rsidR="004D179C" w:rsidRDefault="004D179C" w:rsidP="004D179C">
      <w:pPr>
        <w:pStyle w:val="Voetnoottekst"/>
      </w:pPr>
      <w:r>
        <w:rPr>
          <w:rStyle w:val="Voetnootmarkering"/>
        </w:rPr>
        <w:footnoteRef/>
      </w:r>
      <w:r>
        <w:t xml:space="preserve"> </w:t>
      </w:r>
      <w:r w:rsidRPr="00E72D29">
        <w:t>https://resultaten.laks-monitor.nl/media/brzlat1w/digitaal-laks-monitor-24.pdf</w:t>
      </w:r>
    </w:p>
  </w:footnote>
  <w:footnote w:id="8">
    <w:p w14:paraId="44DB9767" w14:textId="77777777" w:rsidR="00B52D66" w:rsidRDefault="00B52D66" w:rsidP="00B52D66">
      <w:pPr>
        <w:pStyle w:val="Voetnoottekst"/>
      </w:pPr>
      <w:r>
        <w:rPr>
          <w:rStyle w:val="Voetnootmarkering"/>
        </w:rPr>
        <w:footnoteRef/>
      </w:r>
      <w:r>
        <w:t xml:space="preserve"> Muskens et al. (2021). Sterk Techniek Onderwijs. Eerste fase STO: Monitorgegevens en voortgang in het eerste jaar. NRO.</w:t>
      </w:r>
    </w:p>
  </w:footnote>
  <w:footnote w:id="9">
    <w:p w14:paraId="374C2C5A" w14:textId="77777777" w:rsidR="00B52D66" w:rsidRPr="00D26733" w:rsidRDefault="00B52D66" w:rsidP="00B52D66">
      <w:pPr>
        <w:pStyle w:val="Voetnoottekst"/>
        <w:rPr>
          <w:szCs w:val="16"/>
        </w:rPr>
      </w:pPr>
      <w:r w:rsidRPr="00D26733">
        <w:rPr>
          <w:rStyle w:val="Voetnootmarkering"/>
          <w:szCs w:val="16"/>
        </w:rPr>
        <w:footnoteRef/>
      </w:r>
      <w:r w:rsidRPr="00D26733">
        <w:rPr>
          <w:szCs w:val="16"/>
        </w:rPr>
        <w:tab/>
      </w:r>
      <w:hyperlink r:id="rId1" w:history="1">
        <w:r>
          <w:rPr>
            <w:rStyle w:val="Hyperlink"/>
            <w:rFonts w:eastAsiaTheme="majorEastAsia"/>
            <w:szCs w:val="16"/>
          </w:rPr>
          <w:t>Muskens</w:t>
        </w:r>
      </w:hyperlink>
      <w:r>
        <w:rPr>
          <w:rStyle w:val="Hyperlink"/>
          <w:rFonts w:eastAsiaTheme="majorEastAsia"/>
          <w:szCs w:val="16"/>
        </w:rPr>
        <w:t xml:space="preserve"> et al. (2024). Monitor en evaluatieonderzoek Sterk Techniek Onderwijs. Rapportage 2024. NRO.</w:t>
      </w:r>
      <w:r>
        <w:rPr>
          <w:szCs w:val="16"/>
        </w:rPr>
        <w:t xml:space="preserve"> </w:t>
      </w:r>
      <w:r w:rsidRPr="00D26733">
        <w:rPr>
          <w:szCs w:val="16"/>
        </w:rPr>
        <w:t xml:space="preserve"> </w:t>
      </w:r>
    </w:p>
  </w:footnote>
  <w:footnote w:id="10">
    <w:p w14:paraId="004E3BAF" w14:textId="77777777" w:rsidR="00B52D66" w:rsidRPr="008A30FF" w:rsidRDefault="00B52D66" w:rsidP="00B52D66">
      <w:pPr>
        <w:pStyle w:val="Voetnoottekst"/>
      </w:pPr>
      <w:r>
        <w:rPr>
          <w:rStyle w:val="Voetnootmarkering"/>
        </w:rPr>
        <w:footnoteRef/>
      </w:r>
      <w:r>
        <w:t xml:space="preserve"> </w:t>
      </w:r>
      <w:r>
        <w:tab/>
        <w:t xml:space="preserve">Onderzoek wijst uit dat in een dichtbevolkt land als Nederland scholen vaak binnen een straal van 10 kilometer rond de woonplaats van leerlingen liggen en 95 procent van de leerlingen ook een school binnen deze straal kiezen. Voor het onderzoek zie: Allen et al. (2016). </w:t>
      </w:r>
      <w:r w:rsidRPr="00A55317">
        <w:rPr>
          <w:i/>
          <w:iCs/>
        </w:rPr>
        <w:t>Schoolkeuzemotieven van ouders en leerlingen in het voortgezet onderwijs</w:t>
      </w:r>
      <w:r>
        <w:t xml:space="preserve">. </w:t>
      </w:r>
      <w:r w:rsidRPr="008A30FF">
        <w:rPr>
          <w:lang w:val="en-GB"/>
        </w:rPr>
        <w:t xml:space="preserve">ROA Reports, Issue ROA-R-2016/5 of Cabus, S.J. &amp; Cornelisz, I. (2017). </w:t>
      </w:r>
      <w:r>
        <w:rPr>
          <w:lang w:val="en-GB"/>
        </w:rPr>
        <w:t xml:space="preserve">Competition, student sorting and performance gains in location education markets: The Dutch secondary sector. </w:t>
      </w:r>
      <w:r w:rsidRPr="008A30FF">
        <w:rPr>
          <w:i/>
          <w:iCs/>
        </w:rPr>
        <w:t>European Journal of Education</w:t>
      </w:r>
      <w:r w:rsidRPr="008A30FF">
        <w:t>, 52(3), 365-386.</w:t>
      </w:r>
    </w:p>
  </w:footnote>
  <w:footnote w:id="11">
    <w:p w14:paraId="54546AE3" w14:textId="602A1B57" w:rsidR="00B52D66" w:rsidRDefault="00B52D66" w:rsidP="00B52D66">
      <w:pPr>
        <w:pStyle w:val="Voetnoottekst"/>
      </w:pPr>
      <w:r>
        <w:rPr>
          <w:rStyle w:val="Voetnootmarkering"/>
        </w:rPr>
        <w:footnoteRef/>
      </w:r>
      <w:r w:rsidRPr="008A30FF">
        <w:t xml:space="preserve"> Muskens et al. </w:t>
      </w:r>
      <w:r>
        <w:t>(2021). Sterk Techniek</w:t>
      </w:r>
      <w:r w:rsidR="00AB2C93">
        <w:t>o</w:t>
      </w:r>
      <w:r>
        <w:t>nderwijs. Eerste fase STO: Monitorgegevens en voortgang in het eerste jaar. NRO.</w:t>
      </w:r>
    </w:p>
  </w:footnote>
  <w:footnote w:id="12">
    <w:p w14:paraId="459556CA" w14:textId="77777777" w:rsidR="00B52D66" w:rsidRPr="00D26733" w:rsidRDefault="00B52D66" w:rsidP="00B52D66">
      <w:pPr>
        <w:pStyle w:val="Voetnoottekst"/>
        <w:rPr>
          <w:szCs w:val="16"/>
        </w:rPr>
      </w:pPr>
      <w:r w:rsidRPr="00624F76">
        <w:rPr>
          <w:rStyle w:val="Voetnootmarkering"/>
          <w:szCs w:val="16"/>
        </w:rPr>
        <w:footnoteRef/>
      </w:r>
      <w:r w:rsidRPr="00624F76">
        <w:rPr>
          <w:szCs w:val="16"/>
        </w:rPr>
        <w:t xml:space="preserve"> </w:t>
      </w:r>
      <w:r w:rsidRPr="00624F76">
        <w:rPr>
          <w:szCs w:val="16"/>
        </w:rPr>
        <w:tab/>
        <w:t>(33.876 / 49.070)</w:t>
      </w:r>
    </w:p>
  </w:footnote>
  <w:footnote w:id="13">
    <w:p w14:paraId="0D2F60D2" w14:textId="77777777" w:rsidR="00B52D66" w:rsidRDefault="00B52D66" w:rsidP="00B52D66">
      <w:pPr>
        <w:pStyle w:val="Voetnoottekst"/>
      </w:pPr>
      <w:r>
        <w:rPr>
          <w:rStyle w:val="Voetnootmarkering"/>
        </w:rPr>
        <w:footnoteRef/>
      </w:r>
      <w:r>
        <w:t xml:space="preserve"> Aantal examens dat MaT-leerlingen in keuzevak aflegden valt onder rapportagegrens.</w:t>
      </w:r>
    </w:p>
  </w:footnote>
  <w:footnote w:id="14">
    <w:p w14:paraId="6DA21F2B" w14:textId="77777777" w:rsidR="00B52D66" w:rsidRPr="00D26733" w:rsidRDefault="00B52D66" w:rsidP="00B52D66">
      <w:pPr>
        <w:pStyle w:val="Voetnoottekst"/>
        <w:rPr>
          <w:szCs w:val="16"/>
        </w:rPr>
      </w:pPr>
      <w:r w:rsidRPr="00D26733">
        <w:rPr>
          <w:rStyle w:val="Voetnootmarkering"/>
          <w:szCs w:val="16"/>
        </w:rPr>
        <w:footnoteRef/>
      </w:r>
      <w:r w:rsidRPr="00D26733">
        <w:rPr>
          <w:szCs w:val="16"/>
        </w:rPr>
        <w:t xml:space="preserve"> </w:t>
      </w:r>
      <w:r w:rsidRPr="00D26733">
        <w:rPr>
          <w:szCs w:val="16"/>
        </w:rPr>
        <w:tab/>
        <w:t xml:space="preserve">Zie bijvoorbeeld: Heyma, A., van Kesteren, J., Klinker, I., Bakens, J., Gerards, R. </w:t>
      </w:r>
      <w:r>
        <w:rPr>
          <w:szCs w:val="16"/>
        </w:rPr>
        <w:t>&amp;</w:t>
      </w:r>
      <w:r w:rsidRPr="00D26733">
        <w:rPr>
          <w:szCs w:val="16"/>
        </w:rPr>
        <w:t xml:space="preserve"> Graus, E. (2022). </w:t>
      </w:r>
      <w:r w:rsidRPr="00D26733">
        <w:rPr>
          <w:i/>
          <w:szCs w:val="16"/>
        </w:rPr>
        <w:t>Arbeidsmarktkrapte technici. Ontwikkelingen, verklaringen en handelingsperspectieven.</w:t>
      </w:r>
      <w:r w:rsidRPr="00D26733">
        <w:rPr>
          <w:szCs w:val="16"/>
        </w:rPr>
        <w:t xml:space="preserve"> SEO/ROA. </w:t>
      </w:r>
      <w:hyperlink r:id="rId2" w:history="1">
        <w:r w:rsidRPr="00D26733">
          <w:rPr>
            <w:rStyle w:val="Hyperlink"/>
            <w:rFonts w:eastAsiaTheme="majorEastAsia"/>
            <w:szCs w:val="16"/>
          </w:rPr>
          <w:t>https://cris.maastrichtuniversity.nl/ws/portalfiles/portal/110375054/rapport_arbeidsmarktkrapte_technici.pdf</w:t>
        </w:r>
      </w:hyperlink>
    </w:p>
  </w:footnote>
  <w:footnote w:id="15">
    <w:p w14:paraId="7F92AE60" w14:textId="77777777" w:rsidR="00B52D66" w:rsidRPr="00D26733" w:rsidRDefault="00B52D66" w:rsidP="00B52D66">
      <w:pPr>
        <w:pStyle w:val="Voetnoottekst"/>
        <w:rPr>
          <w:szCs w:val="16"/>
        </w:rPr>
      </w:pPr>
      <w:r w:rsidRPr="00D26733">
        <w:rPr>
          <w:rStyle w:val="Voetnootmarkering"/>
          <w:szCs w:val="16"/>
        </w:rPr>
        <w:footnoteRef/>
      </w:r>
      <w:r w:rsidRPr="00D26733">
        <w:rPr>
          <w:szCs w:val="16"/>
        </w:rPr>
        <w:t xml:space="preserve"> </w:t>
      </w:r>
      <w:r w:rsidRPr="00D26733">
        <w:rPr>
          <w:szCs w:val="16"/>
        </w:rPr>
        <w:tab/>
      </w:r>
      <w:hyperlink r:id="rId3" w:history="1">
        <w:r w:rsidRPr="00D26733">
          <w:rPr>
            <w:rStyle w:val="Hyperlink"/>
            <w:rFonts w:eastAsiaTheme="majorEastAsia"/>
            <w:szCs w:val="16"/>
          </w:rPr>
          <w:t>https://www.s-bb.nl/organisatie/directie-en-bestuur/overlegtafels/sectorkamers-marktsegmenten/</w:t>
        </w:r>
      </w:hyperlink>
    </w:p>
  </w:footnote>
  <w:footnote w:id="16">
    <w:p w14:paraId="39389F86" w14:textId="77777777" w:rsidR="00B52D66" w:rsidRDefault="00B52D66" w:rsidP="00B52D66">
      <w:pPr>
        <w:pStyle w:val="Voetnoottekst"/>
      </w:pPr>
      <w:r>
        <w:rPr>
          <w:rStyle w:val="Voetnootmarkering"/>
        </w:rPr>
        <w:footnoteRef/>
      </w:r>
      <w:r>
        <w:t xml:space="preserve"> DUO, 2024. Combinatie erkende opleidingscode en beroep 2023/2024.</w:t>
      </w:r>
    </w:p>
  </w:footnote>
  <w:footnote w:id="17">
    <w:p w14:paraId="4C4C9AE4" w14:textId="77777777" w:rsidR="00B52D66" w:rsidRDefault="00B52D66" w:rsidP="00B52D66">
      <w:pPr>
        <w:pStyle w:val="Voetnoottekst"/>
      </w:pPr>
      <w:r>
        <w:rPr>
          <w:rStyle w:val="Voetnootmarkering"/>
        </w:rPr>
        <w:footnoteRef/>
      </w:r>
      <w:r>
        <w:t xml:space="preserve"> Muskens et al. (2023). Monitor- en evaluatieonderzoek Sterk Techniek Onderwijs (STO). Rapportage 2023. NRO.</w:t>
      </w:r>
    </w:p>
  </w:footnote>
  <w:footnote w:id="18">
    <w:p w14:paraId="6AB81869" w14:textId="77777777" w:rsidR="00C43FA5" w:rsidRDefault="00C43FA5" w:rsidP="00C43FA5">
      <w:pPr>
        <w:pStyle w:val="Voetnoottekst"/>
      </w:pPr>
      <w:r>
        <w:rPr>
          <w:rStyle w:val="Voetnootmarkering"/>
        </w:rPr>
        <w:footnoteRef/>
      </w:r>
      <w:r>
        <w:t xml:space="preserve"> </w:t>
      </w:r>
      <w:r>
        <w:tab/>
        <w:t>De gegevens waarop dit hoofdstuk is gebaseerd, komen dusdanig vertraagd beschikbaar dat dit het meest recente cohort is waar we naar kunnen kijken.</w:t>
      </w:r>
    </w:p>
  </w:footnote>
  <w:footnote w:id="19">
    <w:p w14:paraId="338D5601" w14:textId="77777777" w:rsidR="00C43FA5" w:rsidRPr="00D26733" w:rsidRDefault="00C43FA5" w:rsidP="00C43FA5">
      <w:pPr>
        <w:pStyle w:val="Voetnoottekst"/>
        <w:rPr>
          <w:szCs w:val="16"/>
        </w:rPr>
      </w:pPr>
      <w:r w:rsidRPr="00D26733">
        <w:rPr>
          <w:rStyle w:val="Voetnootmarkering"/>
          <w:szCs w:val="16"/>
        </w:rPr>
        <w:footnoteRef/>
      </w:r>
      <w:r w:rsidRPr="00D26733">
        <w:rPr>
          <w:szCs w:val="16"/>
        </w:rPr>
        <w:t xml:space="preserve"> </w:t>
      </w:r>
      <w:r w:rsidRPr="00D26733">
        <w:rPr>
          <w:szCs w:val="16"/>
        </w:rPr>
        <w:tab/>
        <w:t>Stand van zaken op peildatum 1 oktober 202</w:t>
      </w:r>
      <w:r>
        <w:rPr>
          <w:szCs w:val="16"/>
        </w:rPr>
        <w:t>2</w:t>
      </w:r>
      <w:r w:rsidRPr="00D26733">
        <w:rPr>
          <w:szCs w:val="16"/>
        </w:rPr>
        <w:t>.</w:t>
      </w:r>
    </w:p>
  </w:footnote>
  <w:footnote w:id="20">
    <w:p w14:paraId="50292061" w14:textId="77777777" w:rsidR="00C43FA5" w:rsidRPr="00D26733" w:rsidRDefault="00C43FA5" w:rsidP="00C43FA5">
      <w:pPr>
        <w:pStyle w:val="Voetnoottekst"/>
        <w:rPr>
          <w:szCs w:val="16"/>
        </w:rPr>
      </w:pPr>
      <w:r w:rsidRPr="00D26733">
        <w:rPr>
          <w:rStyle w:val="Voetnootmarkering"/>
          <w:szCs w:val="16"/>
        </w:rPr>
        <w:footnoteRef/>
      </w:r>
      <w:r w:rsidRPr="00D26733">
        <w:rPr>
          <w:szCs w:val="16"/>
        </w:rPr>
        <w:t xml:space="preserve"> </w:t>
      </w:r>
      <w:r w:rsidRPr="00D26733">
        <w:rPr>
          <w:szCs w:val="16"/>
        </w:rPr>
        <w:tab/>
        <w:t>Er zijn ook enkele leraren in opleiding (lio) en leden van de directie die lesgeven.</w:t>
      </w:r>
    </w:p>
  </w:footnote>
  <w:footnote w:id="21">
    <w:p w14:paraId="54CC1609" w14:textId="77777777" w:rsidR="00C43FA5" w:rsidRPr="00D26733" w:rsidRDefault="00C43FA5" w:rsidP="00C43FA5">
      <w:pPr>
        <w:pStyle w:val="Voetnoottekst"/>
        <w:rPr>
          <w:szCs w:val="16"/>
        </w:rPr>
      </w:pPr>
      <w:r w:rsidRPr="00D26733">
        <w:rPr>
          <w:rStyle w:val="Voetnootmarkering"/>
          <w:szCs w:val="16"/>
        </w:rPr>
        <w:footnoteRef/>
      </w:r>
      <w:r w:rsidRPr="00D26733">
        <w:rPr>
          <w:szCs w:val="16"/>
        </w:rPr>
        <w:t xml:space="preserve"> </w:t>
      </w:r>
      <w:r w:rsidRPr="00D26733">
        <w:rPr>
          <w:szCs w:val="16"/>
        </w:rPr>
        <w:tab/>
        <w:t xml:space="preserve">Het gaat om docenten die actief staan geregistreerd. Er is een zeer klein percentage (minder dan 0,1 procent) van wie de personeelsgegevens niet bekend zijn. Deze zijn niet meegenomen in de analyses. </w:t>
      </w:r>
    </w:p>
  </w:footnote>
  <w:footnote w:id="22">
    <w:p w14:paraId="34762738" w14:textId="77777777" w:rsidR="00C43FA5" w:rsidRDefault="00C43FA5" w:rsidP="00C43FA5">
      <w:pPr>
        <w:pStyle w:val="Voetnoottekst"/>
      </w:pPr>
      <w:r>
        <w:rPr>
          <w:rStyle w:val="Voetnootmarkering"/>
        </w:rPr>
        <w:footnoteRef/>
      </w:r>
      <w:r>
        <w:t xml:space="preserve"> </w:t>
      </w:r>
      <w:r>
        <w:tab/>
        <w:t xml:space="preserve">Zie bijlage B voor een overzicht van alle profielvakken, avo-vakken en overige vakken. Het gaat om alle gegeven lessen, zowel bevoegd als onbevoegd. Een bevoegdheid voor een beroepsgericht vak geeft niet automatisch een bevoegdheid voor een avo-vak, en voor de ‘overige’ vakken is veelal geen bevoegdheid vereist. </w:t>
      </w:r>
    </w:p>
  </w:footnote>
  <w:footnote w:id="23">
    <w:p w14:paraId="33CB61EA" w14:textId="77777777" w:rsidR="00C43FA5" w:rsidRPr="00D26733" w:rsidRDefault="00C43FA5" w:rsidP="00C43FA5">
      <w:pPr>
        <w:pStyle w:val="Voetnoottekst"/>
        <w:rPr>
          <w:szCs w:val="16"/>
        </w:rPr>
      </w:pPr>
      <w:r w:rsidRPr="00D26733">
        <w:rPr>
          <w:rStyle w:val="Voetnootmarkering"/>
          <w:szCs w:val="16"/>
        </w:rPr>
        <w:footnoteRef/>
      </w:r>
      <w:r w:rsidRPr="00D26733">
        <w:rPr>
          <w:szCs w:val="16"/>
        </w:rPr>
        <w:t xml:space="preserve"> </w:t>
      </w:r>
      <w:r w:rsidRPr="00D26733">
        <w:rPr>
          <w:szCs w:val="16"/>
        </w:rPr>
        <w:tab/>
        <w:t>N</w:t>
      </w:r>
      <w:r>
        <w:rPr>
          <w:szCs w:val="16"/>
        </w:rPr>
        <w:t xml:space="preserve">aast de </w:t>
      </w:r>
      <w:r w:rsidRPr="00D26733">
        <w:rPr>
          <w:szCs w:val="16"/>
        </w:rPr>
        <w:t xml:space="preserve">deeltijdfactor </w:t>
      </w:r>
      <w:r>
        <w:rPr>
          <w:szCs w:val="16"/>
        </w:rPr>
        <w:t>van</w:t>
      </w:r>
      <w:r w:rsidRPr="00D26733">
        <w:rPr>
          <w:szCs w:val="16"/>
        </w:rPr>
        <w:t xml:space="preserve"> </w:t>
      </w:r>
      <w:r>
        <w:rPr>
          <w:szCs w:val="16"/>
        </w:rPr>
        <w:t>lesgevenden</w:t>
      </w:r>
      <w:r w:rsidRPr="00D26733">
        <w:rPr>
          <w:szCs w:val="16"/>
        </w:rPr>
        <w:t xml:space="preserve">, is </w:t>
      </w:r>
      <w:r>
        <w:rPr>
          <w:szCs w:val="16"/>
        </w:rPr>
        <w:t xml:space="preserve">ook </w:t>
      </w:r>
      <w:r w:rsidRPr="00D26733">
        <w:rPr>
          <w:szCs w:val="16"/>
        </w:rPr>
        <w:t>gekeken naar ur</w:t>
      </w:r>
      <w:r>
        <w:rPr>
          <w:szCs w:val="16"/>
        </w:rPr>
        <w:t>en</w:t>
      </w:r>
      <w:r w:rsidRPr="00D26733">
        <w:rPr>
          <w:szCs w:val="16"/>
        </w:rPr>
        <w:t xml:space="preserve"> </w:t>
      </w:r>
      <w:r>
        <w:rPr>
          <w:szCs w:val="16"/>
        </w:rPr>
        <w:t xml:space="preserve">per </w:t>
      </w:r>
      <w:r w:rsidRPr="00D26733">
        <w:rPr>
          <w:szCs w:val="16"/>
        </w:rPr>
        <w:t xml:space="preserve">vak. Geeft </w:t>
      </w:r>
      <w:r>
        <w:rPr>
          <w:szCs w:val="16"/>
        </w:rPr>
        <w:t xml:space="preserve">iemand </w:t>
      </w:r>
      <w:r w:rsidRPr="00D26733">
        <w:rPr>
          <w:szCs w:val="16"/>
        </w:rPr>
        <w:t xml:space="preserve">voor </w:t>
      </w:r>
      <w:r>
        <w:rPr>
          <w:szCs w:val="16"/>
        </w:rPr>
        <w:t>50%</w:t>
      </w:r>
      <w:r w:rsidRPr="00D26733">
        <w:rPr>
          <w:szCs w:val="16"/>
        </w:rPr>
        <w:t xml:space="preserve"> van de tijd les in het profiel BWI met een deeltijdfactor van 0,8, dan besteedt deze dus 0,5 * 0,8 = 0,4 fte binnen het profiel BWI.</w:t>
      </w:r>
    </w:p>
  </w:footnote>
  <w:footnote w:id="24">
    <w:p w14:paraId="1C782E4B" w14:textId="77777777" w:rsidR="00C43FA5" w:rsidRDefault="00C43FA5" w:rsidP="00C43FA5">
      <w:pPr>
        <w:pStyle w:val="Voetnoottekst"/>
      </w:pPr>
      <w:r>
        <w:rPr>
          <w:rStyle w:val="Voetnootmarkering"/>
        </w:rPr>
        <w:footnoteRef/>
      </w:r>
      <w:r>
        <w:t xml:space="preserve"> De gegevens zijn alleen per school (brin-4) beschikbaar, niet per vestiging (brin-6).</w:t>
      </w:r>
    </w:p>
  </w:footnote>
  <w:footnote w:id="25">
    <w:p w14:paraId="4994B662" w14:textId="77777777" w:rsidR="00C43FA5" w:rsidRDefault="00C43FA5" w:rsidP="00C43FA5">
      <w:pPr>
        <w:pStyle w:val="Voetnoottekst"/>
      </w:pPr>
      <w:r>
        <w:rPr>
          <w:rStyle w:val="Voetnootmarkering"/>
        </w:rPr>
        <w:footnoteRef/>
      </w:r>
      <w:r>
        <w:t xml:space="preserve"> </w:t>
      </w:r>
      <w:r>
        <w:tab/>
        <w:t>Onder deze mbo-gediplomeerden zitten onder andere bijvoorbeeld onderwijsassistenten, zij-instromers en gastdocenten of hybride docenten die (nog) geen onderwijsbevoegdheid hebben, maar wel onderwijs geven in de technische profielvakken.</w:t>
      </w:r>
    </w:p>
  </w:footnote>
  <w:footnote w:id="26">
    <w:p w14:paraId="69259DD9" w14:textId="77777777" w:rsidR="00C43FA5" w:rsidRPr="00D26733" w:rsidRDefault="00C43FA5" w:rsidP="00C43FA5">
      <w:pPr>
        <w:pStyle w:val="Voetnoottekst"/>
        <w:rPr>
          <w:szCs w:val="16"/>
        </w:rPr>
      </w:pPr>
      <w:r w:rsidRPr="00D26733">
        <w:rPr>
          <w:rStyle w:val="Voetnootmarkering"/>
          <w:szCs w:val="16"/>
        </w:rPr>
        <w:footnoteRef/>
      </w:r>
      <w:r w:rsidRPr="00D26733">
        <w:rPr>
          <w:szCs w:val="16"/>
        </w:rPr>
        <w:t xml:space="preserve"> </w:t>
      </w:r>
      <w:r w:rsidRPr="00D26733">
        <w:rPr>
          <w:szCs w:val="16"/>
        </w:rPr>
        <w:tab/>
        <w:t>Op basis van de SBI-indeling van het CBS zijn deze categorieën onderscheiden.</w:t>
      </w:r>
    </w:p>
  </w:footnote>
  <w:footnote w:id="27">
    <w:p w14:paraId="63257C46" w14:textId="77777777" w:rsidR="00C43FA5" w:rsidRDefault="00C43FA5" w:rsidP="00C43FA5">
      <w:pPr>
        <w:pStyle w:val="Voetnoottekst"/>
      </w:pPr>
      <w:r>
        <w:rPr>
          <w:rStyle w:val="Voetnootmarkering"/>
        </w:rPr>
        <w:footnoteRef/>
      </w:r>
      <w:r>
        <w:t xml:space="preserve"> </w:t>
      </w:r>
      <w:r>
        <w:tab/>
        <w:t>De techniekdocenten die in de vijf studiejaren vóór het peiljaar een onderwijsregistratie hebben.</w:t>
      </w:r>
    </w:p>
  </w:footnote>
  <w:footnote w:id="28">
    <w:p w14:paraId="301D7F98" w14:textId="77777777" w:rsidR="00C43FA5" w:rsidRPr="00D26733" w:rsidRDefault="00C43FA5" w:rsidP="00C43FA5">
      <w:pPr>
        <w:pStyle w:val="Voetnoottekst"/>
        <w:rPr>
          <w:szCs w:val="16"/>
        </w:rPr>
      </w:pPr>
      <w:r w:rsidRPr="00D26733">
        <w:rPr>
          <w:rStyle w:val="Voetnootmarkering"/>
          <w:szCs w:val="16"/>
        </w:rPr>
        <w:footnoteRef/>
      </w:r>
      <w:r w:rsidRPr="00D26733">
        <w:rPr>
          <w:szCs w:val="16"/>
        </w:rPr>
        <w:t xml:space="preserve"> </w:t>
      </w:r>
      <w:r w:rsidRPr="00D26733">
        <w:rPr>
          <w:szCs w:val="16"/>
        </w:rPr>
        <w:tab/>
        <w:t>Door middel van Lasso-regressieanalyse is bepaald welke vertraagde termen gezamenlijk het beste voorspellen. Vertraagde termen zijn de termen uit voorgaande jaren, bijvoorbeeld t-2. We hebben gekozen om alleen termen die minimaal 2 jaar vertraagd zijn mee te nemen in de Lasso regressie, zodat er voor minstens drie jaren vooruit gekeken kan worden.</w:t>
      </w:r>
    </w:p>
  </w:footnote>
  <w:footnote w:id="29">
    <w:p w14:paraId="76B4AEDA" w14:textId="77777777" w:rsidR="00C43FA5" w:rsidRPr="00D26733" w:rsidRDefault="00C43FA5" w:rsidP="00C43FA5">
      <w:pPr>
        <w:pStyle w:val="Voetnoottekst"/>
        <w:rPr>
          <w:szCs w:val="16"/>
        </w:rPr>
      </w:pPr>
      <w:r w:rsidRPr="00D26733">
        <w:rPr>
          <w:rStyle w:val="Voetnootmarkering"/>
          <w:szCs w:val="16"/>
        </w:rPr>
        <w:footnoteRef/>
      </w:r>
      <w:r w:rsidRPr="00D26733">
        <w:rPr>
          <w:szCs w:val="16"/>
        </w:rPr>
        <w:t xml:space="preserve"> </w:t>
      </w:r>
      <w:r w:rsidRPr="00D26733">
        <w:rPr>
          <w:szCs w:val="16"/>
        </w:rPr>
        <w:tab/>
        <w:t>In IPTO is aangegeven of een vak wordt gegeven binnen één leerweg of in een combinatie van leerwegen. Dat laatste is doorgaans het geval, waardoor het onduidelijk is aan welke leerweg het vak (en de docent) toe te wijzen is. Het aantal docenten is daarom niet uitgesplitst naar leerweg.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0691F" w14:textId="77777777" w:rsidR="00364DF6" w:rsidRDefault="00364DF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DA664" w14:textId="7A7C8AA0" w:rsidR="00364DF6" w:rsidRDefault="00364DF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E3282" w14:textId="77777777" w:rsidR="00364DF6" w:rsidRDefault="00364DF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2FFC5DDC"/>
    <w:lvl w:ilvl="0">
      <w:start w:val="1"/>
      <w:numFmt w:val="decimal"/>
      <w:pStyle w:val="Lijstnummering2"/>
      <w:lvlText w:val="%1"/>
      <w:lvlJc w:val="left"/>
      <w:pPr>
        <w:ind w:left="717" w:hanging="360"/>
      </w:pPr>
      <w:rPr>
        <w:rFonts w:hint="default"/>
      </w:rPr>
    </w:lvl>
  </w:abstractNum>
  <w:abstractNum w:abstractNumId="1" w15:restartNumberingAfterBreak="0">
    <w:nsid w:val="FFFFFF83"/>
    <w:multiLevelType w:val="singleLevel"/>
    <w:tmpl w:val="300CA282"/>
    <w:lvl w:ilvl="0">
      <w:start w:val="1"/>
      <w:numFmt w:val="bullet"/>
      <w:pStyle w:val="Lijstopsomteken2"/>
      <w:lvlText w:val="–"/>
      <w:lvlJc w:val="left"/>
      <w:pPr>
        <w:tabs>
          <w:tab w:val="num" w:pos="714"/>
        </w:tabs>
        <w:ind w:left="714" w:hanging="357"/>
      </w:pPr>
      <w:rPr>
        <w:rFonts w:ascii="Times New Roman" w:hAnsi="Times New Roman" w:cs="Times New Roman" w:hint="default"/>
      </w:rPr>
    </w:lvl>
  </w:abstractNum>
  <w:abstractNum w:abstractNumId="2" w15:restartNumberingAfterBreak="0">
    <w:nsid w:val="FFFFFF88"/>
    <w:multiLevelType w:val="singleLevel"/>
    <w:tmpl w:val="A60220B8"/>
    <w:lvl w:ilvl="0">
      <w:start w:val="1"/>
      <w:numFmt w:val="decimal"/>
      <w:pStyle w:val="Lijstnummering"/>
      <w:lvlText w:val="%1"/>
      <w:lvlJc w:val="left"/>
      <w:pPr>
        <w:tabs>
          <w:tab w:val="num" w:pos="357"/>
        </w:tabs>
        <w:ind w:left="357" w:hanging="357"/>
      </w:pPr>
      <w:rPr>
        <w:rFonts w:hint="default"/>
      </w:rPr>
    </w:lvl>
  </w:abstractNum>
  <w:abstractNum w:abstractNumId="3" w15:restartNumberingAfterBreak="0">
    <w:nsid w:val="01746310"/>
    <w:multiLevelType w:val="multilevel"/>
    <w:tmpl w:val="2E7E1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48396D"/>
    <w:multiLevelType w:val="hybridMultilevel"/>
    <w:tmpl w:val="75E44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5C90DAA"/>
    <w:multiLevelType w:val="multilevel"/>
    <w:tmpl w:val="5DD87F6A"/>
    <w:styleLink w:val="SEOLijstBijlagen"/>
    <w:lvl w:ilvl="0">
      <w:start w:val="1"/>
      <w:numFmt w:val="upperLetter"/>
      <w:pStyle w:val="SEOBijlage"/>
      <w:lvlText w:val="Bijlage %1"/>
      <w:lvlJc w:val="left"/>
      <w:pPr>
        <w:ind w:left="2268" w:hanging="2268"/>
      </w:pPr>
      <w:rPr>
        <w:rFonts w:ascii="Avenir Next LT Pro" w:hAnsi="Avenir Next LT Pro" w:hint="default"/>
        <w:b w:val="0"/>
        <w:i w:val="0"/>
        <w:caps w:val="0"/>
        <w:smallCaps w:val="0"/>
        <w:strike w:val="0"/>
        <w:dstrike w:val="0"/>
        <w:vanish w:val="0"/>
        <w:color w:val="264249"/>
        <w:spacing w:val="0"/>
        <w:w w:val="100"/>
        <w:kern w:val="0"/>
        <w:position w:val="0"/>
        <w:sz w:val="46"/>
        <w:u w:val="none"/>
        <w:vertAlign w:val="baseline"/>
        <w14:ligatures w14:val="none"/>
        <w14:numForm w14:val="default"/>
        <w14:numSpacing w14:val="default"/>
        <w14:stylisticSets/>
        <w14:cntxtAlts w14:val="0"/>
      </w:rPr>
    </w:lvl>
    <w:lvl w:ilvl="1">
      <w:start w:val="1"/>
      <w:numFmt w:val="decimal"/>
      <w:pStyle w:val="SEOBijlageSub"/>
      <w:lvlText w:val="Bijlage %1.%2"/>
      <w:lvlJc w:val="left"/>
      <w:pPr>
        <w:ind w:left="2268" w:hanging="2268"/>
      </w:pPr>
      <w:rPr>
        <w:rFonts w:ascii="Avenir Next LT Pro" w:hAnsi="Avenir Next LT Pro" w:hint="default"/>
        <w:b w:val="0"/>
        <w:i w:val="0"/>
        <w:caps w:val="0"/>
        <w:strike w:val="0"/>
        <w:dstrike w:val="0"/>
        <w:vanish w:val="0"/>
        <w:color w:val="264249"/>
        <w:spacing w:val="0"/>
        <w:w w:val="100"/>
        <w:kern w:val="0"/>
        <w:position w:val="0"/>
        <w:sz w:val="36"/>
        <w:u w:val="none"/>
        <w:vertAlign w:val="baseline"/>
        <w14:ligatures w14:val="none"/>
        <w14:numForm w14:val="default"/>
        <w14:numSpacing w14:val="default"/>
        <w14:stylisticSets/>
        <w14:cntxtAlts w14:val="0"/>
      </w:rPr>
    </w:lvl>
    <w:lvl w:ilvl="2">
      <w:start w:val="1"/>
      <w:numFmt w:val="decimal"/>
      <w:lvlRestart w:val="1"/>
      <w:pStyle w:val="SEOTabelTitelBijlage"/>
      <w:lvlText w:val="Tabel %1.%3"/>
      <w:lvlJc w:val="left"/>
      <w:pPr>
        <w:ind w:left="1134" w:hanging="1134"/>
      </w:pPr>
      <w:rPr>
        <w:rFonts w:ascii="Avenir Next LT Pro" w:hAnsi="Avenir Next LT Pro" w:hint="default"/>
        <w:b w:val="0"/>
        <w:i w:val="0"/>
        <w:caps w:val="0"/>
        <w:strike w:val="0"/>
        <w:dstrike w:val="0"/>
        <w:vanish w:val="0"/>
        <w:color w:val="D22C2A"/>
        <w:spacing w:val="0"/>
        <w:w w:val="100"/>
        <w:kern w:val="0"/>
        <w:position w:val="0"/>
        <w:sz w:val="20"/>
        <w:u w:val="none"/>
        <w:vertAlign w:val="baseline"/>
        <w14:ligatures w14:val="none"/>
        <w14:numForm w14:val="default"/>
        <w14:numSpacing w14:val="default"/>
        <w14:stylisticSets/>
        <w14:cntxtAlts w14:val="0"/>
      </w:rPr>
    </w:lvl>
    <w:lvl w:ilvl="3">
      <w:start w:val="1"/>
      <w:numFmt w:val="decimal"/>
      <w:lvlRestart w:val="1"/>
      <w:pStyle w:val="SEOFiguurBijlage"/>
      <w:lvlText w:val="Figuur %1.%4"/>
      <w:lvlJc w:val="left"/>
      <w:pPr>
        <w:ind w:left="1134" w:hanging="1134"/>
      </w:pPr>
      <w:rPr>
        <w:rFonts w:ascii="Avenir Next LT Pro" w:hAnsi="Avenir Next LT Pro" w:hint="default"/>
        <w:b w:val="0"/>
        <w:i w:val="0"/>
        <w:caps w:val="0"/>
        <w:strike w:val="0"/>
        <w:dstrike w:val="0"/>
        <w:vanish w:val="0"/>
        <w:color w:val="D22C2A"/>
        <w:spacing w:val="0"/>
        <w:w w:val="100"/>
        <w:kern w:val="0"/>
        <w:position w:val="0"/>
        <w:sz w:val="20"/>
        <w:u w:val="none"/>
        <w:vertAlign w:val="baseline"/>
        <w14:ligatures w14:val="none"/>
        <w14:numForm w14:val="default"/>
        <w14:numSpacing w14:val="default"/>
        <w14:stylisticSets/>
        <w14:cntxtAlts w14:val="0"/>
      </w:rPr>
    </w:lvl>
    <w:lvl w:ilvl="4">
      <w:start w:val="1"/>
      <w:numFmt w:val="decimal"/>
      <w:lvlRestart w:val="1"/>
      <w:pStyle w:val="SEOBoxTitelBijlage"/>
      <w:lvlText w:val="Box %1.%5"/>
      <w:lvlJc w:val="left"/>
      <w:pPr>
        <w:ind w:left="1134" w:hanging="1134"/>
      </w:pPr>
      <w:rPr>
        <w:rFonts w:ascii="Avenir Next LT Pro" w:hAnsi="Avenir Next LT Pro" w:hint="default"/>
        <w:b w:val="0"/>
        <w:i w:val="0"/>
        <w:caps w:val="0"/>
        <w:strike w:val="0"/>
        <w:dstrike w:val="0"/>
        <w:vanish w:val="0"/>
        <w:color w:val="D22C2A"/>
        <w:spacing w:val="0"/>
        <w:w w:val="100"/>
        <w:kern w:val="0"/>
        <w:position w:val="0"/>
        <w:sz w:val="20"/>
        <w:u w:val="none"/>
        <w:vertAlign w:val="baseline"/>
        <w14:ligatures w14:val="none"/>
        <w14:numForm w14:val="default"/>
        <w14:numSpacing w14:val="default"/>
        <w14:stylisticSets/>
        <w14:cntxtAlts w14: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065E75A9"/>
    <w:multiLevelType w:val="hybridMultilevel"/>
    <w:tmpl w:val="6AC80684"/>
    <w:lvl w:ilvl="0" w:tplc="E856C638">
      <w:start w:val="1"/>
      <w:numFmt w:val="lowerLetter"/>
      <w:pStyle w:val="Lijstnummeringb"/>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6DF42C1"/>
    <w:multiLevelType w:val="hybridMultilevel"/>
    <w:tmpl w:val="64E288F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8" w15:restartNumberingAfterBreak="0">
    <w:nsid w:val="0729686D"/>
    <w:multiLevelType w:val="hybridMultilevel"/>
    <w:tmpl w:val="E24AB2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8FC624D"/>
    <w:multiLevelType w:val="multilevel"/>
    <w:tmpl w:val="FA564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BA4C04"/>
    <w:multiLevelType w:val="hybridMultilevel"/>
    <w:tmpl w:val="DC0409B0"/>
    <w:lvl w:ilvl="0" w:tplc="33DCC9B0">
      <w:start w:val="1"/>
      <w:numFmt w:val="decimal"/>
      <w:pStyle w:val="Opsomnummernivo2"/>
      <w:lvlText w:val="%1."/>
      <w:lvlJc w:val="left"/>
      <w:pPr>
        <w:tabs>
          <w:tab w:val="num" w:pos="567"/>
        </w:tabs>
        <w:ind w:left="567" w:hanging="283"/>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0A452AAA"/>
    <w:multiLevelType w:val="hybridMultilevel"/>
    <w:tmpl w:val="CCF2F31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0CCC144C"/>
    <w:multiLevelType w:val="multilevel"/>
    <w:tmpl w:val="3C723B66"/>
    <w:lvl w:ilvl="0">
      <w:start w:val="1"/>
      <w:numFmt w:val="decimal"/>
      <w:pStyle w:val="Kop1"/>
      <w:lvlText w:val="%1"/>
      <w:lvlJc w:val="left"/>
      <w:pPr>
        <w:ind w:left="574" w:hanging="432"/>
      </w:pPr>
    </w:lvl>
    <w:lvl w:ilvl="1">
      <w:start w:val="1"/>
      <w:numFmt w:val="decimal"/>
      <w:pStyle w:val="Kop2"/>
      <w:lvlText w:val="%1.%2"/>
      <w:lvlJc w:val="left"/>
      <w:pPr>
        <w:ind w:left="576" w:hanging="576"/>
      </w:pPr>
    </w:lvl>
    <w:lvl w:ilvl="2">
      <w:start w:val="1"/>
      <w:numFmt w:val="decimal"/>
      <w:pStyle w:val="Kop3"/>
      <w:lvlText w:val="%1.%2.%3"/>
      <w:lvlJc w:val="left"/>
      <w:pPr>
        <w:ind w:left="1004" w:hanging="720"/>
      </w:pPr>
    </w:lvl>
    <w:lvl w:ilvl="3">
      <w:start w:val="1"/>
      <w:numFmt w:val="decimal"/>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3" w15:restartNumberingAfterBreak="0">
    <w:nsid w:val="0D2E60FE"/>
    <w:multiLevelType w:val="hybridMultilevel"/>
    <w:tmpl w:val="9A9242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0D425BAE"/>
    <w:multiLevelType w:val="hybridMultilevel"/>
    <w:tmpl w:val="C2A236BC"/>
    <w:lvl w:ilvl="0" w:tplc="4F48F316">
      <w:start w:val="14"/>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02C2633"/>
    <w:multiLevelType w:val="multilevel"/>
    <w:tmpl w:val="65ACD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BC3CA0"/>
    <w:multiLevelType w:val="hybridMultilevel"/>
    <w:tmpl w:val="8AAA2FA8"/>
    <w:lvl w:ilvl="0" w:tplc="0413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4815AD4"/>
    <w:multiLevelType w:val="hybridMultilevel"/>
    <w:tmpl w:val="F2844E50"/>
    <w:lvl w:ilvl="0" w:tplc="DDCEE216">
      <w:start w:val="1"/>
      <w:numFmt w:val="lowerLetter"/>
      <w:pStyle w:val="Opsomletternivo1"/>
      <w:lvlText w:val="%1."/>
      <w:lvlJc w:val="left"/>
      <w:pPr>
        <w:ind w:left="360" w:hanging="360"/>
      </w:pPr>
      <w:rPr>
        <w:rFonts w:ascii="Garamond" w:hAnsi="Garamond" w:hint="default"/>
        <w:b w:val="0"/>
        <w:i w:val="0"/>
        <w:color w:val="C00000"/>
        <w:sz w:val="21"/>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149426AA"/>
    <w:multiLevelType w:val="multilevel"/>
    <w:tmpl w:val="287EE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4EF5497"/>
    <w:multiLevelType w:val="multilevel"/>
    <w:tmpl w:val="C8842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022496"/>
    <w:multiLevelType w:val="multilevel"/>
    <w:tmpl w:val="2FCE65AA"/>
    <w:lvl w:ilvl="0">
      <w:start w:val="1"/>
      <w:numFmt w:val="none"/>
      <w:suff w:val="nothing"/>
      <w:lvlText w:val=""/>
      <w:lvlJc w:val="left"/>
      <w:pPr>
        <w:ind w:left="0" w:firstLine="0"/>
      </w:pPr>
      <w:rPr>
        <w:rFonts w:ascii="Avenir Next LT Pro" w:hAnsi="Avenir Next LT Pro" w:hint="default"/>
        <w:b w:val="0"/>
        <w:i w:val="0"/>
        <w:caps w:val="0"/>
        <w:smallCaps w:val="0"/>
        <w:strike w:val="0"/>
        <w:dstrike w:val="0"/>
        <w:vanish w:val="0"/>
        <w:color w:val="264249"/>
        <w:spacing w:val="0"/>
        <w:w w:val="100"/>
        <w:kern w:val="0"/>
        <w:position w:val="0"/>
        <w:sz w:val="20"/>
        <w:u w:val="none"/>
        <w:vertAlign w:val="baseline"/>
        <w14:ligatures w14:val="none"/>
        <w14:numForm w14:val="default"/>
        <w14:numSpacing w14:val="default"/>
        <w14:stylisticSets/>
        <w14:cntxtAlts w14:val="0"/>
      </w:rPr>
    </w:lvl>
    <w:lvl w:ilvl="1">
      <w:start w:val="1"/>
      <w:numFmt w:val="bullet"/>
      <w:lvlText w:val="●"/>
      <w:lvlJc w:val="left"/>
      <w:pPr>
        <w:ind w:left="397" w:hanging="397"/>
      </w:pPr>
      <w:rPr>
        <w:rFonts w:ascii="Arial" w:hAnsi="Arial" w:hint="default"/>
        <w:b w:val="0"/>
        <w:i w:val="0"/>
        <w:caps w:val="0"/>
        <w:strike w:val="0"/>
        <w:dstrike w:val="0"/>
        <w:vanish w:val="0"/>
        <w:color w:val="D22C2A"/>
        <w:spacing w:val="0"/>
        <w:w w:val="100"/>
        <w:kern w:val="0"/>
        <w:position w:val="0"/>
        <w:sz w:val="20"/>
        <w:u w:val="none"/>
        <w:vertAlign w:val="baseline"/>
        <w14:ligatures w14:val="none"/>
        <w14:numForm w14:val="default"/>
        <w14:numSpacing w14:val="default"/>
        <w14:stylisticSets/>
        <w14:cntxtAlts w14:val="0"/>
      </w:rPr>
    </w:lvl>
    <w:lvl w:ilvl="2">
      <w:start w:val="14"/>
      <w:numFmt w:val="bullet"/>
      <w:lvlText w:val="-"/>
      <w:lvlJc w:val="left"/>
      <w:pPr>
        <w:ind w:left="757" w:hanging="360"/>
      </w:pPr>
      <w:rPr>
        <w:rFonts w:ascii="Verdana" w:eastAsia="Times New Roman" w:hAnsi="Verdana" w:cs="Times New Roman" w:hint="default"/>
      </w:rPr>
    </w:lvl>
    <w:lvl w:ilvl="3">
      <w:start w:val="1"/>
      <w:numFmt w:val="bullet"/>
      <w:lvlText w:val="▪"/>
      <w:lvlJc w:val="left"/>
      <w:pPr>
        <w:ind w:left="1191" w:hanging="397"/>
      </w:pPr>
      <w:rPr>
        <w:rFonts w:ascii="Arial" w:hAnsi="Arial" w:hint="default"/>
        <w:b w:val="0"/>
        <w:i w:val="0"/>
        <w:caps w:val="0"/>
        <w:strike w:val="0"/>
        <w:dstrike w:val="0"/>
        <w:vanish w:val="0"/>
        <w:color w:val="D22C2A"/>
        <w:spacing w:val="0"/>
        <w:w w:val="100"/>
        <w:kern w:val="0"/>
        <w:position w:val="0"/>
        <w:sz w:val="20"/>
        <w:u w:val="none"/>
        <w:vertAlign w:val="baseline"/>
        <w14:ligatures w14:val="none"/>
        <w14:numForm w14:val="default"/>
        <w14:numSpacing w14:val="default"/>
        <w14:stylisticSets/>
        <w14:cntxtAlts w14:val="0"/>
      </w:rPr>
    </w:lvl>
    <w:lvl w:ilvl="4">
      <w:start w:val="1"/>
      <w:numFmt w:val="bullet"/>
      <w:lvlText w:val="▪"/>
      <w:lvlJc w:val="left"/>
      <w:pPr>
        <w:ind w:left="1588" w:hanging="397"/>
      </w:pPr>
      <w:rPr>
        <w:rFonts w:ascii="Arial" w:hAnsi="Arial" w:hint="default"/>
        <w:b w:val="0"/>
        <w:i w:val="0"/>
        <w:caps w:val="0"/>
        <w:strike w:val="0"/>
        <w:dstrike w:val="0"/>
        <w:vanish w:val="0"/>
        <w:color w:val="264249"/>
        <w:spacing w:val="0"/>
        <w:w w:val="100"/>
        <w:kern w:val="0"/>
        <w:position w:val="0"/>
        <w:sz w:val="20"/>
        <w:u w:val="none"/>
        <w:vertAlign w:val="baseline"/>
        <w14:ligatures w14:val="none"/>
        <w14:numForm w14:val="default"/>
        <w14:numSpacing w14:val="default"/>
        <w14:stylisticSets/>
        <w14:cntxtAlts w14:val="0"/>
      </w:rPr>
    </w:lvl>
    <w:lvl w:ilvl="5">
      <w:start w:val="1"/>
      <w:numFmt w:val="none"/>
      <w:lvlText w:val=""/>
      <w:lvlJc w:val="left"/>
      <w:pPr>
        <w:ind w:left="1985" w:hanging="397"/>
      </w:pPr>
      <w:rPr>
        <w:rFonts w:hint="default"/>
      </w:rPr>
    </w:lvl>
    <w:lvl w:ilvl="6">
      <w:start w:val="1"/>
      <w:numFmt w:val="none"/>
      <w:lvlText w:val=""/>
      <w:lvlJc w:val="left"/>
      <w:pPr>
        <w:ind w:left="2381" w:hanging="396"/>
      </w:pPr>
      <w:rPr>
        <w:rFonts w:hint="default"/>
      </w:rPr>
    </w:lvl>
    <w:lvl w:ilvl="7">
      <w:start w:val="1"/>
      <w:numFmt w:val="none"/>
      <w:lvlText w:val=""/>
      <w:lvlJc w:val="left"/>
      <w:pPr>
        <w:ind w:left="2778" w:hanging="397"/>
      </w:pPr>
      <w:rPr>
        <w:rFonts w:hint="default"/>
      </w:rPr>
    </w:lvl>
    <w:lvl w:ilvl="8">
      <w:start w:val="1"/>
      <w:numFmt w:val="none"/>
      <w:lvlText w:val=""/>
      <w:lvlJc w:val="left"/>
      <w:pPr>
        <w:ind w:left="3175" w:hanging="397"/>
      </w:pPr>
      <w:rPr>
        <w:rFonts w:hint="default"/>
      </w:rPr>
    </w:lvl>
  </w:abstractNum>
  <w:abstractNum w:abstractNumId="21" w15:restartNumberingAfterBreak="0">
    <w:nsid w:val="174034D5"/>
    <w:multiLevelType w:val="multilevel"/>
    <w:tmpl w:val="FADA0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87D37D2"/>
    <w:multiLevelType w:val="hybridMultilevel"/>
    <w:tmpl w:val="607A8E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192423E8"/>
    <w:multiLevelType w:val="multilevel"/>
    <w:tmpl w:val="7928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A932C6B"/>
    <w:multiLevelType w:val="hybridMultilevel"/>
    <w:tmpl w:val="A2B6C8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1D241734"/>
    <w:multiLevelType w:val="multilevel"/>
    <w:tmpl w:val="918E7904"/>
    <w:lvl w:ilvl="0">
      <w:start w:val="1"/>
      <w:numFmt w:val="lowerLetter"/>
      <w:pStyle w:val="Opsomletternivo2"/>
      <w:lvlText w:val="%1."/>
      <w:lvlJc w:val="left"/>
      <w:pPr>
        <w:tabs>
          <w:tab w:val="num" w:pos="568"/>
        </w:tabs>
        <w:ind w:left="568" w:hanging="284"/>
      </w:pPr>
      <w:rPr>
        <w:rFonts w:ascii="Garamond" w:hAnsi="Garamond" w:hint="default"/>
        <w:b w:val="0"/>
        <w:i w:val="0"/>
        <w:sz w:val="21"/>
      </w:rPr>
    </w:lvl>
    <w:lvl w:ilvl="1">
      <w:start w:val="1"/>
      <w:numFmt w:val="lowerLetter"/>
      <w:lvlText w:val="%2)"/>
      <w:lvlJc w:val="left"/>
      <w:pPr>
        <w:tabs>
          <w:tab w:val="num" w:pos="567"/>
        </w:tabs>
        <w:ind w:left="567" w:hanging="283"/>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lvlRestart w:val="0"/>
      <w:suff w:val="nothing"/>
      <w:lvlText w:val=""/>
      <w:lvlJc w:val="left"/>
      <w:pPr>
        <w:ind w:left="1584" w:hanging="1584"/>
      </w:pPr>
      <w:rPr>
        <w:rFonts w:hint="default"/>
      </w:rPr>
    </w:lvl>
  </w:abstractNum>
  <w:abstractNum w:abstractNumId="26" w15:restartNumberingAfterBreak="0">
    <w:nsid w:val="1EAB45BB"/>
    <w:multiLevelType w:val="multilevel"/>
    <w:tmpl w:val="6D389A66"/>
    <w:styleLink w:val="Bijlageletters"/>
    <w:lvl w:ilvl="0">
      <w:start w:val="1"/>
      <w:numFmt w:val="upperLetter"/>
      <w:lvlText w:val="Bijlage %1"/>
      <w:lvlJc w:val="left"/>
      <w:pPr>
        <w:tabs>
          <w:tab w:val="num" w:pos="765"/>
        </w:tabs>
        <w:ind w:left="765" w:hanging="765"/>
      </w:pPr>
      <w:rPr>
        <w:rFonts w:ascii="Helvetica" w:hAnsi="Helvetica" w:hint="default"/>
        <w:color w:val="CC0000"/>
        <w:sz w:val="40"/>
      </w:rPr>
    </w:lvl>
    <w:lvl w:ilvl="1">
      <w:start w:val="1"/>
      <w:numFmt w:val="decimal"/>
      <w:lvlText w:val="Bijlage %1.%2"/>
      <w:lvlJc w:val="left"/>
      <w:pPr>
        <w:tabs>
          <w:tab w:val="num" w:pos="765"/>
        </w:tabs>
        <w:ind w:left="765" w:hanging="765"/>
      </w:pPr>
      <w:rPr>
        <w:rFonts w:ascii="Helvetica" w:hAnsi="Helvetica" w:hint="default"/>
        <w:color w:val="CC0000"/>
        <w:sz w:val="32"/>
      </w:rPr>
    </w:lvl>
    <w:lvl w:ilvl="2">
      <w:start w:val="1"/>
      <w:numFmt w:val="decimal"/>
      <w:lvlText w:val="Bijlage %1.%2.%3"/>
      <w:lvlJc w:val="left"/>
      <w:pPr>
        <w:tabs>
          <w:tab w:val="num" w:pos="765"/>
        </w:tabs>
        <w:ind w:left="765" w:hanging="765"/>
      </w:pPr>
      <w:rPr>
        <w:rFonts w:ascii="Helvetica" w:hAnsi="Helvetica" w:hint="default"/>
        <w:color w:val="CC0000"/>
        <w:sz w:val="2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200A6212"/>
    <w:multiLevelType w:val="multilevel"/>
    <w:tmpl w:val="44F85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EC1345"/>
    <w:multiLevelType w:val="hybridMultilevel"/>
    <w:tmpl w:val="E04431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22123CB5"/>
    <w:multiLevelType w:val="multilevel"/>
    <w:tmpl w:val="8EE8D158"/>
    <w:numStyleLink w:val="SEOLijstKopnummering"/>
  </w:abstractNum>
  <w:abstractNum w:abstractNumId="30" w15:restartNumberingAfterBreak="0">
    <w:nsid w:val="23CE4246"/>
    <w:multiLevelType w:val="hybridMultilevel"/>
    <w:tmpl w:val="5FBC32EC"/>
    <w:lvl w:ilvl="0" w:tplc="EEF02726">
      <w:start w:val="1"/>
      <w:numFmt w:val="lowerLetter"/>
      <w:pStyle w:val="Lijstnummeringa"/>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24D652AE"/>
    <w:multiLevelType w:val="hybridMultilevel"/>
    <w:tmpl w:val="717E80E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26490B4E"/>
    <w:multiLevelType w:val="multilevel"/>
    <w:tmpl w:val="98E4CE18"/>
    <w:styleLink w:val="Bullets"/>
    <w:lvl w:ilvl="0">
      <w:start w:val="1"/>
      <w:numFmt w:val="bullet"/>
      <w:lvlText w:val=""/>
      <w:lvlJc w:val="left"/>
      <w:pPr>
        <w:tabs>
          <w:tab w:val="num" w:pos="567"/>
        </w:tabs>
        <w:ind w:left="567" w:hanging="567"/>
      </w:pPr>
      <w:rPr>
        <w:rFonts w:ascii="Symbol" w:hAnsi="Symbol" w:hint="default"/>
        <w:b w:val="0"/>
        <w:i w:val="0"/>
        <w:caps w:val="0"/>
        <w:smallCaps w:val="0"/>
        <w:strike w:val="0"/>
        <w:dstrike w:val="0"/>
        <w:vanish w:val="0"/>
        <w:color w:val="000000" w:themeColor="text1"/>
        <w:spacing w:val="0"/>
        <w:w w:val="100"/>
        <w:kern w:val="0"/>
        <w:position w:val="0"/>
        <w:sz w:val="20"/>
        <w:u w:val="none"/>
        <w:vertAlign w:val="baseline"/>
        <w14:ligatures w14:val="none"/>
        <w14:numForm w14:val="default"/>
        <w14:numSpacing w14:val="default"/>
        <w14:stylisticSets/>
        <w14:cntxtAlts w14:val="0"/>
      </w:rPr>
    </w:lvl>
    <w:lvl w:ilvl="1">
      <w:start w:val="1"/>
      <w:numFmt w:val="bullet"/>
      <w:lvlText w:val=""/>
      <w:lvlJc w:val="left"/>
      <w:pPr>
        <w:tabs>
          <w:tab w:val="num" w:pos="921"/>
        </w:tabs>
        <w:ind w:left="921" w:hanging="354"/>
      </w:pPr>
      <w:rPr>
        <w:rFonts w:ascii="Symbol" w:hAnsi="Symbol" w:hint="default"/>
        <w:color w:val="000000" w:themeColor="text1"/>
      </w:rPr>
    </w:lvl>
    <w:lvl w:ilvl="2">
      <w:start w:val="1"/>
      <w:numFmt w:val="bullet"/>
      <w:lvlText w:val=""/>
      <w:lvlJc w:val="left"/>
      <w:pPr>
        <w:tabs>
          <w:tab w:val="num" w:pos="1276"/>
        </w:tabs>
        <w:ind w:left="1276" w:hanging="355"/>
      </w:pPr>
      <w:rPr>
        <w:rFonts w:ascii="Wingdings" w:hAnsi="Wingdings" w:hint="default"/>
        <w:color w:val="000000" w:themeColor="text1"/>
      </w:rPr>
    </w:lvl>
    <w:lvl w:ilvl="3">
      <w:start w:val="1"/>
      <w:numFmt w:val="none"/>
      <w:suff w:val="nothing"/>
      <w:lvlText w:val=""/>
      <w:lvlJc w:val="left"/>
      <w:pPr>
        <w:ind w:left="0" w:firstLine="0"/>
      </w:pPr>
      <w:rPr>
        <w:rFonts w:ascii="Hind Regular" w:hAnsi="Hind Regular" w:hint="default"/>
        <w:b w:val="0"/>
        <w:i w:val="0"/>
        <w:caps w:val="0"/>
        <w:strike w:val="0"/>
        <w:dstrike w:val="0"/>
        <w:vanish w:val="0"/>
        <w:color w:val="000000"/>
        <w:spacing w:val="0"/>
        <w:w w:val="100"/>
        <w:kern w:val="0"/>
        <w:position w:val="0"/>
        <w:sz w:val="20"/>
        <w:u w:val="none"/>
        <w:vertAlign w:val="baseline"/>
        <w14:ligatures w14:val="none"/>
        <w14:numForm w14:val="default"/>
        <w14:numSpacing w14:val="default"/>
        <w14:stylisticSets/>
        <w14:cntxtAlts w14:val="0"/>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26BA563E"/>
    <w:multiLevelType w:val="hybridMultilevel"/>
    <w:tmpl w:val="70107728"/>
    <w:lvl w:ilvl="0" w:tplc="496E56E8">
      <w:numFmt w:val="bullet"/>
      <w:lvlText w:val="•"/>
      <w:lvlJc w:val="left"/>
      <w:pPr>
        <w:ind w:left="1070" w:hanging="710"/>
      </w:pPr>
      <w:rPr>
        <w:rFonts w:ascii="Aptos" w:eastAsiaTheme="minorHAnsi" w:hAnsi="Apto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282979A3"/>
    <w:multiLevelType w:val="multilevel"/>
    <w:tmpl w:val="90AC7BB4"/>
    <w:lvl w:ilvl="0">
      <w:start w:val="1"/>
      <w:numFmt w:val="none"/>
      <w:suff w:val="nothing"/>
      <w:lvlText w:val=""/>
      <w:lvlJc w:val="left"/>
      <w:pPr>
        <w:ind w:left="0" w:firstLine="0"/>
      </w:pPr>
      <w:rPr>
        <w:rFonts w:ascii="Avenir Next LT Pro" w:hAnsi="Avenir Next LT Pro" w:hint="default"/>
        <w:b w:val="0"/>
        <w:i w:val="0"/>
        <w:caps w:val="0"/>
        <w:smallCaps w:val="0"/>
        <w:strike w:val="0"/>
        <w:dstrike w:val="0"/>
        <w:vanish w:val="0"/>
        <w:color w:val="264249"/>
        <w:spacing w:val="0"/>
        <w:w w:val="100"/>
        <w:kern w:val="0"/>
        <w:position w:val="0"/>
        <w:sz w:val="20"/>
        <w:u w:val="none"/>
        <w:vertAlign w:val="baseline"/>
        <w14:ligatures w14:val="none"/>
        <w14:numForm w14:val="default"/>
        <w14:numSpacing w14:val="default"/>
        <w14:stylisticSets/>
        <w14:cntxtAlts w14:val="0"/>
      </w:rPr>
    </w:lvl>
    <w:lvl w:ilvl="1">
      <w:start w:val="1"/>
      <w:numFmt w:val="bullet"/>
      <w:lvlText w:val="●"/>
      <w:lvlJc w:val="left"/>
      <w:pPr>
        <w:ind w:left="397" w:hanging="397"/>
      </w:pPr>
      <w:rPr>
        <w:rFonts w:ascii="Arial" w:hAnsi="Arial" w:hint="default"/>
        <w:b w:val="0"/>
        <w:i w:val="0"/>
        <w:caps w:val="0"/>
        <w:strike w:val="0"/>
        <w:dstrike w:val="0"/>
        <w:vanish w:val="0"/>
        <w:color w:val="D22C2A"/>
        <w:spacing w:val="0"/>
        <w:w w:val="100"/>
        <w:kern w:val="0"/>
        <w:position w:val="0"/>
        <w:sz w:val="20"/>
        <w:u w:val="none"/>
        <w:vertAlign w:val="baseline"/>
        <w14:ligatures w14:val="none"/>
        <w14:numForm w14:val="default"/>
        <w14:numSpacing w14:val="default"/>
        <w14:stylisticSets/>
        <w14:cntxtAlts w14:val="0"/>
      </w:rPr>
    </w:lvl>
    <w:lvl w:ilvl="2">
      <w:start w:val="14"/>
      <w:numFmt w:val="bullet"/>
      <w:lvlText w:val="-"/>
      <w:lvlJc w:val="left"/>
      <w:pPr>
        <w:ind w:left="757" w:hanging="360"/>
      </w:pPr>
      <w:rPr>
        <w:rFonts w:ascii="Verdana" w:eastAsia="Times New Roman" w:hAnsi="Verdana" w:cs="Times New Roman" w:hint="default"/>
      </w:rPr>
    </w:lvl>
    <w:lvl w:ilvl="3">
      <w:start w:val="1"/>
      <w:numFmt w:val="bullet"/>
      <w:lvlText w:val="▪"/>
      <w:lvlJc w:val="left"/>
      <w:pPr>
        <w:ind w:left="1191" w:hanging="397"/>
      </w:pPr>
      <w:rPr>
        <w:rFonts w:ascii="Arial" w:hAnsi="Arial" w:hint="default"/>
        <w:b w:val="0"/>
        <w:i w:val="0"/>
        <w:caps w:val="0"/>
        <w:strike w:val="0"/>
        <w:dstrike w:val="0"/>
        <w:vanish w:val="0"/>
        <w:color w:val="D22C2A"/>
        <w:spacing w:val="0"/>
        <w:w w:val="100"/>
        <w:kern w:val="0"/>
        <w:position w:val="0"/>
        <w:sz w:val="20"/>
        <w:u w:val="none"/>
        <w:vertAlign w:val="baseline"/>
        <w14:ligatures w14:val="none"/>
        <w14:numForm w14:val="default"/>
        <w14:numSpacing w14:val="default"/>
        <w14:stylisticSets/>
        <w14:cntxtAlts w14:val="0"/>
      </w:rPr>
    </w:lvl>
    <w:lvl w:ilvl="4">
      <w:start w:val="1"/>
      <w:numFmt w:val="bullet"/>
      <w:lvlText w:val="▪"/>
      <w:lvlJc w:val="left"/>
      <w:pPr>
        <w:ind w:left="1588" w:hanging="397"/>
      </w:pPr>
      <w:rPr>
        <w:rFonts w:ascii="Arial" w:hAnsi="Arial" w:hint="default"/>
        <w:b w:val="0"/>
        <w:i w:val="0"/>
        <w:caps w:val="0"/>
        <w:strike w:val="0"/>
        <w:dstrike w:val="0"/>
        <w:vanish w:val="0"/>
        <w:color w:val="264249"/>
        <w:spacing w:val="0"/>
        <w:w w:val="100"/>
        <w:kern w:val="0"/>
        <w:position w:val="0"/>
        <w:sz w:val="20"/>
        <w:u w:val="none"/>
        <w:vertAlign w:val="baseline"/>
        <w14:ligatures w14:val="none"/>
        <w14:numForm w14:val="default"/>
        <w14:numSpacing w14:val="default"/>
        <w14:stylisticSets/>
        <w14:cntxtAlts w14:val="0"/>
      </w:rPr>
    </w:lvl>
    <w:lvl w:ilvl="5">
      <w:start w:val="1"/>
      <w:numFmt w:val="none"/>
      <w:lvlText w:val=""/>
      <w:lvlJc w:val="left"/>
      <w:pPr>
        <w:ind w:left="1985" w:hanging="397"/>
      </w:pPr>
      <w:rPr>
        <w:rFonts w:hint="default"/>
      </w:rPr>
    </w:lvl>
    <w:lvl w:ilvl="6">
      <w:start w:val="1"/>
      <w:numFmt w:val="none"/>
      <w:lvlText w:val=""/>
      <w:lvlJc w:val="left"/>
      <w:pPr>
        <w:ind w:left="2381" w:hanging="396"/>
      </w:pPr>
      <w:rPr>
        <w:rFonts w:hint="default"/>
      </w:rPr>
    </w:lvl>
    <w:lvl w:ilvl="7">
      <w:start w:val="1"/>
      <w:numFmt w:val="none"/>
      <w:lvlText w:val=""/>
      <w:lvlJc w:val="left"/>
      <w:pPr>
        <w:ind w:left="2778" w:hanging="397"/>
      </w:pPr>
      <w:rPr>
        <w:rFonts w:hint="default"/>
      </w:rPr>
    </w:lvl>
    <w:lvl w:ilvl="8">
      <w:start w:val="1"/>
      <w:numFmt w:val="none"/>
      <w:lvlText w:val=""/>
      <w:lvlJc w:val="left"/>
      <w:pPr>
        <w:ind w:left="3175" w:hanging="397"/>
      </w:pPr>
      <w:rPr>
        <w:rFonts w:hint="default"/>
      </w:rPr>
    </w:lvl>
  </w:abstractNum>
  <w:abstractNum w:abstractNumId="35" w15:restartNumberingAfterBreak="0">
    <w:nsid w:val="2A6E68B4"/>
    <w:multiLevelType w:val="multilevel"/>
    <w:tmpl w:val="125A456C"/>
    <w:styleLink w:val="SEOLijstBoxNummer"/>
    <w:lvl w:ilvl="0">
      <w:start w:val="1"/>
      <w:numFmt w:val="none"/>
      <w:pStyle w:val="SEOBoxTextN"/>
      <w:lvlText w:val=""/>
      <w:lvlJc w:val="left"/>
      <w:pPr>
        <w:ind w:left="0" w:firstLine="0"/>
      </w:pPr>
      <w:rPr>
        <w:rFonts w:ascii="Avenir Next LT Pro" w:hAnsi="Avenir Next LT Pro" w:hint="default"/>
        <w:b w:val="0"/>
        <w:i w:val="0"/>
        <w:caps w:val="0"/>
        <w:smallCaps w:val="0"/>
        <w:strike w:val="0"/>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lvl w:ilvl="1">
      <w:start w:val="1"/>
      <w:numFmt w:val="decimal"/>
      <w:pStyle w:val="SEOBoxOpsommingNummerL1"/>
      <w:lvlText w:val="%2."/>
      <w:lvlJc w:val="left"/>
      <w:pPr>
        <w:ind w:left="397" w:hanging="397"/>
      </w:pPr>
      <w:rPr>
        <w:rFonts w:ascii="Avenir Next LT Pro" w:hAnsi="Avenir Next LT Pro" w:hint="default"/>
        <w:b w:val="0"/>
        <w:i w:val="0"/>
        <w:caps w:val="0"/>
        <w:strike w:val="0"/>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lvl w:ilvl="2">
      <w:start w:val="1"/>
      <w:numFmt w:val="lowerLetter"/>
      <w:pStyle w:val="SEOBoxOpsommingNummerL2"/>
      <w:lvlText w:val="%3."/>
      <w:lvlJc w:val="left"/>
      <w:pPr>
        <w:ind w:left="794" w:hanging="397"/>
      </w:pPr>
      <w:rPr>
        <w:rFonts w:ascii="Avenir Next LT Pro" w:hAnsi="Avenir Next LT Pro" w:hint="default"/>
        <w:b w:val="0"/>
        <w:i w:val="0"/>
        <w:caps w:val="0"/>
        <w:strike w:val="0"/>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lvl w:ilvl="3">
      <w:start w:val="1"/>
      <w:numFmt w:val="decimal"/>
      <w:pStyle w:val="SEOBoxOpsommingNummerL3"/>
      <w:lvlText w:val="%4."/>
      <w:lvlJc w:val="left"/>
      <w:pPr>
        <w:ind w:left="1191" w:hanging="397"/>
      </w:pPr>
      <w:rPr>
        <w:rFonts w:ascii="Avenir Next LT Pro" w:hAnsi="Avenir Next LT Pro" w:hint="default"/>
        <w:b w:val="0"/>
        <w:i w:val="0"/>
        <w:caps w:val="0"/>
        <w:strike w:val="0"/>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lvl w:ilvl="4">
      <w:start w:val="1"/>
      <w:numFmt w:val="none"/>
      <w:lvlText w:val=""/>
      <w:lvlJc w:val="left"/>
      <w:pPr>
        <w:ind w:left="0" w:firstLine="0"/>
      </w:pPr>
      <w:rPr>
        <w:rFonts w:ascii="Avenir Next LT Pro" w:hAnsi="Avenir Next LT Pro" w:hint="default"/>
        <w:b w:val="0"/>
        <w:i w:val="0"/>
        <w:caps w:val="0"/>
        <w:strike w:val="0"/>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lvl w:ilvl="5">
      <w:start w:val="1"/>
      <w:numFmt w:val="none"/>
      <w:lvlText w:val=""/>
      <w:lvlJc w:val="left"/>
      <w:pPr>
        <w:ind w:left="0" w:firstLine="0"/>
      </w:pPr>
      <w:rPr>
        <w:rFonts w:ascii="Avenir Next LT Pro" w:hAnsi="Avenir Next LT Pro" w:hint="default"/>
        <w:b w:val="0"/>
        <w:i w:val="0"/>
        <w:caps w:val="0"/>
        <w:strike w:val="0"/>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lvl w:ilvl="6">
      <w:start w:val="1"/>
      <w:numFmt w:val="none"/>
      <w:lvlText w:val=""/>
      <w:lvlJc w:val="left"/>
      <w:pPr>
        <w:ind w:left="0" w:firstLine="0"/>
      </w:pPr>
      <w:rPr>
        <w:rFonts w:ascii="Avenir Next LT Pro" w:hAnsi="Avenir Next LT Pro" w:hint="default"/>
        <w:b w:val="0"/>
        <w:i w:val="0"/>
        <w:caps w:val="0"/>
        <w:strike w:val="0"/>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lvl w:ilvl="7">
      <w:start w:val="1"/>
      <w:numFmt w:val="none"/>
      <w:lvlText w:val=""/>
      <w:lvlJc w:val="left"/>
      <w:pPr>
        <w:ind w:left="0" w:firstLine="0"/>
      </w:pPr>
      <w:rPr>
        <w:rFonts w:ascii="Avenir Next LT Pro" w:hAnsi="Avenir Next LT Pro" w:hint="default"/>
        <w:b w:val="0"/>
        <w:i w:val="0"/>
        <w:caps w:val="0"/>
        <w:strike w:val="0"/>
        <w:dstrike w:val="0"/>
        <w:vanish w:val="0"/>
        <w:color w:val="FFFFFF" w:themeColor="background1"/>
        <w:spacing w:val="20"/>
        <w:w w:val="100"/>
        <w:kern w:val="0"/>
        <w:position w:val="6"/>
        <w:sz w:val="18"/>
        <w:u w:val="none"/>
        <w:vertAlign w:val="baseline"/>
        <w14:ligatures w14:val="none"/>
        <w14:numForm w14:val="default"/>
        <w14:numSpacing w14:val="default"/>
        <w14:stylisticSets/>
        <w14:cntxtAlts w14:val="0"/>
      </w:rPr>
    </w:lvl>
    <w:lvl w:ilvl="8">
      <w:start w:val="1"/>
      <w:numFmt w:val="none"/>
      <w:lvlText w:val=""/>
      <w:lvlJc w:val="left"/>
      <w:pPr>
        <w:ind w:left="0" w:firstLine="0"/>
      </w:pPr>
      <w:rPr>
        <w:rFonts w:ascii="Avenir Next LT Pro" w:hAnsi="Avenir Next LT Pro" w:hint="default"/>
        <w:b w:val="0"/>
        <w:i w:val="0"/>
        <w:caps w:val="0"/>
        <w:strike w:val="0"/>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abstractNum>
  <w:abstractNum w:abstractNumId="36" w15:restartNumberingAfterBreak="0">
    <w:nsid w:val="2C877905"/>
    <w:multiLevelType w:val="multilevel"/>
    <w:tmpl w:val="E410C2CA"/>
    <w:numStyleLink w:val="SEOLijstLetter"/>
  </w:abstractNum>
  <w:abstractNum w:abstractNumId="37" w15:restartNumberingAfterBreak="0">
    <w:nsid w:val="2D294CAA"/>
    <w:multiLevelType w:val="hybridMultilevel"/>
    <w:tmpl w:val="07802452"/>
    <w:lvl w:ilvl="0" w:tplc="F5EE3C32">
      <w:start w:val="1"/>
      <w:numFmt w:val="bullet"/>
      <w:pStyle w:val="Lijstopsomteken"/>
      <w:lvlText w:val="•"/>
      <w:lvlJc w:val="left"/>
      <w:pPr>
        <w:tabs>
          <w:tab w:val="num" w:pos="357"/>
        </w:tabs>
        <w:ind w:left="357" w:hanging="357"/>
      </w:pPr>
      <w:rPr>
        <w:rFonts w:ascii="Verdana" w:hAnsi="Verdana" w:hint="default"/>
        <w:sz w:val="16"/>
        <w:szCs w:val="16"/>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D333D1E"/>
    <w:multiLevelType w:val="multilevel"/>
    <w:tmpl w:val="8EE8D158"/>
    <w:styleLink w:val="SEOLijstKopnummering"/>
    <w:lvl w:ilvl="0">
      <w:start w:val="1"/>
      <w:numFmt w:val="decimal"/>
      <w:pStyle w:val="SEOHoofdstuk"/>
      <w:lvlText w:val="%1"/>
      <w:lvlJc w:val="left"/>
      <w:pPr>
        <w:ind w:left="851" w:hanging="851"/>
      </w:pPr>
      <w:rPr>
        <w:rFonts w:ascii="Avenir Next LT Pro" w:hAnsi="Avenir Next LT Pro" w:hint="default"/>
        <w:b w:val="0"/>
        <w:i w:val="0"/>
        <w:caps w:val="0"/>
        <w:smallCaps w:val="0"/>
        <w:strike w:val="0"/>
        <w:dstrike w:val="0"/>
        <w:vanish w:val="0"/>
        <w:color w:val="264249"/>
        <w:spacing w:val="0"/>
        <w:w w:val="100"/>
        <w:kern w:val="0"/>
        <w:position w:val="0"/>
        <w:sz w:val="46"/>
        <w:u w:val="none"/>
        <w:vertAlign w:val="baseline"/>
        <w14:ligatures w14:val="none"/>
        <w14:numForm w14:val="default"/>
        <w14:numSpacing w14:val="default"/>
        <w14:stylisticSets/>
        <w14:cntxtAlts w14:val="0"/>
      </w:rPr>
    </w:lvl>
    <w:lvl w:ilvl="1">
      <w:start w:val="1"/>
      <w:numFmt w:val="decimal"/>
      <w:pStyle w:val="SEOParagraaf"/>
      <w:lvlText w:val="%1.%2"/>
      <w:lvlJc w:val="left"/>
      <w:pPr>
        <w:ind w:left="851" w:hanging="851"/>
      </w:pPr>
      <w:rPr>
        <w:rFonts w:ascii="Avenir Next LT Pro" w:hAnsi="Avenir Next LT Pro" w:hint="default"/>
        <w:b w:val="0"/>
        <w:i w:val="0"/>
        <w:caps w:val="0"/>
        <w:strike w:val="0"/>
        <w:dstrike w:val="0"/>
        <w:vanish w:val="0"/>
        <w:color w:val="264249"/>
        <w:spacing w:val="0"/>
        <w:w w:val="100"/>
        <w:kern w:val="0"/>
        <w:position w:val="0"/>
        <w:sz w:val="36"/>
        <w:u w:val="none"/>
        <w:vertAlign w:val="baseline"/>
        <w14:ligatures w14:val="none"/>
        <w14:numForm w14:val="default"/>
        <w14:numSpacing w14:val="default"/>
        <w14:stylisticSets/>
        <w14:cntxtAlts w14:val="0"/>
      </w:rPr>
    </w:lvl>
    <w:lvl w:ilvl="2">
      <w:start w:val="1"/>
      <w:numFmt w:val="decimal"/>
      <w:pStyle w:val="SEOSubparagraaf"/>
      <w:lvlText w:val="%1.%2.%3"/>
      <w:lvlJc w:val="left"/>
      <w:pPr>
        <w:ind w:left="851" w:hanging="851"/>
      </w:pPr>
      <w:rPr>
        <w:rFonts w:ascii="Avenir Next LT Pro" w:hAnsi="Avenir Next LT Pro" w:hint="default"/>
        <w:b w:val="0"/>
        <w:i w:val="0"/>
        <w:caps w:val="0"/>
        <w:strike w:val="0"/>
        <w:dstrike w:val="0"/>
        <w:vanish w:val="0"/>
        <w:color w:val="264249"/>
        <w:spacing w:val="0"/>
        <w:w w:val="100"/>
        <w:kern w:val="0"/>
        <w:position w:val="0"/>
        <w:sz w:val="30"/>
        <w:u w:val="none"/>
        <w:vertAlign w:val="baseline"/>
        <w14:ligatures w14:val="none"/>
        <w14:numForm w14:val="default"/>
        <w14:numSpacing w14:val="default"/>
        <w14:stylisticSets/>
        <w14:cntxtAlts w14:val="0"/>
      </w:rPr>
    </w:lvl>
    <w:lvl w:ilvl="3">
      <w:start w:val="1"/>
      <w:numFmt w:val="decimal"/>
      <w:lvlRestart w:val="1"/>
      <w:pStyle w:val="SEOTabelTitel"/>
      <w:lvlText w:val="Tabel %1.%4"/>
      <w:lvlJc w:val="left"/>
      <w:pPr>
        <w:ind w:left="1134" w:hanging="1134"/>
      </w:pPr>
      <w:rPr>
        <w:rFonts w:ascii="Avenir Next LT Pro" w:hAnsi="Avenir Next LT Pro" w:hint="default"/>
        <w:b w:val="0"/>
        <w:i w:val="0"/>
        <w:caps w:val="0"/>
        <w:strike w:val="0"/>
        <w:dstrike w:val="0"/>
        <w:vanish w:val="0"/>
        <w:color w:val="D22C2A"/>
        <w:spacing w:val="0"/>
        <w:w w:val="100"/>
        <w:kern w:val="0"/>
        <w:position w:val="0"/>
        <w:sz w:val="20"/>
        <w:u w:val="none"/>
        <w:vertAlign w:val="baseline"/>
        <w14:ligatures w14:val="none"/>
        <w14:numForm w14:val="default"/>
        <w14:numSpacing w14:val="default"/>
        <w14:stylisticSets/>
        <w14:cntxtAlts w14:val="0"/>
      </w:rPr>
    </w:lvl>
    <w:lvl w:ilvl="4">
      <w:start w:val="1"/>
      <w:numFmt w:val="decimal"/>
      <w:lvlRestart w:val="1"/>
      <w:pStyle w:val="SEOFiguur"/>
      <w:lvlText w:val="Figuur %1.%5"/>
      <w:lvlJc w:val="left"/>
      <w:pPr>
        <w:ind w:left="1134" w:hanging="1134"/>
      </w:pPr>
      <w:rPr>
        <w:rFonts w:ascii="Avenir Next LT Pro" w:hAnsi="Avenir Next LT Pro" w:hint="default"/>
        <w:b w:val="0"/>
        <w:i w:val="0"/>
        <w:caps w:val="0"/>
        <w:strike w:val="0"/>
        <w:dstrike w:val="0"/>
        <w:vanish w:val="0"/>
        <w:color w:val="5B9BD5" w:themeColor="accent1"/>
        <w:spacing w:val="0"/>
        <w:w w:val="100"/>
        <w:kern w:val="0"/>
        <w:position w:val="0"/>
        <w:sz w:val="20"/>
        <w:u w:val="none"/>
        <w:vertAlign w:val="baseline"/>
        <w14:ligatures w14:val="none"/>
        <w14:numForm w14:val="default"/>
        <w14:numSpacing w14:val="default"/>
        <w14:stylisticSets/>
        <w14:cntxtAlts w14:val="0"/>
      </w:rPr>
    </w:lvl>
    <w:lvl w:ilvl="5">
      <w:start w:val="1"/>
      <w:numFmt w:val="decimal"/>
      <w:lvlRestart w:val="1"/>
      <w:pStyle w:val="SEOBoxTitel"/>
      <w:lvlText w:val="Box %1.%6"/>
      <w:lvlJc w:val="left"/>
      <w:pPr>
        <w:ind w:left="1134" w:hanging="1134"/>
      </w:pPr>
      <w:rPr>
        <w:rFonts w:ascii="Avenir Next LT Pro" w:hAnsi="Avenir Next LT Pro" w:hint="default"/>
        <w:b w:val="0"/>
        <w:i w:val="0"/>
        <w:caps w:val="0"/>
        <w:strike w:val="0"/>
        <w:dstrike w:val="0"/>
        <w:vanish w:val="0"/>
        <w:color w:val="D22C2A"/>
        <w:spacing w:val="0"/>
        <w:w w:val="100"/>
        <w:kern w:val="0"/>
        <w:position w:val="0"/>
        <w:sz w:val="20"/>
        <w:u w:val="none"/>
        <w:vertAlign w:val="baseline"/>
        <w14:ligatures w14:val="none"/>
        <w14:numForm w14:val="default"/>
        <w14:numSpacing w14:val="default"/>
        <w14:stylisticSets/>
        <w14:cntxtAlts w14:val="0"/>
      </w:rPr>
    </w:lvl>
    <w:lvl w:ilvl="6">
      <w:start w:val="1"/>
      <w:numFmt w:val="decimal"/>
      <w:lvlRestart w:val="1"/>
      <w:pStyle w:val="SEOTabelTitelSamenvatting"/>
      <w:lvlText w:val="Tabel S.%7"/>
      <w:lvlJc w:val="left"/>
      <w:pPr>
        <w:ind w:left="1134" w:hanging="1134"/>
      </w:pPr>
      <w:rPr>
        <w:rFonts w:ascii="Avenir Next LT Pro" w:hAnsi="Avenir Next LT Pro" w:hint="default"/>
        <w:b w:val="0"/>
        <w:i w:val="0"/>
        <w:caps w:val="0"/>
        <w:strike w:val="0"/>
        <w:dstrike w:val="0"/>
        <w:vanish w:val="0"/>
        <w:color w:val="5B9BD5" w:themeColor="accent1"/>
        <w:spacing w:val="0"/>
        <w:w w:val="100"/>
        <w:kern w:val="0"/>
        <w:position w:val="0"/>
        <w:sz w:val="20"/>
        <w:u w:val="none"/>
        <w:vertAlign w:val="baseline"/>
        <w14:ligatures w14:val="none"/>
        <w14:numForm w14:val="default"/>
        <w14:numSpacing w14:val="default"/>
        <w14:stylisticSets/>
        <w14:cntxtAlts w14:val="0"/>
      </w:rPr>
    </w:lvl>
    <w:lvl w:ilvl="7">
      <w:start w:val="1"/>
      <w:numFmt w:val="decimal"/>
      <w:lvlRestart w:val="1"/>
      <w:pStyle w:val="SEOfiguurTitelSamenvatting"/>
      <w:lvlText w:val="Figuur S.%8"/>
      <w:lvlJc w:val="left"/>
      <w:pPr>
        <w:ind w:left="1134" w:hanging="1134"/>
      </w:pPr>
      <w:rPr>
        <w:rFonts w:ascii="Avenir Next LT Pro" w:hAnsi="Avenir Next LT Pro" w:hint="default"/>
        <w:b w:val="0"/>
        <w:i w:val="0"/>
        <w:caps w:val="0"/>
        <w:strike w:val="0"/>
        <w:dstrike w:val="0"/>
        <w:vanish w:val="0"/>
        <w:color w:val="5B9BD5" w:themeColor="accent1"/>
        <w:spacing w:val="0"/>
        <w:w w:val="100"/>
        <w:kern w:val="0"/>
        <w:position w:val="0"/>
        <w:sz w:val="20"/>
        <w:u w:val="none"/>
        <w:vertAlign w:val="baseline"/>
        <w14:ligatures w14:val="none"/>
        <w14:numForm w14:val="default"/>
        <w14:numSpacing w14:val="default"/>
        <w14:stylisticSets/>
        <w14:cntxtAlts w14:val="0"/>
      </w:rPr>
    </w:lvl>
    <w:lvl w:ilvl="8">
      <w:start w:val="1"/>
      <w:numFmt w:val="decimal"/>
      <w:lvlRestart w:val="1"/>
      <w:pStyle w:val="SEOBoxTitelSamenvatting"/>
      <w:lvlText w:val="Box S.%9"/>
      <w:lvlJc w:val="left"/>
      <w:pPr>
        <w:ind w:left="1134" w:hanging="1134"/>
      </w:pPr>
      <w:rPr>
        <w:rFonts w:ascii="Avenir Next LT Pro" w:hAnsi="Avenir Next LT Pro" w:hint="default"/>
        <w:b w:val="0"/>
        <w:i w:val="0"/>
        <w:caps w:val="0"/>
        <w:strike w:val="0"/>
        <w:dstrike w:val="0"/>
        <w:vanish w:val="0"/>
        <w:color w:val="5B9BD5" w:themeColor="accent1"/>
        <w:spacing w:val="0"/>
        <w:w w:val="100"/>
        <w:kern w:val="0"/>
        <w:position w:val="0"/>
        <w:sz w:val="20"/>
        <w:u w:val="none"/>
        <w:vertAlign w:val="baseline"/>
        <w14:ligatures w14:val="none"/>
        <w14:numForm w14:val="default"/>
        <w14:numSpacing w14:val="default"/>
        <w14:stylisticSets/>
        <w14:cntxtAlts w14:val="0"/>
      </w:rPr>
    </w:lvl>
  </w:abstractNum>
  <w:abstractNum w:abstractNumId="39" w15:restartNumberingAfterBreak="0">
    <w:nsid w:val="2F230913"/>
    <w:multiLevelType w:val="hybridMultilevel"/>
    <w:tmpl w:val="CA48CA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2F2E3AFF"/>
    <w:multiLevelType w:val="multilevel"/>
    <w:tmpl w:val="655A9D16"/>
    <w:styleLink w:val="SEOLijstDash"/>
    <w:lvl w:ilvl="0">
      <w:start w:val="1"/>
      <w:numFmt w:val="none"/>
      <w:pStyle w:val="SEOStandaardD"/>
      <w:suff w:val="nothing"/>
      <w:lvlText w:val=""/>
      <w:lvlJc w:val="left"/>
      <w:pPr>
        <w:ind w:left="0" w:firstLine="0"/>
      </w:pPr>
      <w:rPr>
        <w:rFonts w:ascii="Avenir Next LT Pro" w:hAnsi="Avenir Next LT Pro" w:hint="default"/>
        <w:b w:val="0"/>
        <w:i w:val="0"/>
        <w:caps w:val="0"/>
        <w:smallCaps w:val="0"/>
        <w:strike w:val="0"/>
        <w:dstrike w:val="0"/>
        <w:vanish w:val="0"/>
        <w:color w:val="264249"/>
        <w:spacing w:val="0"/>
        <w:w w:val="100"/>
        <w:kern w:val="0"/>
        <w:position w:val="0"/>
        <w:sz w:val="20"/>
        <w:u w:val="none"/>
        <w:vertAlign w:val="baseline"/>
        <w14:ligatures w14:val="none"/>
        <w14:numForm w14:val="default"/>
        <w14:numSpacing w14:val="default"/>
        <w14:stylisticSets/>
        <w14:cntxtAlts w14:val="0"/>
      </w:rPr>
    </w:lvl>
    <w:lvl w:ilvl="1">
      <w:start w:val="1"/>
      <w:numFmt w:val="bullet"/>
      <w:pStyle w:val="SEOOpsommingDashL1"/>
      <w:lvlText w:val="-"/>
      <w:lvlJc w:val="left"/>
      <w:pPr>
        <w:ind w:left="397" w:hanging="397"/>
      </w:pPr>
      <w:rPr>
        <w:rFonts w:ascii="Avenir Next LT Pro" w:hAnsi="Avenir Next LT Pro" w:hint="default"/>
        <w:b w:val="0"/>
        <w:i w:val="0"/>
        <w:caps w:val="0"/>
        <w:strike w:val="0"/>
        <w:dstrike w:val="0"/>
        <w:vanish w:val="0"/>
        <w:color w:val="D22C2A"/>
        <w:spacing w:val="0"/>
        <w:w w:val="100"/>
        <w:kern w:val="0"/>
        <w:position w:val="0"/>
        <w:sz w:val="20"/>
        <w:u w:val="none"/>
        <w:vertAlign w:val="baseline"/>
        <w14:ligatures w14:val="none"/>
        <w14:numForm w14:val="default"/>
        <w14:numSpacing w14:val="default"/>
        <w14:stylisticSets/>
        <w14:cntxtAlts w14:val="0"/>
      </w:rPr>
    </w:lvl>
    <w:lvl w:ilvl="2">
      <w:start w:val="1"/>
      <w:numFmt w:val="bullet"/>
      <w:pStyle w:val="SEOOpsommingDashL2"/>
      <w:lvlText w:val="•"/>
      <w:lvlJc w:val="left"/>
      <w:pPr>
        <w:ind w:left="794" w:hanging="397"/>
      </w:pPr>
      <w:rPr>
        <w:rFonts w:ascii="Avenir Next LT Pro" w:hAnsi="Avenir Next LT Pro" w:hint="default"/>
        <w:b w:val="0"/>
        <w:i w:val="0"/>
        <w:caps w:val="0"/>
        <w:strike w:val="0"/>
        <w:dstrike w:val="0"/>
        <w:vanish w:val="0"/>
        <w:color w:val="264249"/>
        <w:spacing w:val="0"/>
        <w:w w:val="100"/>
        <w:kern w:val="0"/>
        <w:position w:val="0"/>
        <w:sz w:val="20"/>
        <w:u w:val="none"/>
        <w:vertAlign w:val="baseline"/>
        <w14:ligatures w14:val="none"/>
        <w14:numForm w14:val="default"/>
        <w14:numSpacing w14:val="default"/>
        <w14:stylisticSets/>
        <w14:cntxtAlts w14:val="0"/>
      </w:rPr>
    </w:lvl>
    <w:lvl w:ilvl="3">
      <w:start w:val="1"/>
      <w:numFmt w:val="bullet"/>
      <w:pStyle w:val="SEOOpsommingDashL3"/>
      <w:lvlText w:val="-"/>
      <w:lvlJc w:val="left"/>
      <w:pPr>
        <w:ind w:left="1191" w:hanging="397"/>
      </w:pPr>
      <w:rPr>
        <w:rFonts w:ascii="Avenir Next LT Pro" w:hAnsi="Avenir Next LT Pro" w:hint="default"/>
        <w:b w:val="0"/>
        <w:i w:val="0"/>
        <w:caps w:val="0"/>
        <w:strike w:val="0"/>
        <w:dstrike w:val="0"/>
        <w:vanish w:val="0"/>
        <w:color w:val="D22C2A"/>
        <w:spacing w:val="0"/>
        <w:w w:val="100"/>
        <w:kern w:val="0"/>
        <w:position w:val="0"/>
        <w:sz w:val="20"/>
        <w:u w:val="none"/>
        <w:vertAlign w:val="baseline"/>
        <w14:ligatures w14:val="none"/>
        <w14:numForm w14:val="default"/>
        <w14:numSpacing w14:val="default"/>
        <w14:stylisticSets/>
        <w14:cntxtAlts w14:val="0"/>
      </w:rPr>
    </w:lvl>
    <w:lvl w:ilvl="4">
      <w:start w:val="1"/>
      <w:numFmt w:val="bullet"/>
      <w:pStyle w:val="SEOOpsommingDashL4"/>
      <w:lvlText w:val="•"/>
      <w:lvlJc w:val="left"/>
      <w:pPr>
        <w:ind w:left="1588" w:hanging="397"/>
      </w:pPr>
      <w:rPr>
        <w:rFonts w:ascii="Avenir Next LT Pro" w:hAnsi="Avenir Next LT Pro" w:hint="default"/>
        <w:b w:val="0"/>
        <w:i w:val="0"/>
        <w:caps w:val="0"/>
        <w:strike w:val="0"/>
        <w:dstrike w:val="0"/>
        <w:vanish w:val="0"/>
        <w:color w:val="264249"/>
        <w:spacing w:val="0"/>
        <w:w w:val="100"/>
        <w:kern w:val="0"/>
        <w:position w:val="0"/>
        <w:sz w:val="20"/>
        <w:u w:val="none"/>
        <w:vertAlign w:val="baseline"/>
        <w14:ligatures w14:val="none"/>
        <w14:numForm w14:val="default"/>
        <w14:numSpacing w14:val="default"/>
        <w14:stylisticSets/>
        <w14:cntxtAlts w14:val="0"/>
      </w:rPr>
    </w:lvl>
    <w:lvl w:ilvl="5">
      <w:start w:val="1"/>
      <w:numFmt w:val="none"/>
      <w:lvlText w:val=""/>
      <w:lvlJc w:val="left"/>
      <w:pPr>
        <w:ind w:left="1985" w:hanging="397"/>
      </w:pPr>
      <w:rPr>
        <w:rFonts w:hint="default"/>
      </w:rPr>
    </w:lvl>
    <w:lvl w:ilvl="6">
      <w:start w:val="1"/>
      <w:numFmt w:val="none"/>
      <w:lvlText w:val=""/>
      <w:lvlJc w:val="left"/>
      <w:pPr>
        <w:ind w:left="2381" w:hanging="396"/>
      </w:pPr>
      <w:rPr>
        <w:rFonts w:hint="default"/>
      </w:rPr>
    </w:lvl>
    <w:lvl w:ilvl="7">
      <w:start w:val="1"/>
      <w:numFmt w:val="none"/>
      <w:lvlText w:val=""/>
      <w:lvlJc w:val="left"/>
      <w:pPr>
        <w:ind w:left="2778" w:hanging="397"/>
      </w:pPr>
      <w:rPr>
        <w:rFonts w:hint="default"/>
      </w:rPr>
    </w:lvl>
    <w:lvl w:ilvl="8">
      <w:start w:val="1"/>
      <w:numFmt w:val="none"/>
      <w:lvlText w:val=""/>
      <w:lvlJc w:val="left"/>
      <w:pPr>
        <w:ind w:left="3175" w:hanging="397"/>
      </w:pPr>
      <w:rPr>
        <w:rFonts w:hint="default"/>
      </w:rPr>
    </w:lvl>
  </w:abstractNum>
  <w:abstractNum w:abstractNumId="41" w15:restartNumberingAfterBreak="0">
    <w:nsid w:val="2FD708BD"/>
    <w:multiLevelType w:val="multilevel"/>
    <w:tmpl w:val="CDF8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11C4613"/>
    <w:multiLevelType w:val="hybridMultilevel"/>
    <w:tmpl w:val="922669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38AD1313"/>
    <w:multiLevelType w:val="hybridMultilevel"/>
    <w:tmpl w:val="2CF8A28A"/>
    <w:lvl w:ilvl="0" w:tplc="4F3E8E9A">
      <w:start w:val="1"/>
      <w:numFmt w:val="bullet"/>
      <w:pStyle w:val="Opsomtekennivo3"/>
      <w:lvlText w:val=""/>
      <w:lvlJc w:val="left"/>
      <w:pPr>
        <w:tabs>
          <w:tab w:val="num" w:pos="851"/>
        </w:tabs>
        <w:ind w:left="851" w:hanging="284"/>
      </w:pPr>
      <w:rPr>
        <w:rFonts w:ascii="Symbol" w:hAnsi="Symbol" w:hint="default"/>
        <w:color w:val="999999"/>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B4E5284"/>
    <w:multiLevelType w:val="hybridMultilevel"/>
    <w:tmpl w:val="D2883B7E"/>
    <w:lvl w:ilvl="0" w:tplc="8BFE100A">
      <w:start w:val="1"/>
      <w:numFmt w:val="bullet"/>
      <w:pStyle w:val="Opsomtekennivo4"/>
      <w:lvlText w:val="○"/>
      <w:lvlJc w:val="left"/>
      <w:pPr>
        <w:tabs>
          <w:tab w:val="num" w:pos="1134"/>
        </w:tabs>
        <w:ind w:left="1134" w:hanging="283"/>
      </w:pPr>
      <w:rPr>
        <w:rFonts w:ascii="Garamond" w:hAnsi="Garamond" w:hint="default"/>
        <w:color w:val="auto"/>
        <w:sz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F061C1C"/>
    <w:multiLevelType w:val="multilevel"/>
    <w:tmpl w:val="90D24E3E"/>
    <w:styleLink w:val="SEOLijstBoxDash"/>
    <w:lvl w:ilvl="0">
      <w:start w:val="1"/>
      <w:numFmt w:val="none"/>
      <w:pStyle w:val="SEOBoxTextD"/>
      <w:lvlText w:val=""/>
      <w:lvlJc w:val="left"/>
      <w:pPr>
        <w:ind w:left="0" w:firstLine="0"/>
      </w:pPr>
      <w:rPr>
        <w:rFonts w:ascii="Avenir Next LT Pro" w:hAnsi="Avenir Next LT Pro" w:hint="default"/>
        <w:b w:val="0"/>
        <w:i w:val="0"/>
        <w:caps w:val="0"/>
        <w:smallCaps w:val="0"/>
        <w:strike w:val="0"/>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lvl w:ilvl="1">
      <w:start w:val="1"/>
      <w:numFmt w:val="bullet"/>
      <w:pStyle w:val="SEOBoxOpsommingDashL1"/>
      <w:lvlText w:val="-"/>
      <w:lvlJc w:val="left"/>
      <w:pPr>
        <w:ind w:left="397" w:hanging="397"/>
      </w:pPr>
      <w:rPr>
        <w:rFonts w:ascii="Avenir Next LT Pro" w:hAnsi="Avenir Next LT Pro" w:hint="default"/>
        <w:b w:val="0"/>
        <w:i w:val="0"/>
        <w:caps w:val="0"/>
        <w:strike w:val="0"/>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lvl w:ilvl="2">
      <w:start w:val="1"/>
      <w:numFmt w:val="bullet"/>
      <w:pStyle w:val="SEOBoxOpsommingDashL2"/>
      <w:lvlText w:val="•"/>
      <w:lvlJc w:val="left"/>
      <w:pPr>
        <w:ind w:left="794" w:hanging="397"/>
      </w:pPr>
      <w:rPr>
        <w:rFonts w:ascii="Avenir Next LT Pro" w:hAnsi="Avenir Next LT Pro" w:hint="default"/>
        <w:b w:val="0"/>
        <w:i w:val="0"/>
        <w:caps w:val="0"/>
        <w:strike w:val="0"/>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lvl w:ilvl="3">
      <w:start w:val="1"/>
      <w:numFmt w:val="bullet"/>
      <w:pStyle w:val="SEOBoxOpsommingDashL3"/>
      <w:lvlText w:val="-"/>
      <w:lvlJc w:val="left"/>
      <w:pPr>
        <w:ind w:left="1191" w:hanging="397"/>
      </w:pPr>
      <w:rPr>
        <w:rFonts w:ascii="Avenir Next LT Pro" w:hAnsi="Avenir Next LT Pro" w:hint="default"/>
        <w:b w:val="0"/>
        <w:i w:val="0"/>
        <w:caps w:val="0"/>
        <w:strike/>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lvl w:ilvl="4">
      <w:start w:val="1"/>
      <w:numFmt w:val="bullet"/>
      <w:pStyle w:val="SEOBoxOpsommingDashL4"/>
      <w:lvlText w:val="•"/>
      <w:lvlJc w:val="left"/>
      <w:pPr>
        <w:ind w:left="1588" w:hanging="397"/>
      </w:pPr>
      <w:rPr>
        <w:rFonts w:ascii="Avenir Next LT Pro" w:hAnsi="Avenir Next LT Pro" w:hint="default"/>
        <w:b w:val="0"/>
        <w:i w:val="0"/>
        <w:caps w:val="0"/>
        <w:strike w:val="0"/>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lvl w:ilvl="5">
      <w:start w:val="1"/>
      <w:numFmt w:val="none"/>
      <w:lvlText w:val=""/>
      <w:lvlJc w:val="left"/>
      <w:pPr>
        <w:ind w:left="0" w:firstLine="0"/>
      </w:pPr>
      <w:rPr>
        <w:rFonts w:ascii="Avenir Next LT Pro" w:hAnsi="Avenir Next LT Pro" w:hint="default"/>
        <w:b w:val="0"/>
        <w:i w:val="0"/>
        <w:caps w:val="0"/>
        <w:strike w:val="0"/>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lvl w:ilvl="6">
      <w:start w:val="1"/>
      <w:numFmt w:val="none"/>
      <w:lvlText w:val=""/>
      <w:lvlJc w:val="left"/>
      <w:pPr>
        <w:ind w:left="0" w:firstLine="0"/>
      </w:pPr>
      <w:rPr>
        <w:rFonts w:ascii="Avenir Next LT Pro" w:hAnsi="Avenir Next LT Pro" w:hint="default"/>
        <w:b w:val="0"/>
        <w:i w:val="0"/>
        <w:caps w:val="0"/>
        <w:strike w:val="0"/>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lvl w:ilvl="7">
      <w:start w:val="1"/>
      <w:numFmt w:val="none"/>
      <w:lvlText w:val=""/>
      <w:lvlJc w:val="left"/>
      <w:pPr>
        <w:ind w:left="0" w:firstLine="0"/>
      </w:pPr>
      <w:rPr>
        <w:rFonts w:ascii="Avenir Next LT Pro" w:hAnsi="Avenir Next LT Pro" w:hint="default"/>
        <w:b w:val="0"/>
        <w:i w:val="0"/>
        <w:caps w:val="0"/>
        <w:strike w:val="0"/>
        <w:dstrike w:val="0"/>
        <w:vanish w:val="0"/>
        <w:color w:val="FFFFFF" w:themeColor="background1"/>
        <w:spacing w:val="20"/>
        <w:w w:val="100"/>
        <w:kern w:val="0"/>
        <w:position w:val="0"/>
        <w:sz w:val="18"/>
        <w:u w:val="none"/>
        <w:vertAlign w:val="baseline"/>
        <w14:ligatures w14:val="none"/>
        <w14:numForm w14:val="default"/>
        <w14:numSpacing w14:val="default"/>
        <w14:stylisticSets/>
        <w14:cntxtAlts w14:val="0"/>
      </w:rPr>
    </w:lvl>
    <w:lvl w:ilvl="8">
      <w:start w:val="1"/>
      <w:numFmt w:val="none"/>
      <w:lvlText w:val=""/>
      <w:lvlJc w:val="left"/>
      <w:pPr>
        <w:ind w:left="0" w:firstLine="0"/>
      </w:pPr>
      <w:rPr>
        <w:rFonts w:ascii="Avenir Next LT Pro" w:hAnsi="Avenir Next LT Pro" w:hint="default"/>
        <w:b w:val="0"/>
        <w:i w:val="0"/>
        <w:caps w:val="0"/>
        <w:strike w:val="0"/>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abstractNum>
  <w:abstractNum w:abstractNumId="46" w15:restartNumberingAfterBreak="0">
    <w:nsid w:val="422E1E1C"/>
    <w:multiLevelType w:val="multilevel"/>
    <w:tmpl w:val="1F2AD050"/>
    <w:styleLink w:val="SEOLijstNummer"/>
    <w:lvl w:ilvl="0">
      <w:start w:val="1"/>
      <w:numFmt w:val="none"/>
      <w:pStyle w:val="SEOStandaardN"/>
      <w:suff w:val="nothing"/>
      <w:lvlText w:val=""/>
      <w:lvlJc w:val="left"/>
      <w:pPr>
        <w:ind w:left="0" w:firstLine="0"/>
      </w:pPr>
      <w:rPr>
        <w:rFonts w:ascii="Avenir Next LT Pro" w:hAnsi="Avenir Next LT Pro" w:hint="default"/>
        <w:b w:val="0"/>
        <w:i w:val="0"/>
        <w:caps w:val="0"/>
        <w:smallCaps w:val="0"/>
        <w:strike w:val="0"/>
        <w:dstrike w:val="0"/>
        <w:vanish w:val="0"/>
        <w:color w:val="264249"/>
        <w:spacing w:val="0"/>
        <w:w w:val="100"/>
        <w:kern w:val="0"/>
        <w:position w:val="0"/>
        <w:sz w:val="20"/>
        <w:u w:val="none"/>
        <w:vertAlign w:val="baseline"/>
        <w14:ligatures w14:val="none"/>
        <w14:numForm w14:val="default"/>
        <w14:numSpacing w14:val="default"/>
        <w14:stylisticSets/>
        <w14:cntxtAlts w14:val="0"/>
      </w:rPr>
    </w:lvl>
    <w:lvl w:ilvl="1">
      <w:start w:val="1"/>
      <w:numFmt w:val="decimal"/>
      <w:pStyle w:val="SEOOpsommingNummerL1"/>
      <w:lvlText w:val="%2."/>
      <w:lvlJc w:val="left"/>
      <w:pPr>
        <w:ind w:left="397" w:hanging="397"/>
      </w:pPr>
      <w:rPr>
        <w:rFonts w:ascii="Avenir Next LT Pro" w:hAnsi="Avenir Next LT Pro" w:hint="default"/>
        <w:b w:val="0"/>
        <w:i w:val="0"/>
        <w:caps w:val="0"/>
        <w:strike w:val="0"/>
        <w:dstrike w:val="0"/>
        <w:vanish w:val="0"/>
        <w:color w:val="D22C2A"/>
        <w:spacing w:val="0"/>
        <w:w w:val="100"/>
        <w:kern w:val="0"/>
        <w:position w:val="0"/>
        <w:sz w:val="20"/>
        <w:u w:val="none"/>
        <w:vertAlign w:val="baseline"/>
        <w14:ligatures w14:val="none"/>
        <w14:numForm w14:val="default"/>
        <w14:numSpacing w14:val="default"/>
        <w14:stylisticSets/>
        <w14:cntxtAlts w14:val="0"/>
      </w:rPr>
    </w:lvl>
    <w:lvl w:ilvl="2">
      <w:start w:val="1"/>
      <w:numFmt w:val="lowerLetter"/>
      <w:pStyle w:val="SEOOpsommingNummerL2"/>
      <w:lvlText w:val="%3."/>
      <w:lvlJc w:val="left"/>
      <w:pPr>
        <w:ind w:left="794" w:hanging="397"/>
      </w:pPr>
      <w:rPr>
        <w:rFonts w:ascii="Avenir Next LT Pro" w:hAnsi="Avenir Next LT Pro" w:hint="default"/>
        <w:b w:val="0"/>
        <w:i w:val="0"/>
        <w:caps w:val="0"/>
        <w:strike w:val="0"/>
        <w:dstrike w:val="0"/>
        <w:vanish w:val="0"/>
        <w:color w:val="264249"/>
        <w:spacing w:val="0"/>
        <w:w w:val="100"/>
        <w:kern w:val="0"/>
        <w:position w:val="0"/>
        <w:sz w:val="20"/>
        <w:u w:val="none"/>
        <w:vertAlign w:val="baseline"/>
        <w14:ligatures w14:val="none"/>
        <w14:numForm w14:val="default"/>
        <w14:numSpacing w14:val="default"/>
        <w14:stylisticSets/>
        <w14:cntxtAlts w14:val="0"/>
      </w:rPr>
    </w:lvl>
    <w:lvl w:ilvl="3">
      <w:start w:val="1"/>
      <w:numFmt w:val="decimal"/>
      <w:pStyle w:val="SEOOpsommingNummerL3"/>
      <w:lvlText w:val="%4."/>
      <w:lvlJc w:val="left"/>
      <w:pPr>
        <w:ind w:left="1191" w:hanging="397"/>
      </w:pPr>
      <w:rPr>
        <w:rFonts w:ascii="Avenir Next LT Pro" w:hAnsi="Avenir Next LT Pro" w:hint="default"/>
        <w:b w:val="0"/>
        <w:i w:val="0"/>
        <w:caps w:val="0"/>
        <w:strike w:val="0"/>
        <w:dstrike w:val="0"/>
        <w:vanish w:val="0"/>
        <w:color w:val="D22C2A"/>
        <w:spacing w:val="0"/>
        <w:w w:val="100"/>
        <w:kern w:val="0"/>
        <w:position w:val="0"/>
        <w:sz w:val="20"/>
        <w:u w:val="none"/>
        <w:vertAlign w:val="baseline"/>
        <w14:ligatures w14:val="none"/>
        <w14:numForm w14:val="default"/>
        <w14:numSpacing w14:val="default"/>
        <w14:stylisticSets/>
        <w14:cntxtAlts w14:val="0"/>
      </w:rPr>
    </w:lvl>
    <w:lvl w:ilvl="4">
      <w:start w:val="1"/>
      <w:numFmt w:val="none"/>
      <w:lvlText w:val=""/>
      <w:lvlJc w:val="left"/>
      <w:pPr>
        <w:ind w:left="1588" w:hanging="397"/>
      </w:pPr>
      <w:rPr>
        <w:rFonts w:hint="default"/>
      </w:rPr>
    </w:lvl>
    <w:lvl w:ilvl="5">
      <w:start w:val="1"/>
      <w:numFmt w:val="none"/>
      <w:lvlText w:val=""/>
      <w:lvlJc w:val="left"/>
      <w:pPr>
        <w:ind w:left="1985" w:hanging="397"/>
      </w:pPr>
      <w:rPr>
        <w:rFonts w:hint="default"/>
      </w:rPr>
    </w:lvl>
    <w:lvl w:ilvl="6">
      <w:start w:val="1"/>
      <w:numFmt w:val="none"/>
      <w:lvlText w:val=""/>
      <w:lvlJc w:val="left"/>
      <w:pPr>
        <w:ind w:left="2381" w:hanging="396"/>
      </w:pPr>
      <w:rPr>
        <w:rFonts w:hint="default"/>
      </w:rPr>
    </w:lvl>
    <w:lvl w:ilvl="7">
      <w:start w:val="1"/>
      <w:numFmt w:val="none"/>
      <w:lvlText w:val=""/>
      <w:lvlJc w:val="left"/>
      <w:pPr>
        <w:ind w:left="2778" w:hanging="397"/>
      </w:pPr>
      <w:rPr>
        <w:rFonts w:hint="default"/>
      </w:rPr>
    </w:lvl>
    <w:lvl w:ilvl="8">
      <w:start w:val="1"/>
      <w:numFmt w:val="none"/>
      <w:lvlText w:val=""/>
      <w:lvlJc w:val="left"/>
      <w:pPr>
        <w:ind w:left="3175" w:hanging="397"/>
      </w:pPr>
      <w:rPr>
        <w:rFonts w:hint="default"/>
      </w:rPr>
    </w:lvl>
  </w:abstractNum>
  <w:abstractNum w:abstractNumId="47" w15:restartNumberingAfterBreak="0">
    <w:nsid w:val="436D70DA"/>
    <w:multiLevelType w:val="multilevel"/>
    <w:tmpl w:val="FE084308"/>
    <w:styleLink w:val="SEOLijstBullet"/>
    <w:lvl w:ilvl="0">
      <w:start w:val="1"/>
      <w:numFmt w:val="none"/>
      <w:pStyle w:val="SEOStandaardB"/>
      <w:suff w:val="nothing"/>
      <w:lvlText w:val=""/>
      <w:lvlJc w:val="left"/>
      <w:pPr>
        <w:ind w:left="0" w:firstLine="0"/>
      </w:pPr>
      <w:rPr>
        <w:rFonts w:ascii="Avenir Next LT Pro" w:hAnsi="Avenir Next LT Pro" w:hint="default"/>
        <w:b w:val="0"/>
        <w:i w:val="0"/>
        <w:caps w:val="0"/>
        <w:smallCaps w:val="0"/>
        <w:strike w:val="0"/>
        <w:dstrike w:val="0"/>
        <w:vanish w:val="0"/>
        <w:color w:val="264249"/>
        <w:spacing w:val="0"/>
        <w:w w:val="100"/>
        <w:kern w:val="0"/>
        <w:position w:val="0"/>
        <w:sz w:val="20"/>
        <w:u w:val="none"/>
        <w:vertAlign w:val="baseline"/>
        <w14:ligatures w14:val="none"/>
        <w14:numForm w14:val="default"/>
        <w14:numSpacing w14:val="default"/>
        <w14:stylisticSets/>
        <w14:cntxtAlts w14:val="0"/>
      </w:rPr>
    </w:lvl>
    <w:lvl w:ilvl="1">
      <w:start w:val="1"/>
      <w:numFmt w:val="bullet"/>
      <w:pStyle w:val="SEOOpsommingBulletL1"/>
      <w:lvlText w:val="●"/>
      <w:lvlJc w:val="left"/>
      <w:pPr>
        <w:ind w:left="397" w:hanging="397"/>
      </w:pPr>
      <w:rPr>
        <w:rFonts w:ascii="Arial" w:hAnsi="Arial" w:hint="default"/>
        <w:b w:val="0"/>
        <w:i w:val="0"/>
        <w:caps w:val="0"/>
        <w:strike w:val="0"/>
        <w:dstrike w:val="0"/>
        <w:vanish w:val="0"/>
        <w:color w:val="D22C2A"/>
        <w:spacing w:val="0"/>
        <w:w w:val="100"/>
        <w:kern w:val="0"/>
        <w:position w:val="0"/>
        <w:sz w:val="20"/>
        <w:u w:val="none"/>
        <w:vertAlign w:val="baseline"/>
        <w14:ligatures w14:val="none"/>
        <w14:numForm w14:val="default"/>
        <w14:numSpacing w14:val="default"/>
        <w14:stylisticSets/>
        <w14:cntxtAlts w14:val="0"/>
      </w:rPr>
    </w:lvl>
    <w:lvl w:ilvl="2">
      <w:start w:val="1"/>
      <w:numFmt w:val="bullet"/>
      <w:pStyle w:val="SEOOpsommingBulletL2"/>
      <w:lvlText w:val="●"/>
      <w:lvlJc w:val="left"/>
      <w:pPr>
        <w:ind w:left="794" w:hanging="397"/>
      </w:pPr>
      <w:rPr>
        <w:rFonts w:ascii="Arial" w:hAnsi="Arial" w:hint="default"/>
        <w:b w:val="0"/>
        <w:i w:val="0"/>
        <w:caps w:val="0"/>
        <w:strike w:val="0"/>
        <w:dstrike w:val="0"/>
        <w:vanish w:val="0"/>
        <w:color w:val="264249"/>
        <w:spacing w:val="0"/>
        <w:w w:val="100"/>
        <w:kern w:val="0"/>
        <w:position w:val="0"/>
        <w:sz w:val="20"/>
        <w:u w:val="none"/>
        <w:vertAlign w:val="baseline"/>
        <w14:ligatures w14:val="none"/>
        <w14:numForm w14:val="default"/>
        <w14:numSpacing w14:val="default"/>
        <w14:stylisticSets/>
        <w14:cntxtAlts w14:val="0"/>
      </w:rPr>
    </w:lvl>
    <w:lvl w:ilvl="3">
      <w:start w:val="1"/>
      <w:numFmt w:val="bullet"/>
      <w:pStyle w:val="SEOOpsommingBulletL3"/>
      <w:lvlText w:val="▪"/>
      <w:lvlJc w:val="left"/>
      <w:pPr>
        <w:ind w:left="1191" w:hanging="397"/>
      </w:pPr>
      <w:rPr>
        <w:rFonts w:ascii="Arial" w:hAnsi="Arial" w:hint="default"/>
        <w:b w:val="0"/>
        <w:i w:val="0"/>
        <w:caps w:val="0"/>
        <w:strike w:val="0"/>
        <w:dstrike w:val="0"/>
        <w:vanish w:val="0"/>
        <w:color w:val="D22C2A"/>
        <w:spacing w:val="0"/>
        <w:w w:val="100"/>
        <w:kern w:val="0"/>
        <w:position w:val="0"/>
        <w:sz w:val="20"/>
        <w:u w:val="none"/>
        <w:vertAlign w:val="baseline"/>
        <w14:ligatures w14:val="none"/>
        <w14:numForm w14:val="default"/>
        <w14:numSpacing w14:val="default"/>
        <w14:stylisticSets/>
        <w14:cntxtAlts w14:val="0"/>
      </w:rPr>
    </w:lvl>
    <w:lvl w:ilvl="4">
      <w:start w:val="1"/>
      <w:numFmt w:val="bullet"/>
      <w:pStyle w:val="SEOOpsommingBulletL4"/>
      <w:lvlText w:val="▪"/>
      <w:lvlJc w:val="left"/>
      <w:pPr>
        <w:ind w:left="1588" w:hanging="397"/>
      </w:pPr>
      <w:rPr>
        <w:rFonts w:ascii="Arial" w:hAnsi="Arial" w:hint="default"/>
        <w:b w:val="0"/>
        <w:i w:val="0"/>
        <w:caps w:val="0"/>
        <w:strike w:val="0"/>
        <w:dstrike w:val="0"/>
        <w:vanish w:val="0"/>
        <w:color w:val="264249"/>
        <w:spacing w:val="0"/>
        <w:w w:val="100"/>
        <w:kern w:val="0"/>
        <w:position w:val="0"/>
        <w:sz w:val="20"/>
        <w:u w:val="none"/>
        <w:vertAlign w:val="baseline"/>
        <w14:ligatures w14:val="none"/>
        <w14:numForm w14:val="default"/>
        <w14:numSpacing w14:val="default"/>
        <w14:stylisticSets/>
        <w14:cntxtAlts w14:val="0"/>
      </w:rPr>
    </w:lvl>
    <w:lvl w:ilvl="5">
      <w:start w:val="1"/>
      <w:numFmt w:val="none"/>
      <w:lvlText w:val=""/>
      <w:lvlJc w:val="left"/>
      <w:pPr>
        <w:ind w:left="1985" w:hanging="397"/>
      </w:pPr>
      <w:rPr>
        <w:rFonts w:hint="default"/>
      </w:rPr>
    </w:lvl>
    <w:lvl w:ilvl="6">
      <w:start w:val="1"/>
      <w:numFmt w:val="none"/>
      <w:lvlText w:val=""/>
      <w:lvlJc w:val="left"/>
      <w:pPr>
        <w:ind w:left="2381" w:hanging="396"/>
      </w:pPr>
      <w:rPr>
        <w:rFonts w:hint="default"/>
      </w:rPr>
    </w:lvl>
    <w:lvl w:ilvl="7">
      <w:start w:val="1"/>
      <w:numFmt w:val="none"/>
      <w:lvlText w:val=""/>
      <w:lvlJc w:val="left"/>
      <w:pPr>
        <w:ind w:left="2778" w:hanging="397"/>
      </w:pPr>
      <w:rPr>
        <w:rFonts w:hint="default"/>
      </w:rPr>
    </w:lvl>
    <w:lvl w:ilvl="8">
      <w:start w:val="1"/>
      <w:numFmt w:val="none"/>
      <w:lvlText w:val=""/>
      <w:lvlJc w:val="left"/>
      <w:pPr>
        <w:ind w:left="3175" w:hanging="397"/>
      </w:pPr>
      <w:rPr>
        <w:rFonts w:hint="default"/>
      </w:rPr>
    </w:lvl>
  </w:abstractNum>
  <w:abstractNum w:abstractNumId="48" w15:restartNumberingAfterBreak="0">
    <w:nsid w:val="44C20ECA"/>
    <w:multiLevelType w:val="multilevel"/>
    <w:tmpl w:val="AAEC9290"/>
    <w:lvl w:ilvl="0">
      <w:start w:val="1"/>
      <w:numFmt w:val="none"/>
      <w:pStyle w:val="SEOStandaardBron"/>
      <w:suff w:val="nothing"/>
      <w:lvlText w:val=""/>
      <w:lvlJc w:val="left"/>
      <w:pPr>
        <w:ind w:left="0" w:firstLine="0"/>
      </w:pPr>
      <w:rPr>
        <w:rFonts w:ascii="Avenir Next LT Pro" w:hAnsi="Avenir Next LT Pro" w:hint="default"/>
        <w:b w:val="0"/>
        <w:i w:val="0"/>
        <w:caps w:val="0"/>
        <w:strike w:val="0"/>
        <w:dstrike w:val="0"/>
        <w:vanish w:val="0"/>
        <w:color w:val="264249"/>
        <w:spacing w:val="20"/>
        <w:w w:val="100"/>
        <w:kern w:val="0"/>
        <w:position w:val="0"/>
        <w:sz w:val="20"/>
        <w:u w:val="none"/>
        <w:vertAlign w:val="baseline"/>
        <w14:ligatures w14:val="none"/>
        <w14:numForm w14:val="default"/>
        <w14:numSpacing w14:val="default"/>
        <w14:stylisticSets/>
        <w14:cntxtAlts w14:val="0"/>
      </w:rPr>
    </w:lvl>
    <w:lvl w:ilvl="1">
      <w:start w:val="1"/>
      <w:numFmt w:val="none"/>
      <w:pStyle w:val="SEOBron"/>
      <w:lvlText w:val="Bron:"/>
      <w:lvlJc w:val="left"/>
      <w:pPr>
        <w:ind w:left="0" w:firstLine="0"/>
      </w:pPr>
      <w:rPr>
        <w:rFonts w:ascii="Avenir Next LT Pro" w:hAnsi="Avenir Next LT Pro" w:hint="default"/>
        <w:b w:val="0"/>
        <w:i w:val="0"/>
        <w:caps w:val="0"/>
        <w:strike w:val="0"/>
        <w:dstrike w:val="0"/>
        <w:vanish w:val="0"/>
        <w:color w:val="264249"/>
        <w:spacing w:val="0"/>
        <w:w w:val="100"/>
        <w:kern w:val="0"/>
        <w:position w:val="0"/>
        <w:sz w:val="18"/>
        <w:u w:val="none"/>
        <w:vertAlign w:val="baseline"/>
        <w14:ligatures w14:val="none"/>
        <w14:numForm w14:val="default"/>
        <w14:numSpacing w14:val="default"/>
        <w14:stylisticSets/>
        <w14:cntxtAlts w14:val="0"/>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9" w15:restartNumberingAfterBreak="0">
    <w:nsid w:val="46963AE7"/>
    <w:multiLevelType w:val="hybridMultilevel"/>
    <w:tmpl w:val="AF7804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4960223E"/>
    <w:multiLevelType w:val="hybridMultilevel"/>
    <w:tmpl w:val="D5301E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4BE43F7C"/>
    <w:multiLevelType w:val="hybridMultilevel"/>
    <w:tmpl w:val="32E870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4C6C15CE"/>
    <w:multiLevelType w:val="multilevel"/>
    <w:tmpl w:val="438A7AAA"/>
    <w:styleLink w:val="SEOLijstBron"/>
    <w:lvl w:ilvl="0">
      <w:start w:val="1"/>
      <w:numFmt w:val="none"/>
      <w:lvlText w:val="Bron:"/>
      <w:lvlJc w:val="left"/>
      <w:pPr>
        <w:ind w:left="0" w:firstLine="0"/>
      </w:pPr>
      <w:rPr>
        <w:rFonts w:ascii="Avenir Next LT Pro" w:hAnsi="Avenir Next LT Pro" w:hint="default"/>
        <w:b w:val="0"/>
        <w:i w:val="0"/>
        <w:caps w:val="0"/>
        <w:smallCaps w:val="0"/>
        <w:strike w:val="0"/>
        <w:dstrike w:val="0"/>
        <w:vanish w:val="0"/>
        <w:color w:val="264249"/>
        <w:spacing w:val="20"/>
        <w:w w:val="100"/>
        <w:kern w:val="0"/>
        <w:position w:val="0"/>
        <w:sz w:val="18"/>
        <w:u w:val="none"/>
        <w:vertAlign w:val="baseline"/>
        <w14:ligatures w14:val="none"/>
        <w14:numForm w14:val="default"/>
        <w14:numSpacing w14:val="default"/>
        <w14:stylisticSets/>
        <w14:cntxtAlts w14:val="0"/>
      </w:rPr>
    </w:lvl>
    <w:lvl w:ilvl="1">
      <w:start w:val="1"/>
      <w:numFmt w:val="none"/>
      <w:lvlText w:val=""/>
      <w:lvlJc w:val="left"/>
      <w:pPr>
        <w:tabs>
          <w:tab w:val="num" w:pos="3402"/>
        </w:tabs>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3" w15:restartNumberingAfterBreak="0">
    <w:nsid w:val="50CF5D2E"/>
    <w:multiLevelType w:val="hybridMultilevel"/>
    <w:tmpl w:val="099036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538D7D9F"/>
    <w:multiLevelType w:val="hybridMultilevel"/>
    <w:tmpl w:val="22EC18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547965C5"/>
    <w:multiLevelType w:val="hybridMultilevel"/>
    <w:tmpl w:val="9DC4FE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57D3131C"/>
    <w:multiLevelType w:val="multilevel"/>
    <w:tmpl w:val="4F747F80"/>
    <w:lvl w:ilvl="0">
      <w:start w:val="1"/>
      <w:numFmt w:val="none"/>
      <w:suff w:val="nothing"/>
      <w:lvlText w:val=""/>
      <w:lvlJc w:val="left"/>
      <w:pPr>
        <w:ind w:left="0" w:firstLine="0"/>
      </w:pPr>
      <w:rPr>
        <w:rFonts w:ascii="Avenir Next LT Pro" w:hAnsi="Avenir Next LT Pro" w:hint="default"/>
        <w:b w:val="0"/>
        <w:i w:val="0"/>
        <w:caps w:val="0"/>
        <w:smallCaps w:val="0"/>
        <w:strike w:val="0"/>
        <w:dstrike w:val="0"/>
        <w:vanish w:val="0"/>
        <w:color w:val="264249"/>
        <w:spacing w:val="0"/>
        <w:w w:val="100"/>
        <w:kern w:val="0"/>
        <w:position w:val="0"/>
        <w:sz w:val="20"/>
        <w:u w:val="none"/>
        <w:vertAlign w:val="baseline"/>
        <w14:ligatures w14:val="none"/>
        <w14:numForm w14:val="default"/>
        <w14:numSpacing w14:val="default"/>
        <w14:stylisticSets/>
        <w14:cntxtAlts w14:val="0"/>
      </w:rPr>
    </w:lvl>
    <w:lvl w:ilvl="1">
      <w:start w:val="1"/>
      <w:numFmt w:val="bullet"/>
      <w:lvlText w:val="●"/>
      <w:lvlJc w:val="left"/>
      <w:pPr>
        <w:ind w:left="397" w:hanging="397"/>
      </w:pPr>
      <w:rPr>
        <w:rFonts w:ascii="Arial" w:hAnsi="Arial" w:hint="default"/>
        <w:b w:val="0"/>
        <w:i w:val="0"/>
        <w:caps w:val="0"/>
        <w:strike w:val="0"/>
        <w:dstrike w:val="0"/>
        <w:vanish w:val="0"/>
        <w:color w:val="D22C2A"/>
        <w:spacing w:val="0"/>
        <w:w w:val="100"/>
        <w:kern w:val="0"/>
        <w:position w:val="0"/>
        <w:sz w:val="20"/>
        <w:u w:val="none"/>
        <w:vertAlign w:val="baseline"/>
        <w14:ligatures w14:val="none"/>
        <w14:numForm w14:val="default"/>
        <w14:numSpacing w14:val="default"/>
        <w14:stylisticSets/>
        <w14:cntxtAlts w14:val="0"/>
      </w:rPr>
    </w:lvl>
    <w:lvl w:ilvl="2">
      <w:start w:val="14"/>
      <w:numFmt w:val="bullet"/>
      <w:lvlText w:val="-"/>
      <w:lvlJc w:val="left"/>
      <w:pPr>
        <w:ind w:left="757" w:hanging="360"/>
      </w:pPr>
      <w:rPr>
        <w:rFonts w:ascii="Verdana" w:eastAsia="Times New Roman" w:hAnsi="Verdana" w:cs="Times New Roman" w:hint="default"/>
      </w:rPr>
    </w:lvl>
    <w:lvl w:ilvl="3">
      <w:start w:val="1"/>
      <w:numFmt w:val="bullet"/>
      <w:lvlText w:val="▪"/>
      <w:lvlJc w:val="left"/>
      <w:pPr>
        <w:ind w:left="1191" w:hanging="397"/>
      </w:pPr>
      <w:rPr>
        <w:rFonts w:ascii="Arial" w:hAnsi="Arial" w:hint="default"/>
        <w:b w:val="0"/>
        <w:i w:val="0"/>
        <w:caps w:val="0"/>
        <w:strike w:val="0"/>
        <w:dstrike w:val="0"/>
        <w:vanish w:val="0"/>
        <w:color w:val="D22C2A"/>
        <w:spacing w:val="0"/>
        <w:w w:val="100"/>
        <w:kern w:val="0"/>
        <w:position w:val="0"/>
        <w:sz w:val="20"/>
        <w:u w:val="none"/>
        <w:vertAlign w:val="baseline"/>
        <w14:ligatures w14:val="none"/>
        <w14:numForm w14:val="default"/>
        <w14:numSpacing w14:val="default"/>
        <w14:stylisticSets/>
        <w14:cntxtAlts w14:val="0"/>
      </w:rPr>
    </w:lvl>
    <w:lvl w:ilvl="4">
      <w:start w:val="1"/>
      <w:numFmt w:val="bullet"/>
      <w:lvlText w:val="▪"/>
      <w:lvlJc w:val="left"/>
      <w:pPr>
        <w:ind w:left="1588" w:hanging="397"/>
      </w:pPr>
      <w:rPr>
        <w:rFonts w:ascii="Arial" w:hAnsi="Arial" w:hint="default"/>
        <w:b w:val="0"/>
        <w:i w:val="0"/>
        <w:caps w:val="0"/>
        <w:strike w:val="0"/>
        <w:dstrike w:val="0"/>
        <w:vanish w:val="0"/>
        <w:color w:val="264249"/>
        <w:spacing w:val="0"/>
        <w:w w:val="100"/>
        <w:kern w:val="0"/>
        <w:position w:val="0"/>
        <w:sz w:val="20"/>
        <w:u w:val="none"/>
        <w:vertAlign w:val="baseline"/>
        <w14:ligatures w14:val="none"/>
        <w14:numForm w14:val="default"/>
        <w14:numSpacing w14:val="default"/>
        <w14:stylisticSets/>
        <w14:cntxtAlts w14:val="0"/>
      </w:rPr>
    </w:lvl>
    <w:lvl w:ilvl="5">
      <w:start w:val="1"/>
      <w:numFmt w:val="none"/>
      <w:lvlText w:val=""/>
      <w:lvlJc w:val="left"/>
      <w:pPr>
        <w:ind w:left="1985" w:hanging="397"/>
      </w:pPr>
      <w:rPr>
        <w:rFonts w:hint="default"/>
      </w:rPr>
    </w:lvl>
    <w:lvl w:ilvl="6">
      <w:start w:val="1"/>
      <w:numFmt w:val="none"/>
      <w:lvlText w:val=""/>
      <w:lvlJc w:val="left"/>
      <w:pPr>
        <w:ind w:left="2381" w:hanging="396"/>
      </w:pPr>
      <w:rPr>
        <w:rFonts w:hint="default"/>
      </w:rPr>
    </w:lvl>
    <w:lvl w:ilvl="7">
      <w:start w:val="1"/>
      <w:numFmt w:val="none"/>
      <w:lvlText w:val=""/>
      <w:lvlJc w:val="left"/>
      <w:pPr>
        <w:ind w:left="2778" w:hanging="397"/>
      </w:pPr>
      <w:rPr>
        <w:rFonts w:hint="default"/>
      </w:rPr>
    </w:lvl>
    <w:lvl w:ilvl="8">
      <w:start w:val="1"/>
      <w:numFmt w:val="none"/>
      <w:lvlText w:val=""/>
      <w:lvlJc w:val="left"/>
      <w:pPr>
        <w:ind w:left="3175" w:hanging="397"/>
      </w:pPr>
      <w:rPr>
        <w:rFonts w:hint="default"/>
      </w:rPr>
    </w:lvl>
  </w:abstractNum>
  <w:abstractNum w:abstractNumId="57" w15:restartNumberingAfterBreak="0">
    <w:nsid w:val="581738A8"/>
    <w:multiLevelType w:val="multilevel"/>
    <w:tmpl w:val="750CB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BF351A4"/>
    <w:multiLevelType w:val="hybridMultilevel"/>
    <w:tmpl w:val="9700499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9" w15:restartNumberingAfterBreak="0">
    <w:nsid w:val="5C492223"/>
    <w:multiLevelType w:val="hybridMultilevel"/>
    <w:tmpl w:val="B178BA6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0" w15:restartNumberingAfterBreak="0">
    <w:nsid w:val="60E90517"/>
    <w:multiLevelType w:val="hybridMultilevel"/>
    <w:tmpl w:val="CB1C79B2"/>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3F14FCD"/>
    <w:multiLevelType w:val="hybridMultilevel"/>
    <w:tmpl w:val="8C74A080"/>
    <w:lvl w:ilvl="0" w:tplc="CCBE4D58">
      <w:start w:val="1"/>
      <w:numFmt w:val="bullet"/>
      <w:pStyle w:val="Opsomtekennivo1"/>
      <w:lvlText w:val=""/>
      <w:lvlJc w:val="left"/>
      <w:pPr>
        <w:tabs>
          <w:tab w:val="num" w:pos="283"/>
        </w:tabs>
        <w:ind w:left="283" w:hanging="283"/>
      </w:pPr>
      <w:rPr>
        <w:rFonts w:ascii="Symbol" w:hAnsi="Symbol" w:hint="default"/>
        <w:color w:val="CC0000"/>
        <w:sz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5942FF3"/>
    <w:multiLevelType w:val="hybridMultilevel"/>
    <w:tmpl w:val="05A4B2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65972CC8"/>
    <w:multiLevelType w:val="multilevel"/>
    <w:tmpl w:val="46D47E88"/>
    <w:lvl w:ilvl="0">
      <w:start w:val="1"/>
      <w:numFmt w:val="decimal"/>
      <w:pStyle w:val="Opsomnummernivo1"/>
      <w:lvlText w:val="%1."/>
      <w:lvlJc w:val="left"/>
      <w:pPr>
        <w:ind w:left="360" w:hanging="360"/>
      </w:pPr>
      <w:rPr>
        <w:rFonts w:hint="default"/>
        <w:b w:val="0"/>
        <w:i w:val="0"/>
        <w:color w:val="C00000"/>
        <w:sz w:val="21"/>
      </w:rPr>
    </w:lvl>
    <w:lvl w:ilvl="1">
      <w:start w:val="1"/>
      <w:numFmt w:val="lowerLetter"/>
      <w:lvlText w:val="%2)"/>
      <w:lvlJc w:val="left"/>
      <w:pPr>
        <w:tabs>
          <w:tab w:val="num" w:pos="567"/>
        </w:tabs>
        <w:ind w:left="567" w:hanging="283"/>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lvlRestart w:val="0"/>
      <w:suff w:val="nothing"/>
      <w:lvlText w:val=""/>
      <w:lvlJc w:val="left"/>
      <w:pPr>
        <w:ind w:left="1584" w:hanging="1584"/>
      </w:pPr>
      <w:rPr>
        <w:rFonts w:hint="default"/>
      </w:rPr>
    </w:lvl>
  </w:abstractNum>
  <w:abstractNum w:abstractNumId="64" w15:restartNumberingAfterBreak="0">
    <w:nsid w:val="667E4A5F"/>
    <w:multiLevelType w:val="hybridMultilevel"/>
    <w:tmpl w:val="80DC1978"/>
    <w:lvl w:ilvl="0" w:tplc="496E56E8">
      <w:numFmt w:val="bullet"/>
      <w:lvlText w:val="•"/>
      <w:lvlJc w:val="left"/>
      <w:pPr>
        <w:ind w:left="1070" w:hanging="71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67322BF9"/>
    <w:multiLevelType w:val="hybridMultilevel"/>
    <w:tmpl w:val="5A68D3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6B427F82"/>
    <w:multiLevelType w:val="hybridMultilevel"/>
    <w:tmpl w:val="64F2F0B6"/>
    <w:lvl w:ilvl="0" w:tplc="2EDC12CC">
      <w:start w:val="1"/>
      <w:numFmt w:val="bullet"/>
      <w:pStyle w:val="Opsomtekennivo2"/>
      <w:lvlText w:val=""/>
      <w:lvlJc w:val="left"/>
      <w:pPr>
        <w:tabs>
          <w:tab w:val="num" w:pos="567"/>
        </w:tabs>
        <w:ind w:left="567" w:hanging="284"/>
      </w:pPr>
      <w:rPr>
        <w:rFonts w:ascii="Symbol" w:hAnsi="Symbol" w:hint="default"/>
        <w:sz w:val="18"/>
      </w:rPr>
    </w:lvl>
    <w:lvl w:ilvl="1" w:tplc="04130003" w:tentative="1">
      <w:start w:val="1"/>
      <w:numFmt w:val="bullet"/>
      <w:lvlText w:val="o"/>
      <w:lvlJc w:val="left"/>
      <w:pPr>
        <w:tabs>
          <w:tab w:val="num" w:pos="1156"/>
        </w:tabs>
        <w:ind w:left="1156" w:hanging="360"/>
      </w:pPr>
      <w:rPr>
        <w:rFonts w:ascii="Courier New" w:hAnsi="Courier New" w:cs="Courier New" w:hint="default"/>
      </w:rPr>
    </w:lvl>
    <w:lvl w:ilvl="2" w:tplc="04130005" w:tentative="1">
      <w:start w:val="1"/>
      <w:numFmt w:val="bullet"/>
      <w:lvlText w:val=""/>
      <w:lvlJc w:val="left"/>
      <w:pPr>
        <w:tabs>
          <w:tab w:val="num" w:pos="1876"/>
        </w:tabs>
        <w:ind w:left="1876" w:hanging="360"/>
      </w:pPr>
      <w:rPr>
        <w:rFonts w:ascii="Wingdings" w:hAnsi="Wingdings" w:hint="default"/>
      </w:rPr>
    </w:lvl>
    <w:lvl w:ilvl="3" w:tplc="04130001" w:tentative="1">
      <w:start w:val="1"/>
      <w:numFmt w:val="bullet"/>
      <w:lvlText w:val=""/>
      <w:lvlJc w:val="left"/>
      <w:pPr>
        <w:tabs>
          <w:tab w:val="num" w:pos="2596"/>
        </w:tabs>
        <w:ind w:left="2596" w:hanging="360"/>
      </w:pPr>
      <w:rPr>
        <w:rFonts w:ascii="Symbol" w:hAnsi="Symbol" w:hint="default"/>
      </w:rPr>
    </w:lvl>
    <w:lvl w:ilvl="4" w:tplc="04130003" w:tentative="1">
      <w:start w:val="1"/>
      <w:numFmt w:val="bullet"/>
      <w:lvlText w:val="o"/>
      <w:lvlJc w:val="left"/>
      <w:pPr>
        <w:tabs>
          <w:tab w:val="num" w:pos="3316"/>
        </w:tabs>
        <w:ind w:left="3316" w:hanging="360"/>
      </w:pPr>
      <w:rPr>
        <w:rFonts w:ascii="Courier New" w:hAnsi="Courier New" w:cs="Courier New" w:hint="default"/>
      </w:rPr>
    </w:lvl>
    <w:lvl w:ilvl="5" w:tplc="04130005" w:tentative="1">
      <w:start w:val="1"/>
      <w:numFmt w:val="bullet"/>
      <w:lvlText w:val=""/>
      <w:lvlJc w:val="left"/>
      <w:pPr>
        <w:tabs>
          <w:tab w:val="num" w:pos="4036"/>
        </w:tabs>
        <w:ind w:left="4036" w:hanging="360"/>
      </w:pPr>
      <w:rPr>
        <w:rFonts w:ascii="Wingdings" w:hAnsi="Wingdings" w:hint="default"/>
      </w:rPr>
    </w:lvl>
    <w:lvl w:ilvl="6" w:tplc="04130001" w:tentative="1">
      <w:start w:val="1"/>
      <w:numFmt w:val="bullet"/>
      <w:lvlText w:val=""/>
      <w:lvlJc w:val="left"/>
      <w:pPr>
        <w:tabs>
          <w:tab w:val="num" w:pos="4756"/>
        </w:tabs>
        <w:ind w:left="4756" w:hanging="360"/>
      </w:pPr>
      <w:rPr>
        <w:rFonts w:ascii="Symbol" w:hAnsi="Symbol" w:hint="default"/>
      </w:rPr>
    </w:lvl>
    <w:lvl w:ilvl="7" w:tplc="04130003" w:tentative="1">
      <w:start w:val="1"/>
      <w:numFmt w:val="bullet"/>
      <w:lvlText w:val="o"/>
      <w:lvlJc w:val="left"/>
      <w:pPr>
        <w:tabs>
          <w:tab w:val="num" w:pos="5476"/>
        </w:tabs>
        <w:ind w:left="5476" w:hanging="360"/>
      </w:pPr>
      <w:rPr>
        <w:rFonts w:ascii="Courier New" w:hAnsi="Courier New" w:cs="Courier New" w:hint="default"/>
      </w:rPr>
    </w:lvl>
    <w:lvl w:ilvl="8" w:tplc="04130005" w:tentative="1">
      <w:start w:val="1"/>
      <w:numFmt w:val="bullet"/>
      <w:lvlText w:val=""/>
      <w:lvlJc w:val="left"/>
      <w:pPr>
        <w:tabs>
          <w:tab w:val="num" w:pos="6196"/>
        </w:tabs>
        <w:ind w:left="6196" w:hanging="360"/>
      </w:pPr>
      <w:rPr>
        <w:rFonts w:ascii="Wingdings" w:hAnsi="Wingdings" w:hint="default"/>
      </w:rPr>
    </w:lvl>
  </w:abstractNum>
  <w:abstractNum w:abstractNumId="67" w15:restartNumberingAfterBreak="0">
    <w:nsid w:val="6C024C74"/>
    <w:multiLevelType w:val="multilevel"/>
    <w:tmpl w:val="F640905A"/>
    <w:styleLink w:val="SEOLijstBoxLetter"/>
    <w:lvl w:ilvl="0">
      <w:start w:val="1"/>
      <w:numFmt w:val="none"/>
      <w:pStyle w:val="SEOBoxTextL"/>
      <w:lvlText w:val=""/>
      <w:lvlJc w:val="left"/>
      <w:pPr>
        <w:ind w:left="0" w:firstLine="0"/>
      </w:pPr>
      <w:rPr>
        <w:rFonts w:ascii="Avenir Next LT Pro" w:hAnsi="Avenir Next LT Pro" w:hint="default"/>
        <w:b w:val="0"/>
        <w:i w:val="0"/>
        <w:caps w:val="0"/>
        <w:smallCaps w:val="0"/>
        <w:strike w:val="0"/>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lvl w:ilvl="1">
      <w:start w:val="1"/>
      <w:numFmt w:val="upperLetter"/>
      <w:pStyle w:val="SEOBoxOpsommingLetterL1"/>
      <w:lvlText w:val="%2."/>
      <w:lvlJc w:val="left"/>
      <w:pPr>
        <w:ind w:left="397" w:hanging="397"/>
      </w:pPr>
      <w:rPr>
        <w:rFonts w:ascii="Avenir Next LT Pro" w:hAnsi="Avenir Next LT Pro" w:hint="default"/>
        <w:b w:val="0"/>
        <w:i w:val="0"/>
        <w:caps w:val="0"/>
        <w:strike w:val="0"/>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lvl w:ilvl="2">
      <w:start w:val="1"/>
      <w:numFmt w:val="decimal"/>
      <w:pStyle w:val="SEOBoxOpsommingLetterL2"/>
      <w:lvlText w:val="%3."/>
      <w:lvlJc w:val="left"/>
      <w:pPr>
        <w:ind w:left="794" w:hanging="397"/>
      </w:pPr>
      <w:rPr>
        <w:rFonts w:ascii="Avenir Next LT Pro" w:hAnsi="Avenir Next LT Pro" w:hint="default"/>
        <w:b w:val="0"/>
        <w:i w:val="0"/>
        <w:caps w:val="0"/>
        <w:strike w:val="0"/>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lvl w:ilvl="3">
      <w:start w:val="1"/>
      <w:numFmt w:val="lowerLetter"/>
      <w:pStyle w:val="SEOBoxOpsommingLetterL3"/>
      <w:lvlText w:val="%4."/>
      <w:lvlJc w:val="left"/>
      <w:pPr>
        <w:ind w:left="1191" w:hanging="397"/>
      </w:pPr>
      <w:rPr>
        <w:rFonts w:ascii="Avenir Next LT Pro" w:hAnsi="Avenir Next LT Pro" w:hint="default"/>
        <w:b w:val="0"/>
        <w:i w:val="0"/>
        <w:caps w:val="0"/>
        <w:strike w:val="0"/>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lvl w:ilvl="4">
      <w:start w:val="1"/>
      <w:numFmt w:val="none"/>
      <w:lvlText w:val=""/>
      <w:lvlJc w:val="left"/>
      <w:pPr>
        <w:ind w:left="0" w:firstLine="0"/>
      </w:pPr>
      <w:rPr>
        <w:rFonts w:ascii="Avenir Next LT Pro" w:hAnsi="Avenir Next LT Pro" w:hint="default"/>
        <w:b w:val="0"/>
        <w:i w:val="0"/>
        <w:caps w:val="0"/>
        <w:strike w:val="0"/>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lvl w:ilvl="5">
      <w:start w:val="1"/>
      <w:numFmt w:val="none"/>
      <w:lvlText w:val=""/>
      <w:lvlJc w:val="left"/>
      <w:pPr>
        <w:ind w:left="0" w:firstLine="0"/>
      </w:pPr>
      <w:rPr>
        <w:rFonts w:ascii="Avenir Next LT Pro" w:hAnsi="Avenir Next LT Pro" w:hint="default"/>
        <w:b w:val="0"/>
        <w:i w:val="0"/>
        <w:caps w:val="0"/>
        <w:strike w:val="0"/>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lvl w:ilvl="6">
      <w:start w:val="1"/>
      <w:numFmt w:val="none"/>
      <w:lvlText w:val=""/>
      <w:lvlJc w:val="left"/>
      <w:pPr>
        <w:ind w:left="0" w:firstLine="0"/>
      </w:pPr>
      <w:rPr>
        <w:rFonts w:ascii="Avenir Next LT Pro" w:hAnsi="Avenir Next LT Pro" w:hint="default"/>
        <w:b w:val="0"/>
        <w:i w:val="0"/>
        <w:caps w:val="0"/>
        <w:strike w:val="0"/>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lvl w:ilvl="7">
      <w:start w:val="1"/>
      <w:numFmt w:val="none"/>
      <w:lvlText w:val=""/>
      <w:lvlJc w:val="left"/>
      <w:pPr>
        <w:ind w:left="0" w:firstLine="0"/>
      </w:pPr>
      <w:rPr>
        <w:rFonts w:ascii="Avenir Next LT Pro" w:hAnsi="Avenir Next LT Pro" w:hint="default"/>
        <w:b w:val="0"/>
        <w:i w:val="0"/>
        <w:caps w:val="0"/>
        <w:strike w:val="0"/>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lvl w:ilvl="8">
      <w:start w:val="1"/>
      <w:numFmt w:val="none"/>
      <w:lvlText w:val=""/>
      <w:lvlJc w:val="left"/>
      <w:pPr>
        <w:ind w:left="0" w:firstLine="0"/>
      </w:pPr>
      <w:rPr>
        <w:rFonts w:ascii="Avenir Next LT Pro" w:hAnsi="Avenir Next LT Pro" w:hint="default"/>
        <w:b w:val="0"/>
        <w:i w:val="0"/>
        <w:caps w:val="0"/>
        <w:strike w:val="0"/>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abstractNum>
  <w:abstractNum w:abstractNumId="68" w15:restartNumberingAfterBreak="0">
    <w:nsid w:val="6E7C58CD"/>
    <w:multiLevelType w:val="hybridMultilevel"/>
    <w:tmpl w:val="CAB2B022"/>
    <w:lvl w:ilvl="0" w:tplc="22D6D200">
      <w:start w:val="1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787B6221"/>
    <w:multiLevelType w:val="multilevel"/>
    <w:tmpl w:val="E410C2CA"/>
    <w:styleLink w:val="SEOLijstLetter"/>
    <w:lvl w:ilvl="0">
      <w:start w:val="1"/>
      <w:numFmt w:val="decimal"/>
      <w:pStyle w:val="SEOStandaard"/>
      <w:lvlText w:val=""/>
      <w:lvlJc w:val="left"/>
      <w:pPr>
        <w:ind w:left="0" w:firstLine="0"/>
      </w:pPr>
      <w:rPr>
        <w:rFonts w:ascii="Avenir Next LT Pro" w:hAnsi="Avenir Next LT Pro" w:hint="default"/>
        <w:b w:val="0"/>
        <w:i w:val="0"/>
        <w:caps w:val="0"/>
        <w:smallCaps w:val="0"/>
        <w:strike w:val="0"/>
        <w:dstrike w:val="0"/>
        <w:vanish w:val="0"/>
        <w:color w:val="264249"/>
        <w:spacing w:val="0"/>
        <w:w w:val="100"/>
        <w:kern w:val="0"/>
        <w:position w:val="0"/>
        <w:sz w:val="20"/>
        <w:u w:val="none"/>
        <w:vertAlign w:val="baseline"/>
        <w14:ligatures w14:val="none"/>
        <w14:numForm w14:val="default"/>
        <w14:numSpacing w14:val="default"/>
        <w14:stylisticSets/>
        <w14:cntxtAlts w14:val="0"/>
      </w:rPr>
    </w:lvl>
    <w:lvl w:ilvl="1">
      <w:start w:val="1"/>
      <w:numFmt w:val="upperLetter"/>
      <w:pStyle w:val="SEOOpsommingLetterL1"/>
      <w:lvlText w:val="%2."/>
      <w:lvlJc w:val="left"/>
      <w:pPr>
        <w:ind w:left="354" w:hanging="354"/>
      </w:pPr>
      <w:rPr>
        <w:rFonts w:ascii="Avenir Next LT Pro" w:hAnsi="Avenir Next LT Pro" w:hint="default"/>
        <w:b w:val="0"/>
        <w:i w:val="0"/>
        <w:caps w:val="0"/>
        <w:strike w:val="0"/>
        <w:dstrike w:val="0"/>
        <w:vanish w:val="0"/>
        <w:color w:val="D22C2A"/>
        <w:spacing w:val="0"/>
        <w:w w:val="100"/>
        <w:kern w:val="0"/>
        <w:position w:val="0"/>
        <w:sz w:val="20"/>
        <w:u w:val="none"/>
        <w:vertAlign w:val="baseline"/>
        <w14:ligatures w14:val="none"/>
        <w14:numForm w14:val="default"/>
        <w14:numSpacing w14:val="default"/>
        <w14:stylisticSets/>
        <w14:cntxtAlts w14:val="0"/>
      </w:rPr>
    </w:lvl>
    <w:lvl w:ilvl="2">
      <w:start w:val="1"/>
      <w:numFmt w:val="decimal"/>
      <w:pStyle w:val="SEOOpsommingLetterL2"/>
      <w:lvlText w:val="%3."/>
      <w:lvlJc w:val="left"/>
      <w:pPr>
        <w:ind w:left="794" w:hanging="397"/>
      </w:pPr>
      <w:rPr>
        <w:rFonts w:ascii="Avenir Next LT Pro" w:hAnsi="Avenir Next LT Pro" w:hint="default"/>
        <w:b w:val="0"/>
        <w:i w:val="0"/>
        <w:caps w:val="0"/>
        <w:strike w:val="0"/>
        <w:dstrike w:val="0"/>
        <w:vanish w:val="0"/>
        <w:color w:val="264249"/>
        <w:spacing w:val="0"/>
        <w:w w:val="100"/>
        <w:kern w:val="0"/>
        <w:position w:val="0"/>
        <w:sz w:val="20"/>
        <w:u w:val="none"/>
        <w:vertAlign w:val="baseline"/>
        <w14:ligatures w14:val="none"/>
        <w14:numForm w14:val="default"/>
        <w14:numSpacing w14:val="default"/>
        <w14:stylisticSets/>
        <w14:cntxtAlts w14:val="0"/>
      </w:rPr>
    </w:lvl>
    <w:lvl w:ilvl="3">
      <w:start w:val="1"/>
      <w:numFmt w:val="lowerLetter"/>
      <w:pStyle w:val="SEOOpsommingLetterL3"/>
      <w:lvlText w:val="%4."/>
      <w:lvlJc w:val="left"/>
      <w:pPr>
        <w:ind w:left="1191" w:hanging="397"/>
      </w:pPr>
      <w:rPr>
        <w:rFonts w:ascii="Avenir Next LT Pro" w:hAnsi="Avenir Next LT Pro" w:hint="default"/>
        <w:b w:val="0"/>
        <w:i w:val="0"/>
        <w:caps w:val="0"/>
        <w:strike w:val="0"/>
        <w:dstrike w:val="0"/>
        <w:vanish w:val="0"/>
        <w:color w:val="D22C2A"/>
        <w:spacing w:val="0"/>
        <w:w w:val="100"/>
        <w:kern w:val="0"/>
        <w:position w:val="0"/>
        <w:sz w:val="20"/>
        <w:u w:val="none"/>
        <w:vertAlign w:val="baseline"/>
        <w14:ligatures w14:val="none"/>
        <w14:numForm w14:val="default"/>
        <w14:numSpacing w14:val="default"/>
        <w14:stylisticSets/>
        <w14:cntxtAlts w14:val="0"/>
      </w:rPr>
    </w:lvl>
    <w:lvl w:ilvl="4">
      <w:start w:val="1"/>
      <w:numFmt w:val="none"/>
      <w:lvlText w:val=""/>
      <w:lvlJc w:val="left"/>
      <w:pPr>
        <w:ind w:left="1588" w:hanging="397"/>
      </w:pPr>
      <w:rPr>
        <w:rFonts w:hint="default"/>
      </w:rPr>
    </w:lvl>
    <w:lvl w:ilvl="5">
      <w:start w:val="1"/>
      <w:numFmt w:val="none"/>
      <w:lvlText w:val=""/>
      <w:lvlJc w:val="left"/>
      <w:pPr>
        <w:ind w:left="1985" w:hanging="397"/>
      </w:pPr>
      <w:rPr>
        <w:rFonts w:hint="default"/>
      </w:rPr>
    </w:lvl>
    <w:lvl w:ilvl="6">
      <w:start w:val="1"/>
      <w:numFmt w:val="none"/>
      <w:lvlText w:val=""/>
      <w:lvlJc w:val="left"/>
      <w:pPr>
        <w:ind w:left="2381" w:hanging="396"/>
      </w:pPr>
      <w:rPr>
        <w:rFonts w:hint="default"/>
      </w:rPr>
    </w:lvl>
    <w:lvl w:ilvl="7">
      <w:start w:val="1"/>
      <w:numFmt w:val="none"/>
      <w:lvlText w:val=""/>
      <w:lvlJc w:val="left"/>
      <w:pPr>
        <w:ind w:left="2778" w:hanging="397"/>
      </w:pPr>
      <w:rPr>
        <w:rFonts w:hint="default"/>
      </w:rPr>
    </w:lvl>
    <w:lvl w:ilvl="8">
      <w:start w:val="1"/>
      <w:numFmt w:val="none"/>
      <w:lvlText w:val=""/>
      <w:lvlJc w:val="left"/>
      <w:pPr>
        <w:ind w:left="3175" w:hanging="397"/>
      </w:pPr>
      <w:rPr>
        <w:rFonts w:hint="default"/>
      </w:rPr>
    </w:lvl>
  </w:abstractNum>
  <w:abstractNum w:abstractNumId="70" w15:restartNumberingAfterBreak="0">
    <w:nsid w:val="7B85029B"/>
    <w:multiLevelType w:val="multilevel"/>
    <w:tmpl w:val="493A9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C2445C2"/>
    <w:multiLevelType w:val="multilevel"/>
    <w:tmpl w:val="E67A6408"/>
    <w:styleLink w:val="SEOLijstBoxBullet"/>
    <w:lvl w:ilvl="0">
      <w:start w:val="1"/>
      <w:numFmt w:val="none"/>
      <w:pStyle w:val="SEOBoxTextB"/>
      <w:suff w:val="nothing"/>
      <w:lvlText w:val=""/>
      <w:lvlJc w:val="left"/>
      <w:pPr>
        <w:ind w:left="0" w:firstLine="0"/>
      </w:pPr>
      <w:rPr>
        <w:rFonts w:ascii="Avenir Next LT Pro" w:hAnsi="Avenir Next LT Pro" w:hint="default"/>
        <w:b w:val="0"/>
        <w:i w:val="0"/>
        <w:caps w:val="0"/>
        <w:smallCaps w:val="0"/>
        <w:strike w:val="0"/>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lvl w:ilvl="1">
      <w:start w:val="1"/>
      <w:numFmt w:val="bullet"/>
      <w:pStyle w:val="SEOBoxOpsommingBulletL1"/>
      <w:lvlText w:val="●"/>
      <w:lvlJc w:val="left"/>
      <w:pPr>
        <w:ind w:left="397" w:hanging="397"/>
      </w:pPr>
      <w:rPr>
        <w:rFonts w:ascii="Avenir Next LT Pro" w:hAnsi="Avenir Next LT Pro" w:hint="default"/>
        <w:b w:val="0"/>
        <w:i w:val="0"/>
        <w:caps w:val="0"/>
        <w:strike w:val="0"/>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lvl w:ilvl="2">
      <w:start w:val="1"/>
      <w:numFmt w:val="bullet"/>
      <w:pStyle w:val="SEOBoxOpsommingBulletL2"/>
      <w:lvlText w:val="●"/>
      <w:lvlJc w:val="left"/>
      <w:pPr>
        <w:ind w:left="794" w:hanging="397"/>
      </w:pPr>
      <w:rPr>
        <w:rFonts w:ascii="Avenir Next LT Pro" w:hAnsi="Avenir Next LT Pro" w:hint="default"/>
        <w:b w:val="0"/>
        <w:i w:val="0"/>
        <w:caps w:val="0"/>
        <w:strike w:val="0"/>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lvl w:ilvl="3">
      <w:start w:val="1"/>
      <w:numFmt w:val="bullet"/>
      <w:pStyle w:val="SEOBoxOpsommingBulletL3"/>
      <w:lvlText w:val="▪"/>
      <w:lvlJc w:val="left"/>
      <w:pPr>
        <w:ind w:left="1191" w:hanging="397"/>
      </w:pPr>
      <w:rPr>
        <w:rFonts w:ascii="Arial" w:hAnsi="Arial" w:hint="default"/>
        <w:b w:val="0"/>
        <w:i w:val="0"/>
        <w:caps w:val="0"/>
        <w:strike w:val="0"/>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lvl w:ilvl="4">
      <w:start w:val="1"/>
      <w:numFmt w:val="bullet"/>
      <w:pStyle w:val="SEOBoxOpsommingBulletL4"/>
      <w:lvlText w:val="▪"/>
      <w:lvlJc w:val="left"/>
      <w:pPr>
        <w:ind w:left="1588" w:hanging="397"/>
      </w:pPr>
      <w:rPr>
        <w:rFonts w:ascii="Avenir Next LT Pro" w:hAnsi="Avenir Next LT Pro" w:hint="default"/>
        <w:b w:val="0"/>
        <w:i w:val="0"/>
        <w:caps w:val="0"/>
        <w:strike w:val="0"/>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lvl w:ilvl="5">
      <w:start w:val="1"/>
      <w:numFmt w:val="none"/>
      <w:lvlText w:val=""/>
      <w:lvlJc w:val="left"/>
      <w:pPr>
        <w:ind w:left="0" w:firstLine="0"/>
      </w:pPr>
      <w:rPr>
        <w:rFonts w:ascii="Avenir Next LT Pro" w:hAnsi="Avenir Next LT Pro" w:hint="default"/>
        <w:b w:val="0"/>
        <w:i w:val="0"/>
        <w:caps w:val="0"/>
        <w:strike w:val="0"/>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lvl w:ilvl="6">
      <w:start w:val="1"/>
      <w:numFmt w:val="none"/>
      <w:lvlText w:val=""/>
      <w:lvlJc w:val="left"/>
      <w:pPr>
        <w:ind w:left="0" w:firstLine="0"/>
      </w:pPr>
      <w:rPr>
        <w:rFonts w:ascii="Avenir Next LT Pro" w:hAnsi="Avenir Next LT Pro" w:hint="default"/>
        <w:b w:val="0"/>
        <w:i w:val="0"/>
        <w:caps w:val="0"/>
        <w:strike w:val="0"/>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lvl w:ilvl="7">
      <w:start w:val="1"/>
      <w:numFmt w:val="none"/>
      <w:lvlText w:val=""/>
      <w:lvlJc w:val="left"/>
      <w:pPr>
        <w:ind w:left="0" w:firstLine="0"/>
      </w:pPr>
      <w:rPr>
        <w:rFonts w:ascii="Avenir Next LT Pro" w:hAnsi="Avenir Next LT Pro" w:hint="default"/>
        <w:b w:val="0"/>
        <w:i w:val="0"/>
        <w:caps w:val="0"/>
        <w:strike w:val="0"/>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lvl w:ilvl="8">
      <w:start w:val="1"/>
      <w:numFmt w:val="none"/>
      <w:lvlText w:val=""/>
      <w:lvlJc w:val="left"/>
      <w:pPr>
        <w:ind w:left="0" w:firstLine="0"/>
      </w:pPr>
      <w:rPr>
        <w:rFonts w:ascii="Avenir Next LT Pro" w:hAnsi="Avenir Next LT Pro" w:hint="default"/>
        <w:b w:val="0"/>
        <w:i w:val="0"/>
        <w:caps w:val="0"/>
        <w:strike w:val="0"/>
        <w:dstrike w:val="0"/>
        <w:vanish w:val="0"/>
        <w:color w:val="FFFFFF" w:themeColor="background1"/>
        <w:spacing w:val="0"/>
        <w:w w:val="100"/>
        <w:kern w:val="0"/>
        <w:position w:val="0"/>
        <w:sz w:val="18"/>
        <w:u w:val="none"/>
        <w:vertAlign w:val="baseline"/>
        <w14:ligatures w14:val="none"/>
        <w14:numForm w14:val="default"/>
        <w14:numSpacing w14:val="default"/>
        <w14:stylisticSets/>
        <w14:cntxtAlts w14:val="0"/>
      </w:rPr>
    </w:lvl>
  </w:abstractNum>
  <w:abstractNum w:abstractNumId="72" w15:restartNumberingAfterBreak="0">
    <w:nsid w:val="7D4F11CE"/>
    <w:multiLevelType w:val="multilevel"/>
    <w:tmpl w:val="8190D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F220A09"/>
    <w:multiLevelType w:val="hybridMultilevel"/>
    <w:tmpl w:val="57DE757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1241792107">
    <w:abstractNumId w:val="4"/>
  </w:num>
  <w:num w:numId="2" w16cid:durableId="897741729">
    <w:abstractNumId w:val="13"/>
  </w:num>
  <w:num w:numId="3" w16cid:durableId="1806655916">
    <w:abstractNumId w:val="12"/>
  </w:num>
  <w:num w:numId="4" w16cid:durableId="1947615618">
    <w:abstractNumId w:val="37"/>
  </w:num>
  <w:num w:numId="5" w16cid:durableId="1455905249">
    <w:abstractNumId w:val="1"/>
  </w:num>
  <w:num w:numId="6" w16cid:durableId="1261988104">
    <w:abstractNumId w:val="2"/>
  </w:num>
  <w:num w:numId="7" w16cid:durableId="371343711">
    <w:abstractNumId w:val="0"/>
  </w:num>
  <w:num w:numId="8" w16cid:durableId="488055231">
    <w:abstractNumId w:val="30"/>
  </w:num>
  <w:num w:numId="9" w16cid:durableId="1188257923">
    <w:abstractNumId w:val="6"/>
  </w:num>
  <w:num w:numId="10" w16cid:durableId="1834298171">
    <w:abstractNumId w:val="26"/>
  </w:num>
  <w:num w:numId="11" w16cid:durableId="912011627">
    <w:abstractNumId w:val="17"/>
  </w:num>
  <w:num w:numId="12" w16cid:durableId="618923399">
    <w:abstractNumId w:val="25"/>
  </w:num>
  <w:num w:numId="13" w16cid:durableId="1304119572">
    <w:abstractNumId w:val="63"/>
  </w:num>
  <w:num w:numId="14" w16cid:durableId="1441991171">
    <w:abstractNumId w:val="10"/>
  </w:num>
  <w:num w:numId="15" w16cid:durableId="1281843191">
    <w:abstractNumId w:val="61"/>
  </w:num>
  <w:num w:numId="16" w16cid:durableId="1660620988">
    <w:abstractNumId w:val="66"/>
  </w:num>
  <w:num w:numId="17" w16cid:durableId="528838814">
    <w:abstractNumId w:val="43"/>
  </w:num>
  <w:num w:numId="18" w16cid:durableId="484442905">
    <w:abstractNumId w:val="44"/>
  </w:num>
  <w:num w:numId="19" w16cid:durableId="1257900756">
    <w:abstractNumId w:val="50"/>
  </w:num>
  <w:num w:numId="20" w16cid:durableId="100492493">
    <w:abstractNumId w:val="42"/>
  </w:num>
  <w:num w:numId="21" w16cid:durableId="1713848955">
    <w:abstractNumId w:val="7"/>
  </w:num>
  <w:num w:numId="22" w16cid:durableId="716856391">
    <w:abstractNumId w:val="22"/>
  </w:num>
  <w:num w:numId="23" w16cid:durableId="2104522972">
    <w:abstractNumId w:val="65"/>
  </w:num>
  <w:num w:numId="24" w16cid:durableId="212041672">
    <w:abstractNumId w:val="39"/>
  </w:num>
  <w:num w:numId="25" w16cid:durableId="1424759457">
    <w:abstractNumId w:val="55"/>
  </w:num>
  <w:num w:numId="26" w16cid:durableId="1836997434">
    <w:abstractNumId w:val="24"/>
  </w:num>
  <w:num w:numId="27" w16cid:durableId="964239249">
    <w:abstractNumId w:val="33"/>
  </w:num>
  <w:num w:numId="28" w16cid:durableId="1393117663">
    <w:abstractNumId w:val="64"/>
  </w:num>
  <w:num w:numId="29" w16cid:durableId="1859392834">
    <w:abstractNumId w:val="31"/>
  </w:num>
  <w:num w:numId="30" w16cid:durableId="1891529249">
    <w:abstractNumId w:val="38"/>
  </w:num>
  <w:num w:numId="31" w16cid:durableId="808598628">
    <w:abstractNumId w:val="69"/>
  </w:num>
  <w:num w:numId="32" w16cid:durableId="336230748">
    <w:abstractNumId w:val="47"/>
  </w:num>
  <w:num w:numId="33" w16cid:durableId="1097824064">
    <w:abstractNumId w:val="48"/>
  </w:num>
  <w:num w:numId="34" w16cid:durableId="2121296427">
    <w:abstractNumId w:val="36"/>
    <w:lvlOverride w:ilvl="0">
      <w:lvl w:ilvl="0">
        <w:numFmt w:val="decimal"/>
        <w:pStyle w:val="SEOStandaard"/>
        <w:lvlText w:val=""/>
        <w:lvlJc w:val="left"/>
        <w:pPr>
          <w:ind w:left="0" w:firstLine="0"/>
        </w:pPr>
        <w:rPr>
          <w:rFonts w:ascii="Avenir Next LT Pro" w:hAnsi="Avenir Next LT Pro" w:hint="default"/>
          <w:b w:val="0"/>
          <w:i w:val="0"/>
          <w:caps w:val="0"/>
          <w:smallCaps w:val="0"/>
          <w:strike w:val="0"/>
          <w:dstrike w:val="0"/>
          <w:vanish w:val="0"/>
          <w:color w:val="264249"/>
          <w:spacing w:val="0"/>
          <w:w w:val="100"/>
          <w:kern w:val="0"/>
          <w:position w:val="0"/>
          <w:sz w:val="20"/>
          <w:u w:val="none"/>
          <w:vertAlign w:val="baseline"/>
          <w14:ligatures w14:val="none"/>
          <w14:numForm w14:val="default"/>
          <w14:numSpacing w14:val="default"/>
          <w14:stylisticSets/>
          <w14:cntxtAlts w14:val="0"/>
        </w:rPr>
      </w:lvl>
    </w:lvlOverride>
  </w:num>
  <w:num w:numId="35" w16cid:durableId="1185633854">
    <w:abstractNumId w:val="29"/>
    <w:lvlOverride w:ilvl="0">
      <w:startOverride w:val="1"/>
      <w:lvl w:ilvl="0">
        <w:start w:val="1"/>
        <w:numFmt w:val="decimal"/>
        <w:pStyle w:val="SEOHoofdstuk"/>
        <w:lvlText w:val="%1"/>
        <w:lvlJc w:val="left"/>
        <w:pPr>
          <w:ind w:left="851" w:hanging="851"/>
        </w:pPr>
        <w:rPr>
          <w:rFonts w:ascii="Avenir Next LT Pro" w:hAnsi="Avenir Next LT Pro" w:hint="default"/>
          <w:b w:val="0"/>
          <w:i w:val="0"/>
          <w:caps w:val="0"/>
          <w:smallCaps w:val="0"/>
          <w:strike w:val="0"/>
          <w:dstrike w:val="0"/>
          <w:vanish w:val="0"/>
          <w:color w:val="264249"/>
          <w:spacing w:val="0"/>
          <w:w w:val="100"/>
          <w:kern w:val="0"/>
          <w:position w:val="0"/>
          <w:sz w:val="46"/>
          <w:u w:val="none"/>
          <w:vertAlign w:val="baseline"/>
          <w14:ligatures w14:val="none"/>
          <w14:numForm w14:val="default"/>
          <w14:numSpacing w14:val="default"/>
          <w14:stylisticSets/>
          <w14:cntxtAlts w14:val="0"/>
        </w:rPr>
      </w:lvl>
    </w:lvlOverride>
    <w:lvlOverride w:ilvl="1">
      <w:startOverride w:val="1"/>
      <w:lvl w:ilvl="1">
        <w:start w:val="1"/>
        <w:numFmt w:val="decimal"/>
        <w:pStyle w:val="SEOParagraaf"/>
        <w:lvlText w:val="%1.%2"/>
        <w:lvlJc w:val="left"/>
        <w:pPr>
          <w:ind w:left="851" w:hanging="851"/>
        </w:pPr>
        <w:rPr>
          <w:rFonts w:ascii="Avenir Next LT Pro" w:hAnsi="Avenir Next LT Pro" w:hint="default"/>
          <w:b w:val="0"/>
          <w:i w:val="0"/>
          <w:caps w:val="0"/>
          <w:strike w:val="0"/>
          <w:dstrike w:val="0"/>
          <w:vanish w:val="0"/>
          <w:color w:val="264249"/>
          <w:spacing w:val="0"/>
          <w:w w:val="100"/>
          <w:kern w:val="0"/>
          <w:position w:val="0"/>
          <w:sz w:val="36"/>
          <w:u w:val="none"/>
          <w:vertAlign w:val="baseline"/>
          <w14:ligatures w14:val="none"/>
          <w14:numForm w14:val="default"/>
          <w14:numSpacing w14:val="default"/>
          <w14:stylisticSets/>
          <w14:cntxtAlts w14:val="0"/>
        </w:rPr>
      </w:lvl>
    </w:lvlOverride>
    <w:lvlOverride w:ilvl="2">
      <w:startOverride w:val="1"/>
      <w:lvl w:ilvl="2">
        <w:start w:val="1"/>
        <w:numFmt w:val="decimal"/>
        <w:pStyle w:val="SEOSubparagraaf"/>
        <w:lvlText w:val="%1.%2.%3"/>
        <w:lvlJc w:val="left"/>
        <w:pPr>
          <w:ind w:left="851" w:hanging="851"/>
        </w:pPr>
        <w:rPr>
          <w:rFonts w:ascii="Avenir Next LT Pro" w:hAnsi="Avenir Next LT Pro" w:hint="default"/>
          <w:b w:val="0"/>
          <w:i w:val="0"/>
          <w:caps w:val="0"/>
          <w:strike w:val="0"/>
          <w:dstrike w:val="0"/>
          <w:vanish w:val="0"/>
          <w:color w:val="264249"/>
          <w:spacing w:val="0"/>
          <w:w w:val="100"/>
          <w:kern w:val="0"/>
          <w:position w:val="0"/>
          <w:sz w:val="30"/>
          <w:u w:val="none"/>
          <w:vertAlign w:val="baseline"/>
          <w14:ligatures w14:val="none"/>
          <w14:numForm w14:val="default"/>
          <w14:numSpacing w14:val="default"/>
          <w14:stylisticSets/>
          <w14:cntxtAlts w14:val="0"/>
        </w:rPr>
      </w:lvl>
    </w:lvlOverride>
    <w:lvlOverride w:ilvl="3">
      <w:startOverride w:val="1"/>
      <w:lvl w:ilvl="3">
        <w:start w:val="1"/>
        <w:numFmt w:val="decimal"/>
        <w:lvlRestart w:val="1"/>
        <w:pStyle w:val="SEOTabelTitel"/>
        <w:lvlText w:val="Tabel %1.%4"/>
        <w:lvlJc w:val="left"/>
        <w:pPr>
          <w:ind w:left="1985" w:hanging="1134"/>
        </w:pPr>
        <w:rPr>
          <w:rFonts w:ascii="Avenir Next LT Pro" w:hAnsi="Avenir Next LT Pro" w:hint="default"/>
          <w:b w:val="0"/>
          <w:i w:val="0"/>
          <w:caps w:val="0"/>
          <w:strike w:val="0"/>
          <w:dstrike w:val="0"/>
          <w:vanish w:val="0"/>
          <w:color w:val="D22C2A"/>
          <w:spacing w:val="0"/>
          <w:w w:val="100"/>
          <w:kern w:val="0"/>
          <w:position w:val="0"/>
          <w:sz w:val="20"/>
          <w:u w:val="none"/>
          <w:vertAlign w:val="baseline"/>
          <w14:ligatures w14:val="none"/>
          <w14:numForm w14:val="default"/>
          <w14:numSpacing w14:val="default"/>
          <w14:stylisticSets/>
          <w14:cntxtAlts w14:val="0"/>
        </w:rPr>
      </w:lvl>
    </w:lvlOverride>
    <w:lvlOverride w:ilvl="4">
      <w:startOverride w:val="1"/>
      <w:lvl w:ilvl="4">
        <w:start w:val="1"/>
        <w:numFmt w:val="decimal"/>
        <w:lvlRestart w:val="1"/>
        <w:pStyle w:val="SEOFiguur"/>
        <w:lvlText w:val="Figuur %1.%5"/>
        <w:lvlJc w:val="left"/>
        <w:pPr>
          <w:ind w:left="1985" w:hanging="1134"/>
        </w:pPr>
        <w:rPr>
          <w:rFonts w:ascii="Avenir Next LT Pro" w:hAnsi="Avenir Next LT Pro" w:hint="default"/>
          <w:b w:val="0"/>
          <w:i w:val="0"/>
          <w:caps w:val="0"/>
          <w:strike w:val="0"/>
          <w:dstrike w:val="0"/>
          <w:vanish w:val="0"/>
          <w:color w:val="5B9BD5" w:themeColor="accent1"/>
          <w:spacing w:val="0"/>
          <w:w w:val="100"/>
          <w:kern w:val="0"/>
          <w:position w:val="0"/>
          <w:sz w:val="20"/>
          <w:u w:val="none"/>
          <w:vertAlign w:val="baseline"/>
          <w14:ligatures w14:val="none"/>
          <w14:numForm w14:val="default"/>
          <w14:numSpacing w14:val="default"/>
          <w14:stylisticSets/>
          <w14:cntxtAlts w14:val="0"/>
        </w:rPr>
      </w:lvl>
    </w:lvlOverride>
    <w:lvlOverride w:ilvl="5">
      <w:startOverride w:val="1"/>
      <w:lvl w:ilvl="5">
        <w:start w:val="1"/>
        <w:numFmt w:val="decimal"/>
        <w:lvlRestart w:val="1"/>
        <w:pStyle w:val="SEOBoxTitel"/>
        <w:lvlText w:val="Box %1.%6"/>
        <w:lvlJc w:val="left"/>
        <w:pPr>
          <w:ind w:left="1134" w:hanging="1134"/>
        </w:pPr>
        <w:rPr>
          <w:rFonts w:ascii="Avenir Next LT Pro" w:hAnsi="Avenir Next LT Pro" w:hint="default"/>
          <w:b w:val="0"/>
          <w:i w:val="0"/>
          <w:caps w:val="0"/>
          <w:strike w:val="0"/>
          <w:dstrike w:val="0"/>
          <w:vanish w:val="0"/>
          <w:color w:val="D22C2A"/>
          <w:spacing w:val="0"/>
          <w:w w:val="100"/>
          <w:kern w:val="0"/>
          <w:position w:val="0"/>
          <w:sz w:val="20"/>
          <w:u w:val="none"/>
          <w:vertAlign w:val="baseline"/>
          <w14:ligatures w14:val="none"/>
          <w14:numForm w14:val="default"/>
          <w14:numSpacing w14:val="default"/>
          <w14:stylisticSets/>
          <w14:cntxtAlts w14:val="0"/>
        </w:rPr>
      </w:lvl>
    </w:lvlOverride>
    <w:lvlOverride w:ilvl="6">
      <w:startOverride w:val="1"/>
      <w:lvl w:ilvl="6">
        <w:start w:val="1"/>
        <w:numFmt w:val="decimal"/>
        <w:lvlRestart w:val="1"/>
        <w:pStyle w:val="SEOTabelTitelSamenvatting"/>
        <w:lvlText w:val="Tabel S.%7"/>
        <w:lvlJc w:val="left"/>
        <w:pPr>
          <w:ind w:left="1134" w:hanging="1134"/>
        </w:pPr>
        <w:rPr>
          <w:rFonts w:ascii="Avenir Next LT Pro" w:hAnsi="Avenir Next LT Pro" w:hint="default"/>
          <w:b w:val="0"/>
          <w:i w:val="0"/>
          <w:caps w:val="0"/>
          <w:strike w:val="0"/>
          <w:dstrike w:val="0"/>
          <w:vanish w:val="0"/>
          <w:color w:val="5B9BD5" w:themeColor="accent1"/>
          <w:spacing w:val="0"/>
          <w:w w:val="100"/>
          <w:kern w:val="0"/>
          <w:position w:val="0"/>
          <w:sz w:val="20"/>
          <w:u w:val="none"/>
          <w:vertAlign w:val="baseline"/>
          <w14:ligatures w14:val="none"/>
          <w14:numForm w14:val="default"/>
          <w14:numSpacing w14:val="default"/>
          <w14:stylisticSets/>
          <w14:cntxtAlts w14:val="0"/>
        </w:rPr>
      </w:lvl>
    </w:lvlOverride>
    <w:lvlOverride w:ilvl="7">
      <w:startOverride w:val="1"/>
      <w:lvl w:ilvl="7">
        <w:start w:val="1"/>
        <w:numFmt w:val="none"/>
        <w:pStyle w:val="SEOfiguurTitelSamenvatting"/>
        <w:lvlText w:val=""/>
        <w:lvlJc w:val="left"/>
        <w:pPr>
          <w:ind w:left="0" w:firstLine="0"/>
        </w:pPr>
        <w:rPr>
          <w:rFonts w:ascii="Avenir Next LT Pro" w:hAnsi="Avenir Next LT Pro" w:hint="default"/>
          <w:b w:val="0"/>
          <w:i w:val="0"/>
          <w:caps w:val="0"/>
          <w:strike w:val="0"/>
          <w:dstrike w:val="0"/>
          <w:vanish w:val="0"/>
          <w:color w:val="44546A" w:themeColor="text2"/>
          <w:spacing w:val="0"/>
          <w:w w:val="100"/>
          <w:kern w:val="0"/>
          <w:position w:val="0"/>
          <w:sz w:val="20"/>
          <w:u w:val="none"/>
          <w:vertAlign w:val="baseline"/>
          <w14:ligatures w14:val="none"/>
          <w14:numForm w14:val="default"/>
          <w14:numSpacing w14:val="default"/>
          <w14:stylisticSets/>
          <w14:cntxtAlts w14:val="0"/>
        </w:rPr>
      </w:lvl>
    </w:lvlOverride>
    <w:lvlOverride w:ilvl="8">
      <w:startOverride w:val="1"/>
      <w:lvl w:ilvl="8">
        <w:start w:val="1"/>
        <w:numFmt w:val="none"/>
        <w:pStyle w:val="SEOBoxTitelSamenvatting"/>
        <w:lvlText w:val=""/>
        <w:lvlJc w:val="left"/>
        <w:pPr>
          <w:ind w:left="0" w:firstLine="0"/>
        </w:pPr>
        <w:rPr>
          <w:rFonts w:ascii="Avenir Next LT Pro" w:hAnsi="Avenir Next LT Pro" w:hint="default"/>
          <w:b w:val="0"/>
          <w:i w:val="0"/>
          <w:caps w:val="0"/>
          <w:strike w:val="0"/>
          <w:dstrike w:val="0"/>
          <w:vanish w:val="0"/>
          <w:color w:val="44546A" w:themeColor="text2"/>
          <w:spacing w:val="0"/>
          <w:w w:val="100"/>
          <w:kern w:val="0"/>
          <w:position w:val="0"/>
          <w:sz w:val="20"/>
          <w:u w:val="none"/>
          <w:vertAlign w:val="baseline"/>
          <w14:ligatures w14:val="none"/>
          <w14:numForm w14:val="default"/>
          <w14:numSpacing w14:val="default"/>
          <w14:stylisticSets/>
          <w14:cntxtAlts w14:val="0"/>
        </w:rPr>
      </w:lvl>
    </w:lvlOverride>
  </w:num>
  <w:num w:numId="36" w16cid:durableId="600575914">
    <w:abstractNumId w:val="32"/>
  </w:num>
  <w:num w:numId="37" w16cid:durableId="1808358516">
    <w:abstractNumId w:val="5"/>
    <w:lvlOverride w:ilvl="0">
      <w:lvl w:ilvl="0">
        <w:start w:val="1"/>
        <w:numFmt w:val="upperLetter"/>
        <w:pStyle w:val="SEOBijlage"/>
        <w:lvlText w:val="Bijlage %1"/>
        <w:lvlJc w:val="left"/>
        <w:pPr>
          <w:ind w:left="2268" w:hanging="2268"/>
        </w:pPr>
        <w:rPr>
          <w:rFonts w:ascii="Avenir Next LT Pro" w:hAnsi="Avenir Next LT Pro" w:hint="default"/>
          <w:b w:val="0"/>
          <w:i w:val="0"/>
          <w:caps w:val="0"/>
          <w:smallCaps w:val="0"/>
          <w:strike w:val="0"/>
          <w:dstrike w:val="0"/>
          <w:vanish w:val="0"/>
          <w:color w:val="264249"/>
          <w:spacing w:val="0"/>
          <w:w w:val="100"/>
          <w:kern w:val="0"/>
          <w:position w:val="0"/>
          <w:sz w:val="46"/>
          <w:u w:val="none"/>
          <w:vertAlign w:val="baseline"/>
          <w14:ligatures w14:val="none"/>
          <w14:numForm w14:val="default"/>
          <w14:numSpacing w14:val="default"/>
          <w14:stylisticSets/>
          <w14:cntxtAlts w14:val="0"/>
        </w:rPr>
      </w:lvl>
    </w:lvlOverride>
  </w:num>
  <w:num w:numId="38" w16cid:durableId="1461412485">
    <w:abstractNumId w:val="46"/>
  </w:num>
  <w:num w:numId="39" w16cid:durableId="580023334">
    <w:abstractNumId w:val="40"/>
  </w:num>
  <w:num w:numId="40" w16cid:durableId="535236505">
    <w:abstractNumId w:val="52"/>
  </w:num>
  <w:num w:numId="41" w16cid:durableId="950625113">
    <w:abstractNumId w:val="71"/>
  </w:num>
  <w:num w:numId="42" w16cid:durableId="1185363940">
    <w:abstractNumId w:val="45"/>
  </w:num>
  <w:num w:numId="43" w16cid:durableId="904997889">
    <w:abstractNumId w:val="67"/>
  </w:num>
  <w:num w:numId="44" w16cid:durableId="189421282">
    <w:abstractNumId w:val="35"/>
  </w:num>
  <w:num w:numId="45" w16cid:durableId="350645143">
    <w:abstractNumId w:val="49"/>
  </w:num>
  <w:num w:numId="46" w16cid:durableId="1108046572">
    <w:abstractNumId w:val="68"/>
  </w:num>
  <w:num w:numId="47" w16cid:durableId="1947884448">
    <w:abstractNumId w:val="60"/>
  </w:num>
  <w:num w:numId="48" w16cid:durableId="1584949714">
    <w:abstractNumId w:val="59"/>
  </w:num>
  <w:num w:numId="49" w16cid:durableId="1101340083">
    <w:abstractNumId w:val="11"/>
  </w:num>
  <w:num w:numId="50" w16cid:durableId="242759522">
    <w:abstractNumId w:val="58"/>
  </w:num>
  <w:num w:numId="51" w16cid:durableId="332758524">
    <w:abstractNumId w:val="73"/>
  </w:num>
  <w:num w:numId="52" w16cid:durableId="1765227463">
    <w:abstractNumId w:val="5"/>
  </w:num>
  <w:num w:numId="53" w16cid:durableId="296184783">
    <w:abstractNumId w:val="16"/>
  </w:num>
  <w:num w:numId="54" w16cid:durableId="150995592">
    <w:abstractNumId w:val="21"/>
  </w:num>
  <w:num w:numId="55" w16cid:durableId="1131047617">
    <w:abstractNumId w:val="27"/>
  </w:num>
  <w:num w:numId="56" w16cid:durableId="767699926">
    <w:abstractNumId w:val="41"/>
  </w:num>
  <w:num w:numId="57" w16cid:durableId="1015304024">
    <w:abstractNumId w:val="57"/>
  </w:num>
  <w:num w:numId="58" w16cid:durableId="1418747129">
    <w:abstractNumId w:val="72"/>
  </w:num>
  <w:num w:numId="59" w16cid:durableId="1717927405">
    <w:abstractNumId w:val="19"/>
  </w:num>
  <w:num w:numId="60" w16cid:durableId="1494955987">
    <w:abstractNumId w:val="9"/>
  </w:num>
  <w:num w:numId="61" w16cid:durableId="1362627571">
    <w:abstractNumId w:val="23"/>
  </w:num>
  <w:num w:numId="62" w16cid:durableId="1776175566">
    <w:abstractNumId w:val="70"/>
  </w:num>
  <w:num w:numId="63" w16cid:durableId="1909532276">
    <w:abstractNumId w:val="15"/>
  </w:num>
  <w:num w:numId="64" w16cid:durableId="1873834482">
    <w:abstractNumId w:val="18"/>
  </w:num>
  <w:num w:numId="65" w16cid:durableId="1334840041">
    <w:abstractNumId w:val="51"/>
  </w:num>
  <w:num w:numId="66" w16cid:durableId="1470904939">
    <w:abstractNumId w:val="54"/>
  </w:num>
  <w:num w:numId="67" w16cid:durableId="1282683610">
    <w:abstractNumId w:val="8"/>
  </w:num>
  <w:num w:numId="68" w16cid:durableId="1245609330">
    <w:abstractNumId w:val="53"/>
  </w:num>
  <w:num w:numId="69" w16cid:durableId="667444925">
    <w:abstractNumId w:val="28"/>
  </w:num>
  <w:num w:numId="70" w16cid:durableId="709839165">
    <w:abstractNumId w:val="62"/>
  </w:num>
  <w:num w:numId="71" w16cid:durableId="1359039934">
    <w:abstractNumId w:val="56"/>
  </w:num>
  <w:num w:numId="72" w16cid:durableId="640691728">
    <w:abstractNumId w:val="34"/>
  </w:num>
  <w:num w:numId="73" w16cid:durableId="1513911183">
    <w:abstractNumId w:val="20"/>
  </w:num>
  <w:num w:numId="74" w16cid:durableId="1724207449">
    <w:abstractNumId w:val="14"/>
  </w:num>
  <w:num w:numId="75" w16cid:durableId="2089307179">
    <w:abstractNumId w:val="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ctiveWritingStyle w:appName="MSWord" w:lang="en-GB" w:vendorID="64" w:dllVersion="0" w:nlCheck="1" w:checkStyle="0"/>
  <w:activeWritingStyle w:appName="MSWord" w:lang="nl-NL" w:vendorID="64" w:dllVersion="0" w:nlCheck="1" w:checkStyle="0"/>
  <w:activeWritingStyle w:appName="MSWord" w:lang="nl-BE" w:vendorID="64" w:dllVersion="0" w:nlCheck="1" w:checkStyle="0"/>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A23"/>
    <w:rsid w:val="00000D98"/>
    <w:rsid w:val="000026AA"/>
    <w:rsid w:val="00002C29"/>
    <w:rsid w:val="0000385E"/>
    <w:rsid w:val="000038C5"/>
    <w:rsid w:val="000039B0"/>
    <w:rsid w:val="00004031"/>
    <w:rsid w:val="00004365"/>
    <w:rsid w:val="00004A4B"/>
    <w:rsid w:val="00004D5A"/>
    <w:rsid w:val="00005A82"/>
    <w:rsid w:val="00006041"/>
    <w:rsid w:val="0000643A"/>
    <w:rsid w:val="000079B6"/>
    <w:rsid w:val="00010108"/>
    <w:rsid w:val="00010A3C"/>
    <w:rsid w:val="00010A94"/>
    <w:rsid w:val="00011642"/>
    <w:rsid w:val="00011B82"/>
    <w:rsid w:val="000126F3"/>
    <w:rsid w:val="00012D6B"/>
    <w:rsid w:val="000131E1"/>
    <w:rsid w:val="00013E6E"/>
    <w:rsid w:val="000141F4"/>
    <w:rsid w:val="00015415"/>
    <w:rsid w:val="0001605E"/>
    <w:rsid w:val="0001751A"/>
    <w:rsid w:val="000216E7"/>
    <w:rsid w:val="00021DFE"/>
    <w:rsid w:val="00021E26"/>
    <w:rsid w:val="0002206E"/>
    <w:rsid w:val="000224D8"/>
    <w:rsid w:val="000226B0"/>
    <w:rsid w:val="000230E5"/>
    <w:rsid w:val="000240FA"/>
    <w:rsid w:val="00025F33"/>
    <w:rsid w:val="00026B32"/>
    <w:rsid w:val="0002755F"/>
    <w:rsid w:val="0002794C"/>
    <w:rsid w:val="000312FC"/>
    <w:rsid w:val="00031B06"/>
    <w:rsid w:val="00032DB4"/>
    <w:rsid w:val="00036341"/>
    <w:rsid w:val="000364B4"/>
    <w:rsid w:val="0003718C"/>
    <w:rsid w:val="00037194"/>
    <w:rsid w:val="00040A22"/>
    <w:rsid w:val="00040EF0"/>
    <w:rsid w:val="0004101B"/>
    <w:rsid w:val="00041099"/>
    <w:rsid w:val="0004221B"/>
    <w:rsid w:val="000424A1"/>
    <w:rsid w:val="000424D4"/>
    <w:rsid w:val="00042501"/>
    <w:rsid w:val="0004377A"/>
    <w:rsid w:val="00043944"/>
    <w:rsid w:val="00043E7F"/>
    <w:rsid w:val="00044B3E"/>
    <w:rsid w:val="00044CD3"/>
    <w:rsid w:val="00044E21"/>
    <w:rsid w:val="000451B7"/>
    <w:rsid w:val="0004687C"/>
    <w:rsid w:val="00047513"/>
    <w:rsid w:val="000511C2"/>
    <w:rsid w:val="000516D2"/>
    <w:rsid w:val="0005383F"/>
    <w:rsid w:val="000541B8"/>
    <w:rsid w:val="00054AD1"/>
    <w:rsid w:val="000562C5"/>
    <w:rsid w:val="00057124"/>
    <w:rsid w:val="00057DD5"/>
    <w:rsid w:val="0006058A"/>
    <w:rsid w:val="00062129"/>
    <w:rsid w:val="00064FE0"/>
    <w:rsid w:val="00065552"/>
    <w:rsid w:val="00065B40"/>
    <w:rsid w:val="00066973"/>
    <w:rsid w:val="00066BF8"/>
    <w:rsid w:val="00067782"/>
    <w:rsid w:val="0006784A"/>
    <w:rsid w:val="00067C00"/>
    <w:rsid w:val="00067C04"/>
    <w:rsid w:val="00067F60"/>
    <w:rsid w:val="0007021A"/>
    <w:rsid w:val="00070B3E"/>
    <w:rsid w:val="0007156F"/>
    <w:rsid w:val="00071A5B"/>
    <w:rsid w:val="00071C2A"/>
    <w:rsid w:val="0007249E"/>
    <w:rsid w:val="00074851"/>
    <w:rsid w:val="00074F75"/>
    <w:rsid w:val="00075592"/>
    <w:rsid w:val="0007679E"/>
    <w:rsid w:val="000767C7"/>
    <w:rsid w:val="00076B51"/>
    <w:rsid w:val="000776BC"/>
    <w:rsid w:val="00077775"/>
    <w:rsid w:val="000777EA"/>
    <w:rsid w:val="00080548"/>
    <w:rsid w:val="00080719"/>
    <w:rsid w:val="00080A84"/>
    <w:rsid w:val="000810E2"/>
    <w:rsid w:val="00081116"/>
    <w:rsid w:val="00082872"/>
    <w:rsid w:val="00082CEA"/>
    <w:rsid w:val="000831AA"/>
    <w:rsid w:val="00083392"/>
    <w:rsid w:val="00083545"/>
    <w:rsid w:val="0008400E"/>
    <w:rsid w:val="000842DA"/>
    <w:rsid w:val="00084617"/>
    <w:rsid w:val="0008470A"/>
    <w:rsid w:val="00084920"/>
    <w:rsid w:val="00084A54"/>
    <w:rsid w:val="0008529D"/>
    <w:rsid w:val="000855CB"/>
    <w:rsid w:val="000857A9"/>
    <w:rsid w:val="00085D8A"/>
    <w:rsid w:val="00085F05"/>
    <w:rsid w:val="00085F35"/>
    <w:rsid w:val="000871D3"/>
    <w:rsid w:val="00087B2A"/>
    <w:rsid w:val="0009000E"/>
    <w:rsid w:val="0009115B"/>
    <w:rsid w:val="00091CD7"/>
    <w:rsid w:val="00093044"/>
    <w:rsid w:val="0009344D"/>
    <w:rsid w:val="00093C1A"/>
    <w:rsid w:val="00093E0C"/>
    <w:rsid w:val="00094007"/>
    <w:rsid w:val="00094A00"/>
    <w:rsid w:val="00094C36"/>
    <w:rsid w:val="0009503E"/>
    <w:rsid w:val="000951D5"/>
    <w:rsid w:val="00095754"/>
    <w:rsid w:val="0009589C"/>
    <w:rsid w:val="00096498"/>
    <w:rsid w:val="000964D8"/>
    <w:rsid w:val="0009694E"/>
    <w:rsid w:val="00097E93"/>
    <w:rsid w:val="000A057B"/>
    <w:rsid w:val="000A0C73"/>
    <w:rsid w:val="000A231E"/>
    <w:rsid w:val="000A266D"/>
    <w:rsid w:val="000A2852"/>
    <w:rsid w:val="000A28DC"/>
    <w:rsid w:val="000A2D8B"/>
    <w:rsid w:val="000A32FD"/>
    <w:rsid w:val="000A3905"/>
    <w:rsid w:val="000A3EAD"/>
    <w:rsid w:val="000A5C47"/>
    <w:rsid w:val="000A706B"/>
    <w:rsid w:val="000A7473"/>
    <w:rsid w:val="000A796D"/>
    <w:rsid w:val="000A79F7"/>
    <w:rsid w:val="000A7C9A"/>
    <w:rsid w:val="000A7E5D"/>
    <w:rsid w:val="000B1673"/>
    <w:rsid w:val="000B194C"/>
    <w:rsid w:val="000B2590"/>
    <w:rsid w:val="000B2E8B"/>
    <w:rsid w:val="000B4E7B"/>
    <w:rsid w:val="000B54F6"/>
    <w:rsid w:val="000B55C0"/>
    <w:rsid w:val="000B575D"/>
    <w:rsid w:val="000B640E"/>
    <w:rsid w:val="000B66D9"/>
    <w:rsid w:val="000B750E"/>
    <w:rsid w:val="000B7FBC"/>
    <w:rsid w:val="000C03FD"/>
    <w:rsid w:val="000C0E15"/>
    <w:rsid w:val="000C0EEA"/>
    <w:rsid w:val="000C244D"/>
    <w:rsid w:val="000C249C"/>
    <w:rsid w:val="000C281B"/>
    <w:rsid w:val="000C29A1"/>
    <w:rsid w:val="000C5004"/>
    <w:rsid w:val="000C58B2"/>
    <w:rsid w:val="000C693F"/>
    <w:rsid w:val="000C706A"/>
    <w:rsid w:val="000C7250"/>
    <w:rsid w:val="000C73D4"/>
    <w:rsid w:val="000D0A71"/>
    <w:rsid w:val="000D0E06"/>
    <w:rsid w:val="000D0F5D"/>
    <w:rsid w:val="000D0F6A"/>
    <w:rsid w:val="000D18CB"/>
    <w:rsid w:val="000D1935"/>
    <w:rsid w:val="000D19F2"/>
    <w:rsid w:val="000D456A"/>
    <w:rsid w:val="000D5050"/>
    <w:rsid w:val="000D5C31"/>
    <w:rsid w:val="000D67E2"/>
    <w:rsid w:val="000D7343"/>
    <w:rsid w:val="000D78AC"/>
    <w:rsid w:val="000E2A04"/>
    <w:rsid w:val="000E2A8A"/>
    <w:rsid w:val="000E30E2"/>
    <w:rsid w:val="000E42F9"/>
    <w:rsid w:val="000E4F73"/>
    <w:rsid w:val="000E5B2D"/>
    <w:rsid w:val="000E5DB2"/>
    <w:rsid w:val="000E5E39"/>
    <w:rsid w:val="000E7035"/>
    <w:rsid w:val="000F0922"/>
    <w:rsid w:val="000F140B"/>
    <w:rsid w:val="000F145B"/>
    <w:rsid w:val="000F1FEE"/>
    <w:rsid w:val="000F2778"/>
    <w:rsid w:val="000F2C5C"/>
    <w:rsid w:val="000F4186"/>
    <w:rsid w:val="000F42C2"/>
    <w:rsid w:val="000F5B7F"/>
    <w:rsid w:val="000F5B8A"/>
    <w:rsid w:val="000F669D"/>
    <w:rsid w:val="000F6799"/>
    <w:rsid w:val="000F75A1"/>
    <w:rsid w:val="00100FA0"/>
    <w:rsid w:val="0010105C"/>
    <w:rsid w:val="0010121E"/>
    <w:rsid w:val="00101480"/>
    <w:rsid w:val="001014B1"/>
    <w:rsid w:val="001015CB"/>
    <w:rsid w:val="00101B5C"/>
    <w:rsid w:val="00102666"/>
    <w:rsid w:val="001026A5"/>
    <w:rsid w:val="00102AA9"/>
    <w:rsid w:val="00102B03"/>
    <w:rsid w:val="00102CB4"/>
    <w:rsid w:val="00103DC7"/>
    <w:rsid w:val="001043E9"/>
    <w:rsid w:val="00104513"/>
    <w:rsid w:val="00104FE7"/>
    <w:rsid w:val="001055C1"/>
    <w:rsid w:val="0010595A"/>
    <w:rsid w:val="00105BF5"/>
    <w:rsid w:val="00106025"/>
    <w:rsid w:val="00107883"/>
    <w:rsid w:val="001078E7"/>
    <w:rsid w:val="00107999"/>
    <w:rsid w:val="00107F5C"/>
    <w:rsid w:val="00110601"/>
    <w:rsid w:val="00110BBF"/>
    <w:rsid w:val="00110EA4"/>
    <w:rsid w:val="001115FE"/>
    <w:rsid w:val="001116D3"/>
    <w:rsid w:val="00111FEB"/>
    <w:rsid w:val="001122BB"/>
    <w:rsid w:val="001128C5"/>
    <w:rsid w:val="00112C97"/>
    <w:rsid w:val="00113339"/>
    <w:rsid w:val="00114229"/>
    <w:rsid w:val="001143BD"/>
    <w:rsid w:val="0011506B"/>
    <w:rsid w:val="001153B6"/>
    <w:rsid w:val="00117649"/>
    <w:rsid w:val="001200F9"/>
    <w:rsid w:val="00120C35"/>
    <w:rsid w:val="00121379"/>
    <w:rsid w:val="00121FDF"/>
    <w:rsid w:val="00121FF8"/>
    <w:rsid w:val="001222F9"/>
    <w:rsid w:val="00122D02"/>
    <w:rsid w:val="0012301A"/>
    <w:rsid w:val="00123160"/>
    <w:rsid w:val="00123458"/>
    <w:rsid w:val="001238C4"/>
    <w:rsid w:val="00123997"/>
    <w:rsid w:val="00124777"/>
    <w:rsid w:val="00125133"/>
    <w:rsid w:val="00126BD9"/>
    <w:rsid w:val="001270BB"/>
    <w:rsid w:val="001272F4"/>
    <w:rsid w:val="00130061"/>
    <w:rsid w:val="0013130F"/>
    <w:rsid w:val="00131D0B"/>
    <w:rsid w:val="00131E01"/>
    <w:rsid w:val="00132AA8"/>
    <w:rsid w:val="00132B08"/>
    <w:rsid w:val="00133A9B"/>
    <w:rsid w:val="00133C0F"/>
    <w:rsid w:val="00133C94"/>
    <w:rsid w:val="00134726"/>
    <w:rsid w:val="001356E2"/>
    <w:rsid w:val="00135D7E"/>
    <w:rsid w:val="0013686D"/>
    <w:rsid w:val="00136C62"/>
    <w:rsid w:val="001373B7"/>
    <w:rsid w:val="00137804"/>
    <w:rsid w:val="001402C6"/>
    <w:rsid w:val="00140841"/>
    <w:rsid w:val="00140897"/>
    <w:rsid w:val="00140A5D"/>
    <w:rsid w:val="00140ABE"/>
    <w:rsid w:val="001413B7"/>
    <w:rsid w:val="0014230F"/>
    <w:rsid w:val="00142F72"/>
    <w:rsid w:val="001430F0"/>
    <w:rsid w:val="0014344E"/>
    <w:rsid w:val="00143653"/>
    <w:rsid w:val="00143F8C"/>
    <w:rsid w:val="00144C5D"/>
    <w:rsid w:val="00144EDA"/>
    <w:rsid w:val="00144F83"/>
    <w:rsid w:val="001466EE"/>
    <w:rsid w:val="00147B8A"/>
    <w:rsid w:val="001502E3"/>
    <w:rsid w:val="00150DCB"/>
    <w:rsid w:val="00151528"/>
    <w:rsid w:val="00152038"/>
    <w:rsid w:val="00152A16"/>
    <w:rsid w:val="001538BA"/>
    <w:rsid w:val="00153B66"/>
    <w:rsid w:val="00153DDA"/>
    <w:rsid w:val="0015468A"/>
    <w:rsid w:val="00154776"/>
    <w:rsid w:val="00154924"/>
    <w:rsid w:val="00154E46"/>
    <w:rsid w:val="00154ED5"/>
    <w:rsid w:val="00155E40"/>
    <w:rsid w:val="00155E8C"/>
    <w:rsid w:val="0015646C"/>
    <w:rsid w:val="001564FC"/>
    <w:rsid w:val="00161F9C"/>
    <w:rsid w:val="001624E2"/>
    <w:rsid w:val="0016281E"/>
    <w:rsid w:val="00162CEA"/>
    <w:rsid w:val="00162E45"/>
    <w:rsid w:val="001635F9"/>
    <w:rsid w:val="00163CEC"/>
    <w:rsid w:val="001643F7"/>
    <w:rsid w:val="00164D49"/>
    <w:rsid w:val="00164DA9"/>
    <w:rsid w:val="00165880"/>
    <w:rsid w:val="00165DBD"/>
    <w:rsid w:val="00166B03"/>
    <w:rsid w:val="00167509"/>
    <w:rsid w:val="001705B6"/>
    <w:rsid w:val="001708F2"/>
    <w:rsid w:val="0017179A"/>
    <w:rsid w:val="00171BF1"/>
    <w:rsid w:val="00171F32"/>
    <w:rsid w:val="001723F0"/>
    <w:rsid w:val="00172464"/>
    <w:rsid w:val="00172C52"/>
    <w:rsid w:val="00173755"/>
    <w:rsid w:val="0017386D"/>
    <w:rsid w:val="001738D8"/>
    <w:rsid w:val="0017541C"/>
    <w:rsid w:val="00176262"/>
    <w:rsid w:val="001766D6"/>
    <w:rsid w:val="00177023"/>
    <w:rsid w:val="00177238"/>
    <w:rsid w:val="001773D8"/>
    <w:rsid w:val="00177426"/>
    <w:rsid w:val="00177448"/>
    <w:rsid w:val="00177646"/>
    <w:rsid w:val="00177C52"/>
    <w:rsid w:val="00179604"/>
    <w:rsid w:val="00180187"/>
    <w:rsid w:val="00180417"/>
    <w:rsid w:val="00180849"/>
    <w:rsid w:val="00181CB3"/>
    <w:rsid w:val="00182117"/>
    <w:rsid w:val="00182C1D"/>
    <w:rsid w:val="00183013"/>
    <w:rsid w:val="001831B9"/>
    <w:rsid w:val="001838DE"/>
    <w:rsid w:val="001839EA"/>
    <w:rsid w:val="00183E30"/>
    <w:rsid w:val="001841C3"/>
    <w:rsid w:val="001848D7"/>
    <w:rsid w:val="00184A00"/>
    <w:rsid w:val="00184CC1"/>
    <w:rsid w:val="0018677C"/>
    <w:rsid w:val="00186FF6"/>
    <w:rsid w:val="00190EF6"/>
    <w:rsid w:val="00191B81"/>
    <w:rsid w:val="00191BA0"/>
    <w:rsid w:val="00192815"/>
    <w:rsid w:val="001928DC"/>
    <w:rsid w:val="00192ACD"/>
    <w:rsid w:val="00193763"/>
    <w:rsid w:val="00194136"/>
    <w:rsid w:val="00194467"/>
    <w:rsid w:val="001944FE"/>
    <w:rsid w:val="00195532"/>
    <w:rsid w:val="0019574C"/>
    <w:rsid w:val="001962E6"/>
    <w:rsid w:val="001A034C"/>
    <w:rsid w:val="001A03CF"/>
    <w:rsid w:val="001A0477"/>
    <w:rsid w:val="001A0622"/>
    <w:rsid w:val="001A162D"/>
    <w:rsid w:val="001A1968"/>
    <w:rsid w:val="001A19B3"/>
    <w:rsid w:val="001A257F"/>
    <w:rsid w:val="001A2AC8"/>
    <w:rsid w:val="001A2BFB"/>
    <w:rsid w:val="001A2E17"/>
    <w:rsid w:val="001A3A83"/>
    <w:rsid w:val="001A3D75"/>
    <w:rsid w:val="001A4AB3"/>
    <w:rsid w:val="001A4D4F"/>
    <w:rsid w:val="001A4E40"/>
    <w:rsid w:val="001A510A"/>
    <w:rsid w:val="001A565D"/>
    <w:rsid w:val="001A5E58"/>
    <w:rsid w:val="001A6899"/>
    <w:rsid w:val="001A6CE7"/>
    <w:rsid w:val="001A6D43"/>
    <w:rsid w:val="001A751A"/>
    <w:rsid w:val="001A7635"/>
    <w:rsid w:val="001A7D59"/>
    <w:rsid w:val="001B0BB3"/>
    <w:rsid w:val="001B0D00"/>
    <w:rsid w:val="001B135E"/>
    <w:rsid w:val="001B136E"/>
    <w:rsid w:val="001B2299"/>
    <w:rsid w:val="001B2317"/>
    <w:rsid w:val="001B2F20"/>
    <w:rsid w:val="001B3631"/>
    <w:rsid w:val="001B38DA"/>
    <w:rsid w:val="001B4121"/>
    <w:rsid w:val="001B422E"/>
    <w:rsid w:val="001B4C41"/>
    <w:rsid w:val="001B5322"/>
    <w:rsid w:val="001B6B8A"/>
    <w:rsid w:val="001B6CAF"/>
    <w:rsid w:val="001B6EFB"/>
    <w:rsid w:val="001B76AD"/>
    <w:rsid w:val="001C0ADF"/>
    <w:rsid w:val="001C30FB"/>
    <w:rsid w:val="001C339A"/>
    <w:rsid w:val="001C3DBB"/>
    <w:rsid w:val="001C3DD8"/>
    <w:rsid w:val="001C4669"/>
    <w:rsid w:val="001C4CAB"/>
    <w:rsid w:val="001C54E9"/>
    <w:rsid w:val="001C5A2D"/>
    <w:rsid w:val="001C5E92"/>
    <w:rsid w:val="001C6368"/>
    <w:rsid w:val="001C6EE3"/>
    <w:rsid w:val="001C7B57"/>
    <w:rsid w:val="001C7F3A"/>
    <w:rsid w:val="001D0142"/>
    <w:rsid w:val="001D01C5"/>
    <w:rsid w:val="001D0330"/>
    <w:rsid w:val="001D0957"/>
    <w:rsid w:val="001D1396"/>
    <w:rsid w:val="001D16CE"/>
    <w:rsid w:val="001D2579"/>
    <w:rsid w:val="001D263F"/>
    <w:rsid w:val="001D2F74"/>
    <w:rsid w:val="001D3DE1"/>
    <w:rsid w:val="001D4EEF"/>
    <w:rsid w:val="001D5407"/>
    <w:rsid w:val="001D5AE8"/>
    <w:rsid w:val="001D674C"/>
    <w:rsid w:val="001D6A8A"/>
    <w:rsid w:val="001D6D1D"/>
    <w:rsid w:val="001D6FE9"/>
    <w:rsid w:val="001D70C5"/>
    <w:rsid w:val="001D77CB"/>
    <w:rsid w:val="001D7E3C"/>
    <w:rsid w:val="001E00E2"/>
    <w:rsid w:val="001E06B1"/>
    <w:rsid w:val="001E0AAE"/>
    <w:rsid w:val="001E0B6E"/>
    <w:rsid w:val="001E10D1"/>
    <w:rsid w:val="001E2998"/>
    <w:rsid w:val="001E2B29"/>
    <w:rsid w:val="001E3326"/>
    <w:rsid w:val="001E55DE"/>
    <w:rsid w:val="001E6F37"/>
    <w:rsid w:val="001F02B1"/>
    <w:rsid w:val="001F0483"/>
    <w:rsid w:val="001F0512"/>
    <w:rsid w:val="001F1213"/>
    <w:rsid w:val="001F1B25"/>
    <w:rsid w:val="001F1E3C"/>
    <w:rsid w:val="001F20C3"/>
    <w:rsid w:val="001F2159"/>
    <w:rsid w:val="001F2A5F"/>
    <w:rsid w:val="001F2BAF"/>
    <w:rsid w:val="001F328A"/>
    <w:rsid w:val="001F3464"/>
    <w:rsid w:val="001F3D0D"/>
    <w:rsid w:val="001F43BC"/>
    <w:rsid w:val="001F4D1A"/>
    <w:rsid w:val="001F5570"/>
    <w:rsid w:val="001F646C"/>
    <w:rsid w:val="001F6710"/>
    <w:rsid w:val="001F6A38"/>
    <w:rsid w:val="001F7B70"/>
    <w:rsid w:val="00200AFC"/>
    <w:rsid w:val="0020161C"/>
    <w:rsid w:val="002018FD"/>
    <w:rsid w:val="00203B2D"/>
    <w:rsid w:val="00203FF3"/>
    <w:rsid w:val="002047EC"/>
    <w:rsid w:val="00204E69"/>
    <w:rsid w:val="00205B0B"/>
    <w:rsid w:val="00205BD6"/>
    <w:rsid w:val="00210863"/>
    <w:rsid w:val="00213E95"/>
    <w:rsid w:val="00214485"/>
    <w:rsid w:val="002148FD"/>
    <w:rsid w:val="00214FDA"/>
    <w:rsid w:val="00215408"/>
    <w:rsid w:val="00215565"/>
    <w:rsid w:val="002157F8"/>
    <w:rsid w:val="00215A70"/>
    <w:rsid w:val="00215D0A"/>
    <w:rsid w:val="00215DA2"/>
    <w:rsid w:val="002161AC"/>
    <w:rsid w:val="00217D7F"/>
    <w:rsid w:val="0022006B"/>
    <w:rsid w:val="00220880"/>
    <w:rsid w:val="00220965"/>
    <w:rsid w:val="00220D72"/>
    <w:rsid w:val="00221340"/>
    <w:rsid w:val="00221A79"/>
    <w:rsid w:val="00221E3D"/>
    <w:rsid w:val="00222263"/>
    <w:rsid w:val="00222D61"/>
    <w:rsid w:val="0022355E"/>
    <w:rsid w:val="002243BF"/>
    <w:rsid w:val="00224CE3"/>
    <w:rsid w:val="0022578D"/>
    <w:rsid w:val="00226728"/>
    <w:rsid w:val="002308F3"/>
    <w:rsid w:val="0023110F"/>
    <w:rsid w:val="00232F5C"/>
    <w:rsid w:val="00233313"/>
    <w:rsid w:val="002339FB"/>
    <w:rsid w:val="002364A7"/>
    <w:rsid w:val="002421CE"/>
    <w:rsid w:val="00243433"/>
    <w:rsid w:val="0024377B"/>
    <w:rsid w:val="00243D7E"/>
    <w:rsid w:val="002447BD"/>
    <w:rsid w:val="002450BD"/>
    <w:rsid w:val="002460F2"/>
    <w:rsid w:val="00246385"/>
    <w:rsid w:val="002473DD"/>
    <w:rsid w:val="00250494"/>
    <w:rsid w:val="00250777"/>
    <w:rsid w:val="002526B7"/>
    <w:rsid w:val="00252E9D"/>
    <w:rsid w:val="0025329A"/>
    <w:rsid w:val="00253714"/>
    <w:rsid w:val="00253E07"/>
    <w:rsid w:val="00254273"/>
    <w:rsid w:val="002545A6"/>
    <w:rsid w:val="002552CF"/>
    <w:rsid w:val="00260ABC"/>
    <w:rsid w:val="00261544"/>
    <w:rsid w:val="0026163B"/>
    <w:rsid w:val="00261C7E"/>
    <w:rsid w:val="00262A34"/>
    <w:rsid w:val="00263A3B"/>
    <w:rsid w:val="002644A9"/>
    <w:rsid w:val="002649AD"/>
    <w:rsid w:val="00265383"/>
    <w:rsid w:val="00265BB2"/>
    <w:rsid w:val="00265C13"/>
    <w:rsid w:val="0026638C"/>
    <w:rsid w:val="0026D51D"/>
    <w:rsid w:val="002708E1"/>
    <w:rsid w:val="00270902"/>
    <w:rsid w:val="0027151F"/>
    <w:rsid w:val="00272524"/>
    <w:rsid w:val="00273B90"/>
    <w:rsid w:val="002745D3"/>
    <w:rsid w:val="00274642"/>
    <w:rsid w:val="00274D20"/>
    <w:rsid w:val="00274D3A"/>
    <w:rsid w:val="00274E61"/>
    <w:rsid w:val="00274FC1"/>
    <w:rsid w:val="002759D1"/>
    <w:rsid w:val="0027636C"/>
    <w:rsid w:val="002764E8"/>
    <w:rsid w:val="00276C88"/>
    <w:rsid w:val="00277065"/>
    <w:rsid w:val="002774A5"/>
    <w:rsid w:val="00277D46"/>
    <w:rsid w:val="00280949"/>
    <w:rsid w:val="00280D00"/>
    <w:rsid w:val="00281B5A"/>
    <w:rsid w:val="002825A2"/>
    <w:rsid w:val="00282A3B"/>
    <w:rsid w:val="00282D01"/>
    <w:rsid w:val="00283B39"/>
    <w:rsid w:val="0028460F"/>
    <w:rsid w:val="00284ACE"/>
    <w:rsid w:val="002864ED"/>
    <w:rsid w:val="00286943"/>
    <w:rsid w:val="00286C21"/>
    <w:rsid w:val="002874E8"/>
    <w:rsid w:val="00287660"/>
    <w:rsid w:val="00290E70"/>
    <w:rsid w:val="002919E2"/>
    <w:rsid w:val="00293D4E"/>
    <w:rsid w:val="00295A4A"/>
    <w:rsid w:val="00295CE7"/>
    <w:rsid w:val="00295CFB"/>
    <w:rsid w:val="002966F1"/>
    <w:rsid w:val="0029774C"/>
    <w:rsid w:val="002A04FA"/>
    <w:rsid w:val="002A0A39"/>
    <w:rsid w:val="002A2918"/>
    <w:rsid w:val="002A2F78"/>
    <w:rsid w:val="002A310C"/>
    <w:rsid w:val="002A3142"/>
    <w:rsid w:val="002A3D98"/>
    <w:rsid w:val="002A4079"/>
    <w:rsid w:val="002A44F5"/>
    <w:rsid w:val="002A6139"/>
    <w:rsid w:val="002A72B5"/>
    <w:rsid w:val="002A7385"/>
    <w:rsid w:val="002A7B9A"/>
    <w:rsid w:val="002AC5BC"/>
    <w:rsid w:val="002B239C"/>
    <w:rsid w:val="002B2C08"/>
    <w:rsid w:val="002B3BF6"/>
    <w:rsid w:val="002B4F2B"/>
    <w:rsid w:val="002B619E"/>
    <w:rsid w:val="002B68D0"/>
    <w:rsid w:val="002B7766"/>
    <w:rsid w:val="002C086D"/>
    <w:rsid w:val="002C1ABD"/>
    <w:rsid w:val="002C3C81"/>
    <w:rsid w:val="002C4A74"/>
    <w:rsid w:val="002C4B06"/>
    <w:rsid w:val="002C55F3"/>
    <w:rsid w:val="002C58C7"/>
    <w:rsid w:val="002C6EBB"/>
    <w:rsid w:val="002C7E35"/>
    <w:rsid w:val="002CC298"/>
    <w:rsid w:val="002D192B"/>
    <w:rsid w:val="002D4404"/>
    <w:rsid w:val="002D506F"/>
    <w:rsid w:val="002D58BC"/>
    <w:rsid w:val="002D6C11"/>
    <w:rsid w:val="002D6F60"/>
    <w:rsid w:val="002D760D"/>
    <w:rsid w:val="002D777C"/>
    <w:rsid w:val="002E0707"/>
    <w:rsid w:val="002E0FE7"/>
    <w:rsid w:val="002E1073"/>
    <w:rsid w:val="002E1FB6"/>
    <w:rsid w:val="002E22C9"/>
    <w:rsid w:val="002E2BEF"/>
    <w:rsid w:val="002E3343"/>
    <w:rsid w:val="002E449E"/>
    <w:rsid w:val="002E54D6"/>
    <w:rsid w:val="002E59F3"/>
    <w:rsid w:val="002E6B41"/>
    <w:rsid w:val="002E6BBD"/>
    <w:rsid w:val="002E6F3C"/>
    <w:rsid w:val="002E7A7B"/>
    <w:rsid w:val="002F0355"/>
    <w:rsid w:val="002F111E"/>
    <w:rsid w:val="002F1848"/>
    <w:rsid w:val="002F1A63"/>
    <w:rsid w:val="002F2627"/>
    <w:rsid w:val="002F2B4E"/>
    <w:rsid w:val="002F3244"/>
    <w:rsid w:val="002F363F"/>
    <w:rsid w:val="002F41AB"/>
    <w:rsid w:val="002F485D"/>
    <w:rsid w:val="002F4C6A"/>
    <w:rsid w:val="002F5269"/>
    <w:rsid w:val="002F5527"/>
    <w:rsid w:val="002F55B8"/>
    <w:rsid w:val="002F56E7"/>
    <w:rsid w:val="002F593A"/>
    <w:rsid w:val="002F5B04"/>
    <w:rsid w:val="002F6142"/>
    <w:rsid w:val="002F636B"/>
    <w:rsid w:val="002F6959"/>
    <w:rsid w:val="002F74C7"/>
    <w:rsid w:val="0030048C"/>
    <w:rsid w:val="003011CE"/>
    <w:rsid w:val="0030217A"/>
    <w:rsid w:val="00303592"/>
    <w:rsid w:val="00303CEB"/>
    <w:rsid w:val="00304CE2"/>
    <w:rsid w:val="00305489"/>
    <w:rsid w:val="00306645"/>
    <w:rsid w:val="0030710E"/>
    <w:rsid w:val="0031059B"/>
    <w:rsid w:val="00310D79"/>
    <w:rsid w:val="003114BC"/>
    <w:rsid w:val="00311B53"/>
    <w:rsid w:val="003133FD"/>
    <w:rsid w:val="003134C3"/>
    <w:rsid w:val="00314E51"/>
    <w:rsid w:val="00314F84"/>
    <w:rsid w:val="00315292"/>
    <w:rsid w:val="003156CE"/>
    <w:rsid w:val="00315F5B"/>
    <w:rsid w:val="0031600F"/>
    <w:rsid w:val="0031602A"/>
    <w:rsid w:val="003162CC"/>
    <w:rsid w:val="00317AA2"/>
    <w:rsid w:val="00320221"/>
    <w:rsid w:val="003218F9"/>
    <w:rsid w:val="00321C4D"/>
    <w:rsid w:val="00321C5D"/>
    <w:rsid w:val="003223FE"/>
    <w:rsid w:val="00322BD7"/>
    <w:rsid w:val="00322D6C"/>
    <w:rsid w:val="0032350E"/>
    <w:rsid w:val="003246A3"/>
    <w:rsid w:val="0032579B"/>
    <w:rsid w:val="00325A0F"/>
    <w:rsid w:val="00325FE5"/>
    <w:rsid w:val="0032659E"/>
    <w:rsid w:val="00331D43"/>
    <w:rsid w:val="00331F99"/>
    <w:rsid w:val="003320A9"/>
    <w:rsid w:val="0033258F"/>
    <w:rsid w:val="00333AB2"/>
    <w:rsid w:val="00334B3B"/>
    <w:rsid w:val="00334C2C"/>
    <w:rsid w:val="00334C77"/>
    <w:rsid w:val="00335A8B"/>
    <w:rsid w:val="00335C8A"/>
    <w:rsid w:val="0033664C"/>
    <w:rsid w:val="00337E1F"/>
    <w:rsid w:val="003404C9"/>
    <w:rsid w:val="00340DBC"/>
    <w:rsid w:val="00341092"/>
    <w:rsid w:val="00341C2A"/>
    <w:rsid w:val="003437AB"/>
    <w:rsid w:val="003439AD"/>
    <w:rsid w:val="00344238"/>
    <w:rsid w:val="00345809"/>
    <w:rsid w:val="00346DCD"/>
    <w:rsid w:val="00346EBF"/>
    <w:rsid w:val="00347C4F"/>
    <w:rsid w:val="00347DC2"/>
    <w:rsid w:val="00347F83"/>
    <w:rsid w:val="003505C0"/>
    <w:rsid w:val="00350C5E"/>
    <w:rsid w:val="00350D6E"/>
    <w:rsid w:val="00351005"/>
    <w:rsid w:val="0035111F"/>
    <w:rsid w:val="00351601"/>
    <w:rsid w:val="00351869"/>
    <w:rsid w:val="00351946"/>
    <w:rsid w:val="00351D42"/>
    <w:rsid w:val="00352203"/>
    <w:rsid w:val="00353C24"/>
    <w:rsid w:val="0035434D"/>
    <w:rsid w:val="003566CF"/>
    <w:rsid w:val="00357661"/>
    <w:rsid w:val="003576A0"/>
    <w:rsid w:val="00357C6C"/>
    <w:rsid w:val="00357E3D"/>
    <w:rsid w:val="00357F46"/>
    <w:rsid w:val="0036005C"/>
    <w:rsid w:val="00361385"/>
    <w:rsid w:val="00361BBA"/>
    <w:rsid w:val="00363129"/>
    <w:rsid w:val="00363136"/>
    <w:rsid w:val="0036316A"/>
    <w:rsid w:val="003631FA"/>
    <w:rsid w:val="003637FF"/>
    <w:rsid w:val="00364DF6"/>
    <w:rsid w:val="0036584D"/>
    <w:rsid w:val="00365999"/>
    <w:rsid w:val="00366DCB"/>
    <w:rsid w:val="0036744F"/>
    <w:rsid w:val="00367525"/>
    <w:rsid w:val="00367E49"/>
    <w:rsid w:val="00370ABF"/>
    <w:rsid w:val="003711DA"/>
    <w:rsid w:val="003717D9"/>
    <w:rsid w:val="00372E29"/>
    <w:rsid w:val="00374B21"/>
    <w:rsid w:val="00374B40"/>
    <w:rsid w:val="00374B50"/>
    <w:rsid w:val="00375267"/>
    <w:rsid w:val="003754D3"/>
    <w:rsid w:val="00376362"/>
    <w:rsid w:val="003765B6"/>
    <w:rsid w:val="00376F81"/>
    <w:rsid w:val="0037791A"/>
    <w:rsid w:val="00377AED"/>
    <w:rsid w:val="00377B2D"/>
    <w:rsid w:val="00377D53"/>
    <w:rsid w:val="00380021"/>
    <w:rsid w:val="00381510"/>
    <w:rsid w:val="00381765"/>
    <w:rsid w:val="00381999"/>
    <w:rsid w:val="00381E7A"/>
    <w:rsid w:val="00381EAC"/>
    <w:rsid w:val="00382610"/>
    <w:rsid w:val="00383882"/>
    <w:rsid w:val="00384A30"/>
    <w:rsid w:val="00386160"/>
    <w:rsid w:val="003865FE"/>
    <w:rsid w:val="003900E4"/>
    <w:rsid w:val="0039026C"/>
    <w:rsid w:val="00391870"/>
    <w:rsid w:val="00391B09"/>
    <w:rsid w:val="00391F4F"/>
    <w:rsid w:val="003933B9"/>
    <w:rsid w:val="00393DEE"/>
    <w:rsid w:val="0039417D"/>
    <w:rsid w:val="00394F3E"/>
    <w:rsid w:val="00397033"/>
    <w:rsid w:val="00397C6D"/>
    <w:rsid w:val="003A090D"/>
    <w:rsid w:val="003A112B"/>
    <w:rsid w:val="003A392B"/>
    <w:rsid w:val="003A4209"/>
    <w:rsid w:val="003A4AA5"/>
    <w:rsid w:val="003A4D92"/>
    <w:rsid w:val="003A59B6"/>
    <w:rsid w:val="003A6250"/>
    <w:rsid w:val="003A677E"/>
    <w:rsid w:val="003A718F"/>
    <w:rsid w:val="003A7B7D"/>
    <w:rsid w:val="003A7BDF"/>
    <w:rsid w:val="003A7F0B"/>
    <w:rsid w:val="003B097D"/>
    <w:rsid w:val="003B0CB3"/>
    <w:rsid w:val="003B0E3D"/>
    <w:rsid w:val="003B21E7"/>
    <w:rsid w:val="003B27AA"/>
    <w:rsid w:val="003B2FD9"/>
    <w:rsid w:val="003B2FF7"/>
    <w:rsid w:val="003B346D"/>
    <w:rsid w:val="003B4575"/>
    <w:rsid w:val="003B4D68"/>
    <w:rsid w:val="003B5CBD"/>
    <w:rsid w:val="003B60E6"/>
    <w:rsid w:val="003B787A"/>
    <w:rsid w:val="003C06DD"/>
    <w:rsid w:val="003C3F6A"/>
    <w:rsid w:val="003C4355"/>
    <w:rsid w:val="003C5738"/>
    <w:rsid w:val="003C58E0"/>
    <w:rsid w:val="003C5E06"/>
    <w:rsid w:val="003C6F92"/>
    <w:rsid w:val="003C724E"/>
    <w:rsid w:val="003C72B0"/>
    <w:rsid w:val="003C72D8"/>
    <w:rsid w:val="003C72F5"/>
    <w:rsid w:val="003C7B98"/>
    <w:rsid w:val="003C7F51"/>
    <w:rsid w:val="003D0724"/>
    <w:rsid w:val="003D09BF"/>
    <w:rsid w:val="003D164B"/>
    <w:rsid w:val="003D1C77"/>
    <w:rsid w:val="003D2A6E"/>
    <w:rsid w:val="003D35E9"/>
    <w:rsid w:val="003D4C14"/>
    <w:rsid w:val="003D4C35"/>
    <w:rsid w:val="003D5764"/>
    <w:rsid w:val="003D6332"/>
    <w:rsid w:val="003D6791"/>
    <w:rsid w:val="003D68AD"/>
    <w:rsid w:val="003D75D5"/>
    <w:rsid w:val="003D7EA7"/>
    <w:rsid w:val="003E00CB"/>
    <w:rsid w:val="003E014E"/>
    <w:rsid w:val="003E069B"/>
    <w:rsid w:val="003E24DE"/>
    <w:rsid w:val="003E2D1A"/>
    <w:rsid w:val="003E3F75"/>
    <w:rsid w:val="003E41FB"/>
    <w:rsid w:val="003E4F91"/>
    <w:rsid w:val="003E6379"/>
    <w:rsid w:val="003E6BC0"/>
    <w:rsid w:val="003E75A6"/>
    <w:rsid w:val="003E7CE6"/>
    <w:rsid w:val="003F0382"/>
    <w:rsid w:val="003F08AA"/>
    <w:rsid w:val="003F14F6"/>
    <w:rsid w:val="003F1731"/>
    <w:rsid w:val="003F1FC0"/>
    <w:rsid w:val="003F2C05"/>
    <w:rsid w:val="003F3F1B"/>
    <w:rsid w:val="003F46CB"/>
    <w:rsid w:val="003F495B"/>
    <w:rsid w:val="003F4ADF"/>
    <w:rsid w:val="003F5025"/>
    <w:rsid w:val="003F5D02"/>
    <w:rsid w:val="003F5EAE"/>
    <w:rsid w:val="00400458"/>
    <w:rsid w:val="00400F85"/>
    <w:rsid w:val="004010DF"/>
    <w:rsid w:val="00401F08"/>
    <w:rsid w:val="00402205"/>
    <w:rsid w:val="00402470"/>
    <w:rsid w:val="004032E4"/>
    <w:rsid w:val="00403344"/>
    <w:rsid w:val="004034C5"/>
    <w:rsid w:val="004042B1"/>
    <w:rsid w:val="004043C8"/>
    <w:rsid w:val="00404912"/>
    <w:rsid w:val="00404A11"/>
    <w:rsid w:val="00404B15"/>
    <w:rsid w:val="00405F83"/>
    <w:rsid w:val="00406D00"/>
    <w:rsid w:val="00407273"/>
    <w:rsid w:val="00407CF2"/>
    <w:rsid w:val="00410F85"/>
    <w:rsid w:val="0041106E"/>
    <w:rsid w:val="004119BD"/>
    <w:rsid w:val="00412A72"/>
    <w:rsid w:val="00412AC5"/>
    <w:rsid w:val="00412D49"/>
    <w:rsid w:val="004141C0"/>
    <w:rsid w:val="00416794"/>
    <w:rsid w:val="00416867"/>
    <w:rsid w:val="004170E6"/>
    <w:rsid w:val="00417889"/>
    <w:rsid w:val="00420DA0"/>
    <w:rsid w:val="00420E98"/>
    <w:rsid w:val="00421102"/>
    <w:rsid w:val="00421B10"/>
    <w:rsid w:val="00421FB6"/>
    <w:rsid w:val="004232FB"/>
    <w:rsid w:val="004234E2"/>
    <w:rsid w:val="004237EB"/>
    <w:rsid w:val="00423C11"/>
    <w:rsid w:val="00423C87"/>
    <w:rsid w:val="00423EBB"/>
    <w:rsid w:val="004248AC"/>
    <w:rsid w:val="00424BD9"/>
    <w:rsid w:val="00425A0B"/>
    <w:rsid w:val="00426197"/>
    <w:rsid w:val="00426692"/>
    <w:rsid w:val="00426710"/>
    <w:rsid w:val="00427175"/>
    <w:rsid w:val="004305C6"/>
    <w:rsid w:val="0043122D"/>
    <w:rsid w:val="004318E9"/>
    <w:rsid w:val="00431C06"/>
    <w:rsid w:val="00431C1A"/>
    <w:rsid w:val="00432650"/>
    <w:rsid w:val="00432998"/>
    <w:rsid w:val="00432A54"/>
    <w:rsid w:val="00432D1B"/>
    <w:rsid w:val="00433A9E"/>
    <w:rsid w:val="00433E08"/>
    <w:rsid w:val="00434691"/>
    <w:rsid w:val="004356C5"/>
    <w:rsid w:val="004359EC"/>
    <w:rsid w:val="00436031"/>
    <w:rsid w:val="00436B19"/>
    <w:rsid w:val="00436F95"/>
    <w:rsid w:val="0044007F"/>
    <w:rsid w:val="00442DAB"/>
    <w:rsid w:val="00443ADE"/>
    <w:rsid w:val="00444B2B"/>
    <w:rsid w:val="00446881"/>
    <w:rsid w:val="00446A36"/>
    <w:rsid w:val="00446D58"/>
    <w:rsid w:val="004472C1"/>
    <w:rsid w:val="00452E68"/>
    <w:rsid w:val="00454DEF"/>
    <w:rsid w:val="00455002"/>
    <w:rsid w:val="0045580E"/>
    <w:rsid w:val="00455F68"/>
    <w:rsid w:val="0045764F"/>
    <w:rsid w:val="00457FD5"/>
    <w:rsid w:val="0046015B"/>
    <w:rsid w:val="004624C0"/>
    <w:rsid w:val="004627F2"/>
    <w:rsid w:val="004629D8"/>
    <w:rsid w:val="004637D3"/>
    <w:rsid w:val="004638A1"/>
    <w:rsid w:val="00463BB2"/>
    <w:rsid w:val="00465027"/>
    <w:rsid w:val="00465770"/>
    <w:rsid w:val="00466B0C"/>
    <w:rsid w:val="00466DB9"/>
    <w:rsid w:val="004672A7"/>
    <w:rsid w:val="00467596"/>
    <w:rsid w:val="0046771F"/>
    <w:rsid w:val="00467A76"/>
    <w:rsid w:val="00467D85"/>
    <w:rsid w:val="004710E0"/>
    <w:rsid w:val="00471BEF"/>
    <w:rsid w:val="00471D6D"/>
    <w:rsid w:val="0047300C"/>
    <w:rsid w:val="00473CC4"/>
    <w:rsid w:val="00475117"/>
    <w:rsid w:val="00475381"/>
    <w:rsid w:val="0047583B"/>
    <w:rsid w:val="004763D8"/>
    <w:rsid w:val="00476475"/>
    <w:rsid w:val="004770BC"/>
    <w:rsid w:val="0047737F"/>
    <w:rsid w:val="004779F4"/>
    <w:rsid w:val="00477A73"/>
    <w:rsid w:val="00477DBF"/>
    <w:rsid w:val="00477EE0"/>
    <w:rsid w:val="004801B0"/>
    <w:rsid w:val="00480BEF"/>
    <w:rsid w:val="0048289B"/>
    <w:rsid w:val="00482E87"/>
    <w:rsid w:val="004845CF"/>
    <w:rsid w:val="0048532A"/>
    <w:rsid w:val="0048585C"/>
    <w:rsid w:val="0048603A"/>
    <w:rsid w:val="00490851"/>
    <w:rsid w:val="0049162F"/>
    <w:rsid w:val="00491903"/>
    <w:rsid w:val="00492420"/>
    <w:rsid w:val="0049292F"/>
    <w:rsid w:val="00492DB0"/>
    <w:rsid w:val="00493688"/>
    <w:rsid w:val="00493A0D"/>
    <w:rsid w:val="004946E8"/>
    <w:rsid w:val="00495CA3"/>
    <w:rsid w:val="00495EB0"/>
    <w:rsid w:val="00496919"/>
    <w:rsid w:val="00496E07"/>
    <w:rsid w:val="00497989"/>
    <w:rsid w:val="00497A2A"/>
    <w:rsid w:val="00497F46"/>
    <w:rsid w:val="004A029A"/>
    <w:rsid w:val="004A153D"/>
    <w:rsid w:val="004A28FA"/>
    <w:rsid w:val="004A2F7D"/>
    <w:rsid w:val="004A34F4"/>
    <w:rsid w:val="004A35AB"/>
    <w:rsid w:val="004A4181"/>
    <w:rsid w:val="004A472B"/>
    <w:rsid w:val="004A5545"/>
    <w:rsid w:val="004A5D35"/>
    <w:rsid w:val="004A6A4F"/>
    <w:rsid w:val="004A6BF9"/>
    <w:rsid w:val="004A7E2E"/>
    <w:rsid w:val="004B0937"/>
    <w:rsid w:val="004B1CC3"/>
    <w:rsid w:val="004B29C9"/>
    <w:rsid w:val="004B2B81"/>
    <w:rsid w:val="004B2F98"/>
    <w:rsid w:val="004B4738"/>
    <w:rsid w:val="004B5099"/>
    <w:rsid w:val="004B59A9"/>
    <w:rsid w:val="004B6A7F"/>
    <w:rsid w:val="004B6BFE"/>
    <w:rsid w:val="004B6DAB"/>
    <w:rsid w:val="004B70DD"/>
    <w:rsid w:val="004B72A9"/>
    <w:rsid w:val="004B735B"/>
    <w:rsid w:val="004B75AE"/>
    <w:rsid w:val="004C0346"/>
    <w:rsid w:val="004C0452"/>
    <w:rsid w:val="004C0E54"/>
    <w:rsid w:val="004C1E0F"/>
    <w:rsid w:val="004C254D"/>
    <w:rsid w:val="004C2BB1"/>
    <w:rsid w:val="004C2D9E"/>
    <w:rsid w:val="004C3AF9"/>
    <w:rsid w:val="004C44E7"/>
    <w:rsid w:val="004C47AF"/>
    <w:rsid w:val="004C58A5"/>
    <w:rsid w:val="004C6A07"/>
    <w:rsid w:val="004C6AF4"/>
    <w:rsid w:val="004C6CB5"/>
    <w:rsid w:val="004D0C8B"/>
    <w:rsid w:val="004D0E6E"/>
    <w:rsid w:val="004D179C"/>
    <w:rsid w:val="004D2068"/>
    <w:rsid w:val="004D287E"/>
    <w:rsid w:val="004D2DCB"/>
    <w:rsid w:val="004D3437"/>
    <w:rsid w:val="004D37F9"/>
    <w:rsid w:val="004D4302"/>
    <w:rsid w:val="004D44B7"/>
    <w:rsid w:val="004D506D"/>
    <w:rsid w:val="004D52D9"/>
    <w:rsid w:val="004D5365"/>
    <w:rsid w:val="004D572F"/>
    <w:rsid w:val="004D6157"/>
    <w:rsid w:val="004D68AC"/>
    <w:rsid w:val="004D73BC"/>
    <w:rsid w:val="004E1195"/>
    <w:rsid w:val="004E1B10"/>
    <w:rsid w:val="004E20F2"/>
    <w:rsid w:val="004E22B6"/>
    <w:rsid w:val="004E25EA"/>
    <w:rsid w:val="004E2D51"/>
    <w:rsid w:val="004E3921"/>
    <w:rsid w:val="004E3D08"/>
    <w:rsid w:val="004E4048"/>
    <w:rsid w:val="004E4B1F"/>
    <w:rsid w:val="004E5532"/>
    <w:rsid w:val="004E6BF7"/>
    <w:rsid w:val="004E6D1F"/>
    <w:rsid w:val="004E6DFF"/>
    <w:rsid w:val="004E75E2"/>
    <w:rsid w:val="004E7BC0"/>
    <w:rsid w:val="004F1180"/>
    <w:rsid w:val="004F1733"/>
    <w:rsid w:val="004F1C92"/>
    <w:rsid w:val="004F2C62"/>
    <w:rsid w:val="004F2C94"/>
    <w:rsid w:val="004F3881"/>
    <w:rsid w:val="004F44B1"/>
    <w:rsid w:val="004F4779"/>
    <w:rsid w:val="004F4CE2"/>
    <w:rsid w:val="004F4EC3"/>
    <w:rsid w:val="004F50B2"/>
    <w:rsid w:val="004F632A"/>
    <w:rsid w:val="004F6966"/>
    <w:rsid w:val="004F6CC2"/>
    <w:rsid w:val="004F7050"/>
    <w:rsid w:val="004F7478"/>
    <w:rsid w:val="004F751E"/>
    <w:rsid w:val="004F7F1B"/>
    <w:rsid w:val="0050007A"/>
    <w:rsid w:val="0050057D"/>
    <w:rsid w:val="00500C21"/>
    <w:rsid w:val="00500FEE"/>
    <w:rsid w:val="00501145"/>
    <w:rsid w:val="00501510"/>
    <w:rsid w:val="0050184E"/>
    <w:rsid w:val="00501B04"/>
    <w:rsid w:val="00501FB3"/>
    <w:rsid w:val="00502546"/>
    <w:rsid w:val="0050338B"/>
    <w:rsid w:val="0050516F"/>
    <w:rsid w:val="00505AA4"/>
    <w:rsid w:val="00505D2F"/>
    <w:rsid w:val="005123B8"/>
    <w:rsid w:val="00512410"/>
    <w:rsid w:val="00512769"/>
    <w:rsid w:val="00513659"/>
    <w:rsid w:val="005144E0"/>
    <w:rsid w:val="00514A6D"/>
    <w:rsid w:val="00514C8F"/>
    <w:rsid w:val="00514E2C"/>
    <w:rsid w:val="00514E86"/>
    <w:rsid w:val="00515443"/>
    <w:rsid w:val="005158FB"/>
    <w:rsid w:val="00516833"/>
    <w:rsid w:val="00516DBE"/>
    <w:rsid w:val="005170F6"/>
    <w:rsid w:val="005172AE"/>
    <w:rsid w:val="00517F7E"/>
    <w:rsid w:val="00520A29"/>
    <w:rsid w:val="0052167E"/>
    <w:rsid w:val="005216CE"/>
    <w:rsid w:val="00521D66"/>
    <w:rsid w:val="00522019"/>
    <w:rsid w:val="0052285F"/>
    <w:rsid w:val="005234F0"/>
    <w:rsid w:val="005242FA"/>
    <w:rsid w:val="005243F9"/>
    <w:rsid w:val="00524C47"/>
    <w:rsid w:val="0052596B"/>
    <w:rsid w:val="005261EB"/>
    <w:rsid w:val="005262F2"/>
    <w:rsid w:val="00526962"/>
    <w:rsid w:val="00527A64"/>
    <w:rsid w:val="00530F36"/>
    <w:rsid w:val="005318E9"/>
    <w:rsid w:val="0053235F"/>
    <w:rsid w:val="005340EF"/>
    <w:rsid w:val="005347EC"/>
    <w:rsid w:val="0053494E"/>
    <w:rsid w:val="005353B6"/>
    <w:rsid w:val="00535C96"/>
    <w:rsid w:val="0053743D"/>
    <w:rsid w:val="0054002C"/>
    <w:rsid w:val="005400F0"/>
    <w:rsid w:val="0054038C"/>
    <w:rsid w:val="00540661"/>
    <w:rsid w:val="00541F1E"/>
    <w:rsid w:val="00542705"/>
    <w:rsid w:val="005428CB"/>
    <w:rsid w:val="005432A1"/>
    <w:rsid w:val="00545391"/>
    <w:rsid w:val="00545844"/>
    <w:rsid w:val="00545DF6"/>
    <w:rsid w:val="00547201"/>
    <w:rsid w:val="00547924"/>
    <w:rsid w:val="00551152"/>
    <w:rsid w:val="00551749"/>
    <w:rsid w:val="00552424"/>
    <w:rsid w:val="005532B3"/>
    <w:rsid w:val="0055376F"/>
    <w:rsid w:val="00554C2F"/>
    <w:rsid w:val="00556586"/>
    <w:rsid w:val="005568E9"/>
    <w:rsid w:val="005571C4"/>
    <w:rsid w:val="005608BB"/>
    <w:rsid w:val="005612BA"/>
    <w:rsid w:val="00562452"/>
    <w:rsid w:val="0056257C"/>
    <w:rsid w:val="00562E76"/>
    <w:rsid w:val="00562FE0"/>
    <w:rsid w:val="0056303E"/>
    <w:rsid w:val="005635E4"/>
    <w:rsid w:val="005640CA"/>
    <w:rsid w:val="0056418E"/>
    <w:rsid w:val="00564801"/>
    <w:rsid w:val="00565278"/>
    <w:rsid w:val="005654A5"/>
    <w:rsid w:val="00566993"/>
    <w:rsid w:val="0056795D"/>
    <w:rsid w:val="00570DB9"/>
    <w:rsid w:val="005724A4"/>
    <w:rsid w:val="00572B3B"/>
    <w:rsid w:val="005732A9"/>
    <w:rsid w:val="00573C18"/>
    <w:rsid w:val="00574F16"/>
    <w:rsid w:val="005756DB"/>
    <w:rsid w:val="0057587B"/>
    <w:rsid w:val="00575F2D"/>
    <w:rsid w:val="005769E6"/>
    <w:rsid w:val="00577070"/>
    <w:rsid w:val="00580652"/>
    <w:rsid w:val="00580A69"/>
    <w:rsid w:val="00580B2B"/>
    <w:rsid w:val="00580D69"/>
    <w:rsid w:val="005810A0"/>
    <w:rsid w:val="005811BC"/>
    <w:rsid w:val="005812CB"/>
    <w:rsid w:val="0058168A"/>
    <w:rsid w:val="00581ADE"/>
    <w:rsid w:val="00582171"/>
    <w:rsid w:val="005830EC"/>
    <w:rsid w:val="00584DB2"/>
    <w:rsid w:val="005854B7"/>
    <w:rsid w:val="005856FE"/>
    <w:rsid w:val="0058592A"/>
    <w:rsid w:val="00585C32"/>
    <w:rsid w:val="005862B5"/>
    <w:rsid w:val="00586833"/>
    <w:rsid w:val="00586B0E"/>
    <w:rsid w:val="00587BA3"/>
    <w:rsid w:val="005909C6"/>
    <w:rsid w:val="00590B29"/>
    <w:rsid w:val="0059120F"/>
    <w:rsid w:val="00591749"/>
    <w:rsid w:val="00592003"/>
    <w:rsid w:val="00592A48"/>
    <w:rsid w:val="00593026"/>
    <w:rsid w:val="005932F3"/>
    <w:rsid w:val="00593D5B"/>
    <w:rsid w:val="005946BB"/>
    <w:rsid w:val="005957B9"/>
    <w:rsid w:val="005966CB"/>
    <w:rsid w:val="00596A4F"/>
    <w:rsid w:val="0059765C"/>
    <w:rsid w:val="00597FF6"/>
    <w:rsid w:val="005A0A17"/>
    <w:rsid w:val="005A19B9"/>
    <w:rsid w:val="005A1C71"/>
    <w:rsid w:val="005A209B"/>
    <w:rsid w:val="005A2FF0"/>
    <w:rsid w:val="005A308D"/>
    <w:rsid w:val="005A36F0"/>
    <w:rsid w:val="005A3702"/>
    <w:rsid w:val="005A5A37"/>
    <w:rsid w:val="005A6C4B"/>
    <w:rsid w:val="005A7A35"/>
    <w:rsid w:val="005B0331"/>
    <w:rsid w:val="005B1010"/>
    <w:rsid w:val="005B16A8"/>
    <w:rsid w:val="005B2351"/>
    <w:rsid w:val="005B4A06"/>
    <w:rsid w:val="005B4BA1"/>
    <w:rsid w:val="005B4C47"/>
    <w:rsid w:val="005B4FA2"/>
    <w:rsid w:val="005B5056"/>
    <w:rsid w:val="005B5803"/>
    <w:rsid w:val="005B671A"/>
    <w:rsid w:val="005B7A26"/>
    <w:rsid w:val="005C00AB"/>
    <w:rsid w:val="005C0E89"/>
    <w:rsid w:val="005C1405"/>
    <w:rsid w:val="005C1A3F"/>
    <w:rsid w:val="005C22EC"/>
    <w:rsid w:val="005C2E14"/>
    <w:rsid w:val="005C33BD"/>
    <w:rsid w:val="005C3425"/>
    <w:rsid w:val="005C43B8"/>
    <w:rsid w:val="005C5937"/>
    <w:rsid w:val="005C6014"/>
    <w:rsid w:val="005C743B"/>
    <w:rsid w:val="005C763F"/>
    <w:rsid w:val="005C7DAE"/>
    <w:rsid w:val="005D00FA"/>
    <w:rsid w:val="005D12BD"/>
    <w:rsid w:val="005D1BDB"/>
    <w:rsid w:val="005D1EE2"/>
    <w:rsid w:val="005D3A41"/>
    <w:rsid w:val="005D3D87"/>
    <w:rsid w:val="005D4760"/>
    <w:rsid w:val="005D6B6D"/>
    <w:rsid w:val="005D712D"/>
    <w:rsid w:val="005D716F"/>
    <w:rsid w:val="005D76B0"/>
    <w:rsid w:val="005D7AD3"/>
    <w:rsid w:val="005D7BD0"/>
    <w:rsid w:val="005E06C2"/>
    <w:rsid w:val="005E3FE9"/>
    <w:rsid w:val="005E445D"/>
    <w:rsid w:val="005E4C62"/>
    <w:rsid w:val="005E5116"/>
    <w:rsid w:val="005E58C9"/>
    <w:rsid w:val="005E637C"/>
    <w:rsid w:val="005E67E6"/>
    <w:rsid w:val="005E67F1"/>
    <w:rsid w:val="005E706E"/>
    <w:rsid w:val="005E724B"/>
    <w:rsid w:val="005E7503"/>
    <w:rsid w:val="005F0417"/>
    <w:rsid w:val="005F091F"/>
    <w:rsid w:val="005F0C3A"/>
    <w:rsid w:val="005F0CFB"/>
    <w:rsid w:val="005F0D23"/>
    <w:rsid w:val="005F12B9"/>
    <w:rsid w:val="005F200E"/>
    <w:rsid w:val="005F2D13"/>
    <w:rsid w:val="005F2D3C"/>
    <w:rsid w:val="005F3056"/>
    <w:rsid w:val="005F3E1B"/>
    <w:rsid w:val="005F4D0D"/>
    <w:rsid w:val="005F51E3"/>
    <w:rsid w:val="005F57D8"/>
    <w:rsid w:val="005F5FAA"/>
    <w:rsid w:val="005F60B7"/>
    <w:rsid w:val="005F6F92"/>
    <w:rsid w:val="005F7AFC"/>
    <w:rsid w:val="0060081E"/>
    <w:rsid w:val="00600F5B"/>
    <w:rsid w:val="00601145"/>
    <w:rsid w:val="0060154B"/>
    <w:rsid w:val="00601BD7"/>
    <w:rsid w:val="00601C8E"/>
    <w:rsid w:val="00602AFD"/>
    <w:rsid w:val="0060302D"/>
    <w:rsid w:val="006030F7"/>
    <w:rsid w:val="0060315D"/>
    <w:rsid w:val="006032F9"/>
    <w:rsid w:val="0060358A"/>
    <w:rsid w:val="00603653"/>
    <w:rsid w:val="00603F86"/>
    <w:rsid w:val="006040BF"/>
    <w:rsid w:val="00604C8B"/>
    <w:rsid w:val="0060531D"/>
    <w:rsid w:val="00605431"/>
    <w:rsid w:val="00605473"/>
    <w:rsid w:val="0060595B"/>
    <w:rsid w:val="00606264"/>
    <w:rsid w:val="00609C02"/>
    <w:rsid w:val="0061027C"/>
    <w:rsid w:val="00611765"/>
    <w:rsid w:val="00611CF3"/>
    <w:rsid w:val="006138F4"/>
    <w:rsid w:val="00613D8D"/>
    <w:rsid w:val="006149BD"/>
    <w:rsid w:val="00615D97"/>
    <w:rsid w:val="00615EE5"/>
    <w:rsid w:val="00616151"/>
    <w:rsid w:val="006163A5"/>
    <w:rsid w:val="006163B3"/>
    <w:rsid w:val="006166B0"/>
    <w:rsid w:val="00616B92"/>
    <w:rsid w:val="00617552"/>
    <w:rsid w:val="0061796C"/>
    <w:rsid w:val="00621CD0"/>
    <w:rsid w:val="00621EFB"/>
    <w:rsid w:val="0062274F"/>
    <w:rsid w:val="00622FDC"/>
    <w:rsid w:val="00623B1E"/>
    <w:rsid w:val="006249AE"/>
    <w:rsid w:val="00624FF3"/>
    <w:rsid w:val="00625127"/>
    <w:rsid w:val="00625171"/>
    <w:rsid w:val="006252D0"/>
    <w:rsid w:val="00625856"/>
    <w:rsid w:val="00625D54"/>
    <w:rsid w:val="006261AB"/>
    <w:rsid w:val="006271D0"/>
    <w:rsid w:val="00627312"/>
    <w:rsid w:val="0062758A"/>
    <w:rsid w:val="006310D4"/>
    <w:rsid w:val="0063127D"/>
    <w:rsid w:val="00631609"/>
    <w:rsid w:val="00633A9C"/>
    <w:rsid w:val="00634EED"/>
    <w:rsid w:val="006353F0"/>
    <w:rsid w:val="0063556F"/>
    <w:rsid w:val="00635C59"/>
    <w:rsid w:val="0063625D"/>
    <w:rsid w:val="00636CAC"/>
    <w:rsid w:val="00636FBD"/>
    <w:rsid w:val="006377CF"/>
    <w:rsid w:val="00637950"/>
    <w:rsid w:val="00640773"/>
    <w:rsid w:val="006418EF"/>
    <w:rsid w:val="00641D86"/>
    <w:rsid w:val="0064385F"/>
    <w:rsid w:val="006438B6"/>
    <w:rsid w:val="00645E71"/>
    <w:rsid w:val="00646195"/>
    <w:rsid w:val="006469BE"/>
    <w:rsid w:val="00646C80"/>
    <w:rsid w:val="0064771A"/>
    <w:rsid w:val="00647B6D"/>
    <w:rsid w:val="006511C6"/>
    <w:rsid w:val="00651E81"/>
    <w:rsid w:val="0065314C"/>
    <w:rsid w:val="0065345D"/>
    <w:rsid w:val="006538CB"/>
    <w:rsid w:val="00653BAF"/>
    <w:rsid w:val="00654C51"/>
    <w:rsid w:val="00654D0A"/>
    <w:rsid w:val="00655CCE"/>
    <w:rsid w:val="00656046"/>
    <w:rsid w:val="00656E89"/>
    <w:rsid w:val="00657EC8"/>
    <w:rsid w:val="00660BC4"/>
    <w:rsid w:val="00661166"/>
    <w:rsid w:val="006612F2"/>
    <w:rsid w:val="006613A0"/>
    <w:rsid w:val="00661BAF"/>
    <w:rsid w:val="00662626"/>
    <w:rsid w:val="0066298C"/>
    <w:rsid w:val="00663676"/>
    <w:rsid w:val="00663F46"/>
    <w:rsid w:val="00664169"/>
    <w:rsid w:val="00664342"/>
    <w:rsid w:val="0066449C"/>
    <w:rsid w:val="00664896"/>
    <w:rsid w:val="00665091"/>
    <w:rsid w:val="00665BED"/>
    <w:rsid w:val="00666748"/>
    <w:rsid w:val="0066704B"/>
    <w:rsid w:val="006672EF"/>
    <w:rsid w:val="00670AE6"/>
    <w:rsid w:val="006715A9"/>
    <w:rsid w:val="00673027"/>
    <w:rsid w:val="006744CB"/>
    <w:rsid w:val="00674D53"/>
    <w:rsid w:val="00675EF3"/>
    <w:rsid w:val="006762BF"/>
    <w:rsid w:val="00676960"/>
    <w:rsid w:val="00676C2C"/>
    <w:rsid w:val="00676D07"/>
    <w:rsid w:val="00677E96"/>
    <w:rsid w:val="00677F8D"/>
    <w:rsid w:val="00680070"/>
    <w:rsid w:val="006814D2"/>
    <w:rsid w:val="00681BB9"/>
    <w:rsid w:val="006822FA"/>
    <w:rsid w:val="00682A15"/>
    <w:rsid w:val="00683333"/>
    <w:rsid w:val="006833FF"/>
    <w:rsid w:val="006834D8"/>
    <w:rsid w:val="00683A42"/>
    <w:rsid w:val="00684667"/>
    <w:rsid w:val="00684A45"/>
    <w:rsid w:val="00685115"/>
    <w:rsid w:val="006855DE"/>
    <w:rsid w:val="00686315"/>
    <w:rsid w:val="00686F3D"/>
    <w:rsid w:val="00687DBD"/>
    <w:rsid w:val="00690183"/>
    <w:rsid w:val="00693F05"/>
    <w:rsid w:val="0069755D"/>
    <w:rsid w:val="006978BA"/>
    <w:rsid w:val="00697976"/>
    <w:rsid w:val="00697C6D"/>
    <w:rsid w:val="006A0CE2"/>
    <w:rsid w:val="006A1629"/>
    <w:rsid w:val="006A1669"/>
    <w:rsid w:val="006A1C6C"/>
    <w:rsid w:val="006A1DFB"/>
    <w:rsid w:val="006A1E4D"/>
    <w:rsid w:val="006A2196"/>
    <w:rsid w:val="006A222C"/>
    <w:rsid w:val="006A2536"/>
    <w:rsid w:val="006A2E0B"/>
    <w:rsid w:val="006A354D"/>
    <w:rsid w:val="006A37CF"/>
    <w:rsid w:val="006A5834"/>
    <w:rsid w:val="006A59B3"/>
    <w:rsid w:val="006A7034"/>
    <w:rsid w:val="006B034D"/>
    <w:rsid w:val="006B03D7"/>
    <w:rsid w:val="006B04E4"/>
    <w:rsid w:val="006B099C"/>
    <w:rsid w:val="006B18D0"/>
    <w:rsid w:val="006B23E6"/>
    <w:rsid w:val="006B3153"/>
    <w:rsid w:val="006B3557"/>
    <w:rsid w:val="006B359B"/>
    <w:rsid w:val="006B37E1"/>
    <w:rsid w:val="006B43B5"/>
    <w:rsid w:val="006B4E29"/>
    <w:rsid w:val="006B63A1"/>
    <w:rsid w:val="006B7151"/>
    <w:rsid w:val="006B740C"/>
    <w:rsid w:val="006B74B3"/>
    <w:rsid w:val="006B7CFE"/>
    <w:rsid w:val="006C069C"/>
    <w:rsid w:val="006C095E"/>
    <w:rsid w:val="006C14AB"/>
    <w:rsid w:val="006C1752"/>
    <w:rsid w:val="006C203F"/>
    <w:rsid w:val="006C2167"/>
    <w:rsid w:val="006C27F4"/>
    <w:rsid w:val="006C2BEB"/>
    <w:rsid w:val="006C2C0D"/>
    <w:rsid w:val="006C3774"/>
    <w:rsid w:val="006C3C4C"/>
    <w:rsid w:val="006C5C2D"/>
    <w:rsid w:val="006C5EDA"/>
    <w:rsid w:val="006C6052"/>
    <w:rsid w:val="006C62B6"/>
    <w:rsid w:val="006C6A9C"/>
    <w:rsid w:val="006C6BF8"/>
    <w:rsid w:val="006C6C0C"/>
    <w:rsid w:val="006C74C0"/>
    <w:rsid w:val="006C75F3"/>
    <w:rsid w:val="006D0818"/>
    <w:rsid w:val="006D13EC"/>
    <w:rsid w:val="006D2BAB"/>
    <w:rsid w:val="006D46D1"/>
    <w:rsid w:val="006D5262"/>
    <w:rsid w:val="006D622A"/>
    <w:rsid w:val="006D6E27"/>
    <w:rsid w:val="006E0A3A"/>
    <w:rsid w:val="006E22A8"/>
    <w:rsid w:val="006E32BD"/>
    <w:rsid w:val="006E3BD9"/>
    <w:rsid w:val="006E3FBD"/>
    <w:rsid w:val="006E4806"/>
    <w:rsid w:val="006E54BD"/>
    <w:rsid w:val="006E5855"/>
    <w:rsid w:val="006E6204"/>
    <w:rsid w:val="006E788D"/>
    <w:rsid w:val="006F0B43"/>
    <w:rsid w:val="006F1E19"/>
    <w:rsid w:val="006F2295"/>
    <w:rsid w:val="006F23A1"/>
    <w:rsid w:val="006F2432"/>
    <w:rsid w:val="006F3B11"/>
    <w:rsid w:val="006F432B"/>
    <w:rsid w:val="006F49A9"/>
    <w:rsid w:val="006F4C4E"/>
    <w:rsid w:val="006F4FE6"/>
    <w:rsid w:val="006F6A3E"/>
    <w:rsid w:val="006F6B51"/>
    <w:rsid w:val="00701646"/>
    <w:rsid w:val="0070245D"/>
    <w:rsid w:val="00702E8E"/>
    <w:rsid w:val="0070373C"/>
    <w:rsid w:val="00703EEA"/>
    <w:rsid w:val="0070413E"/>
    <w:rsid w:val="00704319"/>
    <w:rsid w:val="0070534E"/>
    <w:rsid w:val="0070597B"/>
    <w:rsid w:val="00707541"/>
    <w:rsid w:val="00710316"/>
    <w:rsid w:val="007108C6"/>
    <w:rsid w:val="0071251B"/>
    <w:rsid w:val="00712BBD"/>
    <w:rsid w:val="00712DFA"/>
    <w:rsid w:val="00713483"/>
    <w:rsid w:val="007141D0"/>
    <w:rsid w:val="007144AF"/>
    <w:rsid w:val="0071528E"/>
    <w:rsid w:val="007152F6"/>
    <w:rsid w:val="007169E9"/>
    <w:rsid w:val="007203A9"/>
    <w:rsid w:val="0072043C"/>
    <w:rsid w:val="00721169"/>
    <w:rsid w:val="007212A1"/>
    <w:rsid w:val="00721413"/>
    <w:rsid w:val="007218C1"/>
    <w:rsid w:val="007221BB"/>
    <w:rsid w:val="00722E7C"/>
    <w:rsid w:val="00723B34"/>
    <w:rsid w:val="0072504C"/>
    <w:rsid w:val="00725756"/>
    <w:rsid w:val="00725A90"/>
    <w:rsid w:val="00725F68"/>
    <w:rsid w:val="00726F8D"/>
    <w:rsid w:val="00727D7F"/>
    <w:rsid w:val="00730D70"/>
    <w:rsid w:val="007314CC"/>
    <w:rsid w:val="007319FF"/>
    <w:rsid w:val="00731E71"/>
    <w:rsid w:val="007322AE"/>
    <w:rsid w:val="00732709"/>
    <w:rsid w:val="00732731"/>
    <w:rsid w:val="0073289D"/>
    <w:rsid w:val="0073318C"/>
    <w:rsid w:val="00733F61"/>
    <w:rsid w:val="00734688"/>
    <w:rsid w:val="00734C5D"/>
    <w:rsid w:val="007362D1"/>
    <w:rsid w:val="00736393"/>
    <w:rsid w:val="0073756C"/>
    <w:rsid w:val="00740169"/>
    <w:rsid w:val="00740FE3"/>
    <w:rsid w:val="00742B21"/>
    <w:rsid w:val="00742DBE"/>
    <w:rsid w:val="00742F40"/>
    <w:rsid w:val="00743DB3"/>
    <w:rsid w:val="00744271"/>
    <w:rsid w:val="00744EB5"/>
    <w:rsid w:val="0074536F"/>
    <w:rsid w:val="00746B64"/>
    <w:rsid w:val="00746E03"/>
    <w:rsid w:val="007473F8"/>
    <w:rsid w:val="0074788A"/>
    <w:rsid w:val="00747EEE"/>
    <w:rsid w:val="00750724"/>
    <w:rsid w:val="00750E6D"/>
    <w:rsid w:val="00750F4E"/>
    <w:rsid w:val="0075170A"/>
    <w:rsid w:val="00751815"/>
    <w:rsid w:val="00751B2B"/>
    <w:rsid w:val="00752428"/>
    <w:rsid w:val="00752523"/>
    <w:rsid w:val="007542CB"/>
    <w:rsid w:val="00755B31"/>
    <w:rsid w:val="00755F4E"/>
    <w:rsid w:val="007560C2"/>
    <w:rsid w:val="007574F3"/>
    <w:rsid w:val="00757959"/>
    <w:rsid w:val="0076021E"/>
    <w:rsid w:val="00760739"/>
    <w:rsid w:val="0076088D"/>
    <w:rsid w:val="00761442"/>
    <w:rsid w:val="00761883"/>
    <w:rsid w:val="0076289F"/>
    <w:rsid w:val="007630F7"/>
    <w:rsid w:val="00763FC2"/>
    <w:rsid w:val="007652AD"/>
    <w:rsid w:val="007652F9"/>
    <w:rsid w:val="007700F4"/>
    <w:rsid w:val="007717EA"/>
    <w:rsid w:val="00771E49"/>
    <w:rsid w:val="0077231A"/>
    <w:rsid w:val="007723A5"/>
    <w:rsid w:val="00772E8C"/>
    <w:rsid w:val="00773E4A"/>
    <w:rsid w:val="00774189"/>
    <w:rsid w:val="00774260"/>
    <w:rsid w:val="007744CC"/>
    <w:rsid w:val="007750ED"/>
    <w:rsid w:val="007754EF"/>
    <w:rsid w:val="007756ED"/>
    <w:rsid w:val="00775B3D"/>
    <w:rsid w:val="00775B9B"/>
    <w:rsid w:val="00775C77"/>
    <w:rsid w:val="00775E5F"/>
    <w:rsid w:val="00776987"/>
    <w:rsid w:val="0078007E"/>
    <w:rsid w:val="00780367"/>
    <w:rsid w:val="00780A60"/>
    <w:rsid w:val="00780C7E"/>
    <w:rsid w:val="00780DA4"/>
    <w:rsid w:val="007814D1"/>
    <w:rsid w:val="0078197F"/>
    <w:rsid w:val="007832AB"/>
    <w:rsid w:val="00783B41"/>
    <w:rsid w:val="00783FE1"/>
    <w:rsid w:val="00784312"/>
    <w:rsid w:val="007854DE"/>
    <w:rsid w:val="0078602D"/>
    <w:rsid w:val="00786690"/>
    <w:rsid w:val="0078736D"/>
    <w:rsid w:val="0078789E"/>
    <w:rsid w:val="007878AE"/>
    <w:rsid w:val="007879B0"/>
    <w:rsid w:val="00787AE3"/>
    <w:rsid w:val="0079015E"/>
    <w:rsid w:val="00790A32"/>
    <w:rsid w:val="00790B26"/>
    <w:rsid w:val="00790EF4"/>
    <w:rsid w:val="007911C9"/>
    <w:rsid w:val="007914A4"/>
    <w:rsid w:val="007917F7"/>
    <w:rsid w:val="00791F5B"/>
    <w:rsid w:val="007922EE"/>
    <w:rsid w:val="00792B98"/>
    <w:rsid w:val="0079337A"/>
    <w:rsid w:val="00793BE3"/>
    <w:rsid w:val="00794140"/>
    <w:rsid w:val="00794727"/>
    <w:rsid w:val="00794A26"/>
    <w:rsid w:val="00795394"/>
    <w:rsid w:val="00797181"/>
    <w:rsid w:val="0079749A"/>
    <w:rsid w:val="00797808"/>
    <w:rsid w:val="00797B15"/>
    <w:rsid w:val="00797FC9"/>
    <w:rsid w:val="007A0868"/>
    <w:rsid w:val="007A1485"/>
    <w:rsid w:val="007A368A"/>
    <w:rsid w:val="007A5C4E"/>
    <w:rsid w:val="007A65F6"/>
    <w:rsid w:val="007A6CD5"/>
    <w:rsid w:val="007A7E11"/>
    <w:rsid w:val="007B01B4"/>
    <w:rsid w:val="007B0403"/>
    <w:rsid w:val="007B0892"/>
    <w:rsid w:val="007B09E5"/>
    <w:rsid w:val="007B12EA"/>
    <w:rsid w:val="007B14F6"/>
    <w:rsid w:val="007B1770"/>
    <w:rsid w:val="007B1996"/>
    <w:rsid w:val="007B1EE0"/>
    <w:rsid w:val="007B2927"/>
    <w:rsid w:val="007B29CF"/>
    <w:rsid w:val="007B2FE8"/>
    <w:rsid w:val="007B432B"/>
    <w:rsid w:val="007B43F1"/>
    <w:rsid w:val="007B47D5"/>
    <w:rsid w:val="007B544C"/>
    <w:rsid w:val="007B5BCC"/>
    <w:rsid w:val="007B6033"/>
    <w:rsid w:val="007B6495"/>
    <w:rsid w:val="007B7961"/>
    <w:rsid w:val="007B7AC2"/>
    <w:rsid w:val="007B7C75"/>
    <w:rsid w:val="007C0731"/>
    <w:rsid w:val="007C0796"/>
    <w:rsid w:val="007C10E4"/>
    <w:rsid w:val="007C1F3A"/>
    <w:rsid w:val="007C236F"/>
    <w:rsid w:val="007C3F8A"/>
    <w:rsid w:val="007C564F"/>
    <w:rsid w:val="007C6514"/>
    <w:rsid w:val="007C6F3F"/>
    <w:rsid w:val="007D0ED6"/>
    <w:rsid w:val="007D1A71"/>
    <w:rsid w:val="007D1D6A"/>
    <w:rsid w:val="007D2BB1"/>
    <w:rsid w:val="007D2DAF"/>
    <w:rsid w:val="007D37B8"/>
    <w:rsid w:val="007D3FEC"/>
    <w:rsid w:val="007D45E5"/>
    <w:rsid w:val="007D50D4"/>
    <w:rsid w:val="007D6170"/>
    <w:rsid w:val="007D65CD"/>
    <w:rsid w:val="007D7316"/>
    <w:rsid w:val="007D7633"/>
    <w:rsid w:val="007E0014"/>
    <w:rsid w:val="007E0881"/>
    <w:rsid w:val="007E0A72"/>
    <w:rsid w:val="007E16DC"/>
    <w:rsid w:val="007E1984"/>
    <w:rsid w:val="007E25E2"/>
    <w:rsid w:val="007E3192"/>
    <w:rsid w:val="007E3A15"/>
    <w:rsid w:val="007E3B0C"/>
    <w:rsid w:val="007E49E8"/>
    <w:rsid w:val="007E56F6"/>
    <w:rsid w:val="007E6414"/>
    <w:rsid w:val="007E6CA7"/>
    <w:rsid w:val="007E6D4B"/>
    <w:rsid w:val="007F1360"/>
    <w:rsid w:val="007F19CB"/>
    <w:rsid w:val="007F24F3"/>
    <w:rsid w:val="007F2DFC"/>
    <w:rsid w:val="007F37C3"/>
    <w:rsid w:val="007F3F56"/>
    <w:rsid w:val="007F460E"/>
    <w:rsid w:val="007F4CC2"/>
    <w:rsid w:val="007F5F12"/>
    <w:rsid w:val="007F6349"/>
    <w:rsid w:val="007F79EF"/>
    <w:rsid w:val="007F7A1F"/>
    <w:rsid w:val="007F7DCD"/>
    <w:rsid w:val="008007CC"/>
    <w:rsid w:val="0080258F"/>
    <w:rsid w:val="00802786"/>
    <w:rsid w:val="00803226"/>
    <w:rsid w:val="00803557"/>
    <w:rsid w:val="008049B1"/>
    <w:rsid w:val="0080544D"/>
    <w:rsid w:val="00805501"/>
    <w:rsid w:val="00806030"/>
    <w:rsid w:val="008109A5"/>
    <w:rsid w:val="00811F3F"/>
    <w:rsid w:val="00812193"/>
    <w:rsid w:val="00812331"/>
    <w:rsid w:val="008128B8"/>
    <w:rsid w:val="00812F6F"/>
    <w:rsid w:val="0081397E"/>
    <w:rsid w:val="008142AE"/>
    <w:rsid w:val="008145D8"/>
    <w:rsid w:val="0081499E"/>
    <w:rsid w:val="00814B7D"/>
    <w:rsid w:val="00814C04"/>
    <w:rsid w:val="00815F1D"/>
    <w:rsid w:val="008160EB"/>
    <w:rsid w:val="008169EF"/>
    <w:rsid w:val="00816CB0"/>
    <w:rsid w:val="00816DA5"/>
    <w:rsid w:val="008175B5"/>
    <w:rsid w:val="00820C4D"/>
    <w:rsid w:val="0082121B"/>
    <w:rsid w:val="008220AA"/>
    <w:rsid w:val="008224AB"/>
    <w:rsid w:val="00822D84"/>
    <w:rsid w:val="00823785"/>
    <w:rsid w:val="0082482D"/>
    <w:rsid w:val="00824CCB"/>
    <w:rsid w:val="0082515A"/>
    <w:rsid w:val="00826216"/>
    <w:rsid w:val="00826602"/>
    <w:rsid w:val="00826989"/>
    <w:rsid w:val="00826A4C"/>
    <w:rsid w:val="00826D4B"/>
    <w:rsid w:val="00826ECD"/>
    <w:rsid w:val="0082782F"/>
    <w:rsid w:val="0083062F"/>
    <w:rsid w:val="00830CF1"/>
    <w:rsid w:val="0083146A"/>
    <w:rsid w:val="00831704"/>
    <w:rsid w:val="00831AA0"/>
    <w:rsid w:val="00831DDA"/>
    <w:rsid w:val="0083234C"/>
    <w:rsid w:val="00832357"/>
    <w:rsid w:val="00832989"/>
    <w:rsid w:val="008329C2"/>
    <w:rsid w:val="0083388A"/>
    <w:rsid w:val="00834253"/>
    <w:rsid w:val="00834EAD"/>
    <w:rsid w:val="00835098"/>
    <w:rsid w:val="00835F22"/>
    <w:rsid w:val="00836A50"/>
    <w:rsid w:val="00836A7E"/>
    <w:rsid w:val="00840FF0"/>
    <w:rsid w:val="00841699"/>
    <w:rsid w:val="008433B2"/>
    <w:rsid w:val="008436B3"/>
    <w:rsid w:val="0084376F"/>
    <w:rsid w:val="00843BF2"/>
    <w:rsid w:val="00844902"/>
    <w:rsid w:val="00844BBF"/>
    <w:rsid w:val="00846D18"/>
    <w:rsid w:val="0084780B"/>
    <w:rsid w:val="008479A6"/>
    <w:rsid w:val="00847F78"/>
    <w:rsid w:val="008517E7"/>
    <w:rsid w:val="00852603"/>
    <w:rsid w:val="00852F9E"/>
    <w:rsid w:val="00853689"/>
    <w:rsid w:val="008537A2"/>
    <w:rsid w:val="00855087"/>
    <w:rsid w:val="00855D97"/>
    <w:rsid w:val="00856ABE"/>
    <w:rsid w:val="00856BFF"/>
    <w:rsid w:val="00856DF5"/>
    <w:rsid w:val="00857A31"/>
    <w:rsid w:val="00857B18"/>
    <w:rsid w:val="00860D37"/>
    <w:rsid w:val="00862242"/>
    <w:rsid w:val="008636E8"/>
    <w:rsid w:val="00863C74"/>
    <w:rsid w:val="008640A2"/>
    <w:rsid w:val="00864443"/>
    <w:rsid w:val="008645C1"/>
    <w:rsid w:val="00864ABE"/>
    <w:rsid w:val="00865376"/>
    <w:rsid w:val="00865B56"/>
    <w:rsid w:val="00865D02"/>
    <w:rsid w:val="00865EF4"/>
    <w:rsid w:val="00866319"/>
    <w:rsid w:val="0087036E"/>
    <w:rsid w:val="008705A2"/>
    <w:rsid w:val="00870BD2"/>
    <w:rsid w:val="008712DA"/>
    <w:rsid w:val="00871A8E"/>
    <w:rsid w:val="00871AAE"/>
    <w:rsid w:val="00872001"/>
    <w:rsid w:val="0087266D"/>
    <w:rsid w:val="00872CF0"/>
    <w:rsid w:val="00873363"/>
    <w:rsid w:val="00875CC2"/>
    <w:rsid w:val="00875EBD"/>
    <w:rsid w:val="00876502"/>
    <w:rsid w:val="00877A30"/>
    <w:rsid w:val="00880283"/>
    <w:rsid w:val="00881210"/>
    <w:rsid w:val="008823CF"/>
    <w:rsid w:val="008829C0"/>
    <w:rsid w:val="008838E8"/>
    <w:rsid w:val="00883E05"/>
    <w:rsid w:val="00884CDD"/>
    <w:rsid w:val="00884D60"/>
    <w:rsid w:val="00885F00"/>
    <w:rsid w:val="0088695F"/>
    <w:rsid w:val="00886B30"/>
    <w:rsid w:val="00887CCE"/>
    <w:rsid w:val="0089053E"/>
    <w:rsid w:val="00891715"/>
    <w:rsid w:val="00891E98"/>
    <w:rsid w:val="008931C5"/>
    <w:rsid w:val="008934A3"/>
    <w:rsid w:val="00893517"/>
    <w:rsid w:val="00893C60"/>
    <w:rsid w:val="0089464B"/>
    <w:rsid w:val="00895728"/>
    <w:rsid w:val="008958B4"/>
    <w:rsid w:val="008962D3"/>
    <w:rsid w:val="0089769C"/>
    <w:rsid w:val="008A0002"/>
    <w:rsid w:val="008A1097"/>
    <w:rsid w:val="008A1531"/>
    <w:rsid w:val="008A2955"/>
    <w:rsid w:val="008A339F"/>
    <w:rsid w:val="008A3566"/>
    <w:rsid w:val="008A3A71"/>
    <w:rsid w:val="008A3EFB"/>
    <w:rsid w:val="008A4775"/>
    <w:rsid w:val="008A48E1"/>
    <w:rsid w:val="008A5235"/>
    <w:rsid w:val="008A558B"/>
    <w:rsid w:val="008A5AD8"/>
    <w:rsid w:val="008A5ED2"/>
    <w:rsid w:val="008A62FB"/>
    <w:rsid w:val="008A6C1B"/>
    <w:rsid w:val="008A6CFD"/>
    <w:rsid w:val="008A7387"/>
    <w:rsid w:val="008B03FA"/>
    <w:rsid w:val="008B065D"/>
    <w:rsid w:val="008B0F65"/>
    <w:rsid w:val="008B12AC"/>
    <w:rsid w:val="008B230B"/>
    <w:rsid w:val="008B337D"/>
    <w:rsid w:val="008B3383"/>
    <w:rsid w:val="008B4B78"/>
    <w:rsid w:val="008B4FC1"/>
    <w:rsid w:val="008B5970"/>
    <w:rsid w:val="008B5DCF"/>
    <w:rsid w:val="008B5F9B"/>
    <w:rsid w:val="008B6365"/>
    <w:rsid w:val="008B6AB4"/>
    <w:rsid w:val="008B7C8C"/>
    <w:rsid w:val="008B7EE0"/>
    <w:rsid w:val="008C0006"/>
    <w:rsid w:val="008C05F1"/>
    <w:rsid w:val="008C0738"/>
    <w:rsid w:val="008C0D84"/>
    <w:rsid w:val="008C0E84"/>
    <w:rsid w:val="008C257C"/>
    <w:rsid w:val="008C2EC3"/>
    <w:rsid w:val="008C31CE"/>
    <w:rsid w:val="008C380E"/>
    <w:rsid w:val="008C382A"/>
    <w:rsid w:val="008C3CA4"/>
    <w:rsid w:val="008C463A"/>
    <w:rsid w:val="008C4922"/>
    <w:rsid w:val="008C4EAD"/>
    <w:rsid w:val="008C525C"/>
    <w:rsid w:val="008C567E"/>
    <w:rsid w:val="008C5AE2"/>
    <w:rsid w:val="008D045E"/>
    <w:rsid w:val="008D0BB1"/>
    <w:rsid w:val="008D0BBA"/>
    <w:rsid w:val="008D258D"/>
    <w:rsid w:val="008D27FF"/>
    <w:rsid w:val="008D407B"/>
    <w:rsid w:val="008D4DFE"/>
    <w:rsid w:val="008D7316"/>
    <w:rsid w:val="008D7479"/>
    <w:rsid w:val="008E28D8"/>
    <w:rsid w:val="008E34C5"/>
    <w:rsid w:val="008E3F9F"/>
    <w:rsid w:val="008E40D9"/>
    <w:rsid w:val="008E4D70"/>
    <w:rsid w:val="008E5029"/>
    <w:rsid w:val="008E58E5"/>
    <w:rsid w:val="008E5CF7"/>
    <w:rsid w:val="008E604C"/>
    <w:rsid w:val="008E6D49"/>
    <w:rsid w:val="008E7D37"/>
    <w:rsid w:val="008F0B93"/>
    <w:rsid w:val="008F0FBC"/>
    <w:rsid w:val="008F1ADA"/>
    <w:rsid w:val="008F28D5"/>
    <w:rsid w:val="008F2C78"/>
    <w:rsid w:val="008F34E4"/>
    <w:rsid w:val="008F52BF"/>
    <w:rsid w:val="008F6592"/>
    <w:rsid w:val="008F6FC9"/>
    <w:rsid w:val="0090036A"/>
    <w:rsid w:val="0090235F"/>
    <w:rsid w:val="00902636"/>
    <w:rsid w:val="00902771"/>
    <w:rsid w:val="00903199"/>
    <w:rsid w:val="0090334C"/>
    <w:rsid w:val="00903A79"/>
    <w:rsid w:val="00904783"/>
    <w:rsid w:val="0090490E"/>
    <w:rsid w:val="009054A8"/>
    <w:rsid w:val="00905ADF"/>
    <w:rsid w:val="00907286"/>
    <w:rsid w:val="00907295"/>
    <w:rsid w:val="009073CD"/>
    <w:rsid w:val="00910965"/>
    <w:rsid w:val="00910A0F"/>
    <w:rsid w:val="00911021"/>
    <w:rsid w:val="009110FE"/>
    <w:rsid w:val="0091191D"/>
    <w:rsid w:val="00913875"/>
    <w:rsid w:val="00913DD0"/>
    <w:rsid w:val="0091438D"/>
    <w:rsid w:val="00914A4D"/>
    <w:rsid w:val="00915024"/>
    <w:rsid w:val="00915646"/>
    <w:rsid w:val="009156B8"/>
    <w:rsid w:val="00917458"/>
    <w:rsid w:val="0091772E"/>
    <w:rsid w:val="00917F3C"/>
    <w:rsid w:val="00917F4B"/>
    <w:rsid w:val="0092037B"/>
    <w:rsid w:val="00920982"/>
    <w:rsid w:val="00920CE6"/>
    <w:rsid w:val="0092183E"/>
    <w:rsid w:val="00921D46"/>
    <w:rsid w:val="009224CA"/>
    <w:rsid w:val="009226E9"/>
    <w:rsid w:val="00922819"/>
    <w:rsid w:val="00922934"/>
    <w:rsid w:val="00923D6D"/>
    <w:rsid w:val="0092403B"/>
    <w:rsid w:val="00924C16"/>
    <w:rsid w:val="00925591"/>
    <w:rsid w:val="00925733"/>
    <w:rsid w:val="00925C62"/>
    <w:rsid w:val="00927021"/>
    <w:rsid w:val="0093078D"/>
    <w:rsid w:val="00932298"/>
    <w:rsid w:val="00932926"/>
    <w:rsid w:val="00932B79"/>
    <w:rsid w:val="00933980"/>
    <w:rsid w:val="009342BB"/>
    <w:rsid w:val="00934D44"/>
    <w:rsid w:val="009352A4"/>
    <w:rsid w:val="00935CF5"/>
    <w:rsid w:val="00935F69"/>
    <w:rsid w:val="009362FF"/>
    <w:rsid w:val="009367AA"/>
    <w:rsid w:val="00940E06"/>
    <w:rsid w:val="009410C0"/>
    <w:rsid w:val="00941355"/>
    <w:rsid w:val="009423D4"/>
    <w:rsid w:val="0094272D"/>
    <w:rsid w:val="0094313C"/>
    <w:rsid w:val="00943722"/>
    <w:rsid w:val="009437AA"/>
    <w:rsid w:val="00943F7A"/>
    <w:rsid w:val="009447EC"/>
    <w:rsid w:val="00944BB6"/>
    <w:rsid w:val="00944E20"/>
    <w:rsid w:val="00946101"/>
    <w:rsid w:val="00946DC1"/>
    <w:rsid w:val="00947E95"/>
    <w:rsid w:val="0095088E"/>
    <w:rsid w:val="00950951"/>
    <w:rsid w:val="00950A3D"/>
    <w:rsid w:val="00952B9F"/>
    <w:rsid w:val="009531BB"/>
    <w:rsid w:val="00953A0D"/>
    <w:rsid w:val="0095573D"/>
    <w:rsid w:val="009557CE"/>
    <w:rsid w:val="00955CF8"/>
    <w:rsid w:val="00955F50"/>
    <w:rsid w:val="0095737E"/>
    <w:rsid w:val="00957DE3"/>
    <w:rsid w:val="0095C55D"/>
    <w:rsid w:val="0096007D"/>
    <w:rsid w:val="0096024D"/>
    <w:rsid w:val="00960D01"/>
    <w:rsid w:val="0096114A"/>
    <w:rsid w:val="009611E4"/>
    <w:rsid w:val="0096150D"/>
    <w:rsid w:val="00962ED2"/>
    <w:rsid w:val="0096474E"/>
    <w:rsid w:val="00964976"/>
    <w:rsid w:val="00964DB6"/>
    <w:rsid w:val="00964DF9"/>
    <w:rsid w:val="009659A1"/>
    <w:rsid w:val="00965ACC"/>
    <w:rsid w:val="00965FFC"/>
    <w:rsid w:val="00966215"/>
    <w:rsid w:val="009667AF"/>
    <w:rsid w:val="00966CC1"/>
    <w:rsid w:val="0096709A"/>
    <w:rsid w:val="0096716F"/>
    <w:rsid w:val="00967192"/>
    <w:rsid w:val="00970842"/>
    <w:rsid w:val="00970C2D"/>
    <w:rsid w:val="00971539"/>
    <w:rsid w:val="00971817"/>
    <w:rsid w:val="009721D0"/>
    <w:rsid w:val="009727DD"/>
    <w:rsid w:val="00973600"/>
    <w:rsid w:val="00973C79"/>
    <w:rsid w:val="00975315"/>
    <w:rsid w:val="00977681"/>
    <w:rsid w:val="00977B31"/>
    <w:rsid w:val="00981904"/>
    <w:rsid w:val="0098255F"/>
    <w:rsid w:val="00982AD2"/>
    <w:rsid w:val="00983203"/>
    <w:rsid w:val="00983667"/>
    <w:rsid w:val="009837F8"/>
    <w:rsid w:val="00984997"/>
    <w:rsid w:val="00984E19"/>
    <w:rsid w:val="0098535A"/>
    <w:rsid w:val="009853DC"/>
    <w:rsid w:val="00985689"/>
    <w:rsid w:val="00985C0F"/>
    <w:rsid w:val="00986C53"/>
    <w:rsid w:val="009900AC"/>
    <w:rsid w:val="0099254C"/>
    <w:rsid w:val="00992B2C"/>
    <w:rsid w:val="00993237"/>
    <w:rsid w:val="00993366"/>
    <w:rsid w:val="00993B93"/>
    <w:rsid w:val="009946DF"/>
    <w:rsid w:val="0099569F"/>
    <w:rsid w:val="00995D34"/>
    <w:rsid w:val="00995EA7"/>
    <w:rsid w:val="009975FE"/>
    <w:rsid w:val="00998A47"/>
    <w:rsid w:val="0099D1E9"/>
    <w:rsid w:val="009A1250"/>
    <w:rsid w:val="009A154B"/>
    <w:rsid w:val="009A1AC3"/>
    <w:rsid w:val="009A1BD6"/>
    <w:rsid w:val="009A2278"/>
    <w:rsid w:val="009A275F"/>
    <w:rsid w:val="009A2B4C"/>
    <w:rsid w:val="009A3FF7"/>
    <w:rsid w:val="009A4D15"/>
    <w:rsid w:val="009A51D1"/>
    <w:rsid w:val="009A5E41"/>
    <w:rsid w:val="009A6067"/>
    <w:rsid w:val="009A7916"/>
    <w:rsid w:val="009A79FA"/>
    <w:rsid w:val="009B0489"/>
    <w:rsid w:val="009B0B45"/>
    <w:rsid w:val="009B1C01"/>
    <w:rsid w:val="009B2C57"/>
    <w:rsid w:val="009B2CBD"/>
    <w:rsid w:val="009B39B0"/>
    <w:rsid w:val="009B477B"/>
    <w:rsid w:val="009B7199"/>
    <w:rsid w:val="009B7654"/>
    <w:rsid w:val="009B7A4C"/>
    <w:rsid w:val="009B7E7B"/>
    <w:rsid w:val="009C0452"/>
    <w:rsid w:val="009C04BC"/>
    <w:rsid w:val="009C053F"/>
    <w:rsid w:val="009C0D6F"/>
    <w:rsid w:val="009C219A"/>
    <w:rsid w:val="009C2F60"/>
    <w:rsid w:val="009C32AB"/>
    <w:rsid w:val="009C4370"/>
    <w:rsid w:val="009C47A4"/>
    <w:rsid w:val="009C4D9B"/>
    <w:rsid w:val="009C4F22"/>
    <w:rsid w:val="009C5218"/>
    <w:rsid w:val="009C583A"/>
    <w:rsid w:val="009C59C0"/>
    <w:rsid w:val="009C5A76"/>
    <w:rsid w:val="009C6463"/>
    <w:rsid w:val="009C6718"/>
    <w:rsid w:val="009C68D4"/>
    <w:rsid w:val="009C6AD8"/>
    <w:rsid w:val="009C7285"/>
    <w:rsid w:val="009D029B"/>
    <w:rsid w:val="009D0543"/>
    <w:rsid w:val="009D0B09"/>
    <w:rsid w:val="009D1823"/>
    <w:rsid w:val="009D18FA"/>
    <w:rsid w:val="009D1AC7"/>
    <w:rsid w:val="009D2503"/>
    <w:rsid w:val="009D2C3C"/>
    <w:rsid w:val="009D2FFD"/>
    <w:rsid w:val="009D32AB"/>
    <w:rsid w:val="009D3F19"/>
    <w:rsid w:val="009D41F1"/>
    <w:rsid w:val="009D44C8"/>
    <w:rsid w:val="009D4B62"/>
    <w:rsid w:val="009D5CD1"/>
    <w:rsid w:val="009D5DB4"/>
    <w:rsid w:val="009D6954"/>
    <w:rsid w:val="009D6A51"/>
    <w:rsid w:val="009D7045"/>
    <w:rsid w:val="009D7B3D"/>
    <w:rsid w:val="009E054A"/>
    <w:rsid w:val="009E0BC5"/>
    <w:rsid w:val="009E0F38"/>
    <w:rsid w:val="009E0F6A"/>
    <w:rsid w:val="009E1D78"/>
    <w:rsid w:val="009E2089"/>
    <w:rsid w:val="009E219F"/>
    <w:rsid w:val="009E3188"/>
    <w:rsid w:val="009E3654"/>
    <w:rsid w:val="009E36AC"/>
    <w:rsid w:val="009E3B73"/>
    <w:rsid w:val="009E43B6"/>
    <w:rsid w:val="009E45D5"/>
    <w:rsid w:val="009E4C80"/>
    <w:rsid w:val="009E52ED"/>
    <w:rsid w:val="009E63DF"/>
    <w:rsid w:val="009E6A81"/>
    <w:rsid w:val="009F0242"/>
    <w:rsid w:val="009F248D"/>
    <w:rsid w:val="009F24D8"/>
    <w:rsid w:val="009F3009"/>
    <w:rsid w:val="009F3F14"/>
    <w:rsid w:val="009F4473"/>
    <w:rsid w:val="009F4933"/>
    <w:rsid w:val="009F6599"/>
    <w:rsid w:val="009F6B92"/>
    <w:rsid w:val="009F7104"/>
    <w:rsid w:val="009F7F50"/>
    <w:rsid w:val="00A0017D"/>
    <w:rsid w:val="00A004F9"/>
    <w:rsid w:val="00A009E0"/>
    <w:rsid w:val="00A01004"/>
    <w:rsid w:val="00A01635"/>
    <w:rsid w:val="00A023F9"/>
    <w:rsid w:val="00A02E89"/>
    <w:rsid w:val="00A030CF"/>
    <w:rsid w:val="00A03E23"/>
    <w:rsid w:val="00A04171"/>
    <w:rsid w:val="00A04D9D"/>
    <w:rsid w:val="00A04F85"/>
    <w:rsid w:val="00A05279"/>
    <w:rsid w:val="00A065B1"/>
    <w:rsid w:val="00A06A2C"/>
    <w:rsid w:val="00A07092"/>
    <w:rsid w:val="00A07B87"/>
    <w:rsid w:val="00A105E0"/>
    <w:rsid w:val="00A1075B"/>
    <w:rsid w:val="00A1166F"/>
    <w:rsid w:val="00A12257"/>
    <w:rsid w:val="00A1261F"/>
    <w:rsid w:val="00A142BB"/>
    <w:rsid w:val="00A14337"/>
    <w:rsid w:val="00A15039"/>
    <w:rsid w:val="00A150D5"/>
    <w:rsid w:val="00A15258"/>
    <w:rsid w:val="00A161A3"/>
    <w:rsid w:val="00A20351"/>
    <w:rsid w:val="00A20A7A"/>
    <w:rsid w:val="00A21202"/>
    <w:rsid w:val="00A22493"/>
    <w:rsid w:val="00A239E5"/>
    <w:rsid w:val="00A24617"/>
    <w:rsid w:val="00A25C1F"/>
    <w:rsid w:val="00A26526"/>
    <w:rsid w:val="00A26E31"/>
    <w:rsid w:val="00A270FE"/>
    <w:rsid w:val="00A2724D"/>
    <w:rsid w:val="00A2730C"/>
    <w:rsid w:val="00A308C9"/>
    <w:rsid w:val="00A31134"/>
    <w:rsid w:val="00A31E97"/>
    <w:rsid w:val="00A32D4A"/>
    <w:rsid w:val="00A3301E"/>
    <w:rsid w:val="00A333D0"/>
    <w:rsid w:val="00A33655"/>
    <w:rsid w:val="00A3433B"/>
    <w:rsid w:val="00A34556"/>
    <w:rsid w:val="00A3508C"/>
    <w:rsid w:val="00A350A0"/>
    <w:rsid w:val="00A35CD3"/>
    <w:rsid w:val="00A36348"/>
    <w:rsid w:val="00A37918"/>
    <w:rsid w:val="00A4101B"/>
    <w:rsid w:val="00A4114E"/>
    <w:rsid w:val="00A4117D"/>
    <w:rsid w:val="00A4159D"/>
    <w:rsid w:val="00A415C4"/>
    <w:rsid w:val="00A4174B"/>
    <w:rsid w:val="00A41966"/>
    <w:rsid w:val="00A43498"/>
    <w:rsid w:val="00A43FAF"/>
    <w:rsid w:val="00A44545"/>
    <w:rsid w:val="00A445DC"/>
    <w:rsid w:val="00A45539"/>
    <w:rsid w:val="00A45BA4"/>
    <w:rsid w:val="00A46034"/>
    <w:rsid w:val="00A46550"/>
    <w:rsid w:val="00A46BF2"/>
    <w:rsid w:val="00A47882"/>
    <w:rsid w:val="00A47968"/>
    <w:rsid w:val="00A47A07"/>
    <w:rsid w:val="00A50D5F"/>
    <w:rsid w:val="00A51596"/>
    <w:rsid w:val="00A5180D"/>
    <w:rsid w:val="00A52234"/>
    <w:rsid w:val="00A52618"/>
    <w:rsid w:val="00A527C2"/>
    <w:rsid w:val="00A5368B"/>
    <w:rsid w:val="00A53E2B"/>
    <w:rsid w:val="00A54173"/>
    <w:rsid w:val="00A545A3"/>
    <w:rsid w:val="00A545AC"/>
    <w:rsid w:val="00A55560"/>
    <w:rsid w:val="00A56266"/>
    <w:rsid w:val="00A56453"/>
    <w:rsid w:val="00A57534"/>
    <w:rsid w:val="00A57779"/>
    <w:rsid w:val="00A6003B"/>
    <w:rsid w:val="00A60718"/>
    <w:rsid w:val="00A6135B"/>
    <w:rsid w:val="00A62024"/>
    <w:rsid w:val="00A62284"/>
    <w:rsid w:val="00A629B4"/>
    <w:rsid w:val="00A62E32"/>
    <w:rsid w:val="00A631E9"/>
    <w:rsid w:val="00A64328"/>
    <w:rsid w:val="00A64D28"/>
    <w:rsid w:val="00A64D74"/>
    <w:rsid w:val="00A65974"/>
    <w:rsid w:val="00A65B8F"/>
    <w:rsid w:val="00A66017"/>
    <w:rsid w:val="00A66C78"/>
    <w:rsid w:val="00A673F2"/>
    <w:rsid w:val="00A704F3"/>
    <w:rsid w:val="00A70541"/>
    <w:rsid w:val="00A7169D"/>
    <w:rsid w:val="00A71D1C"/>
    <w:rsid w:val="00A71ECE"/>
    <w:rsid w:val="00A7333E"/>
    <w:rsid w:val="00A7387A"/>
    <w:rsid w:val="00A73970"/>
    <w:rsid w:val="00A743B3"/>
    <w:rsid w:val="00A7486D"/>
    <w:rsid w:val="00A74B9E"/>
    <w:rsid w:val="00A755CD"/>
    <w:rsid w:val="00A7729B"/>
    <w:rsid w:val="00A7797B"/>
    <w:rsid w:val="00A8029A"/>
    <w:rsid w:val="00A80A64"/>
    <w:rsid w:val="00A8283E"/>
    <w:rsid w:val="00A82CD7"/>
    <w:rsid w:val="00A82F24"/>
    <w:rsid w:val="00A84346"/>
    <w:rsid w:val="00A84B03"/>
    <w:rsid w:val="00A84D4F"/>
    <w:rsid w:val="00A85557"/>
    <w:rsid w:val="00A86E1E"/>
    <w:rsid w:val="00A90777"/>
    <w:rsid w:val="00A9142C"/>
    <w:rsid w:val="00A915F4"/>
    <w:rsid w:val="00A92EDF"/>
    <w:rsid w:val="00A94C7A"/>
    <w:rsid w:val="00A94EEB"/>
    <w:rsid w:val="00A96AD9"/>
    <w:rsid w:val="00A97A73"/>
    <w:rsid w:val="00A97DF8"/>
    <w:rsid w:val="00AA001D"/>
    <w:rsid w:val="00AA023F"/>
    <w:rsid w:val="00AA0275"/>
    <w:rsid w:val="00AA08CA"/>
    <w:rsid w:val="00AA12A2"/>
    <w:rsid w:val="00AA384D"/>
    <w:rsid w:val="00AA4441"/>
    <w:rsid w:val="00AA48B9"/>
    <w:rsid w:val="00AA4A22"/>
    <w:rsid w:val="00AA4E94"/>
    <w:rsid w:val="00AA5014"/>
    <w:rsid w:val="00AA5556"/>
    <w:rsid w:val="00AA5CC4"/>
    <w:rsid w:val="00AA6707"/>
    <w:rsid w:val="00AA6722"/>
    <w:rsid w:val="00AA7416"/>
    <w:rsid w:val="00AA7B3F"/>
    <w:rsid w:val="00AA7BE8"/>
    <w:rsid w:val="00AB02A3"/>
    <w:rsid w:val="00AB02C1"/>
    <w:rsid w:val="00AB04F8"/>
    <w:rsid w:val="00AB0CB2"/>
    <w:rsid w:val="00AB0DC9"/>
    <w:rsid w:val="00AB1121"/>
    <w:rsid w:val="00AB1145"/>
    <w:rsid w:val="00AB162E"/>
    <w:rsid w:val="00AB20E4"/>
    <w:rsid w:val="00AB2807"/>
    <w:rsid w:val="00AB2C93"/>
    <w:rsid w:val="00AB3CB7"/>
    <w:rsid w:val="00AB461D"/>
    <w:rsid w:val="00AB4693"/>
    <w:rsid w:val="00AB49CA"/>
    <w:rsid w:val="00AB4A45"/>
    <w:rsid w:val="00AB4BA1"/>
    <w:rsid w:val="00AB6851"/>
    <w:rsid w:val="00AB68A9"/>
    <w:rsid w:val="00AB68BE"/>
    <w:rsid w:val="00AB750D"/>
    <w:rsid w:val="00AC065A"/>
    <w:rsid w:val="00AC0671"/>
    <w:rsid w:val="00AC09BD"/>
    <w:rsid w:val="00AC0FEC"/>
    <w:rsid w:val="00AC1EC0"/>
    <w:rsid w:val="00AC224A"/>
    <w:rsid w:val="00AC2826"/>
    <w:rsid w:val="00AC31FD"/>
    <w:rsid w:val="00AC3CEA"/>
    <w:rsid w:val="00AC41E9"/>
    <w:rsid w:val="00AC5298"/>
    <w:rsid w:val="00AC5341"/>
    <w:rsid w:val="00AC5BD6"/>
    <w:rsid w:val="00AC5CC6"/>
    <w:rsid w:val="00AC7A2F"/>
    <w:rsid w:val="00AD2A4D"/>
    <w:rsid w:val="00AD3022"/>
    <w:rsid w:val="00AD3A96"/>
    <w:rsid w:val="00AD40D5"/>
    <w:rsid w:val="00AD52AE"/>
    <w:rsid w:val="00AD770E"/>
    <w:rsid w:val="00AD7976"/>
    <w:rsid w:val="00AE05D6"/>
    <w:rsid w:val="00AE0A69"/>
    <w:rsid w:val="00AE0FF6"/>
    <w:rsid w:val="00AE1506"/>
    <w:rsid w:val="00AE1B2A"/>
    <w:rsid w:val="00AE308F"/>
    <w:rsid w:val="00AE497B"/>
    <w:rsid w:val="00AE4EAD"/>
    <w:rsid w:val="00AE5514"/>
    <w:rsid w:val="00AE56D1"/>
    <w:rsid w:val="00AE6152"/>
    <w:rsid w:val="00AE63F9"/>
    <w:rsid w:val="00AE66D0"/>
    <w:rsid w:val="00AE67BA"/>
    <w:rsid w:val="00AE6967"/>
    <w:rsid w:val="00AE77CE"/>
    <w:rsid w:val="00AE7B33"/>
    <w:rsid w:val="00AF058D"/>
    <w:rsid w:val="00AF0926"/>
    <w:rsid w:val="00AF0F42"/>
    <w:rsid w:val="00AF13DB"/>
    <w:rsid w:val="00AF2128"/>
    <w:rsid w:val="00AF267A"/>
    <w:rsid w:val="00AF27D6"/>
    <w:rsid w:val="00AF29C3"/>
    <w:rsid w:val="00AF2ED7"/>
    <w:rsid w:val="00AF3AAD"/>
    <w:rsid w:val="00AF4C31"/>
    <w:rsid w:val="00AF574F"/>
    <w:rsid w:val="00AF5B4C"/>
    <w:rsid w:val="00AF61E5"/>
    <w:rsid w:val="00AF6A92"/>
    <w:rsid w:val="00AF6EC1"/>
    <w:rsid w:val="00AF7806"/>
    <w:rsid w:val="00AF7C85"/>
    <w:rsid w:val="00B023C5"/>
    <w:rsid w:val="00B03DF9"/>
    <w:rsid w:val="00B04000"/>
    <w:rsid w:val="00B05096"/>
    <w:rsid w:val="00B050F0"/>
    <w:rsid w:val="00B05735"/>
    <w:rsid w:val="00B05B97"/>
    <w:rsid w:val="00B05E2B"/>
    <w:rsid w:val="00B07051"/>
    <w:rsid w:val="00B07200"/>
    <w:rsid w:val="00B11294"/>
    <w:rsid w:val="00B126D9"/>
    <w:rsid w:val="00B12CA4"/>
    <w:rsid w:val="00B1381A"/>
    <w:rsid w:val="00B13A55"/>
    <w:rsid w:val="00B14137"/>
    <w:rsid w:val="00B14393"/>
    <w:rsid w:val="00B148EF"/>
    <w:rsid w:val="00B14C6D"/>
    <w:rsid w:val="00B15091"/>
    <w:rsid w:val="00B163D8"/>
    <w:rsid w:val="00B16FE6"/>
    <w:rsid w:val="00B17323"/>
    <w:rsid w:val="00B20DC0"/>
    <w:rsid w:val="00B218D9"/>
    <w:rsid w:val="00B22949"/>
    <w:rsid w:val="00B232EC"/>
    <w:rsid w:val="00B24295"/>
    <w:rsid w:val="00B2562A"/>
    <w:rsid w:val="00B25886"/>
    <w:rsid w:val="00B278ED"/>
    <w:rsid w:val="00B27987"/>
    <w:rsid w:val="00B27CC3"/>
    <w:rsid w:val="00B3006B"/>
    <w:rsid w:val="00B30FE2"/>
    <w:rsid w:val="00B32C31"/>
    <w:rsid w:val="00B33CB5"/>
    <w:rsid w:val="00B341F9"/>
    <w:rsid w:val="00B34388"/>
    <w:rsid w:val="00B343DD"/>
    <w:rsid w:val="00B346D1"/>
    <w:rsid w:val="00B3480F"/>
    <w:rsid w:val="00B34A53"/>
    <w:rsid w:val="00B35682"/>
    <w:rsid w:val="00B36EAC"/>
    <w:rsid w:val="00B36F6E"/>
    <w:rsid w:val="00B4073B"/>
    <w:rsid w:val="00B40A9F"/>
    <w:rsid w:val="00B447CF"/>
    <w:rsid w:val="00B44AE1"/>
    <w:rsid w:val="00B450D1"/>
    <w:rsid w:val="00B457CA"/>
    <w:rsid w:val="00B4739E"/>
    <w:rsid w:val="00B47D01"/>
    <w:rsid w:val="00B5005A"/>
    <w:rsid w:val="00B507B9"/>
    <w:rsid w:val="00B50F39"/>
    <w:rsid w:val="00B510F5"/>
    <w:rsid w:val="00B5131C"/>
    <w:rsid w:val="00B5135A"/>
    <w:rsid w:val="00B52883"/>
    <w:rsid w:val="00B52AE6"/>
    <w:rsid w:val="00B52D66"/>
    <w:rsid w:val="00B5488C"/>
    <w:rsid w:val="00B55054"/>
    <w:rsid w:val="00B55D2E"/>
    <w:rsid w:val="00B5606A"/>
    <w:rsid w:val="00B56BB6"/>
    <w:rsid w:val="00B572B1"/>
    <w:rsid w:val="00B575F2"/>
    <w:rsid w:val="00B6013F"/>
    <w:rsid w:val="00B61A04"/>
    <w:rsid w:val="00B61A2C"/>
    <w:rsid w:val="00B62B95"/>
    <w:rsid w:val="00B62EAF"/>
    <w:rsid w:val="00B63F62"/>
    <w:rsid w:val="00B64306"/>
    <w:rsid w:val="00B64458"/>
    <w:rsid w:val="00B6448B"/>
    <w:rsid w:val="00B65765"/>
    <w:rsid w:val="00B65D53"/>
    <w:rsid w:val="00B66243"/>
    <w:rsid w:val="00B67DBB"/>
    <w:rsid w:val="00B70815"/>
    <w:rsid w:val="00B7136E"/>
    <w:rsid w:val="00B7149F"/>
    <w:rsid w:val="00B71C68"/>
    <w:rsid w:val="00B73083"/>
    <w:rsid w:val="00B73DE2"/>
    <w:rsid w:val="00B73F6A"/>
    <w:rsid w:val="00B74344"/>
    <w:rsid w:val="00B74566"/>
    <w:rsid w:val="00B74CAD"/>
    <w:rsid w:val="00B75F42"/>
    <w:rsid w:val="00B7613B"/>
    <w:rsid w:val="00B76413"/>
    <w:rsid w:val="00B76A19"/>
    <w:rsid w:val="00B76EBF"/>
    <w:rsid w:val="00B7759A"/>
    <w:rsid w:val="00B8091F"/>
    <w:rsid w:val="00B80F0D"/>
    <w:rsid w:val="00B81546"/>
    <w:rsid w:val="00B838B4"/>
    <w:rsid w:val="00B83C4C"/>
    <w:rsid w:val="00B84F85"/>
    <w:rsid w:val="00B85DF4"/>
    <w:rsid w:val="00B863B2"/>
    <w:rsid w:val="00B86964"/>
    <w:rsid w:val="00B87DC2"/>
    <w:rsid w:val="00B90816"/>
    <w:rsid w:val="00B90853"/>
    <w:rsid w:val="00B908A5"/>
    <w:rsid w:val="00B9105B"/>
    <w:rsid w:val="00B9119E"/>
    <w:rsid w:val="00B911DD"/>
    <w:rsid w:val="00B91217"/>
    <w:rsid w:val="00B9158D"/>
    <w:rsid w:val="00B919DE"/>
    <w:rsid w:val="00B91B42"/>
    <w:rsid w:val="00B92346"/>
    <w:rsid w:val="00B9246B"/>
    <w:rsid w:val="00B937A8"/>
    <w:rsid w:val="00B941F9"/>
    <w:rsid w:val="00B94207"/>
    <w:rsid w:val="00B9437F"/>
    <w:rsid w:val="00B943E1"/>
    <w:rsid w:val="00B9535E"/>
    <w:rsid w:val="00B9616E"/>
    <w:rsid w:val="00B9699D"/>
    <w:rsid w:val="00B975FB"/>
    <w:rsid w:val="00BA1BFB"/>
    <w:rsid w:val="00BA1CD9"/>
    <w:rsid w:val="00BA1F65"/>
    <w:rsid w:val="00BA2564"/>
    <w:rsid w:val="00BA2B10"/>
    <w:rsid w:val="00BA417A"/>
    <w:rsid w:val="00BA43F0"/>
    <w:rsid w:val="00BA4B05"/>
    <w:rsid w:val="00BA4B14"/>
    <w:rsid w:val="00BA4BF0"/>
    <w:rsid w:val="00BA50EF"/>
    <w:rsid w:val="00BA6F2B"/>
    <w:rsid w:val="00BA762A"/>
    <w:rsid w:val="00BA7F7F"/>
    <w:rsid w:val="00BB1431"/>
    <w:rsid w:val="00BB1D04"/>
    <w:rsid w:val="00BB2947"/>
    <w:rsid w:val="00BB3F8E"/>
    <w:rsid w:val="00BB45DF"/>
    <w:rsid w:val="00BB47AE"/>
    <w:rsid w:val="00BB483B"/>
    <w:rsid w:val="00BB4ACC"/>
    <w:rsid w:val="00BB4EA0"/>
    <w:rsid w:val="00BB6166"/>
    <w:rsid w:val="00BB6A80"/>
    <w:rsid w:val="00BB6FCE"/>
    <w:rsid w:val="00BB7895"/>
    <w:rsid w:val="00BB7D4C"/>
    <w:rsid w:val="00BC0675"/>
    <w:rsid w:val="00BC0EA7"/>
    <w:rsid w:val="00BC1322"/>
    <w:rsid w:val="00BC1885"/>
    <w:rsid w:val="00BC1B05"/>
    <w:rsid w:val="00BC1F46"/>
    <w:rsid w:val="00BC2E6E"/>
    <w:rsid w:val="00BC4FB3"/>
    <w:rsid w:val="00BC504A"/>
    <w:rsid w:val="00BC5C83"/>
    <w:rsid w:val="00BC641E"/>
    <w:rsid w:val="00BC64F4"/>
    <w:rsid w:val="00BC6848"/>
    <w:rsid w:val="00BC7755"/>
    <w:rsid w:val="00BD02DD"/>
    <w:rsid w:val="00BD03DD"/>
    <w:rsid w:val="00BD0612"/>
    <w:rsid w:val="00BD07F2"/>
    <w:rsid w:val="00BD1AE7"/>
    <w:rsid w:val="00BD1C10"/>
    <w:rsid w:val="00BD2C58"/>
    <w:rsid w:val="00BD2E12"/>
    <w:rsid w:val="00BD3CF1"/>
    <w:rsid w:val="00BD40F7"/>
    <w:rsid w:val="00BD6A5D"/>
    <w:rsid w:val="00BD785C"/>
    <w:rsid w:val="00BD7C6F"/>
    <w:rsid w:val="00BE045F"/>
    <w:rsid w:val="00BE1084"/>
    <w:rsid w:val="00BE111F"/>
    <w:rsid w:val="00BE1E1F"/>
    <w:rsid w:val="00BE28B1"/>
    <w:rsid w:val="00BE30EC"/>
    <w:rsid w:val="00BE3AFE"/>
    <w:rsid w:val="00BE3E26"/>
    <w:rsid w:val="00BE457B"/>
    <w:rsid w:val="00BE45A3"/>
    <w:rsid w:val="00BE49F5"/>
    <w:rsid w:val="00BE4DEC"/>
    <w:rsid w:val="00BE529F"/>
    <w:rsid w:val="00BE589F"/>
    <w:rsid w:val="00BE5F7D"/>
    <w:rsid w:val="00BE5FFD"/>
    <w:rsid w:val="00BE6543"/>
    <w:rsid w:val="00BE6D48"/>
    <w:rsid w:val="00BE7BB8"/>
    <w:rsid w:val="00BF017A"/>
    <w:rsid w:val="00BF21F3"/>
    <w:rsid w:val="00BF2BE8"/>
    <w:rsid w:val="00BF2DC9"/>
    <w:rsid w:val="00BF3AB0"/>
    <w:rsid w:val="00BF4020"/>
    <w:rsid w:val="00BF472F"/>
    <w:rsid w:val="00BF552A"/>
    <w:rsid w:val="00BF59AA"/>
    <w:rsid w:val="00BF6AD0"/>
    <w:rsid w:val="00BF6FAF"/>
    <w:rsid w:val="00BF7F7F"/>
    <w:rsid w:val="00C00CD6"/>
    <w:rsid w:val="00C01750"/>
    <w:rsid w:val="00C01994"/>
    <w:rsid w:val="00C04555"/>
    <w:rsid w:val="00C04DBF"/>
    <w:rsid w:val="00C051AB"/>
    <w:rsid w:val="00C06EDF"/>
    <w:rsid w:val="00C0731D"/>
    <w:rsid w:val="00C073D5"/>
    <w:rsid w:val="00C07786"/>
    <w:rsid w:val="00C07E99"/>
    <w:rsid w:val="00C1036B"/>
    <w:rsid w:val="00C11DB4"/>
    <w:rsid w:val="00C11E8D"/>
    <w:rsid w:val="00C12265"/>
    <w:rsid w:val="00C12690"/>
    <w:rsid w:val="00C14962"/>
    <w:rsid w:val="00C14AE4"/>
    <w:rsid w:val="00C14C66"/>
    <w:rsid w:val="00C159CB"/>
    <w:rsid w:val="00C165BC"/>
    <w:rsid w:val="00C16EC8"/>
    <w:rsid w:val="00C17214"/>
    <w:rsid w:val="00C173A1"/>
    <w:rsid w:val="00C17783"/>
    <w:rsid w:val="00C179C8"/>
    <w:rsid w:val="00C17CD3"/>
    <w:rsid w:val="00C20138"/>
    <w:rsid w:val="00C21BCC"/>
    <w:rsid w:val="00C21D73"/>
    <w:rsid w:val="00C22583"/>
    <w:rsid w:val="00C225DF"/>
    <w:rsid w:val="00C226A7"/>
    <w:rsid w:val="00C234F1"/>
    <w:rsid w:val="00C23D51"/>
    <w:rsid w:val="00C25A7F"/>
    <w:rsid w:val="00C25C71"/>
    <w:rsid w:val="00C260A4"/>
    <w:rsid w:val="00C26563"/>
    <w:rsid w:val="00C26ABB"/>
    <w:rsid w:val="00C26F89"/>
    <w:rsid w:val="00C274AA"/>
    <w:rsid w:val="00C278E7"/>
    <w:rsid w:val="00C30F9A"/>
    <w:rsid w:val="00C32BF6"/>
    <w:rsid w:val="00C350BD"/>
    <w:rsid w:val="00C350D5"/>
    <w:rsid w:val="00C3580E"/>
    <w:rsid w:val="00C35C90"/>
    <w:rsid w:val="00C36225"/>
    <w:rsid w:val="00C362AA"/>
    <w:rsid w:val="00C36A96"/>
    <w:rsid w:val="00C36E3F"/>
    <w:rsid w:val="00C36ED1"/>
    <w:rsid w:val="00C373E2"/>
    <w:rsid w:val="00C37EFC"/>
    <w:rsid w:val="00C403C3"/>
    <w:rsid w:val="00C40429"/>
    <w:rsid w:val="00C42A57"/>
    <w:rsid w:val="00C42C54"/>
    <w:rsid w:val="00C42C63"/>
    <w:rsid w:val="00C4372E"/>
    <w:rsid w:val="00C43873"/>
    <w:rsid w:val="00C43FA5"/>
    <w:rsid w:val="00C440A0"/>
    <w:rsid w:val="00C45833"/>
    <w:rsid w:val="00C464E7"/>
    <w:rsid w:val="00C47C6C"/>
    <w:rsid w:val="00C47FBA"/>
    <w:rsid w:val="00C50A1F"/>
    <w:rsid w:val="00C50FD0"/>
    <w:rsid w:val="00C519E9"/>
    <w:rsid w:val="00C5350B"/>
    <w:rsid w:val="00C535D8"/>
    <w:rsid w:val="00C543C6"/>
    <w:rsid w:val="00C54C3C"/>
    <w:rsid w:val="00C55FFA"/>
    <w:rsid w:val="00C5616E"/>
    <w:rsid w:val="00C60B95"/>
    <w:rsid w:val="00C60C0F"/>
    <w:rsid w:val="00C60CA8"/>
    <w:rsid w:val="00C6164F"/>
    <w:rsid w:val="00C61D86"/>
    <w:rsid w:val="00C62EF7"/>
    <w:rsid w:val="00C62FC6"/>
    <w:rsid w:val="00C6343A"/>
    <w:rsid w:val="00C637E8"/>
    <w:rsid w:val="00C63A0F"/>
    <w:rsid w:val="00C640CE"/>
    <w:rsid w:val="00C6431E"/>
    <w:rsid w:val="00C648C2"/>
    <w:rsid w:val="00C6593C"/>
    <w:rsid w:val="00C65B6D"/>
    <w:rsid w:val="00C664B4"/>
    <w:rsid w:val="00C6699A"/>
    <w:rsid w:val="00C6699B"/>
    <w:rsid w:val="00C66E62"/>
    <w:rsid w:val="00C700E5"/>
    <w:rsid w:val="00C7089C"/>
    <w:rsid w:val="00C70C0C"/>
    <w:rsid w:val="00C70D8B"/>
    <w:rsid w:val="00C71919"/>
    <w:rsid w:val="00C71CE8"/>
    <w:rsid w:val="00C72C8C"/>
    <w:rsid w:val="00C74189"/>
    <w:rsid w:val="00C745ED"/>
    <w:rsid w:val="00C7486A"/>
    <w:rsid w:val="00C74B68"/>
    <w:rsid w:val="00C74BC5"/>
    <w:rsid w:val="00C74CC2"/>
    <w:rsid w:val="00C7598A"/>
    <w:rsid w:val="00C75ED1"/>
    <w:rsid w:val="00C7627C"/>
    <w:rsid w:val="00C76924"/>
    <w:rsid w:val="00C806DF"/>
    <w:rsid w:val="00C80885"/>
    <w:rsid w:val="00C8144B"/>
    <w:rsid w:val="00C8144D"/>
    <w:rsid w:val="00C82351"/>
    <w:rsid w:val="00C824BE"/>
    <w:rsid w:val="00C82A56"/>
    <w:rsid w:val="00C837FD"/>
    <w:rsid w:val="00C8446C"/>
    <w:rsid w:val="00C84E80"/>
    <w:rsid w:val="00C85676"/>
    <w:rsid w:val="00C85DF0"/>
    <w:rsid w:val="00C85E4B"/>
    <w:rsid w:val="00C865C5"/>
    <w:rsid w:val="00C86635"/>
    <w:rsid w:val="00C87499"/>
    <w:rsid w:val="00C87770"/>
    <w:rsid w:val="00C90486"/>
    <w:rsid w:val="00C90862"/>
    <w:rsid w:val="00C90FCE"/>
    <w:rsid w:val="00C91075"/>
    <w:rsid w:val="00C9230F"/>
    <w:rsid w:val="00C92494"/>
    <w:rsid w:val="00C934FC"/>
    <w:rsid w:val="00C9382F"/>
    <w:rsid w:val="00C94A25"/>
    <w:rsid w:val="00C951DB"/>
    <w:rsid w:val="00C95732"/>
    <w:rsid w:val="00C95B3F"/>
    <w:rsid w:val="00C978D2"/>
    <w:rsid w:val="00CA02A5"/>
    <w:rsid w:val="00CA02C6"/>
    <w:rsid w:val="00CA1BEA"/>
    <w:rsid w:val="00CA1C27"/>
    <w:rsid w:val="00CA2551"/>
    <w:rsid w:val="00CA4761"/>
    <w:rsid w:val="00CA4AC4"/>
    <w:rsid w:val="00CA561B"/>
    <w:rsid w:val="00CA5F4A"/>
    <w:rsid w:val="00CA64FD"/>
    <w:rsid w:val="00CB085E"/>
    <w:rsid w:val="00CB0EBA"/>
    <w:rsid w:val="00CB1065"/>
    <w:rsid w:val="00CB10B2"/>
    <w:rsid w:val="00CB1AB0"/>
    <w:rsid w:val="00CB274C"/>
    <w:rsid w:val="00CB30D5"/>
    <w:rsid w:val="00CB3D71"/>
    <w:rsid w:val="00CB573C"/>
    <w:rsid w:val="00CB6AE5"/>
    <w:rsid w:val="00CB6E04"/>
    <w:rsid w:val="00CB7711"/>
    <w:rsid w:val="00CB7B67"/>
    <w:rsid w:val="00CB7B93"/>
    <w:rsid w:val="00CC0F10"/>
    <w:rsid w:val="00CC141E"/>
    <w:rsid w:val="00CC3654"/>
    <w:rsid w:val="00CC3D02"/>
    <w:rsid w:val="00CC3F00"/>
    <w:rsid w:val="00CC4632"/>
    <w:rsid w:val="00CC5821"/>
    <w:rsid w:val="00CC655B"/>
    <w:rsid w:val="00CC6795"/>
    <w:rsid w:val="00CC702D"/>
    <w:rsid w:val="00CC7319"/>
    <w:rsid w:val="00CD01CF"/>
    <w:rsid w:val="00CD11EE"/>
    <w:rsid w:val="00CD169C"/>
    <w:rsid w:val="00CD22A0"/>
    <w:rsid w:val="00CD2A6D"/>
    <w:rsid w:val="00CD3297"/>
    <w:rsid w:val="00CD675E"/>
    <w:rsid w:val="00CD7EB1"/>
    <w:rsid w:val="00CD7FA5"/>
    <w:rsid w:val="00CE02FC"/>
    <w:rsid w:val="00CE1370"/>
    <w:rsid w:val="00CE19DB"/>
    <w:rsid w:val="00CE2E58"/>
    <w:rsid w:val="00CE3B7F"/>
    <w:rsid w:val="00CE3E2C"/>
    <w:rsid w:val="00CE50FA"/>
    <w:rsid w:val="00CE5872"/>
    <w:rsid w:val="00CE5C4F"/>
    <w:rsid w:val="00CE63CA"/>
    <w:rsid w:val="00CE718C"/>
    <w:rsid w:val="00CF0238"/>
    <w:rsid w:val="00CF094C"/>
    <w:rsid w:val="00CF1497"/>
    <w:rsid w:val="00CF15B7"/>
    <w:rsid w:val="00CF161E"/>
    <w:rsid w:val="00CF1957"/>
    <w:rsid w:val="00CF1AB8"/>
    <w:rsid w:val="00CF1ED4"/>
    <w:rsid w:val="00CF2755"/>
    <w:rsid w:val="00CF291F"/>
    <w:rsid w:val="00CF2BC8"/>
    <w:rsid w:val="00CF320E"/>
    <w:rsid w:val="00CF34E4"/>
    <w:rsid w:val="00CF3A2D"/>
    <w:rsid w:val="00CF421C"/>
    <w:rsid w:val="00CF627F"/>
    <w:rsid w:val="00CF6777"/>
    <w:rsid w:val="00CF7517"/>
    <w:rsid w:val="00D002D2"/>
    <w:rsid w:val="00D003F1"/>
    <w:rsid w:val="00D00CCA"/>
    <w:rsid w:val="00D01081"/>
    <w:rsid w:val="00D01114"/>
    <w:rsid w:val="00D01204"/>
    <w:rsid w:val="00D012C1"/>
    <w:rsid w:val="00D023F1"/>
    <w:rsid w:val="00D02D1C"/>
    <w:rsid w:val="00D04D24"/>
    <w:rsid w:val="00D05E0B"/>
    <w:rsid w:val="00D06116"/>
    <w:rsid w:val="00D069DD"/>
    <w:rsid w:val="00D06DB8"/>
    <w:rsid w:val="00D07117"/>
    <w:rsid w:val="00D07573"/>
    <w:rsid w:val="00D123C7"/>
    <w:rsid w:val="00D12650"/>
    <w:rsid w:val="00D12DFF"/>
    <w:rsid w:val="00D12FF5"/>
    <w:rsid w:val="00D13AD7"/>
    <w:rsid w:val="00D13BDD"/>
    <w:rsid w:val="00D13F0E"/>
    <w:rsid w:val="00D1577C"/>
    <w:rsid w:val="00D208B5"/>
    <w:rsid w:val="00D20E12"/>
    <w:rsid w:val="00D2122B"/>
    <w:rsid w:val="00D217F6"/>
    <w:rsid w:val="00D23059"/>
    <w:rsid w:val="00D23DA9"/>
    <w:rsid w:val="00D2484A"/>
    <w:rsid w:val="00D24916"/>
    <w:rsid w:val="00D24B1B"/>
    <w:rsid w:val="00D24B4E"/>
    <w:rsid w:val="00D256C6"/>
    <w:rsid w:val="00D25728"/>
    <w:rsid w:val="00D2577B"/>
    <w:rsid w:val="00D25D3F"/>
    <w:rsid w:val="00D26733"/>
    <w:rsid w:val="00D2695F"/>
    <w:rsid w:val="00D26E09"/>
    <w:rsid w:val="00D27023"/>
    <w:rsid w:val="00D274D9"/>
    <w:rsid w:val="00D30D9E"/>
    <w:rsid w:val="00D312D2"/>
    <w:rsid w:val="00D31D0D"/>
    <w:rsid w:val="00D3285D"/>
    <w:rsid w:val="00D32B84"/>
    <w:rsid w:val="00D32F9F"/>
    <w:rsid w:val="00D36396"/>
    <w:rsid w:val="00D41697"/>
    <w:rsid w:val="00D42AF6"/>
    <w:rsid w:val="00D43399"/>
    <w:rsid w:val="00D43560"/>
    <w:rsid w:val="00D43F45"/>
    <w:rsid w:val="00D43F8C"/>
    <w:rsid w:val="00D44E64"/>
    <w:rsid w:val="00D45397"/>
    <w:rsid w:val="00D46557"/>
    <w:rsid w:val="00D466D4"/>
    <w:rsid w:val="00D46A85"/>
    <w:rsid w:val="00D47282"/>
    <w:rsid w:val="00D47335"/>
    <w:rsid w:val="00D473DA"/>
    <w:rsid w:val="00D50E23"/>
    <w:rsid w:val="00D51061"/>
    <w:rsid w:val="00D51A68"/>
    <w:rsid w:val="00D51AE0"/>
    <w:rsid w:val="00D51B4C"/>
    <w:rsid w:val="00D5279A"/>
    <w:rsid w:val="00D53438"/>
    <w:rsid w:val="00D53D81"/>
    <w:rsid w:val="00D543EC"/>
    <w:rsid w:val="00D5576B"/>
    <w:rsid w:val="00D5605C"/>
    <w:rsid w:val="00D5635D"/>
    <w:rsid w:val="00D564CB"/>
    <w:rsid w:val="00D5688F"/>
    <w:rsid w:val="00D56A27"/>
    <w:rsid w:val="00D570F5"/>
    <w:rsid w:val="00D5724C"/>
    <w:rsid w:val="00D57393"/>
    <w:rsid w:val="00D57C0F"/>
    <w:rsid w:val="00D605C8"/>
    <w:rsid w:val="00D60990"/>
    <w:rsid w:val="00D609D4"/>
    <w:rsid w:val="00D61474"/>
    <w:rsid w:val="00D62C02"/>
    <w:rsid w:val="00D62DE1"/>
    <w:rsid w:val="00D63A0D"/>
    <w:rsid w:val="00D63D0D"/>
    <w:rsid w:val="00D643D5"/>
    <w:rsid w:val="00D65D13"/>
    <w:rsid w:val="00D65E73"/>
    <w:rsid w:val="00D65EF7"/>
    <w:rsid w:val="00D660DD"/>
    <w:rsid w:val="00D6689E"/>
    <w:rsid w:val="00D66C6C"/>
    <w:rsid w:val="00D702A1"/>
    <w:rsid w:val="00D706F0"/>
    <w:rsid w:val="00D71649"/>
    <w:rsid w:val="00D7240F"/>
    <w:rsid w:val="00D724D4"/>
    <w:rsid w:val="00D72507"/>
    <w:rsid w:val="00D72780"/>
    <w:rsid w:val="00D72A6D"/>
    <w:rsid w:val="00D73624"/>
    <w:rsid w:val="00D73A40"/>
    <w:rsid w:val="00D74513"/>
    <w:rsid w:val="00D75C0F"/>
    <w:rsid w:val="00D75D78"/>
    <w:rsid w:val="00D75FB9"/>
    <w:rsid w:val="00D7635C"/>
    <w:rsid w:val="00D776F4"/>
    <w:rsid w:val="00D779F1"/>
    <w:rsid w:val="00D806D8"/>
    <w:rsid w:val="00D80829"/>
    <w:rsid w:val="00D82D8A"/>
    <w:rsid w:val="00D8307A"/>
    <w:rsid w:val="00D832B2"/>
    <w:rsid w:val="00D837FC"/>
    <w:rsid w:val="00D83FCB"/>
    <w:rsid w:val="00D848FC"/>
    <w:rsid w:val="00D84E93"/>
    <w:rsid w:val="00D84EF1"/>
    <w:rsid w:val="00D85299"/>
    <w:rsid w:val="00D853FD"/>
    <w:rsid w:val="00D85CBB"/>
    <w:rsid w:val="00D86440"/>
    <w:rsid w:val="00D8758E"/>
    <w:rsid w:val="00D87A9F"/>
    <w:rsid w:val="00D90A94"/>
    <w:rsid w:val="00D91E91"/>
    <w:rsid w:val="00D92653"/>
    <w:rsid w:val="00D92CCB"/>
    <w:rsid w:val="00D92ED5"/>
    <w:rsid w:val="00D931E4"/>
    <w:rsid w:val="00D932E0"/>
    <w:rsid w:val="00D935BE"/>
    <w:rsid w:val="00D939F4"/>
    <w:rsid w:val="00D94099"/>
    <w:rsid w:val="00D942F4"/>
    <w:rsid w:val="00D944D6"/>
    <w:rsid w:val="00D94D4C"/>
    <w:rsid w:val="00D951BA"/>
    <w:rsid w:val="00D95C49"/>
    <w:rsid w:val="00D96529"/>
    <w:rsid w:val="00D970F1"/>
    <w:rsid w:val="00D97CAD"/>
    <w:rsid w:val="00DA0D9D"/>
    <w:rsid w:val="00DA1705"/>
    <w:rsid w:val="00DA1FB9"/>
    <w:rsid w:val="00DA2A81"/>
    <w:rsid w:val="00DA2C05"/>
    <w:rsid w:val="00DA3349"/>
    <w:rsid w:val="00DA3AC2"/>
    <w:rsid w:val="00DA3D32"/>
    <w:rsid w:val="00DA425D"/>
    <w:rsid w:val="00DA4467"/>
    <w:rsid w:val="00DA4BEC"/>
    <w:rsid w:val="00DA6B2B"/>
    <w:rsid w:val="00DA6C6D"/>
    <w:rsid w:val="00DA7EA0"/>
    <w:rsid w:val="00DB03F1"/>
    <w:rsid w:val="00DB1521"/>
    <w:rsid w:val="00DB209E"/>
    <w:rsid w:val="00DB2725"/>
    <w:rsid w:val="00DB2D5D"/>
    <w:rsid w:val="00DB44B5"/>
    <w:rsid w:val="00DB44FE"/>
    <w:rsid w:val="00DB5492"/>
    <w:rsid w:val="00DB59F6"/>
    <w:rsid w:val="00DB5B2F"/>
    <w:rsid w:val="00DB5C56"/>
    <w:rsid w:val="00DB5DBD"/>
    <w:rsid w:val="00DC1691"/>
    <w:rsid w:val="00DC1F06"/>
    <w:rsid w:val="00DC22AA"/>
    <w:rsid w:val="00DC2572"/>
    <w:rsid w:val="00DC277D"/>
    <w:rsid w:val="00DC4121"/>
    <w:rsid w:val="00DC4339"/>
    <w:rsid w:val="00DC47E3"/>
    <w:rsid w:val="00DC4C52"/>
    <w:rsid w:val="00DC4C60"/>
    <w:rsid w:val="00DC5166"/>
    <w:rsid w:val="00DC5518"/>
    <w:rsid w:val="00DC6441"/>
    <w:rsid w:val="00DC71D2"/>
    <w:rsid w:val="00DD0314"/>
    <w:rsid w:val="00DD046C"/>
    <w:rsid w:val="00DD2417"/>
    <w:rsid w:val="00DD29C1"/>
    <w:rsid w:val="00DD311D"/>
    <w:rsid w:val="00DD36AD"/>
    <w:rsid w:val="00DD3CED"/>
    <w:rsid w:val="00DD4D8A"/>
    <w:rsid w:val="00DD50D2"/>
    <w:rsid w:val="00DD52B1"/>
    <w:rsid w:val="00DD6B77"/>
    <w:rsid w:val="00DD6D2A"/>
    <w:rsid w:val="00DD78CB"/>
    <w:rsid w:val="00DD79DB"/>
    <w:rsid w:val="00DD7B56"/>
    <w:rsid w:val="00DE0313"/>
    <w:rsid w:val="00DE132E"/>
    <w:rsid w:val="00DE15E5"/>
    <w:rsid w:val="00DE161C"/>
    <w:rsid w:val="00DE1675"/>
    <w:rsid w:val="00DE20BD"/>
    <w:rsid w:val="00DE372D"/>
    <w:rsid w:val="00DE5795"/>
    <w:rsid w:val="00DE5F13"/>
    <w:rsid w:val="00DE7973"/>
    <w:rsid w:val="00DE7974"/>
    <w:rsid w:val="00DF08A0"/>
    <w:rsid w:val="00DF08D2"/>
    <w:rsid w:val="00DF1D1A"/>
    <w:rsid w:val="00DF1EFC"/>
    <w:rsid w:val="00DF20F1"/>
    <w:rsid w:val="00DF284E"/>
    <w:rsid w:val="00DF28A9"/>
    <w:rsid w:val="00DF2902"/>
    <w:rsid w:val="00DF323D"/>
    <w:rsid w:val="00DF3254"/>
    <w:rsid w:val="00DF34E0"/>
    <w:rsid w:val="00DF35AA"/>
    <w:rsid w:val="00DF384E"/>
    <w:rsid w:val="00DF38B0"/>
    <w:rsid w:val="00DF52A3"/>
    <w:rsid w:val="00DF5502"/>
    <w:rsid w:val="00DF62F6"/>
    <w:rsid w:val="00DF6E66"/>
    <w:rsid w:val="00DF7BEC"/>
    <w:rsid w:val="00E001E7"/>
    <w:rsid w:val="00E0139F"/>
    <w:rsid w:val="00E01913"/>
    <w:rsid w:val="00E0292E"/>
    <w:rsid w:val="00E036A8"/>
    <w:rsid w:val="00E039BD"/>
    <w:rsid w:val="00E06AA9"/>
    <w:rsid w:val="00E06D5B"/>
    <w:rsid w:val="00E13F1E"/>
    <w:rsid w:val="00E14280"/>
    <w:rsid w:val="00E14831"/>
    <w:rsid w:val="00E1539D"/>
    <w:rsid w:val="00E15635"/>
    <w:rsid w:val="00E163EC"/>
    <w:rsid w:val="00E16978"/>
    <w:rsid w:val="00E16E9E"/>
    <w:rsid w:val="00E16EEF"/>
    <w:rsid w:val="00E16F17"/>
    <w:rsid w:val="00E17E34"/>
    <w:rsid w:val="00E17FD2"/>
    <w:rsid w:val="00E20B77"/>
    <w:rsid w:val="00E20E07"/>
    <w:rsid w:val="00E20FFA"/>
    <w:rsid w:val="00E2137B"/>
    <w:rsid w:val="00E22645"/>
    <w:rsid w:val="00E22777"/>
    <w:rsid w:val="00E2328B"/>
    <w:rsid w:val="00E23F08"/>
    <w:rsid w:val="00E2462C"/>
    <w:rsid w:val="00E24FFB"/>
    <w:rsid w:val="00E26A1E"/>
    <w:rsid w:val="00E27FE0"/>
    <w:rsid w:val="00E304EF"/>
    <w:rsid w:val="00E3050E"/>
    <w:rsid w:val="00E30A00"/>
    <w:rsid w:val="00E30DFE"/>
    <w:rsid w:val="00E31178"/>
    <w:rsid w:val="00E31276"/>
    <w:rsid w:val="00E313E3"/>
    <w:rsid w:val="00E31E99"/>
    <w:rsid w:val="00E327C1"/>
    <w:rsid w:val="00E32BC8"/>
    <w:rsid w:val="00E32D15"/>
    <w:rsid w:val="00E3340D"/>
    <w:rsid w:val="00E334BE"/>
    <w:rsid w:val="00E34504"/>
    <w:rsid w:val="00E34DC9"/>
    <w:rsid w:val="00E34E5A"/>
    <w:rsid w:val="00E34F0F"/>
    <w:rsid w:val="00E3524E"/>
    <w:rsid w:val="00E35319"/>
    <w:rsid w:val="00E35540"/>
    <w:rsid w:val="00E35CD1"/>
    <w:rsid w:val="00E35FCD"/>
    <w:rsid w:val="00E36692"/>
    <w:rsid w:val="00E378D6"/>
    <w:rsid w:val="00E37954"/>
    <w:rsid w:val="00E37B86"/>
    <w:rsid w:val="00E40485"/>
    <w:rsid w:val="00E407C5"/>
    <w:rsid w:val="00E4120C"/>
    <w:rsid w:val="00E429CD"/>
    <w:rsid w:val="00E42AEC"/>
    <w:rsid w:val="00E459C5"/>
    <w:rsid w:val="00E46D0B"/>
    <w:rsid w:val="00E46F2E"/>
    <w:rsid w:val="00E46FE5"/>
    <w:rsid w:val="00E51330"/>
    <w:rsid w:val="00E524F3"/>
    <w:rsid w:val="00E52B4E"/>
    <w:rsid w:val="00E5399B"/>
    <w:rsid w:val="00E53A3E"/>
    <w:rsid w:val="00E53ED5"/>
    <w:rsid w:val="00E53F89"/>
    <w:rsid w:val="00E558F4"/>
    <w:rsid w:val="00E562EC"/>
    <w:rsid w:val="00E563CF"/>
    <w:rsid w:val="00E567C9"/>
    <w:rsid w:val="00E60BA1"/>
    <w:rsid w:val="00E6127D"/>
    <w:rsid w:val="00E6248A"/>
    <w:rsid w:val="00E630E6"/>
    <w:rsid w:val="00E63134"/>
    <w:rsid w:val="00E6320D"/>
    <w:rsid w:val="00E63A23"/>
    <w:rsid w:val="00E64ECA"/>
    <w:rsid w:val="00E6633D"/>
    <w:rsid w:val="00E66CE1"/>
    <w:rsid w:val="00E67EB9"/>
    <w:rsid w:val="00E70438"/>
    <w:rsid w:val="00E70D5B"/>
    <w:rsid w:val="00E7118D"/>
    <w:rsid w:val="00E71E71"/>
    <w:rsid w:val="00E71EF3"/>
    <w:rsid w:val="00E748BD"/>
    <w:rsid w:val="00E75257"/>
    <w:rsid w:val="00E75D22"/>
    <w:rsid w:val="00E76A1E"/>
    <w:rsid w:val="00E7759F"/>
    <w:rsid w:val="00E7765F"/>
    <w:rsid w:val="00E803DF"/>
    <w:rsid w:val="00E80688"/>
    <w:rsid w:val="00E8084F"/>
    <w:rsid w:val="00E8093A"/>
    <w:rsid w:val="00E80B3D"/>
    <w:rsid w:val="00E8226B"/>
    <w:rsid w:val="00E82D14"/>
    <w:rsid w:val="00E838DF"/>
    <w:rsid w:val="00E852D0"/>
    <w:rsid w:val="00E866AF"/>
    <w:rsid w:val="00E87A39"/>
    <w:rsid w:val="00E90991"/>
    <w:rsid w:val="00E90AE9"/>
    <w:rsid w:val="00E90E28"/>
    <w:rsid w:val="00E91752"/>
    <w:rsid w:val="00E91DA0"/>
    <w:rsid w:val="00E937DB"/>
    <w:rsid w:val="00E93F0F"/>
    <w:rsid w:val="00E94550"/>
    <w:rsid w:val="00E946AD"/>
    <w:rsid w:val="00E95C97"/>
    <w:rsid w:val="00E969E5"/>
    <w:rsid w:val="00E96EB5"/>
    <w:rsid w:val="00E97149"/>
    <w:rsid w:val="00EA0AE8"/>
    <w:rsid w:val="00EA0E41"/>
    <w:rsid w:val="00EA0ED5"/>
    <w:rsid w:val="00EA232C"/>
    <w:rsid w:val="00EA2E59"/>
    <w:rsid w:val="00EA4425"/>
    <w:rsid w:val="00EA4729"/>
    <w:rsid w:val="00EA4E5F"/>
    <w:rsid w:val="00EA595D"/>
    <w:rsid w:val="00EA75CE"/>
    <w:rsid w:val="00EA7BF3"/>
    <w:rsid w:val="00EA7F41"/>
    <w:rsid w:val="00EB0130"/>
    <w:rsid w:val="00EB039D"/>
    <w:rsid w:val="00EB05EC"/>
    <w:rsid w:val="00EB0AE6"/>
    <w:rsid w:val="00EB233E"/>
    <w:rsid w:val="00EB2F71"/>
    <w:rsid w:val="00EB455F"/>
    <w:rsid w:val="00EB4B43"/>
    <w:rsid w:val="00EB5C3E"/>
    <w:rsid w:val="00EB5CE3"/>
    <w:rsid w:val="00EB617C"/>
    <w:rsid w:val="00EB6B24"/>
    <w:rsid w:val="00EB7953"/>
    <w:rsid w:val="00EC1315"/>
    <w:rsid w:val="00EC18B4"/>
    <w:rsid w:val="00EC3B18"/>
    <w:rsid w:val="00EC474A"/>
    <w:rsid w:val="00EC618E"/>
    <w:rsid w:val="00EC641F"/>
    <w:rsid w:val="00ED0380"/>
    <w:rsid w:val="00ED08DD"/>
    <w:rsid w:val="00ED0C1E"/>
    <w:rsid w:val="00ED13F7"/>
    <w:rsid w:val="00ED1449"/>
    <w:rsid w:val="00ED147E"/>
    <w:rsid w:val="00ED1797"/>
    <w:rsid w:val="00ED1DF1"/>
    <w:rsid w:val="00ED3AC4"/>
    <w:rsid w:val="00ED3FCE"/>
    <w:rsid w:val="00ED41E0"/>
    <w:rsid w:val="00ED5347"/>
    <w:rsid w:val="00ED629B"/>
    <w:rsid w:val="00ED6D97"/>
    <w:rsid w:val="00ED6EBC"/>
    <w:rsid w:val="00ED76AE"/>
    <w:rsid w:val="00ED7D0C"/>
    <w:rsid w:val="00EE0235"/>
    <w:rsid w:val="00EE0B0E"/>
    <w:rsid w:val="00EE0C35"/>
    <w:rsid w:val="00EE0DB1"/>
    <w:rsid w:val="00EE0DF6"/>
    <w:rsid w:val="00EE1BCB"/>
    <w:rsid w:val="00EE25F2"/>
    <w:rsid w:val="00EE29AA"/>
    <w:rsid w:val="00EE3A85"/>
    <w:rsid w:val="00EE46F3"/>
    <w:rsid w:val="00EE4B11"/>
    <w:rsid w:val="00EE4D68"/>
    <w:rsid w:val="00EE514C"/>
    <w:rsid w:val="00EE57AC"/>
    <w:rsid w:val="00EE58E2"/>
    <w:rsid w:val="00EE5C00"/>
    <w:rsid w:val="00EE63F6"/>
    <w:rsid w:val="00EE6825"/>
    <w:rsid w:val="00EE6C0A"/>
    <w:rsid w:val="00EE74E8"/>
    <w:rsid w:val="00EF14F7"/>
    <w:rsid w:val="00EF1ABF"/>
    <w:rsid w:val="00EF1E15"/>
    <w:rsid w:val="00EF3375"/>
    <w:rsid w:val="00EF3763"/>
    <w:rsid w:val="00EF53DF"/>
    <w:rsid w:val="00EF5F09"/>
    <w:rsid w:val="00EF667E"/>
    <w:rsid w:val="00EF67C8"/>
    <w:rsid w:val="00EF734F"/>
    <w:rsid w:val="00F00B9B"/>
    <w:rsid w:val="00F0101A"/>
    <w:rsid w:val="00F02521"/>
    <w:rsid w:val="00F02BEC"/>
    <w:rsid w:val="00F03E1C"/>
    <w:rsid w:val="00F0510D"/>
    <w:rsid w:val="00F05610"/>
    <w:rsid w:val="00F05641"/>
    <w:rsid w:val="00F05897"/>
    <w:rsid w:val="00F0598F"/>
    <w:rsid w:val="00F069BE"/>
    <w:rsid w:val="00F074D6"/>
    <w:rsid w:val="00F1065D"/>
    <w:rsid w:val="00F107E7"/>
    <w:rsid w:val="00F10AA1"/>
    <w:rsid w:val="00F10E6D"/>
    <w:rsid w:val="00F11464"/>
    <w:rsid w:val="00F12518"/>
    <w:rsid w:val="00F129B9"/>
    <w:rsid w:val="00F129E0"/>
    <w:rsid w:val="00F12FBC"/>
    <w:rsid w:val="00F1313B"/>
    <w:rsid w:val="00F14A47"/>
    <w:rsid w:val="00F14B55"/>
    <w:rsid w:val="00F15633"/>
    <w:rsid w:val="00F15E42"/>
    <w:rsid w:val="00F16088"/>
    <w:rsid w:val="00F16573"/>
    <w:rsid w:val="00F17182"/>
    <w:rsid w:val="00F22950"/>
    <w:rsid w:val="00F23432"/>
    <w:rsid w:val="00F25703"/>
    <w:rsid w:val="00F25811"/>
    <w:rsid w:val="00F25BDE"/>
    <w:rsid w:val="00F273B0"/>
    <w:rsid w:val="00F31991"/>
    <w:rsid w:val="00F33691"/>
    <w:rsid w:val="00F33E01"/>
    <w:rsid w:val="00F34EDF"/>
    <w:rsid w:val="00F35063"/>
    <w:rsid w:val="00F35165"/>
    <w:rsid w:val="00F3533E"/>
    <w:rsid w:val="00F35435"/>
    <w:rsid w:val="00F35748"/>
    <w:rsid w:val="00F35B1A"/>
    <w:rsid w:val="00F35F64"/>
    <w:rsid w:val="00F365ED"/>
    <w:rsid w:val="00F369C7"/>
    <w:rsid w:val="00F409B8"/>
    <w:rsid w:val="00F41100"/>
    <w:rsid w:val="00F413BD"/>
    <w:rsid w:val="00F41546"/>
    <w:rsid w:val="00F4154B"/>
    <w:rsid w:val="00F42771"/>
    <w:rsid w:val="00F42BB8"/>
    <w:rsid w:val="00F42FFE"/>
    <w:rsid w:val="00F43100"/>
    <w:rsid w:val="00F43673"/>
    <w:rsid w:val="00F43F20"/>
    <w:rsid w:val="00F440A7"/>
    <w:rsid w:val="00F44167"/>
    <w:rsid w:val="00F45356"/>
    <w:rsid w:val="00F45C21"/>
    <w:rsid w:val="00F45F3D"/>
    <w:rsid w:val="00F46AD5"/>
    <w:rsid w:val="00F46DD6"/>
    <w:rsid w:val="00F470CB"/>
    <w:rsid w:val="00F509B9"/>
    <w:rsid w:val="00F51124"/>
    <w:rsid w:val="00F515BE"/>
    <w:rsid w:val="00F520A0"/>
    <w:rsid w:val="00F524D3"/>
    <w:rsid w:val="00F525F8"/>
    <w:rsid w:val="00F531D4"/>
    <w:rsid w:val="00F53DAB"/>
    <w:rsid w:val="00F53E41"/>
    <w:rsid w:val="00F5463B"/>
    <w:rsid w:val="00F54D4D"/>
    <w:rsid w:val="00F55039"/>
    <w:rsid w:val="00F56301"/>
    <w:rsid w:val="00F563E8"/>
    <w:rsid w:val="00F57658"/>
    <w:rsid w:val="00F57A12"/>
    <w:rsid w:val="00F57CCC"/>
    <w:rsid w:val="00F609F6"/>
    <w:rsid w:val="00F61876"/>
    <w:rsid w:val="00F61B6B"/>
    <w:rsid w:val="00F62146"/>
    <w:rsid w:val="00F628D6"/>
    <w:rsid w:val="00F632AA"/>
    <w:rsid w:val="00F635D3"/>
    <w:rsid w:val="00F64937"/>
    <w:rsid w:val="00F653C4"/>
    <w:rsid w:val="00F658E2"/>
    <w:rsid w:val="00F71B58"/>
    <w:rsid w:val="00F73247"/>
    <w:rsid w:val="00F75C75"/>
    <w:rsid w:val="00F75D9D"/>
    <w:rsid w:val="00F763E6"/>
    <w:rsid w:val="00F777FA"/>
    <w:rsid w:val="00F779A1"/>
    <w:rsid w:val="00F80A9B"/>
    <w:rsid w:val="00F81340"/>
    <w:rsid w:val="00F82446"/>
    <w:rsid w:val="00F844D3"/>
    <w:rsid w:val="00F85BAF"/>
    <w:rsid w:val="00F86CBE"/>
    <w:rsid w:val="00F8757A"/>
    <w:rsid w:val="00F87C57"/>
    <w:rsid w:val="00F90BCC"/>
    <w:rsid w:val="00F90DC3"/>
    <w:rsid w:val="00F91842"/>
    <w:rsid w:val="00F91902"/>
    <w:rsid w:val="00F91FDF"/>
    <w:rsid w:val="00F92500"/>
    <w:rsid w:val="00F940FE"/>
    <w:rsid w:val="00F9476D"/>
    <w:rsid w:val="00F94B92"/>
    <w:rsid w:val="00F94C8B"/>
    <w:rsid w:val="00F94DD1"/>
    <w:rsid w:val="00F9501F"/>
    <w:rsid w:val="00F97192"/>
    <w:rsid w:val="00F978CA"/>
    <w:rsid w:val="00FA0062"/>
    <w:rsid w:val="00FA0EF3"/>
    <w:rsid w:val="00FA1E5F"/>
    <w:rsid w:val="00FA2C65"/>
    <w:rsid w:val="00FA3466"/>
    <w:rsid w:val="00FA3CD0"/>
    <w:rsid w:val="00FA3E30"/>
    <w:rsid w:val="00FA5E69"/>
    <w:rsid w:val="00FA5FC7"/>
    <w:rsid w:val="00FA6670"/>
    <w:rsid w:val="00FA6716"/>
    <w:rsid w:val="00FA7E88"/>
    <w:rsid w:val="00FB091F"/>
    <w:rsid w:val="00FB0BF7"/>
    <w:rsid w:val="00FB0C1E"/>
    <w:rsid w:val="00FB1068"/>
    <w:rsid w:val="00FB1B6C"/>
    <w:rsid w:val="00FB1C7C"/>
    <w:rsid w:val="00FB1E5B"/>
    <w:rsid w:val="00FB2897"/>
    <w:rsid w:val="00FB31B2"/>
    <w:rsid w:val="00FB329F"/>
    <w:rsid w:val="00FB4879"/>
    <w:rsid w:val="00FB5506"/>
    <w:rsid w:val="00FC0056"/>
    <w:rsid w:val="00FC02B3"/>
    <w:rsid w:val="00FC03F2"/>
    <w:rsid w:val="00FC049A"/>
    <w:rsid w:val="00FC155B"/>
    <w:rsid w:val="00FC1EC9"/>
    <w:rsid w:val="00FC2172"/>
    <w:rsid w:val="00FC24B2"/>
    <w:rsid w:val="00FC331B"/>
    <w:rsid w:val="00FC332A"/>
    <w:rsid w:val="00FC36B8"/>
    <w:rsid w:val="00FC3A1D"/>
    <w:rsid w:val="00FC4276"/>
    <w:rsid w:val="00FC6BB5"/>
    <w:rsid w:val="00FC7201"/>
    <w:rsid w:val="00FC780D"/>
    <w:rsid w:val="00FD0378"/>
    <w:rsid w:val="00FD14B4"/>
    <w:rsid w:val="00FD28E3"/>
    <w:rsid w:val="00FD2BB7"/>
    <w:rsid w:val="00FD33EE"/>
    <w:rsid w:val="00FD4374"/>
    <w:rsid w:val="00FD5DE5"/>
    <w:rsid w:val="00FD609F"/>
    <w:rsid w:val="00FD6F88"/>
    <w:rsid w:val="00FD7B93"/>
    <w:rsid w:val="00FE0584"/>
    <w:rsid w:val="00FE11DB"/>
    <w:rsid w:val="00FE2B9A"/>
    <w:rsid w:val="00FE38EF"/>
    <w:rsid w:val="00FE3FA4"/>
    <w:rsid w:val="00FE41C7"/>
    <w:rsid w:val="00FE461F"/>
    <w:rsid w:val="00FE4D20"/>
    <w:rsid w:val="00FE55C0"/>
    <w:rsid w:val="00FE6AD7"/>
    <w:rsid w:val="00FE714F"/>
    <w:rsid w:val="00FF0163"/>
    <w:rsid w:val="00FF1416"/>
    <w:rsid w:val="00FF30FC"/>
    <w:rsid w:val="00FF373A"/>
    <w:rsid w:val="00FF3E16"/>
    <w:rsid w:val="00FF4598"/>
    <w:rsid w:val="00FF5C76"/>
    <w:rsid w:val="00FF5D8A"/>
    <w:rsid w:val="00FF6773"/>
    <w:rsid w:val="00FF69B1"/>
    <w:rsid w:val="00FF7059"/>
    <w:rsid w:val="00FF7062"/>
    <w:rsid w:val="00FF7E1F"/>
    <w:rsid w:val="0167DDE4"/>
    <w:rsid w:val="01A827B0"/>
    <w:rsid w:val="01B7A10D"/>
    <w:rsid w:val="01D3A4D4"/>
    <w:rsid w:val="01F893B1"/>
    <w:rsid w:val="020D114E"/>
    <w:rsid w:val="02127427"/>
    <w:rsid w:val="027DFDE0"/>
    <w:rsid w:val="028499B9"/>
    <w:rsid w:val="02948654"/>
    <w:rsid w:val="0297FF22"/>
    <w:rsid w:val="02A6653F"/>
    <w:rsid w:val="02F2D181"/>
    <w:rsid w:val="031716B0"/>
    <w:rsid w:val="033886D0"/>
    <w:rsid w:val="03546338"/>
    <w:rsid w:val="03AD4160"/>
    <w:rsid w:val="03ADD21B"/>
    <w:rsid w:val="03C9F037"/>
    <w:rsid w:val="0412FE0D"/>
    <w:rsid w:val="04163EF4"/>
    <w:rsid w:val="04216827"/>
    <w:rsid w:val="0436757D"/>
    <w:rsid w:val="043AE347"/>
    <w:rsid w:val="045F02FC"/>
    <w:rsid w:val="047CBEC0"/>
    <w:rsid w:val="04BF30A7"/>
    <w:rsid w:val="04C5EF28"/>
    <w:rsid w:val="04F969C5"/>
    <w:rsid w:val="051C9C45"/>
    <w:rsid w:val="05315446"/>
    <w:rsid w:val="05364BF1"/>
    <w:rsid w:val="0545D965"/>
    <w:rsid w:val="0559C63E"/>
    <w:rsid w:val="05688A3F"/>
    <w:rsid w:val="057FE082"/>
    <w:rsid w:val="05890585"/>
    <w:rsid w:val="0599BDE8"/>
    <w:rsid w:val="05A96EE9"/>
    <w:rsid w:val="05D6AAA9"/>
    <w:rsid w:val="05DD14D8"/>
    <w:rsid w:val="060DC3F0"/>
    <w:rsid w:val="060FEEAC"/>
    <w:rsid w:val="0619DF7B"/>
    <w:rsid w:val="063F658D"/>
    <w:rsid w:val="064F4651"/>
    <w:rsid w:val="06735F59"/>
    <w:rsid w:val="06B8748E"/>
    <w:rsid w:val="0704D9E2"/>
    <w:rsid w:val="070A83ED"/>
    <w:rsid w:val="071CFD7A"/>
    <w:rsid w:val="074A0039"/>
    <w:rsid w:val="075E4CB0"/>
    <w:rsid w:val="077E71D1"/>
    <w:rsid w:val="078A3207"/>
    <w:rsid w:val="07BC6C9F"/>
    <w:rsid w:val="07BD5F08"/>
    <w:rsid w:val="07D77716"/>
    <w:rsid w:val="07E591EA"/>
    <w:rsid w:val="07EB09D8"/>
    <w:rsid w:val="07F46C38"/>
    <w:rsid w:val="07FFD25B"/>
    <w:rsid w:val="080547C0"/>
    <w:rsid w:val="08087058"/>
    <w:rsid w:val="08099D02"/>
    <w:rsid w:val="0830B55F"/>
    <w:rsid w:val="086F0F8F"/>
    <w:rsid w:val="0870D725"/>
    <w:rsid w:val="08730DB9"/>
    <w:rsid w:val="08763647"/>
    <w:rsid w:val="08A76C38"/>
    <w:rsid w:val="08B316A9"/>
    <w:rsid w:val="08C9C7A6"/>
    <w:rsid w:val="08D637DD"/>
    <w:rsid w:val="08D85C4A"/>
    <w:rsid w:val="08DE8132"/>
    <w:rsid w:val="0913336F"/>
    <w:rsid w:val="093F85A0"/>
    <w:rsid w:val="093FEED0"/>
    <w:rsid w:val="097B5428"/>
    <w:rsid w:val="099F5697"/>
    <w:rsid w:val="09D78C45"/>
    <w:rsid w:val="09E0832A"/>
    <w:rsid w:val="09EE1C2C"/>
    <w:rsid w:val="0A6088DB"/>
    <w:rsid w:val="0A89BC30"/>
    <w:rsid w:val="0AB0F836"/>
    <w:rsid w:val="0AFCBA36"/>
    <w:rsid w:val="0B0004EE"/>
    <w:rsid w:val="0B21A0D2"/>
    <w:rsid w:val="0B363168"/>
    <w:rsid w:val="0B37095B"/>
    <w:rsid w:val="0B851845"/>
    <w:rsid w:val="0B94B4AD"/>
    <w:rsid w:val="0BAB5CA0"/>
    <w:rsid w:val="0BEB7652"/>
    <w:rsid w:val="0C054320"/>
    <w:rsid w:val="0C140ADE"/>
    <w:rsid w:val="0C21A21C"/>
    <w:rsid w:val="0C78DFA7"/>
    <w:rsid w:val="0CCF5457"/>
    <w:rsid w:val="0D32C62C"/>
    <w:rsid w:val="0D53D7D1"/>
    <w:rsid w:val="0D6121F4"/>
    <w:rsid w:val="0D671433"/>
    <w:rsid w:val="0D6F5911"/>
    <w:rsid w:val="0DC279EF"/>
    <w:rsid w:val="0DC53BCC"/>
    <w:rsid w:val="0E0739FA"/>
    <w:rsid w:val="0E16D1A7"/>
    <w:rsid w:val="0E3232F1"/>
    <w:rsid w:val="0E6EC953"/>
    <w:rsid w:val="0E7A2254"/>
    <w:rsid w:val="0EA4ABC0"/>
    <w:rsid w:val="0EC015EB"/>
    <w:rsid w:val="0EDCC4E9"/>
    <w:rsid w:val="0EF5EC94"/>
    <w:rsid w:val="0F1187F1"/>
    <w:rsid w:val="0F226228"/>
    <w:rsid w:val="0F748CDF"/>
    <w:rsid w:val="0FFA0E84"/>
    <w:rsid w:val="1010FD18"/>
    <w:rsid w:val="1025F2E5"/>
    <w:rsid w:val="1030DA30"/>
    <w:rsid w:val="10542CDB"/>
    <w:rsid w:val="1061729D"/>
    <w:rsid w:val="1089A4D6"/>
    <w:rsid w:val="108E2903"/>
    <w:rsid w:val="1093176F"/>
    <w:rsid w:val="10E1D359"/>
    <w:rsid w:val="10E92674"/>
    <w:rsid w:val="10FAE137"/>
    <w:rsid w:val="11085183"/>
    <w:rsid w:val="112673B6"/>
    <w:rsid w:val="112C41C6"/>
    <w:rsid w:val="117B808F"/>
    <w:rsid w:val="117F64C4"/>
    <w:rsid w:val="119A77FD"/>
    <w:rsid w:val="119FC892"/>
    <w:rsid w:val="12122080"/>
    <w:rsid w:val="1213B020"/>
    <w:rsid w:val="1229766D"/>
    <w:rsid w:val="124D0FAD"/>
    <w:rsid w:val="1250FEF9"/>
    <w:rsid w:val="1272F0C4"/>
    <w:rsid w:val="13553168"/>
    <w:rsid w:val="1359DFFC"/>
    <w:rsid w:val="1384C89A"/>
    <w:rsid w:val="13AEED8A"/>
    <w:rsid w:val="13B5EEF3"/>
    <w:rsid w:val="13EE26A7"/>
    <w:rsid w:val="13F9235D"/>
    <w:rsid w:val="14154D34"/>
    <w:rsid w:val="143EAEA1"/>
    <w:rsid w:val="1449C316"/>
    <w:rsid w:val="14936279"/>
    <w:rsid w:val="14B6B962"/>
    <w:rsid w:val="14CE8321"/>
    <w:rsid w:val="152FD4CB"/>
    <w:rsid w:val="1568C0E0"/>
    <w:rsid w:val="15723882"/>
    <w:rsid w:val="15767527"/>
    <w:rsid w:val="157AF07C"/>
    <w:rsid w:val="15A1D5B2"/>
    <w:rsid w:val="15B54BE1"/>
    <w:rsid w:val="1607D0C2"/>
    <w:rsid w:val="163E6348"/>
    <w:rsid w:val="164A0468"/>
    <w:rsid w:val="164C48A2"/>
    <w:rsid w:val="16549D55"/>
    <w:rsid w:val="16669571"/>
    <w:rsid w:val="16A07D28"/>
    <w:rsid w:val="16DCAECD"/>
    <w:rsid w:val="16E9A130"/>
    <w:rsid w:val="16F8416E"/>
    <w:rsid w:val="17424C7C"/>
    <w:rsid w:val="17477201"/>
    <w:rsid w:val="17552758"/>
    <w:rsid w:val="17832D36"/>
    <w:rsid w:val="1787E5D5"/>
    <w:rsid w:val="17C12BF5"/>
    <w:rsid w:val="17DE65FA"/>
    <w:rsid w:val="17E0857B"/>
    <w:rsid w:val="17E45E39"/>
    <w:rsid w:val="17EB1CF8"/>
    <w:rsid w:val="182D1840"/>
    <w:rsid w:val="183F956C"/>
    <w:rsid w:val="184E7F84"/>
    <w:rsid w:val="18551FDC"/>
    <w:rsid w:val="18606A93"/>
    <w:rsid w:val="188E567A"/>
    <w:rsid w:val="189EA061"/>
    <w:rsid w:val="19200DCE"/>
    <w:rsid w:val="1936CA15"/>
    <w:rsid w:val="19636D0E"/>
    <w:rsid w:val="1968D093"/>
    <w:rsid w:val="196B02AE"/>
    <w:rsid w:val="197F260B"/>
    <w:rsid w:val="198DD277"/>
    <w:rsid w:val="1997E70E"/>
    <w:rsid w:val="19AB186E"/>
    <w:rsid w:val="19F332E6"/>
    <w:rsid w:val="1A11D97D"/>
    <w:rsid w:val="1A141E3D"/>
    <w:rsid w:val="1A197C42"/>
    <w:rsid w:val="1A638C0D"/>
    <w:rsid w:val="1A690521"/>
    <w:rsid w:val="1AA5F4BF"/>
    <w:rsid w:val="1AD40CF6"/>
    <w:rsid w:val="1AD78409"/>
    <w:rsid w:val="1ADF535B"/>
    <w:rsid w:val="1AEBA5D8"/>
    <w:rsid w:val="1B07B735"/>
    <w:rsid w:val="1B1514F4"/>
    <w:rsid w:val="1B21705C"/>
    <w:rsid w:val="1B9A879F"/>
    <w:rsid w:val="1BB6855B"/>
    <w:rsid w:val="1BF68388"/>
    <w:rsid w:val="1BFE201A"/>
    <w:rsid w:val="1BFF1E70"/>
    <w:rsid w:val="1C017337"/>
    <w:rsid w:val="1C194817"/>
    <w:rsid w:val="1C3AF7F9"/>
    <w:rsid w:val="1CD56B37"/>
    <w:rsid w:val="1CDB423D"/>
    <w:rsid w:val="1CDC625E"/>
    <w:rsid w:val="1CE5A366"/>
    <w:rsid w:val="1CEC17AD"/>
    <w:rsid w:val="1CEE6863"/>
    <w:rsid w:val="1D13B512"/>
    <w:rsid w:val="1D35AFC4"/>
    <w:rsid w:val="1D364553"/>
    <w:rsid w:val="1D7D6545"/>
    <w:rsid w:val="1D8E9E0B"/>
    <w:rsid w:val="1D965FC6"/>
    <w:rsid w:val="1DAECE2F"/>
    <w:rsid w:val="1DCD63E2"/>
    <w:rsid w:val="1DDE7041"/>
    <w:rsid w:val="1DFC61D3"/>
    <w:rsid w:val="1E1F2D76"/>
    <w:rsid w:val="1E916E6D"/>
    <w:rsid w:val="1E9D6548"/>
    <w:rsid w:val="1E9E5924"/>
    <w:rsid w:val="1E9EB778"/>
    <w:rsid w:val="1EB586A4"/>
    <w:rsid w:val="1EC026D9"/>
    <w:rsid w:val="1EE4223E"/>
    <w:rsid w:val="1EEB79EF"/>
    <w:rsid w:val="1F15912E"/>
    <w:rsid w:val="1F17D4B4"/>
    <w:rsid w:val="1F3EF5DF"/>
    <w:rsid w:val="1F4B52A1"/>
    <w:rsid w:val="1F7CA891"/>
    <w:rsid w:val="1F80604B"/>
    <w:rsid w:val="1FF43C96"/>
    <w:rsid w:val="20323C40"/>
    <w:rsid w:val="20BC4415"/>
    <w:rsid w:val="210DDE75"/>
    <w:rsid w:val="2115014E"/>
    <w:rsid w:val="2121E7F3"/>
    <w:rsid w:val="212348BE"/>
    <w:rsid w:val="213CB8E0"/>
    <w:rsid w:val="213E7A71"/>
    <w:rsid w:val="21730D7F"/>
    <w:rsid w:val="21766454"/>
    <w:rsid w:val="2184B8D2"/>
    <w:rsid w:val="21CE73D1"/>
    <w:rsid w:val="221BBBC7"/>
    <w:rsid w:val="222ECBD2"/>
    <w:rsid w:val="22307E98"/>
    <w:rsid w:val="2234231B"/>
    <w:rsid w:val="2255331A"/>
    <w:rsid w:val="22C09AA2"/>
    <w:rsid w:val="2301E507"/>
    <w:rsid w:val="2305975A"/>
    <w:rsid w:val="230A9523"/>
    <w:rsid w:val="23263CF1"/>
    <w:rsid w:val="2340C1C8"/>
    <w:rsid w:val="234E5F4F"/>
    <w:rsid w:val="23BD0ACF"/>
    <w:rsid w:val="23CC4019"/>
    <w:rsid w:val="23E4BFF1"/>
    <w:rsid w:val="23F9C30C"/>
    <w:rsid w:val="2419A03F"/>
    <w:rsid w:val="2430C1FA"/>
    <w:rsid w:val="24333592"/>
    <w:rsid w:val="24512906"/>
    <w:rsid w:val="2453099B"/>
    <w:rsid w:val="249CFB3E"/>
    <w:rsid w:val="24C7A451"/>
    <w:rsid w:val="251D2CBF"/>
    <w:rsid w:val="252BC00D"/>
    <w:rsid w:val="253C6297"/>
    <w:rsid w:val="253DC6F4"/>
    <w:rsid w:val="254E5863"/>
    <w:rsid w:val="256C4812"/>
    <w:rsid w:val="258FF472"/>
    <w:rsid w:val="25BDF1FB"/>
    <w:rsid w:val="25C2276A"/>
    <w:rsid w:val="25F9EBA2"/>
    <w:rsid w:val="2611F86E"/>
    <w:rsid w:val="26190C4C"/>
    <w:rsid w:val="264937BD"/>
    <w:rsid w:val="2661A830"/>
    <w:rsid w:val="26C3FB67"/>
    <w:rsid w:val="26CB25C2"/>
    <w:rsid w:val="26D2038B"/>
    <w:rsid w:val="26E5D3DD"/>
    <w:rsid w:val="26F3E881"/>
    <w:rsid w:val="26FB33BE"/>
    <w:rsid w:val="2726D19E"/>
    <w:rsid w:val="273DC930"/>
    <w:rsid w:val="2749A4DB"/>
    <w:rsid w:val="278BA5D0"/>
    <w:rsid w:val="27A1E800"/>
    <w:rsid w:val="27EBF08A"/>
    <w:rsid w:val="280CEBAA"/>
    <w:rsid w:val="28423880"/>
    <w:rsid w:val="28858AD3"/>
    <w:rsid w:val="2907FF21"/>
    <w:rsid w:val="29215203"/>
    <w:rsid w:val="29360930"/>
    <w:rsid w:val="2959008D"/>
    <w:rsid w:val="29609192"/>
    <w:rsid w:val="2968936D"/>
    <w:rsid w:val="297F91B2"/>
    <w:rsid w:val="29997925"/>
    <w:rsid w:val="299FE987"/>
    <w:rsid w:val="29B5420D"/>
    <w:rsid w:val="29CD1498"/>
    <w:rsid w:val="29CFF6EF"/>
    <w:rsid w:val="29D54036"/>
    <w:rsid w:val="2A0166E6"/>
    <w:rsid w:val="2A19E18C"/>
    <w:rsid w:val="2A1DDD34"/>
    <w:rsid w:val="2A2F69BF"/>
    <w:rsid w:val="2A5F70EC"/>
    <w:rsid w:val="2AC9C7E7"/>
    <w:rsid w:val="2B126E3A"/>
    <w:rsid w:val="2B1E7813"/>
    <w:rsid w:val="2B288C92"/>
    <w:rsid w:val="2B4C551B"/>
    <w:rsid w:val="2B847D95"/>
    <w:rsid w:val="2B8C09EC"/>
    <w:rsid w:val="2BC53300"/>
    <w:rsid w:val="2C0DC199"/>
    <w:rsid w:val="2C62F286"/>
    <w:rsid w:val="2C6FB7C0"/>
    <w:rsid w:val="2C8BE6FD"/>
    <w:rsid w:val="2CA8AF2E"/>
    <w:rsid w:val="2CB9FC4E"/>
    <w:rsid w:val="2CC5F6E6"/>
    <w:rsid w:val="2CEFD379"/>
    <w:rsid w:val="2D72E52E"/>
    <w:rsid w:val="2D98081D"/>
    <w:rsid w:val="2D9AFC53"/>
    <w:rsid w:val="2DA8AE33"/>
    <w:rsid w:val="2DB50AAC"/>
    <w:rsid w:val="2DC391B5"/>
    <w:rsid w:val="2DE5173B"/>
    <w:rsid w:val="2DEB0577"/>
    <w:rsid w:val="2E202AFD"/>
    <w:rsid w:val="2E3AF88D"/>
    <w:rsid w:val="2E724296"/>
    <w:rsid w:val="2E9DF20D"/>
    <w:rsid w:val="2EB4E5E5"/>
    <w:rsid w:val="2ECC6089"/>
    <w:rsid w:val="2EDD5A1C"/>
    <w:rsid w:val="2EE0BB76"/>
    <w:rsid w:val="2EF72732"/>
    <w:rsid w:val="2F041A90"/>
    <w:rsid w:val="2F0FB67B"/>
    <w:rsid w:val="2F40F37C"/>
    <w:rsid w:val="2F562C7A"/>
    <w:rsid w:val="2F5E3C45"/>
    <w:rsid w:val="2FB1BFDC"/>
    <w:rsid w:val="2FBBC1FE"/>
    <w:rsid w:val="2FC42809"/>
    <w:rsid w:val="2FFDDC11"/>
    <w:rsid w:val="3001A25E"/>
    <w:rsid w:val="3020E455"/>
    <w:rsid w:val="30248909"/>
    <w:rsid w:val="30258A4D"/>
    <w:rsid w:val="30378CC3"/>
    <w:rsid w:val="303891BF"/>
    <w:rsid w:val="3041CCB1"/>
    <w:rsid w:val="30733297"/>
    <w:rsid w:val="30A2EC10"/>
    <w:rsid w:val="30B05D1A"/>
    <w:rsid w:val="30B348DA"/>
    <w:rsid w:val="3132C538"/>
    <w:rsid w:val="315011D7"/>
    <w:rsid w:val="31738FA5"/>
    <w:rsid w:val="31937AF5"/>
    <w:rsid w:val="31D804D3"/>
    <w:rsid w:val="31E20C65"/>
    <w:rsid w:val="31EC5363"/>
    <w:rsid w:val="31FC4E87"/>
    <w:rsid w:val="3261A59B"/>
    <w:rsid w:val="32685852"/>
    <w:rsid w:val="32A3BDFF"/>
    <w:rsid w:val="32C82D42"/>
    <w:rsid w:val="32DFDD7B"/>
    <w:rsid w:val="3323C9B9"/>
    <w:rsid w:val="33267197"/>
    <w:rsid w:val="332A9F42"/>
    <w:rsid w:val="332BB26D"/>
    <w:rsid w:val="33686552"/>
    <w:rsid w:val="3394094A"/>
    <w:rsid w:val="33EBF1AF"/>
    <w:rsid w:val="33F57146"/>
    <w:rsid w:val="341A15BA"/>
    <w:rsid w:val="342DF7FE"/>
    <w:rsid w:val="343E5F3B"/>
    <w:rsid w:val="3480F0A4"/>
    <w:rsid w:val="34ACE644"/>
    <w:rsid w:val="34ADD566"/>
    <w:rsid w:val="34C20E5B"/>
    <w:rsid w:val="34FAFECB"/>
    <w:rsid w:val="35120C3B"/>
    <w:rsid w:val="35136276"/>
    <w:rsid w:val="3515C335"/>
    <w:rsid w:val="351F3F28"/>
    <w:rsid w:val="3523499B"/>
    <w:rsid w:val="353EABA6"/>
    <w:rsid w:val="357AC0DC"/>
    <w:rsid w:val="35862821"/>
    <w:rsid w:val="35BB78B2"/>
    <w:rsid w:val="35D6D1A4"/>
    <w:rsid w:val="35F0E9ED"/>
    <w:rsid w:val="361B5EDF"/>
    <w:rsid w:val="362661E2"/>
    <w:rsid w:val="362FD087"/>
    <w:rsid w:val="364B3EE5"/>
    <w:rsid w:val="3654E590"/>
    <w:rsid w:val="36801770"/>
    <w:rsid w:val="3691D3CA"/>
    <w:rsid w:val="36A9BC8D"/>
    <w:rsid w:val="36F43F05"/>
    <w:rsid w:val="371FE3BF"/>
    <w:rsid w:val="372590E6"/>
    <w:rsid w:val="375A223C"/>
    <w:rsid w:val="377DC4E3"/>
    <w:rsid w:val="37943F18"/>
    <w:rsid w:val="37AE4718"/>
    <w:rsid w:val="37CDE5B2"/>
    <w:rsid w:val="37DBCA11"/>
    <w:rsid w:val="37EAE125"/>
    <w:rsid w:val="37F2AC9E"/>
    <w:rsid w:val="37F432B7"/>
    <w:rsid w:val="3910023D"/>
    <w:rsid w:val="394D9E98"/>
    <w:rsid w:val="395A9F24"/>
    <w:rsid w:val="39A16178"/>
    <w:rsid w:val="39B7C074"/>
    <w:rsid w:val="39C88D59"/>
    <w:rsid w:val="39E9A17C"/>
    <w:rsid w:val="39F77713"/>
    <w:rsid w:val="3A1197D6"/>
    <w:rsid w:val="3A2B8517"/>
    <w:rsid w:val="3A421F45"/>
    <w:rsid w:val="3A947F40"/>
    <w:rsid w:val="3AC1C8BF"/>
    <w:rsid w:val="3AE11066"/>
    <w:rsid w:val="3AFC8280"/>
    <w:rsid w:val="3B8563FE"/>
    <w:rsid w:val="3B94B61A"/>
    <w:rsid w:val="3BB67438"/>
    <w:rsid w:val="3BEEB206"/>
    <w:rsid w:val="3BF96F8F"/>
    <w:rsid w:val="3C1887E7"/>
    <w:rsid w:val="3C437FBF"/>
    <w:rsid w:val="3C7CE9E7"/>
    <w:rsid w:val="3CA871ED"/>
    <w:rsid w:val="3CB774DF"/>
    <w:rsid w:val="3CE117F5"/>
    <w:rsid w:val="3D0E7419"/>
    <w:rsid w:val="3D22348C"/>
    <w:rsid w:val="3D2FAA98"/>
    <w:rsid w:val="3D3C0043"/>
    <w:rsid w:val="3D670C04"/>
    <w:rsid w:val="3D6EE2CD"/>
    <w:rsid w:val="3D858A0C"/>
    <w:rsid w:val="3D8B9F61"/>
    <w:rsid w:val="3D912034"/>
    <w:rsid w:val="3DDE43F5"/>
    <w:rsid w:val="3E10FEC3"/>
    <w:rsid w:val="3E379F17"/>
    <w:rsid w:val="3E5CB5A3"/>
    <w:rsid w:val="3E7DA3B5"/>
    <w:rsid w:val="3ECEE796"/>
    <w:rsid w:val="3F052F01"/>
    <w:rsid w:val="3F3DF9B2"/>
    <w:rsid w:val="3F3E0EDB"/>
    <w:rsid w:val="3F81246B"/>
    <w:rsid w:val="3F8FEB1D"/>
    <w:rsid w:val="3FA1E03E"/>
    <w:rsid w:val="3FE82B00"/>
    <w:rsid w:val="40000278"/>
    <w:rsid w:val="402DE497"/>
    <w:rsid w:val="40527716"/>
    <w:rsid w:val="408964A5"/>
    <w:rsid w:val="40916348"/>
    <w:rsid w:val="40C7990A"/>
    <w:rsid w:val="40DE7443"/>
    <w:rsid w:val="40E1D0AC"/>
    <w:rsid w:val="41017E0A"/>
    <w:rsid w:val="4165EEF7"/>
    <w:rsid w:val="417F97D2"/>
    <w:rsid w:val="41930875"/>
    <w:rsid w:val="41969931"/>
    <w:rsid w:val="41AB9ED9"/>
    <w:rsid w:val="41B688AB"/>
    <w:rsid w:val="41C07368"/>
    <w:rsid w:val="41D89463"/>
    <w:rsid w:val="41DCD7C9"/>
    <w:rsid w:val="4259087E"/>
    <w:rsid w:val="4274DA8E"/>
    <w:rsid w:val="42772951"/>
    <w:rsid w:val="429B2779"/>
    <w:rsid w:val="429CD4C3"/>
    <w:rsid w:val="42F835DD"/>
    <w:rsid w:val="43026019"/>
    <w:rsid w:val="4326736C"/>
    <w:rsid w:val="432C084B"/>
    <w:rsid w:val="434F78C6"/>
    <w:rsid w:val="436ACB25"/>
    <w:rsid w:val="43788F96"/>
    <w:rsid w:val="43B86641"/>
    <w:rsid w:val="43EA7782"/>
    <w:rsid w:val="43FA3AFE"/>
    <w:rsid w:val="44388E4F"/>
    <w:rsid w:val="443B23AC"/>
    <w:rsid w:val="444C3A6F"/>
    <w:rsid w:val="44516F9D"/>
    <w:rsid w:val="4475A08F"/>
    <w:rsid w:val="44BE9908"/>
    <w:rsid w:val="44C79EE5"/>
    <w:rsid w:val="44E2FD9A"/>
    <w:rsid w:val="450EBA7B"/>
    <w:rsid w:val="452B3B30"/>
    <w:rsid w:val="45319B48"/>
    <w:rsid w:val="45458B29"/>
    <w:rsid w:val="4558182D"/>
    <w:rsid w:val="45728EAD"/>
    <w:rsid w:val="45E6786F"/>
    <w:rsid w:val="45E77B2D"/>
    <w:rsid w:val="465977E1"/>
    <w:rsid w:val="467A098C"/>
    <w:rsid w:val="46A9A945"/>
    <w:rsid w:val="46AF5C4D"/>
    <w:rsid w:val="46B9C0B3"/>
    <w:rsid w:val="46C5C286"/>
    <w:rsid w:val="46C681B9"/>
    <w:rsid w:val="46CFCDFE"/>
    <w:rsid w:val="46D88013"/>
    <w:rsid w:val="46E4D85A"/>
    <w:rsid w:val="46E97CCA"/>
    <w:rsid w:val="47588FB4"/>
    <w:rsid w:val="475E363E"/>
    <w:rsid w:val="475F0A0D"/>
    <w:rsid w:val="4778B7F5"/>
    <w:rsid w:val="47A78F7B"/>
    <w:rsid w:val="47B830B0"/>
    <w:rsid w:val="47F5C4B1"/>
    <w:rsid w:val="4807F69C"/>
    <w:rsid w:val="481A8940"/>
    <w:rsid w:val="481E860C"/>
    <w:rsid w:val="484BDC47"/>
    <w:rsid w:val="4854B114"/>
    <w:rsid w:val="486FB7ED"/>
    <w:rsid w:val="4873C5DA"/>
    <w:rsid w:val="4899BC8E"/>
    <w:rsid w:val="48A03D3A"/>
    <w:rsid w:val="48A3D0E1"/>
    <w:rsid w:val="48A67655"/>
    <w:rsid w:val="48D339E7"/>
    <w:rsid w:val="492AF731"/>
    <w:rsid w:val="494ECCC7"/>
    <w:rsid w:val="495A407C"/>
    <w:rsid w:val="4979A735"/>
    <w:rsid w:val="497DFB35"/>
    <w:rsid w:val="4983D001"/>
    <w:rsid w:val="49855E74"/>
    <w:rsid w:val="499F2F72"/>
    <w:rsid w:val="49F51EE1"/>
    <w:rsid w:val="4A1B978C"/>
    <w:rsid w:val="4A57B291"/>
    <w:rsid w:val="4A7477AE"/>
    <w:rsid w:val="4AA51D0E"/>
    <w:rsid w:val="4AF556F8"/>
    <w:rsid w:val="4AFB5335"/>
    <w:rsid w:val="4B37266D"/>
    <w:rsid w:val="4B7F5142"/>
    <w:rsid w:val="4B912AB3"/>
    <w:rsid w:val="4BB26541"/>
    <w:rsid w:val="4BB2F7E9"/>
    <w:rsid w:val="4BED367F"/>
    <w:rsid w:val="4C13726B"/>
    <w:rsid w:val="4C2B26C0"/>
    <w:rsid w:val="4C37B890"/>
    <w:rsid w:val="4C38E217"/>
    <w:rsid w:val="4C505B17"/>
    <w:rsid w:val="4C7AE6AD"/>
    <w:rsid w:val="4CC2E4D4"/>
    <w:rsid w:val="4CD15B2F"/>
    <w:rsid w:val="4CDCDD15"/>
    <w:rsid w:val="4D204D9D"/>
    <w:rsid w:val="4D4AE886"/>
    <w:rsid w:val="4D758403"/>
    <w:rsid w:val="4DAC3BC1"/>
    <w:rsid w:val="4DAC772F"/>
    <w:rsid w:val="4DB4686B"/>
    <w:rsid w:val="4DDFCFC9"/>
    <w:rsid w:val="4E15DC95"/>
    <w:rsid w:val="4E7BC95A"/>
    <w:rsid w:val="4EAD7B37"/>
    <w:rsid w:val="4EC52529"/>
    <w:rsid w:val="4EC8AFAB"/>
    <w:rsid w:val="4EE66A38"/>
    <w:rsid w:val="4F09FF3C"/>
    <w:rsid w:val="4F1CAF3C"/>
    <w:rsid w:val="4FFF3310"/>
    <w:rsid w:val="50068B87"/>
    <w:rsid w:val="5009AF3D"/>
    <w:rsid w:val="500C95B2"/>
    <w:rsid w:val="501A17C9"/>
    <w:rsid w:val="5029F144"/>
    <w:rsid w:val="502D4F46"/>
    <w:rsid w:val="503A1A8A"/>
    <w:rsid w:val="5059D9A7"/>
    <w:rsid w:val="505D2CB5"/>
    <w:rsid w:val="5089C9CA"/>
    <w:rsid w:val="50A8FFC7"/>
    <w:rsid w:val="50B0F109"/>
    <w:rsid w:val="5141FEDF"/>
    <w:rsid w:val="515637D9"/>
    <w:rsid w:val="51659044"/>
    <w:rsid w:val="5170E25D"/>
    <w:rsid w:val="51B629CC"/>
    <w:rsid w:val="51BCA9C6"/>
    <w:rsid w:val="51CD29D2"/>
    <w:rsid w:val="51EA976F"/>
    <w:rsid w:val="52104226"/>
    <w:rsid w:val="5223BA77"/>
    <w:rsid w:val="522D2088"/>
    <w:rsid w:val="5248C142"/>
    <w:rsid w:val="52797360"/>
    <w:rsid w:val="52A8048A"/>
    <w:rsid w:val="52F36984"/>
    <w:rsid w:val="52F433A0"/>
    <w:rsid w:val="52F57DAA"/>
    <w:rsid w:val="5300D788"/>
    <w:rsid w:val="53051399"/>
    <w:rsid w:val="538BEFCF"/>
    <w:rsid w:val="53B2B79C"/>
    <w:rsid w:val="53D0A368"/>
    <w:rsid w:val="53D6DFBF"/>
    <w:rsid w:val="54260D58"/>
    <w:rsid w:val="542B318C"/>
    <w:rsid w:val="543B735E"/>
    <w:rsid w:val="544C2E18"/>
    <w:rsid w:val="548ADC3F"/>
    <w:rsid w:val="548D47D8"/>
    <w:rsid w:val="54A645AF"/>
    <w:rsid w:val="54AF0084"/>
    <w:rsid w:val="54CFDA9F"/>
    <w:rsid w:val="54EFC616"/>
    <w:rsid w:val="552645BD"/>
    <w:rsid w:val="552B6B4A"/>
    <w:rsid w:val="55370A57"/>
    <w:rsid w:val="55400167"/>
    <w:rsid w:val="554C1E8E"/>
    <w:rsid w:val="55BE0CDE"/>
    <w:rsid w:val="55C4BDA6"/>
    <w:rsid w:val="5607858B"/>
    <w:rsid w:val="56214469"/>
    <w:rsid w:val="5655208C"/>
    <w:rsid w:val="5666D103"/>
    <w:rsid w:val="56749959"/>
    <w:rsid w:val="56A1FCCF"/>
    <w:rsid w:val="56A55710"/>
    <w:rsid w:val="56AC9348"/>
    <w:rsid w:val="56E8C7A3"/>
    <w:rsid w:val="56E93E5A"/>
    <w:rsid w:val="57179F3E"/>
    <w:rsid w:val="5746DCF2"/>
    <w:rsid w:val="57655D63"/>
    <w:rsid w:val="577B31FA"/>
    <w:rsid w:val="5793D405"/>
    <w:rsid w:val="57B600C3"/>
    <w:rsid w:val="57DF56BF"/>
    <w:rsid w:val="580B4A08"/>
    <w:rsid w:val="580C2E2A"/>
    <w:rsid w:val="5829016C"/>
    <w:rsid w:val="583DB136"/>
    <w:rsid w:val="5841C176"/>
    <w:rsid w:val="584F6A07"/>
    <w:rsid w:val="585BBD55"/>
    <w:rsid w:val="589BA294"/>
    <w:rsid w:val="58A0E864"/>
    <w:rsid w:val="58B1B23A"/>
    <w:rsid w:val="58E308D0"/>
    <w:rsid w:val="590910D5"/>
    <w:rsid w:val="5909E6FB"/>
    <w:rsid w:val="591BAAAE"/>
    <w:rsid w:val="592BCE59"/>
    <w:rsid w:val="59561DDE"/>
    <w:rsid w:val="59755495"/>
    <w:rsid w:val="59987997"/>
    <w:rsid w:val="59C595DF"/>
    <w:rsid w:val="59E84DBD"/>
    <w:rsid w:val="5A0EEFCE"/>
    <w:rsid w:val="5A1FDC5D"/>
    <w:rsid w:val="5A49E633"/>
    <w:rsid w:val="5A5EE6FC"/>
    <w:rsid w:val="5A7B43A5"/>
    <w:rsid w:val="5A8A3720"/>
    <w:rsid w:val="5A8A659D"/>
    <w:rsid w:val="5A95E253"/>
    <w:rsid w:val="5AC27307"/>
    <w:rsid w:val="5AC701AB"/>
    <w:rsid w:val="5AF5F1DF"/>
    <w:rsid w:val="5AFA3D36"/>
    <w:rsid w:val="5AFC8DB5"/>
    <w:rsid w:val="5B023C3E"/>
    <w:rsid w:val="5B02E90D"/>
    <w:rsid w:val="5B4C4137"/>
    <w:rsid w:val="5B4DAF61"/>
    <w:rsid w:val="5B6B5DD0"/>
    <w:rsid w:val="5B76CED4"/>
    <w:rsid w:val="5BC5D9A5"/>
    <w:rsid w:val="5BF9CBB7"/>
    <w:rsid w:val="5C0E5996"/>
    <w:rsid w:val="5C215A50"/>
    <w:rsid w:val="5C38B146"/>
    <w:rsid w:val="5C5DDC7C"/>
    <w:rsid w:val="5C7FD48B"/>
    <w:rsid w:val="5CCC2A93"/>
    <w:rsid w:val="5D057862"/>
    <w:rsid w:val="5D26B355"/>
    <w:rsid w:val="5D30D3D6"/>
    <w:rsid w:val="5D3BEF9F"/>
    <w:rsid w:val="5D9831B2"/>
    <w:rsid w:val="5DAEE372"/>
    <w:rsid w:val="5DB32152"/>
    <w:rsid w:val="5DB4B92E"/>
    <w:rsid w:val="5DBBE121"/>
    <w:rsid w:val="5DC77873"/>
    <w:rsid w:val="5DE0C497"/>
    <w:rsid w:val="5DEB8E8F"/>
    <w:rsid w:val="5DEC4E39"/>
    <w:rsid w:val="5E26E6E8"/>
    <w:rsid w:val="5E343826"/>
    <w:rsid w:val="5E8C771F"/>
    <w:rsid w:val="5ED6EB18"/>
    <w:rsid w:val="5EF3F688"/>
    <w:rsid w:val="5EF88605"/>
    <w:rsid w:val="5F06ABB8"/>
    <w:rsid w:val="5F3B7127"/>
    <w:rsid w:val="5F57418A"/>
    <w:rsid w:val="5F5FD33B"/>
    <w:rsid w:val="5F785F49"/>
    <w:rsid w:val="5FB61A9C"/>
    <w:rsid w:val="5FF1E9AA"/>
    <w:rsid w:val="5FF6BEB2"/>
    <w:rsid w:val="5FF87405"/>
    <w:rsid w:val="600BB7C8"/>
    <w:rsid w:val="600C4F0D"/>
    <w:rsid w:val="6015DB1D"/>
    <w:rsid w:val="601A94E6"/>
    <w:rsid w:val="6060118E"/>
    <w:rsid w:val="6096B991"/>
    <w:rsid w:val="60CC45AF"/>
    <w:rsid w:val="610E5E21"/>
    <w:rsid w:val="611F1C82"/>
    <w:rsid w:val="617FB59C"/>
    <w:rsid w:val="6198857C"/>
    <w:rsid w:val="61CED758"/>
    <w:rsid w:val="61DF7E15"/>
    <w:rsid w:val="61E3DEF3"/>
    <w:rsid w:val="6222A32C"/>
    <w:rsid w:val="625D5B15"/>
    <w:rsid w:val="62A363B1"/>
    <w:rsid w:val="62B5A013"/>
    <w:rsid w:val="62BC929D"/>
    <w:rsid w:val="62EA9C3D"/>
    <w:rsid w:val="6317DB0F"/>
    <w:rsid w:val="6328DE82"/>
    <w:rsid w:val="632ED956"/>
    <w:rsid w:val="635B86B7"/>
    <w:rsid w:val="6382457F"/>
    <w:rsid w:val="63A941AF"/>
    <w:rsid w:val="63E720F3"/>
    <w:rsid w:val="64020E85"/>
    <w:rsid w:val="6451B06C"/>
    <w:rsid w:val="64550515"/>
    <w:rsid w:val="64878C5A"/>
    <w:rsid w:val="64C45BCB"/>
    <w:rsid w:val="64D658DA"/>
    <w:rsid w:val="64D97FA7"/>
    <w:rsid w:val="64E72A5A"/>
    <w:rsid w:val="64F9C630"/>
    <w:rsid w:val="6516A30B"/>
    <w:rsid w:val="6532B48E"/>
    <w:rsid w:val="653AFF6C"/>
    <w:rsid w:val="654E8CAB"/>
    <w:rsid w:val="65912A63"/>
    <w:rsid w:val="65A0B8B0"/>
    <w:rsid w:val="65B54E88"/>
    <w:rsid w:val="65BD7059"/>
    <w:rsid w:val="65C9E83A"/>
    <w:rsid w:val="65E473D3"/>
    <w:rsid w:val="65E853E4"/>
    <w:rsid w:val="6634D34F"/>
    <w:rsid w:val="666DCFC1"/>
    <w:rsid w:val="66868F96"/>
    <w:rsid w:val="668D02B5"/>
    <w:rsid w:val="6690E5F1"/>
    <w:rsid w:val="6697A667"/>
    <w:rsid w:val="66B74B4C"/>
    <w:rsid w:val="66F1E74A"/>
    <w:rsid w:val="6726ECF8"/>
    <w:rsid w:val="672DC449"/>
    <w:rsid w:val="6753A3AC"/>
    <w:rsid w:val="679EE5D1"/>
    <w:rsid w:val="67BEBC84"/>
    <w:rsid w:val="67D78572"/>
    <w:rsid w:val="681E22AF"/>
    <w:rsid w:val="684E69A6"/>
    <w:rsid w:val="68568CF8"/>
    <w:rsid w:val="68AB46A6"/>
    <w:rsid w:val="68C55F8E"/>
    <w:rsid w:val="68DA9CCC"/>
    <w:rsid w:val="68DC14C2"/>
    <w:rsid w:val="68E7F9AD"/>
    <w:rsid w:val="69005ADB"/>
    <w:rsid w:val="690512DD"/>
    <w:rsid w:val="69085E9A"/>
    <w:rsid w:val="6931ACA1"/>
    <w:rsid w:val="69597902"/>
    <w:rsid w:val="698E4923"/>
    <w:rsid w:val="6A00A615"/>
    <w:rsid w:val="6A608918"/>
    <w:rsid w:val="6A681A72"/>
    <w:rsid w:val="6A727BBB"/>
    <w:rsid w:val="6AF72FD4"/>
    <w:rsid w:val="6B03620D"/>
    <w:rsid w:val="6B131F9A"/>
    <w:rsid w:val="6B1D62D0"/>
    <w:rsid w:val="6B2D9477"/>
    <w:rsid w:val="6B6CAC4F"/>
    <w:rsid w:val="6BA1ADA4"/>
    <w:rsid w:val="6C0A5E22"/>
    <w:rsid w:val="6C0D15A4"/>
    <w:rsid w:val="6C144D67"/>
    <w:rsid w:val="6C2B27B5"/>
    <w:rsid w:val="6C316223"/>
    <w:rsid w:val="6C4B4345"/>
    <w:rsid w:val="6C631287"/>
    <w:rsid w:val="6C8FC3B8"/>
    <w:rsid w:val="6CB88B45"/>
    <w:rsid w:val="6CBEBBDE"/>
    <w:rsid w:val="6CCF3A06"/>
    <w:rsid w:val="6D32CBD5"/>
    <w:rsid w:val="6D40517D"/>
    <w:rsid w:val="6D52E2DB"/>
    <w:rsid w:val="6D603977"/>
    <w:rsid w:val="6D711D21"/>
    <w:rsid w:val="6D8DB1C0"/>
    <w:rsid w:val="6DA1AFDD"/>
    <w:rsid w:val="6DD53468"/>
    <w:rsid w:val="6DD80EFE"/>
    <w:rsid w:val="6DF79B35"/>
    <w:rsid w:val="6E14F230"/>
    <w:rsid w:val="6E5663A4"/>
    <w:rsid w:val="6E6E2755"/>
    <w:rsid w:val="6E7FF6FD"/>
    <w:rsid w:val="6E867A54"/>
    <w:rsid w:val="6EFC02E7"/>
    <w:rsid w:val="6F17905B"/>
    <w:rsid w:val="6F2BCAFC"/>
    <w:rsid w:val="6F53EFDD"/>
    <w:rsid w:val="6F5ADEEC"/>
    <w:rsid w:val="6F65733D"/>
    <w:rsid w:val="6F809D4A"/>
    <w:rsid w:val="6F98905F"/>
    <w:rsid w:val="6FA3E8C3"/>
    <w:rsid w:val="6FB95311"/>
    <w:rsid w:val="700163E6"/>
    <w:rsid w:val="701C58FC"/>
    <w:rsid w:val="702ADC1D"/>
    <w:rsid w:val="702D367A"/>
    <w:rsid w:val="706064A7"/>
    <w:rsid w:val="706172D6"/>
    <w:rsid w:val="70C4CBBD"/>
    <w:rsid w:val="70DD5974"/>
    <w:rsid w:val="70EB8D2A"/>
    <w:rsid w:val="711107D7"/>
    <w:rsid w:val="71384AA9"/>
    <w:rsid w:val="714E7CDC"/>
    <w:rsid w:val="7197BA7A"/>
    <w:rsid w:val="71B5584D"/>
    <w:rsid w:val="721FB825"/>
    <w:rsid w:val="72514A5C"/>
    <w:rsid w:val="72581BF4"/>
    <w:rsid w:val="729B4884"/>
    <w:rsid w:val="72B520C2"/>
    <w:rsid w:val="72BF5ECF"/>
    <w:rsid w:val="72D99D92"/>
    <w:rsid w:val="732F2318"/>
    <w:rsid w:val="733DA20F"/>
    <w:rsid w:val="7377882A"/>
    <w:rsid w:val="737DB470"/>
    <w:rsid w:val="739536FA"/>
    <w:rsid w:val="73A0C762"/>
    <w:rsid w:val="73A2DA19"/>
    <w:rsid w:val="73AB975B"/>
    <w:rsid w:val="73D379B1"/>
    <w:rsid w:val="73D7AF16"/>
    <w:rsid w:val="73F51189"/>
    <w:rsid w:val="740DE0A5"/>
    <w:rsid w:val="747E8432"/>
    <w:rsid w:val="748FA859"/>
    <w:rsid w:val="74A3C306"/>
    <w:rsid w:val="74CEEEB4"/>
    <w:rsid w:val="74E20B42"/>
    <w:rsid w:val="74E9A04E"/>
    <w:rsid w:val="7512F029"/>
    <w:rsid w:val="7516FE2B"/>
    <w:rsid w:val="751DC148"/>
    <w:rsid w:val="754DFEE7"/>
    <w:rsid w:val="755F908B"/>
    <w:rsid w:val="755FCF6B"/>
    <w:rsid w:val="75C36E95"/>
    <w:rsid w:val="75EEC6D4"/>
    <w:rsid w:val="75F9069B"/>
    <w:rsid w:val="7611A857"/>
    <w:rsid w:val="763659A7"/>
    <w:rsid w:val="764F8E09"/>
    <w:rsid w:val="76BB1579"/>
    <w:rsid w:val="76BF64F1"/>
    <w:rsid w:val="76D8D72A"/>
    <w:rsid w:val="76D94802"/>
    <w:rsid w:val="770C7A27"/>
    <w:rsid w:val="771E5D1E"/>
    <w:rsid w:val="77240A50"/>
    <w:rsid w:val="776C0FDB"/>
    <w:rsid w:val="77A0C4F1"/>
    <w:rsid w:val="77BFEA3F"/>
    <w:rsid w:val="780653D5"/>
    <w:rsid w:val="788777E8"/>
    <w:rsid w:val="7889C6F4"/>
    <w:rsid w:val="78B72F46"/>
    <w:rsid w:val="78BE134B"/>
    <w:rsid w:val="78C72794"/>
    <w:rsid w:val="78D7F7CA"/>
    <w:rsid w:val="793001DC"/>
    <w:rsid w:val="793D3D9F"/>
    <w:rsid w:val="79770886"/>
    <w:rsid w:val="79BCA933"/>
    <w:rsid w:val="79ED137A"/>
    <w:rsid w:val="7A19E374"/>
    <w:rsid w:val="7A587B34"/>
    <w:rsid w:val="7A5AFEBA"/>
    <w:rsid w:val="7A6B0FF2"/>
    <w:rsid w:val="7A9F8D00"/>
    <w:rsid w:val="7AA3B3B9"/>
    <w:rsid w:val="7AD8F1E9"/>
    <w:rsid w:val="7ADD7B6F"/>
    <w:rsid w:val="7AE45630"/>
    <w:rsid w:val="7AED7E24"/>
    <w:rsid w:val="7AF303CF"/>
    <w:rsid w:val="7AF421C7"/>
    <w:rsid w:val="7B04B5FD"/>
    <w:rsid w:val="7B1CC233"/>
    <w:rsid w:val="7B6F079C"/>
    <w:rsid w:val="7B7A7397"/>
    <w:rsid w:val="7B90EAB0"/>
    <w:rsid w:val="7BC078F5"/>
    <w:rsid w:val="7BF3324D"/>
    <w:rsid w:val="7C1DF29E"/>
    <w:rsid w:val="7C285D52"/>
    <w:rsid w:val="7C716BD1"/>
    <w:rsid w:val="7C75ED73"/>
    <w:rsid w:val="7C7B6161"/>
    <w:rsid w:val="7C7F0886"/>
    <w:rsid w:val="7CAA78A6"/>
    <w:rsid w:val="7CDAAE87"/>
    <w:rsid w:val="7CDB25A7"/>
    <w:rsid w:val="7CF03AE4"/>
    <w:rsid w:val="7CF2300B"/>
    <w:rsid w:val="7D1D8E8E"/>
    <w:rsid w:val="7D51455A"/>
    <w:rsid w:val="7D53D4A3"/>
    <w:rsid w:val="7D5D88C3"/>
    <w:rsid w:val="7D60326D"/>
    <w:rsid w:val="7D6AA8B2"/>
    <w:rsid w:val="7D92B5CC"/>
    <w:rsid w:val="7D95FB19"/>
    <w:rsid w:val="7DB21B26"/>
    <w:rsid w:val="7DB6A248"/>
    <w:rsid w:val="7DBCA9D4"/>
    <w:rsid w:val="7DE0B7CF"/>
    <w:rsid w:val="7E156D36"/>
    <w:rsid w:val="7E16D129"/>
    <w:rsid w:val="7E27370F"/>
    <w:rsid w:val="7E273E08"/>
    <w:rsid w:val="7E29C4D5"/>
    <w:rsid w:val="7E2FFAE5"/>
    <w:rsid w:val="7E34E469"/>
    <w:rsid w:val="7E505C3C"/>
    <w:rsid w:val="7E8B2530"/>
    <w:rsid w:val="7EB30050"/>
    <w:rsid w:val="7EBE34FD"/>
    <w:rsid w:val="7F049C8B"/>
    <w:rsid w:val="7F0EC1AC"/>
    <w:rsid w:val="7F27463F"/>
    <w:rsid w:val="7F2FECAA"/>
    <w:rsid w:val="7F3E48C1"/>
    <w:rsid w:val="7F42EBC9"/>
    <w:rsid w:val="7F7777A7"/>
    <w:rsid w:val="7F8A0D3B"/>
    <w:rsid w:val="7F941E3B"/>
    <w:rsid w:val="7FDB2793"/>
    <w:rsid w:val="7FE16A97"/>
    <w:rsid w:val="7FF23F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4A37E"/>
  <w15:chartTrackingRefBased/>
  <w15:docId w15:val="{A3BBB072-B1D7-4561-AE26-B5F5F35E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99"/>
    <w:qFormat/>
    <w:rsid w:val="00F75D9D"/>
    <w:pPr>
      <w:spacing w:after="0" w:line="288" w:lineRule="auto"/>
    </w:pPr>
    <w:rPr>
      <w:rFonts w:ascii="Trebuchet MS" w:eastAsia="Times New Roman" w:hAnsi="Trebuchet MS" w:cs="Times New Roman"/>
      <w:sz w:val="18"/>
      <w:szCs w:val="24"/>
      <w:lang w:val="nl-NL" w:eastAsia="nl-NL"/>
    </w:rPr>
  </w:style>
  <w:style w:type="paragraph" w:styleId="Kop1">
    <w:name w:val="heading 1"/>
    <w:next w:val="Plattetekst"/>
    <w:link w:val="Kop1Char"/>
    <w:uiPriority w:val="9"/>
    <w:qFormat/>
    <w:rsid w:val="00F82446"/>
    <w:pPr>
      <w:keepNext/>
      <w:keepLines/>
      <w:pageBreakBefore/>
      <w:numPr>
        <w:numId w:val="3"/>
      </w:numPr>
      <w:spacing w:after="600" w:line="288" w:lineRule="auto"/>
      <w:outlineLvl w:val="0"/>
    </w:pPr>
    <w:rPr>
      <w:rFonts w:ascii="Trebuchet MS" w:eastAsiaTheme="majorEastAsia" w:hAnsi="Trebuchet MS" w:cstheme="majorBidi"/>
      <w:b/>
      <w:bCs/>
      <w:color w:val="1D509A"/>
      <w:sz w:val="24"/>
      <w:szCs w:val="28"/>
      <w:lang w:val="nl-NL"/>
    </w:rPr>
  </w:style>
  <w:style w:type="paragraph" w:styleId="Kop2">
    <w:name w:val="heading 2"/>
    <w:aliases w:val="paragraaf"/>
    <w:basedOn w:val="Kop1"/>
    <w:next w:val="Standaard"/>
    <w:link w:val="Kop2Char"/>
    <w:uiPriority w:val="9"/>
    <w:qFormat/>
    <w:rsid w:val="009659A1"/>
    <w:pPr>
      <w:pageBreakBefore w:val="0"/>
      <w:numPr>
        <w:ilvl w:val="1"/>
      </w:numPr>
      <w:spacing w:after="0"/>
      <w:outlineLvl w:val="1"/>
    </w:pPr>
    <w:rPr>
      <w:sz w:val="18"/>
      <w:szCs w:val="26"/>
    </w:rPr>
  </w:style>
  <w:style w:type="paragraph" w:styleId="Kop3">
    <w:name w:val="heading 3"/>
    <w:aliases w:val="Subparagraaf"/>
    <w:basedOn w:val="Kop2"/>
    <w:next w:val="Plattetekst"/>
    <w:link w:val="Kop3Char"/>
    <w:uiPriority w:val="9"/>
    <w:qFormat/>
    <w:rsid w:val="009659A1"/>
    <w:pPr>
      <w:numPr>
        <w:ilvl w:val="2"/>
      </w:numPr>
      <w:outlineLvl w:val="2"/>
    </w:pPr>
    <w:rPr>
      <w:bCs w:val="0"/>
    </w:rPr>
  </w:style>
  <w:style w:type="paragraph" w:styleId="Kop4">
    <w:name w:val="heading 4"/>
    <w:next w:val="Plattetekst"/>
    <w:link w:val="Kop4Char"/>
    <w:uiPriority w:val="9"/>
    <w:qFormat/>
    <w:rsid w:val="001A510A"/>
    <w:pPr>
      <w:keepNext/>
      <w:spacing w:before="240" w:after="40" w:line="288" w:lineRule="auto"/>
      <w:outlineLvl w:val="3"/>
    </w:pPr>
    <w:rPr>
      <w:rFonts w:asciiTheme="majorHAnsi" w:eastAsiaTheme="majorEastAsia" w:hAnsiTheme="majorHAnsi" w:cstheme="majorBidi"/>
      <w:bCs/>
      <w:iCs/>
      <w:color w:val="1D509A"/>
      <w:sz w:val="18"/>
      <w:szCs w:val="26"/>
      <w:lang w:val="nl-NL"/>
    </w:rPr>
  </w:style>
  <w:style w:type="paragraph" w:styleId="Kop5">
    <w:name w:val="heading 5"/>
    <w:next w:val="Plattetekst"/>
    <w:link w:val="Kop5Char"/>
    <w:uiPriority w:val="9"/>
    <w:qFormat/>
    <w:rsid w:val="00E63A23"/>
    <w:pPr>
      <w:keepNext/>
      <w:keepLines/>
      <w:pageBreakBefore/>
      <w:numPr>
        <w:ilvl w:val="4"/>
        <w:numId w:val="3"/>
      </w:numPr>
      <w:spacing w:after="600" w:line="288" w:lineRule="auto"/>
      <w:outlineLvl w:val="4"/>
    </w:pPr>
    <w:rPr>
      <w:rFonts w:asciiTheme="majorHAnsi" w:eastAsiaTheme="majorEastAsia" w:hAnsiTheme="majorHAnsi" w:cstheme="majorBidi"/>
      <w:b/>
      <w:color w:val="000000" w:themeColor="text1"/>
      <w:sz w:val="24"/>
      <w:szCs w:val="28"/>
      <w:lang w:val="nl-NL"/>
    </w:rPr>
  </w:style>
  <w:style w:type="paragraph" w:styleId="Kop6">
    <w:name w:val="heading 6"/>
    <w:aliases w:val="Kop 6 - Bijlage Kop 1"/>
    <w:basedOn w:val="Kop2"/>
    <w:next w:val="Plattetekst"/>
    <w:link w:val="Kop6Char"/>
    <w:uiPriority w:val="9"/>
    <w:qFormat/>
    <w:rsid w:val="00E63A23"/>
    <w:pPr>
      <w:numPr>
        <w:ilvl w:val="5"/>
      </w:numPr>
      <w:tabs>
        <w:tab w:val="num" w:pos="0"/>
      </w:tabs>
      <w:outlineLvl w:val="5"/>
    </w:pPr>
    <w:rPr>
      <w:iCs/>
    </w:rPr>
  </w:style>
  <w:style w:type="paragraph" w:styleId="Kop7">
    <w:name w:val="heading 7"/>
    <w:aliases w:val="Kop 7 - Bijlage kop 2"/>
    <w:basedOn w:val="Kop1"/>
    <w:next w:val="Plattetekst"/>
    <w:link w:val="Kop7Char"/>
    <w:uiPriority w:val="9"/>
    <w:qFormat/>
    <w:rsid w:val="00E63A23"/>
    <w:pPr>
      <w:numPr>
        <w:ilvl w:val="6"/>
      </w:numPr>
      <w:outlineLvl w:val="6"/>
    </w:pPr>
    <w:rPr>
      <w:iCs/>
    </w:rPr>
  </w:style>
  <w:style w:type="paragraph" w:styleId="Kop8">
    <w:name w:val="heading 8"/>
    <w:basedOn w:val="Kop2"/>
    <w:next w:val="Plattetekst"/>
    <w:link w:val="Kop8Char"/>
    <w:uiPriority w:val="9"/>
    <w:qFormat/>
    <w:rsid w:val="00E63A23"/>
    <w:pPr>
      <w:numPr>
        <w:ilvl w:val="7"/>
      </w:numPr>
      <w:outlineLvl w:val="7"/>
    </w:pPr>
    <w:rPr>
      <w:szCs w:val="20"/>
    </w:rPr>
  </w:style>
  <w:style w:type="paragraph" w:styleId="Kop9">
    <w:name w:val="heading 9"/>
    <w:basedOn w:val="Kop8"/>
    <w:next w:val="Plattetekst"/>
    <w:link w:val="Kop9Char"/>
    <w:uiPriority w:val="9"/>
    <w:qFormat/>
    <w:rsid w:val="00E63A23"/>
    <w:pPr>
      <w:numPr>
        <w:ilvl w:val="8"/>
      </w:numPr>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82446"/>
    <w:rPr>
      <w:rFonts w:ascii="Trebuchet MS" w:eastAsiaTheme="majorEastAsia" w:hAnsi="Trebuchet MS" w:cstheme="majorBidi"/>
      <w:b/>
      <w:bCs/>
      <w:color w:val="1D509A"/>
      <w:sz w:val="24"/>
      <w:szCs w:val="28"/>
      <w:lang w:val="nl-NL"/>
    </w:rPr>
  </w:style>
  <w:style w:type="character" w:customStyle="1" w:styleId="Kop2Char">
    <w:name w:val="Kop 2 Char"/>
    <w:aliases w:val="paragraaf Char"/>
    <w:basedOn w:val="Standaardalinea-lettertype"/>
    <w:link w:val="Kop2"/>
    <w:uiPriority w:val="9"/>
    <w:rsid w:val="009659A1"/>
    <w:rPr>
      <w:rFonts w:ascii="Trebuchet MS" w:eastAsiaTheme="majorEastAsia" w:hAnsi="Trebuchet MS" w:cstheme="majorBidi"/>
      <w:b/>
      <w:bCs/>
      <w:color w:val="1D509A"/>
      <w:sz w:val="18"/>
      <w:szCs w:val="26"/>
      <w:lang w:val="nl-NL"/>
    </w:rPr>
  </w:style>
  <w:style w:type="character" w:customStyle="1" w:styleId="Kop3Char">
    <w:name w:val="Kop 3 Char"/>
    <w:aliases w:val="Subparagraaf Char"/>
    <w:basedOn w:val="Standaardalinea-lettertype"/>
    <w:link w:val="Kop3"/>
    <w:uiPriority w:val="9"/>
    <w:rsid w:val="009659A1"/>
    <w:rPr>
      <w:rFonts w:ascii="Trebuchet MS" w:eastAsiaTheme="majorEastAsia" w:hAnsi="Trebuchet MS" w:cstheme="majorBidi"/>
      <w:b/>
      <w:color w:val="1D509A"/>
      <w:sz w:val="18"/>
      <w:szCs w:val="26"/>
      <w:lang w:val="nl-NL"/>
    </w:rPr>
  </w:style>
  <w:style w:type="character" w:customStyle="1" w:styleId="Kop4Char">
    <w:name w:val="Kop 4 Char"/>
    <w:basedOn w:val="Standaardalinea-lettertype"/>
    <w:link w:val="Kop4"/>
    <w:uiPriority w:val="9"/>
    <w:rsid w:val="00E63A23"/>
    <w:rPr>
      <w:rFonts w:asciiTheme="majorHAnsi" w:eastAsiaTheme="majorEastAsia" w:hAnsiTheme="majorHAnsi" w:cstheme="majorBidi"/>
      <w:bCs/>
      <w:iCs/>
      <w:color w:val="1D509A"/>
      <w:sz w:val="18"/>
      <w:szCs w:val="26"/>
      <w:lang w:val="nl-NL"/>
    </w:rPr>
  </w:style>
  <w:style w:type="character" w:customStyle="1" w:styleId="Kop5Char">
    <w:name w:val="Kop 5 Char"/>
    <w:basedOn w:val="Standaardalinea-lettertype"/>
    <w:link w:val="Kop5"/>
    <w:uiPriority w:val="9"/>
    <w:rsid w:val="00E63A23"/>
    <w:rPr>
      <w:rFonts w:asciiTheme="majorHAnsi" w:eastAsiaTheme="majorEastAsia" w:hAnsiTheme="majorHAnsi" w:cstheme="majorBidi"/>
      <w:b/>
      <w:color w:val="000000" w:themeColor="text1"/>
      <w:sz w:val="24"/>
      <w:szCs w:val="28"/>
      <w:lang w:val="nl-NL"/>
    </w:rPr>
  </w:style>
  <w:style w:type="character" w:customStyle="1" w:styleId="Kop6Char">
    <w:name w:val="Kop 6 Char"/>
    <w:aliases w:val="Kop 6 - Bijlage Kop 1 Char"/>
    <w:basedOn w:val="Standaardalinea-lettertype"/>
    <w:link w:val="Kop6"/>
    <w:uiPriority w:val="9"/>
    <w:rsid w:val="00E63A23"/>
    <w:rPr>
      <w:rFonts w:ascii="Trebuchet MS" w:eastAsiaTheme="majorEastAsia" w:hAnsi="Trebuchet MS" w:cstheme="majorBidi"/>
      <w:b/>
      <w:bCs/>
      <w:iCs/>
      <w:color w:val="1D509A"/>
      <w:sz w:val="18"/>
      <w:szCs w:val="26"/>
      <w:lang w:val="nl-NL"/>
    </w:rPr>
  </w:style>
  <w:style w:type="character" w:customStyle="1" w:styleId="Kop7Char">
    <w:name w:val="Kop 7 Char"/>
    <w:aliases w:val="Kop 7 - Bijlage kop 2 Char"/>
    <w:basedOn w:val="Standaardalinea-lettertype"/>
    <w:link w:val="Kop7"/>
    <w:uiPriority w:val="9"/>
    <w:rsid w:val="00E63A23"/>
    <w:rPr>
      <w:rFonts w:ascii="Trebuchet MS" w:eastAsiaTheme="majorEastAsia" w:hAnsi="Trebuchet MS" w:cstheme="majorBidi"/>
      <w:b/>
      <w:bCs/>
      <w:iCs/>
      <w:color w:val="1D509A"/>
      <w:sz w:val="24"/>
      <w:szCs w:val="28"/>
      <w:lang w:val="nl-NL"/>
    </w:rPr>
  </w:style>
  <w:style w:type="character" w:customStyle="1" w:styleId="Kop8Char">
    <w:name w:val="Kop 8 Char"/>
    <w:basedOn w:val="Standaardalinea-lettertype"/>
    <w:link w:val="Kop8"/>
    <w:uiPriority w:val="9"/>
    <w:rsid w:val="00E63A23"/>
    <w:rPr>
      <w:rFonts w:ascii="Trebuchet MS" w:eastAsiaTheme="majorEastAsia" w:hAnsi="Trebuchet MS" w:cstheme="majorBidi"/>
      <w:b/>
      <w:bCs/>
      <w:color w:val="1D509A"/>
      <w:sz w:val="18"/>
      <w:szCs w:val="20"/>
      <w:lang w:val="nl-NL"/>
    </w:rPr>
  </w:style>
  <w:style w:type="character" w:customStyle="1" w:styleId="Kop9Char">
    <w:name w:val="Kop 9 Char"/>
    <w:basedOn w:val="Standaardalinea-lettertype"/>
    <w:link w:val="Kop9"/>
    <w:uiPriority w:val="9"/>
    <w:rsid w:val="00E63A23"/>
    <w:rPr>
      <w:rFonts w:ascii="Trebuchet MS" w:eastAsiaTheme="majorEastAsia" w:hAnsi="Trebuchet MS" w:cstheme="majorBidi"/>
      <w:b/>
      <w:bCs/>
      <w:color w:val="1D509A"/>
      <w:sz w:val="18"/>
      <w:szCs w:val="20"/>
      <w:lang w:val="nl-NL"/>
    </w:rPr>
  </w:style>
  <w:style w:type="character" w:styleId="Hyperlink">
    <w:name w:val="Hyperlink"/>
    <w:basedOn w:val="Standaardalinea-lettertype"/>
    <w:uiPriority w:val="99"/>
    <w:rsid w:val="00E63A23"/>
    <w:rPr>
      <w:color w:val="0563C1" w:themeColor="hyperlink"/>
      <w:u w:val="single"/>
    </w:rPr>
  </w:style>
  <w:style w:type="paragraph" w:styleId="Plattetekst">
    <w:name w:val="Body Text"/>
    <w:basedOn w:val="Standaard"/>
    <w:link w:val="PlattetekstChar"/>
    <w:qFormat/>
    <w:rsid w:val="00E63A23"/>
    <w:pPr>
      <w:keepLines/>
    </w:pPr>
  </w:style>
  <w:style w:type="character" w:customStyle="1" w:styleId="PlattetekstChar">
    <w:name w:val="Platte tekst Char"/>
    <w:basedOn w:val="Standaardalinea-lettertype"/>
    <w:link w:val="Plattetekst"/>
    <w:rsid w:val="00E63A23"/>
    <w:rPr>
      <w:rFonts w:ascii="Trebuchet MS" w:eastAsia="Times New Roman" w:hAnsi="Trebuchet MS" w:cs="Times New Roman"/>
      <w:sz w:val="18"/>
      <w:szCs w:val="24"/>
      <w:lang w:val="nl-NL" w:eastAsia="nl-NL"/>
    </w:rPr>
  </w:style>
  <w:style w:type="paragraph" w:styleId="Voetnoottekst">
    <w:name w:val="footnote text"/>
    <w:basedOn w:val="Standaard"/>
    <w:link w:val="VoetnoottekstChar"/>
    <w:uiPriority w:val="99"/>
    <w:qFormat/>
    <w:rsid w:val="00E63A23"/>
    <w:pPr>
      <w:spacing w:after="80" w:line="240" w:lineRule="auto"/>
      <w:ind w:left="284" w:hanging="284"/>
    </w:pPr>
    <w:rPr>
      <w:color w:val="404040" w:themeColor="text1" w:themeTint="BF"/>
      <w:sz w:val="16"/>
    </w:rPr>
  </w:style>
  <w:style w:type="character" w:customStyle="1" w:styleId="VoetnoottekstChar">
    <w:name w:val="Voetnoottekst Char"/>
    <w:basedOn w:val="Standaardalinea-lettertype"/>
    <w:link w:val="Voetnoottekst"/>
    <w:uiPriority w:val="99"/>
    <w:rsid w:val="00E63A23"/>
    <w:rPr>
      <w:rFonts w:eastAsia="Times New Roman" w:cs="Times New Roman"/>
      <w:color w:val="404040" w:themeColor="text1" w:themeTint="BF"/>
      <w:sz w:val="16"/>
      <w:szCs w:val="24"/>
      <w:lang w:val="nl-NL" w:eastAsia="nl-NL"/>
    </w:rPr>
  </w:style>
  <w:style w:type="character" w:styleId="Voetnootmarkering">
    <w:name w:val="footnote reference"/>
    <w:basedOn w:val="Standaardalinea-lettertype"/>
    <w:uiPriority w:val="99"/>
    <w:rsid w:val="00E63A23"/>
    <w:rPr>
      <w:color w:val="auto"/>
      <w:vertAlign w:val="superscript"/>
    </w:rPr>
  </w:style>
  <w:style w:type="paragraph" w:styleId="Lijstalinea">
    <w:name w:val="List Paragraph"/>
    <w:basedOn w:val="Standaard"/>
    <w:link w:val="LijstalineaChar"/>
    <w:uiPriority w:val="34"/>
    <w:qFormat/>
    <w:rsid w:val="00E63A23"/>
    <w:pPr>
      <w:ind w:left="720"/>
      <w:contextualSpacing/>
    </w:pPr>
  </w:style>
  <w:style w:type="character" w:customStyle="1" w:styleId="LijstalineaChar">
    <w:name w:val="Lijstalinea Char"/>
    <w:link w:val="Lijstalinea"/>
    <w:uiPriority w:val="34"/>
    <w:locked/>
    <w:rsid w:val="00E63A23"/>
    <w:rPr>
      <w:rFonts w:eastAsia="Times New Roman" w:cs="Times New Roman"/>
      <w:sz w:val="18"/>
      <w:szCs w:val="24"/>
      <w:lang w:val="nl-NL" w:eastAsia="nl-NL"/>
    </w:rPr>
  </w:style>
  <w:style w:type="character" w:styleId="Verwijzingopmerking">
    <w:name w:val="annotation reference"/>
    <w:basedOn w:val="Standaardalinea-lettertype"/>
    <w:uiPriority w:val="99"/>
    <w:unhideWhenUsed/>
    <w:rsid w:val="00EC641F"/>
    <w:rPr>
      <w:sz w:val="16"/>
      <w:szCs w:val="16"/>
    </w:rPr>
  </w:style>
  <w:style w:type="paragraph" w:styleId="Tekstopmerking">
    <w:name w:val="annotation text"/>
    <w:basedOn w:val="Standaard"/>
    <w:link w:val="TekstopmerkingChar"/>
    <w:uiPriority w:val="99"/>
    <w:unhideWhenUsed/>
    <w:rsid w:val="00EC641F"/>
    <w:pPr>
      <w:spacing w:line="240" w:lineRule="auto"/>
    </w:pPr>
    <w:rPr>
      <w:sz w:val="20"/>
      <w:szCs w:val="20"/>
    </w:rPr>
  </w:style>
  <w:style w:type="character" w:customStyle="1" w:styleId="TekstopmerkingChar">
    <w:name w:val="Tekst opmerking Char"/>
    <w:basedOn w:val="Standaardalinea-lettertype"/>
    <w:link w:val="Tekstopmerking"/>
    <w:uiPriority w:val="99"/>
    <w:rsid w:val="00EC641F"/>
    <w:rPr>
      <w:rFonts w:eastAsia="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EC641F"/>
    <w:rPr>
      <w:b/>
      <w:bCs/>
    </w:rPr>
  </w:style>
  <w:style w:type="character" w:customStyle="1" w:styleId="OnderwerpvanopmerkingChar">
    <w:name w:val="Onderwerp van opmerking Char"/>
    <w:basedOn w:val="TekstopmerkingChar"/>
    <w:link w:val="Onderwerpvanopmerking"/>
    <w:uiPriority w:val="99"/>
    <w:semiHidden/>
    <w:rsid w:val="00EC641F"/>
    <w:rPr>
      <w:rFonts w:eastAsia="Times New Roman" w:cs="Times New Roman"/>
      <w:b/>
      <w:bCs/>
      <w:sz w:val="20"/>
      <w:szCs w:val="20"/>
      <w:lang w:val="nl-NL" w:eastAsia="nl-NL"/>
    </w:rPr>
  </w:style>
  <w:style w:type="paragraph" w:styleId="Ballontekst">
    <w:name w:val="Balloon Text"/>
    <w:basedOn w:val="Standaard"/>
    <w:link w:val="BallontekstChar"/>
    <w:uiPriority w:val="99"/>
    <w:semiHidden/>
    <w:unhideWhenUsed/>
    <w:rsid w:val="00EC641F"/>
    <w:pPr>
      <w:spacing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EC641F"/>
    <w:rPr>
      <w:rFonts w:ascii="Segoe UI" w:eastAsia="Times New Roman" w:hAnsi="Segoe UI" w:cs="Segoe UI"/>
      <w:sz w:val="18"/>
      <w:szCs w:val="18"/>
      <w:lang w:val="nl-NL" w:eastAsia="nl-NL"/>
    </w:rPr>
  </w:style>
  <w:style w:type="character" w:styleId="GevolgdeHyperlink">
    <w:name w:val="FollowedHyperlink"/>
    <w:basedOn w:val="Standaardalinea-lettertype"/>
    <w:uiPriority w:val="99"/>
    <w:semiHidden/>
    <w:unhideWhenUsed/>
    <w:rsid w:val="000F6799"/>
    <w:rPr>
      <w:color w:val="954F72" w:themeColor="followedHyperlink"/>
      <w:u w:val="single"/>
    </w:rPr>
  </w:style>
  <w:style w:type="table" w:styleId="Tabelraster">
    <w:name w:val="Table Grid"/>
    <w:basedOn w:val="Standaardtabel"/>
    <w:uiPriority w:val="39"/>
    <w:rsid w:val="00F56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Standaardtabel"/>
    <w:next w:val="Tabelraster"/>
    <w:uiPriority w:val="39"/>
    <w:rsid w:val="008E6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043944"/>
    <w:pPr>
      <w:spacing w:after="0" w:line="240" w:lineRule="auto"/>
    </w:pPr>
    <w:rPr>
      <w:rFonts w:eastAsia="Times New Roman" w:cs="Times New Roman"/>
      <w:sz w:val="18"/>
      <w:szCs w:val="24"/>
      <w:lang w:val="nl-NL" w:eastAsia="nl-NL"/>
    </w:rPr>
  </w:style>
  <w:style w:type="paragraph" w:styleId="Normaalweb">
    <w:name w:val="Normal (Web)"/>
    <w:basedOn w:val="Standaard"/>
    <w:uiPriority w:val="99"/>
    <w:semiHidden/>
    <w:unhideWhenUsed/>
    <w:rsid w:val="00955CF8"/>
    <w:pPr>
      <w:spacing w:before="100" w:beforeAutospacing="1" w:after="100" w:afterAutospacing="1" w:line="240" w:lineRule="auto"/>
    </w:pPr>
    <w:rPr>
      <w:rFonts w:ascii="Times New Roman" w:eastAsiaTheme="minorEastAsia" w:hAnsi="Times New Roman"/>
      <w:sz w:val="24"/>
      <w:lang w:val="en-GB" w:eastAsia="en-GB"/>
    </w:rPr>
  </w:style>
  <w:style w:type="paragraph" w:customStyle="1" w:styleId="Kop3zondernummering">
    <w:name w:val="Kop 3 zonder nummering"/>
    <w:basedOn w:val="Kop3"/>
    <w:next w:val="Standaard"/>
    <w:qFormat/>
    <w:rsid w:val="006A354D"/>
    <w:pPr>
      <w:keepLines w:val="0"/>
      <w:numPr>
        <w:ilvl w:val="0"/>
        <w:numId w:val="0"/>
      </w:numPr>
      <w:tabs>
        <w:tab w:val="left" w:pos="714"/>
      </w:tabs>
      <w:spacing w:line="280" w:lineRule="atLeast"/>
    </w:pPr>
    <w:rPr>
      <w:rFonts w:ascii="Arial" w:eastAsia="Times New Roman" w:hAnsi="Arial" w:cs="Arial"/>
      <w:b w:val="0"/>
      <w:bCs/>
      <w:i/>
      <w:color w:val="auto"/>
      <w:szCs w:val="20"/>
      <w:lang w:eastAsia="nl-NL"/>
    </w:rPr>
  </w:style>
  <w:style w:type="character" w:styleId="Nadruk">
    <w:name w:val="Emphasis"/>
    <w:basedOn w:val="Standaardalinea-lettertype"/>
    <w:uiPriority w:val="20"/>
    <w:qFormat/>
    <w:rsid w:val="006A354D"/>
    <w:rPr>
      <w:i/>
      <w:iCs/>
    </w:rPr>
  </w:style>
  <w:style w:type="table" w:styleId="Tabelrasterlicht">
    <w:name w:val="Grid Table Light"/>
    <w:basedOn w:val="Standaardtabel"/>
    <w:uiPriority w:val="40"/>
    <w:rsid w:val="00F8244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34" w:type="dxa"/>
        <w:left w:w="68" w:type="dxa"/>
        <w:bottom w:w="34" w:type="dxa"/>
        <w:right w:w="68" w:type="dxa"/>
      </w:tblCellMar>
    </w:tblPr>
  </w:style>
  <w:style w:type="paragraph" w:styleId="Koptekst">
    <w:name w:val="header"/>
    <w:basedOn w:val="Standaard"/>
    <w:link w:val="KoptekstChar"/>
    <w:uiPriority w:val="99"/>
    <w:unhideWhenUsed/>
    <w:rsid w:val="00423C87"/>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423C87"/>
    <w:rPr>
      <w:rFonts w:eastAsia="Times New Roman" w:cs="Times New Roman"/>
      <w:sz w:val="18"/>
      <w:szCs w:val="24"/>
      <w:lang w:val="nl-NL" w:eastAsia="nl-NL"/>
    </w:rPr>
  </w:style>
  <w:style w:type="paragraph" w:styleId="Voettekst">
    <w:name w:val="footer"/>
    <w:basedOn w:val="Standaard"/>
    <w:link w:val="VoettekstChar"/>
    <w:uiPriority w:val="99"/>
    <w:unhideWhenUsed/>
    <w:rsid w:val="00423C87"/>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423C87"/>
    <w:rPr>
      <w:rFonts w:eastAsia="Times New Roman" w:cs="Times New Roman"/>
      <w:sz w:val="18"/>
      <w:szCs w:val="24"/>
      <w:lang w:val="nl-NL" w:eastAsia="nl-NL"/>
    </w:rPr>
  </w:style>
  <w:style w:type="paragraph" w:styleId="Kopvaninhoudsopgave">
    <w:name w:val="TOC Heading"/>
    <w:basedOn w:val="Kop1"/>
    <w:next w:val="Standaard"/>
    <w:uiPriority w:val="39"/>
    <w:unhideWhenUsed/>
    <w:qFormat/>
    <w:rsid w:val="00193763"/>
    <w:pPr>
      <w:pageBreakBefore w:val="0"/>
      <w:numPr>
        <w:numId w:val="0"/>
      </w:numPr>
      <w:spacing w:before="240" w:after="0" w:line="259" w:lineRule="auto"/>
      <w:outlineLvl w:val="9"/>
    </w:pPr>
    <w:rPr>
      <w:b w:val="0"/>
      <w:bCs w:val="0"/>
      <w:color w:val="2E74B5" w:themeColor="accent1" w:themeShade="BF"/>
      <w:sz w:val="32"/>
      <w:szCs w:val="32"/>
      <w:lang w:val="en-US"/>
    </w:rPr>
  </w:style>
  <w:style w:type="paragraph" w:styleId="Inhopg1">
    <w:name w:val="toc 1"/>
    <w:basedOn w:val="Standaard"/>
    <w:next w:val="Standaard"/>
    <w:autoRedefine/>
    <w:uiPriority w:val="39"/>
    <w:unhideWhenUsed/>
    <w:rsid w:val="00193763"/>
    <w:pPr>
      <w:spacing w:after="100"/>
    </w:pPr>
  </w:style>
  <w:style w:type="paragraph" w:styleId="Inhopg2">
    <w:name w:val="toc 2"/>
    <w:basedOn w:val="Standaard"/>
    <w:next w:val="Standaard"/>
    <w:autoRedefine/>
    <w:uiPriority w:val="39"/>
    <w:unhideWhenUsed/>
    <w:rsid w:val="00193763"/>
    <w:pPr>
      <w:spacing w:after="100"/>
      <w:ind w:left="180"/>
    </w:pPr>
  </w:style>
  <w:style w:type="paragraph" w:styleId="Inhopg3">
    <w:name w:val="toc 3"/>
    <w:basedOn w:val="Standaard"/>
    <w:next w:val="Standaard"/>
    <w:autoRedefine/>
    <w:uiPriority w:val="39"/>
    <w:unhideWhenUsed/>
    <w:rsid w:val="00193763"/>
    <w:pPr>
      <w:spacing w:after="100"/>
      <w:ind w:left="360"/>
    </w:pPr>
  </w:style>
  <w:style w:type="character" w:customStyle="1" w:styleId="Onopgelostemelding1">
    <w:name w:val="Onopgeloste melding1"/>
    <w:basedOn w:val="Standaardalinea-lettertype"/>
    <w:uiPriority w:val="99"/>
    <w:semiHidden/>
    <w:unhideWhenUsed/>
    <w:rsid w:val="00C85676"/>
    <w:rPr>
      <w:color w:val="605E5C"/>
      <w:shd w:val="clear" w:color="auto" w:fill="E1DFDD"/>
    </w:rPr>
  </w:style>
  <w:style w:type="paragraph" w:customStyle="1" w:styleId="Kop1Ongenummerd">
    <w:name w:val="Kop 1 Ongenummerd"/>
    <w:basedOn w:val="Kop1"/>
    <w:next w:val="Standaard"/>
    <w:link w:val="Kop1OngenummerdChar"/>
    <w:qFormat/>
    <w:rsid w:val="00592003"/>
    <w:pPr>
      <w:numPr>
        <w:numId w:val="0"/>
      </w:numPr>
      <w:spacing w:after="720" w:line="240" w:lineRule="auto"/>
      <w:contextualSpacing/>
    </w:pPr>
    <w:rPr>
      <w:rFonts w:ascii="Tahoma" w:eastAsia="Times New Roman" w:hAnsi="Tahoma" w:cs="Arial"/>
      <w:bCs w:val="0"/>
      <w:sz w:val="28"/>
      <w:lang w:eastAsia="nl-NL"/>
    </w:rPr>
  </w:style>
  <w:style w:type="character" w:customStyle="1" w:styleId="Kop1OngenummerdChar">
    <w:name w:val="Kop 1 Ongenummerd Char"/>
    <w:basedOn w:val="Kop1Char"/>
    <w:link w:val="Kop1Ongenummerd"/>
    <w:rsid w:val="00592003"/>
    <w:rPr>
      <w:rFonts w:ascii="Tahoma" w:eastAsia="Times New Roman" w:hAnsi="Tahoma" w:cs="Arial"/>
      <w:b/>
      <w:bCs w:val="0"/>
      <w:color w:val="1D509A"/>
      <w:sz w:val="28"/>
      <w:szCs w:val="28"/>
      <w:lang w:val="nl-NL" w:eastAsia="nl-NL"/>
    </w:rPr>
  </w:style>
  <w:style w:type="paragraph" w:customStyle="1" w:styleId="KopInleiding">
    <w:name w:val="Kop Inleiding"/>
    <w:basedOn w:val="Standaard"/>
    <w:next w:val="Standaard"/>
    <w:unhideWhenUsed/>
    <w:rsid w:val="00592003"/>
    <w:pPr>
      <w:keepNext/>
      <w:pageBreakBefore/>
      <w:tabs>
        <w:tab w:val="left" w:pos="357"/>
        <w:tab w:val="left" w:pos="714"/>
      </w:tabs>
      <w:spacing w:after="560" w:line="280" w:lineRule="atLeast"/>
    </w:pPr>
    <w:rPr>
      <w:rFonts w:ascii="Tahoma" w:hAnsi="Tahoma"/>
      <w:b/>
      <w:sz w:val="28"/>
      <w:szCs w:val="28"/>
    </w:rPr>
  </w:style>
  <w:style w:type="table" w:styleId="Tabelraster2">
    <w:name w:val="Table Grid 2"/>
    <w:basedOn w:val="Standaardtabel"/>
    <w:rsid w:val="00592003"/>
    <w:pPr>
      <w:tabs>
        <w:tab w:val="left" w:pos="357"/>
        <w:tab w:val="left" w:pos="714"/>
      </w:tabs>
      <w:spacing w:after="40" w:line="240" w:lineRule="auto"/>
      <w:jc w:val="right"/>
    </w:pPr>
    <w:rPr>
      <w:rFonts w:ascii="Tahoma" w:eastAsia="Times New Roman" w:hAnsi="Tahoma" w:cs="Times New Roman"/>
      <w:sz w:val="18"/>
      <w:szCs w:val="20"/>
      <w:lang w:val="nl-NL" w:eastAsia="nl-NL"/>
    </w:rPr>
    <w:tblPr/>
    <w:tcPr>
      <w:shd w:val="clear" w:color="auto" w:fill="auto"/>
      <w:vAlign w:val="center"/>
    </w:tcPr>
    <w:tblStylePr w:type="firstRow">
      <w:rPr>
        <w:rFonts w:ascii="Open Sans Light" w:hAnsi="Open Sans Light"/>
        <w:b/>
        <w:bCs/>
        <w:sz w:val="16"/>
      </w:rPr>
      <w:tblPr/>
      <w:tcPr>
        <w:tcBorders>
          <w:top w:val="single" w:sz="4" w:space="0" w:color="auto"/>
          <w:left w:val="nil"/>
          <w:bottom w:val="single" w:sz="4" w:space="0" w:color="auto"/>
          <w:right w:val="nil"/>
          <w:insideH w:val="nil"/>
          <w:insideV w:val="nil"/>
          <w:tl2br w:val="nil"/>
          <w:tr2bl w:val="nil"/>
        </w:tcBorders>
        <w:shd w:val="clear" w:color="auto" w:fill="auto"/>
      </w:tcPr>
    </w:tblStylePr>
    <w:tblStylePr w:type="lastRow">
      <w:rPr>
        <w:rFonts w:ascii="Open Sans Light" w:hAnsi="Open Sans Light"/>
        <w:b w:val="0"/>
        <w:bCs/>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pPr>
        <w:jc w:val="left"/>
      </w:pPr>
      <w:rPr>
        <w:rFonts w:ascii="Open Sans Light" w:hAnsi="Open Sans Light"/>
        <w:b w:val="0"/>
        <w:bCs/>
        <w:sz w:val="16"/>
      </w:rPr>
    </w:tblStylePr>
    <w:tblStylePr w:type="lastCol">
      <w:rPr>
        <w:rFonts w:ascii="Open Sans Light" w:hAnsi="Open Sans Light"/>
        <w:b w:val="0"/>
        <w:bCs/>
        <w:sz w:val="16"/>
      </w:rPr>
      <w:tblPr/>
      <w:tcPr>
        <w:tcBorders>
          <w:tl2br w:val="none" w:sz="0" w:space="0" w:color="auto"/>
          <w:tr2bl w:val="none" w:sz="0" w:space="0" w:color="auto"/>
        </w:tcBorders>
      </w:tcPr>
    </w:tblStylePr>
  </w:style>
  <w:style w:type="paragraph" w:customStyle="1" w:styleId="KopInhoud">
    <w:name w:val="Kop Inhoud"/>
    <w:basedOn w:val="Standaard"/>
    <w:next w:val="Standaard"/>
    <w:unhideWhenUsed/>
    <w:rsid w:val="00592003"/>
    <w:pPr>
      <w:pageBreakBefore/>
      <w:tabs>
        <w:tab w:val="left" w:pos="357"/>
        <w:tab w:val="left" w:pos="714"/>
      </w:tabs>
      <w:spacing w:after="280" w:line="280" w:lineRule="atLeast"/>
    </w:pPr>
    <w:rPr>
      <w:rFonts w:ascii="Tahoma" w:hAnsi="Tahoma"/>
      <w:b/>
      <w:sz w:val="28"/>
      <w:szCs w:val="28"/>
    </w:rPr>
  </w:style>
  <w:style w:type="character" w:styleId="Paginanummer">
    <w:name w:val="page number"/>
    <w:basedOn w:val="Standaardalinea-lettertype"/>
    <w:semiHidden/>
    <w:rsid w:val="00592003"/>
    <w:rPr>
      <w:rFonts w:ascii="Verdana" w:hAnsi="Verdana"/>
      <w:sz w:val="16"/>
      <w:szCs w:val="18"/>
    </w:rPr>
  </w:style>
  <w:style w:type="paragraph" w:styleId="Lijstopsomteken">
    <w:name w:val="List Bullet"/>
    <w:basedOn w:val="Standaard"/>
    <w:rsid w:val="00592003"/>
    <w:pPr>
      <w:numPr>
        <w:numId w:val="4"/>
      </w:numPr>
      <w:tabs>
        <w:tab w:val="left" w:pos="714"/>
        <w:tab w:val="left" w:pos="1072"/>
        <w:tab w:val="left" w:pos="1429"/>
        <w:tab w:val="left" w:pos="1786"/>
      </w:tabs>
      <w:spacing w:line="280" w:lineRule="atLeast"/>
    </w:pPr>
    <w:rPr>
      <w:rFonts w:ascii="Tahoma" w:hAnsi="Tahoma"/>
      <w:sz w:val="20"/>
    </w:rPr>
  </w:style>
  <w:style w:type="paragraph" w:styleId="Lijstopsomteken2">
    <w:name w:val="List Bullet 2"/>
    <w:basedOn w:val="Standaard"/>
    <w:rsid w:val="00592003"/>
    <w:pPr>
      <w:numPr>
        <w:numId w:val="5"/>
      </w:numPr>
      <w:tabs>
        <w:tab w:val="left" w:pos="1072"/>
        <w:tab w:val="left" w:pos="1429"/>
        <w:tab w:val="left" w:pos="1786"/>
      </w:tabs>
      <w:spacing w:line="280" w:lineRule="atLeast"/>
    </w:pPr>
    <w:rPr>
      <w:rFonts w:ascii="Tahoma" w:hAnsi="Tahoma"/>
      <w:sz w:val="20"/>
    </w:rPr>
  </w:style>
  <w:style w:type="paragraph" w:styleId="Lijstnummering">
    <w:name w:val="List Number"/>
    <w:basedOn w:val="Standaard"/>
    <w:rsid w:val="00592003"/>
    <w:pPr>
      <w:numPr>
        <w:numId w:val="6"/>
      </w:numPr>
      <w:tabs>
        <w:tab w:val="clear" w:pos="357"/>
        <w:tab w:val="left" w:pos="1072"/>
        <w:tab w:val="left" w:pos="1429"/>
        <w:tab w:val="left" w:pos="1786"/>
      </w:tabs>
      <w:spacing w:line="280" w:lineRule="atLeast"/>
    </w:pPr>
    <w:rPr>
      <w:rFonts w:ascii="Tahoma" w:hAnsi="Tahoma"/>
      <w:sz w:val="20"/>
    </w:rPr>
  </w:style>
  <w:style w:type="paragraph" w:styleId="Ondertitel">
    <w:name w:val="Subtitle"/>
    <w:basedOn w:val="Standaard"/>
    <w:link w:val="OndertitelChar"/>
    <w:uiPriority w:val="11"/>
    <w:qFormat/>
    <w:rsid w:val="00592003"/>
    <w:pPr>
      <w:spacing w:line="280" w:lineRule="atLeast"/>
      <w:ind w:left="1077" w:right="1588"/>
    </w:pPr>
    <w:rPr>
      <w:rFonts w:ascii="Tahoma" w:hAnsi="Tahoma"/>
      <w:b/>
      <w:sz w:val="20"/>
      <w:szCs w:val="20"/>
    </w:rPr>
  </w:style>
  <w:style w:type="character" w:customStyle="1" w:styleId="OndertitelChar">
    <w:name w:val="Ondertitel Char"/>
    <w:basedOn w:val="Standaardalinea-lettertype"/>
    <w:link w:val="Ondertitel"/>
    <w:uiPriority w:val="11"/>
    <w:rsid w:val="00592003"/>
    <w:rPr>
      <w:rFonts w:ascii="Tahoma" w:eastAsia="Times New Roman" w:hAnsi="Tahoma" w:cs="Times New Roman"/>
      <w:b/>
      <w:sz w:val="20"/>
      <w:szCs w:val="20"/>
      <w:lang w:val="nl-NL" w:eastAsia="nl-NL"/>
    </w:rPr>
  </w:style>
  <w:style w:type="paragraph" w:styleId="Titel">
    <w:name w:val="Title"/>
    <w:basedOn w:val="Standaard"/>
    <w:link w:val="TitelChar"/>
    <w:uiPriority w:val="10"/>
    <w:qFormat/>
    <w:rsid w:val="00592003"/>
    <w:pPr>
      <w:spacing w:before="2722" w:line="280" w:lineRule="atLeast"/>
      <w:ind w:left="1077" w:right="1588"/>
    </w:pPr>
    <w:rPr>
      <w:rFonts w:ascii="Tahoma" w:hAnsi="Tahoma" w:cs="Arial"/>
      <w:b/>
      <w:bCs/>
      <w:kern w:val="28"/>
      <w:sz w:val="28"/>
      <w:szCs w:val="32"/>
    </w:rPr>
  </w:style>
  <w:style w:type="character" w:customStyle="1" w:styleId="TitelChar">
    <w:name w:val="Titel Char"/>
    <w:basedOn w:val="Standaardalinea-lettertype"/>
    <w:link w:val="Titel"/>
    <w:uiPriority w:val="10"/>
    <w:rsid w:val="00592003"/>
    <w:rPr>
      <w:rFonts w:ascii="Tahoma" w:eastAsia="Times New Roman" w:hAnsi="Tahoma" w:cs="Arial"/>
      <w:b/>
      <w:bCs/>
      <w:kern w:val="28"/>
      <w:sz w:val="28"/>
      <w:szCs w:val="32"/>
      <w:lang w:val="nl-NL" w:eastAsia="nl-NL"/>
    </w:rPr>
  </w:style>
  <w:style w:type="paragraph" w:customStyle="1" w:styleId="Colofon">
    <w:name w:val="Colofon"/>
    <w:basedOn w:val="Standaard"/>
    <w:semiHidden/>
    <w:rsid w:val="00592003"/>
    <w:pPr>
      <w:framePr w:w="2693" w:h="3062" w:hSpace="181" w:wrap="around" w:vAnchor="page" w:hAnchor="page" w:x="7656" w:y="13609"/>
      <w:shd w:val="solid" w:color="FFFFFF" w:fill="FFFFFF"/>
      <w:tabs>
        <w:tab w:val="left" w:pos="284"/>
        <w:tab w:val="left" w:pos="567"/>
        <w:tab w:val="left" w:pos="851"/>
      </w:tabs>
      <w:spacing w:line="210" w:lineRule="atLeast"/>
    </w:pPr>
    <w:rPr>
      <w:rFonts w:ascii="Tahoma" w:hAnsi="Tahoma"/>
      <w:sz w:val="16"/>
      <w:szCs w:val="14"/>
      <w:lang w:val="nl" w:eastAsia="en-US"/>
    </w:rPr>
  </w:style>
  <w:style w:type="paragraph" w:customStyle="1" w:styleId="Colofon-Titel">
    <w:name w:val="Colofon - Titel"/>
    <w:basedOn w:val="Colofon"/>
    <w:semiHidden/>
    <w:rsid w:val="00592003"/>
    <w:pPr>
      <w:framePr w:wrap="around" w:x="2061" w:y="10625"/>
      <w:spacing w:after="560" w:line="280" w:lineRule="atLeast"/>
    </w:pPr>
    <w:rPr>
      <w:b/>
      <w:sz w:val="20"/>
      <w:szCs w:val="24"/>
    </w:rPr>
  </w:style>
  <w:style w:type="table" w:styleId="Professioneletabel">
    <w:name w:val="Table Professional"/>
    <w:basedOn w:val="Standaardtabel"/>
    <w:semiHidden/>
    <w:rsid w:val="00592003"/>
    <w:pPr>
      <w:tabs>
        <w:tab w:val="left" w:pos="357"/>
        <w:tab w:val="left" w:pos="714"/>
      </w:tabs>
      <w:spacing w:after="0" w:line="280" w:lineRule="atLeast"/>
    </w:pPr>
    <w:rPr>
      <w:rFonts w:ascii="Times New Roman" w:eastAsia="Times New Roman" w:hAnsi="Times New Roman" w:cs="Times New Roman"/>
      <w:sz w:val="20"/>
      <w:szCs w:val="20"/>
      <w:lang w:val="nl-NL" w:eastAsia="nl-N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ijst5">
    <w:name w:val="Table List 5"/>
    <w:basedOn w:val="Standaardtabel"/>
    <w:semiHidden/>
    <w:rsid w:val="00592003"/>
    <w:pPr>
      <w:tabs>
        <w:tab w:val="left" w:pos="357"/>
        <w:tab w:val="left" w:pos="714"/>
      </w:tabs>
      <w:spacing w:after="0" w:line="280" w:lineRule="atLeast"/>
    </w:pPr>
    <w:rPr>
      <w:rFonts w:ascii="Times New Roman" w:eastAsia="Times New Roman" w:hAnsi="Times New Roman" w:cs="Times New Roman"/>
      <w:sz w:val="20"/>
      <w:szCs w:val="20"/>
      <w:lang w:val="nl-NL" w:eastAsia="nl-N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592003"/>
    <w:pPr>
      <w:tabs>
        <w:tab w:val="left" w:pos="357"/>
        <w:tab w:val="left" w:pos="714"/>
      </w:tabs>
      <w:spacing w:after="0" w:line="280" w:lineRule="atLeast"/>
    </w:pPr>
    <w:rPr>
      <w:rFonts w:ascii="Times New Roman" w:eastAsia="Times New Roman" w:hAnsi="Times New Roman" w:cs="Times New Roman"/>
      <w:sz w:val="20"/>
      <w:szCs w:val="20"/>
      <w:lang w:val="nl-NL" w:eastAsia="nl-NL"/>
    </w:rPr>
    <w:tblPr>
      <w:tblStyleRowBandSize w:val="1"/>
      <w:tblBorders>
        <w:top w:val="single" w:sz="6" w:space="0" w:color="000000"/>
        <w:left w:val="single" w:sz="6" w:space="0" w:color="000000"/>
        <w:right w:val="single" w:sz="6" w:space="0" w:color="000000"/>
        <w:insideV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raster1">
    <w:name w:val="Table Grid 1"/>
    <w:basedOn w:val="Standaardtabel"/>
    <w:rsid w:val="00592003"/>
    <w:pPr>
      <w:spacing w:after="40" w:line="240" w:lineRule="auto"/>
    </w:pPr>
    <w:rPr>
      <w:rFonts w:ascii="Tahoma" w:eastAsia="Times New Roman" w:hAnsi="Tahoma" w:cs="Times New Roman"/>
      <w:sz w:val="18"/>
      <w:szCs w:val="16"/>
      <w:lang w:val="nl-NL" w:eastAsia="nl-NL"/>
    </w:rPr>
    <w:tblPr>
      <w:tblBorders>
        <w:top w:val="single" w:sz="4" w:space="0" w:color="auto"/>
        <w:bottom w:val="single" w:sz="4" w:space="0" w:color="auto"/>
      </w:tblBorders>
    </w:tblPr>
    <w:tcPr>
      <w:shd w:val="clear" w:color="auto" w:fill="auto"/>
    </w:tcPr>
    <w:tblStylePr w:type="lastRow">
      <w:rPr>
        <w:rFonts w:ascii="Open Sans Light" w:hAnsi="Open Sans Light"/>
        <w:i w:val="0"/>
        <w:iCs/>
        <w:sz w:val="16"/>
      </w:rPr>
      <w:tblPr/>
      <w:tcPr>
        <w:tcBorders>
          <w:tl2br w:val="none" w:sz="0" w:space="0" w:color="auto"/>
          <w:tr2bl w:val="none" w:sz="0" w:space="0" w:color="auto"/>
        </w:tcBorders>
      </w:tcPr>
    </w:tblStylePr>
    <w:tblStylePr w:type="lastCol">
      <w:rPr>
        <w:rFonts w:ascii="Open Sans Light" w:hAnsi="Open Sans Light"/>
        <w:i w:val="0"/>
        <w:iCs/>
        <w:sz w:val="16"/>
      </w:rPr>
      <w:tblPr/>
      <w:tcPr>
        <w:tcBorders>
          <w:tl2br w:val="none" w:sz="0" w:space="0" w:color="auto"/>
          <w:tr2bl w:val="none" w:sz="0" w:space="0" w:color="auto"/>
        </w:tcBorders>
      </w:tcPr>
    </w:tblStylePr>
  </w:style>
  <w:style w:type="table" w:styleId="Tabelraster3">
    <w:name w:val="Table Grid 3"/>
    <w:basedOn w:val="Standaardtabel"/>
    <w:rsid w:val="00592003"/>
    <w:pPr>
      <w:spacing w:after="40" w:line="240" w:lineRule="auto"/>
    </w:pPr>
    <w:rPr>
      <w:rFonts w:ascii="Tahoma" w:eastAsia="Times New Roman" w:hAnsi="Tahoma" w:cs="Times New Roman"/>
      <w:sz w:val="18"/>
      <w:szCs w:val="20"/>
      <w:lang w:val="nl-NL" w:eastAsia="nl-NL"/>
    </w:rPr>
    <w:tblPr>
      <w:tblBorders>
        <w:top w:val="single" w:sz="4" w:space="0" w:color="000000"/>
        <w:left w:val="single" w:sz="4" w:space="0" w:color="C0C0C0"/>
        <w:bottom w:val="single" w:sz="4" w:space="0" w:color="000000"/>
        <w:right w:val="single" w:sz="4" w:space="0" w:color="C0C0C0"/>
        <w:insideH w:val="single" w:sz="4" w:space="0" w:color="000000"/>
        <w:insideV w:val="single" w:sz="4" w:space="0" w:color="C0C0C0"/>
      </w:tblBorders>
    </w:tblPr>
    <w:tcPr>
      <w:shd w:val="clear" w:color="auto" w:fill="auto"/>
      <w:vAlign w:val="center"/>
    </w:tcPr>
    <w:tblStylePr w:type="firstRow">
      <w:rPr>
        <w:rFonts w:ascii="Open Sans Light" w:hAnsi="Open Sans Light"/>
        <w:b/>
        <w:sz w:val="16"/>
      </w:rPr>
      <w:tblPr/>
      <w:tcPr>
        <w:tcBorders>
          <w:top w:val="single" w:sz="4" w:space="0" w:color="000000"/>
          <w:left w:val="single" w:sz="4" w:space="0" w:color="C0C0C0"/>
          <w:bottom w:val="nil"/>
          <w:right w:val="single" w:sz="4" w:space="0" w:color="C0C0C0"/>
          <w:insideH w:val="nil"/>
          <w:insideV w:val="single" w:sz="4" w:space="0" w:color="C0C0C0"/>
          <w:tl2br w:val="nil"/>
          <w:tr2bl w:val="nil"/>
        </w:tcBorders>
        <w:shd w:val="clear" w:color="FFFF00" w:fill="auto"/>
      </w:tcPr>
    </w:tblStylePr>
    <w:tblStylePr w:type="lastRow">
      <w:rPr>
        <w:rFonts w:ascii="Open Sans Light" w:hAnsi="Open Sans Light"/>
        <w:b w:val="0"/>
        <w:bCs/>
        <w:sz w:val="16"/>
      </w:rPr>
      <w:tblPr/>
      <w:tcPr>
        <w:tcBorders>
          <w:tl2br w:val="none" w:sz="0" w:space="0" w:color="auto"/>
          <w:tr2bl w:val="none" w:sz="0" w:space="0" w:color="auto"/>
        </w:tcBorders>
      </w:tcPr>
    </w:tblStylePr>
    <w:tblStylePr w:type="lastCol">
      <w:rPr>
        <w:rFonts w:ascii="Open Sans Light" w:hAnsi="Open Sans Light"/>
        <w:b w:val="0"/>
        <w:bCs/>
        <w:sz w:val="16"/>
      </w:rPr>
      <w:tblPr/>
      <w:tcPr>
        <w:tcBorders>
          <w:tl2br w:val="none" w:sz="0" w:space="0" w:color="auto"/>
          <w:tr2bl w:val="none" w:sz="0" w:space="0" w:color="auto"/>
        </w:tcBorders>
      </w:tcPr>
    </w:tblStylePr>
  </w:style>
  <w:style w:type="table" w:styleId="Tabelraster5">
    <w:name w:val="Table Grid 5"/>
    <w:basedOn w:val="Standaardtabel"/>
    <w:semiHidden/>
    <w:rsid w:val="00592003"/>
    <w:pPr>
      <w:tabs>
        <w:tab w:val="left" w:pos="357"/>
        <w:tab w:val="left" w:pos="714"/>
      </w:tabs>
      <w:spacing w:after="0" w:line="280" w:lineRule="atLeast"/>
    </w:pPr>
    <w:rPr>
      <w:rFonts w:ascii="Times New Roman" w:eastAsia="Times New Roman" w:hAnsi="Times New Roman" w:cs="Times New Roman"/>
      <w:sz w:val="20"/>
      <w:szCs w:val="20"/>
      <w:lang w:val="nl-NL" w:eastAsia="nl-N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Citaat">
    <w:name w:val="Quote"/>
    <w:basedOn w:val="Standaard"/>
    <w:next w:val="Standaard"/>
    <w:link w:val="CitaatChar"/>
    <w:uiPriority w:val="29"/>
    <w:unhideWhenUsed/>
    <w:qFormat/>
    <w:rsid w:val="00592003"/>
    <w:pPr>
      <w:tabs>
        <w:tab w:val="left" w:pos="357"/>
        <w:tab w:val="left" w:pos="714"/>
      </w:tabs>
      <w:spacing w:line="280" w:lineRule="atLeast"/>
    </w:pPr>
    <w:rPr>
      <w:rFonts w:ascii="Tahoma" w:hAnsi="Tahoma"/>
      <w:i/>
      <w:iCs/>
      <w:color w:val="000000" w:themeColor="text1"/>
      <w:sz w:val="20"/>
    </w:rPr>
  </w:style>
  <w:style w:type="character" w:customStyle="1" w:styleId="CitaatChar">
    <w:name w:val="Citaat Char"/>
    <w:basedOn w:val="Standaardalinea-lettertype"/>
    <w:link w:val="Citaat"/>
    <w:uiPriority w:val="29"/>
    <w:rsid w:val="00592003"/>
    <w:rPr>
      <w:rFonts w:ascii="Tahoma" w:eastAsia="Times New Roman" w:hAnsi="Tahoma" w:cs="Times New Roman"/>
      <w:i/>
      <w:iCs/>
      <w:color w:val="000000" w:themeColor="text1"/>
      <w:sz w:val="20"/>
      <w:szCs w:val="24"/>
      <w:lang w:val="nl-NL" w:eastAsia="nl-NL"/>
    </w:rPr>
  </w:style>
  <w:style w:type="character" w:styleId="Zwaar">
    <w:name w:val="Strong"/>
    <w:basedOn w:val="Standaardalinea-lettertype"/>
    <w:uiPriority w:val="22"/>
    <w:unhideWhenUsed/>
    <w:qFormat/>
    <w:rsid w:val="00592003"/>
    <w:rPr>
      <w:rFonts w:ascii="Tahoma" w:hAnsi="Tahoma"/>
      <w:b/>
      <w:bCs/>
    </w:rPr>
  </w:style>
  <w:style w:type="paragraph" w:styleId="Duidelijkcitaat">
    <w:name w:val="Intense Quote"/>
    <w:basedOn w:val="Standaard"/>
    <w:next w:val="Standaard"/>
    <w:link w:val="DuidelijkcitaatChar"/>
    <w:uiPriority w:val="30"/>
    <w:unhideWhenUsed/>
    <w:qFormat/>
    <w:rsid w:val="00592003"/>
    <w:pPr>
      <w:pBdr>
        <w:bottom w:val="single" w:sz="4" w:space="4" w:color="5B9BD5" w:themeColor="accent1"/>
      </w:pBdr>
      <w:tabs>
        <w:tab w:val="left" w:pos="357"/>
        <w:tab w:val="left" w:pos="714"/>
      </w:tabs>
      <w:spacing w:before="200" w:after="280" w:line="280" w:lineRule="atLeast"/>
      <w:ind w:left="936" w:right="936"/>
    </w:pPr>
    <w:rPr>
      <w:rFonts w:ascii="Tahoma" w:hAnsi="Tahoma"/>
      <w:b/>
      <w:bCs/>
      <w:i/>
      <w:iCs/>
      <w:color w:val="5B9BD5" w:themeColor="accent1"/>
      <w:sz w:val="20"/>
    </w:rPr>
  </w:style>
  <w:style w:type="character" w:customStyle="1" w:styleId="DuidelijkcitaatChar">
    <w:name w:val="Duidelijk citaat Char"/>
    <w:basedOn w:val="Standaardalinea-lettertype"/>
    <w:link w:val="Duidelijkcitaat"/>
    <w:uiPriority w:val="30"/>
    <w:rsid w:val="00592003"/>
    <w:rPr>
      <w:rFonts w:ascii="Tahoma" w:eastAsia="Times New Roman" w:hAnsi="Tahoma" w:cs="Times New Roman"/>
      <w:b/>
      <w:bCs/>
      <w:i/>
      <w:iCs/>
      <w:color w:val="5B9BD5" w:themeColor="accent1"/>
      <w:sz w:val="20"/>
      <w:szCs w:val="24"/>
      <w:lang w:val="nl-NL" w:eastAsia="nl-NL"/>
    </w:rPr>
  </w:style>
  <w:style w:type="paragraph" w:styleId="Afzender">
    <w:name w:val="envelope return"/>
    <w:basedOn w:val="Standaard"/>
    <w:uiPriority w:val="99"/>
    <w:semiHidden/>
    <w:unhideWhenUsed/>
    <w:rsid w:val="00592003"/>
    <w:pPr>
      <w:tabs>
        <w:tab w:val="left" w:pos="357"/>
        <w:tab w:val="left" w:pos="714"/>
      </w:tabs>
      <w:spacing w:line="240" w:lineRule="auto"/>
    </w:pPr>
    <w:rPr>
      <w:rFonts w:ascii="Tahoma" w:eastAsiaTheme="majorEastAsia" w:hAnsi="Tahoma" w:cstheme="majorBidi"/>
      <w:sz w:val="20"/>
      <w:szCs w:val="20"/>
    </w:rPr>
  </w:style>
  <w:style w:type="character" w:styleId="Eindnootmarkering">
    <w:name w:val="endnote reference"/>
    <w:basedOn w:val="Standaardalinea-lettertype"/>
    <w:uiPriority w:val="99"/>
    <w:semiHidden/>
    <w:unhideWhenUsed/>
    <w:rsid w:val="00592003"/>
    <w:rPr>
      <w:rFonts w:ascii="Tahoma" w:hAnsi="Tahoma"/>
      <w:vertAlign w:val="superscript"/>
    </w:rPr>
  </w:style>
  <w:style w:type="character" w:styleId="Regelnummer">
    <w:name w:val="line number"/>
    <w:basedOn w:val="Standaardalinea-lettertype"/>
    <w:uiPriority w:val="99"/>
    <w:semiHidden/>
    <w:unhideWhenUsed/>
    <w:rsid w:val="00592003"/>
    <w:rPr>
      <w:rFonts w:ascii="Tahoma" w:hAnsi="Tahoma"/>
    </w:rPr>
  </w:style>
  <w:style w:type="character" w:styleId="Tekstvantijdelijkeaanduiding">
    <w:name w:val="Placeholder Text"/>
    <w:basedOn w:val="Standaardalinea-lettertype"/>
    <w:uiPriority w:val="99"/>
    <w:rsid w:val="00592003"/>
    <w:rPr>
      <w:rFonts w:ascii="Tahoma" w:hAnsi="Tahoma"/>
      <w:color w:val="808080"/>
    </w:rPr>
  </w:style>
  <w:style w:type="paragraph" w:styleId="Index1">
    <w:name w:val="index 1"/>
    <w:basedOn w:val="Standaard"/>
    <w:next w:val="Standaard"/>
    <w:autoRedefine/>
    <w:uiPriority w:val="99"/>
    <w:semiHidden/>
    <w:unhideWhenUsed/>
    <w:rsid w:val="00592003"/>
    <w:pPr>
      <w:spacing w:line="240" w:lineRule="auto"/>
      <w:ind w:left="200" w:hanging="200"/>
    </w:pPr>
    <w:rPr>
      <w:rFonts w:ascii="Tahoma" w:hAnsi="Tahoma"/>
      <w:sz w:val="20"/>
    </w:rPr>
  </w:style>
  <w:style w:type="paragraph" w:styleId="Indexkop">
    <w:name w:val="index heading"/>
    <w:basedOn w:val="Standaard"/>
    <w:next w:val="Index1"/>
    <w:uiPriority w:val="99"/>
    <w:semiHidden/>
    <w:unhideWhenUsed/>
    <w:rsid w:val="00592003"/>
    <w:pPr>
      <w:tabs>
        <w:tab w:val="left" w:pos="357"/>
        <w:tab w:val="left" w:pos="714"/>
      </w:tabs>
      <w:spacing w:line="280" w:lineRule="atLeast"/>
    </w:pPr>
    <w:rPr>
      <w:rFonts w:ascii="Tahoma" w:eastAsiaTheme="majorEastAsia" w:hAnsi="Tahoma" w:cstheme="majorBidi"/>
      <w:b/>
      <w:bCs/>
      <w:sz w:val="20"/>
    </w:rPr>
  </w:style>
  <w:style w:type="paragraph" w:styleId="Bloktekst">
    <w:name w:val="Block Text"/>
    <w:basedOn w:val="Standaard"/>
    <w:uiPriority w:val="99"/>
    <w:semiHidden/>
    <w:unhideWhenUsed/>
    <w:rsid w:val="00592003"/>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tabs>
        <w:tab w:val="left" w:pos="357"/>
        <w:tab w:val="left" w:pos="714"/>
      </w:tabs>
      <w:spacing w:line="280" w:lineRule="atLeast"/>
      <w:ind w:left="1152" w:right="1152"/>
    </w:pPr>
    <w:rPr>
      <w:rFonts w:ascii="Tahoma" w:eastAsiaTheme="minorEastAsia" w:hAnsi="Tahoma" w:cstheme="minorBidi"/>
      <w:i/>
      <w:iCs/>
      <w:color w:val="5B9BD5" w:themeColor="accent1"/>
      <w:sz w:val="20"/>
    </w:rPr>
  </w:style>
  <w:style w:type="paragraph" w:styleId="Berichtkop">
    <w:name w:val="Message Header"/>
    <w:basedOn w:val="Standaard"/>
    <w:link w:val="BerichtkopChar"/>
    <w:uiPriority w:val="99"/>
    <w:semiHidden/>
    <w:unhideWhenUsed/>
    <w:rsid w:val="00592003"/>
    <w:pPr>
      <w:pBdr>
        <w:top w:val="single" w:sz="6" w:space="1" w:color="auto"/>
        <w:left w:val="single" w:sz="6" w:space="1" w:color="auto"/>
        <w:bottom w:val="single" w:sz="6" w:space="1" w:color="auto"/>
        <w:right w:val="single" w:sz="6" w:space="1" w:color="auto"/>
      </w:pBdr>
      <w:shd w:val="pct20" w:color="auto" w:fill="auto"/>
      <w:tabs>
        <w:tab w:val="left" w:pos="357"/>
        <w:tab w:val="left" w:pos="714"/>
      </w:tabs>
      <w:spacing w:line="240" w:lineRule="auto"/>
      <w:ind w:left="1134" w:hanging="1134"/>
    </w:pPr>
    <w:rPr>
      <w:rFonts w:ascii="Tahoma" w:eastAsiaTheme="majorEastAsia" w:hAnsi="Tahoma" w:cstheme="majorBidi"/>
      <w:sz w:val="24"/>
    </w:rPr>
  </w:style>
  <w:style w:type="character" w:customStyle="1" w:styleId="BerichtkopChar">
    <w:name w:val="Berichtkop Char"/>
    <w:basedOn w:val="Standaardalinea-lettertype"/>
    <w:link w:val="Berichtkop"/>
    <w:uiPriority w:val="99"/>
    <w:semiHidden/>
    <w:rsid w:val="00592003"/>
    <w:rPr>
      <w:rFonts w:ascii="Tahoma" w:eastAsiaTheme="majorEastAsia" w:hAnsi="Tahoma" w:cstheme="majorBidi"/>
      <w:sz w:val="24"/>
      <w:szCs w:val="24"/>
      <w:shd w:val="pct20" w:color="auto" w:fill="auto"/>
      <w:lang w:val="nl-NL" w:eastAsia="nl-NL"/>
    </w:rPr>
  </w:style>
  <w:style w:type="paragraph" w:styleId="Adresenvelop">
    <w:name w:val="envelope address"/>
    <w:basedOn w:val="Standaard"/>
    <w:uiPriority w:val="99"/>
    <w:semiHidden/>
    <w:unhideWhenUsed/>
    <w:rsid w:val="00592003"/>
    <w:pPr>
      <w:framePr w:w="7920" w:h="1980" w:hRule="exact" w:hSpace="141" w:wrap="auto" w:hAnchor="page" w:xAlign="center" w:yAlign="bottom"/>
      <w:tabs>
        <w:tab w:val="left" w:pos="357"/>
        <w:tab w:val="left" w:pos="714"/>
      </w:tabs>
      <w:spacing w:line="240" w:lineRule="auto"/>
      <w:ind w:left="2880"/>
    </w:pPr>
    <w:rPr>
      <w:rFonts w:ascii="Tahoma" w:eastAsiaTheme="majorEastAsia" w:hAnsi="Tahoma" w:cstheme="majorBidi"/>
      <w:sz w:val="24"/>
    </w:rPr>
  </w:style>
  <w:style w:type="paragraph" w:styleId="Bijschrift">
    <w:name w:val="caption"/>
    <w:basedOn w:val="Standaard"/>
    <w:next w:val="Standaard"/>
    <w:uiPriority w:val="1"/>
    <w:qFormat/>
    <w:rsid w:val="00F75D9D"/>
    <w:pPr>
      <w:tabs>
        <w:tab w:val="left" w:pos="357"/>
        <w:tab w:val="left" w:pos="714"/>
      </w:tabs>
      <w:spacing w:after="60"/>
      <w:ind w:left="1134" w:hanging="1134"/>
    </w:pPr>
    <w:rPr>
      <w:bCs/>
      <w:i/>
      <w:color w:val="7F7F7F" w:themeColor="text1" w:themeTint="80"/>
      <w:szCs w:val="18"/>
    </w:rPr>
  </w:style>
  <w:style w:type="paragraph" w:customStyle="1" w:styleId="KopBijlage">
    <w:name w:val="Kop Bijlage"/>
    <w:basedOn w:val="Standaard"/>
    <w:next w:val="Standaard"/>
    <w:qFormat/>
    <w:rsid w:val="00592003"/>
    <w:pPr>
      <w:keepNext/>
      <w:pageBreakBefore/>
      <w:tabs>
        <w:tab w:val="left" w:pos="357"/>
        <w:tab w:val="left" w:pos="714"/>
      </w:tabs>
      <w:spacing w:after="560" w:line="280" w:lineRule="atLeast"/>
      <w:outlineLvl w:val="0"/>
    </w:pPr>
    <w:rPr>
      <w:rFonts w:ascii="Tahoma" w:hAnsi="Tahoma"/>
      <w:b/>
      <w:sz w:val="28"/>
      <w:szCs w:val="28"/>
    </w:rPr>
  </w:style>
  <w:style w:type="paragraph" w:customStyle="1" w:styleId="KopVoorwoord">
    <w:name w:val="Kop Voorwoord"/>
    <w:basedOn w:val="Standaard"/>
    <w:next w:val="Standaard"/>
    <w:qFormat/>
    <w:rsid w:val="00592003"/>
    <w:pPr>
      <w:tabs>
        <w:tab w:val="left" w:pos="357"/>
        <w:tab w:val="left" w:pos="714"/>
      </w:tabs>
      <w:spacing w:after="560" w:line="280" w:lineRule="atLeast"/>
    </w:pPr>
    <w:rPr>
      <w:rFonts w:ascii="Tahoma" w:hAnsi="Tahoma"/>
      <w:b/>
      <w:sz w:val="28"/>
      <w:szCs w:val="28"/>
    </w:rPr>
  </w:style>
  <w:style w:type="paragraph" w:styleId="Lijstnummering2">
    <w:name w:val="List Number 2"/>
    <w:basedOn w:val="Standaard"/>
    <w:rsid w:val="00592003"/>
    <w:pPr>
      <w:numPr>
        <w:numId w:val="7"/>
      </w:numPr>
      <w:tabs>
        <w:tab w:val="left" w:pos="357"/>
      </w:tabs>
      <w:spacing w:line="280" w:lineRule="atLeast"/>
      <w:contextualSpacing/>
    </w:pPr>
    <w:rPr>
      <w:rFonts w:ascii="Tahoma" w:hAnsi="Tahoma"/>
      <w:sz w:val="20"/>
    </w:rPr>
  </w:style>
  <w:style w:type="paragraph" w:customStyle="1" w:styleId="Lijstnummeringa">
    <w:name w:val="Lijstnummering a"/>
    <w:basedOn w:val="Standaard"/>
    <w:qFormat/>
    <w:rsid w:val="00592003"/>
    <w:pPr>
      <w:numPr>
        <w:numId w:val="8"/>
      </w:numPr>
      <w:spacing w:line="280" w:lineRule="atLeast"/>
      <w:ind w:left="357" w:hanging="357"/>
      <w:contextualSpacing/>
    </w:pPr>
    <w:rPr>
      <w:rFonts w:ascii="Tahoma" w:hAnsi="Tahoma"/>
      <w:sz w:val="20"/>
    </w:rPr>
  </w:style>
  <w:style w:type="paragraph" w:customStyle="1" w:styleId="Lijstnummeringb">
    <w:name w:val="Lijstnummering b"/>
    <w:basedOn w:val="Standaard"/>
    <w:qFormat/>
    <w:rsid w:val="00592003"/>
    <w:pPr>
      <w:numPr>
        <w:numId w:val="9"/>
      </w:numPr>
      <w:tabs>
        <w:tab w:val="left" w:pos="357"/>
        <w:tab w:val="left" w:pos="714"/>
      </w:tabs>
      <w:spacing w:line="280" w:lineRule="atLeast"/>
    </w:pPr>
    <w:rPr>
      <w:rFonts w:ascii="Tahoma" w:hAnsi="Tahoma"/>
      <w:sz w:val="20"/>
    </w:rPr>
  </w:style>
  <w:style w:type="paragraph" w:styleId="Standaardinspringing">
    <w:name w:val="Normal Indent"/>
    <w:basedOn w:val="Standaard"/>
    <w:rsid w:val="00592003"/>
    <w:pPr>
      <w:tabs>
        <w:tab w:val="left" w:pos="357"/>
        <w:tab w:val="left" w:pos="714"/>
      </w:tabs>
      <w:spacing w:line="280" w:lineRule="atLeast"/>
      <w:ind w:left="708"/>
    </w:pPr>
    <w:rPr>
      <w:rFonts w:ascii="Tahoma" w:hAnsi="Tahoma"/>
      <w:sz w:val="20"/>
    </w:rPr>
  </w:style>
  <w:style w:type="table" w:customStyle="1" w:styleId="Tabelraster10">
    <w:name w:val="Tabelraster1"/>
    <w:basedOn w:val="Standaardtabel"/>
    <w:next w:val="Tabelraster"/>
    <w:uiPriority w:val="59"/>
    <w:rsid w:val="00592003"/>
    <w:pPr>
      <w:spacing w:after="0" w:line="240" w:lineRule="auto"/>
    </w:pPr>
    <w:rPr>
      <w:rFonts w:ascii="Verdana" w:eastAsia="Times New Roman" w:hAnsi="Verdana"/>
      <w:sz w:val="18"/>
      <w:lang w:val="nl-NL"/>
    </w:rPr>
    <w:tblPr>
      <w:tblBorders>
        <w:top w:val="single" w:sz="4" w:space="0" w:color="auto"/>
        <w:bottom w:val="single" w:sz="4" w:space="0" w:color="auto"/>
        <w:insideH w:val="dotted" w:sz="4" w:space="0" w:color="auto"/>
      </w:tblBorders>
    </w:tblPr>
  </w:style>
  <w:style w:type="table" w:customStyle="1" w:styleId="Tabelraster20">
    <w:name w:val="Tabelraster2"/>
    <w:basedOn w:val="Standaardtabel"/>
    <w:next w:val="Tabelraster"/>
    <w:uiPriority w:val="59"/>
    <w:rsid w:val="00592003"/>
    <w:pPr>
      <w:spacing w:after="0" w:line="240" w:lineRule="auto"/>
    </w:pPr>
    <w:rPr>
      <w:rFonts w:ascii="Verdana" w:eastAsia="Times New Roman" w:hAnsi="Verdana"/>
      <w:sz w:val="18"/>
      <w:lang w:val="nl-NL"/>
    </w:rPr>
    <w:tblPr>
      <w:tblBorders>
        <w:top w:val="single" w:sz="4" w:space="0" w:color="auto"/>
        <w:bottom w:val="single" w:sz="4" w:space="0" w:color="auto"/>
        <w:insideH w:val="dotted" w:sz="4" w:space="0" w:color="auto"/>
      </w:tblBorders>
    </w:tblPr>
  </w:style>
  <w:style w:type="table" w:customStyle="1" w:styleId="Tabelraster30">
    <w:name w:val="Tabelraster3"/>
    <w:basedOn w:val="Standaardtabel"/>
    <w:next w:val="Tabelraster"/>
    <w:uiPriority w:val="59"/>
    <w:rsid w:val="00592003"/>
    <w:pPr>
      <w:spacing w:after="0" w:line="240" w:lineRule="auto"/>
    </w:pPr>
    <w:rPr>
      <w:rFonts w:ascii="Verdana" w:eastAsia="Times New Roman" w:hAnsi="Verdana"/>
      <w:sz w:val="18"/>
      <w:lang w:val="nl-NL"/>
    </w:rPr>
    <w:tblPr>
      <w:tblBorders>
        <w:top w:val="single" w:sz="4" w:space="0" w:color="auto"/>
        <w:bottom w:val="single" w:sz="4" w:space="0" w:color="auto"/>
        <w:insideH w:val="dotted" w:sz="4" w:space="0" w:color="auto"/>
      </w:tblBorders>
    </w:tblPr>
  </w:style>
  <w:style w:type="table" w:styleId="Onopgemaaktetabel3">
    <w:name w:val="Plain Table 3"/>
    <w:basedOn w:val="Standaardtabel"/>
    <w:uiPriority w:val="43"/>
    <w:rsid w:val="00592003"/>
    <w:pPr>
      <w:spacing w:after="0" w:line="240" w:lineRule="auto"/>
    </w:pPr>
    <w:rPr>
      <w:rFonts w:ascii="Times New Roman" w:eastAsia="Times New Roman" w:hAnsi="Times New Roman" w:cs="Times New Roman"/>
      <w:sz w:val="20"/>
      <w:szCs w:val="20"/>
      <w:lang w:val="nl-NL" w:eastAsia="nl-N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astertabel4-Accent6">
    <w:name w:val="Grid Table 4 Accent 6"/>
    <w:basedOn w:val="Standaardtabel"/>
    <w:uiPriority w:val="49"/>
    <w:rsid w:val="00592003"/>
    <w:pPr>
      <w:spacing w:after="0" w:line="240" w:lineRule="auto"/>
    </w:pPr>
    <w:rPr>
      <w:rFonts w:ascii="Times New Roman" w:eastAsia="Times New Roman" w:hAnsi="Times New Roman" w:cs="Times New Roman"/>
      <w:sz w:val="20"/>
      <w:szCs w:val="20"/>
      <w:lang w:val="nl-NL" w:eastAsia="nl-N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4-Accent5">
    <w:name w:val="Grid Table 4 Accent 5"/>
    <w:basedOn w:val="Standaardtabel"/>
    <w:uiPriority w:val="49"/>
    <w:rsid w:val="00592003"/>
    <w:pPr>
      <w:spacing w:after="0" w:line="240" w:lineRule="auto"/>
    </w:pPr>
    <w:rPr>
      <w:rFonts w:ascii="Times New Roman" w:eastAsia="Times New Roman" w:hAnsi="Times New Roman" w:cs="Times New Roman"/>
      <w:sz w:val="20"/>
      <w:szCs w:val="20"/>
      <w:lang w:val="nl-NL" w:eastAsia="nl-NL"/>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2-Accent6">
    <w:name w:val="Grid Table 2 Accent 6"/>
    <w:basedOn w:val="Standaardtabel"/>
    <w:uiPriority w:val="47"/>
    <w:rsid w:val="00592003"/>
    <w:pPr>
      <w:spacing w:after="0" w:line="240" w:lineRule="auto"/>
    </w:pPr>
    <w:rPr>
      <w:rFonts w:ascii="Times New Roman" w:eastAsia="Times New Roman" w:hAnsi="Times New Roman" w:cs="Times New Roman"/>
      <w:sz w:val="20"/>
      <w:szCs w:val="20"/>
      <w:lang w:val="nl-NL" w:eastAsia="nl-NL"/>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Subtielebenadrukking">
    <w:name w:val="Subtle Emphasis"/>
    <w:basedOn w:val="Standaardalinea-lettertype"/>
    <w:uiPriority w:val="19"/>
    <w:qFormat/>
    <w:rsid w:val="00592003"/>
    <w:rPr>
      <w:i/>
      <w:iCs/>
      <w:color w:val="404040" w:themeColor="text1" w:themeTint="BF"/>
    </w:rPr>
  </w:style>
  <w:style w:type="table" w:styleId="Rastertabel3-Accent4">
    <w:name w:val="Grid Table 3 Accent 4"/>
    <w:basedOn w:val="Standaardtabel"/>
    <w:uiPriority w:val="48"/>
    <w:rsid w:val="00592003"/>
    <w:pPr>
      <w:spacing w:after="0" w:line="240" w:lineRule="auto"/>
    </w:pPr>
    <w:rPr>
      <w:rFonts w:ascii="Times New Roman" w:eastAsia="Times New Roman" w:hAnsi="Times New Roman" w:cs="Times New Roman"/>
      <w:sz w:val="20"/>
      <w:szCs w:val="20"/>
      <w:lang w:val="nl-NL" w:eastAsia="nl-N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astertabel4-Accent1">
    <w:name w:val="Grid Table 4 Accent 1"/>
    <w:basedOn w:val="Standaardtabel"/>
    <w:uiPriority w:val="49"/>
    <w:rsid w:val="00592003"/>
    <w:pPr>
      <w:spacing w:after="0" w:line="240" w:lineRule="auto"/>
    </w:pPr>
    <w:rPr>
      <w:rFonts w:ascii="Times New Roman" w:eastAsia="Times New Roman" w:hAnsi="Times New Roman" w:cs="Times New Roman"/>
      <w:sz w:val="20"/>
      <w:szCs w:val="20"/>
      <w:lang w:val="nl-NL" w:eastAsia="nl-N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4-Accent3">
    <w:name w:val="Grid Table 4 Accent 3"/>
    <w:basedOn w:val="Standaardtabel"/>
    <w:uiPriority w:val="49"/>
    <w:rsid w:val="00592003"/>
    <w:pPr>
      <w:spacing w:after="0" w:line="240" w:lineRule="auto"/>
    </w:pPr>
    <w:rPr>
      <w:rFonts w:ascii="Times New Roman" w:eastAsia="Times New Roman" w:hAnsi="Times New Roman" w:cs="Times New Roman"/>
      <w:sz w:val="20"/>
      <w:szCs w:val="20"/>
      <w:lang w:val="nl-NL" w:eastAsia="nl-N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7kleurrijk-Accent4">
    <w:name w:val="Grid Table 7 Colorful Accent 4"/>
    <w:basedOn w:val="Standaardtabel"/>
    <w:uiPriority w:val="52"/>
    <w:rsid w:val="00592003"/>
    <w:pPr>
      <w:spacing w:after="0" w:line="240" w:lineRule="auto"/>
    </w:pPr>
    <w:rPr>
      <w:rFonts w:ascii="Times New Roman" w:eastAsia="Times New Roman" w:hAnsi="Times New Roman" w:cs="Times New Roman"/>
      <w:color w:val="BF8F00" w:themeColor="accent4" w:themeShade="BF"/>
      <w:sz w:val="20"/>
      <w:szCs w:val="20"/>
      <w:lang w:val="nl-NL" w:eastAsia="nl-N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character" w:styleId="Intensievebenadrukking">
    <w:name w:val="Intense Emphasis"/>
    <w:basedOn w:val="Standaardalinea-lettertype"/>
    <w:uiPriority w:val="21"/>
    <w:qFormat/>
    <w:rsid w:val="00592003"/>
    <w:rPr>
      <w:i/>
      <w:iCs/>
      <w:color w:val="5B9BD5" w:themeColor="accent1"/>
    </w:rPr>
  </w:style>
  <w:style w:type="paragraph" w:customStyle="1" w:styleId="Default">
    <w:name w:val="Default"/>
    <w:rsid w:val="00592003"/>
    <w:pPr>
      <w:autoSpaceDE w:val="0"/>
      <w:autoSpaceDN w:val="0"/>
      <w:adjustRightInd w:val="0"/>
      <w:spacing w:after="0" w:line="240" w:lineRule="auto"/>
    </w:pPr>
    <w:rPr>
      <w:rFonts w:ascii="Verdana" w:eastAsia="Times New Roman" w:hAnsi="Verdana" w:cs="Verdana"/>
      <w:color w:val="000000"/>
      <w:sz w:val="24"/>
      <w:szCs w:val="24"/>
      <w:lang w:val="nl-NL" w:eastAsia="nl-NL"/>
    </w:rPr>
  </w:style>
  <w:style w:type="paragraph" w:customStyle="1" w:styleId="Auteurs">
    <w:name w:val="Auteurs"/>
    <w:basedOn w:val="Standaard"/>
    <w:link w:val="AuteursChar"/>
    <w:uiPriority w:val="1"/>
    <w:rsid w:val="00592003"/>
    <w:pPr>
      <w:contextualSpacing/>
      <w:jc w:val="center"/>
    </w:pPr>
    <w:rPr>
      <w:rFonts w:ascii="Garamond" w:hAnsi="Garamond"/>
      <w:sz w:val="21"/>
      <w:szCs w:val="21"/>
    </w:rPr>
  </w:style>
  <w:style w:type="paragraph" w:customStyle="1" w:styleId="Kop2Ongenummerd">
    <w:name w:val="Kop 2 Ongenummerd"/>
    <w:basedOn w:val="Standaard"/>
    <w:next w:val="Standaard"/>
    <w:link w:val="Kop2OngenummerdChar"/>
    <w:qFormat/>
    <w:rsid w:val="00592003"/>
    <w:pPr>
      <w:keepNext/>
      <w:keepLines/>
      <w:spacing w:before="460" w:after="200" w:line="240" w:lineRule="auto"/>
      <w:contextualSpacing/>
      <w:outlineLvl w:val="1"/>
    </w:pPr>
    <w:rPr>
      <w:rFonts w:ascii="Helvetica" w:hAnsi="Helvetica" w:cs="Arial"/>
      <w:bCs/>
      <w:color w:val="CC0000"/>
      <w:kern w:val="32"/>
      <w:sz w:val="32"/>
      <w:szCs w:val="40"/>
    </w:rPr>
  </w:style>
  <w:style w:type="paragraph" w:customStyle="1" w:styleId="KopjeBinnenblad">
    <w:name w:val="Kopje Binnenblad"/>
    <w:basedOn w:val="Standaard"/>
    <w:semiHidden/>
    <w:rsid w:val="00592003"/>
    <w:pPr>
      <w:jc w:val="both"/>
    </w:pPr>
    <w:rPr>
      <w:rFonts w:ascii="Garamond" w:hAnsi="Garamond"/>
      <w:i/>
      <w:sz w:val="21"/>
      <w:szCs w:val="21"/>
    </w:rPr>
  </w:style>
  <w:style w:type="paragraph" w:customStyle="1" w:styleId="Copyright">
    <w:name w:val="Copyright"/>
    <w:basedOn w:val="Standaard"/>
    <w:uiPriority w:val="1"/>
    <w:semiHidden/>
    <w:rsid w:val="00592003"/>
    <w:pPr>
      <w:jc w:val="both"/>
    </w:pPr>
    <w:rPr>
      <w:rFonts w:ascii="Garamond" w:hAnsi="Garamond"/>
      <w:color w:val="5F5F5F"/>
      <w:sz w:val="16"/>
      <w:szCs w:val="21"/>
    </w:rPr>
  </w:style>
  <w:style w:type="paragraph" w:customStyle="1" w:styleId="Lead">
    <w:name w:val="Lead"/>
    <w:basedOn w:val="Standaard"/>
    <w:next w:val="Standaard"/>
    <w:qFormat/>
    <w:rsid w:val="00592003"/>
    <w:pPr>
      <w:jc w:val="both"/>
    </w:pPr>
    <w:rPr>
      <w:rFonts w:ascii="Garamond" w:hAnsi="Garamond"/>
      <w:i/>
      <w:sz w:val="21"/>
      <w:szCs w:val="21"/>
    </w:rPr>
  </w:style>
  <w:style w:type="paragraph" w:customStyle="1" w:styleId="Kop1Inhoudsopgave">
    <w:name w:val="Kop 1 Inhoudsopgave"/>
    <w:basedOn w:val="Kop1"/>
    <w:next w:val="Standaard"/>
    <w:link w:val="Kop1InhoudsopgaveChar"/>
    <w:rsid w:val="00592003"/>
    <w:pPr>
      <w:numPr>
        <w:numId w:val="0"/>
      </w:numPr>
      <w:spacing w:after="720" w:line="240" w:lineRule="auto"/>
      <w:contextualSpacing/>
    </w:pPr>
    <w:rPr>
      <w:rFonts w:ascii="Tahoma" w:eastAsia="Times New Roman" w:hAnsi="Tahoma" w:cs="Arial"/>
      <w:sz w:val="28"/>
      <w:lang w:eastAsia="nl-NL"/>
    </w:rPr>
  </w:style>
  <w:style w:type="character" w:customStyle="1" w:styleId="Kop1InhoudsopgaveChar">
    <w:name w:val="Kop 1 Inhoudsopgave Char"/>
    <w:basedOn w:val="Kop1Char"/>
    <w:link w:val="Kop1Inhoudsopgave"/>
    <w:rsid w:val="00592003"/>
    <w:rPr>
      <w:rFonts w:ascii="Tahoma" w:eastAsia="Times New Roman" w:hAnsi="Tahoma" w:cs="Arial"/>
      <w:b/>
      <w:bCs/>
      <w:color w:val="1D509A"/>
      <w:sz w:val="28"/>
      <w:szCs w:val="28"/>
      <w:lang w:val="nl-NL" w:eastAsia="nl-NL"/>
    </w:rPr>
  </w:style>
  <w:style w:type="paragraph" w:customStyle="1" w:styleId="Bron">
    <w:name w:val="Bron"/>
    <w:basedOn w:val="Standaard"/>
    <w:next w:val="Standaard"/>
    <w:uiPriority w:val="99"/>
    <w:qFormat/>
    <w:rsid w:val="0065314C"/>
    <w:pPr>
      <w:tabs>
        <w:tab w:val="left" w:pos="567"/>
      </w:tabs>
      <w:spacing w:before="60" w:after="240" w:line="240" w:lineRule="auto"/>
      <w:ind w:left="567" w:hanging="567"/>
      <w:contextualSpacing/>
      <w:jc w:val="both"/>
    </w:pPr>
    <w:rPr>
      <w:color w:val="5F5F5F"/>
      <w:sz w:val="16"/>
      <w:szCs w:val="16"/>
    </w:rPr>
  </w:style>
  <w:style w:type="table" w:customStyle="1" w:styleId="SEOTabel">
    <w:name w:val="SEO Tabel"/>
    <w:basedOn w:val="Standaardtabel"/>
    <w:rsid w:val="00592003"/>
    <w:pPr>
      <w:keepNext/>
      <w:spacing w:after="0" w:line="240" w:lineRule="auto"/>
      <w:jc w:val="center"/>
    </w:pPr>
    <w:rPr>
      <w:rFonts w:ascii="Helvetica" w:eastAsia="Times New Roman" w:hAnsi="Helvetica" w:cs="Times New Roman"/>
      <w:sz w:val="16"/>
      <w:szCs w:val="16"/>
      <w:lang w:val="nl-NL" w:eastAsia="nl-NL"/>
    </w:rPr>
    <w:tblPr>
      <w:tblBorders>
        <w:bottom w:val="single" w:sz="12" w:space="0" w:color="C00000"/>
      </w:tblBorders>
      <w:tblCellMar>
        <w:top w:w="40" w:type="dxa"/>
        <w:left w:w="40" w:type="dxa"/>
        <w:bottom w:w="40" w:type="dxa"/>
        <w:right w:w="40" w:type="dxa"/>
      </w:tblCellMar>
    </w:tblPr>
    <w:tcPr>
      <w:vAlign w:val="center"/>
    </w:tcPr>
    <w:tblStylePr w:type="firstRow">
      <w:pPr>
        <w:wordWrap/>
        <w:jc w:val="center"/>
      </w:pPr>
      <w:rPr>
        <w:rFonts w:ascii="Helvetica" w:hAnsi="Helvetica"/>
        <w:b w:val="0"/>
        <w:sz w:val="16"/>
      </w:rPr>
      <w:tblPr/>
      <w:tcPr>
        <w:tcBorders>
          <w:top w:val="single" w:sz="12" w:space="0" w:color="CC0000"/>
          <w:left w:val="nil"/>
          <w:bottom w:val="single" w:sz="4" w:space="0" w:color="CC0000"/>
          <w:right w:val="nil"/>
          <w:insideH w:val="nil"/>
          <w:insideV w:val="nil"/>
          <w:tl2br w:val="nil"/>
          <w:tr2bl w:val="nil"/>
        </w:tcBorders>
      </w:tcPr>
    </w:tblStylePr>
    <w:tblStylePr w:type="lastRow">
      <w:rPr>
        <w:rFonts w:ascii="Helvetica" w:hAnsi="Helvetica"/>
        <w:sz w:val="16"/>
      </w:rPr>
      <w:tblPr/>
      <w:tcPr>
        <w:tcBorders>
          <w:top w:val="single" w:sz="4" w:space="0" w:color="CC0000"/>
          <w:bottom w:val="single" w:sz="12" w:space="0" w:color="CC0000"/>
        </w:tcBorders>
      </w:tcPr>
    </w:tblStylePr>
    <w:tblStylePr w:type="firstCol">
      <w:rPr>
        <w:rFonts w:ascii="Helvetica" w:hAnsi="Helvetica"/>
        <w:sz w:val="16"/>
      </w:rPr>
    </w:tblStylePr>
  </w:style>
  <w:style w:type="paragraph" w:customStyle="1" w:styleId="Tabeltekst">
    <w:name w:val="Tabeltekst"/>
    <w:basedOn w:val="Standaard"/>
    <w:qFormat/>
    <w:rsid w:val="00592003"/>
    <w:pPr>
      <w:keepNext/>
      <w:spacing w:line="240" w:lineRule="auto"/>
    </w:pPr>
    <w:rPr>
      <w:rFonts w:ascii="Helvetica" w:hAnsi="Helvetica"/>
      <w:sz w:val="16"/>
      <w:szCs w:val="21"/>
    </w:rPr>
  </w:style>
  <w:style w:type="paragraph" w:customStyle="1" w:styleId="Tabelgetal">
    <w:name w:val="Tabelgetal"/>
    <w:basedOn w:val="Tabeltekst"/>
    <w:qFormat/>
    <w:rsid w:val="00592003"/>
    <w:pPr>
      <w:jc w:val="right"/>
    </w:pPr>
  </w:style>
  <w:style w:type="paragraph" w:customStyle="1" w:styleId="TabelKopje">
    <w:name w:val="TabelKopje"/>
    <w:basedOn w:val="Tabeltekst"/>
    <w:qFormat/>
    <w:rsid w:val="009659A1"/>
    <w:rPr>
      <w:rFonts w:ascii="Trebuchet MS" w:hAnsi="Trebuchet MS"/>
      <w:i/>
      <w:sz w:val="18"/>
    </w:rPr>
  </w:style>
  <w:style w:type="character" w:customStyle="1" w:styleId="AuteursChar">
    <w:name w:val="Auteurs Char"/>
    <w:basedOn w:val="Standaardalinea-lettertype"/>
    <w:link w:val="Auteurs"/>
    <w:uiPriority w:val="1"/>
    <w:rsid w:val="00592003"/>
    <w:rPr>
      <w:rFonts w:ascii="Garamond" w:eastAsia="Times New Roman" w:hAnsi="Garamond" w:cs="Times New Roman"/>
      <w:sz w:val="21"/>
      <w:szCs w:val="21"/>
      <w:lang w:val="nl-NL" w:eastAsia="nl-NL"/>
    </w:rPr>
  </w:style>
  <w:style w:type="numbering" w:customStyle="1" w:styleId="Bijlageletters">
    <w:name w:val="Bijlage letters"/>
    <w:basedOn w:val="Geenlijst"/>
    <w:semiHidden/>
    <w:rsid w:val="00592003"/>
    <w:pPr>
      <w:numPr>
        <w:numId w:val="10"/>
      </w:numPr>
    </w:pPr>
  </w:style>
  <w:style w:type="paragraph" w:customStyle="1" w:styleId="Kop3Ongenummerd">
    <w:name w:val="Kop 3 Ongenummerd"/>
    <w:basedOn w:val="Standaard"/>
    <w:next w:val="Standaard"/>
    <w:link w:val="Kop3OngenummerdChar"/>
    <w:qFormat/>
    <w:rsid w:val="00592003"/>
    <w:pPr>
      <w:keepNext/>
      <w:keepLines/>
      <w:spacing w:before="360" w:after="120" w:line="240" w:lineRule="auto"/>
      <w:contextualSpacing/>
      <w:outlineLvl w:val="2"/>
    </w:pPr>
    <w:rPr>
      <w:rFonts w:ascii="Helvetica" w:hAnsi="Helvetica" w:cs="Arial"/>
      <w:bCs/>
      <w:color w:val="CC0000"/>
      <w:kern w:val="32"/>
      <w:sz w:val="24"/>
      <w:szCs w:val="40"/>
    </w:rPr>
  </w:style>
  <w:style w:type="character" w:customStyle="1" w:styleId="Kop2OngenummerdChar">
    <w:name w:val="Kop 2 Ongenummerd Char"/>
    <w:basedOn w:val="Standaardalinea-lettertype"/>
    <w:link w:val="Kop2Ongenummerd"/>
    <w:rsid w:val="00592003"/>
    <w:rPr>
      <w:rFonts w:ascii="Helvetica" w:eastAsia="Times New Roman" w:hAnsi="Helvetica" w:cs="Arial"/>
      <w:bCs/>
      <w:color w:val="CC0000"/>
      <w:kern w:val="32"/>
      <w:sz w:val="32"/>
      <w:szCs w:val="40"/>
      <w:lang w:val="nl-NL" w:eastAsia="nl-NL"/>
    </w:rPr>
  </w:style>
  <w:style w:type="character" w:customStyle="1" w:styleId="Kop3OngenummerdChar">
    <w:name w:val="Kop 3 Ongenummerd Char"/>
    <w:basedOn w:val="Standaardalinea-lettertype"/>
    <w:link w:val="Kop3Ongenummerd"/>
    <w:rsid w:val="00592003"/>
    <w:rPr>
      <w:rFonts w:ascii="Helvetica" w:eastAsia="Times New Roman" w:hAnsi="Helvetica" w:cs="Arial"/>
      <w:bCs/>
      <w:color w:val="CC0000"/>
      <w:kern w:val="32"/>
      <w:sz w:val="24"/>
      <w:szCs w:val="40"/>
      <w:lang w:val="nl-NL" w:eastAsia="nl-NL"/>
    </w:rPr>
  </w:style>
  <w:style w:type="paragraph" w:customStyle="1" w:styleId="Figuur">
    <w:name w:val="Figuur"/>
    <w:basedOn w:val="Standaard"/>
    <w:next w:val="Bron"/>
    <w:qFormat/>
    <w:rsid w:val="00592003"/>
    <w:pPr>
      <w:keepNext/>
      <w:jc w:val="both"/>
    </w:pPr>
    <w:rPr>
      <w:rFonts w:ascii="Garamond" w:hAnsi="Garamond"/>
      <w:noProof/>
      <w:sz w:val="21"/>
      <w:szCs w:val="21"/>
    </w:rPr>
  </w:style>
  <w:style w:type="paragraph" w:customStyle="1" w:styleId="Opsomletternivo1">
    <w:name w:val="Opsomletter nivo 1"/>
    <w:basedOn w:val="Standaard"/>
    <w:rsid w:val="00592003"/>
    <w:pPr>
      <w:numPr>
        <w:numId w:val="11"/>
      </w:numPr>
      <w:jc w:val="both"/>
    </w:pPr>
    <w:rPr>
      <w:rFonts w:ascii="Garamond" w:hAnsi="Garamond"/>
      <w:sz w:val="21"/>
      <w:szCs w:val="21"/>
    </w:rPr>
  </w:style>
  <w:style w:type="paragraph" w:customStyle="1" w:styleId="Opsomletternivo2">
    <w:name w:val="Opsomletter nivo 2"/>
    <w:basedOn w:val="Opsomletternivo1"/>
    <w:rsid w:val="00592003"/>
    <w:pPr>
      <w:numPr>
        <w:numId w:val="12"/>
      </w:numPr>
    </w:pPr>
  </w:style>
  <w:style w:type="paragraph" w:customStyle="1" w:styleId="Opsomnummernivo1">
    <w:name w:val="Opsomnummer nivo 1"/>
    <w:basedOn w:val="Standaard"/>
    <w:rsid w:val="00592003"/>
    <w:pPr>
      <w:numPr>
        <w:numId w:val="13"/>
      </w:numPr>
      <w:jc w:val="both"/>
    </w:pPr>
    <w:rPr>
      <w:rFonts w:ascii="Garamond" w:hAnsi="Garamond"/>
      <w:sz w:val="21"/>
      <w:szCs w:val="21"/>
    </w:rPr>
  </w:style>
  <w:style w:type="paragraph" w:customStyle="1" w:styleId="Opsomnummernivo2">
    <w:name w:val="Opsomnummer nivo 2"/>
    <w:basedOn w:val="Opsomnummernivo1"/>
    <w:rsid w:val="00592003"/>
    <w:pPr>
      <w:numPr>
        <w:numId w:val="14"/>
      </w:numPr>
    </w:pPr>
  </w:style>
  <w:style w:type="paragraph" w:customStyle="1" w:styleId="Opsomtekennivo1">
    <w:name w:val="Opsomteken nivo 1"/>
    <w:basedOn w:val="Standaard"/>
    <w:rsid w:val="00592003"/>
    <w:pPr>
      <w:numPr>
        <w:numId w:val="15"/>
      </w:numPr>
      <w:jc w:val="both"/>
    </w:pPr>
    <w:rPr>
      <w:rFonts w:ascii="Garamond" w:hAnsi="Garamond"/>
      <w:sz w:val="21"/>
      <w:szCs w:val="21"/>
    </w:rPr>
  </w:style>
  <w:style w:type="paragraph" w:customStyle="1" w:styleId="Opsomtekennivo2">
    <w:name w:val="Opsomteken nivo 2"/>
    <w:basedOn w:val="Opsomtekennivo1"/>
    <w:rsid w:val="00592003"/>
    <w:pPr>
      <w:numPr>
        <w:numId w:val="16"/>
      </w:numPr>
    </w:pPr>
  </w:style>
  <w:style w:type="paragraph" w:customStyle="1" w:styleId="Opsomtekennivo3">
    <w:name w:val="Opsomteken nivo 3"/>
    <w:basedOn w:val="Standaard"/>
    <w:rsid w:val="00592003"/>
    <w:pPr>
      <w:numPr>
        <w:numId w:val="17"/>
      </w:numPr>
    </w:pPr>
    <w:rPr>
      <w:rFonts w:ascii="Garamond" w:hAnsi="Garamond"/>
      <w:sz w:val="21"/>
      <w:szCs w:val="21"/>
    </w:rPr>
  </w:style>
  <w:style w:type="paragraph" w:customStyle="1" w:styleId="Opsomtekennivo4">
    <w:name w:val="Opsomteken nivo 4"/>
    <w:basedOn w:val="Standaard"/>
    <w:rsid w:val="00592003"/>
    <w:pPr>
      <w:numPr>
        <w:numId w:val="18"/>
      </w:numPr>
      <w:jc w:val="both"/>
    </w:pPr>
    <w:rPr>
      <w:rFonts w:ascii="Garamond" w:hAnsi="Garamond"/>
      <w:sz w:val="21"/>
      <w:szCs w:val="21"/>
    </w:rPr>
  </w:style>
  <w:style w:type="table" w:customStyle="1" w:styleId="Om-en-Om">
    <w:name w:val="Om-en-Om"/>
    <w:basedOn w:val="Standaardtabel"/>
    <w:uiPriority w:val="99"/>
    <w:rsid w:val="00592003"/>
    <w:pPr>
      <w:spacing w:after="0" w:line="240" w:lineRule="auto"/>
      <w:jc w:val="center"/>
    </w:pPr>
    <w:rPr>
      <w:rFonts w:asciiTheme="majorHAnsi" w:hAnsiTheme="majorHAnsi"/>
      <w:sz w:val="16"/>
      <w:lang w:val="nl-NL"/>
    </w:rPr>
    <w:tblPr>
      <w:tblStyleRow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tblBorders>
      <w:tblCellMar>
        <w:top w:w="40" w:type="dxa"/>
        <w:left w:w="40" w:type="dxa"/>
        <w:bottom w:w="40" w:type="dxa"/>
        <w:right w:w="40" w:type="dxa"/>
      </w:tblCellMar>
    </w:tblPr>
    <w:tcPr>
      <w:shd w:val="clear" w:color="auto" w:fill="auto"/>
      <w:vAlign w:val="center"/>
    </w:tcPr>
    <w:tblStylePr w:type="firstRow">
      <w:pPr>
        <w:jc w:val="center"/>
      </w:pPr>
      <w:tblPr/>
      <w:tcPr>
        <w:shd w:val="clear" w:color="auto" w:fill="5B9BD5" w:themeFill="accent1"/>
        <w:vAlign w:val="center"/>
      </w:tcPr>
    </w:tblStylePr>
    <w:tblStylePr w:type="lastRow">
      <w:rPr>
        <w:b/>
      </w:rPr>
      <w:tblPr/>
      <w:tcPr>
        <w:tcBorders>
          <w:top w:val="double" w:sz="4" w:space="0" w:color="5B9BD5" w:themeColor="accent1"/>
        </w:tcBorders>
        <w:shd w:val="clear" w:color="auto" w:fill="auto"/>
      </w:tcPr>
    </w:tblStylePr>
    <w:tblStylePr w:type="firstCol">
      <w:rPr>
        <w:rFonts w:asciiTheme="majorHAnsi" w:hAnsiTheme="majorHAnsi"/>
        <w:b/>
        <w:sz w:val="16"/>
      </w:rPr>
    </w:tblStylePr>
    <w:tblStylePr w:type="band1Horz">
      <w:rPr>
        <w:rFonts w:asciiTheme="majorHAnsi" w:hAnsiTheme="majorHAnsi"/>
        <w:sz w:val="16"/>
      </w:rPr>
      <w:tblPr/>
      <w:tcPr>
        <w:shd w:val="clear" w:color="auto" w:fill="DEEAF6" w:themeFill="accent1" w:themeFillTint="33"/>
      </w:tcPr>
    </w:tblStylePr>
    <w:tblStylePr w:type="band2Horz">
      <w:pPr>
        <w:jc w:val="right"/>
      </w:pPr>
    </w:tblStylePr>
  </w:style>
  <w:style w:type="character" w:customStyle="1" w:styleId="Rapporttitel">
    <w:name w:val="Rapporttitel"/>
    <w:basedOn w:val="TitelChar"/>
    <w:uiPriority w:val="1"/>
    <w:qFormat/>
    <w:rsid w:val="00592003"/>
    <w:rPr>
      <w:rFonts w:ascii="Tahoma" w:eastAsia="Times New Roman" w:hAnsi="Tahoma" w:cs="Arial"/>
      <w:b/>
      <w:bCs/>
      <w:kern w:val="28"/>
      <w:sz w:val="28"/>
      <w:szCs w:val="32"/>
      <w:lang w:val="nl-NL" w:eastAsia="nl-NL"/>
    </w:rPr>
  </w:style>
  <w:style w:type="paragraph" w:customStyle="1" w:styleId="kopjenotitie">
    <w:name w:val="kopje notitie"/>
    <w:basedOn w:val="Standaard"/>
    <w:rsid w:val="00592003"/>
    <w:pPr>
      <w:spacing w:after="240"/>
    </w:pPr>
    <w:rPr>
      <w:rFonts w:ascii="Garamond" w:hAnsi="Garamond"/>
      <w:b/>
      <w:sz w:val="24"/>
      <w:szCs w:val="20"/>
      <w:lang w:eastAsia="en-US"/>
    </w:rPr>
  </w:style>
  <w:style w:type="character" w:styleId="Titelvanboek">
    <w:name w:val="Book Title"/>
    <w:basedOn w:val="Standaardalinea-lettertype"/>
    <w:uiPriority w:val="33"/>
    <w:qFormat/>
    <w:rsid w:val="00592003"/>
    <w:rPr>
      <w:b/>
      <w:bCs/>
      <w:i/>
      <w:iCs/>
      <w:spacing w:val="5"/>
    </w:rPr>
  </w:style>
  <w:style w:type="paragraph" w:customStyle="1" w:styleId="Notitietitel">
    <w:name w:val="Notitietitel"/>
    <w:basedOn w:val="Tabeltekst"/>
    <w:qFormat/>
    <w:rsid w:val="00592003"/>
    <w:pPr>
      <w:spacing w:before="100" w:beforeAutospacing="1"/>
    </w:pPr>
    <w:rPr>
      <w:color w:val="C00000"/>
      <w:sz w:val="40"/>
      <w:szCs w:val="40"/>
    </w:rPr>
  </w:style>
  <w:style w:type="paragraph" w:styleId="Tekstzonderopmaak">
    <w:name w:val="Plain Text"/>
    <w:basedOn w:val="Standaard"/>
    <w:link w:val="TekstzonderopmaakChar"/>
    <w:uiPriority w:val="99"/>
    <w:unhideWhenUsed/>
    <w:rsid w:val="00B81546"/>
    <w:pPr>
      <w:spacing w:line="240" w:lineRule="auto"/>
    </w:pPr>
    <w:rPr>
      <w:rFonts w:ascii="Calibri" w:eastAsiaTheme="minorHAnsi" w:hAnsi="Calibri" w:cs="Calibri"/>
      <w:sz w:val="22"/>
      <w:szCs w:val="22"/>
      <w:lang w:eastAsia="en-US"/>
      <w14:ligatures w14:val="standardContextual"/>
    </w:rPr>
  </w:style>
  <w:style w:type="character" w:customStyle="1" w:styleId="TekstzonderopmaakChar">
    <w:name w:val="Tekst zonder opmaak Char"/>
    <w:basedOn w:val="Standaardalinea-lettertype"/>
    <w:link w:val="Tekstzonderopmaak"/>
    <w:uiPriority w:val="99"/>
    <w:rsid w:val="00B81546"/>
    <w:rPr>
      <w:rFonts w:ascii="Calibri" w:hAnsi="Calibri" w:cs="Calibri"/>
      <w:lang w:val="nl-NL"/>
      <w14:ligatures w14:val="standardContextual"/>
    </w:rPr>
  </w:style>
  <w:style w:type="paragraph" w:customStyle="1" w:styleId="samenvatting">
    <w:name w:val="samenvatting"/>
    <w:basedOn w:val="Kop1"/>
    <w:link w:val="samenvattingChar"/>
    <w:uiPriority w:val="99"/>
    <w:qFormat/>
    <w:rsid w:val="009659A1"/>
    <w:pPr>
      <w:numPr>
        <w:numId w:val="0"/>
      </w:numPr>
    </w:pPr>
  </w:style>
  <w:style w:type="character" w:customStyle="1" w:styleId="samenvattingChar">
    <w:name w:val="samenvatting Char"/>
    <w:basedOn w:val="Kop1Char"/>
    <w:link w:val="samenvatting"/>
    <w:uiPriority w:val="99"/>
    <w:rsid w:val="009659A1"/>
    <w:rPr>
      <w:rFonts w:ascii="Trebuchet MS" w:eastAsiaTheme="majorEastAsia" w:hAnsi="Trebuchet MS" w:cstheme="majorBidi"/>
      <w:b/>
      <w:bCs/>
      <w:color w:val="1D509A"/>
      <w:sz w:val="24"/>
      <w:szCs w:val="28"/>
      <w:lang w:val="nl-NL"/>
    </w:rPr>
  </w:style>
  <w:style w:type="character" w:styleId="Onopgelostemelding">
    <w:name w:val="Unresolved Mention"/>
    <w:basedOn w:val="Standaardalinea-lettertype"/>
    <w:uiPriority w:val="99"/>
    <w:semiHidden/>
    <w:unhideWhenUsed/>
    <w:rsid w:val="00F82446"/>
    <w:rPr>
      <w:color w:val="605E5C"/>
      <w:shd w:val="clear" w:color="auto" w:fill="E1DFDD"/>
    </w:rPr>
  </w:style>
  <w:style w:type="table" w:customStyle="1" w:styleId="ResearchNed">
    <w:name w:val="ResearchNed"/>
    <w:basedOn w:val="Standaardtabel"/>
    <w:uiPriority w:val="99"/>
    <w:rsid w:val="00F82446"/>
    <w:pPr>
      <w:spacing w:after="0" w:line="264" w:lineRule="auto"/>
    </w:pPr>
    <w:rPr>
      <w:rFonts w:ascii="Trebuchet MS" w:hAnsi="Trebuchet MS"/>
      <w:kern w:val="2"/>
      <w:sz w:val="16"/>
      <w:szCs w:val="18"/>
      <w:lang w:val="nl-NL"/>
      <w14:ligatures w14:val="standardContextual"/>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1" w:type="dxa"/>
        <w:left w:w="57" w:type="dxa"/>
        <w:bottom w:w="51" w:type="dxa"/>
        <w:right w:w="57" w:type="dxa"/>
      </w:tblCellMar>
    </w:tblPr>
    <w:tblStylePr w:type="firstRow">
      <w:tblPr/>
      <w:tcPr>
        <w:shd w:val="clear" w:color="auto" w:fill="EAEAEA"/>
        <w:vAlign w:val="bottom"/>
      </w:tcPr>
    </w:tblStylePr>
  </w:style>
  <w:style w:type="paragraph" w:styleId="Geenafstand">
    <w:name w:val="No Spacing"/>
    <w:uiPriority w:val="1"/>
    <w:qFormat/>
    <w:rsid w:val="0065314C"/>
    <w:pPr>
      <w:spacing w:after="0" w:line="240" w:lineRule="auto"/>
    </w:pPr>
    <w:rPr>
      <w:rFonts w:ascii="Trebuchet MS" w:eastAsia="Times New Roman" w:hAnsi="Trebuchet MS" w:cs="Times New Roman"/>
      <w:sz w:val="18"/>
      <w:szCs w:val="24"/>
      <w:lang w:val="nl-NL" w:eastAsia="nl-NL"/>
    </w:rPr>
  </w:style>
  <w:style w:type="character" w:styleId="Intensieveverwijzing">
    <w:name w:val="Intense Reference"/>
    <w:basedOn w:val="Standaardalinea-lettertype"/>
    <w:uiPriority w:val="32"/>
    <w:qFormat/>
    <w:rsid w:val="00AC0671"/>
    <w:rPr>
      <w:b/>
      <w:bCs/>
      <w:smallCaps/>
      <w:color w:val="2E74B5" w:themeColor="accent1" w:themeShade="BF"/>
      <w:spacing w:val="5"/>
    </w:rPr>
  </w:style>
  <w:style w:type="character" w:customStyle="1" w:styleId="marks41b9puid">
    <w:name w:val="marks41b9puid"/>
    <w:basedOn w:val="Standaardalinea-lettertype"/>
    <w:rsid w:val="00AC0671"/>
  </w:style>
  <w:style w:type="character" w:customStyle="1" w:styleId="markp7xaygbok">
    <w:name w:val="markp7xaygbok"/>
    <w:basedOn w:val="Standaardalinea-lettertype"/>
    <w:rsid w:val="00AC0671"/>
  </w:style>
  <w:style w:type="character" w:customStyle="1" w:styleId="wixui-rich-texttext">
    <w:name w:val="wixui-rich-text__text"/>
    <w:basedOn w:val="Standaardalinea-lettertype"/>
    <w:rsid w:val="00AC0671"/>
  </w:style>
  <w:style w:type="character" w:customStyle="1" w:styleId="mark4a21p3ss6">
    <w:name w:val="mark4a21p3ss6"/>
    <w:basedOn w:val="Standaardalinea-lettertype"/>
    <w:rsid w:val="00AC0671"/>
  </w:style>
  <w:style w:type="character" w:styleId="Vermelding">
    <w:name w:val="Mention"/>
    <w:basedOn w:val="Standaardalinea-lettertype"/>
    <w:uiPriority w:val="99"/>
    <w:unhideWhenUsed/>
    <w:rsid w:val="00CF15B7"/>
    <w:rPr>
      <w:color w:val="2B579A"/>
      <w:shd w:val="clear" w:color="auto" w:fill="E1DFDD"/>
    </w:rPr>
  </w:style>
  <w:style w:type="paragraph" w:customStyle="1" w:styleId="SEOSubparagraaf">
    <w:name w:val="SEO_Subparagraaf"/>
    <w:next w:val="SEOStandaard"/>
    <w:qFormat/>
    <w:rsid w:val="0095088E"/>
    <w:pPr>
      <w:keepNext/>
      <w:keepLines/>
      <w:numPr>
        <w:ilvl w:val="2"/>
        <w:numId w:val="35"/>
      </w:numPr>
      <w:spacing w:before="360" w:after="120" w:line="240" w:lineRule="auto"/>
      <w:outlineLvl w:val="2"/>
    </w:pPr>
    <w:rPr>
      <w:rFonts w:ascii="Avenir Next LT Pro" w:eastAsiaTheme="minorEastAsia" w:hAnsi="Avenir Next LT Pro"/>
      <w:color w:val="264249"/>
      <w:sz w:val="30"/>
      <w:szCs w:val="20"/>
      <w:lang w:val="nl-NL"/>
    </w:rPr>
  </w:style>
  <w:style w:type="paragraph" w:customStyle="1" w:styleId="SEOTabelTitel">
    <w:name w:val="SEO_Tabel_Titel"/>
    <w:rsid w:val="0095088E"/>
    <w:pPr>
      <w:keepNext/>
      <w:keepLines/>
      <w:numPr>
        <w:ilvl w:val="3"/>
        <w:numId w:val="35"/>
      </w:numPr>
      <w:spacing w:before="240" w:after="120" w:line="288" w:lineRule="auto"/>
    </w:pPr>
    <w:rPr>
      <w:rFonts w:ascii="Avenir Next LT Pro" w:eastAsiaTheme="minorEastAsia" w:hAnsi="Avenir Next LT Pro"/>
      <w:color w:val="D22C2A"/>
      <w:sz w:val="20"/>
      <w:szCs w:val="20"/>
      <w:lang w:val="nl-NL"/>
    </w:rPr>
  </w:style>
  <w:style w:type="paragraph" w:customStyle="1" w:styleId="SEOFiguur">
    <w:name w:val="SEO_Figuur"/>
    <w:rsid w:val="0095088E"/>
    <w:pPr>
      <w:keepNext/>
      <w:keepLines/>
      <w:numPr>
        <w:ilvl w:val="4"/>
        <w:numId w:val="35"/>
      </w:numPr>
      <w:spacing w:before="240" w:after="120" w:line="288" w:lineRule="auto"/>
      <w:ind w:left="2693"/>
    </w:pPr>
    <w:rPr>
      <w:rFonts w:ascii="Avenir Next LT Pro" w:eastAsiaTheme="minorEastAsia" w:hAnsi="Avenir Next LT Pro"/>
      <w:color w:val="D22C2A"/>
      <w:sz w:val="20"/>
      <w:szCs w:val="20"/>
      <w:lang w:val="nl-NL"/>
    </w:rPr>
  </w:style>
  <w:style w:type="paragraph" w:customStyle="1" w:styleId="SEOBoxTitel">
    <w:name w:val="SEO_Box_Titel"/>
    <w:rsid w:val="0095088E"/>
    <w:pPr>
      <w:keepNext/>
      <w:keepLines/>
      <w:numPr>
        <w:ilvl w:val="5"/>
        <w:numId w:val="35"/>
      </w:numPr>
      <w:spacing w:before="240" w:after="120" w:line="288" w:lineRule="auto"/>
    </w:pPr>
    <w:rPr>
      <w:rFonts w:ascii="Avenir Next LT Pro" w:eastAsiaTheme="minorEastAsia" w:hAnsi="Avenir Next LT Pro"/>
      <w:color w:val="D22C2A"/>
      <w:sz w:val="20"/>
      <w:szCs w:val="20"/>
      <w:lang w:val="nl-NL"/>
    </w:rPr>
  </w:style>
  <w:style w:type="paragraph" w:customStyle="1" w:styleId="SEOStandaard">
    <w:name w:val="SEO_Standaard"/>
    <w:qFormat/>
    <w:rsid w:val="0095088E"/>
    <w:pPr>
      <w:numPr>
        <w:numId w:val="34"/>
      </w:numPr>
      <w:spacing w:after="0" w:line="288" w:lineRule="auto"/>
      <w:jc w:val="both"/>
    </w:pPr>
    <w:rPr>
      <w:rFonts w:ascii="Avenir Next LT Pro" w:eastAsiaTheme="minorEastAsia" w:hAnsi="Avenir Next LT Pro"/>
      <w:color w:val="264249"/>
      <w:sz w:val="20"/>
      <w:szCs w:val="20"/>
      <w:lang w:val="nl-NL"/>
    </w:rPr>
  </w:style>
  <w:style w:type="paragraph" w:customStyle="1" w:styleId="SEOHoofdstuk">
    <w:name w:val="SEO_Hoofdstuk"/>
    <w:next w:val="SEOStandaard"/>
    <w:qFormat/>
    <w:rsid w:val="0095088E"/>
    <w:pPr>
      <w:keepNext/>
      <w:keepLines/>
      <w:pageBreakBefore/>
      <w:numPr>
        <w:numId w:val="35"/>
      </w:numPr>
      <w:spacing w:after="240" w:line="240" w:lineRule="auto"/>
      <w:outlineLvl w:val="0"/>
    </w:pPr>
    <w:rPr>
      <w:rFonts w:ascii="Avenir Next LT Pro" w:eastAsiaTheme="minorEastAsia" w:hAnsi="Avenir Next LT Pro" w:cstheme="minorHAnsi"/>
      <w:color w:val="264249"/>
      <w:sz w:val="46"/>
      <w:szCs w:val="24"/>
      <w:lang w:val="nl-NL"/>
    </w:rPr>
  </w:style>
  <w:style w:type="paragraph" w:customStyle="1" w:styleId="SEOParagraaf">
    <w:name w:val="SEO_Paragraaf"/>
    <w:next w:val="SEOStandaard"/>
    <w:qFormat/>
    <w:rsid w:val="0095088E"/>
    <w:pPr>
      <w:keepNext/>
      <w:keepLines/>
      <w:numPr>
        <w:ilvl w:val="1"/>
        <w:numId w:val="35"/>
      </w:numPr>
      <w:spacing w:before="400" w:after="200" w:line="240" w:lineRule="auto"/>
      <w:outlineLvl w:val="1"/>
    </w:pPr>
    <w:rPr>
      <w:rFonts w:ascii="Avenir Next LT Pro" w:eastAsiaTheme="minorEastAsia" w:hAnsi="Avenir Next LT Pro"/>
      <w:color w:val="264249"/>
      <w:sz w:val="36"/>
      <w:szCs w:val="20"/>
      <w:lang w:val="nl-NL"/>
    </w:rPr>
  </w:style>
  <w:style w:type="numbering" w:customStyle="1" w:styleId="SEOLijstKopnummering">
    <w:name w:val="SEO_LijstKopnummering"/>
    <w:uiPriority w:val="99"/>
    <w:rsid w:val="0095088E"/>
    <w:pPr>
      <w:numPr>
        <w:numId w:val="30"/>
      </w:numPr>
    </w:pPr>
  </w:style>
  <w:style w:type="paragraph" w:customStyle="1" w:styleId="SEOOpsommingLetterL1">
    <w:name w:val="SEO_OpsommingLetterL1"/>
    <w:rsid w:val="0095088E"/>
    <w:pPr>
      <w:numPr>
        <w:ilvl w:val="1"/>
        <w:numId w:val="34"/>
      </w:numPr>
      <w:spacing w:after="0" w:line="288" w:lineRule="auto"/>
      <w:jc w:val="both"/>
    </w:pPr>
    <w:rPr>
      <w:rFonts w:ascii="Avenir Next LT Pro" w:eastAsiaTheme="minorEastAsia" w:hAnsi="Avenir Next LT Pro"/>
      <w:color w:val="264249"/>
      <w:sz w:val="20"/>
      <w:szCs w:val="20"/>
      <w:lang w:val="nl-NL"/>
    </w:rPr>
  </w:style>
  <w:style w:type="paragraph" w:customStyle="1" w:styleId="SEOOpsommingBulletL1">
    <w:name w:val="SEO_OpsommingBulletL1"/>
    <w:qFormat/>
    <w:rsid w:val="0095088E"/>
    <w:pPr>
      <w:numPr>
        <w:ilvl w:val="1"/>
        <w:numId w:val="32"/>
      </w:numPr>
      <w:spacing w:after="0" w:line="288" w:lineRule="auto"/>
      <w:jc w:val="both"/>
    </w:pPr>
    <w:rPr>
      <w:rFonts w:ascii="Avenir Next LT Pro" w:eastAsiaTheme="minorEastAsia" w:hAnsi="Avenir Next LT Pro"/>
      <w:color w:val="264249"/>
      <w:sz w:val="20"/>
      <w:szCs w:val="20"/>
      <w:lang w:val="nl-NL"/>
    </w:rPr>
  </w:style>
  <w:style w:type="paragraph" w:customStyle="1" w:styleId="SEOOpsommingLetterL2">
    <w:name w:val="SEO_OpsommingLetterL2"/>
    <w:qFormat/>
    <w:rsid w:val="0095088E"/>
    <w:pPr>
      <w:numPr>
        <w:ilvl w:val="2"/>
        <w:numId w:val="34"/>
      </w:numPr>
      <w:tabs>
        <w:tab w:val="num" w:pos="360"/>
      </w:tabs>
      <w:spacing w:after="0" w:line="288" w:lineRule="auto"/>
      <w:jc w:val="both"/>
    </w:pPr>
    <w:rPr>
      <w:rFonts w:ascii="Avenir Next LT Pro" w:eastAsiaTheme="minorEastAsia" w:hAnsi="Avenir Next LT Pro"/>
      <w:color w:val="264249"/>
      <w:sz w:val="20"/>
      <w:szCs w:val="20"/>
      <w:lang w:val="nl-NL"/>
    </w:rPr>
  </w:style>
  <w:style w:type="paragraph" w:customStyle="1" w:styleId="SEOOpsommingLetterL3">
    <w:name w:val="SEO_OpsommingLetterL3"/>
    <w:qFormat/>
    <w:rsid w:val="0095088E"/>
    <w:pPr>
      <w:numPr>
        <w:ilvl w:val="3"/>
        <w:numId w:val="34"/>
      </w:numPr>
      <w:tabs>
        <w:tab w:val="num" w:pos="360"/>
      </w:tabs>
      <w:spacing w:after="0" w:line="288" w:lineRule="auto"/>
      <w:jc w:val="both"/>
    </w:pPr>
    <w:rPr>
      <w:rFonts w:ascii="Avenir Next LT Pro" w:eastAsiaTheme="minorEastAsia" w:hAnsi="Avenir Next LT Pro"/>
      <w:color w:val="264249"/>
      <w:sz w:val="20"/>
      <w:szCs w:val="20"/>
      <w:lang w:val="nl-NL"/>
    </w:rPr>
  </w:style>
  <w:style w:type="paragraph" w:customStyle="1" w:styleId="SEOOpsommingBulletL2">
    <w:name w:val="SEO_OpsommingBulletL2"/>
    <w:semiHidden/>
    <w:qFormat/>
    <w:rsid w:val="0095088E"/>
    <w:pPr>
      <w:numPr>
        <w:ilvl w:val="2"/>
        <w:numId w:val="32"/>
      </w:numPr>
      <w:spacing w:after="0" w:line="288" w:lineRule="auto"/>
      <w:jc w:val="both"/>
    </w:pPr>
    <w:rPr>
      <w:rFonts w:ascii="Avenir Next LT Pro" w:eastAsiaTheme="minorEastAsia" w:hAnsi="Avenir Next LT Pro"/>
      <w:color w:val="264249"/>
      <w:sz w:val="20"/>
      <w:szCs w:val="20"/>
      <w:lang w:val="nl-NL"/>
    </w:rPr>
  </w:style>
  <w:style w:type="paragraph" w:customStyle="1" w:styleId="SEOOpsommingBulletL3">
    <w:name w:val="SEO_OpsommingBulletL3"/>
    <w:semiHidden/>
    <w:qFormat/>
    <w:rsid w:val="0095088E"/>
    <w:pPr>
      <w:numPr>
        <w:ilvl w:val="3"/>
        <w:numId w:val="32"/>
      </w:numPr>
      <w:spacing w:after="0" w:line="288" w:lineRule="auto"/>
      <w:jc w:val="both"/>
    </w:pPr>
    <w:rPr>
      <w:rFonts w:ascii="Avenir Next LT Pro" w:eastAsiaTheme="minorEastAsia" w:hAnsi="Avenir Next LT Pro"/>
      <w:color w:val="264249"/>
      <w:sz w:val="20"/>
      <w:szCs w:val="20"/>
      <w:lang w:val="nl-NL"/>
    </w:rPr>
  </w:style>
  <w:style w:type="numbering" w:customStyle="1" w:styleId="SEOLijstLetter">
    <w:name w:val="SEO_LijstLetter"/>
    <w:uiPriority w:val="99"/>
    <w:rsid w:val="0095088E"/>
    <w:pPr>
      <w:numPr>
        <w:numId w:val="31"/>
      </w:numPr>
    </w:pPr>
  </w:style>
  <w:style w:type="paragraph" w:customStyle="1" w:styleId="SEOStandaardB">
    <w:name w:val="SEO_StandaardB"/>
    <w:next w:val="SEOStandaard"/>
    <w:semiHidden/>
    <w:qFormat/>
    <w:rsid w:val="0095088E"/>
    <w:pPr>
      <w:numPr>
        <w:numId w:val="32"/>
      </w:numPr>
      <w:spacing w:after="0" w:line="288" w:lineRule="auto"/>
      <w:jc w:val="both"/>
    </w:pPr>
    <w:rPr>
      <w:rFonts w:ascii="Avenir Next LT Pro" w:eastAsiaTheme="minorEastAsia" w:hAnsi="Avenir Next LT Pro"/>
      <w:color w:val="264249"/>
      <w:sz w:val="20"/>
      <w:szCs w:val="20"/>
      <w:lang w:val="nl-NL"/>
    </w:rPr>
  </w:style>
  <w:style w:type="paragraph" w:customStyle="1" w:styleId="SEOOpsommingBulletL4">
    <w:name w:val="SEO_OpsommingBulletL4"/>
    <w:semiHidden/>
    <w:qFormat/>
    <w:rsid w:val="0095088E"/>
    <w:pPr>
      <w:numPr>
        <w:ilvl w:val="4"/>
        <w:numId w:val="32"/>
      </w:numPr>
      <w:spacing w:after="0" w:line="288" w:lineRule="auto"/>
      <w:jc w:val="both"/>
    </w:pPr>
    <w:rPr>
      <w:rFonts w:ascii="Avenir Next LT Pro" w:eastAsiaTheme="minorEastAsia" w:hAnsi="Avenir Next LT Pro"/>
      <w:color w:val="264249"/>
      <w:sz w:val="20"/>
      <w:szCs w:val="20"/>
      <w:lang w:val="nl-NL"/>
    </w:rPr>
  </w:style>
  <w:style w:type="numbering" w:customStyle="1" w:styleId="SEOLijstBullet">
    <w:name w:val="SEO_LijstBullet"/>
    <w:uiPriority w:val="99"/>
    <w:rsid w:val="0095088E"/>
    <w:pPr>
      <w:numPr>
        <w:numId w:val="32"/>
      </w:numPr>
    </w:pPr>
  </w:style>
  <w:style w:type="paragraph" w:customStyle="1" w:styleId="SEOBron">
    <w:name w:val="SEO_Bron"/>
    <w:rsid w:val="0095088E"/>
    <w:pPr>
      <w:keepLines/>
      <w:numPr>
        <w:ilvl w:val="1"/>
        <w:numId w:val="33"/>
      </w:numPr>
      <w:spacing w:before="120" w:after="240" w:line="288" w:lineRule="auto"/>
      <w:jc w:val="both"/>
    </w:pPr>
    <w:rPr>
      <w:rFonts w:ascii="Avenir Next LT Pro" w:eastAsiaTheme="minorEastAsia" w:hAnsi="Avenir Next LT Pro"/>
      <w:color w:val="264249"/>
      <w:sz w:val="18"/>
      <w:szCs w:val="20"/>
      <w:lang w:val="nl-NL"/>
    </w:rPr>
  </w:style>
  <w:style w:type="table" w:customStyle="1" w:styleId="SEOTabel2">
    <w:name w:val="SEO_Tabel_2"/>
    <w:basedOn w:val="Standaardtabel"/>
    <w:uiPriority w:val="99"/>
    <w:rsid w:val="0095088E"/>
    <w:pPr>
      <w:spacing w:after="0" w:line="240" w:lineRule="auto"/>
    </w:pPr>
    <w:rPr>
      <w:rFonts w:ascii="Avenir Next LT Pro" w:eastAsiaTheme="minorEastAsia" w:hAnsi="Avenir Next LT Pro"/>
      <w:color w:val="44546A" w:themeColor="text2"/>
      <w:sz w:val="20"/>
      <w:szCs w:val="20"/>
      <w:lang w:val="nl-NL"/>
    </w:rPr>
    <w:tblPr>
      <w:tblBorders>
        <w:bottom w:val="single" w:sz="12" w:space="0" w:color="264249"/>
      </w:tblBorders>
      <w:tblCellMar>
        <w:top w:w="57" w:type="dxa"/>
        <w:bottom w:w="57" w:type="dxa"/>
      </w:tblCellMar>
    </w:tblPr>
    <w:tcPr>
      <w:shd w:val="clear" w:color="auto" w:fill="auto"/>
    </w:tcPr>
    <w:tblStylePr w:type="firstRow">
      <w:rPr>
        <w:rFonts w:ascii="Open Sans Light" w:hAnsi="Open Sans Light"/>
        <w:b/>
        <w:color w:val="FFFFFF"/>
        <w:sz w:val="20"/>
        <w:u w:val="none"/>
      </w:rPr>
      <w:tblPr/>
      <w:tcPr>
        <w:shd w:val="clear" w:color="auto" w:fill="264249"/>
      </w:tcPr>
    </w:tblStylePr>
    <w:tblStylePr w:type="lastRow">
      <w:rPr>
        <w:rFonts w:ascii="Open Sans Light" w:hAnsi="Open Sans Light"/>
        <w:b/>
        <w:caps w:val="0"/>
        <w:smallCaps w:val="0"/>
        <w:strike w:val="0"/>
        <w:dstrike w:val="0"/>
        <w:vanish w:val="0"/>
        <w:color w:val="264249"/>
        <w:spacing w:val="0"/>
        <w:w w:val="100"/>
        <w:kern w:val="0"/>
        <w:position w:val="0"/>
        <w:sz w:val="20"/>
        <w:u w:val="none"/>
        <w:vertAlign w:val="baseline"/>
        <w14:ligatures w14:val="none"/>
        <w14:numForm w14:val="default"/>
        <w14:numSpacing w14:val="default"/>
        <w14:stylisticSets/>
        <w14:cntxtAlts w14:val="0"/>
      </w:rPr>
      <w:tblPr/>
      <w:tcPr>
        <w:shd w:val="clear" w:color="auto" w:fill="498794"/>
      </w:tcPr>
    </w:tblStylePr>
    <w:tblStylePr w:type="firstCol">
      <w:rPr>
        <w:rFonts w:ascii="Open Sans Light" w:hAnsi="Open Sans Light"/>
        <w:caps w:val="0"/>
        <w:smallCaps w:val="0"/>
        <w:strike w:val="0"/>
        <w:dstrike w:val="0"/>
        <w:vanish w:val="0"/>
        <w:color w:val="264249"/>
        <w:spacing w:val="0"/>
        <w:w w:val="100"/>
        <w:kern w:val="0"/>
        <w:position w:val="0"/>
        <w:sz w:val="20"/>
        <w:u w:val="none"/>
        <w:vertAlign w:val="baseline"/>
        <w14:ligatures w14:val="none"/>
        <w14:numForm w14:val="default"/>
        <w14:numSpacing w14:val="default"/>
        <w14:stylisticSets/>
        <w14:cntxtAlts w14:val="0"/>
      </w:rPr>
      <w:tblPr/>
      <w:tcPr>
        <w:shd w:val="clear" w:color="auto" w:fill="FDED75"/>
      </w:tcPr>
    </w:tblStylePr>
  </w:style>
  <w:style w:type="paragraph" w:customStyle="1" w:styleId="SEOStandaardBron">
    <w:name w:val="SEO_StandaardBron"/>
    <w:next w:val="SEOStandaard"/>
    <w:semiHidden/>
    <w:qFormat/>
    <w:rsid w:val="0095088E"/>
    <w:pPr>
      <w:numPr>
        <w:numId w:val="33"/>
      </w:numPr>
      <w:spacing w:after="0" w:line="288" w:lineRule="auto"/>
      <w:jc w:val="both"/>
    </w:pPr>
    <w:rPr>
      <w:rFonts w:ascii="Avenir Next LT Pro" w:eastAsiaTheme="minorEastAsia" w:hAnsi="Avenir Next LT Pro"/>
      <w:color w:val="264249"/>
      <w:sz w:val="20"/>
      <w:szCs w:val="20"/>
      <w:lang w:val="nl-NL"/>
    </w:rPr>
  </w:style>
  <w:style w:type="paragraph" w:customStyle="1" w:styleId="SEOTabelTitelSamenvatting">
    <w:name w:val="SEO_Tabel_Titel_Samenvatting"/>
    <w:rsid w:val="0095088E"/>
    <w:pPr>
      <w:keepNext/>
      <w:keepLines/>
      <w:numPr>
        <w:ilvl w:val="6"/>
        <w:numId w:val="35"/>
      </w:numPr>
      <w:spacing w:before="240" w:after="120" w:line="288" w:lineRule="auto"/>
      <w:jc w:val="both"/>
    </w:pPr>
    <w:rPr>
      <w:rFonts w:ascii="Avenir Next LT Pro" w:eastAsiaTheme="minorEastAsia" w:hAnsi="Avenir Next LT Pro"/>
      <w:color w:val="D22C2A"/>
      <w:sz w:val="20"/>
      <w:szCs w:val="20"/>
      <w:lang w:val="nl-NL"/>
    </w:rPr>
  </w:style>
  <w:style w:type="paragraph" w:customStyle="1" w:styleId="SEOfiguurTitelSamenvatting">
    <w:name w:val="SEO_figuur_Titel_Samenvatting"/>
    <w:rsid w:val="0095088E"/>
    <w:pPr>
      <w:keepNext/>
      <w:keepLines/>
      <w:numPr>
        <w:ilvl w:val="7"/>
        <w:numId w:val="35"/>
      </w:numPr>
      <w:spacing w:before="240" w:after="120" w:line="288" w:lineRule="auto"/>
      <w:jc w:val="both"/>
    </w:pPr>
    <w:rPr>
      <w:rFonts w:ascii="Avenir Next LT Pro" w:eastAsiaTheme="minorEastAsia" w:hAnsi="Avenir Next LT Pro"/>
      <w:color w:val="D22C2A"/>
      <w:sz w:val="20"/>
      <w:szCs w:val="20"/>
      <w:lang w:val="nl-NL"/>
    </w:rPr>
  </w:style>
  <w:style w:type="paragraph" w:customStyle="1" w:styleId="SEOBoxTitelSamenvatting">
    <w:name w:val="SEO_Box_Titel_Samenvatting"/>
    <w:rsid w:val="0095088E"/>
    <w:pPr>
      <w:keepNext/>
      <w:keepLines/>
      <w:numPr>
        <w:ilvl w:val="8"/>
        <w:numId w:val="35"/>
      </w:numPr>
      <w:spacing w:before="240" w:after="120" w:line="288" w:lineRule="auto"/>
      <w:jc w:val="both"/>
    </w:pPr>
    <w:rPr>
      <w:rFonts w:ascii="Avenir Next LT Pro" w:eastAsiaTheme="minorEastAsia" w:hAnsi="Avenir Next LT Pro"/>
      <w:color w:val="D22C2A"/>
      <w:sz w:val="20"/>
      <w:szCs w:val="20"/>
      <w:lang w:val="nl-NL"/>
    </w:rPr>
  </w:style>
  <w:style w:type="paragraph" w:styleId="Inhopg4">
    <w:name w:val="toc 4"/>
    <w:basedOn w:val="Standaard"/>
    <w:next w:val="Standaard"/>
    <w:autoRedefine/>
    <w:uiPriority w:val="39"/>
    <w:rsid w:val="0095088E"/>
    <w:pPr>
      <w:tabs>
        <w:tab w:val="right" w:pos="8777"/>
      </w:tabs>
      <w:spacing w:line="220" w:lineRule="exact"/>
      <w:ind w:left="1077"/>
      <w:jc w:val="both"/>
    </w:pPr>
    <w:rPr>
      <w:rFonts w:ascii="Calibri" w:eastAsiaTheme="minorEastAsia" w:hAnsi="Calibri" w:cstheme="minorBidi"/>
      <w:noProof/>
      <w:color w:val="009FE3"/>
      <w:sz w:val="16"/>
      <w:szCs w:val="20"/>
      <w:lang w:eastAsia="en-US"/>
    </w:rPr>
  </w:style>
  <w:style w:type="numbering" w:customStyle="1" w:styleId="Bullets">
    <w:name w:val="Bullets"/>
    <w:uiPriority w:val="99"/>
    <w:rsid w:val="0095088E"/>
    <w:pPr>
      <w:numPr>
        <w:numId w:val="36"/>
      </w:numPr>
    </w:pPr>
  </w:style>
  <w:style w:type="paragraph" w:styleId="Inhopg5">
    <w:name w:val="toc 5"/>
    <w:basedOn w:val="Inhopg4"/>
    <w:next w:val="Standaard"/>
    <w:autoRedefine/>
    <w:uiPriority w:val="39"/>
    <w:rsid w:val="0095088E"/>
    <w:pPr>
      <w:ind w:left="1985"/>
    </w:pPr>
  </w:style>
  <w:style w:type="character" w:styleId="Subtieleverwijzing">
    <w:name w:val="Subtle Reference"/>
    <w:basedOn w:val="Standaardalinea-lettertype"/>
    <w:uiPriority w:val="31"/>
    <w:qFormat/>
    <w:rsid w:val="0095088E"/>
    <w:rPr>
      <w:smallCaps/>
      <w:color w:val="404040" w:themeColor="text1" w:themeTint="BF"/>
      <w:u w:val="single" w:color="7F7F7F" w:themeColor="text1" w:themeTint="80"/>
    </w:rPr>
  </w:style>
  <w:style w:type="paragraph" w:customStyle="1" w:styleId="SEOHoofdstukZN">
    <w:name w:val="SEO_Hoofdstuk_ZN"/>
    <w:next w:val="SEOStandaard"/>
    <w:rsid w:val="0095088E"/>
    <w:pPr>
      <w:keepNext/>
      <w:keepLines/>
      <w:pageBreakBefore/>
      <w:spacing w:after="240" w:line="240" w:lineRule="auto"/>
      <w:outlineLvl w:val="0"/>
    </w:pPr>
    <w:rPr>
      <w:rFonts w:ascii="Avenir Next LT Pro" w:eastAsiaTheme="minorEastAsia" w:hAnsi="Avenir Next LT Pro"/>
      <w:color w:val="264249"/>
      <w:sz w:val="46"/>
      <w:szCs w:val="20"/>
      <w:lang w:val="nl-NL"/>
    </w:rPr>
  </w:style>
  <w:style w:type="paragraph" w:customStyle="1" w:styleId="SEOTOC">
    <w:name w:val="SEO_TOC"/>
    <w:next w:val="SEOStandaard"/>
    <w:semiHidden/>
    <w:qFormat/>
    <w:rsid w:val="0095088E"/>
    <w:pPr>
      <w:spacing w:after="480" w:line="240" w:lineRule="auto"/>
      <w:jc w:val="both"/>
      <w:outlineLvl w:val="0"/>
    </w:pPr>
    <w:rPr>
      <w:rFonts w:ascii="Avenir Next LT Pro" w:eastAsiaTheme="minorEastAsia" w:hAnsi="Avenir Next LT Pro"/>
      <w:color w:val="264249"/>
      <w:sz w:val="46"/>
      <w:szCs w:val="20"/>
      <w:lang w:val="nl-NL"/>
    </w:rPr>
  </w:style>
  <w:style w:type="paragraph" w:customStyle="1" w:styleId="SEOLead">
    <w:name w:val="SEO_Lead"/>
    <w:next w:val="SEOStandaard"/>
    <w:rsid w:val="0095088E"/>
    <w:pPr>
      <w:spacing w:after="240" w:line="288" w:lineRule="auto"/>
      <w:jc w:val="both"/>
    </w:pPr>
    <w:rPr>
      <w:rFonts w:ascii="Avenir Next LT Pro" w:eastAsiaTheme="minorEastAsia" w:hAnsi="Avenir Next LT Pro"/>
      <w:color w:val="264249"/>
      <w:sz w:val="28"/>
      <w:szCs w:val="20"/>
      <w:lang w:val="nl-NL"/>
    </w:rPr>
  </w:style>
  <w:style w:type="paragraph" w:customStyle="1" w:styleId="SEOParagraafZN">
    <w:name w:val="SEO_Paragraaf_ZN"/>
    <w:next w:val="SEOStandaard"/>
    <w:rsid w:val="0095088E"/>
    <w:pPr>
      <w:keepNext/>
      <w:keepLines/>
      <w:spacing w:before="400" w:after="200" w:line="240" w:lineRule="auto"/>
      <w:outlineLvl w:val="1"/>
    </w:pPr>
    <w:rPr>
      <w:rFonts w:ascii="Avenir Next LT Pro" w:eastAsiaTheme="minorEastAsia" w:hAnsi="Avenir Next LT Pro"/>
      <w:color w:val="264249"/>
      <w:sz w:val="36"/>
      <w:szCs w:val="20"/>
      <w:lang w:val="nl-NL"/>
    </w:rPr>
  </w:style>
  <w:style w:type="paragraph" w:customStyle="1" w:styleId="SEOSubparagraafZN">
    <w:name w:val="SEO_Subparagraaf_ZN"/>
    <w:next w:val="SEOStandaard"/>
    <w:rsid w:val="0095088E"/>
    <w:pPr>
      <w:keepNext/>
      <w:keepLines/>
      <w:spacing w:before="360" w:after="120" w:line="240" w:lineRule="auto"/>
      <w:outlineLvl w:val="2"/>
    </w:pPr>
    <w:rPr>
      <w:rFonts w:ascii="Avenir Next LT Pro" w:eastAsiaTheme="minorEastAsia" w:hAnsi="Avenir Next LT Pro"/>
      <w:color w:val="264249"/>
      <w:sz w:val="30"/>
      <w:szCs w:val="20"/>
      <w:lang w:val="nl-NL"/>
    </w:rPr>
  </w:style>
  <w:style w:type="paragraph" w:customStyle="1" w:styleId="SEOTussenkop">
    <w:name w:val="SEO_Tussenkop"/>
    <w:next w:val="SEOStandaard"/>
    <w:rsid w:val="0095088E"/>
    <w:pPr>
      <w:keepNext/>
      <w:keepLines/>
      <w:spacing w:before="240" w:after="0" w:line="288" w:lineRule="auto"/>
      <w:jc w:val="both"/>
      <w:outlineLvl w:val="3"/>
    </w:pPr>
    <w:rPr>
      <w:rFonts w:ascii="Avenir Next LT Pro" w:eastAsiaTheme="minorEastAsia" w:hAnsi="Avenir Next LT Pro"/>
      <w:b/>
      <w:color w:val="44546A" w:themeColor="text2"/>
      <w:sz w:val="24"/>
      <w:szCs w:val="20"/>
      <w:lang w:val="nl-NL"/>
    </w:rPr>
  </w:style>
  <w:style w:type="paragraph" w:customStyle="1" w:styleId="SEOBijlage">
    <w:name w:val="SEO_Bijlage"/>
    <w:next w:val="SEOStandaard"/>
    <w:rsid w:val="0095088E"/>
    <w:pPr>
      <w:keepNext/>
      <w:keepLines/>
      <w:pageBreakBefore/>
      <w:numPr>
        <w:numId w:val="37"/>
      </w:numPr>
      <w:spacing w:after="240" w:line="240" w:lineRule="auto"/>
      <w:outlineLvl w:val="0"/>
    </w:pPr>
    <w:rPr>
      <w:rFonts w:ascii="Avenir Next LT Pro" w:eastAsiaTheme="minorEastAsia" w:hAnsi="Avenir Next LT Pro"/>
      <w:color w:val="264249"/>
      <w:sz w:val="46"/>
      <w:szCs w:val="20"/>
      <w:lang w:val="nl-NL"/>
    </w:rPr>
  </w:style>
  <w:style w:type="paragraph" w:customStyle="1" w:styleId="SEOBijlageSub">
    <w:name w:val="SEO_BijlageSub"/>
    <w:next w:val="SEOStandaard"/>
    <w:rsid w:val="0095088E"/>
    <w:pPr>
      <w:keepNext/>
      <w:keepLines/>
      <w:numPr>
        <w:ilvl w:val="1"/>
        <w:numId w:val="37"/>
      </w:numPr>
      <w:spacing w:before="400" w:after="200" w:line="240" w:lineRule="auto"/>
      <w:outlineLvl w:val="1"/>
    </w:pPr>
    <w:rPr>
      <w:rFonts w:ascii="Avenir Next LT Pro" w:eastAsiaTheme="minorEastAsia" w:hAnsi="Avenir Next LT Pro"/>
      <w:color w:val="264249"/>
      <w:sz w:val="36"/>
      <w:szCs w:val="20"/>
      <w:lang w:val="nl-NL"/>
    </w:rPr>
  </w:style>
  <w:style w:type="numbering" w:customStyle="1" w:styleId="SEOLijstBijlagen">
    <w:name w:val="SEO_LijstBijlagen"/>
    <w:uiPriority w:val="99"/>
    <w:rsid w:val="0095088E"/>
    <w:pPr>
      <w:numPr>
        <w:numId w:val="52"/>
      </w:numPr>
    </w:pPr>
  </w:style>
  <w:style w:type="paragraph" w:customStyle="1" w:styleId="SEOOpsommingNummerL1">
    <w:name w:val="SEO_OpsommingNummerL1"/>
    <w:qFormat/>
    <w:rsid w:val="0095088E"/>
    <w:pPr>
      <w:numPr>
        <w:ilvl w:val="1"/>
        <w:numId w:val="38"/>
      </w:numPr>
      <w:spacing w:after="0" w:line="288" w:lineRule="auto"/>
      <w:jc w:val="both"/>
    </w:pPr>
    <w:rPr>
      <w:rFonts w:ascii="Avenir Next LT Pro" w:eastAsiaTheme="minorEastAsia" w:hAnsi="Avenir Next LT Pro"/>
      <w:color w:val="264249"/>
      <w:sz w:val="20"/>
      <w:szCs w:val="20"/>
      <w:lang w:val="nl-NL"/>
    </w:rPr>
  </w:style>
  <w:style w:type="paragraph" w:customStyle="1" w:styleId="SEOOpsommingDashL1">
    <w:name w:val="SEO_OpsommingDashL1"/>
    <w:rsid w:val="0095088E"/>
    <w:pPr>
      <w:numPr>
        <w:ilvl w:val="1"/>
        <w:numId w:val="39"/>
      </w:numPr>
      <w:spacing w:after="0" w:line="288" w:lineRule="auto"/>
      <w:jc w:val="both"/>
    </w:pPr>
    <w:rPr>
      <w:rFonts w:ascii="Avenir Next LT Pro" w:eastAsiaTheme="minorEastAsia" w:hAnsi="Avenir Next LT Pro"/>
      <w:color w:val="264249"/>
      <w:sz w:val="20"/>
      <w:szCs w:val="20"/>
      <w:lang w:val="nl-NL"/>
    </w:rPr>
  </w:style>
  <w:style w:type="paragraph" w:customStyle="1" w:styleId="SEOOpsommingNummerL2">
    <w:name w:val="SEO_OpsommingNummerL2"/>
    <w:qFormat/>
    <w:rsid w:val="0095088E"/>
    <w:pPr>
      <w:numPr>
        <w:ilvl w:val="2"/>
        <w:numId w:val="38"/>
      </w:numPr>
      <w:spacing w:after="0" w:line="288" w:lineRule="auto"/>
      <w:jc w:val="both"/>
    </w:pPr>
    <w:rPr>
      <w:rFonts w:ascii="Avenir Next LT Pro" w:eastAsiaTheme="minorEastAsia" w:hAnsi="Avenir Next LT Pro"/>
      <w:color w:val="264249"/>
      <w:sz w:val="20"/>
      <w:szCs w:val="20"/>
      <w:lang w:val="nl-NL"/>
    </w:rPr>
  </w:style>
  <w:style w:type="paragraph" w:customStyle="1" w:styleId="SEOOpsommingNummerL3">
    <w:name w:val="SEO_OpsommingNummerL3"/>
    <w:qFormat/>
    <w:rsid w:val="0095088E"/>
    <w:pPr>
      <w:numPr>
        <w:ilvl w:val="3"/>
        <w:numId w:val="38"/>
      </w:numPr>
      <w:spacing w:after="0" w:line="288" w:lineRule="auto"/>
      <w:jc w:val="both"/>
    </w:pPr>
    <w:rPr>
      <w:rFonts w:ascii="Avenir Next LT Pro" w:eastAsiaTheme="minorEastAsia" w:hAnsi="Avenir Next LT Pro"/>
      <w:color w:val="264249"/>
      <w:sz w:val="20"/>
      <w:szCs w:val="20"/>
      <w:lang w:val="nl-NL"/>
    </w:rPr>
  </w:style>
  <w:style w:type="paragraph" w:customStyle="1" w:styleId="SEOOpsommingDashL2">
    <w:name w:val="SEO_OpsommingDashL2"/>
    <w:semiHidden/>
    <w:qFormat/>
    <w:rsid w:val="0095088E"/>
    <w:pPr>
      <w:numPr>
        <w:ilvl w:val="2"/>
        <w:numId w:val="39"/>
      </w:numPr>
      <w:spacing w:after="0" w:line="288" w:lineRule="auto"/>
      <w:jc w:val="both"/>
    </w:pPr>
    <w:rPr>
      <w:rFonts w:ascii="Avenir Next LT Pro" w:eastAsiaTheme="minorEastAsia" w:hAnsi="Avenir Next LT Pro"/>
      <w:color w:val="264249"/>
      <w:sz w:val="20"/>
      <w:szCs w:val="20"/>
      <w:lang w:val="nl-NL"/>
    </w:rPr>
  </w:style>
  <w:style w:type="paragraph" w:customStyle="1" w:styleId="SEOOpsommingDashL3">
    <w:name w:val="SEO_OpsommingDashL3"/>
    <w:semiHidden/>
    <w:qFormat/>
    <w:rsid w:val="0095088E"/>
    <w:pPr>
      <w:numPr>
        <w:ilvl w:val="3"/>
        <w:numId w:val="39"/>
      </w:numPr>
      <w:spacing w:after="0" w:line="288" w:lineRule="auto"/>
      <w:jc w:val="both"/>
    </w:pPr>
    <w:rPr>
      <w:rFonts w:ascii="Avenir Next LT Pro" w:eastAsiaTheme="minorEastAsia" w:hAnsi="Avenir Next LT Pro"/>
      <w:color w:val="264249"/>
      <w:sz w:val="20"/>
      <w:szCs w:val="20"/>
      <w:lang w:val="nl-NL"/>
    </w:rPr>
  </w:style>
  <w:style w:type="paragraph" w:customStyle="1" w:styleId="SEOStandaardN">
    <w:name w:val="SEO_StandaardN"/>
    <w:next w:val="SEOStandaard"/>
    <w:qFormat/>
    <w:rsid w:val="0095088E"/>
    <w:pPr>
      <w:numPr>
        <w:numId w:val="38"/>
      </w:numPr>
      <w:spacing w:after="0" w:line="288" w:lineRule="auto"/>
      <w:jc w:val="both"/>
    </w:pPr>
    <w:rPr>
      <w:rFonts w:ascii="Avenir Next LT Pro" w:eastAsiaTheme="minorEastAsia" w:hAnsi="Avenir Next LT Pro"/>
      <w:color w:val="264249"/>
      <w:sz w:val="20"/>
      <w:szCs w:val="20"/>
      <w:lang w:val="nl-NL"/>
    </w:rPr>
  </w:style>
  <w:style w:type="paragraph" w:customStyle="1" w:styleId="SEOStandaardD">
    <w:name w:val="SEO_StandaardD"/>
    <w:next w:val="SEOStandaard"/>
    <w:semiHidden/>
    <w:qFormat/>
    <w:rsid w:val="0095088E"/>
    <w:pPr>
      <w:numPr>
        <w:numId w:val="39"/>
      </w:numPr>
      <w:spacing w:after="0" w:line="288" w:lineRule="auto"/>
      <w:jc w:val="both"/>
    </w:pPr>
    <w:rPr>
      <w:rFonts w:ascii="Avenir Next LT Pro" w:eastAsiaTheme="minorEastAsia" w:hAnsi="Avenir Next LT Pro"/>
      <w:color w:val="264249"/>
      <w:sz w:val="20"/>
      <w:szCs w:val="20"/>
      <w:lang w:val="nl-NL"/>
    </w:rPr>
  </w:style>
  <w:style w:type="numbering" w:customStyle="1" w:styleId="SEOLijstNummer">
    <w:name w:val="SEO_LijstNummer"/>
    <w:uiPriority w:val="99"/>
    <w:rsid w:val="0095088E"/>
    <w:pPr>
      <w:numPr>
        <w:numId w:val="38"/>
      </w:numPr>
    </w:pPr>
  </w:style>
  <w:style w:type="paragraph" w:customStyle="1" w:styleId="SEOOpsommingDashL4">
    <w:name w:val="SEO_OpsommingDashL4"/>
    <w:semiHidden/>
    <w:qFormat/>
    <w:rsid w:val="0095088E"/>
    <w:pPr>
      <w:numPr>
        <w:ilvl w:val="4"/>
        <w:numId w:val="39"/>
      </w:numPr>
      <w:spacing w:after="0" w:line="288" w:lineRule="auto"/>
      <w:jc w:val="both"/>
    </w:pPr>
    <w:rPr>
      <w:rFonts w:ascii="Avenir Next LT Pro" w:eastAsiaTheme="minorEastAsia" w:hAnsi="Avenir Next LT Pro"/>
      <w:color w:val="264249"/>
      <w:sz w:val="20"/>
      <w:szCs w:val="20"/>
      <w:lang w:val="nl-NL"/>
    </w:rPr>
  </w:style>
  <w:style w:type="numbering" w:customStyle="1" w:styleId="SEOLijstDash">
    <w:name w:val="SEO_LijstDash"/>
    <w:uiPriority w:val="99"/>
    <w:rsid w:val="0095088E"/>
    <w:pPr>
      <w:numPr>
        <w:numId w:val="39"/>
      </w:numPr>
    </w:pPr>
  </w:style>
  <w:style w:type="paragraph" w:customStyle="1" w:styleId="SEOTabelTitelBijlage">
    <w:name w:val="SEO_Tabel_Titel_Bijlage"/>
    <w:rsid w:val="0095088E"/>
    <w:pPr>
      <w:keepNext/>
      <w:keepLines/>
      <w:numPr>
        <w:ilvl w:val="2"/>
        <w:numId w:val="37"/>
      </w:numPr>
      <w:spacing w:before="240" w:after="120" w:line="288" w:lineRule="auto"/>
    </w:pPr>
    <w:rPr>
      <w:rFonts w:ascii="Avenir Next LT Pro" w:eastAsiaTheme="minorEastAsia" w:hAnsi="Avenir Next LT Pro"/>
      <w:color w:val="D22C2A"/>
      <w:sz w:val="20"/>
      <w:szCs w:val="20"/>
      <w:lang w:val="nl-NL"/>
    </w:rPr>
  </w:style>
  <w:style w:type="paragraph" w:customStyle="1" w:styleId="SEOFiguurBijlage">
    <w:name w:val="SEO_Figuur_Bijlage"/>
    <w:rsid w:val="0095088E"/>
    <w:pPr>
      <w:keepNext/>
      <w:keepLines/>
      <w:numPr>
        <w:ilvl w:val="3"/>
        <w:numId w:val="37"/>
      </w:numPr>
      <w:spacing w:before="240" w:after="120" w:line="288" w:lineRule="auto"/>
    </w:pPr>
    <w:rPr>
      <w:rFonts w:ascii="Avenir Next LT Pro" w:eastAsiaTheme="minorEastAsia" w:hAnsi="Avenir Next LT Pro"/>
      <w:color w:val="D22C2A"/>
      <w:sz w:val="20"/>
      <w:szCs w:val="20"/>
      <w:lang w:val="nl-NL"/>
    </w:rPr>
  </w:style>
  <w:style w:type="paragraph" w:customStyle="1" w:styleId="SEOBoxTitelBijlage">
    <w:name w:val="SEO_Box_Titel_Bijlage"/>
    <w:rsid w:val="0095088E"/>
    <w:pPr>
      <w:keepNext/>
      <w:keepLines/>
      <w:numPr>
        <w:ilvl w:val="4"/>
        <w:numId w:val="37"/>
      </w:numPr>
      <w:spacing w:before="240" w:after="120" w:line="288" w:lineRule="auto"/>
    </w:pPr>
    <w:rPr>
      <w:rFonts w:ascii="Avenir Next LT Pro" w:eastAsiaTheme="minorEastAsia" w:hAnsi="Avenir Next LT Pro"/>
      <w:color w:val="D22C2A"/>
      <w:sz w:val="20"/>
      <w:szCs w:val="20"/>
      <w:lang w:val="nl-NL"/>
    </w:rPr>
  </w:style>
  <w:style w:type="numbering" w:customStyle="1" w:styleId="SEOLijstBron">
    <w:name w:val="SEO_LijstBron"/>
    <w:uiPriority w:val="99"/>
    <w:rsid w:val="0095088E"/>
    <w:pPr>
      <w:numPr>
        <w:numId w:val="40"/>
      </w:numPr>
    </w:pPr>
  </w:style>
  <w:style w:type="paragraph" w:customStyle="1" w:styleId="SEOTitel">
    <w:name w:val="SEO_Titel"/>
    <w:semiHidden/>
    <w:qFormat/>
    <w:rsid w:val="0095088E"/>
    <w:pPr>
      <w:spacing w:after="0" w:line="240" w:lineRule="auto"/>
      <w:jc w:val="both"/>
    </w:pPr>
    <w:rPr>
      <w:rFonts w:ascii="Avenir Next LT Pro" w:eastAsiaTheme="minorEastAsia" w:hAnsi="Avenir Next LT Pro"/>
      <w:caps/>
      <w:color w:val="264249"/>
      <w:sz w:val="80"/>
      <w:szCs w:val="20"/>
      <w:lang w:val="nl-NL"/>
    </w:rPr>
  </w:style>
  <w:style w:type="paragraph" w:customStyle="1" w:styleId="SEOOndertitel">
    <w:name w:val="SEO_Ondertitel"/>
    <w:semiHidden/>
    <w:qFormat/>
    <w:rsid w:val="0095088E"/>
    <w:pPr>
      <w:spacing w:after="0" w:line="288" w:lineRule="auto"/>
    </w:pPr>
    <w:rPr>
      <w:rFonts w:ascii="Avenir Next LT Pro" w:eastAsiaTheme="minorEastAsia" w:hAnsi="Avenir Next LT Pro"/>
      <w:caps/>
      <w:color w:val="264249"/>
      <w:sz w:val="36"/>
      <w:szCs w:val="20"/>
      <w:lang w:val="nl-NL"/>
    </w:rPr>
  </w:style>
  <w:style w:type="paragraph" w:customStyle="1" w:styleId="SEODocument">
    <w:name w:val="SEO_Document"/>
    <w:semiHidden/>
    <w:qFormat/>
    <w:rsid w:val="0095088E"/>
    <w:pPr>
      <w:spacing w:after="0" w:line="288" w:lineRule="auto"/>
      <w:jc w:val="both"/>
    </w:pPr>
    <w:rPr>
      <w:rFonts w:ascii="Avenir Next LT Pro" w:eastAsiaTheme="minorEastAsia" w:hAnsi="Avenir Next LT Pro"/>
      <w:caps/>
      <w:color w:val="FFFFFF"/>
      <w:sz w:val="30"/>
      <w:szCs w:val="20"/>
      <w:lang w:val="nl-NL"/>
    </w:rPr>
  </w:style>
  <w:style w:type="paragraph" w:customStyle="1" w:styleId="SEOAuteurCaption">
    <w:name w:val="SEO_Auteur_Caption"/>
    <w:semiHidden/>
    <w:qFormat/>
    <w:rsid w:val="0095088E"/>
    <w:pPr>
      <w:spacing w:after="0" w:line="288" w:lineRule="auto"/>
      <w:jc w:val="both"/>
    </w:pPr>
    <w:rPr>
      <w:rFonts w:ascii="Avenir Next LT Pro" w:eastAsiaTheme="minorEastAsia" w:hAnsi="Avenir Next LT Pro"/>
      <w:b/>
      <w:caps/>
      <w:color w:val="FFFFFF"/>
      <w:sz w:val="20"/>
      <w:szCs w:val="20"/>
      <w:lang w:val="nl-NL"/>
    </w:rPr>
  </w:style>
  <w:style w:type="paragraph" w:customStyle="1" w:styleId="SEOAuteurText">
    <w:name w:val="SEO_Auteur_Text"/>
    <w:semiHidden/>
    <w:qFormat/>
    <w:rsid w:val="0095088E"/>
    <w:pPr>
      <w:spacing w:after="0" w:line="288" w:lineRule="auto"/>
      <w:jc w:val="both"/>
    </w:pPr>
    <w:rPr>
      <w:rFonts w:ascii="Avenir Next LT Pro" w:eastAsiaTheme="minorEastAsia" w:hAnsi="Avenir Next LT Pro"/>
      <w:caps/>
      <w:color w:val="FFFFFF"/>
      <w:sz w:val="20"/>
      <w:szCs w:val="20"/>
    </w:rPr>
  </w:style>
  <w:style w:type="paragraph" w:customStyle="1" w:styleId="SEOKoptekst">
    <w:name w:val="SEO_Koptekst"/>
    <w:semiHidden/>
    <w:qFormat/>
    <w:rsid w:val="0095088E"/>
    <w:pPr>
      <w:spacing w:after="0" w:line="288" w:lineRule="auto"/>
      <w:jc w:val="both"/>
    </w:pPr>
    <w:rPr>
      <w:rFonts w:ascii="Avenir Next LT Pro" w:eastAsiaTheme="minorEastAsia" w:hAnsi="Avenir Next LT Pro"/>
      <w:b/>
      <w:caps/>
      <w:color w:val="D22C2A"/>
      <w:sz w:val="20"/>
      <w:szCs w:val="20"/>
      <w:lang w:val="nl-NL"/>
    </w:rPr>
  </w:style>
  <w:style w:type="paragraph" w:customStyle="1" w:styleId="SEOAchterbladCaption">
    <w:name w:val="SEO_Achterblad_Caption"/>
    <w:semiHidden/>
    <w:qFormat/>
    <w:rsid w:val="0095088E"/>
    <w:pPr>
      <w:spacing w:after="560" w:line="300" w:lineRule="auto"/>
    </w:pPr>
    <w:rPr>
      <w:rFonts w:ascii="Avenir Next LT Pro" w:eastAsiaTheme="minorEastAsia" w:hAnsi="Avenir Next LT Pro"/>
      <w:b/>
      <w:color w:val="FFFFFF"/>
      <w:sz w:val="46"/>
      <w:szCs w:val="20"/>
      <w:lang w:val="nl-NL"/>
    </w:rPr>
  </w:style>
  <w:style w:type="paragraph" w:customStyle="1" w:styleId="SEOAchterbladText">
    <w:name w:val="SEO_Achterblad_Text"/>
    <w:semiHidden/>
    <w:qFormat/>
    <w:rsid w:val="0095088E"/>
    <w:pPr>
      <w:spacing w:after="0" w:line="336" w:lineRule="auto"/>
      <w:jc w:val="both"/>
    </w:pPr>
    <w:rPr>
      <w:rFonts w:ascii="Avenir Next LT Pro" w:eastAsiaTheme="minorEastAsia" w:hAnsi="Avenir Next LT Pro"/>
      <w:color w:val="FFFFFF"/>
      <w:sz w:val="20"/>
      <w:szCs w:val="20"/>
      <w:lang w:val="nl-NL"/>
    </w:rPr>
  </w:style>
  <w:style w:type="paragraph" w:customStyle="1" w:styleId="SEOColofonCaption">
    <w:name w:val="SEO_Colofon_Caption"/>
    <w:semiHidden/>
    <w:qFormat/>
    <w:rsid w:val="0095088E"/>
    <w:pPr>
      <w:spacing w:after="0" w:line="288" w:lineRule="auto"/>
      <w:jc w:val="both"/>
    </w:pPr>
    <w:rPr>
      <w:rFonts w:ascii="Avenir Next LT Pro" w:eastAsiaTheme="minorEastAsia" w:hAnsi="Avenir Next LT Pro"/>
      <w:b/>
      <w:color w:val="264249"/>
      <w:sz w:val="18"/>
      <w:szCs w:val="20"/>
      <w:lang w:val="nl-NL"/>
    </w:rPr>
  </w:style>
  <w:style w:type="paragraph" w:customStyle="1" w:styleId="SEOColofonText">
    <w:name w:val="SEO_Colofon_Text"/>
    <w:semiHidden/>
    <w:qFormat/>
    <w:rsid w:val="0095088E"/>
    <w:pPr>
      <w:spacing w:after="0" w:line="288" w:lineRule="auto"/>
      <w:jc w:val="both"/>
    </w:pPr>
    <w:rPr>
      <w:rFonts w:ascii="Avenir Next LT Pro" w:eastAsiaTheme="minorEastAsia" w:hAnsi="Avenir Next LT Pro"/>
      <w:color w:val="264249"/>
      <w:sz w:val="18"/>
      <w:szCs w:val="20"/>
      <w:lang w:val="nl-NL"/>
    </w:rPr>
  </w:style>
  <w:style w:type="paragraph" w:customStyle="1" w:styleId="SEOColofonCaptionWit">
    <w:name w:val="SEO_Colofon_Caption_Wit"/>
    <w:semiHidden/>
    <w:qFormat/>
    <w:rsid w:val="0095088E"/>
    <w:pPr>
      <w:spacing w:after="0" w:line="288" w:lineRule="auto"/>
      <w:jc w:val="both"/>
    </w:pPr>
    <w:rPr>
      <w:rFonts w:ascii="Avenir Next LT Pro" w:eastAsiaTheme="minorEastAsia" w:hAnsi="Avenir Next LT Pro"/>
      <w:b/>
      <w:color w:val="FFFFFF"/>
      <w:sz w:val="18"/>
      <w:szCs w:val="20"/>
      <w:lang w:val="nl-NL"/>
    </w:rPr>
  </w:style>
  <w:style w:type="paragraph" w:customStyle="1" w:styleId="SEOCaptionTextWit">
    <w:name w:val="SEO_Caption_Text_Wit"/>
    <w:semiHidden/>
    <w:qFormat/>
    <w:rsid w:val="0095088E"/>
    <w:pPr>
      <w:spacing w:after="0" w:line="288" w:lineRule="auto"/>
      <w:jc w:val="both"/>
    </w:pPr>
    <w:rPr>
      <w:rFonts w:ascii="Avenir Next LT Pro" w:eastAsiaTheme="minorEastAsia" w:hAnsi="Avenir Next LT Pro"/>
      <w:color w:val="FFFFFF"/>
      <w:sz w:val="18"/>
      <w:szCs w:val="20"/>
      <w:lang w:val="nl-NL"/>
    </w:rPr>
  </w:style>
  <w:style w:type="paragraph" w:customStyle="1" w:styleId="SEOVoettekst">
    <w:name w:val="SEO_Voettekst"/>
    <w:semiHidden/>
    <w:qFormat/>
    <w:rsid w:val="0095088E"/>
    <w:pPr>
      <w:spacing w:after="0" w:line="360" w:lineRule="auto"/>
      <w:jc w:val="both"/>
    </w:pPr>
    <w:rPr>
      <w:rFonts w:ascii="Avenir Next LT Pro" w:eastAsiaTheme="minorEastAsia" w:hAnsi="Avenir Next LT Pro"/>
      <w:color w:val="FFFFFF"/>
      <w:sz w:val="18"/>
      <w:szCs w:val="20"/>
      <w:lang w:val="nl-NL"/>
    </w:rPr>
  </w:style>
  <w:style w:type="paragraph" w:customStyle="1" w:styleId="SEOVoettekstTelnr">
    <w:name w:val="SEO_Voettekst_Telnr"/>
    <w:semiHidden/>
    <w:qFormat/>
    <w:rsid w:val="0095088E"/>
    <w:pPr>
      <w:spacing w:after="0" w:line="360" w:lineRule="auto"/>
      <w:jc w:val="both"/>
    </w:pPr>
    <w:rPr>
      <w:rFonts w:ascii="Avenir Next LT Pro" w:eastAsiaTheme="minorEastAsia" w:hAnsi="Avenir Next LT Pro"/>
      <w:b/>
      <w:color w:val="FFFFFF"/>
      <w:sz w:val="18"/>
      <w:szCs w:val="20"/>
      <w:lang w:val="nl-NL"/>
    </w:rPr>
  </w:style>
  <w:style w:type="paragraph" w:customStyle="1" w:styleId="SEOLiteratuur">
    <w:name w:val="SEO_Literatuur"/>
    <w:next w:val="SEOStandaard"/>
    <w:rsid w:val="0095088E"/>
    <w:pPr>
      <w:spacing w:after="0" w:line="288" w:lineRule="auto"/>
      <w:ind w:left="680" w:hanging="680"/>
    </w:pPr>
    <w:rPr>
      <w:rFonts w:ascii="Avenir Next LT Pro" w:eastAsiaTheme="minorEastAsia" w:hAnsi="Avenir Next LT Pro"/>
      <w:color w:val="264249"/>
      <w:sz w:val="20"/>
      <w:szCs w:val="20"/>
      <w:lang w:val="nl-NL"/>
    </w:rPr>
  </w:style>
  <w:style w:type="paragraph" w:customStyle="1" w:styleId="SEOGrafiektitel">
    <w:name w:val="SEO_Grafiektitel"/>
    <w:rsid w:val="0095088E"/>
    <w:pPr>
      <w:spacing w:after="0" w:line="240" w:lineRule="auto"/>
    </w:pPr>
    <w:rPr>
      <w:rFonts w:ascii="Avenir Next LT Pro" w:eastAsiaTheme="minorEastAsia" w:hAnsi="Avenir Next LT Pro"/>
      <w:color w:val="264249"/>
      <w:sz w:val="28"/>
      <w:szCs w:val="20"/>
      <w:lang w:val="nl-NL"/>
    </w:rPr>
  </w:style>
  <w:style w:type="paragraph" w:customStyle="1" w:styleId="SEOGrafiekAstitel">
    <w:name w:val="SEO_Grafiek_Astitel"/>
    <w:rsid w:val="0095088E"/>
    <w:pPr>
      <w:spacing w:after="0" w:line="240" w:lineRule="auto"/>
    </w:pPr>
    <w:rPr>
      <w:rFonts w:ascii="Avenir Next LT Pro" w:eastAsiaTheme="minorEastAsia" w:hAnsi="Avenir Next LT Pro"/>
      <w:color w:val="264249"/>
      <w:sz w:val="18"/>
      <w:szCs w:val="20"/>
      <w:lang w:val="nl-NL"/>
    </w:rPr>
  </w:style>
  <w:style w:type="paragraph" w:customStyle="1" w:styleId="SEOHandelsgegevens">
    <w:name w:val="SEO_Handelsgegevens"/>
    <w:semiHidden/>
    <w:qFormat/>
    <w:rsid w:val="0095088E"/>
    <w:pPr>
      <w:spacing w:after="0" w:line="288" w:lineRule="auto"/>
      <w:jc w:val="center"/>
    </w:pPr>
    <w:rPr>
      <w:rFonts w:ascii="Avenir Next LT Pro" w:eastAsiaTheme="minorEastAsia" w:hAnsi="Avenir Next LT Pro"/>
      <w:color w:val="FFFFFF"/>
      <w:sz w:val="18"/>
      <w:szCs w:val="20"/>
      <w:lang w:val="nl-NL"/>
    </w:rPr>
  </w:style>
  <w:style w:type="table" w:customStyle="1" w:styleId="SEOTabel1">
    <w:name w:val="SEO_Tabel_1"/>
    <w:basedOn w:val="Standaardtabel"/>
    <w:uiPriority w:val="99"/>
    <w:rsid w:val="0095088E"/>
    <w:pPr>
      <w:spacing w:after="0" w:line="240" w:lineRule="auto"/>
    </w:pPr>
    <w:rPr>
      <w:rFonts w:ascii="Avenir Next LT Pro" w:eastAsiaTheme="minorEastAsia" w:hAnsi="Avenir Next LT Pro"/>
      <w:color w:val="264249"/>
      <w:sz w:val="20"/>
      <w:szCs w:val="20"/>
      <w:lang w:val="nl-NL"/>
    </w:rPr>
    <w:tblPr>
      <w:tblBorders>
        <w:bottom w:val="single" w:sz="12" w:space="0" w:color="264249"/>
      </w:tblBorders>
      <w:tblCellMar>
        <w:top w:w="57" w:type="dxa"/>
        <w:bottom w:w="57" w:type="dxa"/>
      </w:tblCellMar>
    </w:tblPr>
    <w:tcPr>
      <w:shd w:val="clear" w:color="auto" w:fill="auto"/>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left"/>
        <w:outlineLvl w:val="9"/>
      </w:pPr>
      <w:rPr>
        <w:rFonts w:ascii="Open Sans Light" w:hAnsi="Open Sans Light"/>
        <w:b/>
        <w:caps w:val="0"/>
        <w:smallCaps w:val="0"/>
        <w:strike w:val="0"/>
        <w:dstrike w:val="0"/>
        <w:vanish w:val="0"/>
        <w:color w:val="FFFFFF"/>
        <w:spacing w:val="0"/>
        <w:w w:val="100"/>
        <w:kern w:val="0"/>
        <w:position w:val="0"/>
        <w:sz w:val="20"/>
        <w:u w:val="none"/>
        <w:vertAlign w:val="baseline"/>
        <w14:ligatures w14:val="none"/>
        <w14:numForm w14:val="default"/>
        <w14:numSpacing w14:val="default"/>
        <w14:stylisticSets/>
        <w14:cntxtAlts w14:val="0"/>
      </w:rPr>
      <w:tblPr/>
      <w:tcPr>
        <w:shd w:val="clear" w:color="auto" w:fill="264249"/>
      </w:tcPr>
    </w:tblStylePr>
    <w:tblStylePr w:type="la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left"/>
        <w:outlineLvl w:val="9"/>
      </w:pPr>
      <w:rPr>
        <w:rFonts w:ascii="Open Sans Light" w:hAnsi="Open Sans Light"/>
        <w:b/>
        <w:caps w:val="0"/>
        <w:smallCaps w:val="0"/>
        <w:strike w:val="0"/>
        <w:dstrike w:val="0"/>
        <w:vanish w:val="0"/>
        <w:color w:val="264249"/>
        <w:spacing w:val="0"/>
        <w:w w:val="100"/>
        <w:kern w:val="0"/>
        <w:position w:val="0"/>
        <w:sz w:val="20"/>
        <w:u w:val="none"/>
        <w:vertAlign w:val="baseline"/>
        <w14:ligatures w14:val="none"/>
        <w14:numForm w14:val="default"/>
        <w14:numSpacing w14:val="default"/>
        <w14:stylisticSets/>
        <w14:cntxtAlts w14:val="0"/>
      </w:rPr>
      <w:tblPr/>
      <w:tcPr>
        <w:tcBorders>
          <w:top w:val="single" w:sz="8" w:space="0" w:color="264249"/>
          <w:left w:val="nil"/>
          <w:bottom w:val="single" w:sz="12" w:space="0" w:color="264249"/>
          <w:right w:val="nil"/>
          <w:insideH w:val="nil"/>
          <w:insideV w:val="nil"/>
          <w:tl2br w:val="nil"/>
          <w:tr2bl w:val="nil"/>
        </w:tcBorders>
        <w:shd w:val="clear" w:color="auto" w:fill="FDED75"/>
      </w:tcPr>
    </w:tblStylePr>
    <w:tblStylePr w:type="firstCol">
      <w:rPr>
        <w:rFonts w:ascii="Open Sans Light" w:hAnsi="Open Sans Light"/>
        <w:caps w:val="0"/>
        <w:smallCaps w:val="0"/>
        <w:strike w:val="0"/>
        <w:dstrike w:val="0"/>
        <w:vanish w:val="0"/>
        <w:color w:val="264249"/>
        <w:spacing w:val="0"/>
        <w:w w:val="100"/>
        <w:kern w:val="0"/>
        <w:position w:val="0"/>
        <w:sz w:val="20"/>
        <w:u w:val="none"/>
        <w:vertAlign w:val="baseline"/>
        <w14:ligatures w14:val="none"/>
        <w14:numForm w14:val="default"/>
        <w14:numSpacing w14:val="default"/>
        <w14:stylisticSets/>
        <w14:cntxtAlts w14:val="0"/>
      </w:rPr>
    </w:tblStylePr>
  </w:style>
  <w:style w:type="table" w:customStyle="1" w:styleId="SEOBox">
    <w:name w:val="SEO_Box"/>
    <w:basedOn w:val="Standaardtabel"/>
    <w:uiPriority w:val="99"/>
    <w:rsid w:val="0095088E"/>
    <w:pPr>
      <w:spacing w:after="0" w:line="240" w:lineRule="auto"/>
    </w:pPr>
    <w:rPr>
      <w:rFonts w:ascii="Avenir Next LT Pro" w:eastAsiaTheme="minorEastAsia" w:hAnsi="Avenir Next LT Pro"/>
      <w:color w:val="FFFFFF"/>
      <w:sz w:val="20"/>
      <w:szCs w:val="20"/>
      <w:lang w:val="nl-NL"/>
    </w:rPr>
    <w:tblPr>
      <w:tblCellMar>
        <w:top w:w="170" w:type="dxa"/>
        <w:left w:w="284" w:type="dxa"/>
        <w:bottom w:w="170" w:type="dxa"/>
        <w:right w:w="284" w:type="dxa"/>
      </w:tblCellMar>
    </w:tblPr>
    <w:tcPr>
      <w:shd w:val="clear" w:color="auto" w:fill="264249"/>
    </w:tcPr>
    <w:tblStylePr w:type="firstRow">
      <w:rPr>
        <w:rFonts w:ascii="Open Sans Light" w:hAnsi="Open Sans Light"/>
        <w:b w:val="0"/>
        <w:i w:val="0"/>
        <w:caps w:val="0"/>
        <w:smallCaps w:val="0"/>
        <w:strike w:val="0"/>
        <w:dstrike w:val="0"/>
        <w:vanish w:val="0"/>
        <w:color w:val="FFFFFF"/>
        <w:spacing w:val="0"/>
        <w:w w:val="100"/>
        <w:kern w:val="0"/>
        <w:position w:val="0"/>
        <w:sz w:val="20"/>
        <w:u w:val="none"/>
        <w:vertAlign w:val="baseline"/>
        <w14:ligatures w14:val="none"/>
        <w14:numForm w14:val="default"/>
        <w14:numSpacing w14:val="default"/>
        <w14:stylisticSets/>
        <w14:cntxtAlts w14:val="0"/>
      </w:rPr>
    </w:tblStylePr>
    <w:tblStylePr w:type="lastRow">
      <w:rPr>
        <w:rFonts w:ascii="Open Sans Light" w:hAnsi="Open Sans Light"/>
        <w:b w:val="0"/>
        <w:i w:val="0"/>
        <w:caps w:val="0"/>
        <w:smallCaps w:val="0"/>
        <w:strike w:val="0"/>
        <w:dstrike w:val="0"/>
        <w:vanish w:val="0"/>
        <w:color w:val="FFFFFF"/>
        <w:spacing w:val="0"/>
        <w:w w:val="100"/>
        <w:kern w:val="0"/>
        <w:position w:val="0"/>
        <w:sz w:val="20"/>
        <w:u w:val="none"/>
        <w:vertAlign w:val="baseline"/>
        <w14:ligatures w14:val="none"/>
        <w14:numForm w14:val="default"/>
        <w14:numSpacing w14:val="default"/>
        <w14:stylisticSets/>
        <w14:cntxtAlts w14:val="0"/>
      </w:rPr>
    </w:tblStylePr>
    <w:tblStylePr w:type="firstCol">
      <w:rPr>
        <w:rFonts w:ascii="Open Sans Light" w:hAnsi="Open Sans Light"/>
        <w:b w:val="0"/>
        <w:i w:val="0"/>
        <w:caps w:val="0"/>
        <w:smallCaps w:val="0"/>
        <w:strike w:val="0"/>
        <w:dstrike w:val="0"/>
        <w:vanish w:val="0"/>
        <w:color w:val="FFFFFF"/>
        <w:spacing w:val="0"/>
        <w:w w:val="100"/>
        <w:kern w:val="0"/>
        <w:position w:val="0"/>
        <w:sz w:val="20"/>
        <w:u w:val="none"/>
        <w:vertAlign w:val="baseline"/>
        <w14:ligatures w14:val="none"/>
        <w14:numForm w14:val="default"/>
        <w14:numSpacing w14:val="default"/>
        <w14:stylisticSets/>
        <w14:cntxtAlts w14:val="0"/>
      </w:rPr>
    </w:tblStylePr>
  </w:style>
  <w:style w:type="paragraph" w:customStyle="1" w:styleId="SEOBoxText">
    <w:name w:val="SEO_Box_Text"/>
    <w:rsid w:val="0095088E"/>
    <w:pPr>
      <w:spacing w:after="0" w:line="240" w:lineRule="auto"/>
      <w:jc w:val="both"/>
    </w:pPr>
    <w:rPr>
      <w:rFonts w:ascii="Avenir Next LT Pro" w:eastAsiaTheme="minorEastAsia" w:hAnsi="Avenir Next LT Pro"/>
      <w:color w:val="FFFFFF"/>
      <w:sz w:val="18"/>
      <w:szCs w:val="20"/>
      <w:lang w:val="nl-NL"/>
    </w:rPr>
  </w:style>
  <w:style w:type="paragraph" w:customStyle="1" w:styleId="SEOBoxOpsommingBulletL1">
    <w:name w:val="SEO_Box_OpsommingBulletL1"/>
    <w:basedOn w:val="SEOStandaard"/>
    <w:rsid w:val="0095088E"/>
    <w:pPr>
      <w:numPr>
        <w:ilvl w:val="1"/>
        <w:numId w:val="41"/>
      </w:numPr>
    </w:pPr>
    <w:rPr>
      <w:color w:val="FFFFFF" w:themeColor="background1"/>
      <w:sz w:val="18"/>
    </w:rPr>
  </w:style>
  <w:style w:type="paragraph" w:customStyle="1" w:styleId="SEOBoxOpsommingBulletL2">
    <w:name w:val="SEO_Box_OpsommingBulletL2"/>
    <w:semiHidden/>
    <w:qFormat/>
    <w:rsid w:val="0095088E"/>
    <w:pPr>
      <w:numPr>
        <w:ilvl w:val="2"/>
        <w:numId w:val="41"/>
      </w:numPr>
      <w:spacing w:after="0" w:line="288" w:lineRule="auto"/>
      <w:jc w:val="both"/>
    </w:pPr>
    <w:rPr>
      <w:rFonts w:ascii="Avenir Next LT Pro" w:eastAsiaTheme="minorEastAsia" w:hAnsi="Avenir Next LT Pro"/>
      <w:color w:val="FFFFFF" w:themeColor="background1"/>
      <w:sz w:val="18"/>
      <w:szCs w:val="20"/>
      <w:lang w:val="nl-NL"/>
    </w:rPr>
  </w:style>
  <w:style w:type="paragraph" w:customStyle="1" w:styleId="SEOBoxOpsommingBulletL3">
    <w:name w:val="SEO_Box_OpsommingBulletL3"/>
    <w:semiHidden/>
    <w:qFormat/>
    <w:rsid w:val="0095088E"/>
    <w:pPr>
      <w:numPr>
        <w:ilvl w:val="3"/>
        <w:numId w:val="41"/>
      </w:numPr>
      <w:spacing w:after="0" w:line="288" w:lineRule="auto"/>
      <w:jc w:val="both"/>
    </w:pPr>
    <w:rPr>
      <w:rFonts w:ascii="Avenir Next LT Pro" w:eastAsiaTheme="minorEastAsia" w:hAnsi="Avenir Next LT Pro"/>
      <w:color w:val="FFFFFF" w:themeColor="background1"/>
      <w:sz w:val="18"/>
      <w:szCs w:val="20"/>
      <w:lang w:val="nl-NL"/>
    </w:rPr>
  </w:style>
  <w:style w:type="paragraph" w:customStyle="1" w:styleId="SEOBoxOpsommingBulletL4">
    <w:name w:val="SEO_Box_OpsommingBulletL4"/>
    <w:semiHidden/>
    <w:qFormat/>
    <w:rsid w:val="0095088E"/>
    <w:pPr>
      <w:numPr>
        <w:ilvl w:val="4"/>
        <w:numId w:val="41"/>
      </w:numPr>
      <w:spacing w:after="0" w:line="288" w:lineRule="auto"/>
      <w:jc w:val="both"/>
    </w:pPr>
    <w:rPr>
      <w:rFonts w:ascii="Avenir Next LT Pro" w:eastAsiaTheme="minorEastAsia" w:hAnsi="Avenir Next LT Pro"/>
      <w:color w:val="FFFFFF" w:themeColor="background1"/>
      <w:sz w:val="18"/>
      <w:szCs w:val="20"/>
      <w:lang w:val="nl-NL"/>
    </w:rPr>
  </w:style>
  <w:style w:type="paragraph" w:customStyle="1" w:styleId="SEOBoxTextB">
    <w:name w:val="SEO_Box_TextB"/>
    <w:next w:val="SEOBoxText"/>
    <w:semiHidden/>
    <w:rsid w:val="0095088E"/>
    <w:pPr>
      <w:numPr>
        <w:numId w:val="41"/>
      </w:numPr>
      <w:spacing w:after="0" w:line="240" w:lineRule="auto"/>
      <w:jc w:val="both"/>
    </w:pPr>
    <w:rPr>
      <w:rFonts w:ascii="Avenir Next LT Pro" w:eastAsiaTheme="minorEastAsia" w:hAnsi="Avenir Next LT Pro"/>
      <w:color w:val="FFFFFF" w:themeColor="background1"/>
      <w:sz w:val="18"/>
      <w:szCs w:val="20"/>
      <w:lang w:val="nl-NL"/>
    </w:rPr>
  </w:style>
  <w:style w:type="paragraph" w:customStyle="1" w:styleId="SEOBoxTextD">
    <w:name w:val="SEO_Box_TextD"/>
    <w:next w:val="SEOBoxText"/>
    <w:semiHidden/>
    <w:rsid w:val="0095088E"/>
    <w:pPr>
      <w:numPr>
        <w:numId w:val="42"/>
      </w:numPr>
      <w:spacing w:after="0" w:line="240" w:lineRule="auto"/>
      <w:jc w:val="both"/>
    </w:pPr>
    <w:rPr>
      <w:rFonts w:ascii="Avenir Next LT Pro" w:eastAsiaTheme="minorEastAsia" w:hAnsi="Avenir Next LT Pro"/>
      <w:color w:val="FFFFFF" w:themeColor="background1"/>
      <w:sz w:val="18"/>
      <w:szCs w:val="20"/>
      <w:lang w:val="nl-NL"/>
    </w:rPr>
  </w:style>
  <w:style w:type="paragraph" w:customStyle="1" w:styleId="SEOBoxTextL">
    <w:name w:val="SEO_Box_TextL"/>
    <w:next w:val="SEOBoxText"/>
    <w:semiHidden/>
    <w:rsid w:val="0095088E"/>
    <w:pPr>
      <w:numPr>
        <w:numId w:val="43"/>
      </w:numPr>
      <w:spacing w:after="0" w:line="240" w:lineRule="auto"/>
      <w:jc w:val="both"/>
    </w:pPr>
    <w:rPr>
      <w:rFonts w:ascii="Avenir Next LT Pro" w:eastAsiaTheme="minorEastAsia" w:hAnsi="Avenir Next LT Pro"/>
      <w:color w:val="FFFFFF" w:themeColor="background1"/>
      <w:sz w:val="18"/>
      <w:szCs w:val="20"/>
      <w:lang w:val="nl-NL"/>
    </w:rPr>
  </w:style>
  <w:style w:type="paragraph" w:customStyle="1" w:styleId="SEOBoxTextN">
    <w:name w:val="SEO_Box_TextN"/>
    <w:next w:val="SEOBoxText"/>
    <w:semiHidden/>
    <w:rsid w:val="0095088E"/>
    <w:pPr>
      <w:numPr>
        <w:numId w:val="44"/>
      </w:numPr>
      <w:spacing w:after="0" w:line="240" w:lineRule="auto"/>
      <w:jc w:val="both"/>
    </w:pPr>
    <w:rPr>
      <w:rFonts w:ascii="Avenir Next LT Pro" w:eastAsiaTheme="minorEastAsia" w:hAnsi="Avenir Next LT Pro"/>
      <w:color w:val="FFFFFF" w:themeColor="background1"/>
      <w:sz w:val="18"/>
      <w:szCs w:val="20"/>
      <w:lang w:val="nl-NL"/>
    </w:rPr>
  </w:style>
  <w:style w:type="numbering" w:customStyle="1" w:styleId="SEOLijstBoxBullet">
    <w:name w:val="SEO_LijstBoxBullet"/>
    <w:uiPriority w:val="99"/>
    <w:rsid w:val="0095088E"/>
    <w:pPr>
      <w:numPr>
        <w:numId w:val="41"/>
      </w:numPr>
    </w:pPr>
  </w:style>
  <w:style w:type="paragraph" w:customStyle="1" w:styleId="SEOBoxOpsommingDashL1">
    <w:name w:val="SEO_Box_OpsommingDashL1"/>
    <w:rsid w:val="0095088E"/>
    <w:pPr>
      <w:numPr>
        <w:ilvl w:val="1"/>
        <w:numId w:val="42"/>
      </w:numPr>
      <w:spacing w:after="0" w:line="288" w:lineRule="auto"/>
      <w:jc w:val="both"/>
    </w:pPr>
    <w:rPr>
      <w:rFonts w:ascii="Avenir Next LT Pro" w:eastAsiaTheme="minorEastAsia" w:hAnsi="Avenir Next LT Pro"/>
      <w:color w:val="FFFFFF" w:themeColor="background1"/>
      <w:sz w:val="18"/>
      <w:szCs w:val="20"/>
      <w:lang w:val="nl-NL"/>
    </w:rPr>
  </w:style>
  <w:style w:type="paragraph" w:customStyle="1" w:styleId="SEOBoxOpsommingDashL2">
    <w:name w:val="SEO_Box_OpsommingDashL2"/>
    <w:semiHidden/>
    <w:rsid w:val="0095088E"/>
    <w:pPr>
      <w:numPr>
        <w:ilvl w:val="2"/>
        <w:numId w:val="42"/>
      </w:numPr>
      <w:spacing w:after="0" w:line="288" w:lineRule="auto"/>
      <w:jc w:val="both"/>
    </w:pPr>
    <w:rPr>
      <w:rFonts w:ascii="Avenir Next LT Pro" w:eastAsiaTheme="minorEastAsia" w:hAnsi="Avenir Next LT Pro"/>
      <w:color w:val="FFFFFF" w:themeColor="background1"/>
      <w:sz w:val="18"/>
      <w:szCs w:val="20"/>
      <w:lang w:val="nl-NL"/>
    </w:rPr>
  </w:style>
  <w:style w:type="paragraph" w:customStyle="1" w:styleId="SEOBoxOpsommingDashL3">
    <w:name w:val="SEO_Box_OpsommingDashL3"/>
    <w:semiHidden/>
    <w:rsid w:val="0095088E"/>
    <w:pPr>
      <w:numPr>
        <w:ilvl w:val="3"/>
        <w:numId w:val="42"/>
      </w:numPr>
      <w:spacing w:after="0" w:line="288" w:lineRule="auto"/>
      <w:jc w:val="both"/>
    </w:pPr>
    <w:rPr>
      <w:rFonts w:ascii="Avenir Next LT Pro" w:eastAsiaTheme="minorEastAsia" w:hAnsi="Avenir Next LT Pro"/>
      <w:color w:val="FFFFFF" w:themeColor="background1"/>
      <w:sz w:val="18"/>
      <w:szCs w:val="20"/>
      <w:lang w:val="nl-NL"/>
    </w:rPr>
  </w:style>
  <w:style w:type="paragraph" w:customStyle="1" w:styleId="SEOBoxOpsommingDashL4">
    <w:name w:val="SEO_Box_OpsommingDashL4"/>
    <w:semiHidden/>
    <w:rsid w:val="0095088E"/>
    <w:pPr>
      <w:numPr>
        <w:ilvl w:val="4"/>
        <w:numId w:val="42"/>
      </w:numPr>
      <w:spacing w:after="0" w:line="288" w:lineRule="auto"/>
    </w:pPr>
    <w:rPr>
      <w:rFonts w:ascii="Avenir Next LT Pro" w:eastAsiaTheme="minorEastAsia" w:hAnsi="Avenir Next LT Pro"/>
      <w:color w:val="FFFFFF" w:themeColor="background1"/>
      <w:sz w:val="18"/>
      <w:szCs w:val="20"/>
      <w:lang w:val="nl-NL"/>
    </w:rPr>
  </w:style>
  <w:style w:type="numbering" w:customStyle="1" w:styleId="SEOLijstBoxDash">
    <w:name w:val="SEO_LijstBoxDash"/>
    <w:uiPriority w:val="99"/>
    <w:rsid w:val="0095088E"/>
    <w:pPr>
      <w:numPr>
        <w:numId w:val="42"/>
      </w:numPr>
    </w:pPr>
  </w:style>
  <w:style w:type="paragraph" w:customStyle="1" w:styleId="SEOBoxOpsommingLetterL1">
    <w:name w:val="SEO_Box_OpsommingLetterL1"/>
    <w:rsid w:val="0095088E"/>
    <w:pPr>
      <w:numPr>
        <w:ilvl w:val="1"/>
        <w:numId w:val="43"/>
      </w:numPr>
      <w:spacing w:after="0" w:line="288" w:lineRule="auto"/>
      <w:jc w:val="both"/>
    </w:pPr>
    <w:rPr>
      <w:rFonts w:ascii="Avenir Next LT Pro" w:eastAsiaTheme="minorEastAsia" w:hAnsi="Avenir Next LT Pro"/>
      <w:color w:val="FFFFFF" w:themeColor="background1"/>
      <w:sz w:val="18"/>
      <w:szCs w:val="20"/>
      <w:lang w:val="nl-NL"/>
    </w:rPr>
  </w:style>
  <w:style w:type="paragraph" w:customStyle="1" w:styleId="SEOBoxOpsommingLetterL2">
    <w:name w:val="SEO_Box_OpsommingLetterL2"/>
    <w:semiHidden/>
    <w:rsid w:val="0095088E"/>
    <w:pPr>
      <w:numPr>
        <w:ilvl w:val="2"/>
        <w:numId w:val="43"/>
      </w:numPr>
      <w:spacing w:after="0" w:line="288" w:lineRule="auto"/>
      <w:jc w:val="both"/>
    </w:pPr>
    <w:rPr>
      <w:rFonts w:ascii="Avenir Next LT Pro" w:eastAsiaTheme="minorEastAsia" w:hAnsi="Avenir Next LT Pro"/>
      <w:color w:val="FFFFFF" w:themeColor="background1"/>
      <w:sz w:val="18"/>
      <w:szCs w:val="20"/>
      <w:lang w:val="nl-NL"/>
    </w:rPr>
  </w:style>
  <w:style w:type="paragraph" w:customStyle="1" w:styleId="SEOBoxOpsommingLetterL3">
    <w:name w:val="SEO_Box_OpsommingLetterL3"/>
    <w:semiHidden/>
    <w:rsid w:val="0095088E"/>
    <w:pPr>
      <w:numPr>
        <w:ilvl w:val="3"/>
        <w:numId w:val="43"/>
      </w:numPr>
      <w:spacing w:after="0" w:line="288" w:lineRule="auto"/>
      <w:jc w:val="both"/>
    </w:pPr>
    <w:rPr>
      <w:rFonts w:ascii="Avenir Next LT Pro" w:eastAsiaTheme="minorEastAsia" w:hAnsi="Avenir Next LT Pro"/>
      <w:color w:val="FFFFFF" w:themeColor="background1"/>
      <w:sz w:val="18"/>
      <w:szCs w:val="20"/>
      <w:lang w:val="nl-NL"/>
    </w:rPr>
  </w:style>
  <w:style w:type="numbering" w:customStyle="1" w:styleId="SEOLijstBoxLetter">
    <w:name w:val="SEO_LijstBoxLetter"/>
    <w:uiPriority w:val="99"/>
    <w:rsid w:val="0095088E"/>
    <w:pPr>
      <w:numPr>
        <w:numId w:val="43"/>
      </w:numPr>
    </w:pPr>
  </w:style>
  <w:style w:type="paragraph" w:customStyle="1" w:styleId="SEOBoxOpsommingNummerL1">
    <w:name w:val="SEO_Box_OpsommingNummerL1"/>
    <w:rsid w:val="0095088E"/>
    <w:pPr>
      <w:numPr>
        <w:ilvl w:val="1"/>
        <w:numId w:val="44"/>
      </w:numPr>
      <w:spacing w:after="0" w:line="288" w:lineRule="auto"/>
      <w:jc w:val="both"/>
    </w:pPr>
    <w:rPr>
      <w:rFonts w:ascii="Avenir Next LT Pro" w:eastAsiaTheme="minorEastAsia" w:hAnsi="Avenir Next LT Pro"/>
      <w:color w:val="FFFFFF" w:themeColor="background1"/>
      <w:sz w:val="18"/>
      <w:szCs w:val="20"/>
      <w:lang w:val="nl-NL"/>
    </w:rPr>
  </w:style>
  <w:style w:type="paragraph" w:customStyle="1" w:styleId="SEOBoxOpsommingNummerL2">
    <w:name w:val="SEO_Box_OpsommingNummerL2"/>
    <w:semiHidden/>
    <w:rsid w:val="0095088E"/>
    <w:pPr>
      <w:numPr>
        <w:ilvl w:val="2"/>
        <w:numId w:val="44"/>
      </w:numPr>
      <w:spacing w:after="0" w:line="288" w:lineRule="auto"/>
      <w:jc w:val="both"/>
    </w:pPr>
    <w:rPr>
      <w:rFonts w:ascii="Avenir Next LT Pro" w:eastAsiaTheme="minorEastAsia" w:hAnsi="Avenir Next LT Pro"/>
      <w:color w:val="FFFFFF" w:themeColor="background1"/>
      <w:sz w:val="18"/>
      <w:szCs w:val="20"/>
      <w:lang w:val="nl-NL"/>
    </w:rPr>
  </w:style>
  <w:style w:type="paragraph" w:customStyle="1" w:styleId="SEOBoxOpsommingNummerL3">
    <w:name w:val="SEO_Box_OpsommingNummerL3"/>
    <w:semiHidden/>
    <w:rsid w:val="0095088E"/>
    <w:pPr>
      <w:numPr>
        <w:ilvl w:val="3"/>
        <w:numId w:val="44"/>
      </w:numPr>
      <w:spacing w:after="0" w:line="288" w:lineRule="auto"/>
      <w:jc w:val="both"/>
    </w:pPr>
    <w:rPr>
      <w:rFonts w:ascii="Avenir Next LT Pro" w:eastAsiaTheme="minorEastAsia" w:hAnsi="Avenir Next LT Pro"/>
      <w:color w:val="FFFFFF" w:themeColor="background1"/>
      <w:sz w:val="18"/>
      <w:szCs w:val="20"/>
      <w:lang w:val="nl-NL"/>
    </w:rPr>
  </w:style>
  <w:style w:type="numbering" w:customStyle="1" w:styleId="SEOLijstBoxNummer">
    <w:name w:val="SEO_LijstBoxNummer"/>
    <w:uiPriority w:val="99"/>
    <w:rsid w:val="0095088E"/>
    <w:pPr>
      <w:numPr>
        <w:numId w:val="44"/>
      </w:numPr>
    </w:pPr>
  </w:style>
  <w:style w:type="paragraph" w:customStyle="1" w:styleId="SEOFu">
    <w:name w:val="SEO_Fu"/>
    <w:basedOn w:val="SEOStandaard"/>
    <w:rsid w:val="0095088E"/>
    <w:pPr>
      <w:numPr>
        <w:numId w:val="0"/>
      </w:numPr>
      <w:tabs>
        <w:tab w:val="left" w:pos="4337"/>
      </w:tabs>
    </w:pPr>
  </w:style>
  <w:style w:type="character" w:customStyle="1" w:styleId="cf01">
    <w:name w:val="cf01"/>
    <w:basedOn w:val="Standaardalinea-lettertype"/>
    <w:rsid w:val="00B52D66"/>
    <w:rPr>
      <w:rFonts w:ascii="Segoe UI" w:hAnsi="Segoe UI" w:cs="Segoe UI" w:hint="default"/>
      <w:sz w:val="18"/>
      <w:szCs w:val="18"/>
    </w:rPr>
  </w:style>
  <w:style w:type="paragraph" w:styleId="Inhopg6">
    <w:name w:val="toc 6"/>
    <w:basedOn w:val="Standaard"/>
    <w:next w:val="Standaard"/>
    <w:autoRedefine/>
    <w:uiPriority w:val="39"/>
    <w:unhideWhenUsed/>
    <w:rsid w:val="00C43FA5"/>
    <w:pPr>
      <w:spacing w:after="100" w:line="278" w:lineRule="auto"/>
      <w:ind w:left="1200"/>
    </w:pPr>
    <w:rPr>
      <w:rFonts w:asciiTheme="minorHAnsi" w:eastAsiaTheme="minorEastAsia" w:hAnsiTheme="minorHAnsi" w:cstheme="minorBidi"/>
      <w:kern w:val="2"/>
      <w:sz w:val="24"/>
      <w14:ligatures w14:val="standardContextual"/>
    </w:rPr>
  </w:style>
  <w:style w:type="paragraph" w:styleId="Inhopg7">
    <w:name w:val="toc 7"/>
    <w:basedOn w:val="Standaard"/>
    <w:next w:val="Standaard"/>
    <w:autoRedefine/>
    <w:uiPriority w:val="39"/>
    <w:unhideWhenUsed/>
    <w:rsid w:val="00C43FA5"/>
    <w:pPr>
      <w:spacing w:after="100" w:line="278" w:lineRule="auto"/>
      <w:ind w:left="1440"/>
    </w:pPr>
    <w:rPr>
      <w:rFonts w:asciiTheme="minorHAnsi" w:eastAsiaTheme="minorEastAsia" w:hAnsiTheme="minorHAnsi" w:cstheme="minorBidi"/>
      <w:kern w:val="2"/>
      <w:sz w:val="24"/>
      <w14:ligatures w14:val="standardContextual"/>
    </w:rPr>
  </w:style>
  <w:style w:type="paragraph" w:styleId="Inhopg8">
    <w:name w:val="toc 8"/>
    <w:basedOn w:val="Standaard"/>
    <w:next w:val="Standaard"/>
    <w:autoRedefine/>
    <w:uiPriority w:val="39"/>
    <w:unhideWhenUsed/>
    <w:rsid w:val="00C43FA5"/>
    <w:pPr>
      <w:spacing w:after="100" w:line="278" w:lineRule="auto"/>
      <w:ind w:left="1680"/>
    </w:pPr>
    <w:rPr>
      <w:rFonts w:asciiTheme="minorHAnsi" w:eastAsiaTheme="minorEastAsia" w:hAnsiTheme="minorHAnsi" w:cstheme="minorBidi"/>
      <w:kern w:val="2"/>
      <w:sz w:val="24"/>
      <w14:ligatures w14:val="standardContextual"/>
    </w:rPr>
  </w:style>
  <w:style w:type="paragraph" w:styleId="Inhopg9">
    <w:name w:val="toc 9"/>
    <w:basedOn w:val="Standaard"/>
    <w:next w:val="Standaard"/>
    <w:autoRedefine/>
    <w:uiPriority w:val="39"/>
    <w:unhideWhenUsed/>
    <w:rsid w:val="00C43FA5"/>
    <w:pPr>
      <w:spacing w:after="100" w:line="278" w:lineRule="auto"/>
      <w:ind w:left="1920"/>
    </w:pPr>
    <w:rPr>
      <w:rFonts w:asciiTheme="minorHAnsi" w:eastAsiaTheme="minorEastAsia" w:hAnsiTheme="minorHAnsi" w:cstheme="minorBidi"/>
      <w:kern w:val="2"/>
      <w:sz w:val="24"/>
      <w14:ligatures w14:val="standardContextual"/>
    </w:rPr>
  </w:style>
  <w:style w:type="paragraph" w:customStyle="1" w:styleId="paragraph">
    <w:name w:val="paragraph"/>
    <w:basedOn w:val="Standaard"/>
    <w:rsid w:val="005D1BDB"/>
    <w:pPr>
      <w:spacing w:before="100" w:beforeAutospacing="1" w:after="100" w:afterAutospacing="1" w:line="240" w:lineRule="auto"/>
    </w:pPr>
    <w:rPr>
      <w:rFonts w:ascii="Times New Roman" w:hAnsi="Times New Roman"/>
      <w:sz w:val="24"/>
    </w:rPr>
  </w:style>
  <w:style w:type="character" w:customStyle="1" w:styleId="normaltextrun">
    <w:name w:val="normaltextrun"/>
    <w:basedOn w:val="Standaardalinea-lettertype"/>
    <w:rsid w:val="005D1BDB"/>
  </w:style>
  <w:style w:type="character" w:customStyle="1" w:styleId="eop">
    <w:name w:val="eop"/>
    <w:basedOn w:val="Standaardalinea-lettertype"/>
    <w:rsid w:val="005D1BDB"/>
  </w:style>
  <w:style w:type="character" w:customStyle="1" w:styleId="pagebreaktextspan">
    <w:name w:val="pagebreaktextspan"/>
    <w:basedOn w:val="Standaardalinea-lettertype"/>
    <w:rsid w:val="005D1BDB"/>
  </w:style>
  <w:style w:type="table" w:styleId="Rastertabel1licht">
    <w:name w:val="Grid Table 1 Light"/>
    <w:basedOn w:val="Standaardtabel"/>
    <w:uiPriority w:val="46"/>
    <w:rsid w:val="004D179C"/>
    <w:pPr>
      <w:spacing w:after="0" w:line="240" w:lineRule="auto"/>
    </w:pPr>
    <w:rPr>
      <w:kern w:val="2"/>
      <w:lang w:val="nl-NL"/>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Onopgemaaktetabel2">
    <w:name w:val="Plain Table 2"/>
    <w:basedOn w:val="Standaardtabel"/>
    <w:uiPriority w:val="42"/>
    <w:rsid w:val="004D179C"/>
    <w:pPr>
      <w:spacing w:after="0" w:line="240" w:lineRule="auto"/>
    </w:pPr>
    <w:rPr>
      <w:kern w:val="2"/>
      <w:lang w:val="nl-NL"/>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15169">
      <w:bodyDiv w:val="1"/>
      <w:marLeft w:val="0"/>
      <w:marRight w:val="0"/>
      <w:marTop w:val="0"/>
      <w:marBottom w:val="0"/>
      <w:divBdr>
        <w:top w:val="none" w:sz="0" w:space="0" w:color="auto"/>
        <w:left w:val="none" w:sz="0" w:space="0" w:color="auto"/>
        <w:bottom w:val="none" w:sz="0" w:space="0" w:color="auto"/>
        <w:right w:val="none" w:sz="0" w:space="0" w:color="auto"/>
      </w:divBdr>
    </w:div>
    <w:div w:id="89205453">
      <w:bodyDiv w:val="1"/>
      <w:marLeft w:val="0"/>
      <w:marRight w:val="0"/>
      <w:marTop w:val="0"/>
      <w:marBottom w:val="0"/>
      <w:divBdr>
        <w:top w:val="none" w:sz="0" w:space="0" w:color="auto"/>
        <w:left w:val="none" w:sz="0" w:space="0" w:color="auto"/>
        <w:bottom w:val="none" w:sz="0" w:space="0" w:color="auto"/>
        <w:right w:val="none" w:sz="0" w:space="0" w:color="auto"/>
      </w:divBdr>
    </w:div>
    <w:div w:id="107166730">
      <w:bodyDiv w:val="1"/>
      <w:marLeft w:val="0"/>
      <w:marRight w:val="0"/>
      <w:marTop w:val="0"/>
      <w:marBottom w:val="0"/>
      <w:divBdr>
        <w:top w:val="none" w:sz="0" w:space="0" w:color="auto"/>
        <w:left w:val="none" w:sz="0" w:space="0" w:color="auto"/>
        <w:bottom w:val="none" w:sz="0" w:space="0" w:color="auto"/>
        <w:right w:val="none" w:sz="0" w:space="0" w:color="auto"/>
      </w:divBdr>
    </w:div>
    <w:div w:id="134639061">
      <w:bodyDiv w:val="1"/>
      <w:marLeft w:val="0"/>
      <w:marRight w:val="0"/>
      <w:marTop w:val="0"/>
      <w:marBottom w:val="0"/>
      <w:divBdr>
        <w:top w:val="none" w:sz="0" w:space="0" w:color="auto"/>
        <w:left w:val="none" w:sz="0" w:space="0" w:color="auto"/>
        <w:bottom w:val="none" w:sz="0" w:space="0" w:color="auto"/>
        <w:right w:val="none" w:sz="0" w:space="0" w:color="auto"/>
      </w:divBdr>
      <w:divsChild>
        <w:div w:id="1843011002">
          <w:marLeft w:val="0"/>
          <w:marRight w:val="0"/>
          <w:marTop w:val="0"/>
          <w:marBottom w:val="0"/>
          <w:divBdr>
            <w:top w:val="none" w:sz="0" w:space="0" w:color="auto"/>
            <w:left w:val="none" w:sz="0" w:space="0" w:color="auto"/>
            <w:bottom w:val="none" w:sz="0" w:space="0" w:color="auto"/>
            <w:right w:val="none" w:sz="0" w:space="0" w:color="auto"/>
          </w:divBdr>
          <w:divsChild>
            <w:div w:id="99885975">
              <w:marLeft w:val="0"/>
              <w:marRight w:val="0"/>
              <w:marTop w:val="0"/>
              <w:marBottom w:val="0"/>
              <w:divBdr>
                <w:top w:val="none" w:sz="0" w:space="0" w:color="auto"/>
                <w:left w:val="none" w:sz="0" w:space="0" w:color="auto"/>
                <w:bottom w:val="none" w:sz="0" w:space="0" w:color="auto"/>
                <w:right w:val="none" w:sz="0" w:space="0" w:color="auto"/>
              </w:divBdr>
              <w:divsChild>
                <w:div w:id="766267551">
                  <w:marLeft w:val="0"/>
                  <w:marRight w:val="0"/>
                  <w:marTop w:val="0"/>
                  <w:marBottom w:val="0"/>
                  <w:divBdr>
                    <w:top w:val="none" w:sz="0" w:space="0" w:color="auto"/>
                    <w:left w:val="none" w:sz="0" w:space="0" w:color="auto"/>
                    <w:bottom w:val="none" w:sz="0" w:space="0" w:color="auto"/>
                    <w:right w:val="none" w:sz="0" w:space="0" w:color="auto"/>
                  </w:divBdr>
                  <w:divsChild>
                    <w:div w:id="157735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91663">
      <w:bodyDiv w:val="1"/>
      <w:marLeft w:val="0"/>
      <w:marRight w:val="0"/>
      <w:marTop w:val="0"/>
      <w:marBottom w:val="0"/>
      <w:divBdr>
        <w:top w:val="none" w:sz="0" w:space="0" w:color="auto"/>
        <w:left w:val="none" w:sz="0" w:space="0" w:color="auto"/>
        <w:bottom w:val="none" w:sz="0" w:space="0" w:color="auto"/>
        <w:right w:val="none" w:sz="0" w:space="0" w:color="auto"/>
      </w:divBdr>
    </w:div>
    <w:div w:id="220754988">
      <w:bodyDiv w:val="1"/>
      <w:marLeft w:val="0"/>
      <w:marRight w:val="0"/>
      <w:marTop w:val="0"/>
      <w:marBottom w:val="0"/>
      <w:divBdr>
        <w:top w:val="none" w:sz="0" w:space="0" w:color="auto"/>
        <w:left w:val="none" w:sz="0" w:space="0" w:color="auto"/>
        <w:bottom w:val="none" w:sz="0" w:space="0" w:color="auto"/>
        <w:right w:val="none" w:sz="0" w:space="0" w:color="auto"/>
      </w:divBdr>
      <w:divsChild>
        <w:div w:id="2064139035">
          <w:marLeft w:val="0"/>
          <w:marRight w:val="0"/>
          <w:marTop w:val="0"/>
          <w:marBottom w:val="0"/>
          <w:divBdr>
            <w:top w:val="none" w:sz="0" w:space="0" w:color="auto"/>
            <w:left w:val="none" w:sz="0" w:space="0" w:color="auto"/>
            <w:bottom w:val="none" w:sz="0" w:space="0" w:color="auto"/>
            <w:right w:val="none" w:sz="0" w:space="0" w:color="auto"/>
          </w:divBdr>
          <w:divsChild>
            <w:div w:id="1326015208">
              <w:marLeft w:val="0"/>
              <w:marRight w:val="0"/>
              <w:marTop w:val="0"/>
              <w:marBottom w:val="0"/>
              <w:divBdr>
                <w:top w:val="none" w:sz="0" w:space="0" w:color="auto"/>
                <w:left w:val="none" w:sz="0" w:space="0" w:color="auto"/>
                <w:bottom w:val="none" w:sz="0" w:space="0" w:color="auto"/>
                <w:right w:val="none" w:sz="0" w:space="0" w:color="auto"/>
              </w:divBdr>
              <w:divsChild>
                <w:div w:id="718474006">
                  <w:marLeft w:val="0"/>
                  <w:marRight w:val="0"/>
                  <w:marTop w:val="0"/>
                  <w:marBottom w:val="0"/>
                  <w:divBdr>
                    <w:top w:val="none" w:sz="0" w:space="0" w:color="auto"/>
                    <w:left w:val="none" w:sz="0" w:space="0" w:color="auto"/>
                    <w:bottom w:val="none" w:sz="0" w:space="0" w:color="auto"/>
                    <w:right w:val="none" w:sz="0" w:space="0" w:color="auto"/>
                  </w:divBdr>
                  <w:divsChild>
                    <w:div w:id="11893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438673">
      <w:bodyDiv w:val="1"/>
      <w:marLeft w:val="0"/>
      <w:marRight w:val="0"/>
      <w:marTop w:val="0"/>
      <w:marBottom w:val="0"/>
      <w:divBdr>
        <w:top w:val="none" w:sz="0" w:space="0" w:color="auto"/>
        <w:left w:val="none" w:sz="0" w:space="0" w:color="auto"/>
        <w:bottom w:val="none" w:sz="0" w:space="0" w:color="auto"/>
        <w:right w:val="none" w:sz="0" w:space="0" w:color="auto"/>
      </w:divBdr>
    </w:div>
    <w:div w:id="353456918">
      <w:bodyDiv w:val="1"/>
      <w:marLeft w:val="0"/>
      <w:marRight w:val="0"/>
      <w:marTop w:val="0"/>
      <w:marBottom w:val="0"/>
      <w:divBdr>
        <w:top w:val="none" w:sz="0" w:space="0" w:color="auto"/>
        <w:left w:val="none" w:sz="0" w:space="0" w:color="auto"/>
        <w:bottom w:val="none" w:sz="0" w:space="0" w:color="auto"/>
        <w:right w:val="none" w:sz="0" w:space="0" w:color="auto"/>
      </w:divBdr>
    </w:div>
    <w:div w:id="459611058">
      <w:bodyDiv w:val="1"/>
      <w:marLeft w:val="0"/>
      <w:marRight w:val="0"/>
      <w:marTop w:val="0"/>
      <w:marBottom w:val="0"/>
      <w:divBdr>
        <w:top w:val="none" w:sz="0" w:space="0" w:color="auto"/>
        <w:left w:val="none" w:sz="0" w:space="0" w:color="auto"/>
        <w:bottom w:val="none" w:sz="0" w:space="0" w:color="auto"/>
        <w:right w:val="none" w:sz="0" w:space="0" w:color="auto"/>
      </w:divBdr>
    </w:div>
    <w:div w:id="542401722">
      <w:bodyDiv w:val="1"/>
      <w:marLeft w:val="0"/>
      <w:marRight w:val="0"/>
      <w:marTop w:val="0"/>
      <w:marBottom w:val="0"/>
      <w:divBdr>
        <w:top w:val="none" w:sz="0" w:space="0" w:color="auto"/>
        <w:left w:val="none" w:sz="0" w:space="0" w:color="auto"/>
        <w:bottom w:val="none" w:sz="0" w:space="0" w:color="auto"/>
        <w:right w:val="none" w:sz="0" w:space="0" w:color="auto"/>
      </w:divBdr>
    </w:div>
    <w:div w:id="641083887">
      <w:bodyDiv w:val="1"/>
      <w:marLeft w:val="0"/>
      <w:marRight w:val="0"/>
      <w:marTop w:val="0"/>
      <w:marBottom w:val="0"/>
      <w:divBdr>
        <w:top w:val="none" w:sz="0" w:space="0" w:color="auto"/>
        <w:left w:val="none" w:sz="0" w:space="0" w:color="auto"/>
        <w:bottom w:val="none" w:sz="0" w:space="0" w:color="auto"/>
        <w:right w:val="none" w:sz="0" w:space="0" w:color="auto"/>
      </w:divBdr>
    </w:div>
    <w:div w:id="681053045">
      <w:bodyDiv w:val="1"/>
      <w:marLeft w:val="0"/>
      <w:marRight w:val="0"/>
      <w:marTop w:val="0"/>
      <w:marBottom w:val="0"/>
      <w:divBdr>
        <w:top w:val="none" w:sz="0" w:space="0" w:color="auto"/>
        <w:left w:val="none" w:sz="0" w:space="0" w:color="auto"/>
        <w:bottom w:val="none" w:sz="0" w:space="0" w:color="auto"/>
        <w:right w:val="none" w:sz="0" w:space="0" w:color="auto"/>
      </w:divBdr>
    </w:div>
    <w:div w:id="707074329">
      <w:bodyDiv w:val="1"/>
      <w:marLeft w:val="0"/>
      <w:marRight w:val="0"/>
      <w:marTop w:val="0"/>
      <w:marBottom w:val="0"/>
      <w:divBdr>
        <w:top w:val="none" w:sz="0" w:space="0" w:color="auto"/>
        <w:left w:val="none" w:sz="0" w:space="0" w:color="auto"/>
        <w:bottom w:val="none" w:sz="0" w:space="0" w:color="auto"/>
        <w:right w:val="none" w:sz="0" w:space="0" w:color="auto"/>
      </w:divBdr>
    </w:div>
    <w:div w:id="779179175">
      <w:bodyDiv w:val="1"/>
      <w:marLeft w:val="0"/>
      <w:marRight w:val="0"/>
      <w:marTop w:val="0"/>
      <w:marBottom w:val="0"/>
      <w:divBdr>
        <w:top w:val="none" w:sz="0" w:space="0" w:color="auto"/>
        <w:left w:val="none" w:sz="0" w:space="0" w:color="auto"/>
        <w:bottom w:val="none" w:sz="0" w:space="0" w:color="auto"/>
        <w:right w:val="none" w:sz="0" w:space="0" w:color="auto"/>
      </w:divBdr>
    </w:div>
    <w:div w:id="808136978">
      <w:bodyDiv w:val="1"/>
      <w:marLeft w:val="0"/>
      <w:marRight w:val="0"/>
      <w:marTop w:val="0"/>
      <w:marBottom w:val="0"/>
      <w:divBdr>
        <w:top w:val="none" w:sz="0" w:space="0" w:color="auto"/>
        <w:left w:val="none" w:sz="0" w:space="0" w:color="auto"/>
        <w:bottom w:val="none" w:sz="0" w:space="0" w:color="auto"/>
        <w:right w:val="none" w:sz="0" w:space="0" w:color="auto"/>
      </w:divBdr>
    </w:div>
    <w:div w:id="975646241">
      <w:bodyDiv w:val="1"/>
      <w:marLeft w:val="0"/>
      <w:marRight w:val="0"/>
      <w:marTop w:val="0"/>
      <w:marBottom w:val="0"/>
      <w:divBdr>
        <w:top w:val="none" w:sz="0" w:space="0" w:color="auto"/>
        <w:left w:val="none" w:sz="0" w:space="0" w:color="auto"/>
        <w:bottom w:val="none" w:sz="0" w:space="0" w:color="auto"/>
        <w:right w:val="none" w:sz="0" w:space="0" w:color="auto"/>
      </w:divBdr>
    </w:div>
    <w:div w:id="1021126922">
      <w:bodyDiv w:val="1"/>
      <w:marLeft w:val="0"/>
      <w:marRight w:val="0"/>
      <w:marTop w:val="0"/>
      <w:marBottom w:val="0"/>
      <w:divBdr>
        <w:top w:val="none" w:sz="0" w:space="0" w:color="auto"/>
        <w:left w:val="none" w:sz="0" w:space="0" w:color="auto"/>
        <w:bottom w:val="none" w:sz="0" w:space="0" w:color="auto"/>
        <w:right w:val="none" w:sz="0" w:space="0" w:color="auto"/>
      </w:divBdr>
    </w:div>
    <w:div w:id="1024940424">
      <w:bodyDiv w:val="1"/>
      <w:marLeft w:val="0"/>
      <w:marRight w:val="0"/>
      <w:marTop w:val="0"/>
      <w:marBottom w:val="0"/>
      <w:divBdr>
        <w:top w:val="none" w:sz="0" w:space="0" w:color="auto"/>
        <w:left w:val="none" w:sz="0" w:space="0" w:color="auto"/>
        <w:bottom w:val="none" w:sz="0" w:space="0" w:color="auto"/>
        <w:right w:val="none" w:sz="0" w:space="0" w:color="auto"/>
      </w:divBdr>
    </w:div>
    <w:div w:id="1032612149">
      <w:bodyDiv w:val="1"/>
      <w:marLeft w:val="0"/>
      <w:marRight w:val="0"/>
      <w:marTop w:val="0"/>
      <w:marBottom w:val="0"/>
      <w:divBdr>
        <w:top w:val="none" w:sz="0" w:space="0" w:color="auto"/>
        <w:left w:val="none" w:sz="0" w:space="0" w:color="auto"/>
        <w:bottom w:val="none" w:sz="0" w:space="0" w:color="auto"/>
        <w:right w:val="none" w:sz="0" w:space="0" w:color="auto"/>
      </w:divBdr>
    </w:div>
    <w:div w:id="1149202910">
      <w:bodyDiv w:val="1"/>
      <w:marLeft w:val="0"/>
      <w:marRight w:val="0"/>
      <w:marTop w:val="0"/>
      <w:marBottom w:val="0"/>
      <w:divBdr>
        <w:top w:val="none" w:sz="0" w:space="0" w:color="auto"/>
        <w:left w:val="none" w:sz="0" w:space="0" w:color="auto"/>
        <w:bottom w:val="none" w:sz="0" w:space="0" w:color="auto"/>
        <w:right w:val="none" w:sz="0" w:space="0" w:color="auto"/>
      </w:divBdr>
    </w:div>
    <w:div w:id="1166361213">
      <w:bodyDiv w:val="1"/>
      <w:marLeft w:val="0"/>
      <w:marRight w:val="0"/>
      <w:marTop w:val="0"/>
      <w:marBottom w:val="0"/>
      <w:divBdr>
        <w:top w:val="none" w:sz="0" w:space="0" w:color="auto"/>
        <w:left w:val="none" w:sz="0" w:space="0" w:color="auto"/>
        <w:bottom w:val="none" w:sz="0" w:space="0" w:color="auto"/>
        <w:right w:val="none" w:sz="0" w:space="0" w:color="auto"/>
      </w:divBdr>
    </w:div>
    <w:div w:id="1212300950">
      <w:bodyDiv w:val="1"/>
      <w:marLeft w:val="0"/>
      <w:marRight w:val="0"/>
      <w:marTop w:val="0"/>
      <w:marBottom w:val="0"/>
      <w:divBdr>
        <w:top w:val="none" w:sz="0" w:space="0" w:color="auto"/>
        <w:left w:val="none" w:sz="0" w:space="0" w:color="auto"/>
        <w:bottom w:val="none" w:sz="0" w:space="0" w:color="auto"/>
        <w:right w:val="none" w:sz="0" w:space="0" w:color="auto"/>
      </w:divBdr>
    </w:div>
    <w:div w:id="1212883373">
      <w:bodyDiv w:val="1"/>
      <w:marLeft w:val="0"/>
      <w:marRight w:val="0"/>
      <w:marTop w:val="0"/>
      <w:marBottom w:val="0"/>
      <w:divBdr>
        <w:top w:val="none" w:sz="0" w:space="0" w:color="auto"/>
        <w:left w:val="none" w:sz="0" w:space="0" w:color="auto"/>
        <w:bottom w:val="none" w:sz="0" w:space="0" w:color="auto"/>
        <w:right w:val="none" w:sz="0" w:space="0" w:color="auto"/>
      </w:divBdr>
    </w:div>
    <w:div w:id="1233270329">
      <w:bodyDiv w:val="1"/>
      <w:marLeft w:val="0"/>
      <w:marRight w:val="0"/>
      <w:marTop w:val="0"/>
      <w:marBottom w:val="0"/>
      <w:divBdr>
        <w:top w:val="none" w:sz="0" w:space="0" w:color="auto"/>
        <w:left w:val="none" w:sz="0" w:space="0" w:color="auto"/>
        <w:bottom w:val="none" w:sz="0" w:space="0" w:color="auto"/>
        <w:right w:val="none" w:sz="0" w:space="0" w:color="auto"/>
      </w:divBdr>
    </w:div>
    <w:div w:id="1373535217">
      <w:bodyDiv w:val="1"/>
      <w:marLeft w:val="0"/>
      <w:marRight w:val="0"/>
      <w:marTop w:val="0"/>
      <w:marBottom w:val="0"/>
      <w:divBdr>
        <w:top w:val="none" w:sz="0" w:space="0" w:color="auto"/>
        <w:left w:val="none" w:sz="0" w:space="0" w:color="auto"/>
        <w:bottom w:val="none" w:sz="0" w:space="0" w:color="auto"/>
        <w:right w:val="none" w:sz="0" w:space="0" w:color="auto"/>
      </w:divBdr>
    </w:div>
    <w:div w:id="1433162714">
      <w:bodyDiv w:val="1"/>
      <w:marLeft w:val="0"/>
      <w:marRight w:val="0"/>
      <w:marTop w:val="0"/>
      <w:marBottom w:val="0"/>
      <w:divBdr>
        <w:top w:val="none" w:sz="0" w:space="0" w:color="auto"/>
        <w:left w:val="none" w:sz="0" w:space="0" w:color="auto"/>
        <w:bottom w:val="none" w:sz="0" w:space="0" w:color="auto"/>
        <w:right w:val="none" w:sz="0" w:space="0" w:color="auto"/>
      </w:divBdr>
    </w:div>
    <w:div w:id="1573927246">
      <w:bodyDiv w:val="1"/>
      <w:marLeft w:val="0"/>
      <w:marRight w:val="0"/>
      <w:marTop w:val="0"/>
      <w:marBottom w:val="0"/>
      <w:divBdr>
        <w:top w:val="none" w:sz="0" w:space="0" w:color="auto"/>
        <w:left w:val="none" w:sz="0" w:space="0" w:color="auto"/>
        <w:bottom w:val="none" w:sz="0" w:space="0" w:color="auto"/>
        <w:right w:val="none" w:sz="0" w:space="0" w:color="auto"/>
      </w:divBdr>
    </w:div>
    <w:div w:id="1870100816">
      <w:bodyDiv w:val="1"/>
      <w:marLeft w:val="0"/>
      <w:marRight w:val="0"/>
      <w:marTop w:val="0"/>
      <w:marBottom w:val="0"/>
      <w:divBdr>
        <w:top w:val="none" w:sz="0" w:space="0" w:color="auto"/>
        <w:left w:val="none" w:sz="0" w:space="0" w:color="auto"/>
        <w:bottom w:val="none" w:sz="0" w:space="0" w:color="auto"/>
        <w:right w:val="none" w:sz="0" w:space="0" w:color="auto"/>
      </w:divBdr>
    </w:div>
    <w:div w:id="1887403912">
      <w:bodyDiv w:val="1"/>
      <w:marLeft w:val="0"/>
      <w:marRight w:val="0"/>
      <w:marTop w:val="0"/>
      <w:marBottom w:val="0"/>
      <w:divBdr>
        <w:top w:val="none" w:sz="0" w:space="0" w:color="auto"/>
        <w:left w:val="none" w:sz="0" w:space="0" w:color="auto"/>
        <w:bottom w:val="none" w:sz="0" w:space="0" w:color="auto"/>
        <w:right w:val="none" w:sz="0" w:space="0" w:color="auto"/>
      </w:divBdr>
    </w:div>
    <w:div w:id="1946502482">
      <w:bodyDiv w:val="1"/>
      <w:marLeft w:val="0"/>
      <w:marRight w:val="0"/>
      <w:marTop w:val="0"/>
      <w:marBottom w:val="0"/>
      <w:divBdr>
        <w:top w:val="none" w:sz="0" w:space="0" w:color="auto"/>
        <w:left w:val="none" w:sz="0" w:space="0" w:color="auto"/>
        <w:bottom w:val="none" w:sz="0" w:space="0" w:color="auto"/>
        <w:right w:val="none" w:sz="0" w:space="0" w:color="auto"/>
      </w:divBdr>
    </w:div>
    <w:div w:id="2062099053">
      <w:bodyDiv w:val="1"/>
      <w:marLeft w:val="0"/>
      <w:marRight w:val="0"/>
      <w:marTop w:val="0"/>
      <w:marBottom w:val="0"/>
      <w:divBdr>
        <w:top w:val="none" w:sz="0" w:space="0" w:color="auto"/>
        <w:left w:val="none" w:sz="0" w:space="0" w:color="auto"/>
        <w:bottom w:val="none" w:sz="0" w:space="0" w:color="auto"/>
        <w:right w:val="none" w:sz="0" w:space="0" w:color="auto"/>
      </w:divBdr>
    </w:div>
    <w:div w:id="2095276864">
      <w:bodyDiv w:val="1"/>
      <w:marLeft w:val="0"/>
      <w:marRight w:val="0"/>
      <w:marTop w:val="0"/>
      <w:marBottom w:val="0"/>
      <w:divBdr>
        <w:top w:val="none" w:sz="0" w:space="0" w:color="auto"/>
        <w:left w:val="none" w:sz="0" w:space="0" w:color="auto"/>
        <w:bottom w:val="none" w:sz="0" w:space="0" w:color="auto"/>
        <w:right w:val="none" w:sz="0" w:space="0" w:color="auto"/>
      </w:divBdr>
    </w:div>
    <w:div w:id="2130276299">
      <w:bodyDiv w:val="1"/>
      <w:marLeft w:val="0"/>
      <w:marRight w:val="0"/>
      <w:marTop w:val="0"/>
      <w:marBottom w:val="0"/>
      <w:divBdr>
        <w:top w:val="none" w:sz="0" w:space="0" w:color="auto"/>
        <w:left w:val="none" w:sz="0" w:space="0" w:color="auto"/>
        <w:bottom w:val="none" w:sz="0" w:space="0" w:color="auto"/>
        <w:right w:val="none" w:sz="0" w:space="0" w:color="auto"/>
      </w:divBdr>
    </w:div>
    <w:div w:id="213714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chart" Target="charts/chart5.xml" Id="rId26" /><Relationship Type="http://schemas.openxmlformats.org/officeDocument/2006/relationships/image" Target="media/image11.jpeg" Id="rId21" /><Relationship Type="http://schemas.openxmlformats.org/officeDocument/2006/relationships/chart" Target="charts/chart21.xml" Id="rId42" /><Relationship Type="http://schemas.openxmlformats.org/officeDocument/2006/relationships/chart" Target="charts/chart26.xml" Id="rId47" /><Relationship Type="http://schemas.openxmlformats.org/officeDocument/2006/relationships/chart" Target="charts/chart34.xml" Id="rId63" /><Relationship Type="http://schemas.openxmlformats.org/officeDocument/2006/relationships/chart" Target="charts/chart37.xml" Id="rId68" /><Relationship Type="http://schemas.openxmlformats.org/officeDocument/2006/relationships/chart" Target="charts/chart53.xml" Id="rId84" /><Relationship Type="http://schemas.openxmlformats.org/officeDocument/2006/relationships/chart" Target="charts/chart58.xml" Id="rId89" /><Relationship Type="http://schemas.openxmlformats.org/officeDocument/2006/relationships/image" Target="media/image6.jpeg" Id="rId16" /><Relationship Type="http://schemas.openxmlformats.org/officeDocument/2006/relationships/image" Target="media/image1.emf" Id="rId11" /><Relationship Type="http://schemas.openxmlformats.org/officeDocument/2006/relationships/chart" Target="charts/chart11.xml" Id="rId32" /><Relationship Type="http://schemas.openxmlformats.org/officeDocument/2006/relationships/chart" Target="charts/chart16.xml" Id="rId37" /><Relationship Type="http://schemas.openxmlformats.org/officeDocument/2006/relationships/image" Target="media/image12.png" Id="rId53" /><Relationship Type="http://schemas.openxmlformats.org/officeDocument/2006/relationships/footer" Target="footer1.xml" Id="rId58" /><Relationship Type="http://schemas.openxmlformats.org/officeDocument/2006/relationships/chart" Target="charts/chart43.xml" Id="rId74" /><Relationship Type="http://schemas.openxmlformats.org/officeDocument/2006/relationships/chart" Target="charts/chart48.xml" Id="rId79" /><Relationship Type="http://schemas.openxmlformats.org/officeDocument/2006/relationships/footer" Target="footer4.xml" Id="rId102" /><Relationship Type="http://schemas.openxmlformats.org/officeDocument/2006/relationships/numbering" Target="numbering.xml" Id="rId5" /><Relationship Type="http://schemas.openxmlformats.org/officeDocument/2006/relationships/chart" Target="charts/chart59.xml" Id="rId90" /><Relationship Type="http://schemas.openxmlformats.org/officeDocument/2006/relationships/chart" Target="charts/chart64.xml" Id="rId95" /><Relationship Type="http://schemas.openxmlformats.org/officeDocument/2006/relationships/chart" Target="charts/chart1.xml" Id="rId22" /><Relationship Type="http://schemas.openxmlformats.org/officeDocument/2006/relationships/chart" Target="charts/chart6.xml" Id="rId27" /><Relationship Type="http://schemas.openxmlformats.org/officeDocument/2006/relationships/chart" Target="charts/chart22.xml" Id="rId43" /><Relationship Type="http://schemas.openxmlformats.org/officeDocument/2006/relationships/chart" Target="charts/chart27.xml" Id="rId48" /><Relationship Type="http://schemas.openxmlformats.org/officeDocument/2006/relationships/image" Target="media/image14.png" Id="rId64" /><Relationship Type="http://schemas.openxmlformats.org/officeDocument/2006/relationships/chart" Target="charts/chart38.xml" Id="rId69" /><Relationship Type="http://schemas.openxmlformats.org/officeDocument/2006/relationships/chart" Target="charts/chart49.xml" Id="rId80" /><Relationship Type="http://schemas.openxmlformats.org/officeDocument/2006/relationships/chart" Target="charts/chart54.xml" Id="rId85" /><Relationship Type="http://schemas.openxmlformats.org/officeDocument/2006/relationships/image" Target="media/image2.jpeg" Id="rId12" /><Relationship Type="http://schemas.openxmlformats.org/officeDocument/2006/relationships/image" Target="media/image7.jpeg" Id="rId17" /><Relationship Type="http://schemas.openxmlformats.org/officeDocument/2006/relationships/chart" Target="charts/chart4.xml" Id="rId25" /><Relationship Type="http://schemas.openxmlformats.org/officeDocument/2006/relationships/chart" Target="charts/chart12.xml" Id="rId33" /><Relationship Type="http://schemas.openxmlformats.org/officeDocument/2006/relationships/chart" Target="charts/chart17.xml" Id="rId38" /><Relationship Type="http://schemas.openxmlformats.org/officeDocument/2006/relationships/chart" Target="charts/chart25.xml" Id="rId46" /><Relationship Type="http://schemas.openxmlformats.org/officeDocument/2006/relationships/footer" Target="footer2.xml" Id="rId59" /><Relationship Type="http://schemas.openxmlformats.org/officeDocument/2006/relationships/chart" Target="charts/chart36.xml" Id="rId67" /><Relationship Type="http://schemas.openxmlformats.org/officeDocument/2006/relationships/fontTable" Target="fontTable.xml" Id="rId103" /><Relationship Type="http://schemas.openxmlformats.org/officeDocument/2006/relationships/image" Target="media/image10.jpeg" Id="rId20" /><Relationship Type="http://schemas.openxmlformats.org/officeDocument/2006/relationships/chart" Target="charts/chart20.xml" Id="rId41" /><Relationship Type="http://schemas.openxmlformats.org/officeDocument/2006/relationships/chart" Target="charts/chart32.xml" Id="rId54" /><Relationship Type="http://schemas.openxmlformats.org/officeDocument/2006/relationships/image" Target="media/image13.png" Id="rId62" /><Relationship Type="http://schemas.openxmlformats.org/officeDocument/2006/relationships/chart" Target="charts/chart39.xml" Id="rId70" /><Relationship Type="http://schemas.openxmlformats.org/officeDocument/2006/relationships/chart" Target="charts/chart44.xml" Id="rId75" /><Relationship Type="http://schemas.openxmlformats.org/officeDocument/2006/relationships/chart" Target="charts/chart52.xml" Id="rId83" /><Relationship Type="http://schemas.openxmlformats.org/officeDocument/2006/relationships/chart" Target="charts/chart57.xml" Id="rId88" /><Relationship Type="http://schemas.openxmlformats.org/officeDocument/2006/relationships/chart" Target="charts/chart60.xml" Id="rId91" /><Relationship Type="http://schemas.openxmlformats.org/officeDocument/2006/relationships/chart" Target="charts/chart65.xml" Id="rId96" /><Relationship Type="http://schemas.openxmlformats.org/officeDocument/2006/relationships/styles" Target="styles.xml" Id="rId6" /><Relationship Type="http://schemas.openxmlformats.org/officeDocument/2006/relationships/image" Target="media/image5.jpeg" Id="rId15" /><Relationship Type="http://schemas.openxmlformats.org/officeDocument/2006/relationships/chart" Target="charts/chart2.xml" Id="rId23" /><Relationship Type="http://schemas.openxmlformats.org/officeDocument/2006/relationships/chart" Target="charts/chart7.xml" Id="rId28" /><Relationship Type="http://schemas.openxmlformats.org/officeDocument/2006/relationships/chart" Target="charts/chart15.xml" Id="rId36" /><Relationship Type="http://schemas.openxmlformats.org/officeDocument/2006/relationships/chart" Target="charts/chart28.xml" Id="rId49" /><Relationship Type="http://schemas.openxmlformats.org/officeDocument/2006/relationships/header" Target="header2.xml" Id="rId57" /><Relationship Type="http://schemas.openxmlformats.org/officeDocument/2006/relationships/endnotes" Target="endnotes.xml" Id="rId10" /><Relationship Type="http://schemas.openxmlformats.org/officeDocument/2006/relationships/chart" Target="charts/chart10.xml" Id="rId31" /><Relationship Type="http://schemas.openxmlformats.org/officeDocument/2006/relationships/chart" Target="charts/chart23.xml" Id="rId44" /><Relationship Type="http://schemas.openxmlformats.org/officeDocument/2006/relationships/chart" Target="charts/chart31.xml" Id="rId52" /><Relationship Type="http://schemas.openxmlformats.org/officeDocument/2006/relationships/header" Target="header3.xml" Id="rId60" /><Relationship Type="http://schemas.openxmlformats.org/officeDocument/2006/relationships/image" Target="media/image15.png" Id="rId65" /><Relationship Type="http://schemas.openxmlformats.org/officeDocument/2006/relationships/chart" Target="charts/chart42.xml" Id="rId73" /><Relationship Type="http://schemas.openxmlformats.org/officeDocument/2006/relationships/chart" Target="charts/chart47.xml" Id="rId78" /><Relationship Type="http://schemas.openxmlformats.org/officeDocument/2006/relationships/chart" Target="charts/chart50.xml" Id="rId81" /><Relationship Type="http://schemas.openxmlformats.org/officeDocument/2006/relationships/chart" Target="charts/chart55.xml" Id="rId86" /><Relationship Type="http://schemas.openxmlformats.org/officeDocument/2006/relationships/chart" Target="charts/chart63.xml" Id="rId94" /><Relationship Type="http://schemas.openxmlformats.org/officeDocument/2006/relationships/hyperlink" Target="https://open.overheid.nl/repository/ronl-9a7ebac9-db82-4242-81fd-4f8cd6ba3499/1/pdf/eerste-fase-sto-monitorgegevens-en-voortgang-in-het-eerste-jaar.pdf" TargetMode="External" Id="rId99" /><Relationship Type="http://schemas.openxmlformats.org/officeDocument/2006/relationships/hyperlink" Target="https://www.voion.nl/media/3723/docenten-gezocht-voor-sterk-techniekonderwijs-december-2020.pdf" TargetMode="External" Id="rId101" /><Relationship Type="http://schemas.openxmlformats.org/officeDocument/2006/relationships/footnotes" Target="footnotes.xml" Id="rId9" /><Relationship Type="http://schemas.openxmlformats.org/officeDocument/2006/relationships/image" Target="media/image3.jpeg" Id="rId13" /><Relationship Type="http://schemas.openxmlformats.org/officeDocument/2006/relationships/image" Target="media/image8.jpg" Id="rId18" /><Relationship Type="http://schemas.openxmlformats.org/officeDocument/2006/relationships/chart" Target="charts/chart18.xml" Id="rId39" /><Relationship Type="http://schemas.openxmlformats.org/officeDocument/2006/relationships/chart" Target="charts/chart13.xml" Id="rId34" /><Relationship Type="http://schemas.openxmlformats.org/officeDocument/2006/relationships/chart" Target="charts/chart29.xml" Id="rId50" /><Relationship Type="http://schemas.openxmlformats.org/officeDocument/2006/relationships/chart" Target="charts/chart33.xml" Id="rId55" /><Relationship Type="http://schemas.openxmlformats.org/officeDocument/2006/relationships/chart" Target="charts/chart45.xml" Id="rId76" /><Relationship Type="http://schemas.openxmlformats.org/officeDocument/2006/relationships/hyperlink" Target="https://doi.org/10.1207/s15326985ep4102_4" TargetMode="External" Id="rId97" /><Relationship Type="http://schemas.openxmlformats.org/officeDocument/2006/relationships/theme" Target="theme/theme1.xml" Id="rId104" /><Relationship Type="http://schemas.openxmlformats.org/officeDocument/2006/relationships/settings" Target="settings.xml" Id="rId7" /><Relationship Type="http://schemas.openxmlformats.org/officeDocument/2006/relationships/chart" Target="charts/chart40.xml" Id="rId71" /><Relationship Type="http://schemas.openxmlformats.org/officeDocument/2006/relationships/chart" Target="charts/chart61.xml" Id="rId92" /><Relationship Type="http://schemas.openxmlformats.org/officeDocument/2006/relationships/chart" Target="charts/chart8.xml" Id="rId29" /><Relationship Type="http://schemas.openxmlformats.org/officeDocument/2006/relationships/chart" Target="charts/chart3.xml" Id="rId24" /><Relationship Type="http://schemas.openxmlformats.org/officeDocument/2006/relationships/chart" Target="charts/chart19.xml" Id="rId40" /><Relationship Type="http://schemas.openxmlformats.org/officeDocument/2006/relationships/chart" Target="charts/chart24.xml" Id="rId45" /><Relationship Type="http://schemas.openxmlformats.org/officeDocument/2006/relationships/chart" Target="charts/chart35.xml" Id="rId66" /><Relationship Type="http://schemas.openxmlformats.org/officeDocument/2006/relationships/chart" Target="charts/chart56.xml" Id="rId87" /><Relationship Type="http://schemas.openxmlformats.org/officeDocument/2006/relationships/footer" Target="footer3.xml" Id="rId61" /><Relationship Type="http://schemas.openxmlformats.org/officeDocument/2006/relationships/chart" Target="charts/chart51.xml" Id="rId82" /><Relationship Type="http://schemas.openxmlformats.org/officeDocument/2006/relationships/image" Target="media/image9.jpeg" Id="rId19" /><Relationship Type="http://schemas.openxmlformats.org/officeDocument/2006/relationships/image" Target="media/image4.jpeg" Id="rId14" /><Relationship Type="http://schemas.openxmlformats.org/officeDocument/2006/relationships/chart" Target="charts/chart9.xml" Id="rId30" /><Relationship Type="http://schemas.openxmlformats.org/officeDocument/2006/relationships/chart" Target="charts/chart14.xml" Id="rId35" /><Relationship Type="http://schemas.openxmlformats.org/officeDocument/2006/relationships/header" Target="header1.xml" Id="rId56" /><Relationship Type="http://schemas.openxmlformats.org/officeDocument/2006/relationships/chart" Target="charts/chart46.xml" Id="rId77" /><Relationship Type="http://schemas.openxmlformats.org/officeDocument/2006/relationships/hyperlink" Target="https://doi.org/10.1037/0003-066X.55.1.68" TargetMode="External" Id="rId100" /><Relationship Type="http://schemas.openxmlformats.org/officeDocument/2006/relationships/webSettings" Target="webSettings.xml" Id="rId8" /><Relationship Type="http://schemas.openxmlformats.org/officeDocument/2006/relationships/chart" Target="charts/chart30.xml" Id="rId51" /><Relationship Type="http://schemas.openxmlformats.org/officeDocument/2006/relationships/chart" Target="charts/chart41.xml" Id="rId72" /><Relationship Type="http://schemas.openxmlformats.org/officeDocument/2006/relationships/chart" Target="charts/chart62.xml" Id="rId93" /><Relationship Type="http://schemas.openxmlformats.org/officeDocument/2006/relationships/hyperlink" Target="https://www.nro.nl/sites/nro/files/media-files/Monitor-Sterk-Techniekonderwijs-de-nulmeting.-Definitief.pdf" TargetMode="External" Id="rId98" /></Relationships>
</file>

<file path=word/_rels/footnotes.xml.rels><?xml version="1.0" encoding="UTF-8" standalone="yes"?>
<Relationships xmlns="http://schemas.openxmlformats.org/package/2006/relationships"><Relationship Id="rId3" Type="http://schemas.openxmlformats.org/officeDocument/2006/relationships/hyperlink" Target="https://www.s-bb.nl/organisatie/directie-en-bestuur/overlegtafels/sectorkamers-marktsegmenten/" TargetMode="External"/><Relationship Id="rId2" Type="http://schemas.openxmlformats.org/officeDocument/2006/relationships/hyperlink" Target="https://cris.maastrichtuniversity.nl/ws/portalfiles/portal/110375054/rapport_arbeidsmarktkrapte_technici.pdf" TargetMode="External"/><Relationship Id="rId1" Type="http://schemas.openxmlformats.org/officeDocument/2006/relationships/hyperlink" Target="https://open.overheid.nl/documenten/dpc-d6cf81732c5d482fe7bb432f23b1ee774e46c1b2/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kbanijmegen.sharepoint.com/sites/KBA/KBA%20%20Projecten/Projecten%20K-O/NRO-STO2%20K2024060/Werkmap/Eindrapport/04_Vragenlijst%20lesgevenden/Excel%20bestanden%20vragenlijst/Figuren%20lesgevenden.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srv-spss.ad.kbagroep.nl\KBA\Projecten\Projecten%20K-O\NRO-STO2%20K2024060\Leerlingvragenlijst\Output\techniekactiviteiten_metfiguur_2025070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srv-spss.ad.kbagroep.nl\KBA\Projecten\Projecten%20K-O\NRO-STO2%20K2024060\Leerlingvragenlijst\Output\techniekactiviteiten_metfiguur_2025070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srv-spss.ad.kbagroep.nl\KBA\Projecten\Projecten%20K-O\NRO-STO2%20K2024060\Leerlingvragenlijst\Output\technieklessen_2025070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srv-spss.ad.kbagroep.nl\KBA\Projecten\Projecten%20K-O\NRO-STO2%20K2024060\Leerlingvragenlijst\Output\technieklessen_metfiguur_2025070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srv-spss.ad.kbagroep.nl\KBA\Projecten\Projecten%20K-O\NRO-STO2%20K2024060\Leerlingvragenlijst\Output\techniekinteresse_20250702.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srv-spss.ad.kbagroep.nl\KBA\Projecten\Projecten%20K-O\NRO-STO2%20K2024060\Leerlingvragenlijst\Output\techniekinteresse_metextra_20250707.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srv-spss.ad.kbagroep.nl\KBA\Projecten\Projecten%20K-O\NRO-STO2%20K2024060\Leerlingvragenlijst\Output\Profielreden_metfiguur_20250708.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unimaas.nl\projects\SBE_ROA\OenB\18BZ025%20Monitoring%20en%20Evaluatie%20intensivering%20techniekonderwijs%20vmbo\Werkdocumenten\rapportage\STO%20Monitor%202025%20(sj%202023-24)\Figuren%20en%20tabellen\Fig%202.1_2.2%20aantal%20en%20aandeel%20lln%202015-2023%20v20250414.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unimaas.nl\projects\SBE_ROA\OenB\18BZ025%20Monitoring%20en%20Evaluatie%20intensivering%20techniekonderwijs%20vmbo\Werkdocumenten\rapportage\STO%20Monitor%202025%20(sj%202023-24)\fig%202.3%20aandeel%20techniek%20per%20STO%20regio,%202023.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unimaas.nl\projects\SBE_ROA\OenB\18BZ025%20Monitoring%20en%20Evaluatie%20intensivering%20techniekonderwijs%20vmbo\Werkdocumenten\rapportage\STO%20Monitor%202025%20(sj%202023-24)\Figuren%20en%20tabellen\fig%202.4%20aantal%203ejaartechnieklln%20per%20lw_STO%20regio,%202023%20v20250404.xlsx" TargetMode="Externa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chartUserShapes" Target="../drawings/drawing1.xml"/></Relationships>
</file>

<file path=word/charts/_rels/chart28.xml.rels><?xml version="1.0" encoding="UTF-8" standalone="yes"?>
<Relationships xmlns="http://schemas.openxmlformats.org/package/2006/relationships"><Relationship Id="rId3" Type="http://schemas.openxmlformats.org/officeDocument/2006/relationships/oleObject" Target="file:///\\unimaas.nl\projects\SBE_ROA\OenB\18BZ025%20Monitoring%20en%20Evaluatie%20intensivering%20techniekonderwijs%20vmbo\Werkdocumenten\rapportage\STO%20Monitor%202025%20(sj%202023-24)\Figuren%20en%20tabellen\fig%202.6%20groei_daling%20bbkb%20(niet)-tech%20STO%202023%20tov%202022%20v20250310.xlsx" TargetMode="Externa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chartUserShapes" Target="../drawings/drawing2.xml"/></Relationships>
</file>

<file path=word/charts/_rels/chart29.xml.rels><?xml version="1.0" encoding="UTF-8" standalone="yes"?>
<Relationships xmlns="http://schemas.openxmlformats.org/package/2006/relationships"><Relationship Id="rId3" Type="http://schemas.openxmlformats.org/officeDocument/2006/relationships/oleObject" Target="file:///\\unimaas.nl\projects\SBE_ROA\OenB\18BZ025%20Monitoring%20en%20Evaluatie%20intensivering%20techniekonderwijs%20vmbo\Werkdocumenten\rapportage\STO%20Monitor%202025%20(sj%202023-24)\Figuren%20en%20tabellen\fig%202.6%20(4.6)_verandering%20gem%20aantal%20lln%20per%20lw%202023%20v20240311.xlsx" TargetMode="Externa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chartUserShapes" Target="../drawings/drawing3.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unimaas.nl\projects\SBE_ROA\OenB\18BZ025%20Monitoring%20en%20Evaluatie%20intensivering%20techniekonderwijs%20vmbo\Werkdocumenten\rapportage\STO%20Monitor%202025%20(sj%202023-24)\Figuren%20en%20tabellen\fig%202.7%20Aandeel%20STO-regio's%20per%20leerweg%20en%20profiel%202023.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unimaas.nl\projects\SBE_ROA\OenB\18BZ025%20Monitoring%20en%20Evaluatie%20intensivering%20techniekonderwijs%20vmbo\Werkdocumenten\rapportage\STO%20Monitor%202025%20(sj%202023-24)\Figuren%20en%20tabellen\fig%202.8%20aantal%20tech%20profielen%20per%20STO-regio%202023.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unimaas.nl\projects\SBE_ROA\OenB\18BZ025%20Monitoring%20en%20Evaluatie%20intensivering%20techniekonderwijs%20vmbo\Werkdocumenten\rapportage\STO%20Monitor%202025%20(sj%202023-24)\Figuren%20en%20tabellen\fig%202.11%20sectorkeuze%2010%20profielen%20in%20mbo.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unimaas.nl\projects\SBE_ROA\OenB\18BZ025%20Monitoring%20en%20Evaluatie%20intensivering%20techniekonderwijs%20vmbo\Werkdocumenten\rapportage\STO%20Monitor%202025%20(sj%202023-24)\Figuren%20en%20tabellen\fig%202.11b%20vervolg%20mbo%20tech_niet%20tech%2010%20profielen%20v20240331.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unimaas.nl\projects\SBE_ROA\OenB\18BZ025%20Monitoring%20en%20Evaluatie%20intensivering%20techniekonderwijs%20vmbo\Werkdocumenten\rapportage\STO%20Monitor%202025%20(sj%202023-24)\Figuren%20en%20tabellen\A6%20Aandeel%20STO-regio's%20per%20leerweg%20en%20profiel%203ejaars%202017-2023.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https://amsterdameconomics.sharepoint.com/sites/000473Monitorenevaluatieintensiveringtechniekonderwijsvmbo/Gedeelde%20documenten/Data/leraren/2017tm2022.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https://amsterdameconomics.sharepoint.com/sites/000473Monitorenevaluatieintensiveringtechniekonderwijsvmbo/Gedeelde%20documenten/Data/leraren/2017tm2022.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https://amsterdameconomics.sharepoint.com/sites/000473Monitorenevaluatieintensiveringtechniekonderwijsvmbo/Gedeelde%20documenten/Data/leraren/2017tm2022.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https://amsterdameconomics.sharepoint.com/sites/000473Monitorenevaluatieintensiveringtechniekonderwijsvmbo/Gedeelde%20documenten/Data/leraren/2017tm2022.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https://amsterdameconomics.sharepoint.com/sites/000473Monitorenevaluatieintensiveringtechniekonderwijsvmbo/Gedeelde%20documenten/Data/leraren/2017tm2022.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https://amsterdameconomics.sharepoint.com/sites/000473Monitorenevaluatieintensiveringtechniekonderwijsvmbo/Gedeelde%20documenten/Data/leraren/2017tm2022.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https://amsterdameconomics.sharepoint.com/sites/000473Monitorenevaluatieintensiveringtechniekonderwijsvmbo/Gedeelde%20documenten/Data/leraren/2017tm2022.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https://amsterdameconomics.sharepoint.com/sites/000473Monitorenevaluatieintensiveringtechniekonderwijsvmbo/Gedeelde%20documenten/Data/leraren/2017tm2022.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https://amsterdameconomics.sharepoint.com/sites/000473Monitorenevaluatieintensiveringtechniekonderwijsvmbo/Gedeelde%20documenten/Data/leraren/2017tm2022.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https://amsterdameconomics.sharepoint.com/sites/000473Monitorenevaluatieintensiveringtechniekonderwijsvmbo/Gedeelde%20documenten/Data/leraren/2017tm2022.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https://amsterdameconomics.sharepoint.com/sites/000473Monitorenevaluatieintensiveringtechniekonderwijsvmbo/Gedeelde%20documenten/Data/leraren/2017tm2022.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https://amsterdameconomics.sharepoint.com/sites/000473Monitorenevaluatieintensiveringtechniekonderwijsvmbo/Gedeelde%20documenten/Data/leraren/2017tm2022.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https://amsterdameconomics.sharepoint.com/sites/000473Monitorenevaluatieintensiveringtechniekonderwijsvmbo/Gedeelde%20documenten/Data/leraren/2017tm2022.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https://amsterdameconomics.sharepoint.com/sites/000473Monitorenevaluatieintensiveringtechniekonderwijsvmbo/Gedeelde%20documenten/Data/leraren/werksituatie%20docenten%20jaar%20t-1%20en%20eerder%20(2017-2021).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https://amsterdameconomics.sharepoint.com/sites/000473Monitorenevaluatieintensiveringtechniekonderwijsvmbo/Gedeelde%20documenten/Data/leraren/werksituatie%20docenten%20jaar%20t-1%20en%20eerder%20(2017-2021).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https://amsterdameconomics.sharepoint.com/sites/000473Monitorenevaluatieintensiveringtechniekonderwijsvmbo/Gedeelde%20documenten/Enquetes%202025/programmaleiders/Analyse/Figuren%20programmaleiders.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https://amsterdameconomics.sharepoint.com/sites/000473Monitorenevaluatieintensiveringtechniekonderwijsvmbo/Gedeelde%20documenten/Data/leraren/toekomstig/output_2025.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https://amsterdameconomics.sharepoint.com/sites/000473Monitorenevaluatieintensiveringtechniekonderwijsvmbo/Gedeelde%20documenten/Data/leraren/2017tm2022.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https://amsterdameconomics.sharepoint.com/sites/000473Monitorenevaluatieintensiveringtechniekonderwijsvmbo/Gedeelde%20documenten/Data/leraren/2017tm2022.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https://amsterdameconomics.sharepoint.com/sites/000473Monitorenevaluatieintensiveringtechniekonderwijsvmbo/Gedeelde%20documenten/Data/leraren/2017tm2022.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https://amsterdameconomics.sharepoint.com/sites/000473Monitorenevaluatieintensiveringtechniekonderwijsvmbo/Gedeelde%20documenten/Data/leraren/2017tm2022.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https://amsterdameconomics.sharepoint.com/sites/000473Monitorenevaluatieintensiveringtechniekonderwijsvmbo/Gedeelde%20documenten/Data/leraren/2017tm2022.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https://amsterdameconomics.sharepoint.com/sites/000473Monitorenevaluatieintensiveringtechniekonderwijsvmbo/Gedeelde%20documenten/Data/leraren/2017tm2022.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https://amsterdameconomics.sharepoint.com/sites/000473Monitorenevaluatieintensiveringtechniekonderwijsvmbo/Gedeelde%20documenten/Data/leraren/2017tm2022.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https://amsterdameconomics.sharepoint.com/sites/000473Monitorenevaluatieintensiveringtechniekonderwijsvmbo/Gedeelde%20documenten/Data/leraren/2017tm2022.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https://amsterdameconomics.sharepoint.com/sites/000473Monitorenevaluatieintensiveringtechniekonderwijsvmbo/Gedeelde%20documenten/Data/leraren/2017tm2022.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https://amsterdameconomics.sharepoint.com/sites/000473Monitorenevaluatieintensiveringtechniekonderwijsvmbo/Gedeelde%20documenten/Enquetes%202025/programmaleiders/Analyse/Figuren%20programmaleiders.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https://amsterdameconomics.sharepoint.com/sites/000473Monitorenevaluatieintensiveringtechniekonderwijsvmbo/Gedeelde%20documenten/Data/leraren/2017tm2022.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https://amsterdameconomics.sharepoint.com/sites/000473Monitorenevaluatieintensiveringtechniekonderwijsvmbo/Gedeelde%20documenten/Data/leraren/2017tm2022.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https://amsterdameconomics.sharepoint.com/sites/000473Monitorenevaluatieintensiveringtechniekonderwijsvmbo/Gedeelde%20documenten/Data/leraren/2017tm2022.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https://amsterdameconomics.sharepoint.com/sites/000473Monitorenevaluatieintensiveringtechniekonderwijsvmbo/Gedeelde%20documenten/Data/leraren/2017tm2022.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https://amsterdameconomics.sharepoint.com/sites/000473Monitorenevaluatieintensiveringtechniekonderwijsvmbo/Gedeelde%20documenten/Data/leraren/werksituatie%20docenten%20jaar%20t-1%20en%20eerder%20(2017-2021).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https://amsterdameconomics.sharepoint.com/sites/000473Monitorenevaluatieintensiveringtechniekonderwijsvmbo/Gedeelde%20documenten/Data/leraren/werksituatie%20docenten%20jaar%20t-1%20en%20eerder%20(2017-2021).xlsx" TargetMode="External"/><Relationship Id="rId2" Type="http://schemas.microsoft.com/office/2011/relationships/chartColorStyle" Target="colors65.xml"/><Relationship Id="rId1" Type="http://schemas.microsoft.com/office/2011/relationships/chartStyle" Target="style6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nl-NL"/>
              <a:t>Hoe worden de STO-middelen verdeeld over de vmbo-scholen? (n=48)</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3.2335320099883637E-2"/>
          <c:y val="0.1896122255592218"/>
          <c:w val="0.92639168829886076"/>
          <c:h val="0.32862764949363688"/>
        </c:manualLayout>
      </c:layout>
      <c:barChart>
        <c:barDir val="bar"/>
        <c:grouping val="percentStacked"/>
        <c:varyColors val="0"/>
        <c:ser>
          <c:idx val="0"/>
          <c:order val="0"/>
          <c:tx>
            <c:strRef>
              <c:f>Totaal!$A$34</c:f>
              <c:strCache>
                <c:ptCount val="1"/>
                <c:pt idx="0">
                  <c:v>Het (merendeel van het) budget wordt volgens een sleutel verdeeld over de scholen.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Totaal!$B$33</c:f>
              <c:strCache>
                <c:ptCount val="1"/>
                <c:pt idx="0">
                  <c:v>Programmaleiders (n=48)</c:v>
                </c:pt>
              </c:strCache>
            </c:strRef>
          </c:cat>
          <c:val>
            <c:numRef>
              <c:f>Totaal!$B$34</c:f>
              <c:numCache>
                <c:formatCode>0%</c:formatCode>
                <c:ptCount val="1"/>
                <c:pt idx="0">
                  <c:v>0.58333333333333337</c:v>
                </c:pt>
              </c:numCache>
            </c:numRef>
          </c:val>
          <c:extLst>
            <c:ext xmlns:c16="http://schemas.microsoft.com/office/drawing/2014/chart" uri="{C3380CC4-5D6E-409C-BE32-E72D297353CC}">
              <c16:uniqueId val="{00000000-E6D7-4953-957E-C91096E89750}"/>
            </c:ext>
          </c:extLst>
        </c:ser>
        <c:ser>
          <c:idx val="1"/>
          <c:order val="1"/>
          <c:tx>
            <c:strRef>
              <c:f>Totaal!$A$35</c:f>
              <c:strCache>
                <c:ptCount val="1"/>
                <c:pt idx="0">
                  <c:v>Het (merendeel van het) budget wordt regionaal beheerd en is voor scholen via een projectaanvraag beschikbaar.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Totaal!$B$33</c:f>
              <c:strCache>
                <c:ptCount val="1"/>
                <c:pt idx="0">
                  <c:v>Programmaleiders (n=48)</c:v>
                </c:pt>
              </c:strCache>
            </c:strRef>
          </c:cat>
          <c:val>
            <c:numRef>
              <c:f>Totaal!$B$35</c:f>
              <c:numCache>
                <c:formatCode>0%</c:formatCode>
                <c:ptCount val="1"/>
                <c:pt idx="0">
                  <c:v>0.41666666666666669</c:v>
                </c:pt>
              </c:numCache>
            </c:numRef>
          </c:val>
          <c:extLst>
            <c:ext xmlns:c16="http://schemas.microsoft.com/office/drawing/2014/chart" uri="{C3380CC4-5D6E-409C-BE32-E72D297353CC}">
              <c16:uniqueId val="{00000001-E6D7-4953-957E-C91096E89750}"/>
            </c:ext>
          </c:extLst>
        </c:ser>
        <c:dLbls>
          <c:dLblPos val="ctr"/>
          <c:showLegendKey val="0"/>
          <c:showVal val="1"/>
          <c:showCatName val="0"/>
          <c:showSerName val="0"/>
          <c:showPercent val="0"/>
          <c:showBubbleSize val="0"/>
        </c:dLbls>
        <c:gapWidth val="50"/>
        <c:overlap val="100"/>
        <c:axId val="467163023"/>
        <c:axId val="467165423"/>
        <c:extLst>
          <c:ext xmlns:c15="http://schemas.microsoft.com/office/drawing/2012/chart" uri="{02D57815-91ED-43cb-92C2-25804820EDAC}">
            <c15:filteredBarSeries>
              <c15:ser>
                <c:idx val="2"/>
                <c:order val="2"/>
                <c:tx>
                  <c:strRef>
                    <c:extLst>
                      <c:ext uri="{02D57815-91ED-43cb-92C2-25804820EDAC}">
                        <c15:formulaRef>
                          <c15:sqref>Totaal!$A$36</c15:sqref>
                        </c15:formulaRef>
                      </c:ext>
                    </c:extLst>
                    <c:strCache>
                      <c:ptCount val="1"/>
                      <c:pt idx="0">
                        <c:v>Anders, namelijk...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Totaal!$B$33</c15:sqref>
                        </c15:formulaRef>
                      </c:ext>
                    </c:extLst>
                    <c:strCache>
                      <c:ptCount val="1"/>
                      <c:pt idx="0">
                        <c:v>Programmaleiders (n=48)</c:v>
                      </c:pt>
                    </c:strCache>
                  </c:strRef>
                </c:cat>
                <c:val>
                  <c:numRef>
                    <c:extLst>
                      <c:ext uri="{02D57815-91ED-43cb-92C2-25804820EDAC}">
                        <c15:formulaRef>
                          <c15:sqref>Totaal!$B$36</c15:sqref>
                        </c15:formulaRef>
                      </c:ext>
                    </c:extLst>
                    <c:numCache>
                      <c:formatCode>0%</c:formatCode>
                      <c:ptCount val="1"/>
                      <c:pt idx="0">
                        <c:v>0</c:v>
                      </c:pt>
                    </c:numCache>
                  </c:numRef>
                </c:val>
                <c:extLst>
                  <c:ext xmlns:c16="http://schemas.microsoft.com/office/drawing/2014/chart" uri="{C3380CC4-5D6E-409C-BE32-E72D297353CC}">
                    <c16:uniqueId val="{00000002-E6D7-4953-957E-C91096E89750}"/>
                  </c:ext>
                </c:extLst>
              </c15:ser>
            </c15:filteredBarSeries>
          </c:ext>
        </c:extLst>
      </c:barChart>
      <c:catAx>
        <c:axId val="467163023"/>
        <c:scaling>
          <c:orientation val="minMax"/>
        </c:scaling>
        <c:delete val="1"/>
        <c:axPos val="l"/>
        <c:numFmt formatCode="General" sourceLinked="1"/>
        <c:majorTickMark val="none"/>
        <c:minorTickMark val="none"/>
        <c:tickLblPos val="nextTo"/>
        <c:crossAx val="467165423"/>
        <c:crosses val="autoZero"/>
        <c:auto val="1"/>
        <c:lblAlgn val="ctr"/>
        <c:lblOffset val="100"/>
        <c:noMultiLvlLbl val="0"/>
      </c:catAx>
      <c:valAx>
        <c:axId val="46716542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67163023"/>
        <c:crosses val="autoZero"/>
        <c:crossBetween val="between"/>
      </c:valAx>
      <c:spPr>
        <a:noFill/>
        <a:ln>
          <a:noFill/>
        </a:ln>
        <a:effectLst/>
      </c:spPr>
    </c:plotArea>
    <c:legend>
      <c:legendPos val="b"/>
      <c:layout>
        <c:manualLayout>
          <c:xMode val="edge"/>
          <c:yMode val="edge"/>
          <c:x val="3.1850409133981732E-2"/>
          <c:y val="0.7389221989453153"/>
          <c:w val="0.93041898035971693"/>
          <c:h val="0.221970004278752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nl-N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nl-NL"/>
              <a:t>Hoe bepalend zijn de STO-middelen voor wat in uw regio is gerealiseerd? (n=48)</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percentStacked"/>
        <c:varyColors val="0"/>
        <c:ser>
          <c:idx val="0"/>
          <c:order val="0"/>
          <c:tx>
            <c:strRef>
              <c:f>Totaal!$B$38</c:f>
              <c:strCache>
                <c:ptCount val="1"/>
                <c:pt idx="0">
                  <c:v>Helemaal niet</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5282-478D-9E3A-E96182676C29}"/>
                </c:ext>
              </c:extLst>
            </c:dLbl>
            <c:dLbl>
              <c:idx val="1"/>
              <c:delete val="1"/>
              <c:extLst>
                <c:ext xmlns:c15="http://schemas.microsoft.com/office/drawing/2012/chart" uri="{CE6537A1-D6FC-4f65-9D91-7224C49458BB}"/>
                <c:ext xmlns:c16="http://schemas.microsoft.com/office/drawing/2014/chart" uri="{C3380CC4-5D6E-409C-BE32-E72D297353CC}">
                  <c16:uniqueId val="{00000001-5282-478D-9E3A-E96182676C29}"/>
                </c:ext>
              </c:extLst>
            </c:dLbl>
            <c:dLbl>
              <c:idx val="2"/>
              <c:delete val="1"/>
              <c:extLst>
                <c:ext xmlns:c15="http://schemas.microsoft.com/office/drawing/2012/chart" uri="{CE6537A1-D6FC-4f65-9D91-7224C49458BB}"/>
                <c:ext xmlns:c16="http://schemas.microsoft.com/office/drawing/2014/chart" uri="{C3380CC4-5D6E-409C-BE32-E72D297353CC}">
                  <c16:uniqueId val="{00000002-5282-478D-9E3A-E96182676C29}"/>
                </c:ext>
              </c:extLst>
            </c:dLbl>
            <c:dLbl>
              <c:idx val="3"/>
              <c:delete val="1"/>
              <c:extLst>
                <c:ext xmlns:c15="http://schemas.microsoft.com/office/drawing/2012/chart" uri="{CE6537A1-D6FC-4f65-9D91-7224C49458BB}"/>
                <c:ext xmlns:c16="http://schemas.microsoft.com/office/drawing/2014/chart" uri="{C3380CC4-5D6E-409C-BE32-E72D297353CC}">
                  <c16:uniqueId val="{00000003-5282-478D-9E3A-E96182676C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Totaal!$A$39:$A$44</c:f>
              <c:strCache>
                <c:ptCount val="6"/>
                <c:pt idx="0">
                  <c:v>Zonder subsidie was de betrokkenheid van en samenwerking met de partners niet gerealiseerd</c:v>
                </c:pt>
                <c:pt idx="1">
                  <c:v>De subsidie was nodig om het verouderd materiaal te vernieuwen</c:v>
                </c:pt>
                <c:pt idx="2">
                  <c:v>Bij het wegvallen van de subsidie verdwijnt ook de betrokkenheid van en samenwerking met partners</c:v>
                </c:pt>
                <c:pt idx="3">
                  <c:v>Bij het wegvallen van de subsidie verdwijnt ook een groot deel van gerealiseerde activiteiten</c:v>
                </c:pt>
                <c:pt idx="4">
                  <c:v>Met bekostiging via de lumpsum kunnen we blijven aanbieden wat we nu hebben, ook voor toekomstige cohorten leerlingen</c:v>
                </c:pt>
                <c:pt idx="5">
                  <c:v>Bij toevoeging van de STO-middelen aan de lumpsum zal de aandacht voor techniek afzwakken</c:v>
                </c:pt>
              </c:strCache>
            </c:strRef>
          </c:cat>
          <c:val>
            <c:numRef>
              <c:f>Totaal!$B$39:$B$44</c:f>
              <c:numCache>
                <c:formatCode>0%</c:formatCode>
                <c:ptCount val="6"/>
                <c:pt idx="0">
                  <c:v>0</c:v>
                </c:pt>
                <c:pt idx="1">
                  <c:v>0</c:v>
                </c:pt>
                <c:pt idx="2">
                  <c:v>0</c:v>
                </c:pt>
                <c:pt idx="3">
                  <c:v>2.0833333333333332E-2</c:v>
                </c:pt>
                <c:pt idx="4">
                  <c:v>0.10416666666666667</c:v>
                </c:pt>
                <c:pt idx="5">
                  <c:v>6.25E-2</c:v>
                </c:pt>
              </c:numCache>
            </c:numRef>
          </c:val>
          <c:extLst>
            <c:ext xmlns:c16="http://schemas.microsoft.com/office/drawing/2014/chart" uri="{C3380CC4-5D6E-409C-BE32-E72D297353CC}">
              <c16:uniqueId val="{00000004-5282-478D-9E3A-E96182676C29}"/>
            </c:ext>
          </c:extLst>
        </c:ser>
        <c:ser>
          <c:idx val="1"/>
          <c:order val="1"/>
          <c:tx>
            <c:strRef>
              <c:f>Totaal!$C$38</c:f>
              <c:strCache>
                <c:ptCount val="1"/>
                <c:pt idx="0">
                  <c:v>Niet</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5282-478D-9E3A-E96182676C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Totaal!$A$39:$A$44</c:f>
              <c:strCache>
                <c:ptCount val="6"/>
                <c:pt idx="0">
                  <c:v>Zonder subsidie was de betrokkenheid van en samenwerking met de partners niet gerealiseerd</c:v>
                </c:pt>
                <c:pt idx="1">
                  <c:v>De subsidie was nodig om het verouderd materiaal te vernieuwen</c:v>
                </c:pt>
                <c:pt idx="2">
                  <c:v>Bij het wegvallen van de subsidie verdwijnt ook de betrokkenheid van en samenwerking met partners</c:v>
                </c:pt>
                <c:pt idx="3">
                  <c:v>Bij het wegvallen van de subsidie verdwijnt ook een groot deel van gerealiseerde activiteiten</c:v>
                </c:pt>
                <c:pt idx="4">
                  <c:v>Met bekostiging via de lumpsum kunnen we blijven aanbieden wat we nu hebben, ook voor toekomstige cohorten leerlingen</c:v>
                </c:pt>
                <c:pt idx="5">
                  <c:v>Bij toevoeging van de STO-middelen aan de lumpsum zal de aandacht voor techniek afzwakken</c:v>
                </c:pt>
              </c:strCache>
            </c:strRef>
          </c:cat>
          <c:val>
            <c:numRef>
              <c:f>Totaal!$C$39:$C$44</c:f>
              <c:numCache>
                <c:formatCode>0%</c:formatCode>
                <c:ptCount val="6"/>
                <c:pt idx="0">
                  <c:v>6.25E-2</c:v>
                </c:pt>
                <c:pt idx="1">
                  <c:v>2.0833333333333332E-2</c:v>
                </c:pt>
                <c:pt idx="2">
                  <c:v>0.125</c:v>
                </c:pt>
                <c:pt idx="3">
                  <c:v>0.14583333333333334</c:v>
                </c:pt>
                <c:pt idx="4">
                  <c:v>0.27083333333333331</c:v>
                </c:pt>
                <c:pt idx="5">
                  <c:v>6.25E-2</c:v>
                </c:pt>
              </c:numCache>
            </c:numRef>
          </c:val>
          <c:extLst>
            <c:ext xmlns:c16="http://schemas.microsoft.com/office/drawing/2014/chart" uri="{C3380CC4-5D6E-409C-BE32-E72D297353CC}">
              <c16:uniqueId val="{00000006-5282-478D-9E3A-E96182676C29}"/>
            </c:ext>
          </c:extLst>
        </c:ser>
        <c:ser>
          <c:idx val="2"/>
          <c:order val="2"/>
          <c:tx>
            <c:strRef>
              <c:f>Totaal!$D$38</c:f>
              <c:strCache>
                <c:ptCount val="1"/>
                <c:pt idx="0">
                  <c:v>Neutraal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Totaal!$A$39:$A$44</c:f>
              <c:strCache>
                <c:ptCount val="6"/>
                <c:pt idx="0">
                  <c:v>Zonder subsidie was de betrokkenheid van en samenwerking met de partners niet gerealiseerd</c:v>
                </c:pt>
                <c:pt idx="1">
                  <c:v>De subsidie was nodig om het verouderd materiaal te vernieuwen</c:v>
                </c:pt>
                <c:pt idx="2">
                  <c:v>Bij het wegvallen van de subsidie verdwijnt ook de betrokkenheid van en samenwerking met partners</c:v>
                </c:pt>
                <c:pt idx="3">
                  <c:v>Bij het wegvallen van de subsidie verdwijnt ook een groot deel van gerealiseerde activiteiten</c:v>
                </c:pt>
                <c:pt idx="4">
                  <c:v>Met bekostiging via de lumpsum kunnen we blijven aanbieden wat we nu hebben, ook voor toekomstige cohorten leerlingen</c:v>
                </c:pt>
                <c:pt idx="5">
                  <c:v>Bij toevoeging van de STO-middelen aan de lumpsum zal de aandacht voor techniek afzwakken</c:v>
                </c:pt>
              </c:strCache>
            </c:strRef>
          </c:cat>
          <c:val>
            <c:numRef>
              <c:f>Totaal!$D$39:$D$44</c:f>
              <c:numCache>
                <c:formatCode>0%</c:formatCode>
                <c:ptCount val="6"/>
                <c:pt idx="0">
                  <c:v>6.25E-2</c:v>
                </c:pt>
                <c:pt idx="1">
                  <c:v>8.3333333333333329E-2</c:v>
                </c:pt>
                <c:pt idx="2">
                  <c:v>0.3125</c:v>
                </c:pt>
                <c:pt idx="3">
                  <c:v>0.25</c:v>
                </c:pt>
                <c:pt idx="4">
                  <c:v>0.16666666666666666</c:v>
                </c:pt>
                <c:pt idx="5">
                  <c:v>0.20833333333333334</c:v>
                </c:pt>
              </c:numCache>
            </c:numRef>
          </c:val>
          <c:extLst>
            <c:ext xmlns:c16="http://schemas.microsoft.com/office/drawing/2014/chart" uri="{C3380CC4-5D6E-409C-BE32-E72D297353CC}">
              <c16:uniqueId val="{00000007-5282-478D-9E3A-E96182676C29}"/>
            </c:ext>
          </c:extLst>
        </c:ser>
        <c:ser>
          <c:idx val="3"/>
          <c:order val="3"/>
          <c:tx>
            <c:strRef>
              <c:f>Totaal!$E$38</c:f>
              <c:strCache>
                <c:ptCount val="1"/>
                <c:pt idx="0">
                  <c:v>In enige mate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Totaal!$A$39:$A$44</c:f>
              <c:strCache>
                <c:ptCount val="6"/>
                <c:pt idx="0">
                  <c:v>Zonder subsidie was de betrokkenheid van en samenwerking met de partners niet gerealiseerd</c:v>
                </c:pt>
                <c:pt idx="1">
                  <c:v>De subsidie was nodig om het verouderd materiaal te vernieuwen</c:v>
                </c:pt>
                <c:pt idx="2">
                  <c:v>Bij het wegvallen van de subsidie verdwijnt ook de betrokkenheid van en samenwerking met partners</c:v>
                </c:pt>
                <c:pt idx="3">
                  <c:v>Bij het wegvallen van de subsidie verdwijnt ook een groot deel van gerealiseerde activiteiten</c:v>
                </c:pt>
                <c:pt idx="4">
                  <c:v>Met bekostiging via de lumpsum kunnen we blijven aanbieden wat we nu hebben, ook voor toekomstige cohorten leerlingen</c:v>
                </c:pt>
                <c:pt idx="5">
                  <c:v>Bij toevoeging van de STO-middelen aan de lumpsum zal de aandacht voor techniek afzwakken</c:v>
                </c:pt>
              </c:strCache>
            </c:strRef>
          </c:cat>
          <c:val>
            <c:numRef>
              <c:f>Totaal!$E$39:$E$44</c:f>
              <c:numCache>
                <c:formatCode>0%</c:formatCode>
                <c:ptCount val="6"/>
                <c:pt idx="0">
                  <c:v>0.3125</c:v>
                </c:pt>
                <c:pt idx="1">
                  <c:v>0.20833333333333334</c:v>
                </c:pt>
                <c:pt idx="2">
                  <c:v>0.5</c:v>
                </c:pt>
                <c:pt idx="3">
                  <c:v>0.5</c:v>
                </c:pt>
                <c:pt idx="4">
                  <c:v>0.1875</c:v>
                </c:pt>
                <c:pt idx="5">
                  <c:v>0.33333333333333331</c:v>
                </c:pt>
              </c:numCache>
            </c:numRef>
          </c:val>
          <c:extLst>
            <c:ext xmlns:c16="http://schemas.microsoft.com/office/drawing/2014/chart" uri="{C3380CC4-5D6E-409C-BE32-E72D297353CC}">
              <c16:uniqueId val="{00000008-5282-478D-9E3A-E96182676C29}"/>
            </c:ext>
          </c:extLst>
        </c:ser>
        <c:ser>
          <c:idx val="4"/>
          <c:order val="4"/>
          <c:tx>
            <c:strRef>
              <c:f>Totaal!$F$38</c:f>
              <c:strCache>
                <c:ptCount val="1"/>
                <c:pt idx="0">
                  <c:v>In sterke mate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Totaal!$A$39:$A$44</c:f>
              <c:strCache>
                <c:ptCount val="6"/>
                <c:pt idx="0">
                  <c:v>Zonder subsidie was de betrokkenheid van en samenwerking met de partners niet gerealiseerd</c:v>
                </c:pt>
                <c:pt idx="1">
                  <c:v>De subsidie was nodig om het verouderd materiaal te vernieuwen</c:v>
                </c:pt>
                <c:pt idx="2">
                  <c:v>Bij het wegvallen van de subsidie verdwijnt ook de betrokkenheid van en samenwerking met partners</c:v>
                </c:pt>
                <c:pt idx="3">
                  <c:v>Bij het wegvallen van de subsidie verdwijnt ook een groot deel van gerealiseerde activiteiten</c:v>
                </c:pt>
                <c:pt idx="4">
                  <c:v>Met bekostiging via de lumpsum kunnen we blijven aanbieden wat we nu hebben, ook voor toekomstige cohorten leerlingen</c:v>
                </c:pt>
                <c:pt idx="5">
                  <c:v>Bij toevoeging van de STO-middelen aan de lumpsum zal de aandacht voor techniek afzwakken</c:v>
                </c:pt>
              </c:strCache>
            </c:strRef>
          </c:cat>
          <c:val>
            <c:numRef>
              <c:f>Totaal!$F$39:$F$44</c:f>
              <c:numCache>
                <c:formatCode>0%</c:formatCode>
                <c:ptCount val="6"/>
                <c:pt idx="0">
                  <c:v>0.5625</c:v>
                </c:pt>
                <c:pt idx="1">
                  <c:v>0.6875</c:v>
                </c:pt>
                <c:pt idx="2">
                  <c:v>6.25E-2</c:v>
                </c:pt>
                <c:pt idx="3">
                  <c:v>8.3333333333333329E-2</c:v>
                </c:pt>
                <c:pt idx="4">
                  <c:v>0.27083333333333331</c:v>
                </c:pt>
                <c:pt idx="5">
                  <c:v>0.33333333333333331</c:v>
                </c:pt>
              </c:numCache>
            </c:numRef>
          </c:val>
          <c:extLst>
            <c:ext xmlns:c16="http://schemas.microsoft.com/office/drawing/2014/chart" uri="{C3380CC4-5D6E-409C-BE32-E72D297353CC}">
              <c16:uniqueId val="{00000009-5282-478D-9E3A-E96182676C29}"/>
            </c:ext>
          </c:extLst>
        </c:ser>
        <c:dLbls>
          <c:dLblPos val="ctr"/>
          <c:showLegendKey val="0"/>
          <c:showVal val="1"/>
          <c:showCatName val="0"/>
          <c:showSerName val="0"/>
          <c:showPercent val="0"/>
          <c:showBubbleSize val="0"/>
        </c:dLbls>
        <c:gapWidth val="50"/>
        <c:overlap val="100"/>
        <c:axId val="373339951"/>
        <c:axId val="373337551"/>
      </c:barChart>
      <c:catAx>
        <c:axId val="37333995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73337551"/>
        <c:crosses val="autoZero"/>
        <c:auto val="1"/>
        <c:lblAlgn val="ctr"/>
        <c:lblOffset val="100"/>
        <c:noMultiLvlLbl val="0"/>
      </c:catAx>
      <c:valAx>
        <c:axId val="373337551"/>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73339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nl-N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nl-NL"/>
              <a:t>Wat is er door Sterk Techniekonderwijs voor u als lesgevende/docent beroepsgerichte vakken concreet veranderd? (n=364)</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percentStacked"/>
        <c:varyColors val="0"/>
        <c:ser>
          <c:idx val="0"/>
          <c:order val="0"/>
          <c:tx>
            <c:strRef>
              <c:f>Blad1!$B$108</c:f>
              <c:strCache>
                <c:ptCount val="1"/>
                <c:pt idx="0">
                  <c:v>Ja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Blad1!$A$109:$A$126</c:f>
              <c:strCache>
                <c:ptCount val="18"/>
                <c:pt idx="0">
                  <c:v>Beschikbaarheid van nieuwe apparatuur etc. in mijn profiel</c:v>
                </c:pt>
                <c:pt idx="1">
                  <c:v>Nieuwe apparatuur etc. in de school, waar ik gebruik van maak</c:v>
                </c:pt>
                <c:pt idx="2">
                  <c:v>Nieuw lokaal in school waar ik gebruik van maak</c:v>
                </c:pt>
                <c:pt idx="3">
                  <c:v>Regionale voorziening waar ik gebruik van maak</c:v>
                </c:pt>
                <c:pt idx="4">
                  <c:v>Aanbod aan technische keuzevakken uitgebreid</c:v>
                </c:pt>
                <c:pt idx="5">
                  <c:v>Leerlingen leren vaker buitenschools, in de praktijk</c:v>
                </c:pt>
                <c:pt idx="6">
                  <c:v>Samenstelling van team is veranderd</c:v>
                </c:pt>
                <c:pt idx="7">
                  <c:v>Nieuwe collega's afkomstig uit het bedrijfsleven/zij-instromers</c:v>
                </c:pt>
                <c:pt idx="8">
                  <c:v>Effectieve aanpak gekomen om meer personeel aan te nemen</c:v>
                </c:pt>
                <c:pt idx="9">
                  <c:v>Centrale voorzieningen gekomen als stagebureau of bedrijfscontactpersonen</c:v>
                </c:pt>
                <c:pt idx="10">
                  <c:v>Ik werk meer samen met onderbouwcollega's</c:v>
                </c:pt>
                <c:pt idx="11">
                  <c:v>Ik werk meer samen met collega's van andere profielen binnen mijn school</c:v>
                </c:pt>
                <c:pt idx="12">
                  <c:v>Ik heb meer/betere conatcten met collega-docenten van andere scholen</c:v>
                </c:pt>
                <c:pt idx="13">
                  <c:v>Ik heb meer/betere contacten met mbo</c:v>
                </c:pt>
                <c:pt idx="14">
                  <c:v>Ik heb meer/betere contacten met opleidingsbedrijven</c:v>
                </c:pt>
                <c:pt idx="15">
                  <c:v>Ik heb meer/betere contacten met technische bedrijven</c:v>
                </c:pt>
                <c:pt idx="16">
                  <c:v>Andere concrete verandering, namelijk (n=124)</c:v>
                </c:pt>
                <c:pt idx="17">
                  <c:v>Andere concrete verandering, namelijk (n=114)</c:v>
                </c:pt>
              </c:strCache>
            </c:strRef>
          </c:cat>
          <c:val>
            <c:numRef>
              <c:f>Blad1!$B$109:$B$126</c:f>
              <c:numCache>
                <c:formatCode>0%</c:formatCode>
                <c:ptCount val="18"/>
                <c:pt idx="0">
                  <c:v>0.7857142857142857</c:v>
                </c:pt>
                <c:pt idx="1">
                  <c:v>0.75824175824175821</c:v>
                </c:pt>
                <c:pt idx="2">
                  <c:v>0.38186813186813184</c:v>
                </c:pt>
                <c:pt idx="3">
                  <c:v>0.23626373626373626</c:v>
                </c:pt>
                <c:pt idx="4">
                  <c:v>0.55769230769230771</c:v>
                </c:pt>
                <c:pt idx="5">
                  <c:v>0.4642857142857143</c:v>
                </c:pt>
                <c:pt idx="6">
                  <c:v>0.39010989010989011</c:v>
                </c:pt>
                <c:pt idx="7">
                  <c:v>0.39835164835164832</c:v>
                </c:pt>
                <c:pt idx="8">
                  <c:v>0.37087912087912089</c:v>
                </c:pt>
                <c:pt idx="9">
                  <c:v>0.26373626373626374</c:v>
                </c:pt>
                <c:pt idx="10">
                  <c:v>0.33516483516483514</c:v>
                </c:pt>
                <c:pt idx="11">
                  <c:v>0.42857142857142855</c:v>
                </c:pt>
                <c:pt idx="12">
                  <c:v>0.56318681318681318</c:v>
                </c:pt>
                <c:pt idx="13">
                  <c:v>0.47252747252747251</c:v>
                </c:pt>
                <c:pt idx="14">
                  <c:v>0.48351648351648352</c:v>
                </c:pt>
                <c:pt idx="15">
                  <c:v>0.51923076923076927</c:v>
                </c:pt>
                <c:pt idx="16">
                  <c:v>0.11290322580645161</c:v>
                </c:pt>
                <c:pt idx="17">
                  <c:v>2.6315789473684209E-2</c:v>
                </c:pt>
              </c:numCache>
            </c:numRef>
          </c:val>
          <c:extLst>
            <c:ext xmlns:c16="http://schemas.microsoft.com/office/drawing/2014/chart" uri="{C3380CC4-5D6E-409C-BE32-E72D297353CC}">
              <c16:uniqueId val="{00000000-1113-436A-8511-700B47C2EA7E}"/>
            </c:ext>
          </c:extLst>
        </c:ser>
        <c:ser>
          <c:idx val="1"/>
          <c:order val="1"/>
          <c:tx>
            <c:strRef>
              <c:f>Blad1!$C$108</c:f>
              <c:strCache>
                <c:ptCount val="1"/>
                <c:pt idx="0">
                  <c:v>Nee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Blad1!$A$109:$A$126</c:f>
              <c:strCache>
                <c:ptCount val="18"/>
                <c:pt idx="0">
                  <c:v>Beschikbaarheid van nieuwe apparatuur etc. in mijn profiel</c:v>
                </c:pt>
                <c:pt idx="1">
                  <c:v>Nieuwe apparatuur etc. in de school, waar ik gebruik van maak</c:v>
                </c:pt>
                <c:pt idx="2">
                  <c:v>Nieuw lokaal in school waar ik gebruik van maak</c:v>
                </c:pt>
                <c:pt idx="3">
                  <c:v>Regionale voorziening waar ik gebruik van maak</c:v>
                </c:pt>
                <c:pt idx="4">
                  <c:v>Aanbod aan technische keuzevakken uitgebreid</c:v>
                </c:pt>
                <c:pt idx="5">
                  <c:v>Leerlingen leren vaker buitenschools, in de praktijk</c:v>
                </c:pt>
                <c:pt idx="6">
                  <c:v>Samenstelling van team is veranderd</c:v>
                </c:pt>
                <c:pt idx="7">
                  <c:v>Nieuwe collega's afkomstig uit het bedrijfsleven/zij-instromers</c:v>
                </c:pt>
                <c:pt idx="8">
                  <c:v>Effectieve aanpak gekomen om meer personeel aan te nemen</c:v>
                </c:pt>
                <c:pt idx="9">
                  <c:v>Centrale voorzieningen gekomen als stagebureau of bedrijfscontactpersonen</c:v>
                </c:pt>
                <c:pt idx="10">
                  <c:v>Ik werk meer samen met onderbouwcollega's</c:v>
                </c:pt>
                <c:pt idx="11">
                  <c:v>Ik werk meer samen met collega's van andere profielen binnen mijn school</c:v>
                </c:pt>
                <c:pt idx="12">
                  <c:v>Ik heb meer/betere conatcten met collega-docenten van andere scholen</c:v>
                </c:pt>
                <c:pt idx="13">
                  <c:v>Ik heb meer/betere contacten met mbo</c:v>
                </c:pt>
                <c:pt idx="14">
                  <c:v>Ik heb meer/betere contacten met opleidingsbedrijven</c:v>
                </c:pt>
                <c:pt idx="15">
                  <c:v>Ik heb meer/betere contacten met technische bedrijven</c:v>
                </c:pt>
                <c:pt idx="16">
                  <c:v>Andere concrete verandering, namelijk (n=124)</c:v>
                </c:pt>
                <c:pt idx="17">
                  <c:v>Andere concrete verandering, namelijk (n=114)</c:v>
                </c:pt>
              </c:strCache>
            </c:strRef>
          </c:cat>
          <c:val>
            <c:numRef>
              <c:f>Blad1!$C$109:$C$126</c:f>
              <c:numCache>
                <c:formatCode>0%</c:formatCode>
                <c:ptCount val="18"/>
                <c:pt idx="0">
                  <c:v>0.1043956043956044</c:v>
                </c:pt>
                <c:pt idx="1">
                  <c:v>0.12912087912087913</c:v>
                </c:pt>
                <c:pt idx="2">
                  <c:v>0.39560439560439559</c:v>
                </c:pt>
                <c:pt idx="3">
                  <c:v>0.51648351648351654</c:v>
                </c:pt>
                <c:pt idx="4">
                  <c:v>0.27197802197802196</c:v>
                </c:pt>
                <c:pt idx="5">
                  <c:v>0.37087912087912089</c:v>
                </c:pt>
                <c:pt idx="6">
                  <c:v>0.40109890109890112</c:v>
                </c:pt>
                <c:pt idx="7">
                  <c:v>0.43681318681318682</c:v>
                </c:pt>
                <c:pt idx="8">
                  <c:v>0.43131868131868134</c:v>
                </c:pt>
                <c:pt idx="9">
                  <c:v>0.49175824175824173</c:v>
                </c:pt>
                <c:pt idx="10">
                  <c:v>0.47252747252747251</c:v>
                </c:pt>
                <c:pt idx="11">
                  <c:v>0.39285714285714285</c:v>
                </c:pt>
                <c:pt idx="12">
                  <c:v>0.31593406593406592</c:v>
                </c:pt>
                <c:pt idx="13">
                  <c:v>0.38736263736263737</c:v>
                </c:pt>
                <c:pt idx="14">
                  <c:v>0.39010989010989011</c:v>
                </c:pt>
                <c:pt idx="15">
                  <c:v>0.34065934065934067</c:v>
                </c:pt>
                <c:pt idx="16">
                  <c:v>0.21774193548387097</c:v>
                </c:pt>
                <c:pt idx="17">
                  <c:v>0.23684210526315788</c:v>
                </c:pt>
              </c:numCache>
            </c:numRef>
          </c:val>
          <c:extLst>
            <c:ext xmlns:c16="http://schemas.microsoft.com/office/drawing/2014/chart" uri="{C3380CC4-5D6E-409C-BE32-E72D297353CC}">
              <c16:uniqueId val="{00000001-1113-436A-8511-700B47C2EA7E}"/>
            </c:ext>
          </c:extLst>
        </c:ser>
        <c:ser>
          <c:idx val="2"/>
          <c:order val="2"/>
          <c:tx>
            <c:strRef>
              <c:f>Blad1!$D$108</c:f>
              <c:strCache>
                <c:ptCount val="1"/>
                <c:pt idx="0">
                  <c:v>Nvt</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Blad1!$A$109:$A$126</c:f>
              <c:strCache>
                <c:ptCount val="18"/>
                <c:pt idx="0">
                  <c:v>Beschikbaarheid van nieuwe apparatuur etc. in mijn profiel</c:v>
                </c:pt>
                <c:pt idx="1">
                  <c:v>Nieuwe apparatuur etc. in de school, waar ik gebruik van maak</c:v>
                </c:pt>
                <c:pt idx="2">
                  <c:v>Nieuw lokaal in school waar ik gebruik van maak</c:v>
                </c:pt>
                <c:pt idx="3">
                  <c:v>Regionale voorziening waar ik gebruik van maak</c:v>
                </c:pt>
                <c:pt idx="4">
                  <c:v>Aanbod aan technische keuzevakken uitgebreid</c:v>
                </c:pt>
                <c:pt idx="5">
                  <c:v>Leerlingen leren vaker buitenschools, in de praktijk</c:v>
                </c:pt>
                <c:pt idx="6">
                  <c:v>Samenstelling van team is veranderd</c:v>
                </c:pt>
                <c:pt idx="7">
                  <c:v>Nieuwe collega's afkomstig uit het bedrijfsleven/zij-instromers</c:v>
                </c:pt>
                <c:pt idx="8">
                  <c:v>Effectieve aanpak gekomen om meer personeel aan te nemen</c:v>
                </c:pt>
                <c:pt idx="9">
                  <c:v>Centrale voorzieningen gekomen als stagebureau of bedrijfscontactpersonen</c:v>
                </c:pt>
                <c:pt idx="10">
                  <c:v>Ik werk meer samen met onderbouwcollega's</c:v>
                </c:pt>
                <c:pt idx="11">
                  <c:v>Ik werk meer samen met collega's van andere profielen binnen mijn school</c:v>
                </c:pt>
                <c:pt idx="12">
                  <c:v>Ik heb meer/betere conatcten met collega-docenten van andere scholen</c:v>
                </c:pt>
                <c:pt idx="13">
                  <c:v>Ik heb meer/betere contacten met mbo</c:v>
                </c:pt>
                <c:pt idx="14">
                  <c:v>Ik heb meer/betere contacten met opleidingsbedrijven</c:v>
                </c:pt>
                <c:pt idx="15">
                  <c:v>Ik heb meer/betere contacten met technische bedrijven</c:v>
                </c:pt>
                <c:pt idx="16">
                  <c:v>Andere concrete verandering, namelijk (n=124)</c:v>
                </c:pt>
                <c:pt idx="17">
                  <c:v>Andere concrete verandering, namelijk (n=114)</c:v>
                </c:pt>
              </c:strCache>
            </c:strRef>
          </c:cat>
          <c:val>
            <c:numRef>
              <c:f>Blad1!$D$109:$D$126</c:f>
              <c:numCache>
                <c:formatCode>0%</c:formatCode>
                <c:ptCount val="18"/>
                <c:pt idx="0">
                  <c:v>0.10989010989010989</c:v>
                </c:pt>
                <c:pt idx="1">
                  <c:v>0.11263736263736264</c:v>
                </c:pt>
                <c:pt idx="2">
                  <c:v>0.22252747252747251</c:v>
                </c:pt>
                <c:pt idx="3">
                  <c:v>0.24725274725274726</c:v>
                </c:pt>
                <c:pt idx="4">
                  <c:v>0.17032967032967034</c:v>
                </c:pt>
                <c:pt idx="5">
                  <c:v>0.16483516483516483</c:v>
                </c:pt>
                <c:pt idx="6">
                  <c:v>0.2087912087912088</c:v>
                </c:pt>
                <c:pt idx="7">
                  <c:v>0.16483516483516483</c:v>
                </c:pt>
                <c:pt idx="8">
                  <c:v>0.19780219780219779</c:v>
                </c:pt>
                <c:pt idx="9">
                  <c:v>0.2445054945054945</c:v>
                </c:pt>
                <c:pt idx="10">
                  <c:v>0.19230769230769232</c:v>
                </c:pt>
                <c:pt idx="11">
                  <c:v>0.17857142857142858</c:v>
                </c:pt>
                <c:pt idx="12">
                  <c:v>0.12087912087912088</c:v>
                </c:pt>
                <c:pt idx="13">
                  <c:v>0.14010989010989011</c:v>
                </c:pt>
                <c:pt idx="14">
                  <c:v>0.12637362637362637</c:v>
                </c:pt>
                <c:pt idx="15">
                  <c:v>0.14010989010989011</c:v>
                </c:pt>
                <c:pt idx="16">
                  <c:v>0.66935483870967738</c:v>
                </c:pt>
                <c:pt idx="17">
                  <c:v>0.73684210526315785</c:v>
                </c:pt>
              </c:numCache>
            </c:numRef>
          </c:val>
          <c:extLst>
            <c:ext xmlns:c16="http://schemas.microsoft.com/office/drawing/2014/chart" uri="{C3380CC4-5D6E-409C-BE32-E72D297353CC}">
              <c16:uniqueId val="{00000002-1113-436A-8511-700B47C2EA7E}"/>
            </c:ext>
          </c:extLst>
        </c:ser>
        <c:dLbls>
          <c:dLblPos val="ctr"/>
          <c:showLegendKey val="0"/>
          <c:showVal val="1"/>
          <c:showCatName val="0"/>
          <c:showSerName val="0"/>
          <c:showPercent val="0"/>
          <c:showBubbleSize val="0"/>
        </c:dLbls>
        <c:gapWidth val="50"/>
        <c:overlap val="100"/>
        <c:axId val="1790959567"/>
        <c:axId val="1790959087"/>
      </c:barChart>
      <c:catAx>
        <c:axId val="17909595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nl-NL"/>
          </a:p>
        </c:txPr>
        <c:crossAx val="1790959087"/>
        <c:crosses val="autoZero"/>
        <c:auto val="1"/>
        <c:lblAlgn val="ctr"/>
        <c:lblOffset val="100"/>
        <c:noMultiLvlLbl val="0"/>
      </c:catAx>
      <c:valAx>
        <c:axId val="1790959087"/>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7909595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nl-N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nl-NL"/>
              <a:t>Impact op docent (n=322). Door de veranderingen</a:t>
            </a:r>
            <a:r>
              <a:rPr lang="nl-NL" baseline="0"/>
              <a:t> in STO is:</a:t>
            </a:r>
            <a:endParaRPr lang="nl-NL"/>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percentStacked"/>
        <c:varyColors val="0"/>
        <c:ser>
          <c:idx val="0"/>
          <c:order val="0"/>
          <c:tx>
            <c:strRef>
              <c:f>Blad1!$B$138</c:f>
              <c:strCache>
                <c:ptCount val="1"/>
                <c:pt idx="0">
                  <c:v>Helemaal niet mee eens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Blad1!$A$139:$A$150</c:f>
              <c:strCache>
                <c:ptCount val="12"/>
                <c:pt idx="0">
                  <c:v>Manier van lesgeven veranderd</c:v>
                </c:pt>
                <c:pt idx="1">
                  <c:v>Meer zicht op en kennis van actuele ontwikkelingen in vakgebied</c:v>
                </c:pt>
                <c:pt idx="2">
                  <c:v>Beter toegerust voor geven van eigentijds techniekonderwijs</c:v>
                </c:pt>
                <c:pt idx="3">
                  <c:v>Meer met LOB bezig dan voorheen</c:v>
                </c:pt>
                <c:pt idx="4">
                  <c:v>Meer aandacht voor doelgroepen als meiden, leerlingen met migratieachtergrond</c:v>
                </c:pt>
                <c:pt idx="5">
                  <c:v>Meer gericht op de regio buiten mijn school</c:v>
                </c:pt>
                <c:pt idx="6">
                  <c:v>Rol als docent is uitgebreid</c:v>
                </c:pt>
                <c:pt idx="7">
                  <c:v>Meer coachende rol naast rol als vakdocent</c:v>
                </c:pt>
                <c:pt idx="8">
                  <c:v>Meer gemotiveerd voor mijn vak</c:v>
                </c:pt>
                <c:pt idx="9">
                  <c:v>Ervaar meer werkdruk</c:v>
                </c:pt>
                <c:pt idx="10">
                  <c:v>Meer trots op mijn vak</c:v>
                </c:pt>
                <c:pt idx="11">
                  <c:v>Andere impact, namelijk (n=62)</c:v>
                </c:pt>
              </c:strCache>
            </c:strRef>
          </c:cat>
          <c:val>
            <c:numRef>
              <c:f>Blad1!$B$139:$B$150</c:f>
              <c:numCache>
                <c:formatCode>0%</c:formatCode>
                <c:ptCount val="12"/>
                <c:pt idx="0">
                  <c:v>6.5420560747663545E-2</c:v>
                </c:pt>
                <c:pt idx="1">
                  <c:v>5.6074766355140186E-2</c:v>
                </c:pt>
                <c:pt idx="2">
                  <c:v>5.3124999999999999E-2</c:v>
                </c:pt>
                <c:pt idx="3">
                  <c:v>4.9844236760124609E-2</c:v>
                </c:pt>
                <c:pt idx="4">
                  <c:v>7.8616352201257858E-2</c:v>
                </c:pt>
                <c:pt idx="5">
                  <c:v>5.2959501557632398E-2</c:v>
                </c:pt>
                <c:pt idx="6">
                  <c:v>3.7267080745341616E-2</c:v>
                </c:pt>
                <c:pt idx="7">
                  <c:v>5.0156739811912224E-2</c:v>
                </c:pt>
                <c:pt idx="8">
                  <c:v>6.2695924764890276E-2</c:v>
                </c:pt>
                <c:pt idx="9">
                  <c:v>4.6728971962616821E-2</c:v>
                </c:pt>
                <c:pt idx="10">
                  <c:v>3.4375000000000003E-2</c:v>
                </c:pt>
                <c:pt idx="11">
                  <c:v>6.4516129032258063E-2</c:v>
                </c:pt>
              </c:numCache>
            </c:numRef>
          </c:val>
          <c:extLst>
            <c:ext xmlns:c16="http://schemas.microsoft.com/office/drawing/2014/chart" uri="{C3380CC4-5D6E-409C-BE32-E72D297353CC}">
              <c16:uniqueId val="{00000000-4CB5-4A5C-B251-71BB67F3051A}"/>
            </c:ext>
          </c:extLst>
        </c:ser>
        <c:ser>
          <c:idx val="1"/>
          <c:order val="1"/>
          <c:tx>
            <c:strRef>
              <c:f>Blad1!$C$138</c:f>
              <c:strCache>
                <c:ptCount val="1"/>
                <c:pt idx="0">
                  <c:v>Niet mee eens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Blad1!$A$139:$A$150</c:f>
              <c:strCache>
                <c:ptCount val="12"/>
                <c:pt idx="0">
                  <c:v>Manier van lesgeven veranderd</c:v>
                </c:pt>
                <c:pt idx="1">
                  <c:v>Meer zicht op en kennis van actuele ontwikkelingen in vakgebied</c:v>
                </c:pt>
                <c:pt idx="2">
                  <c:v>Beter toegerust voor geven van eigentijds techniekonderwijs</c:v>
                </c:pt>
                <c:pt idx="3">
                  <c:v>Meer met LOB bezig dan voorheen</c:v>
                </c:pt>
                <c:pt idx="4">
                  <c:v>Meer aandacht voor doelgroepen als meiden, leerlingen met migratieachtergrond</c:v>
                </c:pt>
                <c:pt idx="5">
                  <c:v>Meer gericht op de regio buiten mijn school</c:v>
                </c:pt>
                <c:pt idx="6">
                  <c:v>Rol als docent is uitgebreid</c:v>
                </c:pt>
                <c:pt idx="7">
                  <c:v>Meer coachende rol naast rol als vakdocent</c:v>
                </c:pt>
                <c:pt idx="8">
                  <c:v>Meer gemotiveerd voor mijn vak</c:v>
                </c:pt>
                <c:pt idx="9">
                  <c:v>Ervaar meer werkdruk</c:v>
                </c:pt>
                <c:pt idx="10">
                  <c:v>Meer trots op mijn vak</c:v>
                </c:pt>
                <c:pt idx="11">
                  <c:v>Andere impact, namelijk (n=62)</c:v>
                </c:pt>
              </c:strCache>
            </c:strRef>
          </c:cat>
          <c:val>
            <c:numRef>
              <c:f>Blad1!$C$139:$C$150</c:f>
              <c:numCache>
                <c:formatCode>0%</c:formatCode>
                <c:ptCount val="12"/>
                <c:pt idx="0">
                  <c:v>0.14641744548286603</c:v>
                </c:pt>
                <c:pt idx="1">
                  <c:v>0.11838006230529595</c:v>
                </c:pt>
                <c:pt idx="2">
                  <c:v>0.11874999999999999</c:v>
                </c:pt>
                <c:pt idx="3">
                  <c:v>0.1557632398753894</c:v>
                </c:pt>
                <c:pt idx="4">
                  <c:v>0.18553459119496854</c:v>
                </c:pt>
                <c:pt idx="5">
                  <c:v>0.17445482866043613</c:v>
                </c:pt>
                <c:pt idx="6">
                  <c:v>0.11801242236024845</c:v>
                </c:pt>
                <c:pt idx="7">
                  <c:v>0.10344827586206896</c:v>
                </c:pt>
                <c:pt idx="8">
                  <c:v>7.8369905956112859E-2</c:v>
                </c:pt>
                <c:pt idx="9">
                  <c:v>0.14641744548286603</c:v>
                </c:pt>
                <c:pt idx="10">
                  <c:v>4.6875E-2</c:v>
                </c:pt>
                <c:pt idx="11">
                  <c:v>3.2258064516129031E-2</c:v>
                </c:pt>
              </c:numCache>
            </c:numRef>
          </c:val>
          <c:extLst>
            <c:ext xmlns:c16="http://schemas.microsoft.com/office/drawing/2014/chart" uri="{C3380CC4-5D6E-409C-BE32-E72D297353CC}">
              <c16:uniqueId val="{00000001-4CB5-4A5C-B251-71BB67F3051A}"/>
            </c:ext>
          </c:extLst>
        </c:ser>
        <c:ser>
          <c:idx val="2"/>
          <c:order val="2"/>
          <c:tx>
            <c:strRef>
              <c:f>Blad1!$D$138</c:f>
              <c:strCache>
                <c:ptCount val="1"/>
                <c:pt idx="0">
                  <c:v>Niet mee eens, niet mee oneens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Blad1!$A$139:$A$150</c:f>
              <c:strCache>
                <c:ptCount val="12"/>
                <c:pt idx="0">
                  <c:v>Manier van lesgeven veranderd</c:v>
                </c:pt>
                <c:pt idx="1">
                  <c:v>Meer zicht op en kennis van actuele ontwikkelingen in vakgebied</c:v>
                </c:pt>
                <c:pt idx="2">
                  <c:v>Beter toegerust voor geven van eigentijds techniekonderwijs</c:v>
                </c:pt>
                <c:pt idx="3">
                  <c:v>Meer met LOB bezig dan voorheen</c:v>
                </c:pt>
                <c:pt idx="4">
                  <c:v>Meer aandacht voor doelgroepen als meiden, leerlingen met migratieachtergrond</c:v>
                </c:pt>
                <c:pt idx="5">
                  <c:v>Meer gericht op de regio buiten mijn school</c:v>
                </c:pt>
                <c:pt idx="6">
                  <c:v>Rol als docent is uitgebreid</c:v>
                </c:pt>
                <c:pt idx="7">
                  <c:v>Meer coachende rol naast rol als vakdocent</c:v>
                </c:pt>
                <c:pt idx="8">
                  <c:v>Meer gemotiveerd voor mijn vak</c:v>
                </c:pt>
                <c:pt idx="9">
                  <c:v>Ervaar meer werkdruk</c:v>
                </c:pt>
                <c:pt idx="10">
                  <c:v>Meer trots op mijn vak</c:v>
                </c:pt>
                <c:pt idx="11">
                  <c:v>Andere impact, namelijk (n=62)</c:v>
                </c:pt>
              </c:strCache>
            </c:strRef>
          </c:cat>
          <c:val>
            <c:numRef>
              <c:f>Blad1!$D$139:$D$150</c:f>
              <c:numCache>
                <c:formatCode>0%</c:formatCode>
                <c:ptCount val="12"/>
                <c:pt idx="0">
                  <c:v>0.37694704049844235</c:v>
                </c:pt>
                <c:pt idx="1">
                  <c:v>0.29283489096573206</c:v>
                </c:pt>
                <c:pt idx="2">
                  <c:v>0.32187500000000002</c:v>
                </c:pt>
                <c:pt idx="3">
                  <c:v>0.40186915887850466</c:v>
                </c:pt>
                <c:pt idx="4">
                  <c:v>0.45911949685534592</c:v>
                </c:pt>
                <c:pt idx="5">
                  <c:v>0.34267912772585668</c:v>
                </c:pt>
                <c:pt idx="6">
                  <c:v>0.2608695652173913</c:v>
                </c:pt>
                <c:pt idx="7">
                  <c:v>0.31347962382445144</c:v>
                </c:pt>
                <c:pt idx="8">
                  <c:v>0.35109717868338558</c:v>
                </c:pt>
                <c:pt idx="9">
                  <c:v>0.38629283489096572</c:v>
                </c:pt>
                <c:pt idx="10">
                  <c:v>0.31562499999999999</c:v>
                </c:pt>
                <c:pt idx="11">
                  <c:v>0.64516129032258063</c:v>
                </c:pt>
              </c:numCache>
            </c:numRef>
          </c:val>
          <c:extLst>
            <c:ext xmlns:c16="http://schemas.microsoft.com/office/drawing/2014/chart" uri="{C3380CC4-5D6E-409C-BE32-E72D297353CC}">
              <c16:uniqueId val="{00000002-4CB5-4A5C-B251-71BB67F3051A}"/>
            </c:ext>
          </c:extLst>
        </c:ser>
        <c:ser>
          <c:idx val="3"/>
          <c:order val="3"/>
          <c:tx>
            <c:strRef>
              <c:f>Blad1!$E$138</c:f>
              <c:strCache>
                <c:ptCount val="1"/>
                <c:pt idx="0">
                  <c:v>Mee eens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Blad1!$A$139:$A$150</c:f>
              <c:strCache>
                <c:ptCount val="12"/>
                <c:pt idx="0">
                  <c:v>Manier van lesgeven veranderd</c:v>
                </c:pt>
                <c:pt idx="1">
                  <c:v>Meer zicht op en kennis van actuele ontwikkelingen in vakgebied</c:v>
                </c:pt>
                <c:pt idx="2">
                  <c:v>Beter toegerust voor geven van eigentijds techniekonderwijs</c:v>
                </c:pt>
                <c:pt idx="3">
                  <c:v>Meer met LOB bezig dan voorheen</c:v>
                </c:pt>
                <c:pt idx="4">
                  <c:v>Meer aandacht voor doelgroepen als meiden, leerlingen met migratieachtergrond</c:v>
                </c:pt>
                <c:pt idx="5">
                  <c:v>Meer gericht op de regio buiten mijn school</c:v>
                </c:pt>
                <c:pt idx="6">
                  <c:v>Rol als docent is uitgebreid</c:v>
                </c:pt>
                <c:pt idx="7">
                  <c:v>Meer coachende rol naast rol als vakdocent</c:v>
                </c:pt>
                <c:pt idx="8">
                  <c:v>Meer gemotiveerd voor mijn vak</c:v>
                </c:pt>
                <c:pt idx="9">
                  <c:v>Ervaar meer werkdruk</c:v>
                </c:pt>
                <c:pt idx="10">
                  <c:v>Meer trots op mijn vak</c:v>
                </c:pt>
                <c:pt idx="11">
                  <c:v>Andere impact, namelijk (n=62)</c:v>
                </c:pt>
              </c:strCache>
            </c:strRef>
          </c:cat>
          <c:val>
            <c:numRef>
              <c:f>Blad1!$E$139:$E$150</c:f>
              <c:numCache>
                <c:formatCode>0%</c:formatCode>
                <c:ptCount val="12"/>
                <c:pt idx="0">
                  <c:v>0.3925233644859813</c:v>
                </c:pt>
                <c:pt idx="1">
                  <c:v>0.48598130841121495</c:v>
                </c:pt>
                <c:pt idx="2">
                  <c:v>0.45624999999999999</c:v>
                </c:pt>
                <c:pt idx="3">
                  <c:v>0.3364485981308411</c:v>
                </c:pt>
                <c:pt idx="4">
                  <c:v>0.24842767295597484</c:v>
                </c:pt>
                <c:pt idx="5">
                  <c:v>0.37383177570093457</c:v>
                </c:pt>
                <c:pt idx="6">
                  <c:v>0.42236024844720499</c:v>
                </c:pt>
                <c:pt idx="7">
                  <c:v>0.41065830721003133</c:v>
                </c:pt>
                <c:pt idx="8">
                  <c:v>0.38244514106583072</c:v>
                </c:pt>
                <c:pt idx="9">
                  <c:v>0.31464174454828658</c:v>
                </c:pt>
                <c:pt idx="10">
                  <c:v>0.38437500000000002</c:v>
                </c:pt>
                <c:pt idx="11">
                  <c:v>8.0645161290322578E-2</c:v>
                </c:pt>
              </c:numCache>
            </c:numRef>
          </c:val>
          <c:extLst>
            <c:ext xmlns:c16="http://schemas.microsoft.com/office/drawing/2014/chart" uri="{C3380CC4-5D6E-409C-BE32-E72D297353CC}">
              <c16:uniqueId val="{00000003-4CB5-4A5C-B251-71BB67F3051A}"/>
            </c:ext>
          </c:extLst>
        </c:ser>
        <c:ser>
          <c:idx val="4"/>
          <c:order val="4"/>
          <c:tx>
            <c:strRef>
              <c:f>Blad1!$F$138</c:f>
              <c:strCache>
                <c:ptCount val="1"/>
                <c:pt idx="0">
                  <c:v>Helemaal mee eens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Blad1!$A$139:$A$150</c:f>
              <c:strCache>
                <c:ptCount val="12"/>
                <c:pt idx="0">
                  <c:v>Manier van lesgeven veranderd</c:v>
                </c:pt>
                <c:pt idx="1">
                  <c:v>Meer zicht op en kennis van actuele ontwikkelingen in vakgebied</c:v>
                </c:pt>
                <c:pt idx="2">
                  <c:v>Beter toegerust voor geven van eigentijds techniekonderwijs</c:v>
                </c:pt>
                <c:pt idx="3">
                  <c:v>Meer met LOB bezig dan voorheen</c:v>
                </c:pt>
                <c:pt idx="4">
                  <c:v>Meer aandacht voor doelgroepen als meiden, leerlingen met migratieachtergrond</c:v>
                </c:pt>
                <c:pt idx="5">
                  <c:v>Meer gericht op de regio buiten mijn school</c:v>
                </c:pt>
                <c:pt idx="6">
                  <c:v>Rol als docent is uitgebreid</c:v>
                </c:pt>
                <c:pt idx="7">
                  <c:v>Meer coachende rol naast rol als vakdocent</c:v>
                </c:pt>
                <c:pt idx="8">
                  <c:v>Meer gemotiveerd voor mijn vak</c:v>
                </c:pt>
                <c:pt idx="9">
                  <c:v>Ervaar meer werkdruk</c:v>
                </c:pt>
                <c:pt idx="10">
                  <c:v>Meer trots op mijn vak</c:v>
                </c:pt>
                <c:pt idx="11">
                  <c:v>Andere impact, namelijk (n=62)</c:v>
                </c:pt>
              </c:strCache>
            </c:strRef>
          </c:cat>
          <c:val>
            <c:numRef>
              <c:f>Blad1!$F$139:$F$150</c:f>
              <c:numCache>
                <c:formatCode>0%</c:formatCode>
                <c:ptCount val="12"/>
                <c:pt idx="0">
                  <c:v>1.8691588785046728E-2</c:v>
                </c:pt>
                <c:pt idx="1">
                  <c:v>4.6728971962616821E-2</c:v>
                </c:pt>
                <c:pt idx="2">
                  <c:v>0.05</c:v>
                </c:pt>
                <c:pt idx="3">
                  <c:v>5.6074766355140186E-2</c:v>
                </c:pt>
                <c:pt idx="4">
                  <c:v>2.8301886792452831E-2</c:v>
                </c:pt>
                <c:pt idx="5">
                  <c:v>5.6074766355140186E-2</c:v>
                </c:pt>
                <c:pt idx="6">
                  <c:v>0.16149068322981366</c:v>
                </c:pt>
                <c:pt idx="7">
                  <c:v>0.12225705329153605</c:v>
                </c:pt>
                <c:pt idx="8">
                  <c:v>0.12539184952978055</c:v>
                </c:pt>
                <c:pt idx="9">
                  <c:v>0.1059190031152648</c:v>
                </c:pt>
                <c:pt idx="10">
                  <c:v>0.21875</c:v>
                </c:pt>
                <c:pt idx="11">
                  <c:v>0.17741935483870969</c:v>
                </c:pt>
              </c:numCache>
            </c:numRef>
          </c:val>
          <c:extLst>
            <c:ext xmlns:c16="http://schemas.microsoft.com/office/drawing/2014/chart" uri="{C3380CC4-5D6E-409C-BE32-E72D297353CC}">
              <c16:uniqueId val="{00000004-4CB5-4A5C-B251-71BB67F3051A}"/>
            </c:ext>
          </c:extLst>
        </c:ser>
        <c:dLbls>
          <c:dLblPos val="ctr"/>
          <c:showLegendKey val="0"/>
          <c:showVal val="1"/>
          <c:showCatName val="0"/>
          <c:showSerName val="0"/>
          <c:showPercent val="0"/>
          <c:showBubbleSize val="0"/>
        </c:dLbls>
        <c:gapWidth val="50"/>
        <c:overlap val="100"/>
        <c:axId val="1790957647"/>
        <c:axId val="1790950447"/>
      </c:barChart>
      <c:catAx>
        <c:axId val="179095764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crossAx val="1790950447"/>
        <c:crosses val="autoZero"/>
        <c:auto val="1"/>
        <c:lblAlgn val="ctr"/>
        <c:lblOffset val="100"/>
        <c:noMultiLvlLbl val="0"/>
      </c:catAx>
      <c:valAx>
        <c:axId val="1790950447"/>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790957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nl-N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nl-NL"/>
              <a:t>Impact op leerlingen (n=319). Door de veranderingen</a:t>
            </a:r>
            <a:r>
              <a:rPr lang="nl-NL" baseline="0"/>
              <a:t> in STO is:</a:t>
            </a:r>
            <a:endParaRPr lang="nl-NL"/>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percentStacked"/>
        <c:varyColors val="0"/>
        <c:ser>
          <c:idx val="0"/>
          <c:order val="0"/>
          <c:tx>
            <c:strRef>
              <c:f>Blad1!$B$151</c:f>
              <c:strCache>
                <c:ptCount val="1"/>
                <c:pt idx="0">
                  <c:v>Helemaal niet mee eens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Blad1!$A$152:$A$159</c:f>
              <c:strCache>
                <c:ptCount val="8"/>
                <c:pt idx="0">
                  <c:v>Meer gemotiveerd voor technisch onderwijs bij start bovenbouw</c:v>
                </c:pt>
                <c:pt idx="1">
                  <c:v>Beter en rijker techniekonderwijs in de bovenbouw</c:v>
                </c:pt>
                <c:pt idx="2">
                  <c:v>Meer zicht op actuele ontwikkelingen binnen wereld van techniek</c:v>
                </c:pt>
                <c:pt idx="3">
                  <c:v>Oriënteren zich beter/breder op technische en technologische vervolgopleidingen</c:v>
                </c:pt>
                <c:pt idx="4">
                  <c:v>Maken een bewustere keuze voor een vervolgopleiding</c:v>
                </c:pt>
                <c:pt idx="5">
                  <c:v>Zijn beter voorbereid op een vervolgopleiding</c:v>
                </c:pt>
                <c:pt idx="6">
                  <c:v>Toegenomen bereikbaarheid van techniekonderwijs in de regio</c:v>
                </c:pt>
                <c:pt idx="7">
                  <c:v>Andere impact, namelijk (n=59)</c:v>
                </c:pt>
              </c:strCache>
            </c:strRef>
          </c:cat>
          <c:val>
            <c:numRef>
              <c:f>Blad1!$B$152:$B$159</c:f>
              <c:numCache>
                <c:formatCode>0%</c:formatCode>
                <c:ptCount val="8"/>
                <c:pt idx="0">
                  <c:v>3.1446540880503145E-2</c:v>
                </c:pt>
                <c:pt idx="1">
                  <c:v>2.5157232704402517E-2</c:v>
                </c:pt>
                <c:pt idx="2">
                  <c:v>2.5078369905956112E-2</c:v>
                </c:pt>
                <c:pt idx="3">
                  <c:v>2.8481012658227847E-2</c:v>
                </c:pt>
                <c:pt idx="4">
                  <c:v>2.5157232704402517E-2</c:v>
                </c:pt>
                <c:pt idx="5">
                  <c:v>2.20125786163522E-2</c:v>
                </c:pt>
                <c:pt idx="6">
                  <c:v>2.8391167192429023E-2</c:v>
                </c:pt>
                <c:pt idx="7">
                  <c:v>3.3898305084745763E-2</c:v>
                </c:pt>
              </c:numCache>
            </c:numRef>
          </c:val>
          <c:extLst>
            <c:ext xmlns:c16="http://schemas.microsoft.com/office/drawing/2014/chart" uri="{C3380CC4-5D6E-409C-BE32-E72D297353CC}">
              <c16:uniqueId val="{00000000-5C1B-4156-9606-15866DCA8D31}"/>
            </c:ext>
          </c:extLst>
        </c:ser>
        <c:ser>
          <c:idx val="1"/>
          <c:order val="1"/>
          <c:tx>
            <c:strRef>
              <c:f>Blad1!$C$151</c:f>
              <c:strCache>
                <c:ptCount val="1"/>
                <c:pt idx="0">
                  <c:v>Niet mee eens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Blad1!$A$152:$A$159</c:f>
              <c:strCache>
                <c:ptCount val="8"/>
                <c:pt idx="0">
                  <c:v>Meer gemotiveerd voor technisch onderwijs bij start bovenbouw</c:v>
                </c:pt>
                <c:pt idx="1">
                  <c:v>Beter en rijker techniekonderwijs in de bovenbouw</c:v>
                </c:pt>
                <c:pt idx="2">
                  <c:v>Meer zicht op actuele ontwikkelingen binnen wereld van techniek</c:v>
                </c:pt>
                <c:pt idx="3">
                  <c:v>Oriënteren zich beter/breder op technische en technologische vervolgopleidingen</c:v>
                </c:pt>
                <c:pt idx="4">
                  <c:v>Maken een bewustere keuze voor een vervolgopleiding</c:v>
                </c:pt>
                <c:pt idx="5">
                  <c:v>Zijn beter voorbereid op een vervolgopleiding</c:v>
                </c:pt>
                <c:pt idx="6">
                  <c:v>Toegenomen bereikbaarheid van techniekonderwijs in de regio</c:v>
                </c:pt>
                <c:pt idx="7">
                  <c:v>Andere impact, namelijk (n=59)</c:v>
                </c:pt>
              </c:strCache>
            </c:strRef>
          </c:cat>
          <c:val>
            <c:numRef>
              <c:f>Blad1!$C$152:$C$159</c:f>
              <c:numCache>
                <c:formatCode>0%</c:formatCode>
                <c:ptCount val="8"/>
                <c:pt idx="0">
                  <c:v>0.12893081761006289</c:v>
                </c:pt>
                <c:pt idx="1">
                  <c:v>7.5471698113207544E-2</c:v>
                </c:pt>
                <c:pt idx="2">
                  <c:v>7.5235109717868343E-2</c:v>
                </c:pt>
                <c:pt idx="3">
                  <c:v>9.1772151898734181E-2</c:v>
                </c:pt>
                <c:pt idx="4">
                  <c:v>7.2327044025157231E-2</c:v>
                </c:pt>
                <c:pt idx="5">
                  <c:v>7.5471698113207544E-2</c:v>
                </c:pt>
                <c:pt idx="6">
                  <c:v>7.5709779179810727E-2</c:v>
                </c:pt>
                <c:pt idx="7">
                  <c:v>1.6949152542372881E-2</c:v>
                </c:pt>
              </c:numCache>
            </c:numRef>
          </c:val>
          <c:extLst>
            <c:ext xmlns:c16="http://schemas.microsoft.com/office/drawing/2014/chart" uri="{C3380CC4-5D6E-409C-BE32-E72D297353CC}">
              <c16:uniqueId val="{00000001-5C1B-4156-9606-15866DCA8D31}"/>
            </c:ext>
          </c:extLst>
        </c:ser>
        <c:ser>
          <c:idx val="2"/>
          <c:order val="2"/>
          <c:tx>
            <c:strRef>
              <c:f>Blad1!$D$151</c:f>
              <c:strCache>
                <c:ptCount val="1"/>
                <c:pt idx="0">
                  <c:v>Niet mee eens, niet mee oneens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Blad1!$A$152:$A$159</c:f>
              <c:strCache>
                <c:ptCount val="8"/>
                <c:pt idx="0">
                  <c:v>Meer gemotiveerd voor technisch onderwijs bij start bovenbouw</c:v>
                </c:pt>
                <c:pt idx="1">
                  <c:v>Beter en rijker techniekonderwijs in de bovenbouw</c:v>
                </c:pt>
                <c:pt idx="2">
                  <c:v>Meer zicht op actuele ontwikkelingen binnen wereld van techniek</c:v>
                </c:pt>
                <c:pt idx="3">
                  <c:v>Oriënteren zich beter/breder op technische en technologische vervolgopleidingen</c:v>
                </c:pt>
                <c:pt idx="4">
                  <c:v>Maken een bewustere keuze voor een vervolgopleiding</c:v>
                </c:pt>
                <c:pt idx="5">
                  <c:v>Zijn beter voorbereid op een vervolgopleiding</c:v>
                </c:pt>
                <c:pt idx="6">
                  <c:v>Toegenomen bereikbaarheid van techniekonderwijs in de regio</c:v>
                </c:pt>
                <c:pt idx="7">
                  <c:v>Andere impact, namelijk (n=59)</c:v>
                </c:pt>
              </c:strCache>
            </c:strRef>
          </c:cat>
          <c:val>
            <c:numRef>
              <c:f>Blad1!$D$152:$D$159</c:f>
              <c:numCache>
                <c:formatCode>0%</c:formatCode>
                <c:ptCount val="8"/>
                <c:pt idx="0">
                  <c:v>0.42138364779874216</c:v>
                </c:pt>
                <c:pt idx="1">
                  <c:v>0.20754716981132076</c:v>
                </c:pt>
                <c:pt idx="2">
                  <c:v>0.2884012539184953</c:v>
                </c:pt>
                <c:pt idx="3">
                  <c:v>0.32594936708860761</c:v>
                </c:pt>
                <c:pt idx="4">
                  <c:v>0.43396226415094341</c:v>
                </c:pt>
                <c:pt idx="5">
                  <c:v>0.39937106918238996</c:v>
                </c:pt>
                <c:pt idx="6">
                  <c:v>0.45425867507886436</c:v>
                </c:pt>
                <c:pt idx="7">
                  <c:v>0.77966101694915257</c:v>
                </c:pt>
              </c:numCache>
            </c:numRef>
          </c:val>
          <c:extLst>
            <c:ext xmlns:c16="http://schemas.microsoft.com/office/drawing/2014/chart" uri="{C3380CC4-5D6E-409C-BE32-E72D297353CC}">
              <c16:uniqueId val="{00000002-5C1B-4156-9606-15866DCA8D31}"/>
            </c:ext>
          </c:extLst>
        </c:ser>
        <c:ser>
          <c:idx val="3"/>
          <c:order val="3"/>
          <c:tx>
            <c:strRef>
              <c:f>Blad1!$E$151</c:f>
              <c:strCache>
                <c:ptCount val="1"/>
                <c:pt idx="0">
                  <c:v>Mee eens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Blad1!$A$152:$A$159</c:f>
              <c:strCache>
                <c:ptCount val="8"/>
                <c:pt idx="0">
                  <c:v>Meer gemotiveerd voor technisch onderwijs bij start bovenbouw</c:v>
                </c:pt>
                <c:pt idx="1">
                  <c:v>Beter en rijker techniekonderwijs in de bovenbouw</c:v>
                </c:pt>
                <c:pt idx="2">
                  <c:v>Meer zicht op actuele ontwikkelingen binnen wereld van techniek</c:v>
                </c:pt>
                <c:pt idx="3">
                  <c:v>Oriënteren zich beter/breder op technische en technologische vervolgopleidingen</c:v>
                </c:pt>
                <c:pt idx="4">
                  <c:v>Maken een bewustere keuze voor een vervolgopleiding</c:v>
                </c:pt>
                <c:pt idx="5">
                  <c:v>Zijn beter voorbereid op een vervolgopleiding</c:v>
                </c:pt>
                <c:pt idx="6">
                  <c:v>Toegenomen bereikbaarheid van techniekonderwijs in de regio</c:v>
                </c:pt>
                <c:pt idx="7">
                  <c:v>Andere impact, namelijk (n=59)</c:v>
                </c:pt>
              </c:strCache>
            </c:strRef>
          </c:cat>
          <c:val>
            <c:numRef>
              <c:f>Blad1!$E$152:$E$159</c:f>
              <c:numCache>
                <c:formatCode>0%</c:formatCode>
                <c:ptCount val="8"/>
                <c:pt idx="0">
                  <c:v>0.39937106918238996</c:v>
                </c:pt>
                <c:pt idx="1">
                  <c:v>0.59748427672955973</c:v>
                </c:pt>
                <c:pt idx="2">
                  <c:v>0.57053291536050155</c:v>
                </c:pt>
                <c:pt idx="3">
                  <c:v>0.52531645569620256</c:v>
                </c:pt>
                <c:pt idx="4">
                  <c:v>0.42138364779874216</c:v>
                </c:pt>
                <c:pt idx="5">
                  <c:v>0.44339622641509435</c:v>
                </c:pt>
                <c:pt idx="6">
                  <c:v>0.39116719242902209</c:v>
                </c:pt>
                <c:pt idx="7">
                  <c:v>5.0847457627118647E-2</c:v>
                </c:pt>
              </c:numCache>
            </c:numRef>
          </c:val>
          <c:extLst>
            <c:ext xmlns:c16="http://schemas.microsoft.com/office/drawing/2014/chart" uri="{C3380CC4-5D6E-409C-BE32-E72D297353CC}">
              <c16:uniqueId val="{00000003-5C1B-4156-9606-15866DCA8D31}"/>
            </c:ext>
          </c:extLst>
        </c:ser>
        <c:ser>
          <c:idx val="4"/>
          <c:order val="4"/>
          <c:tx>
            <c:strRef>
              <c:f>Blad1!$F$151</c:f>
              <c:strCache>
                <c:ptCount val="1"/>
                <c:pt idx="0">
                  <c:v>Helemaal mee eens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Blad1!$A$152:$A$159</c:f>
              <c:strCache>
                <c:ptCount val="8"/>
                <c:pt idx="0">
                  <c:v>Meer gemotiveerd voor technisch onderwijs bij start bovenbouw</c:v>
                </c:pt>
                <c:pt idx="1">
                  <c:v>Beter en rijker techniekonderwijs in de bovenbouw</c:v>
                </c:pt>
                <c:pt idx="2">
                  <c:v>Meer zicht op actuele ontwikkelingen binnen wereld van techniek</c:v>
                </c:pt>
                <c:pt idx="3">
                  <c:v>Oriënteren zich beter/breder op technische en technologische vervolgopleidingen</c:v>
                </c:pt>
                <c:pt idx="4">
                  <c:v>Maken een bewustere keuze voor een vervolgopleiding</c:v>
                </c:pt>
                <c:pt idx="5">
                  <c:v>Zijn beter voorbereid op een vervolgopleiding</c:v>
                </c:pt>
                <c:pt idx="6">
                  <c:v>Toegenomen bereikbaarheid van techniekonderwijs in de regio</c:v>
                </c:pt>
                <c:pt idx="7">
                  <c:v>Andere impact, namelijk (n=59)</c:v>
                </c:pt>
              </c:strCache>
            </c:strRef>
          </c:cat>
          <c:val>
            <c:numRef>
              <c:f>Blad1!$F$152:$F$159</c:f>
              <c:numCache>
                <c:formatCode>0%</c:formatCode>
                <c:ptCount val="8"/>
                <c:pt idx="0">
                  <c:v>1.8867924528301886E-2</c:v>
                </c:pt>
                <c:pt idx="1">
                  <c:v>9.4339622641509441E-2</c:v>
                </c:pt>
                <c:pt idx="2">
                  <c:v>4.0752351097178681E-2</c:v>
                </c:pt>
                <c:pt idx="3">
                  <c:v>2.8481012658227847E-2</c:v>
                </c:pt>
                <c:pt idx="4">
                  <c:v>4.716981132075472E-2</c:v>
                </c:pt>
                <c:pt idx="5">
                  <c:v>5.9748427672955975E-2</c:v>
                </c:pt>
                <c:pt idx="6">
                  <c:v>5.0473186119873815E-2</c:v>
                </c:pt>
                <c:pt idx="7">
                  <c:v>0.11864406779661017</c:v>
                </c:pt>
              </c:numCache>
            </c:numRef>
          </c:val>
          <c:extLst>
            <c:ext xmlns:c16="http://schemas.microsoft.com/office/drawing/2014/chart" uri="{C3380CC4-5D6E-409C-BE32-E72D297353CC}">
              <c16:uniqueId val="{00000004-5C1B-4156-9606-15866DCA8D31}"/>
            </c:ext>
          </c:extLst>
        </c:ser>
        <c:dLbls>
          <c:dLblPos val="ctr"/>
          <c:showLegendKey val="0"/>
          <c:showVal val="1"/>
          <c:showCatName val="0"/>
          <c:showSerName val="0"/>
          <c:showPercent val="0"/>
          <c:showBubbleSize val="0"/>
        </c:dLbls>
        <c:gapWidth val="50"/>
        <c:overlap val="100"/>
        <c:axId val="1790957647"/>
        <c:axId val="1790950447"/>
      </c:barChart>
      <c:catAx>
        <c:axId val="179095764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crossAx val="1790950447"/>
        <c:crosses val="autoZero"/>
        <c:auto val="1"/>
        <c:lblAlgn val="ctr"/>
        <c:lblOffset val="100"/>
        <c:noMultiLvlLbl val="0"/>
      </c:catAx>
      <c:valAx>
        <c:axId val="1790950447"/>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790957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nl-N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nl-NL"/>
              <a:t>In hoeverre is LOB door Sterk Techniekonderwijs veranderd? (n=357)</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percentStacked"/>
        <c:varyColors val="0"/>
        <c:ser>
          <c:idx val="0"/>
          <c:order val="0"/>
          <c:tx>
            <c:strRef>
              <c:f>Blad1!$B$128</c:f>
              <c:strCache>
                <c:ptCount val="1"/>
                <c:pt idx="0">
                  <c:v>Helemaal niet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Blad1!$A$129:$A$135</c:f>
              <c:strCache>
                <c:ptCount val="7"/>
                <c:pt idx="0">
                  <c:v>Meer verbindingen met praktijk en/of vervolgopleidingen</c:v>
                </c:pt>
                <c:pt idx="1">
                  <c:v>Leerlingen meer echte ervaringen in beroepspraktijk</c:v>
                </c:pt>
                <c:pt idx="2">
                  <c:v>Meer samenhangend traject met meer mensen in school betrokken</c:v>
                </c:pt>
                <c:pt idx="3">
                  <c:v>Meer reflectie op praktijkervaringen van lln in gesprekken</c:v>
                </c:pt>
                <c:pt idx="4">
                  <c:v>Ouders actiever betrokken bij activiteiten rondom LOB</c:v>
                </c:pt>
                <c:pt idx="5">
                  <c:v>Meer aandacht voor verwachtingspatronen</c:v>
                </c:pt>
                <c:pt idx="6">
                  <c:v>Leerlingen beter zicht op beroepen/opleidingen en bewustere vervolgkeuze</c:v>
                </c:pt>
              </c:strCache>
            </c:strRef>
          </c:cat>
          <c:val>
            <c:numRef>
              <c:f>Blad1!$B$129:$B$135</c:f>
              <c:numCache>
                <c:formatCode>0%</c:formatCode>
                <c:ptCount val="7"/>
                <c:pt idx="0">
                  <c:v>3.081232492997199E-2</c:v>
                </c:pt>
                <c:pt idx="1">
                  <c:v>3.3613445378151259E-2</c:v>
                </c:pt>
                <c:pt idx="2">
                  <c:v>3.081232492997199E-2</c:v>
                </c:pt>
                <c:pt idx="3">
                  <c:v>3.081232492997199E-2</c:v>
                </c:pt>
                <c:pt idx="4">
                  <c:v>6.1624649859943981E-2</c:v>
                </c:pt>
                <c:pt idx="5">
                  <c:v>3.3613445378151259E-2</c:v>
                </c:pt>
                <c:pt idx="6">
                  <c:v>1.9607843137254902E-2</c:v>
                </c:pt>
              </c:numCache>
            </c:numRef>
          </c:val>
          <c:extLst>
            <c:ext xmlns:c16="http://schemas.microsoft.com/office/drawing/2014/chart" uri="{C3380CC4-5D6E-409C-BE32-E72D297353CC}">
              <c16:uniqueId val="{00000000-5B31-4A91-A84B-5437A6964C02}"/>
            </c:ext>
          </c:extLst>
        </c:ser>
        <c:ser>
          <c:idx val="1"/>
          <c:order val="1"/>
          <c:tx>
            <c:strRef>
              <c:f>Blad1!$C$128</c:f>
              <c:strCache>
                <c:ptCount val="1"/>
                <c:pt idx="0">
                  <c:v>Niet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Blad1!$A$129:$A$135</c:f>
              <c:strCache>
                <c:ptCount val="7"/>
                <c:pt idx="0">
                  <c:v>Meer verbindingen met praktijk en/of vervolgopleidingen</c:v>
                </c:pt>
                <c:pt idx="1">
                  <c:v>Leerlingen meer echte ervaringen in beroepspraktijk</c:v>
                </c:pt>
                <c:pt idx="2">
                  <c:v>Meer samenhangend traject met meer mensen in school betrokken</c:v>
                </c:pt>
                <c:pt idx="3">
                  <c:v>Meer reflectie op praktijkervaringen van lln in gesprekken</c:v>
                </c:pt>
                <c:pt idx="4">
                  <c:v>Ouders actiever betrokken bij activiteiten rondom LOB</c:v>
                </c:pt>
                <c:pt idx="5">
                  <c:v>Meer aandacht voor verwachtingspatronen</c:v>
                </c:pt>
                <c:pt idx="6">
                  <c:v>Leerlingen beter zicht op beroepen/opleidingen en bewustere vervolgkeuze</c:v>
                </c:pt>
              </c:strCache>
            </c:strRef>
          </c:cat>
          <c:val>
            <c:numRef>
              <c:f>Blad1!$C$129:$C$135</c:f>
              <c:numCache>
                <c:formatCode>0%</c:formatCode>
                <c:ptCount val="7"/>
                <c:pt idx="0">
                  <c:v>9.8039215686274508E-2</c:v>
                </c:pt>
                <c:pt idx="1">
                  <c:v>0.10084033613445378</c:v>
                </c:pt>
                <c:pt idx="2">
                  <c:v>0.11204481792717087</c:v>
                </c:pt>
                <c:pt idx="3">
                  <c:v>0.15966386554621848</c:v>
                </c:pt>
                <c:pt idx="4">
                  <c:v>0.17927170868347339</c:v>
                </c:pt>
                <c:pt idx="5">
                  <c:v>0.14005602240896359</c:v>
                </c:pt>
                <c:pt idx="6">
                  <c:v>7.2829131652661069E-2</c:v>
                </c:pt>
              </c:numCache>
            </c:numRef>
          </c:val>
          <c:extLst>
            <c:ext xmlns:c16="http://schemas.microsoft.com/office/drawing/2014/chart" uri="{C3380CC4-5D6E-409C-BE32-E72D297353CC}">
              <c16:uniqueId val="{00000001-5B31-4A91-A84B-5437A6964C02}"/>
            </c:ext>
          </c:extLst>
        </c:ser>
        <c:ser>
          <c:idx val="2"/>
          <c:order val="2"/>
          <c:tx>
            <c:strRef>
              <c:f>Blad1!$D$128</c:f>
              <c:strCache>
                <c:ptCount val="1"/>
                <c:pt idx="0">
                  <c:v>Neutraal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Blad1!$A$129:$A$135</c:f>
              <c:strCache>
                <c:ptCount val="7"/>
                <c:pt idx="0">
                  <c:v>Meer verbindingen met praktijk en/of vervolgopleidingen</c:v>
                </c:pt>
                <c:pt idx="1">
                  <c:v>Leerlingen meer echte ervaringen in beroepspraktijk</c:v>
                </c:pt>
                <c:pt idx="2">
                  <c:v>Meer samenhangend traject met meer mensen in school betrokken</c:v>
                </c:pt>
                <c:pt idx="3">
                  <c:v>Meer reflectie op praktijkervaringen van lln in gesprekken</c:v>
                </c:pt>
                <c:pt idx="4">
                  <c:v>Ouders actiever betrokken bij activiteiten rondom LOB</c:v>
                </c:pt>
                <c:pt idx="5">
                  <c:v>Meer aandacht voor verwachtingspatronen</c:v>
                </c:pt>
                <c:pt idx="6">
                  <c:v>Leerlingen beter zicht op beroepen/opleidingen en bewustere vervolgkeuze</c:v>
                </c:pt>
              </c:strCache>
            </c:strRef>
          </c:cat>
          <c:val>
            <c:numRef>
              <c:f>Blad1!$D$129:$D$135</c:f>
              <c:numCache>
                <c:formatCode>0%</c:formatCode>
                <c:ptCount val="7"/>
                <c:pt idx="0">
                  <c:v>0.40896358543417366</c:v>
                </c:pt>
                <c:pt idx="1">
                  <c:v>0.32773109243697479</c:v>
                </c:pt>
                <c:pt idx="2">
                  <c:v>0.46218487394957986</c:v>
                </c:pt>
                <c:pt idx="3">
                  <c:v>0.5266106442577031</c:v>
                </c:pt>
                <c:pt idx="4">
                  <c:v>0.51820728291316531</c:v>
                </c:pt>
                <c:pt idx="5">
                  <c:v>0.48739495798319327</c:v>
                </c:pt>
                <c:pt idx="6">
                  <c:v>0.39215686274509803</c:v>
                </c:pt>
              </c:numCache>
            </c:numRef>
          </c:val>
          <c:extLst>
            <c:ext xmlns:c16="http://schemas.microsoft.com/office/drawing/2014/chart" uri="{C3380CC4-5D6E-409C-BE32-E72D297353CC}">
              <c16:uniqueId val="{00000002-5B31-4A91-A84B-5437A6964C02}"/>
            </c:ext>
          </c:extLst>
        </c:ser>
        <c:ser>
          <c:idx val="3"/>
          <c:order val="3"/>
          <c:tx>
            <c:strRef>
              <c:f>Blad1!$E$128</c:f>
              <c:strCache>
                <c:ptCount val="1"/>
                <c:pt idx="0">
                  <c:v>Sterk</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Blad1!$A$129:$A$135</c:f>
              <c:strCache>
                <c:ptCount val="7"/>
                <c:pt idx="0">
                  <c:v>Meer verbindingen met praktijk en/of vervolgopleidingen</c:v>
                </c:pt>
                <c:pt idx="1">
                  <c:v>Leerlingen meer echte ervaringen in beroepspraktijk</c:v>
                </c:pt>
                <c:pt idx="2">
                  <c:v>Meer samenhangend traject met meer mensen in school betrokken</c:v>
                </c:pt>
                <c:pt idx="3">
                  <c:v>Meer reflectie op praktijkervaringen van lln in gesprekken</c:v>
                </c:pt>
                <c:pt idx="4">
                  <c:v>Ouders actiever betrokken bij activiteiten rondom LOB</c:v>
                </c:pt>
                <c:pt idx="5">
                  <c:v>Meer aandacht voor verwachtingspatronen</c:v>
                </c:pt>
                <c:pt idx="6">
                  <c:v>Leerlingen beter zicht op beroepen/opleidingen en bewustere vervolgkeuze</c:v>
                </c:pt>
              </c:strCache>
            </c:strRef>
          </c:cat>
          <c:val>
            <c:numRef>
              <c:f>Blad1!$E$129:$E$135</c:f>
              <c:numCache>
                <c:formatCode>0%</c:formatCode>
                <c:ptCount val="7"/>
                <c:pt idx="0">
                  <c:v>0.39215686274509803</c:v>
                </c:pt>
                <c:pt idx="1">
                  <c:v>0.43697478991596639</c:v>
                </c:pt>
                <c:pt idx="2">
                  <c:v>0.36414565826330531</c:v>
                </c:pt>
                <c:pt idx="3">
                  <c:v>0.25770308123249297</c:v>
                </c:pt>
                <c:pt idx="4">
                  <c:v>0.22128851540616246</c:v>
                </c:pt>
                <c:pt idx="5">
                  <c:v>0.29411764705882354</c:v>
                </c:pt>
                <c:pt idx="6">
                  <c:v>0.45378151260504201</c:v>
                </c:pt>
              </c:numCache>
            </c:numRef>
          </c:val>
          <c:extLst>
            <c:ext xmlns:c16="http://schemas.microsoft.com/office/drawing/2014/chart" uri="{C3380CC4-5D6E-409C-BE32-E72D297353CC}">
              <c16:uniqueId val="{00000003-5B31-4A91-A84B-5437A6964C02}"/>
            </c:ext>
          </c:extLst>
        </c:ser>
        <c:ser>
          <c:idx val="4"/>
          <c:order val="4"/>
          <c:tx>
            <c:strRef>
              <c:f>Blad1!$F$128</c:f>
              <c:strCache>
                <c:ptCount val="1"/>
                <c:pt idx="0">
                  <c:v>Zeer sterk</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Blad1!$A$129:$A$135</c:f>
              <c:strCache>
                <c:ptCount val="7"/>
                <c:pt idx="0">
                  <c:v>Meer verbindingen met praktijk en/of vervolgopleidingen</c:v>
                </c:pt>
                <c:pt idx="1">
                  <c:v>Leerlingen meer echte ervaringen in beroepspraktijk</c:v>
                </c:pt>
                <c:pt idx="2">
                  <c:v>Meer samenhangend traject met meer mensen in school betrokken</c:v>
                </c:pt>
                <c:pt idx="3">
                  <c:v>Meer reflectie op praktijkervaringen van lln in gesprekken</c:v>
                </c:pt>
                <c:pt idx="4">
                  <c:v>Ouders actiever betrokken bij activiteiten rondom LOB</c:v>
                </c:pt>
                <c:pt idx="5">
                  <c:v>Meer aandacht voor verwachtingspatronen</c:v>
                </c:pt>
                <c:pt idx="6">
                  <c:v>Leerlingen beter zicht op beroepen/opleidingen en bewustere vervolgkeuze</c:v>
                </c:pt>
              </c:strCache>
            </c:strRef>
          </c:cat>
          <c:val>
            <c:numRef>
              <c:f>Blad1!$F$129:$F$135</c:f>
              <c:numCache>
                <c:formatCode>0%</c:formatCode>
                <c:ptCount val="7"/>
                <c:pt idx="0">
                  <c:v>7.0028011204481794E-2</c:v>
                </c:pt>
                <c:pt idx="1">
                  <c:v>0.10084033613445378</c:v>
                </c:pt>
                <c:pt idx="2">
                  <c:v>3.081232492997199E-2</c:v>
                </c:pt>
                <c:pt idx="3">
                  <c:v>2.5210084033613446E-2</c:v>
                </c:pt>
                <c:pt idx="4">
                  <c:v>1.9607843137254902E-2</c:v>
                </c:pt>
                <c:pt idx="5">
                  <c:v>4.4817927170868348E-2</c:v>
                </c:pt>
                <c:pt idx="6">
                  <c:v>6.1624649859943981E-2</c:v>
                </c:pt>
              </c:numCache>
            </c:numRef>
          </c:val>
          <c:extLst>
            <c:ext xmlns:c16="http://schemas.microsoft.com/office/drawing/2014/chart" uri="{C3380CC4-5D6E-409C-BE32-E72D297353CC}">
              <c16:uniqueId val="{00000004-5B31-4A91-A84B-5437A6964C02}"/>
            </c:ext>
          </c:extLst>
        </c:ser>
        <c:dLbls>
          <c:dLblPos val="ctr"/>
          <c:showLegendKey val="0"/>
          <c:showVal val="1"/>
          <c:showCatName val="0"/>
          <c:showSerName val="0"/>
          <c:showPercent val="0"/>
          <c:showBubbleSize val="0"/>
        </c:dLbls>
        <c:gapWidth val="50"/>
        <c:overlap val="100"/>
        <c:axId val="1790957647"/>
        <c:axId val="1790950447"/>
      </c:barChart>
      <c:catAx>
        <c:axId val="179095764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790950447"/>
        <c:crosses val="autoZero"/>
        <c:auto val="1"/>
        <c:lblAlgn val="ctr"/>
        <c:lblOffset val="100"/>
        <c:noMultiLvlLbl val="0"/>
      </c:catAx>
      <c:valAx>
        <c:axId val="1790950447"/>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790957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nl-N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nl-NL"/>
              <a:t>Impact op techniekonderwijs (n=317). Door de veranderingen</a:t>
            </a:r>
            <a:r>
              <a:rPr lang="nl-NL" baseline="0"/>
              <a:t> in STO is:</a:t>
            </a:r>
            <a:endParaRPr lang="nl-NL"/>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percentStacked"/>
        <c:varyColors val="0"/>
        <c:ser>
          <c:idx val="0"/>
          <c:order val="0"/>
          <c:tx>
            <c:strRef>
              <c:f>Figuren!$B$160</c:f>
              <c:strCache>
                <c:ptCount val="1"/>
                <c:pt idx="0">
                  <c:v>Helemaal niet mee eens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Figuren!$A$161:$A$168</c:f>
              <c:strCache>
                <c:ptCount val="8"/>
                <c:pt idx="0">
                  <c:v>Het techniekonderwijs is meer afgestemd op de actuele (regionale) ontwikkelingen</c:v>
                </c:pt>
                <c:pt idx="1">
                  <c:v>Het technologisch onderwijs is meer afgestemd op de actuele (regionale) ontwikkelingen</c:v>
                </c:pt>
                <c:pt idx="2">
                  <c:v>Het techniekonderwijs in de onderwijsketen po-vmbo-mbo sluit beter aan</c:v>
                </c:pt>
                <c:pt idx="3">
                  <c:v>Het technologisch onderwijs in de onderwijsketen po-vmbo-mbo sluit beter aan</c:v>
                </c:pt>
                <c:pt idx="4">
                  <c:v>Het techniekonderwijs is beter organiseerbaar geworden</c:v>
                </c:pt>
                <c:pt idx="5">
                  <c:v>Het techniekonderwijs is praktijkgerichter geworden/vindt meer buitenschools plaats</c:v>
                </c:pt>
                <c:pt idx="6">
                  <c:v>De kwaliteit van de stage(plekken) is toegenomen</c:v>
                </c:pt>
                <c:pt idx="7">
                  <c:v>Andere impact, namelijk (n=63)</c:v>
                </c:pt>
              </c:strCache>
            </c:strRef>
          </c:cat>
          <c:val>
            <c:numRef>
              <c:f>Figuren!$B$161:$B$168</c:f>
              <c:numCache>
                <c:formatCode>0%</c:formatCode>
                <c:ptCount val="8"/>
                <c:pt idx="0">
                  <c:v>2.8391167192429023E-2</c:v>
                </c:pt>
                <c:pt idx="1">
                  <c:v>2.8391167192429023E-2</c:v>
                </c:pt>
                <c:pt idx="2">
                  <c:v>2.5236593059936908E-2</c:v>
                </c:pt>
                <c:pt idx="3">
                  <c:v>2.5559105431309903E-2</c:v>
                </c:pt>
                <c:pt idx="4">
                  <c:v>4.4164037854889593E-2</c:v>
                </c:pt>
                <c:pt idx="5">
                  <c:v>3.7974683544303799E-2</c:v>
                </c:pt>
                <c:pt idx="6">
                  <c:v>5.993690851735016E-2</c:v>
                </c:pt>
                <c:pt idx="7">
                  <c:v>3.1746031746031744E-2</c:v>
                </c:pt>
              </c:numCache>
            </c:numRef>
          </c:val>
          <c:extLst>
            <c:ext xmlns:c16="http://schemas.microsoft.com/office/drawing/2014/chart" uri="{C3380CC4-5D6E-409C-BE32-E72D297353CC}">
              <c16:uniqueId val="{00000000-6AE0-4102-98F9-6CA26145BDFD}"/>
            </c:ext>
          </c:extLst>
        </c:ser>
        <c:ser>
          <c:idx val="1"/>
          <c:order val="1"/>
          <c:tx>
            <c:strRef>
              <c:f>Figuren!$C$160</c:f>
              <c:strCache>
                <c:ptCount val="1"/>
                <c:pt idx="0">
                  <c:v>Niet mee eens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Figuren!$A$161:$A$168</c:f>
              <c:strCache>
                <c:ptCount val="8"/>
                <c:pt idx="0">
                  <c:v>Het techniekonderwijs is meer afgestemd op de actuele (regionale) ontwikkelingen</c:v>
                </c:pt>
                <c:pt idx="1">
                  <c:v>Het technologisch onderwijs is meer afgestemd op de actuele (regionale) ontwikkelingen</c:v>
                </c:pt>
                <c:pt idx="2">
                  <c:v>Het techniekonderwijs in de onderwijsketen po-vmbo-mbo sluit beter aan</c:v>
                </c:pt>
                <c:pt idx="3">
                  <c:v>Het technologisch onderwijs in de onderwijsketen po-vmbo-mbo sluit beter aan</c:v>
                </c:pt>
                <c:pt idx="4">
                  <c:v>Het techniekonderwijs is beter organiseerbaar geworden</c:v>
                </c:pt>
                <c:pt idx="5">
                  <c:v>Het techniekonderwijs is praktijkgerichter geworden/vindt meer buitenschools plaats</c:v>
                </c:pt>
                <c:pt idx="6">
                  <c:v>De kwaliteit van de stage(plekken) is toegenomen</c:v>
                </c:pt>
                <c:pt idx="7">
                  <c:v>Andere impact, namelijk (n=63)</c:v>
                </c:pt>
              </c:strCache>
            </c:strRef>
          </c:cat>
          <c:val>
            <c:numRef>
              <c:f>Figuren!$C$161:$C$168</c:f>
              <c:numCache>
                <c:formatCode>0%</c:formatCode>
                <c:ptCount val="8"/>
                <c:pt idx="0">
                  <c:v>9.4637223974763401E-2</c:v>
                </c:pt>
                <c:pt idx="1">
                  <c:v>8.2018927444794956E-2</c:v>
                </c:pt>
                <c:pt idx="2">
                  <c:v>9.4637223974763401E-2</c:v>
                </c:pt>
                <c:pt idx="3">
                  <c:v>7.9872204472843447E-2</c:v>
                </c:pt>
                <c:pt idx="4">
                  <c:v>0.13249211356466878</c:v>
                </c:pt>
                <c:pt idx="5">
                  <c:v>0.12341772151898735</c:v>
                </c:pt>
                <c:pt idx="6">
                  <c:v>0.13880126182965299</c:v>
                </c:pt>
                <c:pt idx="7">
                  <c:v>1.5873015873015872E-2</c:v>
                </c:pt>
              </c:numCache>
            </c:numRef>
          </c:val>
          <c:extLst>
            <c:ext xmlns:c16="http://schemas.microsoft.com/office/drawing/2014/chart" uri="{C3380CC4-5D6E-409C-BE32-E72D297353CC}">
              <c16:uniqueId val="{00000001-6AE0-4102-98F9-6CA26145BDFD}"/>
            </c:ext>
          </c:extLst>
        </c:ser>
        <c:ser>
          <c:idx val="2"/>
          <c:order val="2"/>
          <c:tx>
            <c:strRef>
              <c:f>Figuren!$D$160</c:f>
              <c:strCache>
                <c:ptCount val="1"/>
                <c:pt idx="0">
                  <c:v>Niet mee eens, niet mee oneens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Figuren!$A$161:$A$168</c:f>
              <c:strCache>
                <c:ptCount val="8"/>
                <c:pt idx="0">
                  <c:v>Het techniekonderwijs is meer afgestemd op de actuele (regionale) ontwikkelingen</c:v>
                </c:pt>
                <c:pt idx="1">
                  <c:v>Het technologisch onderwijs is meer afgestemd op de actuele (regionale) ontwikkelingen</c:v>
                </c:pt>
                <c:pt idx="2">
                  <c:v>Het techniekonderwijs in de onderwijsketen po-vmbo-mbo sluit beter aan</c:v>
                </c:pt>
                <c:pt idx="3">
                  <c:v>Het technologisch onderwijs in de onderwijsketen po-vmbo-mbo sluit beter aan</c:v>
                </c:pt>
                <c:pt idx="4">
                  <c:v>Het techniekonderwijs is beter organiseerbaar geworden</c:v>
                </c:pt>
                <c:pt idx="5">
                  <c:v>Het techniekonderwijs is praktijkgerichter geworden/vindt meer buitenschools plaats</c:v>
                </c:pt>
                <c:pt idx="6">
                  <c:v>De kwaliteit van de stage(plekken) is toegenomen</c:v>
                </c:pt>
                <c:pt idx="7">
                  <c:v>Andere impact, namelijk (n=63)</c:v>
                </c:pt>
              </c:strCache>
            </c:strRef>
          </c:cat>
          <c:val>
            <c:numRef>
              <c:f>Figuren!$D$161:$D$168</c:f>
              <c:numCache>
                <c:formatCode>0%</c:formatCode>
                <c:ptCount val="8"/>
                <c:pt idx="0">
                  <c:v>0.40063091482649843</c:v>
                </c:pt>
                <c:pt idx="1">
                  <c:v>0.47003154574132494</c:v>
                </c:pt>
                <c:pt idx="2">
                  <c:v>0.41324921135646686</c:v>
                </c:pt>
                <c:pt idx="3">
                  <c:v>0.47284345047923321</c:v>
                </c:pt>
                <c:pt idx="4">
                  <c:v>0.42586750788643535</c:v>
                </c:pt>
                <c:pt idx="5">
                  <c:v>0.36708860759493672</c:v>
                </c:pt>
                <c:pt idx="6">
                  <c:v>0.52365930599369082</c:v>
                </c:pt>
                <c:pt idx="7">
                  <c:v>0.77777777777777779</c:v>
                </c:pt>
              </c:numCache>
            </c:numRef>
          </c:val>
          <c:extLst>
            <c:ext xmlns:c16="http://schemas.microsoft.com/office/drawing/2014/chart" uri="{C3380CC4-5D6E-409C-BE32-E72D297353CC}">
              <c16:uniqueId val="{00000002-6AE0-4102-98F9-6CA26145BDFD}"/>
            </c:ext>
          </c:extLst>
        </c:ser>
        <c:ser>
          <c:idx val="3"/>
          <c:order val="3"/>
          <c:tx>
            <c:strRef>
              <c:f>Figuren!$E$160</c:f>
              <c:strCache>
                <c:ptCount val="1"/>
                <c:pt idx="0">
                  <c:v>Mee eens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Figuren!$A$161:$A$168</c:f>
              <c:strCache>
                <c:ptCount val="8"/>
                <c:pt idx="0">
                  <c:v>Het techniekonderwijs is meer afgestemd op de actuele (regionale) ontwikkelingen</c:v>
                </c:pt>
                <c:pt idx="1">
                  <c:v>Het technologisch onderwijs is meer afgestemd op de actuele (regionale) ontwikkelingen</c:v>
                </c:pt>
                <c:pt idx="2">
                  <c:v>Het techniekonderwijs in de onderwijsketen po-vmbo-mbo sluit beter aan</c:v>
                </c:pt>
                <c:pt idx="3">
                  <c:v>Het technologisch onderwijs in de onderwijsketen po-vmbo-mbo sluit beter aan</c:v>
                </c:pt>
                <c:pt idx="4">
                  <c:v>Het techniekonderwijs is beter organiseerbaar geworden</c:v>
                </c:pt>
                <c:pt idx="5">
                  <c:v>Het techniekonderwijs is praktijkgerichter geworden/vindt meer buitenschools plaats</c:v>
                </c:pt>
                <c:pt idx="6">
                  <c:v>De kwaliteit van de stage(plekken) is toegenomen</c:v>
                </c:pt>
                <c:pt idx="7">
                  <c:v>Andere impact, namelijk (n=63)</c:v>
                </c:pt>
              </c:strCache>
            </c:strRef>
          </c:cat>
          <c:val>
            <c:numRef>
              <c:f>Figuren!$E$161:$E$168</c:f>
              <c:numCache>
                <c:formatCode>0%</c:formatCode>
                <c:ptCount val="8"/>
                <c:pt idx="0">
                  <c:v>0.45110410094637227</c:v>
                </c:pt>
                <c:pt idx="1">
                  <c:v>0.39432176656151419</c:v>
                </c:pt>
                <c:pt idx="2">
                  <c:v>0.40694006309148267</c:v>
                </c:pt>
                <c:pt idx="3">
                  <c:v>0.3961661341853035</c:v>
                </c:pt>
                <c:pt idx="4">
                  <c:v>0.37854889589905361</c:v>
                </c:pt>
                <c:pt idx="5">
                  <c:v>0.4050632911392405</c:v>
                </c:pt>
                <c:pt idx="6">
                  <c:v>0.23974763406940064</c:v>
                </c:pt>
                <c:pt idx="7">
                  <c:v>0.1111111111111111</c:v>
                </c:pt>
              </c:numCache>
            </c:numRef>
          </c:val>
          <c:extLst>
            <c:ext xmlns:c16="http://schemas.microsoft.com/office/drawing/2014/chart" uri="{C3380CC4-5D6E-409C-BE32-E72D297353CC}">
              <c16:uniqueId val="{00000003-6AE0-4102-98F9-6CA26145BDFD}"/>
            </c:ext>
          </c:extLst>
        </c:ser>
        <c:ser>
          <c:idx val="4"/>
          <c:order val="4"/>
          <c:tx>
            <c:strRef>
              <c:f>Figuren!$F$160</c:f>
              <c:strCache>
                <c:ptCount val="1"/>
                <c:pt idx="0">
                  <c:v>Helemaal mee eens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Figuren!$A$161:$A$168</c:f>
              <c:strCache>
                <c:ptCount val="8"/>
                <c:pt idx="0">
                  <c:v>Het techniekonderwijs is meer afgestemd op de actuele (regionale) ontwikkelingen</c:v>
                </c:pt>
                <c:pt idx="1">
                  <c:v>Het technologisch onderwijs is meer afgestemd op de actuele (regionale) ontwikkelingen</c:v>
                </c:pt>
                <c:pt idx="2">
                  <c:v>Het techniekonderwijs in de onderwijsketen po-vmbo-mbo sluit beter aan</c:v>
                </c:pt>
                <c:pt idx="3">
                  <c:v>Het technologisch onderwijs in de onderwijsketen po-vmbo-mbo sluit beter aan</c:v>
                </c:pt>
                <c:pt idx="4">
                  <c:v>Het techniekonderwijs is beter organiseerbaar geworden</c:v>
                </c:pt>
                <c:pt idx="5">
                  <c:v>Het techniekonderwijs is praktijkgerichter geworden/vindt meer buitenschools plaats</c:v>
                </c:pt>
                <c:pt idx="6">
                  <c:v>De kwaliteit van de stage(plekken) is toegenomen</c:v>
                </c:pt>
                <c:pt idx="7">
                  <c:v>Andere impact, namelijk (n=63)</c:v>
                </c:pt>
              </c:strCache>
            </c:strRef>
          </c:cat>
          <c:val>
            <c:numRef>
              <c:f>Figuren!$F$161:$F$168</c:f>
              <c:numCache>
                <c:formatCode>0%</c:formatCode>
                <c:ptCount val="8"/>
                <c:pt idx="0">
                  <c:v>2.5236593059936908E-2</c:v>
                </c:pt>
                <c:pt idx="1">
                  <c:v>2.5236593059936908E-2</c:v>
                </c:pt>
                <c:pt idx="2">
                  <c:v>5.993690851735016E-2</c:v>
                </c:pt>
                <c:pt idx="3">
                  <c:v>2.5559105431309903E-2</c:v>
                </c:pt>
                <c:pt idx="4">
                  <c:v>1.8927444794952682E-2</c:v>
                </c:pt>
                <c:pt idx="5">
                  <c:v>6.6455696202531639E-2</c:v>
                </c:pt>
                <c:pt idx="6">
                  <c:v>3.7854889589905363E-2</c:v>
                </c:pt>
                <c:pt idx="7">
                  <c:v>6.3492063492063489E-2</c:v>
                </c:pt>
              </c:numCache>
            </c:numRef>
          </c:val>
          <c:extLst>
            <c:ext xmlns:c16="http://schemas.microsoft.com/office/drawing/2014/chart" uri="{C3380CC4-5D6E-409C-BE32-E72D297353CC}">
              <c16:uniqueId val="{00000004-6AE0-4102-98F9-6CA26145BDFD}"/>
            </c:ext>
          </c:extLst>
        </c:ser>
        <c:dLbls>
          <c:dLblPos val="ctr"/>
          <c:showLegendKey val="0"/>
          <c:showVal val="1"/>
          <c:showCatName val="0"/>
          <c:showSerName val="0"/>
          <c:showPercent val="0"/>
          <c:showBubbleSize val="0"/>
        </c:dLbls>
        <c:gapWidth val="50"/>
        <c:overlap val="100"/>
        <c:axId val="1790957647"/>
        <c:axId val="1790950447"/>
      </c:barChart>
      <c:catAx>
        <c:axId val="179095764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790950447"/>
        <c:crosses val="autoZero"/>
        <c:auto val="1"/>
        <c:lblAlgn val="ctr"/>
        <c:lblOffset val="100"/>
        <c:noMultiLvlLbl val="0"/>
      </c:catAx>
      <c:valAx>
        <c:axId val="1790950447"/>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790957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nl-N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Blad1!$B$1</c:f>
              <c:strCache>
                <c:ptCount val="1"/>
                <c:pt idx="0">
                  <c:v>% 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Blad1!$A$2:$A$11</c:f>
              <c:strCache>
                <c:ptCount val="10"/>
                <c:pt idx="0">
                  <c:v>De basisschool vond dit een goede school</c:v>
                </c:pt>
                <c:pt idx="1">
                  <c:v>De school is dichtbij huis</c:v>
                </c:pt>
                <c:pt idx="2">
                  <c:v>Mijn broer of zus zit/zat hier op school</c:v>
                </c:pt>
                <c:pt idx="3">
                  <c:v>Mijn vrienden/klasgenoten gingen hierheen</c:v>
                </c:pt>
                <c:pt idx="4">
                  <c:v>Het schoolgebouw is mooi/fijn</c:v>
                </c:pt>
                <c:pt idx="5">
                  <c:v>De sfeer op school is fijn</c:v>
                </c:pt>
                <c:pt idx="6">
                  <c:v>Ik vond de profielen in de bovenbouw interessant</c:v>
                </c:pt>
                <c:pt idx="7">
                  <c:v>De keuzevakken in de bovenbouw vond ik leuk</c:v>
                </c:pt>
                <c:pt idx="8">
                  <c:v>Er is maar één vmbo-school in de buurt</c:v>
                </c:pt>
                <c:pt idx="9">
                  <c:v>Anders</c:v>
                </c:pt>
              </c:strCache>
            </c:strRef>
          </c:cat>
          <c:val>
            <c:numRef>
              <c:f>Blad1!$B$2:$B$11</c:f>
              <c:numCache>
                <c:formatCode>0%</c:formatCode>
                <c:ptCount val="10"/>
                <c:pt idx="0">
                  <c:v>0.15</c:v>
                </c:pt>
                <c:pt idx="1">
                  <c:v>0.32</c:v>
                </c:pt>
                <c:pt idx="2">
                  <c:v>0.18</c:v>
                </c:pt>
                <c:pt idx="3">
                  <c:v>0.19</c:v>
                </c:pt>
                <c:pt idx="4">
                  <c:v>0.15</c:v>
                </c:pt>
                <c:pt idx="5">
                  <c:v>0.19</c:v>
                </c:pt>
                <c:pt idx="6">
                  <c:v>0.24</c:v>
                </c:pt>
                <c:pt idx="7">
                  <c:v>0.17</c:v>
                </c:pt>
                <c:pt idx="8">
                  <c:v>7.0000000000000007E-2</c:v>
                </c:pt>
                <c:pt idx="9">
                  <c:v>0.14000000000000001</c:v>
                </c:pt>
              </c:numCache>
            </c:numRef>
          </c:val>
          <c:extLst>
            <c:ext xmlns:c16="http://schemas.microsoft.com/office/drawing/2014/chart" uri="{C3380CC4-5D6E-409C-BE32-E72D297353CC}">
              <c16:uniqueId val="{00000000-0EF0-4B12-85CB-A80528686753}"/>
            </c:ext>
          </c:extLst>
        </c:ser>
        <c:dLbls>
          <c:dLblPos val="outEnd"/>
          <c:showLegendKey val="0"/>
          <c:showVal val="1"/>
          <c:showCatName val="0"/>
          <c:showSerName val="0"/>
          <c:showPercent val="0"/>
          <c:showBubbleSize val="0"/>
        </c:dLbls>
        <c:gapWidth val="182"/>
        <c:axId val="418608080"/>
        <c:axId val="418605200"/>
      </c:barChart>
      <c:catAx>
        <c:axId val="418608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18605200"/>
        <c:crosses val="autoZero"/>
        <c:auto val="1"/>
        <c:lblAlgn val="ctr"/>
        <c:lblOffset val="100"/>
        <c:noMultiLvlLbl val="0"/>
      </c:catAx>
      <c:valAx>
        <c:axId val="41860520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18608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Blad1!$B$1</c:f>
              <c:strCache>
                <c:ptCount val="1"/>
                <c:pt idx="0">
                  <c:v>(Helemaal) niet leuk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Blad1!$A$2:$A$7</c:f>
              <c:strCache>
                <c:ptCount val="6"/>
                <c:pt idx="0">
                  <c:v>Bezoek aan een bedrijf</c:v>
                </c:pt>
                <c:pt idx="1">
                  <c:v>Bezoek aan een vmbo-school </c:v>
                </c:pt>
                <c:pt idx="2">
                  <c:v>Bezoek aan het mbo</c:v>
                </c:pt>
                <c:pt idx="3">
                  <c:v>Bezoek aan een ‘techniekhal’ (bijvoorbeeld techhub, hotspot of techlab) </c:v>
                </c:pt>
                <c:pt idx="4">
                  <c:v>Een gastles of workshop over techniek door iemand van buiten de school </c:v>
                </c:pt>
                <c:pt idx="5">
                  <c:v>Andere techniek-activiteit</c:v>
                </c:pt>
              </c:strCache>
            </c:strRef>
          </c:cat>
          <c:val>
            <c:numRef>
              <c:f>Blad1!$B$2:$B$7</c:f>
              <c:numCache>
                <c:formatCode>0%</c:formatCode>
                <c:ptCount val="6"/>
                <c:pt idx="0">
                  <c:v>0.16666666666666663</c:v>
                </c:pt>
                <c:pt idx="1">
                  <c:v>5.7142857142857141E-2</c:v>
                </c:pt>
                <c:pt idx="2">
                  <c:v>0.1081081081081081</c:v>
                </c:pt>
                <c:pt idx="3">
                  <c:v>0.13461538461538461</c:v>
                </c:pt>
                <c:pt idx="4">
                  <c:v>0.14285714285714285</c:v>
                </c:pt>
                <c:pt idx="5">
                  <c:v>0.18</c:v>
                </c:pt>
              </c:numCache>
            </c:numRef>
          </c:val>
          <c:extLst>
            <c:ext xmlns:c16="http://schemas.microsoft.com/office/drawing/2014/chart" uri="{C3380CC4-5D6E-409C-BE32-E72D297353CC}">
              <c16:uniqueId val="{00000000-0542-441C-B443-B4BFC8A11BCD}"/>
            </c:ext>
          </c:extLst>
        </c:ser>
        <c:ser>
          <c:idx val="1"/>
          <c:order val="1"/>
          <c:tx>
            <c:strRef>
              <c:f>Blad1!$C$1</c:f>
              <c:strCache>
                <c:ptCount val="1"/>
                <c:pt idx="0">
                  <c:v>Neutraal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Blad1!$A$2:$A$7</c:f>
              <c:strCache>
                <c:ptCount val="6"/>
                <c:pt idx="0">
                  <c:v>Bezoek aan een bedrijf</c:v>
                </c:pt>
                <c:pt idx="1">
                  <c:v>Bezoek aan een vmbo-school </c:v>
                </c:pt>
                <c:pt idx="2">
                  <c:v>Bezoek aan het mbo</c:v>
                </c:pt>
                <c:pt idx="3">
                  <c:v>Bezoek aan een ‘techniekhal’ (bijvoorbeeld techhub, hotspot of techlab) </c:v>
                </c:pt>
                <c:pt idx="4">
                  <c:v>Een gastles of workshop over techniek door iemand van buiten de school </c:v>
                </c:pt>
                <c:pt idx="5">
                  <c:v>Andere techniek-activiteit</c:v>
                </c:pt>
              </c:strCache>
            </c:strRef>
          </c:cat>
          <c:val>
            <c:numRef>
              <c:f>Blad1!$C$2:$C$7</c:f>
              <c:numCache>
                <c:formatCode>0%</c:formatCode>
                <c:ptCount val="6"/>
                <c:pt idx="0">
                  <c:v>0.40972222222222221</c:v>
                </c:pt>
                <c:pt idx="1">
                  <c:v>0.49142857142857144</c:v>
                </c:pt>
                <c:pt idx="2">
                  <c:v>0.45945945945945948</c:v>
                </c:pt>
                <c:pt idx="3">
                  <c:v>0.26923076923076922</c:v>
                </c:pt>
                <c:pt idx="4">
                  <c:v>0.42857142857142855</c:v>
                </c:pt>
                <c:pt idx="5">
                  <c:v>0.57999999999999996</c:v>
                </c:pt>
              </c:numCache>
            </c:numRef>
          </c:val>
          <c:extLst>
            <c:ext xmlns:c16="http://schemas.microsoft.com/office/drawing/2014/chart" uri="{C3380CC4-5D6E-409C-BE32-E72D297353CC}">
              <c16:uniqueId val="{00000001-0542-441C-B443-B4BFC8A11BCD}"/>
            </c:ext>
          </c:extLst>
        </c:ser>
        <c:ser>
          <c:idx val="2"/>
          <c:order val="2"/>
          <c:tx>
            <c:strRef>
              <c:f>Blad1!$D$1</c:f>
              <c:strCache>
                <c:ptCount val="1"/>
                <c:pt idx="0">
                  <c:v>(Heel) leuk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Blad1!$A$2:$A$7</c:f>
              <c:strCache>
                <c:ptCount val="6"/>
                <c:pt idx="0">
                  <c:v>Bezoek aan een bedrijf</c:v>
                </c:pt>
                <c:pt idx="1">
                  <c:v>Bezoek aan een vmbo-school </c:v>
                </c:pt>
                <c:pt idx="2">
                  <c:v>Bezoek aan het mbo</c:v>
                </c:pt>
                <c:pt idx="3">
                  <c:v>Bezoek aan een ‘techniekhal’ (bijvoorbeeld techhub, hotspot of techlab) </c:v>
                </c:pt>
                <c:pt idx="4">
                  <c:v>Een gastles of workshop over techniek door iemand van buiten de school </c:v>
                </c:pt>
                <c:pt idx="5">
                  <c:v>Andere techniek-activiteit</c:v>
                </c:pt>
              </c:strCache>
            </c:strRef>
          </c:cat>
          <c:val>
            <c:numRef>
              <c:f>Blad1!$D$2:$D$7</c:f>
              <c:numCache>
                <c:formatCode>0%</c:formatCode>
                <c:ptCount val="6"/>
                <c:pt idx="0">
                  <c:v>0.42361111111111105</c:v>
                </c:pt>
                <c:pt idx="1">
                  <c:v>0.4514285714285714</c:v>
                </c:pt>
                <c:pt idx="2">
                  <c:v>0.4324324324324324</c:v>
                </c:pt>
                <c:pt idx="3">
                  <c:v>0.59615384615384615</c:v>
                </c:pt>
                <c:pt idx="4">
                  <c:v>0.42857142857142855</c:v>
                </c:pt>
                <c:pt idx="5">
                  <c:v>0.24</c:v>
                </c:pt>
              </c:numCache>
            </c:numRef>
          </c:val>
          <c:extLst>
            <c:ext xmlns:c16="http://schemas.microsoft.com/office/drawing/2014/chart" uri="{C3380CC4-5D6E-409C-BE32-E72D297353CC}">
              <c16:uniqueId val="{00000002-0542-441C-B443-B4BFC8A11BCD}"/>
            </c:ext>
          </c:extLst>
        </c:ser>
        <c:dLbls>
          <c:dLblPos val="ctr"/>
          <c:showLegendKey val="0"/>
          <c:showVal val="1"/>
          <c:showCatName val="0"/>
          <c:showSerName val="0"/>
          <c:showPercent val="0"/>
          <c:showBubbleSize val="0"/>
        </c:dLbls>
        <c:gapWidth val="150"/>
        <c:overlap val="100"/>
        <c:axId val="560775224"/>
        <c:axId val="560776664"/>
      </c:barChart>
      <c:catAx>
        <c:axId val="5607752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60776664"/>
        <c:crosses val="autoZero"/>
        <c:auto val="1"/>
        <c:lblAlgn val="ctr"/>
        <c:lblOffset val="100"/>
        <c:noMultiLvlLbl val="0"/>
      </c:catAx>
      <c:valAx>
        <c:axId val="56077666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60775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Blad1!$B$8</c:f>
              <c:strCache>
                <c:ptCount val="1"/>
                <c:pt idx="0">
                  <c:v>(Helemaal) niet leuk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Blad1!$A$9:$A$15</c:f>
              <c:strCache>
                <c:ptCount val="7"/>
                <c:pt idx="0">
                  <c:v>Bezoek aan een bedrijf</c:v>
                </c:pt>
                <c:pt idx="1">
                  <c:v>Bezoek aan een andere vmbo-school </c:v>
                </c:pt>
                <c:pt idx="2">
                  <c:v>Bezoek aan het mbo</c:v>
                </c:pt>
                <c:pt idx="3">
                  <c:v>Bezoek aan een ‘techniekhal’ (bijvoorbeeld techhub, hotspot of techlab) </c:v>
                </c:pt>
                <c:pt idx="4">
                  <c:v>Een gastles of workshop over techniek door iemand van buiten de school </c:v>
                </c:pt>
                <c:pt idx="5">
                  <c:v>Techniekstage</c:v>
                </c:pt>
                <c:pt idx="6">
                  <c:v>Andere techniek-activiteit</c:v>
                </c:pt>
              </c:strCache>
            </c:strRef>
          </c:cat>
          <c:val>
            <c:numRef>
              <c:f>Blad1!$B$9:$B$15</c:f>
              <c:numCache>
                <c:formatCode>0%</c:formatCode>
                <c:ptCount val="7"/>
                <c:pt idx="0">
                  <c:v>0.17948717948717949</c:v>
                </c:pt>
                <c:pt idx="1">
                  <c:v>0.20779220779220778</c:v>
                </c:pt>
                <c:pt idx="2">
                  <c:v>0.16071428571428573</c:v>
                </c:pt>
                <c:pt idx="3">
                  <c:v>0.16037735849056603</c:v>
                </c:pt>
                <c:pt idx="4">
                  <c:v>0.13461538461538461</c:v>
                </c:pt>
                <c:pt idx="5">
                  <c:v>7.6923076923076927E-2</c:v>
                </c:pt>
                <c:pt idx="6">
                  <c:v>0.10526315789473684</c:v>
                </c:pt>
              </c:numCache>
            </c:numRef>
          </c:val>
          <c:extLst>
            <c:ext xmlns:c16="http://schemas.microsoft.com/office/drawing/2014/chart" uri="{C3380CC4-5D6E-409C-BE32-E72D297353CC}">
              <c16:uniqueId val="{00000000-8BA7-49E8-B5FA-AC2851ABE5C6}"/>
            </c:ext>
          </c:extLst>
        </c:ser>
        <c:ser>
          <c:idx val="1"/>
          <c:order val="1"/>
          <c:tx>
            <c:strRef>
              <c:f>Blad1!$C$8</c:f>
              <c:strCache>
                <c:ptCount val="1"/>
                <c:pt idx="0">
                  <c:v>Neutraal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Blad1!$A$9:$A$15</c:f>
              <c:strCache>
                <c:ptCount val="7"/>
                <c:pt idx="0">
                  <c:v>Bezoek aan een bedrijf</c:v>
                </c:pt>
                <c:pt idx="1">
                  <c:v>Bezoek aan een andere vmbo-school </c:v>
                </c:pt>
                <c:pt idx="2">
                  <c:v>Bezoek aan het mbo</c:v>
                </c:pt>
                <c:pt idx="3">
                  <c:v>Bezoek aan een ‘techniekhal’ (bijvoorbeeld techhub, hotspot of techlab) </c:v>
                </c:pt>
                <c:pt idx="4">
                  <c:v>Een gastles of workshop over techniek door iemand van buiten de school </c:v>
                </c:pt>
                <c:pt idx="5">
                  <c:v>Techniekstage</c:v>
                </c:pt>
                <c:pt idx="6">
                  <c:v>Andere techniek-activiteit</c:v>
                </c:pt>
              </c:strCache>
            </c:strRef>
          </c:cat>
          <c:val>
            <c:numRef>
              <c:f>Blad1!$C$9:$C$15</c:f>
              <c:numCache>
                <c:formatCode>0%</c:formatCode>
                <c:ptCount val="7"/>
                <c:pt idx="0">
                  <c:v>0.46581196581196577</c:v>
                </c:pt>
                <c:pt idx="1">
                  <c:v>0.44155844155844159</c:v>
                </c:pt>
                <c:pt idx="2">
                  <c:v>0.42857142857142855</c:v>
                </c:pt>
                <c:pt idx="3">
                  <c:v>0.36792452830188682</c:v>
                </c:pt>
                <c:pt idx="4">
                  <c:v>0.41025641025641024</c:v>
                </c:pt>
                <c:pt idx="5">
                  <c:v>0.30769230769230771</c:v>
                </c:pt>
                <c:pt idx="6">
                  <c:v>0.57894736842105265</c:v>
                </c:pt>
              </c:numCache>
            </c:numRef>
          </c:val>
          <c:extLst>
            <c:ext xmlns:c16="http://schemas.microsoft.com/office/drawing/2014/chart" uri="{C3380CC4-5D6E-409C-BE32-E72D297353CC}">
              <c16:uniqueId val="{00000001-8BA7-49E8-B5FA-AC2851ABE5C6}"/>
            </c:ext>
          </c:extLst>
        </c:ser>
        <c:ser>
          <c:idx val="2"/>
          <c:order val="2"/>
          <c:tx>
            <c:strRef>
              <c:f>Blad1!$D$8</c:f>
              <c:strCache>
                <c:ptCount val="1"/>
                <c:pt idx="0">
                  <c:v>(Heel) leuk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Blad1!$A$9:$A$15</c:f>
              <c:strCache>
                <c:ptCount val="7"/>
                <c:pt idx="0">
                  <c:v>Bezoek aan een bedrijf</c:v>
                </c:pt>
                <c:pt idx="1">
                  <c:v>Bezoek aan een andere vmbo-school </c:v>
                </c:pt>
                <c:pt idx="2">
                  <c:v>Bezoek aan het mbo</c:v>
                </c:pt>
                <c:pt idx="3">
                  <c:v>Bezoek aan een ‘techniekhal’ (bijvoorbeeld techhub, hotspot of techlab) </c:v>
                </c:pt>
                <c:pt idx="4">
                  <c:v>Een gastles of workshop over techniek door iemand van buiten de school </c:v>
                </c:pt>
                <c:pt idx="5">
                  <c:v>Techniekstage</c:v>
                </c:pt>
                <c:pt idx="6">
                  <c:v>Andere techniek-activiteit</c:v>
                </c:pt>
              </c:strCache>
            </c:strRef>
          </c:cat>
          <c:val>
            <c:numRef>
              <c:f>Blad1!$D$9:$D$15</c:f>
              <c:numCache>
                <c:formatCode>0%</c:formatCode>
                <c:ptCount val="7"/>
                <c:pt idx="0">
                  <c:v>0.35470085470085472</c:v>
                </c:pt>
                <c:pt idx="1">
                  <c:v>0.35064935064935066</c:v>
                </c:pt>
                <c:pt idx="2">
                  <c:v>0.4107142857142857</c:v>
                </c:pt>
                <c:pt idx="3">
                  <c:v>0.47169811320754718</c:v>
                </c:pt>
                <c:pt idx="4">
                  <c:v>0.45512820512820512</c:v>
                </c:pt>
                <c:pt idx="5">
                  <c:v>0.61538461538461542</c:v>
                </c:pt>
                <c:pt idx="6">
                  <c:v>0.31578947368421051</c:v>
                </c:pt>
              </c:numCache>
            </c:numRef>
          </c:val>
          <c:extLst>
            <c:ext xmlns:c16="http://schemas.microsoft.com/office/drawing/2014/chart" uri="{C3380CC4-5D6E-409C-BE32-E72D297353CC}">
              <c16:uniqueId val="{00000002-8BA7-49E8-B5FA-AC2851ABE5C6}"/>
            </c:ext>
          </c:extLst>
        </c:ser>
        <c:dLbls>
          <c:dLblPos val="ctr"/>
          <c:showLegendKey val="0"/>
          <c:showVal val="1"/>
          <c:showCatName val="0"/>
          <c:showSerName val="0"/>
          <c:showPercent val="0"/>
          <c:showBubbleSize val="0"/>
        </c:dLbls>
        <c:gapWidth val="150"/>
        <c:overlap val="100"/>
        <c:axId val="549209728"/>
        <c:axId val="553479560"/>
      </c:barChart>
      <c:catAx>
        <c:axId val="5492097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53479560"/>
        <c:crosses val="autoZero"/>
        <c:auto val="1"/>
        <c:lblAlgn val="ctr"/>
        <c:lblOffset val="100"/>
        <c:noMultiLvlLbl val="0"/>
      </c:catAx>
      <c:valAx>
        <c:axId val="55347956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49209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Blad1!$B$1</c:f>
              <c:strCache>
                <c:ptCount val="1"/>
                <c:pt idx="0">
                  <c:v>(Helemaal) niet mee eens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Blad1!$A$2:$A$7</c:f>
              <c:strCache>
                <c:ptCount val="6"/>
                <c:pt idx="0">
                  <c:v>Onze lessen over techniek zijn interessant</c:v>
                </c:pt>
                <c:pt idx="1">
                  <c:v>Als een les over techniek gaat, ben ik blij als de les voorbij is</c:v>
                </c:pt>
                <c:pt idx="2">
                  <c:v>Onze lessen over techniek zijn vaak moeilijk </c:v>
                </c:pt>
                <c:pt idx="3">
                  <c:v>Ik begrijp vaak goed wat er in de lessen over techniek wordt verteld</c:v>
                </c:pt>
                <c:pt idx="4">
                  <c:v>Ik vind het leuk om praktisch bezig te zijn in een techniekles</c:v>
                </c:pt>
                <c:pt idx="5">
                  <c:v>De lessen techniek worden gegeven door docenten die veel weten van het bedrijfsleven</c:v>
                </c:pt>
              </c:strCache>
            </c:strRef>
          </c:cat>
          <c:val>
            <c:numRef>
              <c:f>Blad1!$B$2:$B$7</c:f>
              <c:numCache>
                <c:formatCode>0%</c:formatCode>
                <c:ptCount val="6"/>
                <c:pt idx="0">
                  <c:v>6.5934065934065936E-2</c:v>
                </c:pt>
                <c:pt idx="1">
                  <c:v>0.21978021978021978</c:v>
                </c:pt>
                <c:pt idx="2">
                  <c:v>0.14285714285714285</c:v>
                </c:pt>
                <c:pt idx="3">
                  <c:v>8.7912087912087919E-2</c:v>
                </c:pt>
                <c:pt idx="4">
                  <c:v>5.4945054945054944E-2</c:v>
                </c:pt>
                <c:pt idx="5">
                  <c:v>5.4945054945054944E-2</c:v>
                </c:pt>
              </c:numCache>
            </c:numRef>
          </c:val>
          <c:extLst>
            <c:ext xmlns:c16="http://schemas.microsoft.com/office/drawing/2014/chart" uri="{C3380CC4-5D6E-409C-BE32-E72D297353CC}">
              <c16:uniqueId val="{00000000-A3AB-43B0-8145-F4CF1FC860AF}"/>
            </c:ext>
          </c:extLst>
        </c:ser>
        <c:ser>
          <c:idx val="1"/>
          <c:order val="1"/>
          <c:tx>
            <c:strRef>
              <c:f>Blad1!$C$1</c:f>
              <c:strCache>
                <c:ptCount val="1"/>
                <c:pt idx="0">
                  <c:v>Neutraal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Blad1!$A$2:$A$7</c:f>
              <c:strCache>
                <c:ptCount val="6"/>
                <c:pt idx="0">
                  <c:v>Onze lessen over techniek zijn interessant</c:v>
                </c:pt>
                <c:pt idx="1">
                  <c:v>Als een les over techniek gaat, ben ik blij als de les voorbij is</c:v>
                </c:pt>
                <c:pt idx="2">
                  <c:v>Onze lessen over techniek zijn vaak moeilijk </c:v>
                </c:pt>
                <c:pt idx="3">
                  <c:v>Ik begrijp vaak goed wat er in de lessen over techniek wordt verteld</c:v>
                </c:pt>
                <c:pt idx="4">
                  <c:v>Ik vind het leuk om praktisch bezig te zijn in een techniekles</c:v>
                </c:pt>
                <c:pt idx="5">
                  <c:v>De lessen techniek worden gegeven door docenten die veel weten van het bedrijfsleven</c:v>
                </c:pt>
              </c:strCache>
            </c:strRef>
          </c:cat>
          <c:val>
            <c:numRef>
              <c:f>Blad1!$C$2:$C$7</c:f>
              <c:numCache>
                <c:formatCode>0%</c:formatCode>
                <c:ptCount val="6"/>
                <c:pt idx="0">
                  <c:v>0.45054945054945056</c:v>
                </c:pt>
                <c:pt idx="1">
                  <c:v>0.39560439560439564</c:v>
                </c:pt>
                <c:pt idx="2">
                  <c:v>0.5714285714285714</c:v>
                </c:pt>
                <c:pt idx="3">
                  <c:v>0.40659340659340659</c:v>
                </c:pt>
                <c:pt idx="4">
                  <c:v>0.30769230769230771</c:v>
                </c:pt>
                <c:pt idx="5">
                  <c:v>0.36263736263736263</c:v>
                </c:pt>
              </c:numCache>
            </c:numRef>
          </c:val>
          <c:extLst>
            <c:ext xmlns:c16="http://schemas.microsoft.com/office/drawing/2014/chart" uri="{C3380CC4-5D6E-409C-BE32-E72D297353CC}">
              <c16:uniqueId val="{00000001-A3AB-43B0-8145-F4CF1FC860AF}"/>
            </c:ext>
          </c:extLst>
        </c:ser>
        <c:ser>
          <c:idx val="2"/>
          <c:order val="2"/>
          <c:tx>
            <c:strRef>
              <c:f>Blad1!$D$1</c:f>
              <c:strCache>
                <c:ptCount val="1"/>
                <c:pt idx="0">
                  <c:v>(Helemaal) mee eens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Blad1!$A$2:$A$7</c:f>
              <c:strCache>
                <c:ptCount val="6"/>
                <c:pt idx="0">
                  <c:v>Onze lessen over techniek zijn interessant</c:v>
                </c:pt>
                <c:pt idx="1">
                  <c:v>Als een les over techniek gaat, ben ik blij als de les voorbij is</c:v>
                </c:pt>
                <c:pt idx="2">
                  <c:v>Onze lessen over techniek zijn vaak moeilijk </c:v>
                </c:pt>
                <c:pt idx="3">
                  <c:v>Ik begrijp vaak goed wat er in de lessen over techniek wordt verteld</c:v>
                </c:pt>
                <c:pt idx="4">
                  <c:v>Ik vind het leuk om praktisch bezig te zijn in een techniekles</c:v>
                </c:pt>
                <c:pt idx="5">
                  <c:v>De lessen techniek worden gegeven door docenten die veel weten van het bedrijfsleven</c:v>
                </c:pt>
              </c:strCache>
            </c:strRef>
          </c:cat>
          <c:val>
            <c:numRef>
              <c:f>Blad1!$D$2:$D$7</c:f>
              <c:numCache>
                <c:formatCode>0%</c:formatCode>
                <c:ptCount val="6"/>
                <c:pt idx="0">
                  <c:v>0.48351648351648352</c:v>
                </c:pt>
                <c:pt idx="1">
                  <c:v>0.38461538461538469</c:v>
                </c:pt>
                <c:pt idx="2">
                  <c:v>0.2857142857142857</c:v>
                </c:pt>
                <c:pt idx="3">
                  <c:v>0.50549450549450547</c:v>
                </c:pt>
                <c:pt idx="4">
                  <c:v>0.63736263736263732</c:v>
                </c:pt>
                <c:pt idx="5">
                  <c:v>0.58241758241758246</c:v>
                </c:pt>
              </c:numCache>
            </c:numRef>
          </c:val>
          <c:extLst>
            <c:ext xmlns:c16="http://schemas.microsoft.com/office/drawing/2014/chart" uri="{C3380CC4-5D6E-409C-BE32-E72D297353CC}">
              <c16:uniqueId val="{00000002-A3AB-43B0-8145-F4CF1FC860AF}"/>
            </c:ext>
          </c:extLst>
        </c:ser>
        <c:dLbls>
          <c:dLblPos val="ctr"/>
          <c:showLegendKey val="0"/>
          <c:showVal val="1"/>
          <c:showCatName val="0"/>
          <c:showSerName val="0"/>
          <c:showPercent val="0"/>
          <c:showBubbleSize val="0"/>
        </c:dLbls>
        <c:gapWidth val="150"/>
        <c:overlap val="100"/>
        <c:axId val="587184064"/>
        <c:axId val="587184424"/>
      </c:barChart>
      <c:catAx>
        <c:axId val="5871840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87184424"/>
        <c:crosses val="autoZero"/>
        <c:auto val="1"/>
        <c:lblAlgn val="ctr"/>
        <c:lblOffset val="100"/>
        <c:noMultiLvlLbl val="0"/>
      </c:catAx>
      <c:valAx>
        <c:axId val="58718442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8718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nl-NL"/>
              <a:t>Hoe tevreden bent u met waar uw regio eind 2024 stond ten opzichte van het oorspronkelijke plan? (n=48)</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3.2335320099883637E-2"/>
          <c:y val="0.28514308114464915"/>
          <c:w val="0.92639168829886076"/>
          <c:h val="0.35363868422758404"/>
        </c:manualLayout>
      </c:layout>
      <c:barChart>
        <c:barDir val="bar"/>
        <c:grouping val="percentStacked"/>
        <c:varyColors val="0"/>
        <c:ser>
          <c:idx val="0"/>
          <c:order val="0"/>
          <c:tx>
            <c:strRef>
              <c:f>Totaal!$A$2</c:f>
              <c:strCache>
                <c:ptCount val="1"/>
                <c:pt idx="0">
                  <c:v>Zeer ontevreden</c:v>
                </c:pt>
              </c:strCache>
            </c:strRef>
          </c:tx>
          <c:spPr>
            <a:solidFill>
              <a:schemeClr val="accent1"/>
            </a:solidFill>
            <a:ln>
              <a:noFill/>
            </a:ln>
            <a:effectLst/>
          </c:spPr>
          <c:invertIfNegative val="0"/>
          <c:dLbls>
            <c:delete val="1"/>
          </c:dLbls>
          <c:cat>
            <c:strRef>
              <c:f>Totaal!$B$1</c:f>
              <c:strCache>
                <c:ptCount val="1"/>
                <c:pt idx="0">
                  <c:v>Programmaleiders (n=48)</c:v>
                </c:pt>
              </c:strCache>
            </c:strRef>
          </c:cat>
          <c:val>
            <c:numRef>
              <c:f>Totaal!$B$2</c:f>
              <c:numCache>
                <c:formatCode>0%</c:formatCode>
                <c:ptCount val="1"/>
                <c:pt idx="0">
                  <c:v>4.1666666666666664E-2</c:v>
                </c:pt>
              </c:numCache>
            </c:numRef>
          </c:val>
          <c:extLst>
            <c:ext xmlns:c16="http://schemas.microsoft.com/office/drawing/2014/chart" uri="{C3380CC4-5D6E-409C-BE32-E72D297353CC}">
              <c16:uniqueId val="{00000000-5A7D-4BFE-AB91-9B9A0A0607C4}"/>
            </c:ext>
          </c:extLst>
        </c:ser>
        <c:ser>
          <c:idx val="1"/>
          <c:order val="1"/>
          <c:tx>
            <c:strRef>
              <c:f>Totaal!$A$3</c:f>
              <c:strCache>
                <c:ptCount val="1"/>
                <c:pt idx="0">
                  <c:v>Ontevreden</c:v>
                </c:pt>
              </c:strCache>
            </c:strRef>
          </c:tx>
          <c:spPr>
            <a:solidFill>
              <a:schemeClr val="accent2"/>
            </a:solidFill>
            <a:ln>
              <a:noFill/>
            </a:ln>
            <a:effectLst/>
          </c:spPr>
          <c:invertIfNegative val="0"/>
          <c:dLbls>
            <c:delete val="1"/>
          </c:dLbls>
          <c:cat>
            <c:strRef>
              <c:f>Totaal!$B$1</c:f>
              <c:strCache>
                <c:ptCount val="1"/>
                <c:pt idx="0">
                  <c:v>Programmaleiders (n=48)</c:v>
                </c:pt>
              </c:strCache>
            </c:strRef>
          </c:cat>
          <c:val>
            <c:numRef>
              <c:f>Totaal!$B$3</c:f>
              <c:numCache>
                <c:formatCode>0%</c:formatCode>
                <c:ptCount val="1"/>
                <c:pt idx="0">
                  <c:v>0</c:v>
                </c:pt>
              </c:numCache>
            </c:numRef>
          </c:val>
          <c:extLst>
            <c:ext xmlns:c16="http://schemas.microsoft.com/office/drawing/2014/chart" uri="{C3380CC4-5D6E-409C-BE32-E72D297353CC}">
              <c16:uniqueId val="{00000001-5A7D-4BFE-AB91-9B9A0A0607C4}"/>
            </c:ext>
          </c:extLst>
        </c:ser>
        <c:ser>
          <c:idx val="2"/>
          <c:order val="2"/>
          <c:tx>
            <c:strRef>
              <c:f>Totaal!$A$4</c:f>
              <c:strCache>
                <c:ptCount val="1"/>
                <c:pt idx="0">
                  <c:v>Noch ontevreden/noch tevreden</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Totaal!$B$1</c:f>
              <c:strCache>
                <c:ptCount val="1"/>
                <c:pt idx="0">
                  <c:v>Programmaleiders (n=48)</c:v>
                </c:pt>
              </c:strCache>
            </c:strRef>
          </c:cat>
          <c:val>
            <c:numRef>
              <c:f>Totaal!$B$4</c:f>
              <c:numCache>
                <c:formatCode>0%</c:formatCode>
                <c:ptCount val="1"/>
                <c:pt idx="0">
                  <c:v>6.25E-2</c:v>
                </c:pt>
              </c:numCache>
            </c:numRef>
          </c:val>
          <c:extLst>
            <c:ext xmlns:c16="http://schemas.microsoft.com/office/drawing/2014/chart" uri="{C3380CC4-5D6E-409C-BE32-E72D297353CC}">
              <c16:uniqueId val="{00000002-5A7D-4BFE-AB91-9B9A0A0607C4}"/>
            </c:ext>
          </c:extLst>
        </c:ser>
        <c:ser>
          <c:idx val="3"/>
          <c:order val="3"/>
          <c:tx>
            <c:strRef>
              <c:f>Totaal!$A$5</c:f>
              <c:strCache>
                <c:ptCount val="1"/>
                <c:pt idx="0">
                  <c:v>Tevreden</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Totaal!$B$1</c:f>
              <c:strCache>
                <c:ptCount val="1"/>
                <c:pt idx="0">
                  <c:v>Programmaleiders (n=48)</c:v>
                </c:pt>
              </c:strCache>
            </c:strRef>
          </c:cat>
          <c:val>
            <c:numRef>
              <c:f>Totaal!$B$5</c:f>
              <c:numCache>
                <c:formatCode>0%</c:formatCode>
                <c:ptCount val="1"/>
                <c:pt idx="0">
                  <c:v>0.66666666666666663</c:v>
                </c:pt>
              </c:numCache>
            </c:numRef>
          </c:val>
          <c:extLst>
            <c:ext xmlns:c16="http://schemas.microsoft.com/office/drawing/2014/chart" uri="{C3380CC4-5D6E-409C-BE32-E72D297353CC}">
              <c16:uniqueId val="{00000003-5A7D-4BFE-AB91-9B9A0A0607C4}"/>
            </c:ext>
          </c:extLst>
        </c:ser>
        <c:ser>
          <c:idx val="4"/>
          <c:order val="4"/>
          <c:tx>
            <c:strRef>
              <c:f>Totaal!$A$6</c:f>
              <c:strCache>
                <c:ptCount val="1"/>
                <c:pt idx="0">
                  <c:v>Zeer tevreden</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Totaal!$B$1</c:f>
              <c:strCache>
                <c:ptCount val="1"/>
                <c:pt idx="0">
                  <c:v>Programmaleiders (n=48)</c:v>
                </c:pt>
              </c:strCache>
            </c:strRef>
          </c:cat>
          <c:val>
            <c:numRef>
              <c:f>Totaal!$B$6</c:f>
              <c:numCache>
                <c:formatCode>0%</c:formatCode>
                <c:ptCount val="1"/>
                <c:pt idx="0">
                  <c:v>0.22916666666666666</c:v>
                </c:pt>
              </c:numCache>
            </c:numRef>
          </c:val>
          <c:extLst>
            <c:ext xmlns:c16="http://schemas.microsoft.com/office/drawing/2014/chart" uri="{C3380CC4-5D6E-409C-BE32-E72D297353CC}">
              <c16:uniqueId val="{00000004-5A7D-4BFE-AB91-9B9A0A0607C4}"/>
            </c:ext>
          </c:extLst>
        </c:ser>
        <c:dLbls>
          <c:dLblPos val="ctr"/>
          <c:showLegendKey val="0"/>
          <c:showVal val="1"/>
          <c:showCatName val="0"/>
          <c:showSerName val="0"/>
          <c:showPercent val="0"/>
          <c:showBubbleSize val="0"/>
        </c:dLbls>
        <c:gapWidth val="50"/>
        <c:overlap val="100"/>
        <c:axId val="975490815"/>
        <c:axId val="975489375"/>
      </c:barChart>
      <c:catAx>
        <c:axId val="975490815"/>
        <c:scaling>
          <c:orientation val="minMax"/>
        </c:scaling>
        <c:delete val="1"/>
        <c:axPos val="l"/>
        <c:numFmt formatCode="General" sourceLinked="1"/>
        <c:majorTickMark val="none"/>
        <c:minorTickMark val="none"/>
        <c:tickLblPos val="nextTo"/>
        <c:crossAx val="975489375"/>
        <c:crosses val="autoZero"/>
        <c:auto val="1"/>
        <c:lblAlgn val="ctr"/>
        <c:lblOffset val="100"/>
        <c:noMultiLvlLbl val="0"/>
      </c:catAx>
      <c:valAx>
        <c:axId val="97548937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75490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nl-N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Blad1!$B$8</c:f>
              <c:strCache>
                <c:ptCount val="1"/>
                <c:pt idx="0">
                  <c:v>Zeker of meestal niet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Blad1!$A$9:$A$13</c:f>
              <c:strCache>
                <c:ptCount val="5"/>
                <c:pt idx="0">
                  <c:v>Helpen je leraren om je best te doen op school? </c:v>
                </c:pt>
                <c:pt idx="1">
                  <c:v>Letten je leraren op wat je goed en niet zo goed kunt? </c:v>
                </c:pt>
                <c:pt idx="2">
                  <c:v>Kunnen je leraren goed uitleggen? </c:v>
                </c:pt>
                <c:pt idx="3">
                  <c:v>Gaan leraren goed met je om? </c:v>
                </c:pt>
                <c:pt idx="4">
                  <c:v>Hebben leraren genoeg tijd voor je?</c:v>
                </c:pt>
              </c:strCache>
            </c:strRef>
          </c:cat>
          <c:val>
            <c:numRef>
              <c:f>Blad1!$B$9:$B$13</c:f>
              <c:numCache>
                <c:formatCode>0%</c:formatCode>
                <c:ptCount val="5"/>
                <c:pt idx="0">
                  <c:v>5.4945054945054944E-2</c:v>
                </c:pt>
                <c:pt idx="1">
                  <c:v>2.2222222222222223E-2</c:v>
                </c:pt>
                <c:pt idx="2">
                  <c:v>1.1111111111111112E-2</c:v>
                </c:pt>
                <c:pt idx="3">
                  <c:v>2.2222222222222223E-2</c:v>
                </c:pt>
                <c:pt idx="4">
                  <c:v>4.4444444444444446E-2</c:v>
                </c:pt>
              </c:numCache>
            </c:numRef>
          </c:val>
          <c:extLst>
            <c:ext xmlns:c16="http://schemas.microsoft.com/office/drawing/2014/chart" uri="{C3380CC4-5D6E-409C-BE32-E72D297353CC}">
              <c16:uniqueId val="{00000000-7235-48D4-9F3A-B442B53956FD}"/>
            </c:ext>
          </c:extLst>
        </c:ser>
        <c:ser>
          <c:idx val="1"/>
          <c:order val="1"/>
          <c:tx>
            <c:strRef>
              <c:f>Blad1!$C$8</c:f>
              <c:strCache>
                <c:ptCount val="1"/>
                <c:pt idx="0">
                  <c:v>Soms wel, soms niet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Blad1!$A$9:$A$13</c:f>
              <c:strCache>
                <c:ptCount val="5"/>
                <c:pt idx="0">
                  <c:v>Helpen je leraren om je best te doen op school? </c:v>
                </c:pt>
                <c:pt idx="1">
                  <c:v>Letten je leraren op wat je goed en niet zo goed kunt? </c:v>
                </c:pt>
                <c:pt idx="2">
                  <c:v>Kunnen je leraren goed uitleggen? </c:v>
                </c:pt>
                <c:pt idx="3">
                  <c:v>Gaan leraren goed met je om? </c:v>
                </c:pt>
                <c:pt idx="4">
                  <c:v>Hebben leraren genoeg tijd voor je?</c:v>
                </c:pt>
              </c:strCache>
            </c:strRef>
          </c:cat>
          <c:val>
            <c:numRef>
              <c:f>Blad1!$C$9:$C$13</c:f>
              <c:numCache>
                <c:formatCode>0%</c:formatCode>
                <c:ptCount val="5"/>
                <c:pt idx="0">
                  <c:v>0.36263736263736263</c:v>
                </c:pt>
                <c:pt idx="1">
                  <c:v>0.26666666666666666</c:v>
                </c:pt>
                <c:pt idx="2">
                  <c:v>0.32222222222222219</c:v>
                </c:pt>
                <c:pt idx="3">
                  <c:v>0.26666666666666666</c:v>
                </c:pt>
                <c:pt idx="4">
                  <c:v>0.38888888888888895</c:v>
                </c:pt>
              </c:numCache>
            </c:numRef>
          </c:val>
          <c:extLst>
            <c:ext xmlns:c16="http://schemas.microsoft.com/office/drawing/2014/chart" uri="{C3380CC4-5D6E-409C-BE32-E72D297353CC}">
              <c16:uniqueId val="{00000001-7235-48D4-9F3A-B442B53956FD}"/>
            </c:ext>
          </c:extLst>
        </c:ser>
        <c:ser>
          <c:idx val="2"/>
          <c:order val="2"/>
          <c:tx>
            <c:strRef>
              <c:f>Blad1!$D$8</c:f>
              <c:strCache>
                <c:ptCount val="1"/>
                <c:pt idx="0">
                  <c:v>Zeker of meestal wel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Blad1!$A$9:$A$13</c:f>
              <c:strCache>
                <c:ptCount val="5"/>
                <c:pt idx="0">
                  <c:v>Helpen je leraren om je best te doen op school? </c:v>
                </c:pt>
                <c:pt idx="1">
                  <c:v>Letten je leraren op wat je goed en niet zo goed kunt? </c:v>
                </c:pt>
                <c:pt idx="2">
                  <c:v>Kunnen je leraren goed uitleggen? </c:v>
                </c:pt>
                <c:pt idx="3">
                  <c:v>Gaan leraren goed met je om? </c:v>
                </c:pt>
                <c:pt idx="4">
                  <c:v>Hebben leraren genoeg tijd voor je?</c:v>
                </c:pt>
              </c:strCache>
            </c:strRef>
          </c:cat>
          <c:val>
            <c:numRef>
              <c:f>Blad1!$D$9:$D$13</c:f>
              <c:numCache>
                <c:formatCode>0%</c:formatCode>
                <c:ptCount val="5"/>
                <c:pt idx="0">
                  <c:v>0.58241758241758246</c:v>
                </c:pt>
                <c:pt idx="1">
                  <c:v>0.71111111111111114</c:v>
                </c:pt>
                <c:pt idx="2">
                  <c:v>0.66666666666666652</c:v>
                </c:pt>
                <c:pt idx="3">
                  <c:v>0.71111111111111114</c:v>
                </c:pt>
                <c:pt idx="4">
                  <c:v>0.56666666666666665</c:v>
                </c:pt>
              </c:numCache>
            </c:numRef>
          </c:val>
          <c:extLst>
            <c:ext xmlns:c16="http://schemas.microsoft.com/office/drawing/2014/chart" uri="{C3380CC4-5D6E-409C-BE32-E72D297353CC}">
              <c16:uniqueId val="{00000002-7235-48D4-9F3A-B442B53956FD}"/>
            </c:ext>
          </c:extLst>
        </c:ser>
        <c:dLbls>
          <c:dLblPos val="ctr"/>
          <c:showLegendKey val="0"/>
          <c:showVal val="1"/>
          <c:showCatName val="0"/>
          <c:showSerName val="0"/>
          <c:showPercent val="0"/>
          <c:showBubbleSize val="0"/>
        </c:dLbls>
        <c:gapWidth val="150"/>
        <c:overlap val="100"/>
        <c:axId val="687295624"/>
        <c:axId val="687297064"/>
      </c:barChart>
      <c:catAx>
        <c:axId val="6872956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87297064"/>
        <c:crosses val="autoZero"/>
        <c:auto val="1"/>
        <c:lblAlgn val="ctr"/>
        <c:lblOffset val="100"/>
        <c:noMultiLvlLbl val="0"/>
      </c:catAx>
      <c:valAx>
        <c:axId val="68729706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87295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Blad1!$B$1</c:f>
              <c:strCache>
                <c:ptCount val="1"/>
                <c:pt idx="0">
                  <c:v>(Bijna) nooit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Blad1!$A$2:$A$13</c:f>
              <c:strCache>
                <c:ptCount val="12"/>
                <c:pt idx="0">
                  <c:v>Als iemand enthousiast over techniek praat, vind ik het leuk om te luisteren.</c:v>
                </c:pt>
                <c:pt idx="1">
                  <c:v>Ik ben nieuwsgierig naar techniekprojecten op school.</c:v>
                </c:pt>
                <c:pt idx="2">
                  <c:v>Als ik een filmpje over techniek zie, vind ik het interessant.</c:v>
                </c:pt>
                <c:pt idx="3">
                  <c:v>Als ik iets leuks over techniek zie, zoek ik er zelf meer over op.</c:v>
                </c:pt>
                <c:pt idx="4">
                  <c:v>Ik vind het leuk om op school met techniek bezig te zijn.</c:v>
                </c:pt>
                <c:pt idx="5">
                  <c:v>Als iemand enthousiast over techniek praat, wil ik er meer over weten.</c:v>
                </c:pt>
                <c:pt idx="6">
                  <c:v>Ik kies graag technische vakken of projecten als dat kan.</c:v>
                </c:pt>
                <c:pt idx="7">
                  <c:v>Ik los graag technische problemen op, ook als het moeilijk is.</c:v>
                </c:pt>
                <c:pt idx="8">
                  <c:v>Ik wil graag beter worden in technische vaardigheden.</c:v>
                </c:pt>
                <c:pt idx="9">
                  <c:v>In mijn vrije tijd doe ik graag iets met techniek.</c:v>
                </c:pt>
                <c:pt idx="10">
                  <c:v>Ik denk dat ik later een technische opleiding ga volgen.</c:v>
                </c:pt>
                <c:pt idx="11">
                  <c:v>Ik kan me voorstellen dat ik later een technisch beroep kies.</c:v>
                </c:pt>
              </c:strCache>
            </c:strRef>
          </c:cat>
          <c:val>
            <c:numRef>
              <c:f>Blad1!$B$2:$B$13</c:f>
              <c:numCache>
                <c:formatCode>0%</c:formatCode>
                <c:ptCount val="12"/>
                <c:pt idx="0">
                  <c:v>0.39189189189189189</c:v>
                </c:pt>
                <c:pt idx="1">
                  <c:v>0.42454954954954954</c:v>
                </c:pt>
                <c:pt idx="2">
                  <c:v>0.49211711711711714</c:v>
                </c:pt>
                <c:pt idx="3">
                  <c:v>0.61261261261261257</c:v>
                </c:pt>
                <c:pt idx="4">
                  <c:v>0.30405405405405406</c:v>
                </c:pt>
                <c:pt idx="5">
                  <c:v>0.52815315315315314</c:v>
                </c:pt>
                <c:pt idx="6">
                  <c:v>0.46509009009009011</c:v>
                </c:pt>
                <c:pt idx="7">
                  <c:v>0.5033783783783784</c:v>
                </c:pt>
                <c:pt idx="8">
                  <c:v>0.41554054054054052</c:v>
                </c:pt>
                <c:pt idx="9">
                  <c:v>0.625</c:v>
                </c:pt>
                <c:pt idx="10">
                  <c:v>0.58108108108108103</c:v>
                </c:pt>
                <c:pt idx="11">
                  <c:v>0.5754504504504504</c:v>
                </c:pt>
              </c:numCache>
            </c:numRef>
          </c:val>
          <c:extLst>
            <c:ext xmlns:c16="http://schemas.microsoft.com/office/drawing/2014/chart" uri="{C3380CC4-5D6E-409C-BE32-E72D297353CC}">
              <c16:uniqueId val="{00000000-4B9D-4E28-B2D3-32269F165C41}"/>
            </c:ext>
          </c:extLst>
        </c:ser>
        <c:ser>
          <c:idx val="1"/>
          <c:order val="1"/>
          <c:tx>
            <c:strRef>
              <c:f>Blad1!$C$1</c:f>
              <c:strCache>
                <c:ptCount val="1"/>
                <c:pt idx="0">
                  <c:v>Soms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Blad1!$A$2:$A$13</c:f>
              <c:strCache>
                <c:ptCount val="12"/>
                <c:pt idx="0">
                  <c:v>Als iemand enthousiast over techniek praat, vind ik het leuk om te luisteren.</c:v>
                </c:pt>
                <c:pt idx="1">
                  <c:v>Ik ben nieuwsgierig naar techniekprojecten op school.</c:v>
                </c:pt>
                <c:pt idx="2">
                  <c:v>Als ik een filmpje over techniek zie, vind ik het interessant.</c:v>
                </c:pt>
                <c:pt idx="3">
                  <c:v>Als ik iets leuks over techniek zie, zoek ik er zelf meer over op.</c:v>
                </c:pt>
                <c:pt idx="4">
                  <c:v>Ik vind het leuk om op school met techniek bezig te zijn.</c:v>
                </c:pt>
                <c:pt idx="5">
                  <c:v>Als iemand enthousiast over techniek praat, wil ik er meer over weten.</c:v>
                </c:pt>
                <c:pt idx="6">
                  <c:v>Ik kies graag technische vakken of projecten als dat kan.</c:v>
                </c:pt>
                <c:pt idx="7">
                  <c:v>Ik los graag technische problemen op, ook als het moeilijk is.</c:v>
                </c:pt>
                <c:pt idx="8">
                  <c:v>Ik wil graag beter worden in technische vaardigheden.</c:v>
                </c:pt>
                <c:pt idx="9">
                  <c:v>In mijn vrije tijd doe ik graag iets met techniek.</c:v>
                </c:pt>
                <c:pt idx="10">
                  <c:v>Ik denk dat ik later een technische opleiding ga volgen.</c:v>
                </c:pt>
                <c:pt idx="11">
                  <c:v>Ik kan me voorstellen dat ik later een technisch beroep kies.</c:v>
                </c:pt>
              </c:strCache>
            </c:strRef>
          </c:cat>
          <c:val>
            <c:numRef>
              <c:f>Blad1!$C$2:$C$13</c:f>
              <c:numCache>
                <c:formatCode>0%</c:formatCode>
                <c:ptCount val="12"/>
                <c:pt idx="0">
                  <c:v>0.39527027027027034</c:v>
                </c:pt>
                <c:pt idx="1">
                  <c:v>0.34121621621621623</c:v>
                </c:pt>
                <c:pt idx="2">
                  <c:v>0.34909909909909909</c:v>
                </c:pt>
                <c:pt idx="3">
                  <c:v>0.26914414414414417</c:v>
                </c:pt>
                <c:pt idx="4">
                  <c:v>0.32882882882882891</c:v>
                </c:pt>
                <c:pt idx="5">
                  <c:v>0.34009009009009011</c:v>
                </c:pt>
                <c:pt idx="6">
                  <c:v>0.26126126126126126</c:v>
                </c:pt>
                <c:pt idx="7">
                  <c:v>0.29391891891891891</c:v>
                </c:pt>
                <c:pt idx="8">
                  <c:v>0.27252252252252251</c:v>
                </c:pt>
                <c:pt idx="9">
                  <c:v>0.23085585585585588</c:v>
                </c:pt>
                <c:pt idx="10">
                  <c:v>0.20495495495495494</c:v>
                </c:pt>
                <c:pt idx="11">
                  <c:v>0.19369369369369369</c:v>
                </c:pt>
              </c:numCache>
            </c:numRef>
          </c:val>
          <c:extLst>
            <c:ext xmlns:c16="http://schemas.microsoft.com/office/drawing/2014/chart" uri="{C3380CC4-5D6E-409C-BE32-E72D297353CC}">
              <c16:uniqueId val="{00000001-4B9D-4E28-B2D3-32269F165C41}"/>
            </c:ext>
          </c:extLst>
        </c:ser>
        <c:ser>
          <c:idx val="2"/>
          <c:order val="2"/>
          <c:tx>
            <c:strRef>
              <c:f>Blad1!$D$1</c:f>
              <c:strCache>
                <c:ptCount val="1"/>
                <c:pt idx="0">
                  <c:v>(Bijna) altijd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Blad1!$A$2:$A$13</c:f>
              <c:strCache>
                <c:ptCount val="12"/>
                <c:pt idx="0">
                  <c:v>Als iemand enthousiast over techniek praat, vind ik het leuk om te luisteren.</c:v>
                </c:pt>
                <c:pt idx="1">
                  <c:v>Ik ben nieuwsgierig naar techniekprojecten op school.</c:v>
                </c:pt>
                <c:pt idx="2">
                  <c:v>Als ik een filmpje over techniek zie, vind ik het interessant.</c:v>
                </c:pt>
                <c:pt idx="3">
                  <c:v>Als ik iets leuks over techniek zie, zoek ik er zelf meer over op.</c:v>
                </c:pt>
                <c:pt idx="4">
                  <c:v>Ik vind het leuk om op school met techniek bezig te zijn.</c:v>
                </c:pt>
                <c:pt idx="5">
                  <c:v>Als iemand enthousiast over techniek praat, wil ik er meer over weten.</c:v>
                </c:pt>
                <c:pt idx="6">
                  <c:v>Ik kies graag technische vakken of projecten als dat kan.</c:v>
                </c:pt>
                <c:pt idx="7">
                  <c:v>Ik los graag technische problemen op, ook als het moeilijk is.</c:v>
                </c:pt>
                <c:pt idx="8">
                  <c:v>Ik wil graag beter worden in technische vaardigheden.</c:v>
                </c:pt>
                <c:pt idx="9">
                  <c:v>In mijn vrije tijd doe ik graag iets met techniek.</c:v>
                </c:pt>
                <c:pt idx="10">
                  <c:v>Ik denk dat ik later een technische opleiding ga volgen.</c:v>
                </c:pt>
                <c:pt idx="11">
                  <c:v>Ik kan me voorstellen dat ik later een technisch beroep kies.</c:v>
                </c:pt>
              </c:strCache>
            </c:strRef>
          </c:cat>
          <c:val>
            <c:numRef>
              <c:f>Blad1!$D$2:$D$13</c:f>
              <c:numCache>
                <c:formatCode>0%</c:formatCode>
                <c:ptCount val="12"/>
                <c:pt idx="0">
                  <c:v>0.21283783783783783</c:v>
                </c:pt>
                <c:pt idx="1">
                  <c:v>0.23423423423423423</c:v>
                </c:pt>
                <c:pt idx="2">
                  <c:v>0.15878378378378377</c:v>
                </c:pt>
                <c:pt idx="3">
                  <c:v>0.11824324324324324</c:v>
                </c:pt>
                <c:pt idx="4">
                  <c:v>0.36711711711711714</c:v>
                </c:pt>
                <c:pt idx="5">
                  <c:v>0.13175675675675674</c:v>
                </c:pt>
                <c:pt idx="6">
                  <c:v>0.27364864864864863</c:v>
                </c:pt>
                <c:pt idx="7">
                  <c:v>0.20270270270270271</c:v>
                </c:pt>
                <c:pt idx="8">
                  <c:v>0.31193693693693691</c:v>
                </c:pt>
                <c:pt idx="9">
                  <c:v>0.14414414414414414</c:v>
                </c:pt>
                <c:pt idx="10">
                  <c:v>0.21396396396396397</c:v>
                </c:pt>
                <c:pt idx="11">
                  <c:v>0.23085585585585588</c:v>
                </c:pt>
              </c:numCache>
            </c:numRef>
          </c:val>
          <c:extLst>
            <c:ext xmlns:c16="http://schemas.microsoft.com/office/drawing/2014/chart" uri="{C3380CC4-5D6E-409C-BE32-E72D297353CC}">
              <c16:uniqueId val="{00000002-4B9D-4E28-B2D3-32269F165C41}"/>
            </c:ext>
          </c:extLst>
        </c:ser>
        <c:dLbls>
          <c:dLblPos val="ctr"/>
          <c:showLegendKey val="0"/>
          <c:showVal val="1"/>
          <c:showCatName val="0"/>
          <c:showSerName val="0"/>
          <c:showPercent val="0"/>
          <c:showBubbleSize val="0"/>
        </c:dLbls>
        <c:gapWidth val="150"/>
        <c:overlap val="100"/>
        <c:axId val="559934208"/>
        <c:axId val="559928088"/>
      </c:barChart>
      <c:catAx>
        <c:axId val="5599342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59928088"/>
        <c:crosses val="autoZero"/>
        <c:auto val="1"/>
        <c:lblAlgn val="ctr"/>
        <c:lblOffset val="100"/>
        <c:noMultiLvlLbl val="0"/>
      </c:catAx>
      <c:valAx>
        <c:axId val="55992808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5993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8B1-42A6-91B3-8B4DE94A973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8B1-42A6-91B3-8B4DE94A973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8B1-42A6-91B3-8B4DE94A973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8B1-42A6-91B3-8B4DE94A973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8B1-42A6-91B3-8B4DE94A973D}"/>
              </c:ext>
            </c:extLst>
          </c:dPt>
          <c:dLbls>
            <c:dLbl>
              <c:idx val="1"/>
              <c:layout>
                <c:manualLayout>
                  <c:x val="0"/>
                  <c:y val="-1.561927288396063E-1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8B1-42A6-91B3-8B4DE94A973D}"/>
                </c:ext>
              </c:extLst>
            </c:dLbl>
            <c:dLbl>
              <c:idx val="2"/>
              <c:layout>
                <c:manualLayout>
                  <c:x val="-0.11388888888888894"/>
                  <c:y val="-2.129925452609158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8B1-42A6-91B3-8B4DE94A973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NL"/>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Blad2!$B$19:$B$23</c:f>
              <c:strCache>
                <c:ptCount val="5"/>
                <c:pt idx="0">
                  <c:v>Geen interesse</c:v>
                </c:pt>
                <c:pt idx="1">
                  <c:v>Fase 1</c:v>
                </c:pt>
                <c:pt idx="2">
                  <c:v>Fase 2</c:v>
                </c:pt>
                <c:pt idx="3">
                  <c:v>Fase 3</c:v>
                </c:pt>
                <c:pt idx="4">
                  <c:v>Fase 4</c:v>
                </c:pt>
              </c:strCache>
            </c:strRef>
          </c:cat>
          <c:val>
            <c:numRef>
              <c:f>Blad2!$C$19:$C$23</c:f>
              <c:numCache>
                <c:formatCode>0%</c:formatCode>
                <c:ptCount val="5"/>
                <c:pt idx="0">
                  <c:v>0.32700000000000001</c:v>
                </c:pt>
                <c:pt idx="1">
                  <c:v>0.13</c:v>
                </c:pt>
                <c:pt idx="2">
                  <c:v>0.11699999999999999</c:v>
                </c:pt>
                <c:pt idx="3">
                  <c:v>0.23600000000000002</c:v>
                </c:pt>
                <c:pt idx="4">
                  <c:v>0.19</c:v>
                </c:pt>
              </c:numCache>
            </c:numRef>
          </c:val>
          <c:extLst>
            <c:ext xmlns:c16="http://schemas.microsoft.com/office/drawing/2014/chart" uri="{C3380CC4-5D6E-409C-BE32-E72D297353CC}">
              <c16:uniqueId val="{0000000A-18B1-42A6-91B3-8B4DE94A973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Blad1!$B$2</c:f>
              <c:strCache>
                <c:ptCount val="1"/>
                <c:pt idx="0">
                  <c:v>Alle leerlingen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Blad1!$A$3:$A$11</c:f>
              <c:strCache>
                <c:ptCount val="9"/>
                <c:pt idx="0">
                  <c:v>Het past bij mijn interesses</c:v>
                </c:pt>
                <c:pt idx="1">
                  <c:v>Het past bij de opleiding die ik hierna wil doen</c:v>
                </c:pt>
                <c:pt idx="2">
                  <c:v>Het past bij het beroep dat ik hierna wil doen</c:v>
                </c:pt>
                <c:pt idx="3">
                  <c:v>Mijn mentor/decaan vindt het een goede keuze</c:v>
                </c:pt>
                <c:pt idx="4">
                  <c:v>Mijn ouders vinden het een goed keuze</c:v>
                </c:pt>
                <c:pt idx="5">
                  <c:v>Vrienden/vriendinnen kiezen dit ook</c:v>
                </c:pt>
                <c:pt idx="6">
                  <c:v>Vanwege de docent</c:v>
                </c:pt>
                <c:pt idx="7">
                  <c:v>Geen specifieke reden</c:v>
                </c:pt>
                <c:pt idx="8">
                  <c:v>Anders</c:v>
                </c:pt>
              </c:strCache>
            </c:strRef>
          </c:cat>
          <c:val>
            <c:numRef>
              <c:f>Blad1!$B$3:$B$11</c:f>
              <c:numCache>
                <c:formatCode>0%</c:formatCode>
                <c:ptCount val="9"/>
                <c:pt idx="0">
                  <c:v>0.51633165829145733</c:v>
                </c:pt>
                <c:pt idx="1">
                  <c:v>0.17587939698492464</c:v>
                </c:pt>
                <c:pt idx="2">
                  <c:v>0.28266331658291455</c:v>
                </c:pt>
                <c:pt idx="3">
                  <c:v>3.2663316582914576E-2</c:v>
                </c:pt>
                <c:pt idx="4">
                  <c:v>0.12185929648241206</c:v>
                </c:pt>
                <c:pt idx="5">
                  <c:v>5.5276381909547742E-2</c:v>
                </c:pt>
                <c:pt idx="6">
                  <c:v>1.0050251256281405E-2</c:v>
                </c:pt>
                <c:pt idx="7">
                  <c:v>0.14447236180904521</c:v>
                </c:pt>
                <c:pt idx="8">
                  <c:v>7.2864321608040253E-2</c:v>
                </c:pt>
              </c:numCache>
            </c:numRef>
          </c:val>
          <c:extLst>
            <c:ext xmlns:c16="http://schemas.microsoft.com/office/drawing/2014/chart" uri="{C3380CC4-5D6E-409C-BE32-E72D297353CC}">
              <c16:uniqueId val="{00000000-090E-41C8-BA0D-FB21906F0289}"/>
            </c:ext>
          </c:extLst>
        </c:ser>
        <c:ser>
          <c:idx val="1"/>
          <c:order val="1"/>
          <c:tx>
            <c:strRef>
              <c:f>Blad1!$C$2</c:f>
              <c:strCache>
                <c:ptCount val="1"/>
                <c:pt idx="0">
                  <c:v>Leerlingen die willen kiezen voor een techniek profiel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Blad1!$A$3:$A$11</c:f>
              <c:strCache>
                <c:ptCount val="9"/>
                <c:pt idx="0">
                  <c:v>Het past bij mijn interesses</c:v>
                </c:pt>
                <c:pt idx="1">
                  <c:v>Het past bij de opleiding die ik hierna wil doen</c:v>
                </c:pt>
                <c:pt idx="2">
                  <c:v>Het past bij het beroep dat ik hierna wil doen</c:v>
                </c:pt>
                <c:pt idx="3">
                  <c:v>Mijn mentor/decaan vindt het een goede keuze</c:v>
                </c:pt>
                <c:pt idx="4">
                  <c:v>Mijn ouders vinden het een goed keuze</c:v>
                </c:pt>
                <c:pt idx="5">
                  <c:v>Vrienden/vriendinnen kiezen dit ook</c:v>
                </c:pt>
                <c:pt idx="6">
                  <c:v>Vanwege de docent</c:v>
                </c:pt>
                <c:pt idx="7">
                  <c:v>Geen specifieke reden</c:v>
                </c:pt>
                <c:pt idx="8">
                  <c:v>Anders</c:v>
                </c:pt>
              </c:strCache>
            </c:strRef>
          </c:cat>
          <c:val>
            <c:numRef>
              <c:f>Blad1!$C$3:$C$11</c:f>
              <c:numCache>
                <c:formatCode>0%</c:formatCode>
                <c:ptCount val="9"/>
                <c:pt idx="0">
                  <c:v>0.63133640552995396</c:v>
                </c:pt>
                <c:pt idx="1">
                  <c:v>0.18433179723502305</c:v>
                </c:pt>
                <c:pt idx="2">
                  <c:v>0.27649769585253459</c:v>
                </c:pt>
                <c:pt idx="3">
                  <c:v>3.6866359447004608E-2</c:v>
                </c:pt>
                <c:pt idx="4">
                  <c:v>0.14285714285714285</c:v>
                </c:pt>
                <c:pt idx="5">
                  <c:v>6.4516129032258063E-2</c:v>
                </c:pt>
                <c:pt idx="6">
                  <c:v>1.8433179723502304E-2</c:v>
                </c:pt>
                <c:pt idx="7">
                  <c:v>0.14746543778801843</c:v>
                </c:pt>
                <c:pt idx="8">
                  <c:v>7.3732718894009258E-2</c:v>
                </c:pt>
              </c:numCache>
            </c:numRef>
          </c:val>
          <c:extLst>
            <c:ext xmlns:c16="http://schemas.microsoft.com/office/drawing/2014/chart" uri="{C3380CC4-5D6E-409C-BE32-E72D297353CC}">
              <c16:uniqueId val="{00000001-090E-41C8-BA0D-FB21906F0289}"/>
            </c:ext>
          </c:extLst>
        </c:ser>
        <c:dLbls>
          <c:dLblPos val="outEnd"/>
          <c:showLegendKey val="0"/>
          <c:showVal val="1"/>
          <c:showCatName val="0"/>
          <c:showSerName val="0"/>
          <c:showPercent val="0"/>
          <c:showBubbleSize val="0"/>
        </c:dLbls>
        <c:gapWidth val="182"/>
        <c:axId val="557589080"/>
        <c:axId val="557590160"/>
      </c:barChart>
      <c:catAx>
        <c:axId val="557589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57590160"/>
        <c:crosses val="autoZero"/>
        <c:auto val="1"/>
        <c:lblAlgn val="ctr"/>
        <c:lblOffset val="100"/>
        <c:noMultiLvlLbl val="0"/>
      </c:catAx>
      <c:valAx>
        <c:axId val="55759016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57589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Blad2!$C$2</c:f>
              <c:strCache>
                <c:ptCount val="1"/>
                <c:pt idx="0">
                  <c:v>(Helemaal) niet mee eens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Blad2!$B$3:$B$13</c:f>
              <c:strCache>
                <c:ptCount val="11"/>
                <c:pt idx="0">
                  <c:v>Ik mag zelf kiezen hoe ik een opdracht maak</c:v>
                </c:pt>
                <c:pt idx="1">
                  <c:v>Ik mag mijn eigen ideeën en oplossingen gebruiken in de les</c:v>
                </c:pt>
                <c:pt idx="2">
                  <c:v> Ik kan mijn eigen tempo bepalen tijdens een technische opdracht</c:v>
                </c:pt>
                <c:pt idx="3">
                  <c:v>Mijn docent helpt me als ik dat nodig heb</c:v>
                </c:pt>
                <c:pt idx="4">
                  <c:v>Mijn klasgenoten zouden me helpen als dat nodig was</c:v>
                </c:pt>
                <c:pt idx="5">
                  <c:v>Ik voel me gewaardeerd door anderen tijdens de les</c:v>
                </c:pt>
                <c:pt idx="6">
                  <c:v>Ik kan de technische opdrachten goed uitvoeren</c:v>
                </c:pt>
                <c:pt idx="7">
                  <c:v>Ik kan problemen tijdens de les oplossen</c:v>
                </c:pt>
                <c:pt idx="8">
                  <c:v>Ik leer veel tijdens deze lessen</c:v>
                </c:pt>
                <c:pt idx="9">
                  <c:v>Ik kan werken met goedwerkende en moderne machines</c:v>
                </c:pt>
                <c:pt idx="10">
                  <c:v>Ik heb les in een mooi lokaal met alle materialen en gereedschappen die ik nodig heb</c:v>
                </c:pt>
              </c:strCache>
            </c:strRef>
          </c:cat>
          <c:val>
            <c:numRef>
              <c:f>Blad2!$C$3:$C$13</c:f>
              <c:numCache>
                <c:formatCode>0%</c:formatCode>
                <c:ptCount val="11"/>
                <c:pt idx="0">
                  <c:v>0.33</c:v>
                </c:pt>
                <c:pt idx="1">
                  <c:v>0.14000000000000001</c:v>
                </c:pt>
                <c:pt idx="2">
                  <c:v>0.18</c:v>
                </c:pt>
                <c:pt idx="3">
                  <c:v>0.02</c:v>
                </c:pt>
                <c:pt idx="4">
                  <c:v>0.09</c:v>
                </c:pt>
                <c:pt idx="5">
                  <c:v>7.0000000000000007E-2</c:v>
                </c:pt>
                <c:pt idx="6">
                  <c:v>0.06</c:v>
                </c:pt>
                <c:pt idx="7">
                  <c:v>7.0000000000000007E-2</c:v>
                </c:pt>
                <c:pt idx="8">
                  <c:v>7.0000000000000007E-2</c:v>
                </c:pt>
                <c:pt idx="9">
                  <c:v>0.03</c:v>
                </c:pt>
                <c:pt idx="10">
                  <c:v>7.0000000000000007E-2</c:v>
                </c:pt>
              </c:numCache>
            </c:numRef>
          </c:val>
          <c:extLst>
            <c:ext xmlns:c16="http://schemas.microsoft.com/office/drawing/2014/chart" uri="{C3380CC4-5D6E-409C-BE32-E72D297353CC}">
              <c16:uniqueId val="{00000000-AF7D-4524-A2AF-8F5E3E6677BC}"/>
            </c:ext>
          </c:extLst>
        </c:ser>
        <c:ser>
          <c:idx val="1"/>
          <c:order val="1"/>
          <c:tx>
            <c:strRef>
              <c:f>Blad2!$D$2</c:f>
              <c:strCache>
                <c:ptCount val="1"/>
                <c:pt idx="0">
                  <c:v>Neutraal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Blad2!$B$3:$B$13</c:f>
              <c:strCache>
                <c:ptCount val="11"/>
                <c:pt idx="0">
                  <c:v>Ik mag zelf kiezen hoe ik een opdracht maak</c:v>
                </c:pt>
                <c:pt idx="1">
                  <c:v>Ik mag mijn eigen ideeën en oplossingen gebruiken in de les</c:v>
                </c:pt>
                <c:pt idx="2">
                  <c:v> Ik kan mijn eigen tempo bepalen tijdens een technische opdracht</c:v>
                </c:pt>
                <c:pt idx="3">
                  <c:v>Mijn docent helpt me als ik dat nodig heb</c:v>
                </c:pt>
                <c:pt idx="4">
                  <c:v>Mijn klasgenoten zouden me helpen als dat nodig was</c:v>
                </c:pt>
                <c:pt idx="5">
                  <c:v>Ik voel me gewaardeerd door anderen tijdens de les</c:v>
                </c:pt>
                <c:pt idx="6">
                  <c:v>Ik kan de technische opdrachten goed uitvoeren</c:v>
                </c:pt>
                <c:pt idx="7">
                  <c:v>Ik kan problemen tijdens de les oplossen</c:v>
                </c:pt>
                <c:pt idx="8">
                  <c:v>Ik leer veel tijdens deze lessen</c:v>
                </c:pt>
                <c:pt idx="9">
                  <c:v>Ik kan werken met goedwerkende en moderne machines</c:v>
                </c:pt>
                <c:pt idx="10">
                  <c:v>Ik heb les in een mooi lokaal met alle materialen en gereedschappen die ik nodig heb</c:v>
                </c:pt>
              </c:strCache>
            </c:strRef>
          </c:cat>
          <c:val>
            <c:numRef>
              <c:f>Blad2!$D$3:$D$13</c:f>
              <c:numCache>
                <c:formatCode>0%</c:formatCode>
                <c:ptCount val="11"/>
                <c:pt idx="0">
                  <c:v>0.47</c:v>
                </c:pt>
                <c:pt idx="1">
                  <c:v>0.51</c:v>
                </c:pt>
                <c:pt idx="2">
                  <c:v>0.47</c:v>
                </c:pt>
                <c:pt idx="3">
                  <c:v>0.31</c:v>
                </c:pt>
                <c:pt idx="4">
                  <c:v>0.34</c:v>
                </c:pt>
                <c:pt idx="5">
                  <c:v>0.43</c:v>
                </c:pt>
                <c:pt idx="6">
                  <c:v>0.3</c:v>
                </c:pt>
                <c:pt idx="7">
                  <c:v>0.41</c:v>
                </c:pt>
                <c:pt idx="8">
                  <c:v>0.39</c:v>
                </c:pt>
                <c:pt idx="9">
                  <c:v>0.37</c:v>
                </c:pt>
                <c:pt idx="10">
                  <c:v>0.32</c:v>
                </c:pt>
              </c:numCache>
            </c:numRef>
          </c:val>
          <c:extLst>
            <c:ext xmlns:c16="http://schemas.microsoft.com/office/drawing/2014/chart" uri="{C3380CC4-5D6E-409C-BE32-E72D297353CC}">
              <c16:uniqueId val="{00000001-AF7D-4524-A2AF-8F5E3E6677BC}"/>
            </c:ext>
          </c:extLst>
        </c:ser>
        <c:ser>
          <c:idx val="2"/>
          <c:order val="2"/>
          <c:tx>
            <c:strRef>
              <c:f>Blad2!$E$2</c:f>
              <c:strCache>
                <c:ptCount val="1"/>
                <c:pt idx="0">
                  <c:v>(Helemaal) mee eens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Blad2!$B$3:$B$13</c:f>
              <c:strCache>
                <c:ptCount val="11"/>
                <c:pt idx="0">
                  <c:v>Ik mag zelf kiezen hoe ik een opdracht maak</c:v>
                </c:pt>
                <c:pt idx="1">
                  <c:v>Ik mag mijn eigen ideeën en oplossingen gebruiken in de les</c:v>
                </c:pt>
                <c:pt idx="2">
                  <c:v> Ik kan mijn eigen tempo bepalen tijdens een technische opdracht</c:v>
                </c:pt>
                <c:pt idx="3">
                  <c:v>Mijn docent helpt me als ik dat nodig heb</c:v>
                </c:pt>
                <c:pt idx="4">
                  <c:v>Mijn klasgenoten zouden me helpen als dat nodig was</c:v>
                </c:pt>
                <c:pt idx="5">
                  <c:v>Ik voel me gewaardeerd door anderen tijdens de les</c:v>
                </c:pt>
                <c:pt idx="6">
                  <c:v>Ik kan de technische opdrachten goed uitvoeren</c:v>
                </c:pt>
                <c:pt idx="7">
                  <c:v>Ik kan problemen tijdens de les oplossen</c:v>
                </c:pt>
                <c:pt idx="8">
                  <c:v>Ik leer veel tijdens deze lessen</c:v>
                </c:pt>
                <c:pt idx="9">
                  <c:v>Ik kan werken met goedwerkende en moderne machines</c:v>
                </c:pt>
                <c:pt idx="10">
                  <c:v>Ik heb les in een mooi lokaal met alle materialen en gereedschappen die ik nodig heb</c:v>
                </c:pt>
              </c:strCache>
            </c:strRef>
          </c:cat>
          <c:val>
            <c:numRef>
              <c:f>Blad2!$E$3:$E$13</c:f>
              <c:numCache>
                <c:formatCode>0%</c:formatCode>
                <c:ptCount val="11"/>
                <c:pt idx="0">
                  <c:v>0.2</c:v>
                </c:pt>
                <c:pt idx="1">
                  <c:v>0.34</c:v>
                </c:pt>
                <c:pt idx="2">
                  <c:v>0.36</c:v>
                </c:pt>
                <c:pt idx="3">
                  <c:v>0.67</c:v>
                </c:pt>
                <c:pt idx="4">
                  <c:v>0.56999999999999995</c:v>
                </c:pt>
                <c:pt idx="5">
                  <c:v>0.5</c:v>
                </c:pt>
                <c:pt idx="6">
                  <c:v>0.64</c:v>
                </c:pt>
                <c:pt idx="7">
                  <c:v>0.52</c:v>
                </c:pt>
                <c:pt idx="8">
                  <c:v>0.54</c:v>
                </c:pt>
                <c:pt idx="9">
                  <c:v>0.6</c:v>
                </c:pt>
                <c:pt idx="10">
                  <c:v>0.61</c:v>
                </c:pt>
              </c:numCache>
            </c:numRef>
          </c:val>
          <c:extLst>
            <c:ext xmlns:c16="http://schemas.microsoft.com/office/drawing/2014/chart" uri="{C3380CC4-5D6E-409C-BE32-E72D297353CC}">
              <c16:uniqueId val="{00000002-AF7D-4524-A2AF-8F5E3E6677BC}"/>
            </c:ext>
          </c:extLst>
        </c:ser>
        <c:dLbls>
          <c:dLblPos val="ctr"/>
          <c:showLegendKey val="0"/>
          <c:showVal val="1"/>
          <c:showCatName val="0"/>
          <c:showSerName val="0"/>
          <c:showPercent val="0"/>
          <c:showBubbleSize val="0"/>
        </c:dLbls>
        <c:gapWidth val="150"/>
        <c:overlap val="100"/>
        <c:axId val="568435432"/>
        <c:axId val="568436152"/>
      </c:barChart>
      <c:catAx>
        <c:axId val="5684354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68436152"/>
        <c:crosses val="autoZero"/>
        <c:auto val="1"/>
        <c:lblAlgn val="ctr"/>
        <c:lblOffset val="100"/>
        <c:noMultiLvlLbl val="0"/>
      </c:catAx>
      <c:valAx>
        <c:axId val="56843615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6843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 2.1_2.2 aantal en aandeel l'!$B$1</c:f>
              <c:strCache>
                <c:ptCount val="1"/>
                <c:pt idx="0">
                  <c:v>pro</c:v>
                </c:pt>
              </c:strCache>
            </c:strRef>
          </c:tx>
          <c:spPr>
            <a:solidFill>
              <a:schemeClr val="accent1"/>
            </a:solidFill>
            <a:ln>
              <a:noFill/>
            </a:ln>
            <a:effectLst/>
          </c:spPr>
          <c:invertIfNegative val="0"/>
          <c:cat>
            <c:strRef>
              <c:f>'Fig 2.1_2.2 aantal en aandeel l'!$A$2:$A$11</c:f>
              <c:strCache>
                <c:ptCount val="10"/>
                <c:pt idx="0">
                  <c:v>2015/2016</c:v>
                </c:pt>
                <c:pt idx="1">
                  <c:v>2016/2017</c:v>
                </c:pt>
                <c:pt idx="2">
                  <c:v>2017/2018</c:v>
                </c:pt>
                <c:pt idx="3">
                  <c:v>2018/2019</c:v>
                </c:pt>
                <c:pt idx="4">
                  <c:v>2019/2020</c:v>
                </c:pt>
                <c:pt idx="5">
                  <c:v>2020/2021</c:v>
                </c:pt>
                <c:pt idx="6">
                  <c:v>2021/2022</c:v>
                </c:pt>
                <c:pt idx="7">
                  <c:v>2022/2023</c:v>
                </c:pt>
                <c:pt idx="8">
                  <c:v>2023/2024</c:v>
                </c:pt>
                <c:pt idx="9">
                  <c:v>2024/2025</c:v>
                </c:pt>
              </c:strCache>
            </c:strRef>
          </c:cat>
          <c:val>
            <c:numRef>
              <c:f>'Fig 2.1_2.2 aantal en aandeel l'!$B$2:$B$11</c:f>
              <c:numCache>
                <c:formatCode>General</c:formatCode>
                <c:ptCount val="10"/>
                <c:pt idx="0">
                  <c:v>29772</c:v>
                </c:pt>
                <c:pt idx="1">
                  <c:v>29777</c:v>
                </c:pt>
                <c:pt idx="2">
                  <c:v>29551</c:v>
                </c:pt>
                <c:pt idx="3">
                  <c:v>29222</c:v>
                </c:pt>
                <c:pt idx="4">
                  <c:v>29254</c:v>
                </c:pt>
                <c:pt idx="5">
                  <c:v>29779</c:v>
                </c:pt>
                <c:pt idx="6">
                  <c:v>29652</c:v>
                </c:pt>
                <c:pt idx="7">
                  <c:v>29065</c:v>
                </c:pt>
                <c:pt idx="8">
                  <c:v>28930</c:v>
                </c:pt>
                <c:pt idx="9">
                  <c:v>29585</c:v>
                </c:pt>
              </c:numCache>
            </c:numRef>
          </c:val>
          <c:extLst>
            <c:ext xmlns:c16="http://schemas.microsoft.com/office/drawing/2014/chart" uri="{C3380CC4-5D6E-409C-BE32-E72D297353CC}">
              <c16:uniqueId val="{00000000-D69F-4C78-92A5-32426F9E8679}"/>
            </c:ext>
          </c:extLst>
        </c:ser>
        <c:ser>
          <c:idx val="1"/>
          <c:order val="1"/>
          <c:tx>
            <c:strRef>
              <c:f>'Fig 2.1_2.2 aantal en aandeel l'!$C$1</c:f>
              <c:strCache>
                <c:ptCount val="1"/>
                <c:pt idx="0">
                  <c:v>brugjaar en ongedeeld 3e jaar</c:v>
                </c:pt>
              </c:strCache>
            </c:strRef>
          </c:tx>
          <c:spPr>
            <a:solidFill>
              <a:schemeClr val="accent2"/>
            </a:solidFill>
            <a:ln>
              <a:noFill/>
            </a:ln>
            <a:effectLst/>
          </c:spPr>
          <c:invertIfNegative val="0"/>
          <c:cat>
            <c:strRef>
              <c:f>'Fig 2.1_2.2 aantal en aandeel l'!$A$2:$A$11</c:f>
              <c:strCache>
                <c:ptCount val="10"/>
                <c:pt idx="0">
                  <c:v>2015/2016</c:v>
                </c:pt>
                <c:pt idx="1">
                  <c:v>2016/2017</c:v>
                </c:pt>
                <c:pt idx="2">
                  <c:v>2017/2018</c:v>
                </c:pt>
                <c:pt idx="3">
                  <c:v>2018/2019</c:v>
                </c:pt>
                <c:pt idx="4">
                  <c:v>2019/2020</c:v>
                </c:pt>
                <c:pt idx="5">
                  <c:v>2020/2021</c:v>
                </c:pt>
                <c:pt idx="6">
                  <c:v>2021/2022</c:v>
                </c:pt>
                <c:pt idx="7">
                  <c:v>2022/2023</c:v>
                </c:pt>
                <c:pt idx="8">
                  <c:v>2023/2024</c:v>
                </c:pt>
                <c:pt idx="9">
                  <c:v>2024/2025</c:v>
                </c:pt>
              </c:strCache>
            </c:strRef>
          </c:cat>
          <c:val>
            <c:numRef>
              <c:f>'Fig 2.1_2.2 aantal en aandeel l'!$C$2:$C$11</c:f>
              <c:numCache>
                <c:formatCode>General</c:formatCode>
                <c:ptCount val="10"/>
                <c:pt idx="0">
                  <c:v>413565</c:v>
                </c:pt>
                <c:pt idx="1">
                  <c:v>410514</c:v>
                </c:pt>
                <c:pt idx="2">
                  <c:v>399482</c:v>
                </c:pt>
                <c:pt idx="3">
                  <c:v>389051</c:v>
                </c:pt>
                <c:pt idx="4">
                  <c:v>382441</c:v>
                </c:pt>
                <c:pt idx="5">
                  <c:v>377794</c:v>
                </c:pt>
                <c:pt idx="6">
                  <c:v>383590</c:v>
                </c:pt>
                <c:pt idx="7">
                  <c:v>393915</c:v>
                </c:pt>
                <c:pt idx="8">
                  <c:v>398670</c:v>
                </c:pt>
                <c:pt idx="9">
                  <c:v>395189</c:v>
                </c:pt>
              </c:numCache>
            </c:numRef>
          </c:val>
          <c:extLst>
            <c:ext xmlns:c16="http://schemas.microsoft.com/office/drawing/2014/chart" uri="{C3380CC4-5D6E-409C-BE32-E72D297353CC}">
              <c16:uniqueId val="{00000001-D69F-4C78-92A5-32426F9E8679}"/>
            </c:ext>
          </c:extLst>
        </c:ser>
        <c:ser>
          <c:idx val="2"/>
          <c:order val="2"/>
          <c:tx>
            <c:strRef>
              <c:f>'Fig 2.1_2.2 aantal en aandeel l'!$D$1</c:f>
              <c:strCache>
                <c:ptCount val="1"/>
                <c:pt idx="0">
                  <c:v>vmbo bl (3-4)</c:v>
                </c:pt>
              </c:strCache>
            </c:strRef>
          </c:tx>
          <c:spPr>
            <a:solidFill>
              <a:schemeClr val="accent3"/>
            </a:solidFill>
            <a:ln>
              <a:noFill/>
            </a:ln>
            <a:effectLst/>
          </c:spPr>
          <c:invertIfNegative val="0"/>
          <c:cat>
            <c:strRef>
              <c:f>'Fig 2.1_2.2 aantal en aandeel l'!$A$2:$A$11</c:f>
              <c:strCache>
                <c:ptCount val="10"/>
                <c:pt idx="0">
                  <c:v>2015/2016</c:v>
                </c:pt>
                <c:pt idx="1">
                  <c:v>2016/2017</c:v>
                </c:pt>
                <c:pt idx="2">
                  <c:v>2017/2018</c:v>
                </c:pt>
                <c:pt idx="3">
                  <c:v>2018/2019</c:v>
                </c:pt>
                <c:pt idx="4">
                  <c:v>2019/2020</c:v>
                </c:pt>
                <c:pt idx="5">
                  <c:v>2020/2021</c:v>
                </c:pt>
                <c:pt idx="6">
                  <c:v>2021/2022</c:v>
                </c:pt>
                <c:pt idx="7">
                  <c:v>2022/2023</c:v>
                </c:pt>
                <c:pt idx="8">
                  <c:v>2023/2024</c:v>
                </c:pt>
                <c:pt idx="9">
                  <c:v>2024/2025</c:v>
                </c:pt>
              </c:strCache>
            </c:strRef>
          </c:cat>
          <c:val>
            <c:numRef>
              <c:f>'Fig 2.1_2.2 aantal en aandeel l'!$D$2:$D$11</c:f>
              <c:numCache>
                <c:formatCode>General</c:formatCode>
                <c:ptCount val="10"/>
                <c:pt idx="0">
                  <c:v>44114</c:v>
                </c:pt>
                <c:pt idx="1">
                  <c:v>42486</c:v>
                </c:pt>
                <c:pt idx="2">
                  <c:v>39819</c:v>
                </c:pt>
                <c:pt idx="3">
                  <c:v>36939</c:v>
                </c:pt>
                <c:pt idx="4">
                  <c:v>34581</c:v>
                </c:pt>
                <c:pt idx="5">
                  <c:v>31906</c:v>
                </c:pt>
                <c:pt idx="6">
                  <c:v>30286</c:v>
                </c:pt>
                <c:pt idx="7">
                  <c:v>30890</c:v>
                </c:pt>
                <c:pt idx="8">
                  <c:v>31625</c:v>
                </c:pt>
                <c:pt idx="9">
                  <c:v>31384</c:v>
                </c:pt>
              </c:numCache>
            </c:numRef>
          </c:val>
          <c:extLst>
            <c:ext xmlns:c16="http://schemas.microsoft.com/office/drawing/2014/chart" uri="{C3380CC4-5D6E-409C-BE32-E72D297353CC}">
              <c16:uniqueId val="{00000002-D69F-4C78-92A5-32426F9E8679}"/>
            </c:ext>
          </c:extLst>
        </c:ser>
        <c:ser>
          <c:idx val="3"/>
          <c:order val="3"/>
          <c:tx>
            <c:strRef>
              <c:f>'Fig 2.1_2.2 aantal en aandeel l'!$E$1</c:f>
              <c:strCache>
                <c:ptCount val="1"/>
                <c:pt idx="0">
                  <c:v>vmbo kl (3-4)</c:v>
                </c:pt>
              </c:strCache>
            </c:strRef>
          </c:tx>
          <c:spPr>
            <a:solidFill>
              <a:schemeClr val="accent4"/>
            </a:solidFill>
            <a:ln>
              <a:noFill/>
            </a:ln>
            <a:effectLst/>
          </c:spPr>
          <c:invertIfNegative val="0"/>
          <c:cat>
            <c:strRef>
              <c:f>'Fig 2.1_2.2 aantal en aandeel l'!$A$2:$A$11</c:f>
              <c:strCache>
                <c:ptCount val="10"/>
                <c:pt idx="0">
                  <c:v>2015/2016</c:v>
                </c:pt>
                <c:pt idx="1">
                  <c:v>2016/2017</c:v>
                </c:pt>
                <c:pt idx="2">
                  <c:v>2017/2018</c:v>
                </c:pt>
                <c:pt idx="3">
                  <c:v>2018/2019</c:v>
                </c:pt>
                <c:pt idx="4">
                  <c:v>2019/2020</c:v>
                </c:pt>
                <c:pt idx="5">
                  <c:v>2020/2021</c:v>
                </c:pt>
                <c:pt idx="6">
                  <c:v>2021/2022</c:v>
                </c:pt>
                <c:pt idx="7">
                  <c:v>2022/2023</c:v>
                </c:pt>
                <c:pt idx="8">
                  <c:v>2023/2024</c:v>
                </c:pt>
                <c:pt idx="9">
                  <c:v>2024/2025</c:v>
                </c:pt>
              </c:strCache>
            </c:strRef>
          </c:cat>
          <c:val>
            <c:numRef>
              <c:f>'Fig 2.1_2.2 aantal en aandeel l'!$E$2:$E$11</c:f>
              <c:numCache>
                <c:formatCode>General</c:formatCode>
                <c:ptCount val="10"/>
                <c:pt idx="0">
                  <c:v>60647</c:v>
                </c:pt>
                <c:pt idx="1">
                  <c:v>61095</c:v>
                </c:pt>
                <c:pt idx="2">
                  <c:v>60408</c:v>
                </c:pt>
                <c:pt idx="3">
                  <c:v>59066</c:v>
                </c:pt>
                <c:pt idx="4">
                  <c:v>56595</c:v>
                </c:pt>
                <c:pt idx="5">
                  <c:v>54473</c:v>
                </c:pt>
                <c:pt idx="6">
                  <c:v>52827</c:v>
                </c:pt>
                <c:pt idx="7">
                  <c:v>54008</c:v>
                </c:pt>
                <c:pt idx="8">
                  <c:v>55169</c:v>
                </c:pt>
                <c:pt idx="9">
                  <c:v>54319</c:v>
                </c:pt>
              </c:numCache>
            </c:numRef>
          </c:val>
          <c:extLst>
            <c:ext xmlns:c16="http://schemas.microsoft.com/office/drawing/2014/chart" uri="{C3380CC4-5D6E-409C-BE32-E72D297353CC}">
              <c16:uniqueId val="{00000003-D69F-4C78-92A5-32426F9E8679}"/>
            </c:ext>
          </c:extLst>
        </c:ser>
        <c:ser>
          <c:idx val="4"/>
          <c:order val="4"/>
          <c:tx>
            <c:strRef>
              <c:f>'Fig 2.1_2.2 aantal en aandeel l'!$F$1</c:f>
              <c:strCache>
                <c:ptCount val="1"/>
                <c:pt idx="0">
                  <c:v>vmbo gl (3-4)</c:v>
                </c:pt>
              </c:strCache>
            </c:strRef>
          </c:tx>
          <c:spPr>
            <a:solidFill>
              <a:schemeClr val="accent5"/>
            </a:solidFill>
            <a:ln>
              <a:noFill/>
            </a:ln>
            <a:effectLst/>
          </c:spPr>
          <c:invertIfNegative val="0"/>
          <c:cat>
            <c:strRef>
              <c:f>'Fig 2.1_2.2 aantal en aandeel l'!$A$2:$A$11</c:f>
              <c:strCache>
                <c:ptCount val="10"/>
                <c:pt idx="0">
                  <c:v>2015/2016</c:v>
                </c:pt>
                <c:pt idx="1">
                  <c:v>2016/2017</c:v>
                </c:pt>
                <c:pt idx="2">
                  <c:v>2017/2018</c:v>
                </c:pt>
                <c:pt idx="3">
                  <c:v>2018/2019</c:v>
                </c:pt>
                <c:pt idx="4">
                  <c:v>2019/2020</c:v>
                </c:pt>
                <c:pt idx="5">
                  <c:v>2020/2021</c:v>
                </c:pt>
                <c:pt idx="6">
                  <c:v>2021/2022</c:v>
                </c:pt>
                <c:pt idx="7">
                  <c:v>2022/2023</c:v>
                </c:pt>
                <c:pt idx="8">
                  <c:v>2023/2024</c:v>
                </c:pt>
                <c:pt idx="9">
                  <c:v>2024/2025</c:v>
                </c:pt>
              </c:strCache>
            </c:strRef>
          </c:cat>
          <c:val>
            <c:numRef>
              <c:f>'Fig 2.1_2.2 aantal en aandeel l'!$F$2:$F$11</c:f>
              <c:numCache>
                <c:formatCode>General</c:formatCode>
                <c:ptCount val="10"/>
                <c:pt idx="0">
                  <c:v>28881</c:v>
                </c:pt>
                <c:pt idx="1">
                  <c:v>29374</c:v>
                </c:pt>
                <c:pt idx="2">
                  <c:v>29420</c:v>
                </c:pt>
                <c:pt idx="3">
                  <c:v>28319</c:v>
                </c:pt>
                <c:pt idx="4">
                  <c:v>27871</c:v>
                </c:pt>
                <c:pt idx="5">
                  <c:v>26997</c:v>
                </c:pt>
                <c:pt idx="6">
                  <c:v>27542</c:v>
                </c:pt>
                <c:pt idx="7">
                  <c:v>28380</c:v>
                </c:pt>
                <c:pt idx="8">
                  <c:v>28490</c:v>
                </c:pt>
                <c:pt idx="9">
                  <c:v>27420</c:v>
                </c:pt>
              </c:numCache>
            </c:numRef>
          </c:val>
          <c:extLst>
            <c:ext xmlns:c16="http://schemas.microsoft.com/office/drawing/2014/chart" uri="{C3380CC4-5D6E-409C-BE32-E72D297353CC}">
              <c16:uniqueId val="{00000004-D69F-4C78-92A5-32426F9E8679}"/>
            </c:ext>
          </c:extLst>
        </c:ser>
        <c:ser>
          <c:idx val="5"/>
          <c:order val="5"/>
          <c:tx>
            <c:strRef>
              <c:f>'Fig 2.1_2.2 aantal en aandeel l'!$G$1</c:f>
              <c:strCache>
                <c:ptCount val="1"/>
                <c:pt idx="0">
                  <c:v>vmbo tl (3-4)</c:v>
                </c:pt>
              </c:strCache>
            </c:strRef>
          </c:tx>
          <c:spPr>
            <a:solidFill>
              <a:schemeClr val="accent6"/>
            </a:solidFill>
            <a:ln>
              <a:noFill/>
            </a:ln>
            <a:effectLst/>
          </c:spPr>
          <c:invertIfNegative val="0"/>
          <c:cat>
            <c:strRef>
              <c:f>'Fig 2.1_2.2 aantal en aandeel l'!$A$2:$A$11</c:f>
              <c:strCache>
                <c:ptCount val="10"/>
                <c:pt idx="0">
                  <c:v>2015/2016</c:v>
                </c:pt>
                <c:pt idx="1">
                  <c:v>2016/2017</c:v>
                </c:pt>
                <c:pt idx="2">
                  <c:v>2017/2018</c:v>
                </c:pt>
                <c:pt idx="3">
                  <c:v>2018/2019</c:v>
                </c:pt>
                <c:pt idx="4">
                  <c:v>2019/2020</c:v>
                </c:pt>
                <c:pt idx="5">
                  <c:v>2020/2021</c:v>
                </c:pt>
                <c:pt idx="6">
                  <c:v>2021/2022</c:v>
                </c:pt>
                <c:pt idx="7">
                  <c:v>2022/2023</c:v>
                </c:pt>
                <c:pt idx="8">
                  <c:v>2023/2024</c:v>
                </c:pt>
                <c:pt idx="9">
                  <c:v>2024/2025</c:v>
                </c:pt>
              </c:strCache>
            </c:strRef>
          </c:cat>
          <c:val>
            <c:numRef>
              <c:f>'Fig 2.1_2.2 aantal en aandeel l'!$G$2:$G$11</c:f>
              <c:numCache>
                <c:formatCode>General</c:formatCode>
                <c:ptCount val="10"/>
                <c:pt idx="0">
                  <c:v>88214</c:v>
                </c:pt>
                <c:pt idx="1">
                  <c:v>87023</c:v>
                </c:pt>
                <c:pt idx="2">
                  <c:v>85753</c:v>
                </c:pt>
                <c:pt idx="3">
                  <c:v>85521</c:v>
                </c:pt>
                <c:pt idx="4">
                  <c:v>82463</c:v>
                </c:pt>
                <c:pt idx="5">
                  <c:v>77082</c:v>
                </c:pt>
                <c:pt idx="6">
                  <c:v>74089</c:v>
                </c:pt>
                <c:pt idx="7">
                  <c:v>74184</c:v>
                </c:pt>
                <c:pt idx="8">
                  <c:v>76491</c:v>
                </c:pt>
                <c:pt idx="9">
                  <c:v>78002</c:v>
                </c:pt>
              </c:numCache>
            </c:numRef>
          </c:val>
          <c:extLst>
            <c:ext xmlns:c16="http://schemas.microsoft.com/office/drawing/2014/chart" uri="{C3380CC4-5D6E-409C-BE32-E72D297353CC}">
              <c16:uniqueId val="{00000005-D69F-4C78-92A5-32426F9E8679}"/>
            </c:ext>
          </c:extLst>
        </c:ser>
        <c:ser>
          <c:idx val="6"/>
          <c:order val="6"/>
          <c:tx>
            <c:strRef>
              <c:f>'Fig 2.1_2.2 aantal en aandeel l'!$H$1</c:f>
              <c:strCache>
                <c:ptCount val="1"/>
                <c:pt idx="0">
                  <c:v>havo (3-5)</c:v>
                </c:pt>
              </c:strCache>
            </c:strRef>
          </c:tx>
          <c:spPr>
            <a:solidFill>
              <a:schemeClr val="accent1">
                <a:lumMod val="60000"/>
              </a:schemeClr>
            </a:solidFill>
            <a:ln>
              <a:noFill/>
            </a:ln>
            <a:effectLst/>
          </c:spPr>
          <c:invertIfNegative val="0"/>
          <c:cat>
            <c:strRef>
              <c:f>'Fig 2.1_2.2 aantal en aandeel l'!$A$2:$A$11</c:f>
              <c:strCache>
                <c:ptCount val="10"/>
                <c:pt idx="0">
                  <c:v>2015/2016</c:v>
                </c:pt>
                <c:pt idx="1">
                  <c:v>2016/2017</c:v>
                </c:pt>
                <c:pt idx="2">
                  <c:v>2017/2018</c:v>
                </c:pt>
                <c:pt idx="3">
                  <c:v>2018/2019</c:v>
                </c:pt>
                <c:pt idx="4">
                  <c:v>2019/2020</c:v>
                </c:pt>
                <c:pt idx="5">
                  <c:v>2020/2021</c:v>
                </c:pt>
                <c:pt idx="6">
                  <c:v>2021/2022</c:v>
                </c:pt>
                <c:pt idx="7">
                  <c:v>2022/2023</c:v>
                </c:pt>
                <c:pt idx="8">
                  <c:v>2023/2024</c:v>
                </c:pt>
                <c:pt idx="9">
                  <c:v>2024/2025</c:v>
                </c:pt>
              </c:strCache>
            </c:strRef>
          </c:cat>
          <c:val>
            <c:numRef>
              <c:f>'Fig 2.1_2.2 aantal en aandeel l'!$H$2:$H$11</c:f>
              <c:numCache>
                <c:formatCode>General</c:formatCode>
                <c:ptCount val="10"/>
                <c:pt idx="0">
                  <c:v>163640</c:v>
                </c:pt>
                <c:pt idx="1">
                  <c:v>164223</c:v>
                </c:pt>
                <c:pt idx="2">
                  <c:v>167129</c:v>
                </c:pt>
                <c:pt idx="3">
                  <c:v>166253</c:v>
                </c:pt>
                <c:pt idx="4">
                  <c:v>164305</c:v>
                </c:pt>
                <c:pt idx="5">
                  <c:v>162866</c:v>
                </c:pt>
                <c:pt idx="6">
                  <c:v>160865</c:v>
                </c:pt>
                <c:pt idx="7">
                  <c:v>160124</c:v>
                </c:pt>
                <c:pt idx="8">
                  <c:v>158092</c:v>
                </c:pt>
                <c:pt idx="9">
                  <c:v>153966</c:v>
                </c:pt>
              </c:numCache>
            </c:numRef>
          </c:val>
          <c:extLst>
            <c:ext xmlns:c16="http://schemas.microsoft.com/office/drawing/2014/chart" uri="{C3380CC4-5D6E-409C-BE32-E72D297353CC}">
              <c16:uniqueId val="{00000006-D69F-4C78-92A5-32426F9E8679}"/>
            </c:ext>
          </c:extLst>
        </c:ser>
        <c:ser>
          <c:idx val="7"/>
          <c:order val="7"/>
          <c:tx>
            <c:strRef>
              <c:f>'Fig 2.1_2.2 aantal en aandeel l'!$I$1</c:f>
              <c:strCache>
                <c:ptCount val="1"/>
                <c:pt idx="0">
                  <c:v>vwo (3-6)</c:v>
                </c:pt>
              </c:strCache>
            </c:strRef>
          </c:tx>
          <c:spPr>
            <a:solidFill>
              <a:schemeClr val="accent2">
                <a:lumMod val="60000"/>
              </a:schemeClr>
            </a:solidFill>
            <a:ln>
              <a:noFill/>
            </a:ln>
            <a:effectLst/>
          </c:spPr>
          <c:invertIfNegative val="0"/>
          <c:cat>
            <c:strRef>
              <c:f>'Fig 2.1_2.2 aantal en aandeel l'!$A$2:$A$11</c:f>
              <c:strCache>
                <c:ptCount val="10"/>
                <c:pt idx="0">
                  <c:v>2015/2016</c:v>
                </c:pt>
                <c:pt idx="1">
                  <c:v>2016/2017</c:v>
                </c:pt>
                <c:pt idx="2">
                  <c:v>2017/2018</c:v>
                </c:pt>
                <c:pt idx="3">
                  <c:v>2018/2019</c:v>
                </c:pt>
                <c:pt idx="4">
                  <c:v>2019/2020</c:v>
                </c:pt>
                <c:pt idx="5">
                  <c:v>2020/2021</c:v>
                </c:pt>
                <c:pt idx="6">
                  <c:v>2021/2022</c:v>
                </c:pt>
                <c:pt idx="7">
                  <c:v>2022/2023</c:v>
                </c:pt>
                <c:pt idx="8">
                  <c:v>2023/2024</c:v>
                </c:pt>
                <c:pt idx="9">
                  <c:v>2024/2025</c:v>
                </c:pt>
              </c:strCache>
            </c:strRef>
          </c:cat>
          <c:val>
            <c:numRef>
              <c:f>'Fig 2.1_2.2 aantal en aandeel l'!$I$2:$I$11</c:f>
              <c:numCache>
                <c:formatCode>General</c:formatCode>
                <c:ptCount val="10"/>
                <c:pt idx="0">
                  <c:v>166951</c:v>
                </c:pt>
                <c:pt idx="1">
                  <c:v>171072</c:v>
                </c:pt>
                <c:pt idx="2">
                  <c:v>173695</c:v>
                </c:pt>
                <c:pt idx="3">
                  <c:v>173898</c:v>
                </c:pt>
                <c:pt idx="4">
                  <c:v>172955</c:v>
                </c:pt>
                <c:pt idx="5">
                  <c:v>173348</c:v>
                </c:pt>
                <c:pt idx="6">
                  <c:v>170852</c:v>
                </c:pt>
                <c:pt idx="7">
                  <c:v>166006</c:v>
                </c:pt>
                <c:pt idx="8">
                  <c:v>163095</c:v>
                </c:pt>
                <c:pt idx="9">
                  <c:v>159824</c:v>
                </c:pt>
              </c:numCache>
            </c:numRef>
          </c:val>
          <c:extLst>
            <c:ext xmlns:c16="http://schemas.microsoft.com/office/drawing/2014/chart" uri="{C3380CC4-5D6E-409C-BE32-E72D297353CC}">
              <c16:uniqueId val="{00000007-D69F-4C78-92A5-32426F9E8679}"/>
            </c:ext>
          </c:extLst>
        </c:ser>
        <c:ser>
          <c:idx val="8"/>
          <c:order val="8"/>
          <c:tx>
            <c:strRef>
              <c:f>'Fig 2.1_2.2 aantal en aandeel l'!$J$1</c:f>
              <c:strCache>
                <c:ptCount val="1"/>
                <c:pt idx="0">
                  <c:v>vavo</c:v>
                </c:pt>
              </c:strCache>
            </c:strRef>
          </c:tx>
          <c:spPr>
            <a:solidFill>
              <a:schemeClr val="accent3">
                <a:lumMod val="60000"/>
              </a:schemeClr>
            </a:solidFill>
            <a:ln>
              <a:noFill/>
            </a:ln>
            <a:effectLst/>
          </c:spPr>
          <c:invertIfNegative val="0"/>
          <c:cat>
            <c:strRef>
              <c:f>'Fig 2.1_2.2 aantal en aandeel l'!$A$2:$A$11</c:f>
              <c:strCache>
                <c:ptCount val="10"/>
                <c:pt idx="0">
                  <c:v>2015/2016</c:v>
                </c:pt>
                <c:pt idx="1">
                  <c:v>2016/2017</c:v>
                </c:pt>
                <c:pt idx="2">
                  <c:v>2017/2018</c:v>
                </c:pt>
                <c:pt idx="3">
                  <c:v>2018/2019</c:v>
                </c:pt>
                <c:pt idx="4">
                  <c:v>2019/2020</c:v>
                </c:pt>
                <c:pt idx="5">
                  <c:v>2020/2021</c:v>
                </c:pt>
                <c:pt idx="6">
                  <c:v>2021/2022</c:v>
                </c:pt>
                <c:pt idx="7">
                  <c:v>2022/2023</c:v>
                </c:pt>
                <c:pt idx="8">
                  <c:v>2023/2024</c:v>
                </c:pt>
                <c:pt idx="9">
                  <c:v>2024/2025</c:v>
                </c:pt>
              </c:strCache>
            </c:strRef>
          </c:cat>
          <c:val>
            <c:numRef>
              <c:f>'Fig 2.1_2.2 aantal en aandeel l'!$J$2:$J$11</c:f>
              <c:numCache>
                <c:formatCode>General</c:formatCode>
                <c:ptCount val="10"/>
                <c:pt idx="0">
                  <c:v>6179</c:v>
                </c:pt>
                <c:pt idx="1">
                  <c:v>6532</c:v>
                </c:pt>
                <c:pt idx="2">
                  <c:v>6824</c:v>
                </c:pt>
                <c:pt idx="3">
                  <c:v>6669</c:v>
                </c:pt>
                <c:pt idx="4">
                  <c:v>6347</c:v>
                </c:pt>
                <c:pt idx="5">
                  <c:v>2801</c:v>
                </c:pt>
                <c:pt idx="6">
                  <c:v>4498</c:v>
                </c:pt>
                <c:pt idx="7">
                  <c:v>4986</c:v>
                </c:pt>
                <c:pt idx="8">
                  <c:v>7172</c:v>
                </c:pt>
                <c:pt idx="9">
                  <c:v>6491</c:v>
                </c:pt>
              </c:numCache>
            </c:numRef>
          </c:val>
          <c:extLst>
            <c:ext xmlns:c16="http://schemas.microsoft.com/office/drawing/2014/chart" uri="{C3380CC4-5D6E-409C-BE32-E72D297353CC}">
              <c16:uniqueId val="{00000008-D69F-4C78-92A5-32426F9E8679}"/>
            </c:ext>
          </c:extLst>
        </c:ser>
        <c:dLbls>
          <c:showLegendKey val="0"/>
          <c:showVal val="0"/>
          <c:showCatName val="0"/>
          <c:showSerName val="0"/>
          <c:showPercent val="0"/>
          <c:showBubbleSize val="0"/>
        </c:dLbls>
        <c:gapWidth val="55"/>
        <c:overlap val="100"/>
        <c:axId val="704081064"/>
        <c:axId val="704081424"/>
      </c:barChart>
      <c:catAx>
        <c:axId val="704081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04081424"/>
        <c:crosses val="autoZero"/>
        <c:auto val="1"/>
        <c:lblAlgn val="ctr"/>
        <c:lblOffset val="100"/>
        <c:noMultiLvlLbl val="0"/>
      </c:catAx>
      <c:valAx>
        <c:axId val="704081424"/>
        <c:scaling>
          <c:orientation val="minMax"/>
          <c:max val="10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04081064"/>
        <c:crosses val="autoZero"/>
        <c:crossBetween val="between"/>
      </c:valAx>
      <c:spPr>
        <a:noFill/>
        <a:ln>
          <a:noFill/>
        </a:ln>
        <a:effectLst/>
      </c:spPr>
    </c:plotArea>
    <c:legend>
      <c:legendPos val="r"/>
      <c:layout>
        <c:manualLayout>
          <c:xMode val="edge"/>
          <c:yMode val="edge"/>
          <c:x val="0.69504882035714022"/>
          <c:y val="4.5977604558224208E-2"/>
          <c:w val="0.29104941875314705"/>
          <c:h val="0.811562062279903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Aandeel techniek leerlingen per STO-regio</c:v>
          </c:tx>
          <c:spPr>
            <a:solidFill>
              <a:schemeClr val="accent1"/>
            </a:solidFill>
            <a:ln>
              <a:noFill/>
            </a:ln>
            <a:effectLst/>
          </c:spPr>
          <c:invertIfNegative val="0"/>
          <c:val>
            <c:numRef>
              <c:f>'2023'!$D$2:$D$79</c:f>
              <c:numCache>
                <c:formatCode>#,#00</c:formatCode>
                <c:ptCount val="78"/>
                <c:pt idx="0">
                  <c:v>0</c:v>
                </c:pt>
                <c:pt idx="1">
                  <c:v>0</c:v>
                </c:pt>
                <c:pt idx="2">
                  <c:v>0</c:v>
                </c:pt>
                <c:pt idx="3">
                  <c:v>3.7766830870279149</c:v>
                </c:pt>
                <c:pt idx="4">
                  <c:v>5.7324840764331215</c:v>
                </c:pt>
                <c:pt idx="5">
                  <c:v>7.2351421188630489</c:v>
                </c:pt>
                <c:pt idx="6">
                  <c:v>8.0797481636935995</c:v>
                </c:pt>
                <c:pt idx="7">
                  <c:v>8.1833060556464812</c:v>
                </c:pt>
                <c:pt idx="8">
                  <c:v>10.209424083769633</c:v>
                </c:pt>
                <c:pt idx="9">
                  <c:v>10.843373493975903</c:v>
                </c:pt>
                <c:pt idx="10">
                  <c:v>11.419068736141908</c:v>
                </c:pt>
                <c:pt idx="11">
                  <c:v>12.064965197215777</c:v>
                </c:pt>
                <c:pt idx="12">
                  <c:v>12.961011591148578</c:v>
                </c:pt>
                <c:pt idx="13">
                  <c:v>13.804713804713806</c:v>
                </c:pt>
                <c:pt idx="14">
                  <c:v>13.926940639269406</c:v>
                </c:pt>
                <c:pt idx="15">
                  <c:v>14.311926605504588</c:v>
                </c:pt>
                <c:pt idx="16">
                  <c:v>14.86146095717884</c:v>
                </c:pt>
                <c:pt idx="17">
                  <c:v>15.764705882352942</c:v>
                </c:pt>
                <c:pt idx="18">
                  <c:v>16.010498687664043</c:v>
                </c:pt>
                <c:pt idx="19">
                  <c:v>16.034985422740526</c:v>
                </c:pt>
                <c:pt idx="20">
                  <c:v>16.6351606805293</c:v>
                </c:pt>
                <c:pt idx="21">
                  <c:v>18.433179723502306</c:v>
                </c:pt>
                <c:pt idx="22">
                  <c:v>18.691588785046729</c:v>
                </c:pt>
                <c:pt idx="23">
                  <c:v>18.765432098765434</c:v>
                </c:pt>
                <c:pt idx="24">
                  <c:v>19.330855018587361</c:v>
                </c:pt>
                <c:pt idx="25">
                  <c:v>19.672131147540984</c:v>
                </c:pt>
                <c:pt idx="26">
                  <c:v>19.872813990461051</c:v>
                </c:pt>
                <c:pt idx="27">
                  <c:v>20</c:v>
                </c:pt>
                <c:pt idx="28">
                  <c:v>20</c:v>
                </c:pt>
                <c:pt idx="29">
                  <c:v>20</c:v>
                </c:pt>
                <c:pt idx="30">
                  <c:v>20.064724919093852</c:v>
                </c:pt>
                <c:pt idx="31">
                  <c:v>20.262793914246195</c:v>
                </c:pt>
                <c:pt idx="32">
                  <c:v>20.970537261698439</c:v>
                </c:pt>
                <c:pt idx="33">
                  <c:v>21.181556195965417</c:v>
                </c:pt>
                <c:pt idx="34">
                  <c:v>22.012578616352201</c:v>
                </c:pt>
                <c:pt idx="35">
                  <c:v>22.260273972602739</c:v>
                </c:pt>
                <c:pt idx="36">
                  <c:v>24.920634920634921</c:v>
                </c:pt>
                <c:pt idx="37">
                  <c:v>24.976613657623947</c:v>
                </c:pt>
                <c:pt idx="38">
                  <c:v>25.162866449511402</c:v>
                </c:pt>
                <c:pt idx="39">
                  <c:v>25.454545454545453</c:v>
                </c:pt>
                <c:pt idx="40">
                  <c:v>25.827814569536422</c:v>
                </c:pt>
                <c:pt idx="41">
                  <c:v>26.286764705882355</c:v>
                </c:pt>
                <c:pt idx="42">
                  <c:v>26.907073509015255</c:v>
                </c:pt>
                <c:pt idx="43">
                  <c:v>27.179487179487179</c:v>
                </c:pt>
                <c:pt idx="44">
                  <c:v>29.061784897025174</c:v>
                </c:pt>
                <c:pt idx="45">
                  <c:v>29.347826086956523</c:v>
                </c:pt>
                <c:pt idx="46">
                  <c:v>29.523809523809526</c:v>
                </c:pt>
                <c:pt idx="47">
                  <c:v>29.732458354366482</c:v>
                </c:pt>
                <c:pt idx="48">
                  <c:v>30.193905817174517</c:v>
                </c:pt>
                <c:pt idx="49">
                  <c:v>30.448717948717945</c:v>
                </c:pt>
                <c:pt idx="50">
                  <c:v>31.041666666666668</c:v>
                </c:pt>
                <c:pt idx="51">
                  <c:v>31.743421052631575</c:v>
                </c:pt>
                <c:pt idx="52">
                  <c:v>32.142857142857146</c:v>
                </c:pt>
                <c:pt idx="53">
                  <c:v>32.167832167832167</c:v>
                </c:pt>
                <c:pt idx="54">
                  <c:v>33.171521035598708</c:v>
                </c:pt>
                <c:pt idx="55">
                  <c:v>33.295454545454547</c:v>
                </c:pt>
                <c:pt idx="56">
                  <c:v>33.333333333333329</c:v>
                </c:pt>
                <c:pt idx="57">
                  <c:v>33.5</c:v>
                </c:pt>
                <c:pt idx="58">
                  <c:v>33.636363636363633</c:v>
                </c:pt>
                <c:pt idx="59">
                  <c:v>34.718100890207715</c:v>
                </c:pt>
                <c:pt idx="60">
                  <c:v>34.816753926701573</c:v>
                </c:pt>
                <c:pt idx="61">
                  <c:v>34.857142857142861</c:v>
                </c:pt>
                <c:pt idx="62">
                  <c:v>35.302197802197803</c:v>
                </c:pt>
                <c:pt idx="63">
                  <c:v>36.333333333333336</c:v>
                </c:pt>
                <c:pt idx="64">
                  <c:v>37.526205450733755</c:v>
                </c:pt>
                <c:pt idx="65">
                  <c:v>37.656903765690373</c:v>
                </c:pt>
                <c:pt idx="66">
                  <c:v>38.226299694189606</c:v>
                </c:pt>
                <c:pt idx="67">
                  <c:v>38.803088803088805</c:v>
                </c:pt>
                <c:pt idx="68">
                  <c:v>39.37823834196891</c:v>
                </c:pt>
                <c:pt idx="69">
                  <c:v>39.948119325551232</c:v>
                </c:pt>
                <c:pt idx="70">
                  <c:v>40.480591497227358</c:v>
                </c:pt>
                <c:pt idx="71">
                  <c:v>40.816326530612244</c:v>
                </c:pt>
                <c:pt idx="72">
                  <c:v>41.255605381165921</c:v>
                </c:pt>
                <c:pt idx="73">
                  <c:v>41.269841269841265</c:v>
                </c:pt>
                <c:pt idx="74">
                  <c:v>41.506129597197898</c:v>
                </c:pt>
                <c:pt idx="75">
                  <c:v>44.300518134715027</c:v>
                </c:pt>
                <c:pt idx="76">
                  <c:v>45.173041894353375</c:v>
                </c:pt>
                <c:pt idx="77">
                  <c:v>46.428571428571431</c:v>
                </c:pt>
              </c:numCache>
            </c:numRef>
          </c:val>
          <c:extLst>
            <c:ext xmlns:c16="http://schemas.microsoft.com/office/drawing/2014/chart" uri="{C3380CC4-5D6E-409C-BE32-E72D297353CC}">
              <c16:uniqueId val="{00000000-B394-4F1D-8882-6BEAF6BB68BA}"/>
            </c:ext>
          </c:extLst>
        </c:ser>
        <c:dLbls>
          <c:showLegendKey val="0"/>
          <c:showVal val="0"/>
          <c:showCatName val="0"/>
          <c:showSerName val="0"/>
          <c:showPercent val="0"/>
          <c:showBubbleSize val="0"/>
        </c:dLbls>
        <c:gapWidth val="219"/>
        <c:overlap val="-27"/>
        <c:axId val="641013392"/>
        <c:axId val="641014112"/>
      </c:barChart>
      <c:lineChart>
        <c:grouping val="standard"/>
        <c:varyColors val="0"/>
        <c:ser>
          <c:idx val="1"/>
          <c:order val="1"/>
          <c:tx>
            <c:v>Gemiddelde</c:v>
          </c:tx>
          <c:spPr>
            <a:ln w="22225" cap="rnd">
              <a:solidFill>
                <a:schemeClr val="accent2"/>
              </a:solidFill>
              <a:round/>
            </a:ln>
            <a:effectLst/>
          </c:spPr>
          <c:marker>
            <c:symbol val="none"/>
          </c:marker>
          <c:val>
            <c:numRef>
              <c:f>'2023'!$E$2:$E$79</c:f>
              <c:numCache>
                <c:formatCode>#,#00</c:formatCode>
                <c:ptCount val="78"/>
                <c:pt idx="0">
                  <c:v>24.887536250092914</c:v>
                </c:pt>
                <c:pt idx="1">
                  <c:v>24.887536250092914</c:v>
                </c:pt>
                <c:pt idx="2">
                  <c:v>24.887536250092914</c:v>
                </c:pt>
                <c:pt idx="3">
                  <c:v>24.887536250092914</c:v>
                </c:pt>
                <c:pt idx="4">
                  <c:v>24.887536250092914</c:v>
                </c:pt>
                <c:pt idx="5">
                  <c:v>24.887536250092914</c:v>
                </c:pt>
                <c:pt idx="6">
                  <c:v>24.887536250092914</c:v>
                </c:pt>
                <c:pt idx="7">
                  <c:v>24.887536250092914</c:v>
                </c:pt>
                <c:pt idx="8">
                  <c:v>24.887536250092914</c:v>
                </c:pt>
                <c:pt idx="9">
                  <c:v>24.887536250092914</c:v>
                </c:pt>
                <c:pt idx="10">
                  <c:v>24.887536250092914</c:v>
                </c:pt>
                <c:pt idx="11">
                  <c:v>24.887536250092914</c:v>
                </c:pt>
                <c:pt idx="12">
                  <c:v>24.887536250092914</c:v>
                </c:pt>
                <c:pt idx="13">
                  <c:v>24.887536250092914</c:v>
                </c:pt>
                <c:pt idx="14">
                  <c:v>24.887536250092914</c:v>
                </c:pt>
                <c:pt idx="15">
                  <c:v>24.887536250092914</c:v>
                </c:pt>
                <c:pt idx="16">
                  <c:v>24.887536250092914</c:v>
                </c:pt>
                <c:pt idx="17">
                  <c:v>24.887536250092914</c:v>
                </c:pt>
                <c:pt idx="18">
                  <c:v>24.887536250092914</c:v>
                </c:pt>
                <c:pt idx="19">
                  <c:v>24.887536250092914</c:v>
                </c:pt>
                <c:pt idx="20">
                  <c:v>24.887536250092914</c:v>
                </c:pt>
                <c:pt idx="21">
                  <c:v>24.887536250092914</c:v>
                </c:pt>
                <c:pt idx="22">
                  <c:v>24.887536250092914</c:v>
                </c:pt>
                <c:pt idx="23">
                  <c:v>24.887536250092914</c:v>
                </c:pt>
                <c:pt idx="24">
                  <c:v>24.887536250092914</c:v>
                </c:pt>
                <c:pt idx="25">
                  <c:v>24.887536250092914</c:v>
                </c:pt>
                <c:pt idx="26">
                  <c:v>24.887536250092914</c:v>
                </c:pt>
                <c:pt idx="27">
                  <c:v>24.887536250092914</c:v>
                </c:pt>
                <c:pt idx="28">
                  <c:v>24.887536250092914</c:v>
                </c:pt>
                <c:pt idx="29">
                  <c:v>24.887536250092914</c:v>
                </c:pt>
                <c:pt idx="30">
                  <c:v>24.887536250092914</c:v>
                </c:pt>
                <c:pt idx="31">
                  <c:v>24.887536250092914</c:v>
                </c:pt>
                <c:pt idx="32">
                  <c:v>24.887536250092914</c:v>
                </c:pt>
                <c:pt idx="33">
                  <c:v>24.887536250092914</c:v>
                </c:pt>
                <c:pt idx="34">
                  <c:v>24.887536250092914</c:v>
                </c:pt>
                <c:pt idx="35">
                  <c:v>24.887536250092914</c:v>
                </c:pt>
                <c:pt idx="36">
                  <c:v>24.887536250092914</c:v>
                </c:pt>
                <c:pt idx="37">
                  <c:v>24.887536250092914</c:v>
                </c:pt>
                <c:pt idx="38">
                  <c:v>24.887536250092914</c:v>
                </c:pt>
                <c:pt idx="39">
                  <c:v>24.887536250092914</c:v>
                </c:pt>
                <c:pt idx="40">
                  <c:v>24.887536250092914</c:v>
                </c:pt>
                <c:pt idx="41">
                  <c:v>24.887536250092914</c:v>
                </c:pt>
                <c:pt idx="42">
                  <c:v>24.887536250092914</c:v>
                </c:pt>
                <c:pt idx="43">
                  <c:v>24.887536250092914</c:v>
                </c:pt>
                <c:pt idx="44">
                  <c:v>24.887536250092914</c:v>
                </c:pt>
                <c:pt idx="45">
                  <c:v>24.887536250092914</c:v>
                </c:pt>
                <c:pt idx="46">
                  <c:v>24.887536250092914</c:v>
                </c:pt>
                <c:pt idx="47">
                  <c:v>24.887536250092914</c:v>
                </c:pt>
                <c:pt idx="48">
                  <c:v>24.887536250092914</c:v>
                </c:pt>
                <c:pt idx="49">
                  <c:v>24.887536250092914</c:v>
                </c:pt>
                <c:pt idx="50">
                  <c:v>24.887536250092914</c:v>
                </c:pt>
                <c:pt idx="51">
                  <c:v>24.887536250092914</c:v>
                </c:pt>
                <c:pt idx="52">
                  <c:v>24.887536250092914</c:v>
                </c:pt>
                <c:pt idx="53">
                  <c:v>24.887536250092914</c:v>
                </c:pt>
                <c:pt idx="54">
                  <c:v>24.887536250092914</c:v>
                </c:pt>
                <c:pt idx="55">
                  <c:v>24.887536250092914</c:v>
                </c:pt>
                <c:pt idx="56">
                  <c:v>24.887536250092914</c:v>
                </c:pt>
                <c:pt idx="57">
                  <c:v>24.887536250092914</c:v>
                </c:pt>
                <c:pt idx="58">
                  <c:v>24.887536250092914</c:v>
                </c:pt>
                <c:pt idx="59">
                  <c:v>24.887536250092914</c:v>
                </c:pt>
                <c:pt idx="60">
                  <c:v>24.887536250092914</c:v>
                </c:pt>
                <c:pt idx="61">
                  <c:v>24.887536250092914</c:v>
                </c:pt>
                <c:pt idx="62">
                  <c:v>24.887536250092914</c:v>
                </c:pt>
                <c:pt idx="63">
                  <c:v>24.887536250092914</c:v>
                </c:pt>
                <c:pt idx="64">
                  <c:v>24.887536250092914</c:v>
                </c:pt>
                <c:pt idx="65">
                  <c:v>24.887536250092914</c:v>
                </c:pt>
                <c:pt idx="66">
                  <c:v>24.887536250092914</c:v>
                </c:pt>
                <c:pt idx="67">
                  <c:v>24.887536250092914</c:v>
                </c:pt>
                <c:pt idx="68">
                  <c:v>24.887536250092914</c:v>
                </c:pt>
                <c:pt idx="69">
                  <c:v>24.887536250092914</c:v>
                </c:pt>
                <c:pt idx="70">
                  <c:v>24.887536250092914</c:v>
                </c:pt>
                <c:pt idx="71">
                  <c:v>24.887536250092914</c:v>
                </c:pt>
                <c:pt idx="72">
                  <c:v>24.887536250092914</c:v>
                </c:pt>
                <c:pt idx="73">
                  <c:v>24.887536250092914</c:v>
                </c:pt>
                <c:pt idx="74">
                  <c:v>24.887536250092914</c:v>
                </c:pt>
                <c:pt idx="75">
                  <c:v>24.887536250092914</c:v>
                </c:pt>
                <c:pt idx="76">
                  <c:v>24.887536250092914</c:v>
                </c:pt>
                <c:pt idx="77">
                  <c:v>24.887536250092914</c:v>
                </c:pt>
              </c:numCache>
            </c:numRef>
          </c:val>
          <c:smooth val="0"/>
          <c:extLst>
            <c:ext xmlns:c16="http://schemas.microsoft.com/office/drawing/2014/chart" uri="{C3380CC4-5D6E-409C-BE32-E72D297353CC}">
              <c16:uniqueId val="{00000001-B394-4F1D-8882-6BEAF6BB68BA}"/>
            </c:ext>
          </c:extLst>
        </c:ser>
        <c:dLbls>
          <c:showLegendKey val="0"/>
          <c:showVal val="0"/>
          <c:showCatName val="0"/>
          <c:showSerName val="0"/>
          <c:showPercent val="0"/>
          <c:showBubbleSize val="0"/>
        </c:dLbls>
        <c:marker val="1"/>
        <c:smooth val="0"/>
        <c:axId val="641013392"/>
        <c:axId val="641014112"/>
      </c:lineChart>
      <c:catAx>
        <c:axId val="64101339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41014112"/>
        <c:crosses val="autoZero"/>
        <c:auto val="1"/>
        <c:lblAlgn val="ctr"/>
        <c:lblOffset val="100"/>
        <c:noMultiLvlLbl val="0"/>
      </c:catAx>
      <c:valAx>
        <c:axId val="6410141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4101339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'2023 excl &lt;5 obs'!$B$1</c:f>
              <c:strCache>
                <c:ptCount val="1"/>
                <c:pt idx="0">
                  <c:v>aantal bl leerlingen</c:v>
                </c:pt>
              </c:strCache>
            </c:strRef>
          </c:tx>
          <c:spPr>
            <a:solidFill>
              <a:schemeClr val="accent1"/>
            </a:solidFill>
            <a:ln>
              <a:noFill/>
            </a:ln>
            <a:effectLst/>
          </c:spPr>
          <c:invertIfNegative val="0"/>
          <c:val>
            <c:numRef>
              <c:f>'2023 excl &lt;5 obs'!$B$2:$B$79</c:f>
              <c:numCache>
                <c:formatCode>General</c:formatCode>
                <c:ptCount val="78"/>
                <c:pt idx="3">
                  <c:v>8</c:v>
                </c:pt>
                <c:pt idx="4">
                  <c:v>6</c:v>
                </c:pt>
                <c:pt idx="5" formatCode="0">
                  <c:v>10</c:v>
                </c:pt>
                <c:pt idx="6" formatCode="0">
                  <c:v>17</c:v>
                </c:pt>
                <c:pt idx="7" formatCode="0">
                  <c:v>13</c:v>
                </c:pt>
                <c:pt idx="8" formatCode="0">
                  <c:v>18</c:v>
                </c:pt>
                <c:pt idx="9" formatCode="0">
                  <c:v>24</c:v>
                </c:pt>
                <c:pt idx="10" formatCode="0">
                  <c:v>30</c:v>
                </c:pt>
                <c:pt idx="11" formatCode="0">
                  <c:v>16</c:v>
                </c:pt>
                <c:pt idx="12" formatCode="0">
                  <c:v>19</c:v>
                </c:pt>
                <c:pt idx="13" formatCode="0">
                  <c:v>24</c:v>
                </c:pt>
                <c:pt idx="14" formatCode="0">
                  <c:v>24</c:v>
                </c:pt>
                <c:pt idx="15" formatCode="0">
                  <c:v>33</c:v>
                </c:pt>
                <c:pt idx="16" formatCode="0">
                  <c:v>11</c:v>
                </c:pt>
                <c:pt idx="17" formatCode="0">
                  <c:v>19</c:v>
                </c:pt>
                <c:pt idx="18" formatCode="0">
                  <c:v>32</c:v>
                </c:pt>
                <c:pt idx="19" formatCode="0">
                  <c:v>32</c:v>
                </c:pt>
                <c:pt idx="20" formatCode="0">
                  <c:v>22</c:v>
                </c:pt>
                <c:pt idx="21" formatCode="0">
                  <c:v>14</c:v>
                </c:pt>
                <c:pt idx="22" formatCode="0">
                  <c:v>32</c:v>
                </c:pt>
                <c:pt idx="23" formatCode="0">
                  <c:v>26</c:v>
                </c:pt>
                <c:pt idx="24" formatCode="0">
                  <c:v>18</c:v>
                </c:pt>
                <c:pt idx="25" formatCode="0">
                  <c:v>38</c:v>
                </c:pt>
                <c:pt idx="26" formatCode="0">
                  <c:v>32</c:v>
                </c:pt>
                <c:pt idx="27" formatCode="0">
                  <c:v>19</c:v>
                </c:pt>
                <c:pt idx="28" formatCode="0">
                  <c:v>32</c:v>
                </c:pt>
                <c:pt idx="29" formatCode="0">
                  <c:v>64</c:v>
                </c:pt>
                <c:pt idx="30" formatCode="0">
                  <c:v>17</c:v>
                </c:pt>
                <c:pt idx="31" formatCode="0">
                  <c:v>51</c:v>
                </c:pt>
                <c:pt idx="32" formatCode="0">
                  <c:v>52</c:v>
                </c:pt>
                <c:pt idx="33" formatCode="0">
                  <c:v>33</c:v>
                </c:pt>
                <c:pt idx="34" formatCode="0">
                  <c:v>28</c:v>
                </c:pt>
                <c:pt idx="35" formatCode="0">
                  <c:v>43</c:v>
                </c:pt>
                <c:pt idx="36" formatCode="0">
                  <c:v>24</c:v>
                </c:pt>
                <c:pt idx="37" formatCode="0">
                  <c:v>35</c:v>
                </c:pt>
                <c:pt idx="38" formatCode="0">
                  <c:v>42</c:v>
                </c:pt>
                <c:pt idx="39" formatCode="0">
                  <c:v>69</c:v>
                </c:pt>
                <c:pt idx="40" formatCode="0">
                  <c:v>25</c:v>
                </c:pt>
                <c:pt idx="41" formatCode="0">
                  <c:v>48</c:v>
                </c:pt>
                <c:pt idx="42" formatCode="0">
                  <c:v>27</c:v>
                </c:pt>
                <c:pt idx="43" formatCode="0">
                  <c:v>45</c:v>
                </c:pt>
                <c:pt idx="44" formatCode="0">
                  <c:v>44</c:v>
                </c:pt>
                <c:pt idx="45" formatCode="0">
                  <c:v>53</c:v>
                </c:pt>
                <c:pt idx="46" formatCode="0">
                  <c:v>42</c:v>
                </c:pt>
                <c:pt idx="47" formatCode="0">
                  <c:v>50</c:v>
                </c:pt>
                <c:pt idx="48" formatCode="0">
                  <c:v>45</c:v>
                </c:pt>
                <c:pt idx="49" formatCode="0">
                  <c:v>44</c:v>
                </c:pt>
                <c:pt idx="50" formatCode="0">
                  <c:v>76</c:v>
                </c:pt>
                <c:pt idx="51" formatCode="0">
                  <c:v>65</c:v>
                </c:pt>
                <c:pt idx="52" formatCode="0">
                  <c:v>27</c:v>
                </c:pt>
                <c:pt idx="53" formatCode="0">
                  <c:v>88</c:v>
                </c:pt>
                <c:pt idx="54" formatCode="0">
                  <c:v>52</c:v>
                </c:pt>
                <c:pt idx="55" formatCode="0">
                  <c:v>68</c:v>
                </c:pt>
                <c:pt idx="56" formatCode="0">
                  <c:v>60</c:v>
                </c:pt>
                <c:pt idx="57" formatCode="0">
                  <c:v>46</c:v>
                </c:pt>
                <c:pt idx="58" formatCode="0">
                  <c:v>60</c:v>
                </c:pt>
                <c:pt idx="59" formatCode="0">
                  <c:v>50</c:v>
                </c:pt>
                <c:pt idx="60" formatCode="0">
                  <c:v>60</c:v>
                </c:pt>
                <c:pt idx="61" formatCode="0">
                  <c:v>66</c:v>
                </c:pt>
                <c:pt idx="62" formatCode="0">
                  <c:v>85</c:v>
                </c:pt>
                <c:pt idx="63" formatCode="0">
                  <c:v>91</c:v>
                </c:pt>
                <c:pt idx="64" formatCode="0">
                  <c:v>44</c:v>
                </c:pt>
                <c:pt idx="65" formatCode="0">
                  <c:v>60</c:v>
                </c:pt>
                <c:pt idx="66" formatCode="0">
                  <c:v>42</c:v>
                </c:pt>
                <c:pt idx="67" formatCode="0">
                  <c:v>103</c:v>
                </c:pt>
                <c:pt idx="68" formatCode="0">
                  <c:v>71</c:v>
                </c:pt>
                <c:pt idx="69" formatCode="0">
                  <c:v>159</c:v>
                </c:pt>
                <c:pt idx="70" formatCode="0">
                  <c:v>67</c:v>
                </c:pt>
                <c:pt idx="71" formatCode="0">
                  <c:v>89</c:v>
                </c:pt>
                <c:pt idx="72" formatCode="0">
                  <c:v>73</c:v>
                </c:pt>
                <c:pt idx="73" formatCode="0">
                  <c:v>72</c:v>
                </c:pt>
                <c:pt idx="74" formatCode="0">
                  <c:v>103</c:v>
                </c:pt>
                <c:pt idx="75" formatCode="0">
                  <c:v>179</c:v>
                </c:pt>
                <c:pt idx="76" formatCode="0">
                  <c:v>169</c:v>
                </c:pt>
                <c:pt idx="77" formatCode="0">
                  <c:v>172</c:v>
                </c:pt>
              </c:numCache>
            </c:numRef>
          </c:val>
          <c:extLst>
            <c:ext xmlns:c16="http://schemas.microsoft.com/office/drawing/2014/chart" uri="{C3380CC4-5D6E-409C-BE32-E72D297353CC}">
              <c16:uniqueId val="{00000000-E6DF-4031-B686-78ADF96020DB}"/>
            </c:ext>
          </c:extLst>
        </c:ser>
        <c:ser>
          <c:idx val="1"/>
          <c:order val="1"/>
          <c:tx>
            <c:strRef>
              <c:f>'2023 excl &lt;5 obs'!$C$1</c:f>
              <c:strCache>
                <c:ptCount val="1"/>
                <c:pt idx="0">
                  <c:v>aantal kl leerlingen</c:v>
                </c:pt>
              </c:strCache>
            </c:strRef>
          </c:tx>
          <c:spPr>
            <a:solidFill>
              <a:schemeClr val="accent2"/>
            </a:solidFill>
            <a:ln>
              <a:noFill/>
            </a:ln>
            <a:effectLst/>
          </c:spPr>
          <c:invertIfNegative val="0"/>
          <c:val>
            <c:numRef>
              <c:f>'2023 excl &lt;5 obs'!$C$2:$C$79</c:f>
              <c:numCache>
                <c:formatCode>General</c:formatCode>
                <c:ptCount val="78"/>
                <c:pt idx="3" formatCode="0">
                  <c:v>15</c:v>
                </c:pt>
                <c:pt idx="4" formatCode="0">
                  <c:v>22</c:v>
                </c:pt>
                <c:pt idx="5" formatCode="0">
                  <c:v>26</c:v>
                </c:pt>
                <c:pt idx="6" formatCode="0">
                  <c:v>22</c:v>
                </c:pt>
                <c:pt idx="7" formatCode="0">
                  <c:v>27</c:v>
                </c:pt>
                <c:pt idx="8" formatCode="0">
                  <c:v>23</c:v>
                </c:pt>
                <c:pt idx="9" formatCode="0">
                  <c:v>23</c:v>
                </c:pt>
                <c:pt idx="10" formatCode="0">
                  <c:v>20</c:v>
                </c:pt>
                <c:pt idx="11" formatCode="0">
                  <c:v>26</c:v>
                </c:pt>
                <c:pt idx="12" formatCode="0">
                  <c:v>33</c:v>
                </c:pt>
                <c:pt idx="13" formatCode="0">
                  <c:v>31</c:v>
                </c:pt>
                <c:pt idx="14" formatCode="0">
                  <c:v>23</c:v>
                </c:pt>
                <c:pt idx="15" formatCode="0">
                  <c:v>27</c:v>
                </c:pt>
                <c:pt idx="16" formatCode="0">
                  <c:v>50</c:v>
                </c:pt>
                <c:pt idx="17" formatCode="0">
                  <c:v>42</c:v>
                </c:pt>
                <c:pt idx="18" formatCode="0">
                  <c:v>30</c:v>
                </c:pt>
                <c:pt idx="19" formatCode="0">
                  <c:v>29</c:v>
                </c:pt>
                <c:pt idx="20" formatCode="0">
                  <c:v>53</c:v>
                </c:pt>
                <c:pt idx="21" formatCode="0">
                  <c:v>35</c:v>
                </c:pt>
                <c:pt idx="22" formatCode="0">
                  <c:v>46</c:v>
                </c:pt>
                <c:pt idx="23" formatCode="0">
                  <c:v>46</c:v>
                </c:pt>
                <c:pt idx="24" formatCode="0">
                  <c:v>52</c:v>
                </c:pt>
                <c:pt idx="25" formatCode="0">
                  <c:v>54</c:v>
                </c:pt>
                <c:pt idx="26" formatCode="0">
                  <c:v>64</c:v>
                </c:pt>
                <c:pt idx="27" formatCode="0">
                  <c:v>63</c:v>
                </c:pt>
                <c:pt idx="28" formatCode="0">
                  <c:v>61</c:v>
                </c:pt>
                <c:pt idx="29" formatCode="0">
                  <c:v>44</c:v>
                </c:pt>
                <c:pt idx="30" formatCode="0">
                  <c:v>52</c:v>
                </c:pt>
                <c:pt idx="31" formatCode="0">
                  <c:v>57</c:v>
                </c:pt>
                <c:pt idx="32" formatCode="0">
                  <c:v>56</c:v>
                </c:pt>
                <c:pt idx="33" formatCode="0">
                  <c:v>64</c:v>
                </c:pt>
                <c:pt idx="34" formatCode="0">
                  <c:v>58</c:v>
                </c:pt>
                <c:pt idx="35" formatCode="0">
                  <c:v>80</c:v>
                </c:pt>
                <c:pt idx="36" formatCode="0">
                  <c:v>65</c:v>
                </c:pt>
                <c:pt idx="37" formatCode="0">
                  <c:v>81</c:v>
                </c:pt>
                <c:pt idx="38" formatCode="0">
                  <c:v>70</c:v>
                </c:pt>
                <c:pt idx="39" formatCode="0">
                  <c:v>64</c:v>
                </c:pt>
                <c:pt idx="40" formatCode="0">
                  <c:v>53</c:v>
                </c:pt>
                <c:pt idx="41" formatCode="0">
                  <c:v>73</c:v>
                </c:pt>
                <c:pt idx="42" formatCode="0">
                  <c:v>98</c:v>
                </c:pt>
                <c:pt idx="43" formatCode="0">
                  <c:v>98</c:v>
                </c:pt>
                <c:pt idx="44" formatCode="0">
                  <c:v>101</c:v>
                </c:pt>
                <c:pt idx="45" formatCode="0">
                  <c:v>81</c:v>
                </c:pt>
                <c:pt idx="46" formatCode="0">
                  <c:v>103</c:v>
                </c:pt>
                <c:pt idx="47" formatCode="0">
                  <c:v>88</c:v>
                </c:pt>
                <c:pt idx="48" formatCode="0">
                  <c:v>126</c:v>
                </c:pt>
                <c:pt idx="49" formatCode="0">
                  <c:v>118</c:v>
                </c:pt>
                <c:pt idx="50" formatCode="0">
                  <c:v>96</c:v>
                </c:pt>
                <c:pt idx="51" formatCode="0">
                  <c:v>74</c:v>
                </c:pt>
                <c:pt idx="52" formatCode="0">
                  <c:v>56</c:v>
                </c:pt>
                <c:pt idx="53" formatCode="0">
                  <c:v>101</c:v>
                </c:pt>
                <c:pt idx="54" formatCode="0">
                  <c:v>123</c:v>
                </c:pt>
                <c:pt idx="55" formatCode="0">
                  <c:v>108</c:v>
                </c:pt>
                <c:pt idx="56" formatCode="0">
                  <c:v>110</c:v>
                </c:pt>
                <c:pt idx="57" formatCode="0">
                  <c:v>118</c:v>
                </c:pt>
                <c:pt idx="58" formatCode="0">
                  <c:v>105</c:v>
                </c:pt>
                <c:pt idx="59" formatCode="0">
                  <c:v>104</c:v>
                </c:pt>
                <c:pt idx="60" formatCode="0">
                  <c:v>127</c:v>
                </c:pt>
                <c:pt idx="61" formatCode="0">
                  <c:v>129</c:v>
                </c:pt>
                <c:pt idx="62" formatCode="0">
                  <c:v>97</c:v>
                </c:pt>
                <c:pt idx="63" formatCode="0">
                  <c:v>99</c:v>
                </c:pt>
                <c:pt idx="64" formatCode="0">
                  <c:v>117</c:v>
                </c:pt>
                <c:pt idx="65" formatCode="0">
                  <c:v>131</c:v>
                </c:pt>
                <c:pt idx="66" formatCode="0">
                  <c:v>111</c:v>
                </c:pt>
                <c:pt idx="67" formatCode="0">
                  <c:v>134</c:v>
                </c:pt>
                <c:pt idx="68" formatCode="0">
                  <c:v>135</c:v>
                </c:pt>
                <c:pt idx="69" formatCode="0">
                  <c:v>100</c:v>
                </c:pt>
                <c:pt idx="70" formatCode="0">
                  <c:v>151</c:v>
                </c:pt>
                <c:pt idx="71" formatCode="0">
                  <c:v>153</c:v>
                </c:pt>
                <c:pt idx="72" formatCode="0">
                  <c:v>102</c:v>
                </c:pt>
                <c:pt idx="73" formatCode="0">
                  <c:v>183</c:v>
                </c:pt>
                <c:pt idx="74" formatCode="0">
                  <c:v>214</c:v>
                </c:pt>
                <c:pt idx="75" formatCode="0">
                  <c:v>225</c:v>
                </c:pt>
                <c:pt idx="76" formatCode="0">
                  <c:v>301</c:v>
                </c:pt>
                <c:pt idx="77" formatCode="0">
                  <c:v>361</c:v>
                </c:pt>
              </c:numCache>
            </c:numRef>
          </c:val>
          <c:extLst>
            <c:ext xmlns:c16="http://schemas.microsoft.com/office/drawing/2014/chart" uri="{C3380CC4-5D6E-409C-BE32-E72D297353CC}">
              <c16:uniqueId val="{00000001-E6DF-4031-B686-78ADF96020DB}"/>
            </c:ext>
          </c:extLst>
        </c:ser>
        <c:ser>
          <c:idx val="2"/>
          <c:order val="2"/>
          <c:tx>
            <c:strRef>
              <c:f>'2023 excl &lt;5 obs'!$D$1</c:f>
              <c:strCache>
                <c:ptCount val="1"/>
                <c:pt idx="0">
                  <c:v>aantal gl leerlingen</c:v>
                </c:pt>
              </c:strCache>
            </c:strRef>
          </c:tx>
          <c:spPr>
            <a:solidFill>
              <a:schemeClr val="accent3"/>
            </a:solidFill>
            <a:ln>
              <a:noFill/>
            </a:ln>
            <a:effectLst/>
          </c:spPr>
          <c:invertIfNegative val="0"/>
          <c:val>
            <c:numRef>
              <c:f>'2023 excl &lt;5 obs'!$D$2:$D$79</c:f>
              <c:numCache>
                <c:formatCode>General</c:formatCode>
                <c:ptCount val="78"/>
                <c:pt idx="11" formatCode="0">
                  <c:v>10</c:v>
                </c:pt>
                <c:pt idx="14" formatCode="0">
                  <c:v>12</c:v>
                </c:pt>
                <c:pt idx="19" formatCode="0">
                  <c:v>15</c:v>
                </c:pt>
                <c:pt idx="21" formatCode="0">
                  <c:v>29</c:v>
                </c:pt>
                <c:pt idx="23">
                  <c:v>8</c:v>
                </c:pt>
                <c:pt idx="24" formatCode="0">
                  <c:v>20</c:v>
                </c:pt>
                <c:pt idx="27" formatCode="0">
                  <c:v>21</c:v>
                </c:pt>
                <c:pt idx="28" formatCode="0">
                  <c:v>13</c:v>
                </c:pt>
                <c:pt idx="30" formatCode="0">
                  <c:v>40</c:v>
                </c:pt>
                <c:pt idx="32">
                  <c:v>9</c:v>
                </c:pt>
                <c:pt idx="33" formatCode="0">
                  <c:v>24</c:v>
                </c:pt>
                <c:pt idx="34" formatCode="0">
                  <c:v>36</c:v>
                </c:pt>
                <c:pt idx="36" formatCode="0">
                  <c:v>36</c:v>
                </c:pt>
                <c:pt idx="37" formatCode="0">
                  <c:v>10</c:v>
                </c:pt>
                <c:pt idx="38" formatCode="0">
                  <c:v>15</c:v>
                </c:pt>
                <c:pt idx="40" formatCode="0">
                  <c:v>56</c:v>
                </c:pt>
                <c:pt idx="41" formatCode="0">
                  <c:v>13</c:v>
                </c:pt>
                <c:pt idx="42" formatCode="0">
                  <c:v>15</c:v>
                </c:pt>
                <c:pt idx="45" formatCode="0">
                  <c:v>18</c:v>
                </c:pt>
                <c:pt idx="46" formatCode="0">
                  <c:v>10</c:v>
                </c:pt>
                <c:pt idx="47" formatCode="0">
                  <c:v>19</c:v>
                </c:pt>
                <c:pt idx="49" formatCode="0">
                  <c:v>14</c:v>
                </c:pt>
                <c:pt idx="50">
                  <c:v>7</c:v>
                </c:pt>
                <c:pt idx="51" formatCode="0">
                  <c:v>41</c:v>
                </c:pt>
                <c:pt idx="52" formatCode="0">
                  <c:v>101</c:v>
                </c:pt>
                <c:pt idx="54" formatCode="0">
                  <c:v>18</c:v>
                </c:pt>
                <c:pt idx="55" formatCode="0">
                  <c:v>19</c:v>
                </c:pt>
                <c:pt idx="56" formatCode="0">
                  <c:v>25</c:v>
                </c:pt>
                <c:pt idx="57" formatCode="0">
                  <c:v>37</c:v>
                </c:pt>
                <c:pt idx="58" formatCode="0">
                  <c:v>40</c:v>
                </c:pt>
                <c:pt idx="59" formatCode="0">
                  <c:v>64</c:v>
                </c:pt>
                <c:pt idx="60" formatCode="0">
                  <c:v>32</c:v>
                </c:pt>
                <c:pt idx="61" formatCode="0">
                  <c:v>27</c:v>
                </c:pt>
                <c:pt idx="62" formatCode="0">
                  <c:v>43</c:v>
                </c:pt>
                <c:pt idx="63" formatCode="0">
                  <c:v>47</c:v>
                </c:pt>
                <c:pt idx="64" formatCode="0">
                  <c:v>87</c:v>
                </c:pt>
                <c:pt idx="65" formatCode="0">
                  <c:v>57</c:v>
                </c:pt>
                <c:pt idx="66" formatCode="0">
                  <c:v>97</c:v>
                </c:pt>
                <c:pt idx="67" formatCode="0">
                  <c:v>20</c:v>
                </c:pt>
                <c:pt idx="68" formatCode="0">
                  <c:v>54</c:v>
                </c:pt>
                <c:pt idx="69" formatCode="0">
                  <c:v>34</c:v>
                </c:pt>
                <c:pt idx="70" formatCode="0">
                  <c:v>75</c:v>
                </c:pt>
                <c:pt idx="71" formatCode="0">
                  <c:v>56</c:v>
                </c:pt>
                <c:pt idx="72" formatCode="0">
                  <c:v>133</c:v>
                </c:pt>
                <c:pt idx="73" formatCode="0">
                  <c:v>54</c:v>
                </c:pt>
                <c:pt idx="74" formatCode="0">
                  <c:v>71</c:v>
                </c:pt>
                <c:pt idx="75" formatCode="0">
                  <c:v>29</c:v>
                </c:pt>
                <c:pt idx="76" formatCode="0">
                  <c:v>64</c:v>
                </c:pt>
                <c:pt idx="77" formatCode="0">
                  <c:v>56</c:v>
                </c:pt>
              </c:numCache>
            </c:numRef>
          </c:val>
          <c:extLst>
            <c:ext xmlns:c16="http://schemas.microsoft.com/office/drawing/2014/chart" uri="{C3380CC4-5D6E-409C-BE32-E72D297353CC}">
              <c16:uniqueId val="{00000002-E6DF-4031-B686-78ADF96020DB}"/>
            </c:ext>
          </c:extLst>
        </c:ser>
        <c:dLbls>
          <c:showLegendKey val="0"/>
          <c:showVal val="0"/>
          <c:showCatName val="0"/>
          <c:showSerName val="0"/>
          <c:showPercent val="0"/>
          <c:showBubbleSize val="0"/>
        </c:dLbls>
        <c:gapWidth val="219"/>
        <c:overlap val="100"/>
        <c:axId val="635753624"/>
        <c:axId val="635754704"/>
      </c:barChart>
      <c:lineChart>
        <c:grouping val="standard"/>
        <c:varyColors val="0"/>
        <c:ser>
          <c:idx val="4"/>
          <c:order val="4"/>
          <c:tx>
            <c:strRef>
              <c:f>'2023 excl &lt;5 obs'!$F$1</c:f>
              <c:strCache>
                <c:ptCount val="1"/>
                <c:pt idx="0">
                  <c:v>mean</c:v>
                </c:pt>
              </c:strCache>
            </c:strRef>
          </c:tx>
          <c:spPr>
            <a:ln w="28575" cap="rnd">
              <a:solidFill>
                <a:schemeClr val="accent5"/>
              </a:solidFill>
              <a:round/>
            </a:ln>
            <a:effectLst/>
          </c:spPr>
          <c:marker>
            <c:symbol val="none"/>
          </c:marker>
          <c:val>
            <c:numRef>
              <c:f>'2023 excl &lt;5 obs'!$F$2:$F$79</c:f>
              <c:numCache>
                <c:formatCode>0</c:formatCode>
                <c:ptCount val="78"/>
                <c:pt idx="0">
                  <c:v>154.14102564102564</c:v>
                </c:pt>
                <c:pt idx="1">
                  <c:v>154.14102564102564</c:v>
                </c:pt>
                <c:pt idx="2">
                  <c:v>154.14102564102564</c:v>
                </c:pt>
                <c:pt idx="3">
                  <c:v>154.14102564102564</c:v>
                </c:pt>
                <c:pt idx="4">
                  <c:v>154.14102564102564</c:v>
                </c:pt>
                <c:pt idx="5">
                  <c:v>154.14102564102564</c:v>
                </c:pt>
                <c:pt idx="6">
                  <c:v>154.14102564102564</c:v>
                </c:pt>
                <c:pt idx="7">
                  <c:v>154.14102564102564</c:v>
                </c:pt>
                <c:pt idx="8">
                  <c:v>154.14102564102564</c:v>
                </c:pt>
                <c:pt idx="9">
                  <c:v>154.14102564102564</c:v>
                </c:pt>
                <c:pt idx="10">
                  <c:v>154.14102564102564</c:v>
                </c:pt>
                <c:pt idx="11">
                  <c:v>154.14102564102564</c:v>
                </c:pt>
                <c:pt idx="12">
                  <c:v>154.14102564102564</c:v>
                </c:pt>
                <c:pt idx="13">
                  <c:v>154.14102564102564</c:v>
                </c:pt>
                <c:pt idx="14">
                  <c:v>154.14102564102564</c:v>
                </c:pt>
                <c:pt idx="15">
                  <c:v>154.14102564102564</c:v>
                </c:pt>
                <c:pt idx="16">
                  <c:v>154.14102564102564</c:v>
                </c:pt>
                <c:pt idx="17">
                  <c:v>154.14102564102564</c:v>
                </c:pt>
                <c:pt idx="18">
                  <c:v>154.14102564102564</c:v>
                </c:pt>
                <c:pt idx="19">
                  <c:v>154.14102564102564</c:v>
                </c:pt>
                <c:pt idx="20">
                  <c:v>154.14102564102564</c:v>
                </c:pt>
                <c:pt idx="21">
                  <c:v>154.14102564102564</c:v>
                </c:pt>
                <c:pt idx="22">
                  <c:v>154.14102564102564</c:v>
                </c:pt>
                <c:pt idx="23">
                  <c:v>154.14102564102564</c:v>
                </c:pt>
                <c:pt idx="24">
                  <c:v>154.14102564102564</c:v>
                </c:pt>
                <c:pt idx="25">
                  <c:v>154.14102564102564</c:v>
                </c:pt>
                <c:pt idx="26">
                  <c:v>154.14102564102564</c:v>
                </c:pt>
                <c:pt idx="27">
                  <c:v>154.14102564102564</c:v>
                </c:pt>
                <c:pt idx="28">
                  <c:v>154.14102564102564</c:v>
                </c:pt>
                <c:pt idx="29">
                  <c:v>154.14102564102564</c:v>
                </c:pt>
                <c:pt idx="30">
                  <c:v>154.14102564102564</c:v>
                </c:pt>
                <c:pt idx="31">
                  <c:v>154.14102564102564</c:v>
                </c:pt>
                <c:pt idx="32">
                  <c:v>154.14102564102564</c:v>
                </c:pt>
                <c:pt idx="33">
                  <c:v>154.14102564102564</c:v>
                </c:pt>
                <c:pt idx="34">
                  <c:v>154.14102564102564</c:v>
                </c:pt>
                <c:pt idx="35">
                  <c:v>154.14102564102564</c:v>
                </c:pt>
                <c:pt idx="36">
                  <c:v>154.14102564102564</c:v>
                </c:pt>
                <c:pt idx="37">
                  <c:v>154.14102564102564</c:v>
                </c:pt>
                <c:pt idx="38">
                  <c:v>154.14102564102564</c:v>
                </c:pt>
                <c:pt idx="39">
                  <c:v>154.14102564102564</c:v>
                </c:pt>
                <c:pt idx="40">
                  <c:v>154.14102564102564</c:v>
                </c:pt>
                <c:pt idx="41">
                  <c:v>154.14102564102564</c:v>
                </c:pt>
                <c:pt idx="42">
                  <c:v>154.14102564102564</c:v>
                </c:pt>
                <c:pt idx="43">
                  <c:v>154.14102564102564</c:v>
                </c:pt>
                <c:pt idx="44">
                  <c:v>154.14102564102564</c:v>
                </c:pt>
                <c:pt idx="45">
                  <c:v>154.14102564102564</c:v>
                </c:pt>
                <c:pt idx="46">
                  <c:v>154.14102564102564</c:v>
                </c:pt>
                <c:pt idx="47">
                  <c:v>154.14102564102564</c:v>
                </c:pt>
                <c:pt idx="48">
                  <c:v>154.14102564102564</c:v>
                </c:pt>
                <c:pt idx="49">
                  <c:v>154.14102564102564</c:v>
                </c:pt>
                <c:pt idx="50">
                  <c:v>154.14102564102564</c:v>
                </c:pt>
                <c:pt idx="51">
                  <c:v>154.14102564102564</c:v>
                </c:pt>
                <c:pt idx="52">
                  <c:v>154.14102564102564</c:v>
                </c:pt>
                <c:pt idx="53">
                  <c:v>154.14102564102564</c:v>
                </c:pt>
                <c:pt idx="54">
                  <c:v>154.14102564102564</c:v>
                </c:pt>
                <c:pt idx="55">
                  <c:v>154.14102564102564</c:v>
                </c:pt>
                <c:pt idx="56">
                  <c:v>154.14102564102564</c:v>
                </c:pt>
                <c:pt idx="57">
                  <c:v>154.14102564102564</c:v>
                </c:pt>
                <c:pt idx="58">
                  <c:v>154.14102564102564</c:v>
                </c:pt>
                <c:pt idx="59">
                  <c:v>154.14102564102564</c:v>
                </c:pt>
                <c:pt idx="60">
                  <c:v>154.14102564102564</c:v>
                </c:pt>
                <c:pt idx="61">
                  <c:v>154.14102564102564</c:v>
                </c:pt>
                <c:pt idx="62">
                  <c:v>154.14102564102564</c:v>
                </c:pt>
                <c:pt idx="63">
                  <c:v>154.14102564102564</c:v>
                </c:pt>
                <c:pt idx="64">
                  <c:v>154.14102564102564</c:v>
                </c:pt>
                <c:pt idx="65">
                  <c:v>154.14102564102564</c:v>
                </c:pt>
                <c:pt idx="66">
                  <c:v>154.14102564102564</c:v>
                </c:pt>
                <c:pt idx="67">
                  <c:v>154.14102564102564</c:v>
                </c:pt>
                <c:pt idx="68">
                  <c:v>154.14102564102564</c:v>
                </c:pt>
                <c:pt idx="69">
                  <c:v>154.14102564102564</c:v>
                </c:pt>
                <c:pt idx="70">
                  <c:v>154.14102564102564</c:v>
                </c:pt>
                <c:pt idx="71">
                  <c:v>154.14102564102564</c:v>
                </c:pt>
                <c:pt idx="72">
                  <c:v>154.14102564102564</c:v>
                </c:pt>
                <c:pt idx="73">
                  <c:v>154.14102564102564</c:v>
                </c:pt>
                <c:pt idx="74">
                  <c:v>154.14102564102564</c:v>
                </c:pt>
                <c:pt idx="75">
                  <c:v>154.14102564102564</c:v>
                </c:pt>
                <c:pt idx="76">
                  <c:v>154.14102564102564</c:v>
                </c:pt>
                <c:pt idx="77">
                  <c:v>154.14102564102564</c:v>
                </c:pt>
              </c:numCache>
            </c:numRef>
          </c:val>
          <c:smooth val="0"/>
          <c:extLst>
            <c:ext xmlns:c16="http://schemas.microsoft.com/office/drawing/2014/chart" uri="{C3380CC4-5D6E-409C-BE32-E72D297353CC}">
              <c16:uniqueId val="{00000003-E6DF-4031-B686-78ADF96020DB}"/>
            </c:ext>
          </c:extLst>
        </c:ser>
        <c:dLbls>
          <c:showLegendKey val="0"/>
          <c:showVal val="0"/>
          <c:showCatName val="0"/>
          <c:showSerName val="0"/>
          <c:showPercent val="0"/>
          <c:showBubbleSize val="0"/>
        </c:dLbls>
        <c:marker val="1"/>
        <c:smooth val="0"/>
        <c:axId val="635753624"/>
        <c:axId val="635754704"/>
        <c:extLst>
          <c:ext xmlns:c15="http://schemas.microsoft.com/office/drawing/2012/chart" uri="{02D57815-91ED-43cb-92C2-25804820EDAC}">
            <c15:filteredLineSeries>
              <c15:ser>
                <c:idx val="3"/>
                <c:order val="3"/>
                <c:tx>
                  <c:strRef>
                    <c:extLst>
                      <c:ext uri="{02D57815-91ED-43cb-92C2-25804820EDAC}">
                        <c15:formulaRef>
                          <c15:sqref>'2023 excl &lt;5 obs'!$E$1</c15:sqref>
                        </c15:formulaRef>
                      </c:ext>
                    </c:extLst>
                    <c:strCache>
                      <c:ptCount val="1"/>
                      <c:pt idx="0">
                        <c:v>total_lw</c:v>
                      </c:pt>
                    </c:strCache>
                  </c:strRef>
                </c:tx>
                <c:spPr>
                  <a:ln w="28575" cap="rnd">
                    <a:solidFill>
                      <a:schemeClr val="accent4"/>
                    </a:solidFill>
                    <a:round/>
                  </a:ln>
                  <a:effectLst/>
                </c:spPr>
                <c:marker>
                  <c:symbol val="none"/>
                </c:marker>
                <c:val>
                  <c:numRef>
                    <c:extLst>
                      <c:ext uri="{02D57815-91ED-43cb-92C2-25804820EDAC}">
                        <c15:formulaRef>
                          <c15:sqref>'2023 excl &lt;5 obs'!$E$2:$E$79</c15:sqref>
                        </c15:formulaRef>
                      </c:ext>
                    </c:extLst>
                    <c:numCache>
                      <c:formatCode>0</c:formatCode>
                      <c:ptCount val="78"/>
                      <c:pt idx="0">
                        <c:v>0</c:v>
                      </c:pt>
                      <c:pt idx="1">
                        <c:v>0</c:v>
                      </c:pt>
                      <c:pt idx="2">
                        <c:v>0</c:v>
                      </c:pt>
                      <c:pt idx="3">
                        <c:v>23</c:v>
                      </c:pt>
                      <c:pt idx="4">
                        <c:v>28</c:v>
                      </c:pt>
                      <c:pt idx="5">
                        <c:v>36</c:v>
                      </c:pt>
                      <c:pt idx="6">
                        <c:v>39</c:v>
                      </c:pt>
                      <c:pt idx="7">
                        <c:v>40</c:v>
                      </c:pt>
                      <c:pt idx="8">
                        <c:v>41</c:v>
                      </c:pt>
                      <c:pt idx="9">
                        <c:v>47</c:v>
                      </c:pt>
                      <c:pt idx="10">
                        <c:v>50</c:v>
                      </c:pt>
                      <c:pt idx="11">
                        <c:v>52</c:v>
                      </c:pt>
                      <c:pt idx="12">
                        <c:v>52</c:v>
                      </c:pt>
                      <c:pt idx="13">
                        <c:v>55</c:v>
                      </c:pt>
                      <c:pt idx="14">
                        <c:v>59</c:v>
                      </c:pt>
                      <c:pt idx="15">
                        <c:v>60</c:v>
                      </c:pt>
                      <c:pt idx="16">
                        <c:v>61</c:v>
                      </c:pt>
                      <c:pt idx="17">
                        <c:v>61</c:v>
                      </c:pt>
                      <c:pt idx="18">
                        <c:v>62</c:v>
                      </c:pt>
                      <c:pt idx="19">
                        <c:v>76</c:v>
                      </c:pt>
                      <c:pt idx="20">
                        <c:v>77</c:v>
                      </c:pt>
                      <c:pt idx="21">
                        <c:v>78</c:v>
                      </c:pt>
                      <c:pt idx="22">
                        <c:v>78</c:v>
                      </c:pt>
                      <c:pt idx="23">
                        <c:v>80</c:v>
                      </c:pt>
                      <c:pt idx="24">
                        <c:v>90</c:v>
                      </c:pt>
                      <c:pt idx="25">
                        <c:v>92</c:v>
                      </c:pt>
                      <c:pt idx="26">
                        <c:v>96</c:v>
                      </c:pt>
                      <c:pt idx="27">
                        <c:v>103</c:v>
                      </c:pt>
                      <c:pt idx="28">
                        <c:v>106</c:v>
                      </c:pt>
                      <c:pt idx="29">
                        <c:v>108</c:v>
                      </c:pt>
                      <c:pt idx="30">
                        <c:v>109</c:v>
                      </c:pt>
                      <c:pt idx="31">
                        <c:v>110</c:v>
                      </c:pt>
                      <c:pt idx="32">
                        <c:v>117</c:v>
                      </c:pt>
                      <c:pt idx="33">
                        <c:v>121</c:v>
                      </c:pt>
                      <c:pt idx="34">
                        <c:v>122</c:v>
                      </c:pt>
                      <c:pt idx="35">
                        <c:v>123</c:v>
                      </c:pt>
                      <c:pt idx="36">
                        <c:v>125</c:v>
                      </c:pt>
                      <c:pt idx="37">
                        <c:v>126</c:v>
                      </c:pt>
                      <c:pt idx="38">
                        <c:v>127</c:v>
                      </c:pt>
                      <c:pt idx="39">
                        <c:v>133</c:v>
                      </c:pt>
                      <c:pt idx="40">
                        <c:v>134</c:v>
                      </c:pt>
                      <c:pt idx="41">
                        <c:v>134</c:v>
                      </c:pt>
                      <c:pt idx="42">
                        <c:v>140</c:v>
                      </c:pt>
                      <c:pt idx="43">
                        <c:v>143</c:v>
                      </c:pt>
                      <c:pt idx="44">
                        <c:v>147</c:v>
                      </c:pt>
                      <c:pt idx="45">
                        <c:v>152</c:v>
                      </c:pt>
                      <c:pt idx="46">
                        <c:v>155</c:v>
                      </c:pt>
                      <c:pt idx="47">
                        <c:v>157</c:v>
                      </c:pt>
                      <c:pt idx="48">
                        <c:v>171</c:v>
                      </c:pt>
                      <c:pt idx="49">
                        <c:v>176</c:v>
                      </c:pt>
                      <c:pt idx="50">
                        <c:v>179</c:v>
                      </c:pt>
                      <c:pt idx="51">
                        <c:v>180</c:v>
                      </c:pt>
                      <c:pt idx="52">
                        <c:v>184</c:v>
                      </c:pt>
                      <c:pt idx="53">
                        <c:v>190</c:v>
                      </c:pt>
                      <c:pt idx="54">
                        <c:v>193</c:v>
                      </c:pt>
                      <c:pt idx="55">
                        <c:v>195</c:v>
                      </c:pt>
                      <c:pt idx="56">
                        <c:v>195</c:v>
                      </c:pt>
                      <c:pt idx="57">
                        <c:v>201</c:v>
                      </c:pt>
                      <c:pt idx="58">
                        <c:v>205</c:v>
                      </c:pt>
                      <c:pt idx="59">
                        <c:v>218</c:v>
                      </c:pt>
                      <c:pt idx="60">
                        <c:v>219</c:v>
                      </c:pt>
                      <c:pt idx="61">
                        <c:v>222</c:v>
                      </c:pt>
                      <c:pt idx="62">
                        <c:v>225</c:v>
                      </c:pt>
                      <c:pt idx="63">
                        <c:v>237</c:v>
                      </c:pt>
                      <c:pt idx="64">
                        <c:v>248</c:v>
                      </c:pt>
                      <c:pt idx="65">
                        <c:v>248</c:v>
                      </c:pt>
                      <c:pt idx="66">
                        <c:v>250</c:v>
                      </c:pt>
                      <c:pt idx="67">
                        <c:v>257</c:v>
                      </c:pt>
                      <c:pt idx="68">
                        <c:v>260</c:v>
                      </c:pt>
                      <c:pt idx="69">
                        <c:v>293</c:v>
                      </c:pt>
                      <c:pt idx="70">
                        <c:v>293</c:v>
                      </c:pt>
                      <c:pt idx="71">
                        <c:v>298</c:v>
                      </c:pt>
                      <c:pt idx="72">
                        <c:v>308</c:v>
                      </c:pt>
                      <c:pt idx="73">
                        <c:v>309</c:v>
                      </c:pt>
                      <c:pt idx="74">
                        <c:v>388</c:v>
                      </c:pt>
                      <c:pt idx="75">
                        <c:v>433</c:v>
                      </c:pt>
                      <c:pt idx="76">
                        <c:v>534</c:v>
                      </c:pt>
                      <c:pt idx="77">
                        <c:v>589</c:v>
                      </c:pt>
                    </c:numCache>
                  </c:numRef>
                </c:val>
                <c:smooth val="0"/>
                <c:extLst>
                  <c:ext xmlns:c16="http://schemas.microsoft.com/office/drawing/2014/chart" uri="{C3380CC4-5D6E-409C-BE32-E72D297353CC}">
                    <c16:uniqueId val="{00000004-E6DF-4031-B686-78ADF96020DB}"/>
                  </c:ext>
                </c:extLst>
              </c15:ser>
            </c15:filteredLineSeries>
          </c:ext>
        </c:extLst>
      </c:lineChart>
      <c:catAx>
        <c:axId val="63575362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35754704"/>
        <c:crosses val="autoZero"/>
        <c:auto val="1"/>
        <c:lblAlgn val="ctr"/>
        <c:lblOffset val="100"/>
        <c:noMultiLvlLbl val="0"/>
      </c:catAx>
      <c:valAx>
        <c:axId val="635754704"/>
        <c:scaling>
          <c:orientation val="minMax"/>
          <c:max val="6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35753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'sorted on %-change tech diff'!$D$1</c:f>
              <c:strCache>
                <c:ptCount val="1"/>
                <c:pt idx="0">
                  <c:v>prctverschil_niettech2223</c:v>
                </c:pt>
              </c:strCache>
            </c:strRef>
          </c:tx>
          <c:spPr>
            <a:ln w="19050" cap="rnd">
              <a:noFill/>
              <a:round/>
            </a:ln>
            <a:effectLst/>
          </c:spPr>
          <c:marker>
            <c:symbol val="circle"/>
            <c:size val="5"/>
            <c:spPr>
              <a:solidFill>
                <a:schemeClr val="accent1"/>
              </a:solidFill>
              <a:ln w="9525">
                <a:solidFill>
                  <a:schemeClr val="accent1"/>
                </a:solidFill>
              </a:ln>
              <a:effectLst/>
            </c:spPr>
          </c:marker>
          <c:xVal>
            <c:numRef>
              <c:f>'sorted on %-change tech diff'!$C$2:$C$78</c:f>
              <c:numCache>
                <c:formatCode>0</c:formatCode>
                <c:ptCount val="77"/>
                <c:pt idx="0">
                  <c:v>60.526315789473685</c:v>
                </c:pt>
                <c:pt idx="1">
                  <c:v>53.846153846153847</c:v>
                </c:pt>
                <c:pt idx="2">
                  <c:v>50</c:v>
                </c:pt>
                <c:pt idx="3">
                  <c:v>47.058823529411761</c:v>
                </c:pt>
                <c:pt idx="4">
                  <c:v>43.75</c:v>
                </c:pt>
                <c:pt idx="5">
                  <c:v>26.47058823529412</c:v>
                </c:pt>
                <c:pt idx="6">
                  <c:v>23.913043478260871</c:v>
                </c:pt>
                <c:pt idx="7">
                  <c:v>22.302158273381295</c:v>
                </c:pt>
                <c:pt idx="8">
                  <c:v>18.5</c:v>
                </c:pt>
                <c:pt idx="9">
                  <c:v>18.243243243243242</c:v>
                </c:pt>
                <c:pt idx="10">
                  <c:v>17.5</c:v>
                </c:pt>
                <c:pt idx="11">
                  <c:v>12.101910828025478</c:v>
                </c:pt>
                <c:pt idx="12">
                  <c:v>12.096774193548388</c:v>
                </c:pt>
                <c:pt idx="13">
                  <c:v>10.619469026548673</c:v>
                </c:pt>
                <c:pt idx="14">
                  <c:v>9.1428571428571423</c:v>
                </c:pt>
                <c:pt idx="15">
                  <c:v>8</c:v>
                </c:pt>
                <c:pt idx="16">
                  <c:v>7.8651685393258424</c:v>
                </c:pt>
                <c:pt idx="17">
                  <c:v>6.666666666666667</c:v>
                </c:pt>
                <c:pt idx="18">
                  <c:v>6.593406593406594</c:v>
                </c:pt>
                <c:pt idx="19">
                  <c:v>5.1282051282051277</c:v>
                </c:pt>
                <c:pt idx="20">
                  <c:v>4.4692737430167595</c:v>
                </c:pt>
                <c:pt idx="21">
                  <c:v>4.3103448275862073</c:v>
                </c:pt>
                <c:pt idx="22">
                  <c:v>4.2424242424242431</c:v>
                </c:pt>
                <c:pt idx="23">
                  <c:v>3.9344262295081971</c:v>
                </c:pt>
                <c:pt idx="24">
                  <c:v>2.547770700636943</c:v>
                </c:pt>
                <c:pt idx="25">
                  <c:v>1.8867924528301887</c:v>
                </c:pt>
                <c:pt idx="26">
                  <c:v>1.680672268907563</c:v>
                </c:pt>
                <c:pt idx="27">
                  <c:v>1.4705882352941175</c:v>
                </c:pt>
                <c:pt idx="28">
                  <c:v>0</c:v>
                </c:pt>
                <c:pt idx="29">
                  <c:v>-0.69444444444444442</c:v>
                </c:pt>
                <c:pt idx="30">
                  <c:v>-0.80645161290322576</c:v>
                </c:pt>
                <c:pt idx="31">
                  <c:v>-1.7031630170316301</c:v>
                </c:pt>
                <c:pt idx="32">
                  <c:v>-2.5</c:v>
                </c:pt>
                <c:pt idx="33">
                  <c:v>-3.1446540880503147</c:v>
                </c:pt>
                <c:pt idx="34">
                  <c:v>-3.1746031746031744</c:v>
                </c:pt>
                <c:pt idx="35">
                  <c:v>-3.3149171270718232</c:v>
                </c:pt>
                <c:pt idx="36">
                  <c:v>-4.7058823529411766</c:v>
                </c:pt>
                <c:pt idx="37">
                  <c:v>-4.7619047619047619</c:v>
                </c:pt>
                <c:pt idx="38">
                  <c:v>-4.9645390070921991</c:v>
                </c:pt>
                <c:pt idx="39">
                  <c:v>-5.0691244239631335</c:v>
                </c:pt>
                <c:pt idx="40">
                  <c:v>-6.0606060606060606</c:v>
                </c:pt>
                <c:pt idx="41">
                  <c:v>-6.25</c:v>
                </c:pt>
                <c:pt idx="42">
                  <c:v>-6.8965517241379306</c:v>
                </c:pt>
                <c:pt idx="43">
                  <c:v>-8.8607594936708853</c:v>
                </c:pt>
                <c:pt idx="44">
                  <c:v>-8.9147286821705425</c:v>
                </c:pt>
                <c:pt idx="45">
                  <c:v>-9</c:v>
                </c:pt>
                <c:pt idx="46">
                  <c:v>-9.252669039145907</c:v>
                </c:pt>
                <c:pt idx="47">
                  <c:v>-9.5238095238095237</c:v>
                </c:pt>
                <c:pt idx="48">
                  <c:v>-9.6385542168674707</c:v>
                </c:pt>
                <c:pt idx="49">
                  <c:v>-10.720268006700168</c:v>
                </c:pt>
                <c:pt idx="50">
                  <c:v>-10.869565217391305</c:v>
                </c:pt>
                <c:pt idx="51">
                  <c:v>-11.042944785276074</c:v>
                </c:pt>
                <c:pt idx="52">
                  <c:v>-12.631578947368421</c:v>
                </c:pt>
                <c:pt idx="53">
                  <c:v>-12.8</c:v>
                </c:pt>
                <c:pt idx="54">
                  <c:v>-13.333333333333334</c:v>
                </c:pt>
                <c:pt idx="55">
                  <c:v>-14.018691588785046</c:v>
                </c:pt>
                <c:pt idx="56">
                  <c:v>-14.074074074074074</c:v>
                </c:pt>
                <c:pt idx="57">
                  <c:v>-14.285714285714285</c:v>
                </c:pt>
                <c:pt idx="58">
                  <c:v>-15.384615384615385</c:v>
                </c:pt>
                <c:pt idx="59">
                  <c:v>-15.697674418604651</c:v>
                </c:pt>
                <c:pt idx="60">
                  <c:v>-16.987179487179489</c:v>
                </c:pt>
                <c:pt idx="61">
                  <c:v>-17.894736842105264</c:v>
                </c:pt>
                <c:pt idx="62">
                  <c:v>-19.480519480519483</c:v>
                </c:pt>
                <c:pt idx="63">
                  <c:v>-20.33898305084746</c:v>
                </c:pt>
                <c:pt idx="64">
                  <c:v>-20.967741935483872</c:v>
                </c:pt>
                <c:pt idx="65">
                  <c:v>-23.636363636363637</c:v>
                </c:pt>
                <c:pt idx="66">
                  <c:v>-23.75</c:v>
                </c:pt>
                <c:pt idx="67">
                  <c:v>-26.356589147286826</c:v>
                </c:pt>
                <c:pt idx="68">
                  <c:v>-29.292929292929294</c:v>
                </c:pt>
                <c:pt idx="69">
                  <c:v>-29.411764705882355</c:v>
                </c:pt>
                <c:pt idx="70">
                  <c:v>-30.136986301369863</c:v>
                </c:pt>
                <c:pt idx="71">
                  <c:v>-30.508474576271187</c:v>
                </c:pt>
                <c:pt idx="72">
                  <c:v>-31.707317073170731</c:v>
                </c:pt>
                <c:pt idx="73">
                  <c:v>-32.061068702290072</c:v>
                </c:pt>
                <c:pt idx="74">
                  <c:v>-47.727272727272727</c:v>
                </c:pt>
              </c:numCache>
            </c:numRef>
          </c:xVal>
          <c:yVal>
            <c:numRef>
              <c:f>'sorted on %-change tech diff'!$D$2:$D$78</c:f>
              <c:numCache>
                <c:formatCode>0</c:formatCode>
                <c:ptCount val="77"/>
                <c:pt idx="0">
                  <c:v>-32.389937106918239</c:v>
                </c:pt>
                <c:pt idx="1">
                  <c:v>4.8192771084337354</c:v>
                </c:pt>
                <c:pt idx="2">
                  <c:v>5.4744525547445262</c:v>
                </c:pt>
                <c:pt idx="3">
                  <c:v>0</c:v>
                </c:pt>
                <c:pt idx="4">
                  <c:v>-14.878048780487804</c:v>
                </c:pt>
                <c:pt idx="5">
                  <c:v>-17.647058823529413</c:v>
                </c:pt>
                <c:pt idx="6">
                  <c:v>-29.885057471264371</c:v>
                </c:pt>
                <c:pt idx="7">
                  <c:v>-2.0366598778004072</c:v>
                </c:pt>
                <c:pt idx="8">
                  <c:v>-14.978902953586498</c:v>
                </c:pt>
                <c:pt idx="9">
                  <c:v>-3.9634146341463414</c:v>
                </c:pt>
                <c:pt idx="10">
                  <c:v>-13.761467889908257</c:v>
                </c:pt>
                <c:pt idx="11">
                  <c:v>1.4705882352941175</c:v>
                </c:pt>
                <c:pt idx="12">
                  <c:v>0.54644808743169404</c:v>
                </c:pt>
                <c:pt idx="13">
                  <c:v>-12.412177985948478</c:v>
                </c:pt>
                <c:pt idx="14">
                  <c:v>-9.4377510040160644</c:v>
                </c:pt>
                <c:pt idx="15">
                  <c:v>-5.4545454545454541</c:v>
                </c:pt>
                <c:pt idx="16">
                  <c:v>-14.23841059602649</c:v>
                </c:pt>
                <c:pt idx="17">
                  <c:v>-9.7402597402597415</c:v>
                </c:pt>
                <c:pt idx="18">
                  <c:v>-0.81632653061224492</c:v>
                </c:pt>
                <c:pt idx="19">
                  <c:v>-2.954209748892171</c:v>
                </c:pt>
                <c:pt idx="20">
                  <c:v>-4.3243243243243246</c:v>
                </c:pt>
                <c:pt idx="21">
                  <c:v>-4.0540540540540544</c:v>
                </c:pt>
                <c:pt idx="22">
                  <c:v>-6.3829787234042552</c:v>
                </c:pt>
                <c:pt idx="23">
                  <c:v>13.60759493670886</c:v>
                </c:pt>
                <c:pt idx="24">
                  <c:v>12.734082397003746</c:v>
                </c:pt>
                <c:pt idx="25">
                  <c:v>33.846153846153847</c:v>
                </c:pt>
                <c:pt idx="26">
                  <c:v>-0.18050541516245489</c:v>
                </c:pt>
                <c:pt idx="27">
                  <c:v>-10.778443113772456</c:v>
                </c:pt>
                <c:pt idx="28">
                  <c:v>1.1904761904761905</c:v>
                </c:pt>
                <c:pt idx="29">
                  <c:v>-16.883116883116884</c:v>
                </c:pt>
                <c:pt idx="30">
                  <c:v>-7.4866310160427805</c:v>
                </c:pt>
                <c:pt idx="31">
                  <c:v>-0.13783597518952445</c:v>
                </c:pt>
                <c:pt idx="32">
                  <c:v>15.277777777777779</c:v>
                </c:pt>
                <c:pt idx="33">
                  <c:v>-10.810810810810811</c:v>
                </c:pt>
                <c:pt idx="34">
                  <c:v>-23.308270676691727</c:v>
                </c:pt>
                <c:pt idx="35">
                  <c:v>-17.96008869179601</c:v>
                </c:pt>
                <c:pt idx="36">
                  <c:v>-3.755868544600939</c:v>
                </c:pt>
                <c:pt idx="37">
                  <c:v>5</c:v>
                </c:pt>
                <c:pt idx="38">
                  <c:v>-10.271317829457365</c:v>
                </c:pt>
                <c:pt idx="39">
                  <c:v>-3.2374100719424459</c:v>
                </c:pt>
                <c:pt idx="40">
                  <c:v>-24.311926605504588</c:v>
                </c:pt>
                <c:pt idx="41">
                  <c:v>0.37593984962406013</c:v>
                </c:pt>
                <c:pt idx="42">
                  <c:v>-1.4326647564469914</c:v>
                </c:pt>
                <c:pt idx="43">
                  <c:v>1.6460905349794239</c:v>
                </c:pt>
                <c:pt idx="44">
                  <c:v>0.37313432835820892</c:v>
                </c:pt>
                <c:pt idx="45">
                  <c:v>-17.348927875243664</c:v>
                </c:pt>
                <c:pt idx="46">
                  <c:v>3.1837916063675831</c:v>
                </c:pt>
                <c:pt idx="47">
                  <c:v>-1.89873417721519</c:v>
                </c:pt>
                <c:pt idx="48">
                  <c:v>10.644677661169414</c:v>
                </c:pt>
                <c:pt idx="49">
                  <c:v>-5.6109725685785534</c:v>
                </c:pt>
                <c:pt idx="50">
                  <c:v>2.766798418972332</c:v>
                </c:pt>
                <c:pt idx="51">
                  <c:v>2.8248587570621471</c:v>
                </c:pt>
                <c:pt idx="52">
                  <c:v>3.90625</c:v>
                </c:pt>
                <c:pt idx="53">
                  <c:v>-7.4074074074074066</c:v>
                </c:pt>
                <c:pt idx="54">
                  <c:v>-10.42654028436019</c:v>
                </c:pt>
                <c:pt idx="55">
                  <c:v>8.2644628099173563</c:v>
                </c:pt>
                <c:pt idx="56">
                  <c:v>-4.375</c:v>
                </c:pt>
                <c:pt idx="57">
                  <c:v>-7.518796992481203</c:v>
                </c:pt>
                <c:pt idx="58">
                  <c:v>14.553990610328638</c:v>
                </c:pt>
                <c:pt idx="59">
                  <c:v>-6.3380281690140841</c:v>
                </c:pt>
                <c:pt idx="60">
                  <c:v>5.8823529411764701</c:v>
                </c:pt>
                <c:pt idx="61">
                  <c:v>-6.2780269058295968</c:v>
                </c:pt>
                <c:pt idx="62">
                  <c:v>-13.120567375886525</c:v>
                </c:pt>
                <c:pt idx="63">
                  <c:v>8.8105726872246706</c:v>
                </c:pt>
                <c:pt idx="64">
                  <c:v>-5.298013245033113</c:v>
                </c:pt>
                <c:pt idx="65">
                  <c:v>2.9739776951672861</c:v>
                </c:pt>
                <c:pt idx="66">
                  <c:v>-0.89820359281437123</c:v>
                </c:pt>
                <c:pt idx="67">
                  <c:v>3.5211267605633805</c:v>
                </c:pt>
                <c:pt idx="68">
                  <c:v>-5.1565377532228363</c:v>
                </c:pt>
                <c:pt idx="69">
                  <c:v>-22.435897435897438</c:v>
                </c:pt>
                <c:pt idx="70">
                  <c:v>16.666666666666664</c:v>
                </c:pt>
                <c:pt idx="71">
                  <c:v>5.785123966942149</c:v>
                </c:pt>
                <c:pt idx="72">
                  <c:v>6.6964285714285712</c:v>
                </c:pt>
                <c:pt idx="73">
                  <c:v>5.5555555555555554</c:v>
                </c:pt>
                <c:pt idx="74">
                  <c:v>-1.4522821576763485</c:v>
                </c:pt>
                <c:pt idx="75">
                  <c:v>-5.8577405857740583</c:v>
                </c:pt>
                <c:pt idx="76">
                  <c:v>8.085106382978724</c:v>
                </c:pt>
              </c:numCache>
            </c:numRef>
          </c:yVal>
          <c:smooth val="0"/>
          <c:extLst>
            <c:ext xmlns:c16="http://schemas.microsoft.com/office/drawing/2014/chart" uri="{C3380CC4-5D6E-409C-BE32-E72D297353CC}">
              <c16:uniqueId val="{00000000-1D50-4C57-978F-546C96C29D5D}"/>
            </c:ext>
          </c:extLst>
        </c:ser>
        <c:dLbls>
          <c:showLegendKey val="0"/>
          <c:showVal val="0"/>
          <c:showCatName val="0"/>
          <c:showSerName val="0"/>
          <c:showPercent val="0"/>
          <c:showBubbleSize val="0"/>
        </c:dLbls>
        <c:axId val="1919018783"/>
        <c:axId val="1919020031"/>
      </c:scatterChart>
      <c:valAx>
        <c:axId val="1919018783"/>
        <c:scaling>
          <c:orientation val="minMax"/>
          <c:max val="80"/>
          <c:min val="-8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technische</a:t>
                </a:r>
                <a:r>
                  <a:rPr lang="en-GB" baseline="0"/>
                  <a:t> profielen</a:t>
                </a:r>
                <a:endParaRPr lang="en-GB"/>
              </a:p>
            </c:rich>
          </c:tx>
          <c:layout>
            <c:manualLayout>
              <c:xMode val="edge"/>
              <c:yMode val="edge"/>
              <c:x val="5.6418054300589472E-2"/>
              <c:y val="0.916207373889227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19020031"/>
        <c:crosses val="autoZero"/>
        <c:crossBetween val="midCat"/>
      </c:valAx>
      <c:valAx>
        <c:axId val="19190200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niet-technische</a:t>
                </a:r>
                <a:r>
                  <a:rPr lang="en-GB" baseline="0"/>
                  <a:t> profielen</a:t>
                </a:r>
                <a:endParaRPr lang="en-GB"/>
              </a:p>
            </c:rich>
          </c:tx>
          <c:layout>
            <c:manualLayout>
              <c:xMode val="edge"/>
              <c:yMode val="edge"/>
              <c:x val="1.5664902542919839E-2"/>
              <c:y val="0.5261435184496078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19018783"/>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993673867689615E-2"/>
          <c:y val="4.3624826492167361E-2"/>
          <c:w val="0.91075846288444717"/>
          <c:h val="0.80931922474592521"/>
        </c:manualLayout>
      </c:layout>
      <c:scatterChart>
        <c:scatterStyle val="lineMarker"/>
        <c:varyColors val="0"/>
        <c:ser>
          <c:idx val="0"/>
          <c:order val="0"/>
          <c:tx>
            <c:v>BWI</c:v>
          </c:tx>
          <c:spPr>
            <a:ln w="19050" cap="rnd">
              <a:noFill/>
              <a:round/>
            </a:ln>
            <a:effectLst/>
          </c:spPr>
          <c:marker>
            <c:symbol val="circle"/>
            <c:size val="5"/>
            <c:spPr>
              <a:solidFill>
                <a:schemeClr val="accent1"/>
              </a:solidFill>
              <a:ln w="9525">
                <a:solidFill>
                  <a:schemeClr val="accent1"/>
                </a:solidFill>
              </a:ln>
              <a:effectLst/>
            </c:spPr>
          </c:marker>
          <c:xVal>
            <c:numRef>
              <c:f>'Figuur 4.6'!$C$2:$C$76</c:f>
              <c:numCache>
                <c:formatCode>0</c:formatCode>
                <c:ptCount val="75"/>
                <c:pt idx="0">
                  <c:v>-2</c:v>
                </c:pt>
                <c:pt idx="1">
                  <c:v>1.3333333333333339</c:v>
                </c:pt>
                <c:pt idx="2">
                  <c:v>0</c:v>
                </c:pt>
                <c:pt idx="3">
                  <c:v>-1.5714285714285712</c:v>
                </c:pt>
                <c:pt idx="5">
                  <c:v>-2</c:v>
                </c:pt>
                <c:pt idx="6">
                  <c:v>3.25</c:v>
                </c:pt>
                <c:pt idx="7">
                  <c:v>-3</c:v>
                </c:pt>
                <c:pt idx="8">
                  <c:v>-1.3333333333333339</c:v>
                </c:pt>
                <c:pt idx="9">
                  <c:v>4</c:v>
                </c:pt>
                <c:pt idx="10">
                  <c:v>2.3333333333333339</c:v>
                </c:pt>
                <c:pt idx="11">
                  <c:v>4</c:v>
                </c:pt>
                <c:pt idx="12">
                  <c:v>-0.75</c:v>
                </c:pt>
                <c:pt idx="13">
                  <c:v>-2</c:v>
                </c:pt>
                <c:pt idx="14">
                  <c:v>2</c:v>
                </c:pt>
                <c:pt idx="15">
                  <c:v>2</c:v>
                </c:pt>
                <c:pt idx="16">
                  <c:v>-0.27272727272727249</c:v>
                </c:pt>
                <c:pt idx="17">
                  <c:v>2</c:v>
                </c:pt>
                <c:pt idx="18">
                  <c:v>-4</c:v>
                </c:pt>
                <c:pt idx="19">
                  <c:v>-0.5</c:v>
                </c:pt>
                <c:pt idx="20">
                  <c:v>0</c:v>
                </c:pt>
                <c:pt idx="21">
                  <c:v>2</c:v>
                </c:pt>
                <c:pt idx="22">
                  <c:v>-1</c:v>
                </c:pt>
                <c:pt idx="23">
                  <c:v>1</c:v>
                </c:pt>
                <c:pt idx="24">
                  <c:v>-5.875</c:v>
                </c:pt>
                <c:pt idx="25">
                  <c:v>-4</c:v>
                </c:pt>
                <c:pt idx="26">
                  <c:v>2</c:v>
                </c:pt>
                <c:pt idx="27">
                  <c:v>0</c:v>
                </c:pt>
                <c:pt idx="28">
                  <c:v>4.6666666666666661</c:v>
                </c:pt>
                <c:pt idx="29">
                  <c:v>-1</c:v>
                </c:pt>
                <c:pt idx="30">
                  <c:v>-0.5</c:v>
                </c:pt>
                <c:pt idx="31">
                  <c:v>10</c:v>
                </c:pt>
                <c:pt idx="32">
                  <c:v>1</c:v>
                </c:pt>
                <c:pt idx="33">
                  <c:v>2.5</c:v>
                </c:pt>
                <c:pt idx="34">
                  <c:v>-4</c:v>
                </c:pt>
                <c:pt idx="35">
                  <c:v>2.333333333333333</c:v>
                </c:pt>
                <c:pt idx="36">
                  <c:v>-5</c:v>
                </c:pt>
                <c:pt idx="37">
                  <c:v>-1</c:v>
                </c:pt>
                <c:pt idx="39">
                  <c:v>-2.166666666666667</c:v>
                </c:pt>
                <c:pt idx="40">
                  <c:v>2</c:v>
                </c:pt>
                <c:pt idx="41">
                  <c:v>-1.666666666666667</c:v>
                </c:pt>
                <c:pt idx="42">
                  <c:v>0</c:v>
                </c:pt>
                <c:pt idx="43">
                  <c:v>7</c:v>
                </c:pt>
                <c:pt idx="44">
                  <c:v>-1.5</c:v>
                </c:pt>
                <c:pt idx="45">
                  <c:v>-0.66666666666666607</c:v>
                </c:pt>
                <c:pt idx="46">
                  <c:v>-1</c:v>
                </c:pt>
                <c:pt idx="47">
                  <c:v>0</c:v>
                </c:pt>
                <c:pt idx="48">
                  <c:v>1.333333333333333</c:v>
                </c:pt>
                <c:pt idx="49">
                  <c:v>-0.33333333333333393</c:v>
                </c:pt>
                <c:pt idx="50">
                  <c:v>0</c:v>
                </c:pt>
                <c:pt idx="51">
                  <c:v>0.25</c:v>
                </c:pt>
                <c:pt idx="52">
                  <c:v>3</c:v>
                </c:pt>
                <c:pt idx="54">
                  <c:v>-6</c:v>
                </c:pt>
                <c:pt idx="55">
                  <c:v>-0.5</c:v>
                </c:pt>
                <c:pt idx="56">
                  <c:v>2</c:v>
                </c:pt>
                <c:pt idx="57">
                  <c:v>0</c:v>
                </c:pt>
                <c:pt idx="58">
                  <c:v>0.34999999999999964</c:v>
                </c:pt>
                <c:pt idx="59">
                  <c:v>0</c:v>
                </c:pt>
                <c:pt idx="61">
                  <c:v>2</c:v>
                </c:pt>
                <c:pt idx="62">
                  <c:v>-3.5</c:v>
                </c:pt>
                <c:pt idx="63">
                  <c:v>-3</c:v>
                </c:pt>
                <c:pt idx="65">
                  <c:v>-2</c:v>
                </c:pt>
                <c:pt idx="67">
                  <c:v>1.5</c:v>
                </c:pt>
                <c:pt idx="68">
                  <c:v>4</c:v>
                </c:pt>
                <c:pt idx="69">
                  <c:v>-2.5</c:v>
                </c:pt>
                <c:pt idx="70">
                  <c:v>3.5</c:v>
                </c:pt>
                <c:pt idx="71">
                  <c:v>-7</c:v>
                </c:pt>
                <c:pt idx="72">
                  <c:v>7</c:v>
                </c:pt>
                <c:pt idx="73">
                  <c:v>-1.333333333333333</c:v>
                </c:pt>
                <c:pt idx="74">
                  <c:v>-1.5</c:v>
                </c:pt>
              </c:numCache>
            </c:numRef>
          </c:xVal>
          <c:yVal>
            <c:numRef>
              <c:f>'Figuur 4.6'!$D$2:$D$76</c:f>
              <c:numCache>
                <c:formatCode>0</c:formatCode>
                <c:ptCount val="75"/>
                <c:pt idx="0">
                  <c:v>2</c:v>
                </c:pt>
                <c:pt idx="1">
                  <c:v>-0.33333333333333393</c:v>
                </c:pt>
                <c:pt idx="2">
                  <c:v>-4.5</c:v>
                </c:pt>
                <c:pt idx="3">
                  <c:v>1.0952380952380949</c:v>
                </c:pt>
                <c:pt idx="5">
                  <c:v>-10</c:v>
                </c:pt>
                <c:pt idx="6">
                  <c:v>1.3333333333333321</c:v>
                </c:pt>
                <c:pt idx="7">
                  <c:v>1</c:v>
                </c:pt>
                <c:pt idx="8">
                  <c:v>-2.3333333333333321</c:v>
                </c:pt>
                <c:pt idx="9">
                  <c:v>1.3333333333333339</c:v>
                </c:pt>
                <c:pt idx="10">
                  <c:v>-2</c:v>
                </c:pt>
                <c:pt idx="11">
                  <c:v>2</c:v>
                </c:pt>
                <c:pt idx="12">
                  <c:v>-0.5</c:v>
                </c:pt>
                <c:pt idx="13">
                  <c:v>-9</c:v>
                </c:pt>
                <c:pt idx="14">
                  <c:v>-3.5</c:v>
                </c:pt>
                <c:pt idx="15">
                  <c:v>-6.5</c:v>
                </c:pt>
                <c:pt idx="16">
                  <c:v>2.4141414141414153</c:v>
                </c:pt>
                <c:pt idx="17">
                  <c:v>-2</c:v>
                </c:pt>
                <c:pt idx="18">
                  <c:v>4</c:v>
                </c:pt>
                <c:pt idx="19">
                  <c:v>-1</c:v>
                </c:pt>
                <c:pt idx="20">
                  <c:v>2.5</c:v>
                </c:pt>
                <c:pt idx="21">
                  <c:v>-6</c:v>
                </c:pt>
                <c:pt idx="22">
                  <c:v>2</c:v>
                </c:pt>
                <c:pt idx="23">
                  <c:v>4</c:v>
                </c:pt>
                <c:pt idx="24">
                  <c:v>5</c:v>
                </c:pt>
                <c:pt idx="25">
                  <c:v>2</c:v>
                </c:pt>
                <c:pt idx="26">
                  <c:v>-1.5</c:v>
                </c:pt>
                <c:pt idx="27">
                  <c:v>-3</c:v>
                </c:pt>
                <c:pt idx="28">
                  <c:v>0.33333333333333215</c:v>
                </c:pt>
                <c:pt idx="29">
                  <c:v>13</c:v>
                </c:pt>
                <c:pt idx="30">
                  <c:v>-2.5</c:v>
                </c:pt>
                <c:pt idx="31">
                  <c:v>-1</c:v>
                </c:pt>
                <c:pt idx="32">
                  <c:v>1</c:v>
                </c:pt>
                <c:pt idx="33">
                  <c:v>8.5</c:v>
                </c:pt>
                <c:pt idx="34">
                  <c:v>1</c:v>
                </c:pt>
                <c:pt idx="35">
                  <c:v>9</c:v>
                </c:pt>
                <c:pt idx="36">
                  <c:v>-5</c:v>
                </c:pt>
                <c:pt idx="37">
                  <c:v>-16</c:v>
                </c:pt>
                <c:pt idx="39">
                  <c:v>2.5666666666666664</c:v>
                </c:pt>
                <c:pt idx="40">
                  <c:v>-8</c:v>
                </c:pt>
                <c:pt idx="41">
                  <c:v>-3.3333333333333339</c:v>
                </c:pt>
                <c:pt idx="42">
                  <c:v>2</c:v>
                </c:pt>
                <c:pt idx="43">
                  <c:v>0</c:v>
                </c:pt>
                <c:pt idx="44">
                  <c:v>-1</c:v>
                </c:pt>
                <c:pt idx="45">
                  <c:v>0.66666666666666785</c:v>
                </c:pt>
                <c:pt idx="46">
                  <c:v>1.5</c:v>
                </c:pt>
                <c:pt idx="47">
                  <c:v>3</c:v>
                </c:pt>
                <c:pt idx="48">
                  <c:v>-2.3333333333333339</c:v>
                </c:pt>
                <c:pt idx="49">
                  <c:v>-3.3333333333333321</c:v>
                </c:pt>
                <c:pt idx="50">
                  <c:v>-2.5</c:v>
                </c:pt>
                <c:pt idx="51">
                  <c:v>3.1666666666666661</c:v>
                </c:pt>
                <c:pt idx="52">
                  <c:v>-8.5</c:v>
                </c:pt>
                <c:pt idx="54">
                  <c:v>2</c:v>
                </c:pt>
                <c:pt idx="55">
                  <c:v>-1.5</c:v>
                </c:pt>
                <c:pt idx="56">
                  <c:v>-1</c:v>
                </c:pt>
                <c:pt idx="57">
                  <c:v>0</c:v>
                </c:pt>
                <c:pt idx="58">
                  <c:v>2.75</c:v>
                </c:pt>
                <c:pt idx="59">
                  <c:v>4</c:v>
                </c:pt>
                <c:pt idx="61">
                  <c:v>-3</c:v>
                </c:pt>
                <c:pt idx="62">
                  <c:v>-11.5</c:v>
                </c:pt>
                <c:pt idx="63">
                  <c:v>-5</c:v>
                </c:pt>
                <c:pt idx="65">
                  <c:v>4.1666666666666661</c:v>
                </c:pt>
                <c:pt idx="66">
                  <c:v>8</c:v>
                </c:pt>
                <c:pt idx="67">
                  <c:v>-6.5</c:v>
                </c:pt>
                <c:pt idx="68">
                  <c:v>-12</c:v>
                </c:pt>
                <c:pt idx="69">
                  <c:v>9.5</c:v>
                </c:pt>
                <c:pt idx="70">
                  <c:v>2.75</c:v>
                </c:pt>
                <c:pt idx="71">
                  <c:v>5</c:v>
                </c:pt>
                <c:pt idx="72">
                  <c:v>8.5</c:v>
                </c:pt>
                <c:pt idx="73">
                  <c:v>2.5</c:v>
                </c:pt>
                <c:pt idx="74">
                  <c:v>0.5</c:v>
                </c:pt>
              </c:numCache>
            </c:numRef>
          </c:yVal>
          <c:smooth val="0"/>
          <c:extLst>
            <c:ext xmlns:c16="http://schemas.microsoft.com/office/drawing/2014/chart" uri="{C3380CC4-5D6E-409C-BE32-E72D297353CC}">
              <c16:uniqueId val="{00000000-7333-4912-8A06-4727AFEB8A2F}"/>
            </c:ext>
          </c:extLst>
        </c:ser>
        <c:ser>
          <c:idx val="1"/>
          <c:order val="1"/>
          <c:tx>
            <c:v>MVI</c:v>
          </c:tx>
          <c:spPr>
            <a:ln w="19050" cap="rnd">
              <a:noFill/>
              <a:round/>
            </a:ln>
            <a:effectLst/>
          </c:spPr>
          <c:marker>
            <c:symbol val="square"/>
            <c:size val="5"/>
            <c:spPr>
              <a:solidFill>
                <a:schemeClr val="accent2"/>
              </a:solidFill>
              <a:ln w="9525">
                <a:solidFill>
                  <a:schemeClr val="accent2"/>
                </a:solidFill>
              </a:ln>
              <a:effectLst/>
            </c:spPr>
          </c:marker>
          <c:xVal>
            <c:numRef>
              <c:f>'Figuur 4.6'!$E$2:$E$76</c:f>
              <c:numCache>
                <c:formatCode>General</c:formatCode>
                <c:ptCount val="75"/>
                <c:pt idx="2" formatCode="0">
                  <c:v>2</c:v>
                </c:pt>
                <c:pt idx="3" formatCode="0">
                  <c:v>-2.666666666666667</c:v>
                </c:pt>
                <c:pt idx="6" formatCode="0">
                  <c:v>-2</c:v>
                </c:pt>
                <c:pt idx="8" formatCode="0">
                  <c:v>-3</c:v>
                </c:pt>
                <c:pt idx="11" formatCode="0">
                  <c:v>2</c:v>
                </c:pt>
                <c:pt idx="12" formatCode="0">
                  <c:v>-4</c:v>
                </c:pt>
                <c:pt idx="13" formatCode="0">
                  <c:v>-5</c:v>
                </c:pt>
                <c:pt idx="14" formatCode="0">
                  <c:v>-2</c:v>
                </c:pt>
                <c:pt idx="16" formatCode="0">
                  <c:v>-3.6666666666666661</c:v>
                </c:pt>
                <c:pt idx="18" formatCode="0">
                  <c:v>-6</c:v>
                </c:pt>
                <c:pt idx="24" formatCode="0">
                  <c:v>1</c:v>
                </c:pt>
                <c:pt idx="33" formatCode="0">
                  <c:v>-2</c:v>
                </c:pt>
                <c:pt idx="35" formatCode="0">
                  <c:v>-6</c:v>
                </c:pt>
                <c:pt idx="36" formatCode="0">
                  <c:v>-1</c:v>
                </c:pt>
                <c:pt idx="38" formatCode="0">
                  <c:v>-3</c:v>
                </c:pt>
                <c:pt idx="39" formatCode="0">
                  <c:v>0.5</c:v>
                </c:pt>
                <c:pt idx="43" formatCode="0">
                  <c:v>4</c:v>
                </c:pt>
                <c:pt idx="49" formatCode="0">
                  <c:v>2</c:v>
                </c:pt>
                <c:pt idx="52" formatCode="0">
                  <c:v>4</c:v>
                </c:pt>
                <c:pt idx="53" formatCode="0">
                  <c:v>-10</c:v>
                </c:pt>
                <c:pt idx="54" formatCode="0">
                  <c:v>-1</c:v>
                </c:pt>
                <c:pt idx="58" formatCode="0">
                  <c:v>-2</c:v>
                </c:pt>
                <c:pt idx="59" formatCode="0">
                  <c:v>2</c:v>
                </c:pt>
                <c:pt idx="65" formatCode="0">
                  <c:v>-1</c:v>
                </c:pt>
                <c:pt idx="68" formatCode="0">
                  <c:v>-6</c:v>
                </c:pt>
                <c:pt idx="73" formatCode="0">
                  <c:v>-5</c:v>
                </c:pt>
                <c:pt idx="74" formatCode="0">
                  <c:v>-16</c:v>
                </c:pt>
              </c:numCache>
            </c:numRef>
          </c:xVal>
          <c:yVal>
            <c:numRef>
              <c:f>'Figuur 4.6'!$F$2:$F$76</c:f>
              <c:numCache>
                <c:formatCode>General</c:formatCode>
                <c:ptCount val="75"/>
                <c:pt idx="2" formatCode="0">
                  <c:v>-5</c:v>
                </c:pt>
                <c:pt idx="3" formatCode="0">
                  <c:v>0.5</c:v>
                </c:pt>
                <c:pt idx="6" formatCode="0">
                  <c:v>-8</c:v>
                </c:pt>
                <c:pt idx="8" formatCode="0">
                  <c:v>-9</c:v>
                </c:pt>
                <c:pt idx="10" formatCode="0">
                  <c:v>-3.5</c:v>
                </c:pt>
                <c:pt idx="11" formatCode="0">
                  <c:v>2</c:v>
                </c:pt>
                <c:pt idx="12" formatCode="0">
                  <c:v>0</c:v>
                </c:pt>
                <c:pt idx="13" formatCode="0">
                  <c:v>3.5</c:v>
                </c:pt>
                <c:pt idx="14" formatCode="0">
                  <c:v>4</c:v>
                </c:pt>
                <c:pt idx="16" formatCode="0">
                  <c:v>-3.6666666666666661</c:v>
                </c:pt>
                <c:pt idx="18" formatCode="0">
                  <c:v>4</c:v>
                </c:pt>
                <c:pt idx="22" formatCode="0">
                  <c:v>-4</c:v>
                </c:pt>
                <c:pt idx="24" formatCode="0">
                  <c:v>-2</c:v>
                </c:pt>
                <c:pt idx="33" formatCode="0">
                  <c:v>0</c:v>
                </c:pt>
                <c:pt idx="35" formatCode="0">
                  <c:v>0</c:v>
                </c:pt>
                <c:pt idx="36" formatCode="0">
                  <c:v>-1</c:v>
                </c:pt>
                <c:pt idx="38" formatCode="0">
                  <c:v>1.75</c:v>
                </c:pt>
                <c:pt idx="39" formatCode="0">
                  <c:v>-4</c:v>
                </c:pt>
                <c:pt idx="42" formatCode="0">
                  <c:v>0</c:v>
                </c:pt>
                <c:pt idx="43" formatCode="0">
                  <c:v>-21</c:v>
                </c:pt>
                <c:pt idx="45" formatCode="0">
                  <c:v>-6</c:v>
                </c:pt>
                <c:pt idx="49" formatCode="0">
                  <c:v>5</c:v>
                </c:pt>
                <c:pt idx="52" formatCode="0">
                  <c:v>4</c:v>
                </c:pt>
                <c:pt idx="53" formatCode="0">
                  <c:v>-3</c:v>
                </c:pt>
                <c:pt idx="54" formatCode="0">
                  <c:v>-16.5</c:v>
                </c:pt>
                <c:pt idx="55" formatCode="0">
                  <c:v>4</c:v>
                </c:pt>
                <c:pt idx="58" formatCode="0">
                  <c:v>0</c:v>
                </c:pt>
                <c:pt idx="59" formatCode="0">
                  <c:v>-2</c:v>
                </c:pt>
                <c:pt idx="61" formatCode="0">
                  <c:v>6</c:v>
                </c:pt>
                <c:pt idx="65" formatCode="0">
                  <c:v>-1</c:v>
                </c:pt>
                <c:pt idx="68" formatCode="0">
                  <c:v>-12</c:v>
                </c:pt>
                <c:pt idx="73" formatCode="0">
                  <c:v>-3</c:v>
                </c:pt>
                <c:pt idx="74" formatCode="0">
                  <c:v>-28.666666666666668</c:v>
                </c:pt>
              </c:numCache>
            </c:numRef>
          </c:yVal>
          <c:smooth val="0"/>
          <c:extLst>
            <c:ext xmlns:c16="http://schemas.microsoft.com/office/drawing/2014/chart" uri="{C3380CC4-5D6E-409C-BE32-E72D297353CC}">
              <c16:uniqueId val="{00000001-7333-4912-8A06-4727AFEB8A2F}"/>
            </c:ext>
          </c:extLst>
        </c:ser>
        <c:ser>
          <c:idx val="2"/>
          <c:order val="2"/>
          <c:tx>
            <c:v>MaT</c:v>
          </c:tx>
          <c:spPr>
            <a:ln w="19050" cap="rnd">
              <a:noFill/>
              <a:round/>
            </a:ln>
            <a:effectLst/>
          </c:spPr>
          <c:marker>
            <c:symbol val="dash"/>
            <c:size val="5"/>
            <c:spPr>
              <a:solidFill>
                <a:schemeClr val="accent6"/>
              </a:solidFill>
              <a:ln w="9525">
                <a:solidFill>
                  <a:schemeClr val="accent6"/>
                </a:solidFill>
              </a:ln>
              <a:effectLst/>
            </c:spPr>
          </c:marker>
          <c:xVal>
            <c:numRef>
              <c:f>'Figuur 4.6'!$G$2:$G$76</c:f>
              <c:numCache>
                <c:formatCode>General</c:formatCode>
                <c:ptCount val="75"/>
                <c:pt idx="6" formatCode="0">
                  <c:v>-2</c:v>
                </c:pt>
                <c:pt idx="35" formatCode="0">
                  <c:v>4</c:v>
                </c:pt>
                <c:pt idx="41" formatCode="0">
                  <c:v>0</c:v>
                </c:pt>
                <c:pt idx="54" formatCode="0">
                  <c:v>-6</c:v>
                </c:pt>
                <c:pt idx="72" formatCode="0">
                  <c:v>-1</c:v>
                </c:pt>
              </c:numCache>
            </c:numRef>
          </c:xVal>
          <c:yVal>
            <c:numRef>
              <c:f>'Figuur 4.6'!$H$2:$H$76</c:f>
              <c:numCache>
                <c:formatCode>General</c:formatCode>
                <c:ptCount val="75"/>
                <c:pt idx="6" formatCode="0">
                  <c:v>2</c:v>
                </c:pt>
                <c:pt idx="35" formatCode="0">
                  <c:v>2</c:v>
                </c:pt>
                <c:pt idx="41" formatCode="0">
                  <c:v>-25</c:v>
                </c:pt>
                <c:pt idx="54" formatCode="0">
                  <c:v>-8</c:v>
                </c:pt>
                <c:pt idx="72" formatCode="0">
                  <c:v>-4</c:v>
                </c:pt>
              </c:numCache>
            </c:numRef>
          </c:yVal>
          <c:smooth val="0"/>
          <c:extLst>
            <c:ext xmlns:c16="http://schemas.microsoft.com/office/drawing/2014/chart" uri="{C3380CC4-5D6E-409C-BE32-E72D297353CC}">
              <c16:uniqueId val="{00000002-7333-4912-8A06-4727AFEB8A2F}"/>
            </c:ext>
          </c:extLst>
        </c:ser>
        <c:ser>
          <c:idx val="3"/>
          <c:order val="3"/>
          <c:tx>
            <c:v>M&amp;T</c:v>
          </c:tx>
          <c:spPr>
            <a:ln w="19050" cap="rnd">
              <a:noFill/>
              <a:round/>
            </a:ln>
            <a:effectLst/>
          </c:spPr>
          <c:marker>
            <c:symbol val="diamond"/>
            <c:size val="5"/>
            <c:spPr>
              <a:solidFill>
                <a:schemeClr val="accent3"/>
              </a:solidFill>
              <a:ln w="9525">
                <a:solidFill>
                  <a:schemeClr val="accent3"/>
                </a:solidFill>
              </a:ln>
              <a:effectLst/>
            </c:spPr>
          </c:marker>
          <c:xVal>
            <c:numRef>
              <c:f>'Figuur 4.6'!$I$2:$I$76</c:f>
              <c:numCache>
                <c:formatCode>0</c:formatCode>
                <c:ptCount val="75"/>
                <c:pt idx="0">
                  <c:v>-7</c:v>
                </c:pt>
                <c:pt idx="1">
                  <c:v>-1.3333333333333321</c:v>
                </c:pt>
                <c:pt idx="2">
                  <c:v>2</c:v>
                </c:pt>
                <c:pt idx="3">
                  <c:v>1.333333333333333</c:v>
                </c:pt>
                <c:pt idx="6">
                  <c:v>-3</c:v>
                </c:pt>
                <c:pt idx="7">
                  <c:v>1.5</c:v>
                </c:pt>
                <c:pt idx="12">
                  <c:v>1.333333333333333</c:v>
                </c:pt>
                <c:pt idx="15">
                  <c:v>-6</c:v>
                </c:pt>
                <c:pt idx="16">
                  <c:v>-4.05</c:v>
                </c:pt>
                <c:pt idx="17">
                  <c:v>1.5</c:v>
                </c:pt>
                <c:pt idx="18">
                  <c:v>-6</c:v>
                </c:pt>
                <c:pt idx="19">
                  <c:v>-4</c:v>
                </c:pt>
                <c:pt idx="20">
                  <c:v>-4</c:v>
                </c:pt>
                <c:pt idx="22">
                  <c:v>-1.5</c:v>
                </c:pt>
                <c:pt idx="23">
                  <c:v>-2</c:v>
                </c:pt>
                <c:pt idx="24">
                  <c:v>-1.5</c:v>
                </c:pt>
                <c:pt idx="25">
                  <c:v>-3.5</c:v>
                </c:pt>
                <c:pt idx="26">
                  <c:v>0</c:v>
                </c:pt>
                <c:pt idx="28">
                  <c:v>4</c:v>
                </c:pt>
                <c:pt idx="29">
                  <c:v>-3</c:v>
                </c:pt>
                <c:pt idx="30">
                  <c:v>0</c:v>
                </c:pt>
                <c:pt idx="31">
                  <c:v>-1</c:v>
                </c:pt>
                <c:pt idx="32">
                  <c:v>2</c:v>
                </c:pt>
                <c:pt idx="34">
                  <c:v>1</c:v>
                </c:pt>
                <c:pt idx="35">
                  <c:v>5</c:v>
                </c:pt>
                <c:pt idx="36">
                  <c:v>2.5</c:v>
                </c:pt>
                <c:pt idx="39">
                  <c:v>3</c:v>
                </c:pt>
                <c:pt idx="41">
                  <c:v>1</c:v>
                </c:pt>
                <c:pt idx="44">
                  <c:v>-1.333333333333333</c:v>
                </c:pt>
                <c:pt idx="45">
                  <c:v>4</c:v>
                </c:pt>
                <c:pt idx="46">
                  <c:v>-1</c:v>
                </c:pt>
                <c:pt idx="48">
                  <c:v>0</c:v>
                </c:pt>
                <c:pt idx="51">
                  <c:v>0.5</c:v>
                </c:pt>
                <c:pt idx="52">
                  <c:v>0.5</c:v>
                </c:pt>
                <c:pt idx="55">
                  <c:v>0</c:v>
                </c:pt>
                <c:pt idx="58">
                  <c:v>-1.6666666666666665</c:v>
                </c:pt>
                <c:pt idx="59">
                  <c:v>-0.5</c:v>
                </c:pt>
                <c:pt idx="61">
                  <c:v>-1</c:v>
                </c:pt>
                <c:pt idx="62">
                  <c:v>-2.5</c:v>
                </c:pt>
                <c:pt idx="65">
                  <c:v>1</c:v>
                </c:pt>
                <c:pt idx="66">
                  <c:v>-2</c:v>
                </c:pt>
                <c:pt idx="68">
                  <c:v>0</c:v>
                </c:pt>
                <c:pt idx="69">
                  <c:v>-7</c:v>
                </c:pt>
                <c:pt idx="71">
                  <c:v>5</c:v>
                </c:pt>
                <c:pt idx="73">
                  <c:v>0.5</c:v>
                </c:pt>
                <c:pt idx="74">
                  <c:v>-3</c:v>
                </c:pt>
              </c:numCache>
            </c:numRef>
          </c:xVal>
          <c:yVal>
            <c:numRef>
              <c:f>'Figuur 4.6'!$J$2:$J$76</c:f>
              <c:numCache>
                <c:formatCode>0</c:formatCode>
                <c:ptCount val="75"/>
                <c:pt idx="0">
                  <c:v>1</c:v>
                </c:pt>
                <c:pt idx="1">
                  <c:v>4.333333333333333</c:v>
                </c:pt>
                <c:pt idx="2">
                  <c:v>2</c:v>
                </c:pt>
                <c:pt idx="3">
                  <c:v>9</c:v>
                </c:pt>
                <c:pt idx="6">
                  <c:v>-2</c:v>
                </c:pt>
                <c:pt idx="7">
                  <c:v>0</c:v>
                </c:pt>
                <c:pt idx="10">
                  <c:v>-3</c:v>
                </c:pt>
                <c:pt idx="12">
                  <c:v>-0.66666666666666696</c:v>
                </c:pt>
                <c:pt idx="15">
                  <c:v>1</c:v>
                </c:pt>
                <c:pt idx="16">
                  <c:v>-0.90000000000000036</c:v>
                </c:pt>
                <c:pt idx="17">
                  <c:v>-1.5</c:v>
                </c:pt>
                <c:pt idx="18">
                  <c:v>0</c:v>
                </c:pt>
                <c:pt idx="19">
                  <c:v>-1</c:v>
                </c:pt>
                <c:pt idx="20">
                  <c:v>-5</c:v>
                </c:pt>
                <c:pt idx="22">
                  <c:v>1</c:v>
                </c:pt>
                <c:pt idx="23">
                  <c:v>-3</c:v>
                </c:pt>
                <c:pt idx="24">
                  <c:v>-4.75</c:v>
                </c:pt>
                <c:pt idx="25">
                  <c:v>1</c:v>
                </c:pt>
                <c:pt idx="26">
                  <c:v>7</c:v>
                </c:pt>
                <c:pt idx="28">
                  <c:v>-3</c:v>
                </c:pt>
                <c:pt idx="29">
                  <c:v>-2</c:v>
                </c:pt>
                <c:pt idx="30">
                  <c:v>-4</c:v>
                </c:pt>
                <c:pt idx="31">
                  <c:v>7</c:v>
                </c:pt>
                <c:pt idx="32">
                  <c:v>-12</c:v>
                </c:pt>
                <c:pt idx="34">
                  <c:v>-10</c:v>
                </c:pt>
                <c:pt idx="35">
                  <c:v>5</c:v>
                </c:pt>
                <c:pt idx="36">
                  <c:v>-0.5</c:v>
                </c:pt>
                <c:pt idx="38">
                  <c:v>0</c:v>
                </c:pt>
                <c:pt idx="39">
                  <c:v>2</c:v>
                </c:pt>
                <c:pt idx="41">
                  <c:v>0</c:v>
                </c:pt>
                <c:pt idx="44">
                  <c:v>0.33333333333333304</c:v>
                </c:pt>
                <c:pt idx="45">
                  <c:v>-3.5</c:v>
                </c:pt>
                <c:pt idx="46">
                  <c:v>3</c:v>
                </c:pt>
                <c:pt idx="48">
                  <c:v>4.5</c:v>
                </c:pt>
                <c:pt idx="51">
                  <c:v>2.5</c:v>
                </c:pt>
                <c:pt idx="52">
                  <c:v>1</c:v>
                </c:pt>
                <c:pt idx="55">
                  <c:v>-1</c:v>
                </c:pt>
                <c:pt idx="58">
                  <c:v>8.1666666666666661</c:v>
                </c:pt>
                <c:pt idx="59">
                  <c:v>5</c:v>
                </c:pt>
                <c:pt idx="61">
                  <c:v>-5</c:v>
                </c:pt>
                <c:pt idx="62">
                  <c:v>-3</c:v>
                </c:pt>
                <c:pt idx="63">
                  <c:v>2</c:v>
                </c:pt>
                <c:pt idx="65">
                  <c:v>0</c:v>
                </c:pt>
                <c:pt idx="66">
                  <c:v>1</c:v>
                </c:pt>
                <c:pt idx="68">
                  <c:v>-1</c:v>
                </c:pt>
                <c:pt idx="69">
                  <c:v>0</c:v>
                </c:pt>
                <c:pt idx="71">
                  <c:v>-14</c:v>
                </c:pt>
                <c:pt idx="73">
                  <c:v>2</c:v>
                </c:pt>
                <c:pt idx="74">
                  <c:v>-1.5</c:v>
                </c:pt>
              </c:numCache>
            </c:numRef>
          </c:yVal>
          <c:smooth val="0"/>
          <c:extLst>
            <c:ext xmlns:c16="http://schemas.microsoft.com/office/drawing/2014/chart" uri="{C3380CC4-5D6E-409C-BE32-E72D297353CC}">
              <c16:uniqueId val="{00000003-7333-4912-8A06-4727AFEB8A2F}"/>
            </c:ext>
          </c:extLst>
        </c:ser>
        <c:ser>
          <c:idx val="4"/>
          <c:order val="4"/>
          <c:tx>
            <c:v>PIE</c:v>
          </c:tx>
          <c:spPr>
            <a:ln w="19050" cap="rnd">
              <a:noFill/>
              <a:round/>
            </a:ln>
            <a:effectLst/>
          </c:spPr>
          <c:marker>
            <c:symbol val="triangle"/>
            <c:size val="5"/>
            <c:spPr>
              <a:solidFill>
                <a:schemeClr val="accent4"/>
              </a:solidFill>
              <a:ln w="9525">
                <a:solidFill>
                  <a:schemeClr val="accent4"/>
                </a:solidFill>
              </a:ln>
              <a:effectLst/>
            </c:spPr>
          </c:marker>
          <c:xVal>
            <c:numRef>
              <c:f>'Figuur 4.6'!$K$2:$K$76</c:f>
              <c:numCache>
                <c:formatCode>0</c:formatCode>
                <c:ptCount val="75"/>
                <c:pt idx="0">
                  <c:v>4.166666666666667</c:v>
                </c:pt>
                <c:pt idx="1">
                  <c:v>-0.33333333333333304</c:v>
                </c:pt>
                <c:pt idx="2">
                  <c:v>-2</c:v>
                </c:pt>
                <c:pt idx="3">
                  <c:v>1.3333333333333339</c:v>
                </c:pt>
                <c:pt idx="4">
                  <c:v>1.5</c:v>
                </c:pt>
                <c:pt idx="5">
                  <c:v>2</c:v>
                </c:pt>
                <c:pt idx="6">
                  <c:v>-2</c:v>
                </c:pt>
                <c:pt idx="7">
                  <c:v>-2.666666666666667</c:v>
                </c:pt>
                <c:pt idx="8">
                  <c:v>-1.3333333333333339</c:v>
                </c:pt>
                <c:pt idx="9">
                  <c:v>-1.3333333333333339</c:v>
                </c:pt>
                <c:pt idx="10">
                  <c:v>9.6666666666666661</c:v>
                </c:pt>
                <c:pt idx="11">
                  <c:v>-8</c:v>
                </c:pt>
                <c:pt idx="12">
                  <c:v>-0.20000000000000018</c:v>
                </c:pt>
                <c:pt idx="13">
                  <c:v>2</c:v>
                </c:pt>
                <c:pt idx="14">
                  <c:v>1</c:v>
                </c:pt>
                <c:pt idx="15">
                  <c:v>-1</c:v>
                </c:pt>
                <c:pt idx="16">
                  <c:v>0.15454545454545432</c:v>
                </c:pt>
                <c:pt idx="17">
                  <c:v>-1.5</c:v>
                </c:pt>
                <c:pt idx="18">
                  <c:v>0</c:v>
                </c:pt>
                <c:pt idx="19">
                  <c:v>0.66666666666666785</c:v>
                </c:pt>
                <c:pt idx="20">
                  <c:v>-5</c:v>
                </c:pt>
                <c:pt idx="21">
                  <c:v>-2.5</c:v>
                </c:pt>
                <c:pt idx="22">
                  <c:v>-3.9999999999999996</c:v>
                </c:pt>
                <c:pt idx="23">
                  <c:v>0</c:v>
                </c:pt>
                <c:pt idx="24">
                  <c:v>-1.625</c:v>
                </c:pt>
                <c:pt idx="25">
                  <c:v>1</c:v>
                </c:pt>
                <c:pt idx="26">
                  <c:v>1.5</c:v>
                </c:pt>
                <c:pt idx="27">
                  <c:v>9.5</c:v>
                </c:pt>
                <c:pt idx="28">
                  <c:v>-3.333333333333333</c:v>
                </c:pt>
                <c:pt idx="29">
                  <c:v>2.6666666666666661</c:v>
                </c:pt>
                <c:pt idx="30">
                  <c:v>-1.666666666666667</c:v>
                </c:pt>
                <c:pt idx="31">
                  <c:v>4</c:v>
                </c:pt>
                <c:pt idx="32">
                  <c:v>-7</c:v>
                </c:pt>
                <c:pt idx="33">
                  <c:v>-7</c:v>
                </c:pt>
                <c:pt idx="34">
                  <c:v>-3</c:v>
                </c:pt>
                <c:pt idx="35">
                  <c:v>-3</c:v>
                </c:pt>
                <c:pt idx="36">
                  <c:v>-0.66666666666666607</c:v>
                </c:pt>
                <c:pt idx="37">
                  <c:v>-1</c:v>
                </c:pt>
                <c:pt idx="38">
                  <c:v>6.5</c:v>
                </c:pt>
                <c:pt idx="39">
                  <c:v>0.44444444444444464</c:v>
                </c:pt>
                <c:pt idx="40">
                  <c:v>4</c:v>
                </c:pt>
                <c:pt idx="41">
                  <c:v>-1.5</c:v>
                </c:pt>
                <c:pt idx="42">
                  <c:v>0</c:v>
                </c:pt>
                <c:pt idx="43">
                  <c:v>2</c:v>
                </c:pt>
                <c:pt idx="44">
                  <c:v>-5.0000000000000009</c:v>
                </c:pt>
                <c:pt idx="45">
                  <c:v>1.25</c:v>
                </c:pt>
                <c:pt idx="46">
                  <c:v>-9</c:v>
                </c:pt>
                <c:pt idx="47">
                  <c:v>4</c:v>
                </c:pt>
                <c:pt idx="48">
                  <c:v>0.33333333333333393</c:v>
                </c:pt>
                <c:pt idx="49">
                  <c:v>-3.3333333333333339</c:v>
                </c:pt>
                <c:pt idx="50">
                  <c:v>-4.5</c:v>
                </c:pt>
                <c:pt idx="51">
                  <c:v>-0.5</c:v>
                </c:pt>
                <c:pt idx="52">
                  <c:v>-7</c:v>
                </c:pt>
                <c:pt idx="54">
                  <c:v>-2</c:v>
                </c:pt>
                <c:pt idx="55">
                  <c:v>1</c:v>
                </c:pt>
                <c:pt idx="56">
                  <c:v>2</c:v>
                </c:pt>
                <c:pt idx="57">
                  <c:v>-3</c:v>
                </c:pt>
                <c:pt idx="58">
                  <c:v>-0.75</c:v>
                </c:pt>
                <c:pt idx="59">
                  <c:v>0.58333333333333304</c:v>
                </c:pt>
                <c:pt idx="60">
                  <c:v>8.5</c:v>
                </c:pt>
                <c:pt idx="61">
                  <c:v>-2.333333333333333</c:v>
                </c:pt>
                <c:pt idx="63">
                  <c:v>-0.84999999999999964</c:v>
                </c:pt>
                <c:pt idx="64">
                  <c:v>-2</c:v>
                </c:pt>
                <c:pt idx="65">
                  <c:v>-0.75</c:v>
                </c:pt>
                <c:pt idx="66">
                  <c:v>8</c:v>
                </c:pt>
                <c:pt idx="67">
                  <c:v>1.6666666666666661</c:v>
                </c:pt>
                <c:pt idx="68">
                  <c:v>0.66666666666666696</c:v>
                </c:pt>
                <c:pt idx="69">
                  <c:v>-1</c:v>
                </c:pt>
                <c:pt idx="70">
                  <c:v>1.5</c:v>
                </c:pt>
                <c:pt idx="71">
                  <c:v>-4.6666666666666661</c:v>
                </c:pt>
                <c:pt idx="72">
                  <c:v>-2.5</c:v>
                </c:pt>
                <c:pt idx="73">
                  <c:v>-1.5</c:v>
                </c:pt>
                <c:pt idx="74">
                  <c:v>2.666666666666667</c:v>
                </c:pt>
              </c:numCache>
            </c:numRef>
          </c:xVal>
          <c:yVal>
            <c:numRef>
              <c:f>'Figuur 4.6'!$L$2:$L$76</c:f>
              <c:numCache>
                <c:formatCode>0</c:formatCode>
                <c:ptCount val="75"/>
                <c:pt idx="0">
                  <c:v>-5</c:v>
                </c:pt>
                <c:pt idx="1">
                  <c:v>1.3333333333333335</c:v>
                </c:pt>
                <c:pt idx="2">
                  <c:v>2.5</c:v>
                </c:pt>
                <c:pt idx="3">
                  <c:v>-0.54444444444444429</c:v>
                </c:pt>
                <c:pt idx="4">
                  <c:v>10</c:v>
                </c:pt>
                <c:pt idx="5">
                  <c:v>-11</c:v>
                </c:pt>
                <c:pt idx="6">
                  <c:v>-1.5</c:v>
                </c:pt>
                <c:pt idx="7">
                  <c:v>-6</c:v>
                </c:pt>
                <c:pt idx="8">
                  <c:v>0.66666666666666607</c:v>
                </c:pt>
                <c:pt idx="9">
                  <c:v>-1</c:v>
                </c:pt>
                <c:pt idx="10">
                  <c:v>10.333333333333332</c:v>
                </c:pt>
                <c:pt idx="11">
                  <c:v>-4</c:v>
                </c:pt>
                <c:pt idx="12">
                  <c:v>-1.2000000000000011</c:v>
                </c:pt>
                <c:pt idx="13">
                  <c:v>11</c:v>
                </c:pt>
                <c:pt idx="14">
                  <c:v>0</c:v>
                </c:pt>
                <c:pt idx="15">
                  <c:v>1.5</c:v>
                </c:pt>
                <c:pt idx="16">
                  <c:v>-1.5757575757575744</c:v>
                </c:pt>
                <c:pt idx="17">
                  <c:v>-4</c:v>
                </c:pt>
                <c:pt idx="18">
                  <c:v>-2</c:v>
                </c:pt>
                <c:pt idx="19">
                  <c:v>-8.6666666666666661</c:v>
                </c:pt>
                <c:pt idx="20">
                  <c:v>4</c:v>
                </c:pt>
                <c:pt idx="21">
                  <c:v>-2</c:v>
                </c:pt>
                <c:pt idx="22">
                  <c:v>4.0000000000000009</c:v>
                </c:pt>
                <c:pt idx="23">
                  <c:v>0.5</c:v>
                </c:pt>
                <c:pt idx="24">
                  <c:v>-2.25</c:v>
                </c:pt>
                <c:pt idx="25">
                  <c:v>20</c:v>
                </c:pt>
                <c:pt idx="26">
                  <c:v>-2</c:v>
                </c:pt>
                <c:pt idx="27">
                  <c:v>-4</c:v>
                </c:pt>
                <c:pt idx="28">
                  <c:v>0.33333333333333215</c:v>
                </c:pt>
                <c:pt idx="29">
                  <c:v>5.3333333333333357</c:v>
                </c:pt>
                <c:pt idx="30">
                  <c:v>3.3333333333333321</c:v>
                </c:pt>
                <c:pt idx="31">
                  <c:v>-3</c:v>
                </c:pt>
                <c:pt idx="32">
                  <c:v>2</c:v>
                </c:pt>
                <c:pt idx="33">
                  <c:v>-1</c:v>
                </c:pt>
                <c:pt idx="34">
                  <c:v>-3</c:v>
                </c:pt>
                <c:pt idx="35">
                  <c:v>-2.333333333333333</c:v>
                </c:pt>
                <c:pt idx="36">
                  <c:v>5</c:v>
                </c:pt>
                <c:pt idx="37">
                  <c:v>3</c:v>
                </c:pt>
                <c:pt idx="38">
                  <c:v>8.6</c:v>
                </c:pt>
                <c:pt idx="39">
                  <c:v>2.4444444444444446</c:v>
                </c:pt>
                <c:pt idx="40">
                  <c:v>2.5</c:v>
                </c:pt>
                <c:pt idx="41">
                  <c:v>-5.75</c:v>
                </c:pt>
                <c:pt idx="42">
                  <c:v>6.5</c:v>
                </c:pt>
                <c:pt idx="43">
                  <c:v>-7</c:v>
                </c:pt>
                <c:pt idx="44">
                  <c:v>-1.3333333333333321</c:v>
                </c:pt>
                <c:pt idx="45">
                  <c:v>2.5</c:v>
                </c:pt>
                <c:pt idx="46">
                  <c:v>-13.5</c:v>
                </c:pt>
                <c:pt idx="47">
                  <c:v>6</c:v>
                </c:pt>
                <c:pt idx="48">
                  <c:v>8.6666666666666661</c:v>
                </c:pt>
                <c:pt idx="49">
                  <c:v>1</c:v>
                </c:pt>
                <c:pt idx="50">
                  <c:v>0.5</c:v>
                </c:pt>
                <c:pt idx="51">
                  <c:v>-0.25</c:v>
                </c:pt>
                <c:pt idx="52">
                  <c:v>-7</c:v>
                </c:pt>
                <c:pt idx="54">
                  <c:v>-11</c:v>
                </c:pt>
                <c:pt idx="55">
                  <c:v>2</c:v>
                </c:pt>
                <c:pt idx="56">
                  <c:v>-7.5</c:v>
                </c:pt>
                <c:pt idx="57">
                  <c:v>-1</c:v>
                </c:pt>
                <c:pt idx="58">
                  <c:v>0.75</c:v>
                </c:pt>
                <c:pt idx="59">
                  <c:v>3.3333333333333339</c:v>
                </c:pt>
                <c:pt idx="60">
                  <c:v>2</c:v>
                </c:pt>
                <c:pt idx="61">
                  <c:v>5.8333333333333321</c:v>
                </c:pt>
                <c:pt idx="62">
                  <c:v>4</c:v>
                </c:pt>
                <c:pt idx="63">
                  <c:v>-7.2000000000000011</c:v>
                </c:pt>
                <c:pt idx="64">
                  <c:v>5.5</c:v>
                </c:pt>
                <c:pt idx="65">
                  <c:v>-7</c:v>
                </c:pt>
                <c:pt idx="66">
                  <c:v>0</c:v>
                </c:pt>
                <c:pt idx="67">
                  <c:v>-0.66666666666666785</c:v>
                </c:pt>
                <c:pt idx="68">
                  <c:v>5.6666666666666643</c:v>
                </c:pt>
                <c:pt idx="69">
                  <c:v>2.6666666666666661</c:v>
                </c:pt>
                <c:pt idx="70">
                  <c:v>-0.5</c:v>
                </c:pt>
                <c:pt idx="71">
                  <c:v>1.1666666666666679</c:v>
                </c:pt>
                <c:pt idx="72">
                  <c:v>0</c:v>
                </c:pt>
                <c:pt idx="73">
                  <c:v>1</c:v>
                </c:pt>
                <c:pt idx="74">
                  <c:v>-1.0000000000000009</c:v>
                </c:pt>
              </c:numCache>
            </c:numRef>
          </c:yVal>
          <c:smooth val="0"/>
          <c:extLst>
            <c:ext xmlns:c16="http://schemas.microsoft.com/office/drawing/2014/chart" uri="{C3380CC4-5D6E-409C-BE32-E72D297353CC}">
              <c16:uniqueId val="{00000004-7333-4912-8A06-4727AFEB8A2F}"/>
            </c:ext>
          </c:extLst>
        </c:ser>
        <c:dLbls>
          <c:showLegendKey val="0"/>
          <c:showVal val="0"/>
          <c:showCatName val="0"/>
          <c:showSerName val="0"/>
          <c:showPercent val="0"/>
          <c:showBubbleSize val="0"/>
        </c:dLbls>
        <c:axId val="649282944"/>
        <c:axId val="788466904"/>
      </c:scatterChart>
      <c:valAx>
        <c:axId val="649282944"/>
        <c:scaling>
          <c:orientation val="minMax"/>
          <c:max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basisberoepsgerichte leerweg</a:t>
                </a:r>
              </a:p>
            </c:rich>
          </c:tx>
          <c:layout>
            <c:manualLayout>
              <c:xMode val="edge"/>
              <c:yMode val="edge"/>
              <c:x val="5.0030789420553202E-2"/>
              <c:y val="0.865020977077448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88466904"/>
        <c:crosses val="autoZero"/>
        <c:crossBetween val="midCat"/>
      </c:valAx>
      <c:valAx>
        <c:axId val="788466904"/>
        <c:scaling>
          <c:orientation val="minMax"/>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kaderberoepsgerichte</a:t>
                </a:r>
                <a:r>
                  <a:rPr lang="en-GB" baseline="0"/>
                  <a:t> leerweg</a:t>
                </a:r>
                <a:endParaRPr lang="en-GB"/>
              </a:p>
            </c:rich>
          </c:tx>
          <c:layout>
            <c:manualLayout>
              <c:xMode val="edge"/>
              <c:yMode val="edge"/>
              <c:x val="2.0086647822868297E-2"/>
              <c:y val="0.3588877386757351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492829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nl-NL"/>
              <a:t>Zijn alle activiteiten conform het plan 2020-2023 en het verlengingsjaar 2024 in uw regio uitgevoerd? (n=48)</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3.2335320099883637E-2"/>
          <c:y val="0.28514308114464915"/>
          <c:w val="0.92639168829886076"/>
          <c:h val="0.35363868422758404"/>
        </c:manualLayout>
      </c:layout>
      <c:barChart>
        <c:barDir val="bar"/>
        <c:grouping val="percentStacked"/>
        <c:varyColors val="0"/>
        <c:ser>
          <c:idx val="0"/>
          <c:order val="0"/>
          <c:tx>
            <c:strRef>
              <c:f>Totaal!$A$9</c:f>
              <c:strCache>
                <c:ptCount val="1"/>
                <c:pt idx="0">
                  <c:v>Minder dan gepland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Totaal!$B$8</c:f>
              <c:strCache>
                <c:ptCount val="1"/>
                <c:pt idx="0">
                  <c:v>Programmaleiders (n=48)</c:v>
                </c:pt>
              </c:strCache>
            </c:strRef>
          </c:cat>
          <c:val>
            <c:numRef>
              <c:f>Totaal!$B$9</c:f>
              <c:numCache>
                <c:formatCode>0%</c:formatCode>
                <c:ptCount val="1"/>
                <c:pt idx="0">
                  <c:v>0.1875</c:v>
                </c:pt>
              </c:numCache>
            </c:numRef>
          </c:val>
          <c:extLst>
            <c:ext xmlns:c16="http://schemas.microsoft.com/office/drawing/2014/chart" uri="{C3380CC4-5D6E-409C-BE32-E72D297353CC}">
              <c16:uniqueId val="{00000000-EC30-4BEF-B808-F458C2E929A2}"/>
            </c:ext>
          </c:extLst>
        </c:ser>
        <c:ser>
          <c:idx val="1"/>
          <c:order val="1"/>
          <c:tx>
            <c:strRef>
              <c:f>Totaal!$A$10</c:f>
              <c:strCache>
                <c:ptCount val="1"/>
                <c:pt idx="0">
                  <c:v>Conform het plan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Totaal!$B$8</c:f>
              <c:strCache>
                <c:ptCount val="1"/>
                <c:pt idx="0">
                  <c:v>Programmaleiders (n=48)</c:v>
                </c:pt>
              </c:strCache>
            </c:strRef>
          </c:cat>
          <c:val>
            <c:numRef>
              <c:f>Totaal!$B$10</c:f>
              <c:numCache>
                <c:formatCode>0%</c:formatCode>
                <c:ptCount val="1"/>
                <c:pt idx="0">
                  <c:v>0.54166666666666663</c:v>
                </c:pt>
              </c:numCache>
            </c:numRef>
          </c:val>
          <c:extLst>
            <c:ext xmlns:c16="http://schemas.microsoft.com/office/drawing/2014/chart" uri="{C3380CC4-5D6E-409C-BE32-E72D297353CC}">
              <c16:uniqueId val="{00000001-EC30-4BEF-B808-F458C2E929A2}"/>
            </c:ext>
          </c:extLst>
        </c:ser>
        <c:ser>
          <c:idx val="2"/>
          <c:order val="2"/>
          <c:tx>
            <c:strRef>
              <c:f>Totaal!$A$11</c:f>
              <c:strCache>
                <c:ptCount val="1"/>
                <c:pt idx="0">
                  <c:v>Meer dan gepland</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Totaal!$B$8</c:f>
              <c:strCache>
                <c:ptCount val="1"/>
                <c:pt idx="0">
                  <c:v>Programmaleiders (n=48)</c:v>
                </c:pt>
              </c:strCache>
            </c:strRef>
          </c:cat>
          <c:val>
            <c:numRef>
              <c:f>Totaal!$B$11</c:f>
              <c:numCache>
                <c:formatCode>0%</c:formatCode>
                <c:ptCount val="1"/>
                <c:pt idx="0">
                  <c:v>0.27083333333333331</c:v>
                </c:pt>
              </c:numCache>
            </c:numRef>
          </c:val>
          <c:extLst>
            <c:ext xmlns:c16="http://schemas.microsoft.com/office/drawing/2014/chart" uri="{C3380CC4-5D6E-409C-BE32-E72D297353CC}">
              <c16:uniqueId val="{00000002-EC30-4BEF-B808-F458C2E929A2}"/>
            </c:ext>
          </c:extLst>
        </c:ser>
        <c:dLbls>
          <c:dLblPos val="ctr"/>
          <c:showLegendKey val="0"/>
          <c:showVal val="1"/>
          <c:showCatName val="0"/>
          <c:showSerName val="0"/>
          <c:showPercent val="0"/>
          <c:showBubbleSize val="0"/>
        </c:dLbls>
        <c:gapWidth val="50"/>
        <c:overlap val="100"/>
        <c:axId val="629465919"/>
        <c:axId val="629463999"/>
      </c:barChart>
      <c:catAx>
        <c:axId val="629465919"/>
        <c:scaling>
          <c:orientation val="minMax"/>
        </c:scaling>
        <c:delete val="1"/>
        <c:axPos val="l"/>
        <c:numFmt formatCode="General" sourceLinked="1"/>
        <c:majorTickMark val="none"/>
        <c:minorTickMark val="none"/>
        <c:tickLblPos val="nextTo"/>
        <c:crossAx val="629463999"/>
        <c:crosses val="autoZero"/>
        <c:auto val="1"/>
        <c:lblAlgn val="ctr"/>
        <c:lblOffset val="100"/>
        <c:noMultiLvlLbl val="0"/>
      </c:catAx>
      <c:valAx>
        <c:axId val="62946399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29465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nl-N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 2.7'!$D$2</c:f>
              <c:strCache>
                <c:ptCount val="1"/>
                <c:pt idx="0">
                  <c:v>aandeel bl</c:v>
                </c:pt>
              </c:strCache>
            </c:strRef>
          </c:tx>
          <c:spPr>
            <a:solidFill>
              <a:schemeClr val="accent1"/>
            </a:solidFill>
            <a:ln>
              <a:noFill/>
            </a:ln>
            <a:effectLst/>
          </c:spPr>
          <c:invertIfNegative val="0"/>
          <c:cat>
            <c:multiLvlStrRef>
              <c:f>'fig 2.7'!$B$3:$C$12</c:f>
              <c:multiLvlStrCache>
                <c:ptCount val="10"/>
                <c:lvl>
                  <c:pt idx="0">
                    <c:v>BWI</c:v>
                  </c:pt>
                  <c:pt idx="1">
                    <c:v>MaT</c:v>
                  </c:pt>
                  <c:pt idx="2">
                    <c:v>MVI</c:v>
                  </c:pt>
                  <c:pt idx="3">
                    <c:v>M&amp;T</c:v>
                  </c:pt>
                  <c:pt idx="4">
                    <c:v>PIE</c:v>
                  </c:pt>
                  <c:pt idx="5">
                    <c:v>D&amp;P</c:v>
                  </c:pt>
                  <c:pt idx="6">
                    <c:v>E&amp;O</c:v>
                  </c:pt>
                  <c:pt idx="7">
                    <c:v>Groen</c:v>
                  </c:pt>
                  <c:pt idx="8">
                    <c:v>HBR</c:v>
                  </c:pt>
                  <c:pt idx="9">
                    <c:v>Z&amp;W</c:v>
                  </c:pt>
                </c:lvl>
                <c:lvl>
                  <c:pt idx="0">
                    <c:v>techniek</c:v>
                  </c:pt>
                  <c:pt idx="5">
                    <c:v>niet-techniek</c:v>
                  </c:pt>
                </c:lvl>
              </c:multiLvlStrCache>
            </c:multiLvlStrRef>
          </c:cat>
          <c:val>
            <c:numRef>
              <c:f>'fig 2.7'!$D$3:$D$12</c:f>
              <c:numCache>
                <c:formatCode>0</c:formatCode>
                <c:ptCount val="10"/>
                <c:pt idx="0">
                  <c:v>89.610389610389603</c:v>
                </c:pt>
                <c:pt idx="1">
                  <c:v>6.4935064935064926</c:v>
                </c:pt>
                <c:pt idx="2">
                  <c:v>36.363636363636367</c:v>
                </c:pt>
                <c:pt idx="3">
                  <c:v>62.337662337662337</c:v>
                </c:pt>
                <c:pt idx="4">
                  <c:v>96.103896103896105</c:v>
                </c:pt>
                <c:pt idx="5">
                  <c:v>85.714285714285708</c:v>
                </c:pt>
                <c:pt idx="6">
                  <c:v>83.116883116883116</c:v>
                </c:pt>
                <c:pt idx="7">
                  <c:v>62.337662337662337</c:v>
                </c:pt>
                <c:pt idx="8">
                  <c:v>62.337662337662337</c:v>
                </c:pt>
                <c:pt idx="9">
                  <c:v>98.701298701298697</c:v>
                </c:pt>
              </c:numCache>
            </c:numRef>
          </c:val>
          <c:extLst>
            <c:ext xmlns:c16="http://schemas.microsoft.com/office/drawing/2014/chart" uri="{C3380CC4-5D6E-409C-BE32-E72D297353CC}">
              <c16:uniqueId val="{00000000-E4B2-43A9-810B-355D835A203B}"/>
            </c:ext>
          </c:extLst>
        </c:ser>
        <c:ser>
          <c:idx val="1"/>
          <c:order val="1"/>
          <c:tx>
            <c:strRef>
              <c:f>'fig 2.7'!$E$2</c:f>
              <c:strCache>
                <c:ptCount val="1"/>
                <c:pt idx="0">
                  <c:v>aandeel kl</c:v>
                </c:pt>
              </c:strCache>
            </c:strRef>
          </c:tx>
          <c:spPr>
            <a:solidFill>
              <a:schemeClr val="accent2"/>
            </a:solidFill>
            <a:ln>
              <a:noFill/>
            </a:ln>
            <a:effectLst/>
          </c:spPr>
          <c:invertIfNegative val="0"/>
          <c:cat>
            <c:multiLvlStrRef>
              <c:f>'fig 2.7'!$B$3:$C$12</c:f>
              <c:multiLvlStrCache>
                <c:ptCount val="10"/>
                <c:lvl>
                  <c:pt idx="0">
                    <c:v>BWI</c:v>
                  </c:pt>
                  <c:pt idx="1">
                    <c:v>MaT</c:v>
                  </c:pt>
                  <c:pt idx="2">
                    <c:v>MVI</c:v>
                  </c:pt>
                  <c:pt idx="3">
                    <c:v>M&amp;T</c:v>
                  </c:pt>
                  <c:pt idx="4">
                    <c:v>PIE</c:v>
                  </c:pt>
                  <c:pt idx="5">
                    <c:v>D&amp;P</c:v>
                  </c:pt>
                  <c:pt idx="6">
                    <c:v>E&amp;O</c:v>
                  </c:pt>
                  <c:pt idx="7">
                    <c:v>Groen</c:v>
                  </c:pt>
                  <c:pt idx="8">
                    <c:v>HBR</c:v>
                  </c:pt>
                  <c:pt idx="9">
                    <c:v>Z&amp;W</c:v>
                  </c:pt>
                </c:lvl>
                <c:lvl>
                  <c:pt idx="0">
                    <c:v>techniek</c:v>
                  </c:pt>
                  <c:pt idx="5">
                    <c:v>niet-techniek</c:v>
                  </c:pt>
                </c:lvl>
              </c:multiLvlStrCache>
            </c:multiLvlStrRef>
          </c:cat>
          <c:val>
            <c:numRef>
              <c:f>'fig 2.7'!$E$3:$E$12</c:f>
              <c:numCache>
                <c:formatCode>0</c:formatCode>
                <c:ptCount val="10"/>
                <c:pt idx="0">
                  <c:v>90.909090909090907</c:v>
                </c:pt>
                <c:pt idx="1">
                  <c:v>6.4935064935064926</c:v>
                </c:pt>
                <c:pt idx="2">
                  <c:v>42.857142857142854</c:v>
                </c:pt>
                <c:pt idx="3">
                  <c:v>63.636363636363633</c:v>
                </c:pt>
                <c:pt idx="4">
                  <c:v>96.103896103896105</c:v>
                </c:pt>
                <c:pt idx="5">
                  <c:v>84.415584415584405</c:v>
                </c:pt>
                <c:pt idx="6">
                  <c:v>83.116883116883116</c:v>
                </c:pt>
                <c:pt idx="7">
                  <c:v>61.038961038961034</c:v>
                </c:pt>
                <c:pt idx="8">
                  <c:v>62.337662337662337</c:v>
                </c:pt>
                <c:pt idx="9">
                  <c:v>98.701298701298697</c:v>
                </c:pt>
              </c:numCache>
            </c:numRef>
          </c:val>
          <c:extLst>
            <c:ext xmlns:c16="http://schemas.microsoft.com/office/drawing/2014/chart" uri="{C3380CC4-5D6E-409C-BE32-E72D297353CC}">
              <c16:uniqueId val="{00000001-E4B2-43A9-810B-355D835A203B}"/>
            </c:ext>
          </c:extLst>
        </c:ser>
        <c:ser>
          <c:idx val="2"/>
          <c:order val="2"/>
          <c:tx>
            <c:strRef>
              <c:f>'fig 2.7'!$F$2</c:f>
              <c:strCache>
                <c:ptCount val="1"/>
                <c:pt idx="0">
                  <c:v>aandeel gl</c:v>
                </c:pt>
              </c:strCache>
            </c:strRef>
          </c:tx>
          <c:spPr>
            <a:solidFill>
              <a:schemeClr val="accent3"/>
            </a:solidFill>
            <a:ln>
              <a:noFill/>
            </a:ln>
            <a:effectLst/>
          </c:spPr>
          <c:invertIfNegative val="0"/>
          <c:cat>
            <c:multiLvlStrRef>
              <c:f>'fig 2.7'!$B$3:$C$12</c:f>
              <c:multiLvlStrCache>
                <c:ptCount val="10"/>
                <c:lvl>
                  <c:pt idx="0">
                    <c:v>BWI</c:v>
                  </c:pt>
                  <c:pt idx="1">
                    <c:v>MaT</c:v>
                  </c:pt>
                  <c:pt idx="2">
                    <c:v>MVI</c:v>
                  </c:pt>
                  <c:pt idx="3">
                    <c:v>M&amp;T</c:v>
                  </c:pt>
                  <c:pt idx="4">
                    <c:v>PIE</c:v>
                  </c:pt>
                  <c:pt idx="5">
                    <c:v>D&amp;P</c:v>
                  </c:pt>
                  <c:pt idx="6">
                    <c:v>E&amp;O</c:v>
                  </c:pt>
                  <c:pt idx="7">
                    <c:v>Groen</c:v>
                  </c:pt>
                  <c:pt idx="8">
                    <c:v>HBR</c:v>
                  </c:pt>
                  <c:pt idx="9">
                    <c:v>Z&amp;W</c:v>
                  </c:pt>
                </c:lvl>
                <c:lvl>
                  <c:pt idx="0">
                    <c:v>techniek</c:v>
                  </c:pt>
                  <c:pt idx="5">
                    <c:v>niet-techniek</c:v>
                  </c:pt>
                </c:lvl>
              </c:multiLvlStrCache>
            </c:multiLvlStrRef>
          </c:cat>
          <c:val>
            <c:numRef>
              <c:f>'fig 2.7'!$F$3:$F$12</c:f>
              <c:numCache>
                <c:formatCode>0</c:formatCode>
                <c:ptCount val="10"/>
                <c:pt idx="0">
                  <c:v>49.350649350649348</c:v>
                </c:pt>
                <c:pt idx="1">
                  <c:v>5.1948051948051948</c:v>
                </c:pt>
                <c:pt idx="2">
                  <c:v>16.883116883116884</c:v>
                </c:pt>
                <c:pt idx="3">
                  <c:v>22.077922077922079</c:v>
                </c:pt>
                <c:pt idx="4">
                  <c:v>57.142857142857139</c:v>
                </c:pt>
                <c:pt idx="5">
                  <c:v>70.129870129870127</c:v>
                </c:pt>
                <c:pt idx="6">
                  <c:v>41.558441558441558</c:v>
                </c:pt>
                <c:pt idx="7">
                  <c:v>51.94805194805194</c:v>
                </c:pt>
                <c:pt idx="8">
                  <c:v>25.97402597402597</c:v>
                </c:pt>
                <c:pt idx="9">
                  <c:v>64.935064935064929</c:v>
                </c:pt>
              </c:numCache>
            </c:numRef>
          </c:val>
          <c:extLst>
            <c:ext xmlns:c16="http://schemas.microsoft.com/office/drawing/2014/chart" uri="{C3380CC4-5D6E-409C-BE32-E72D297353CC}">
              <c16:uniqueId val="{00000002-E4B2-43A9-810B-355D835A203B}"/>
            </c:ext>
          </c:extLst>
        </c:ser>
        <c:dLbls>
          <c:showLegendKey val="0"/>
          <c:showVal val="0"/>
          <c:showCatName val="0"/>
          <c:showSerName val="0"/>
          <c:showPercent val="0"/>
          <c:showBubbleSize val="0"/>
        </c:dLbls>
        <c:gapWidth val="219"/>
        <c:overlap val="-27"/>
        <c:axId val="470522584"/>
        <c:axId val="470525824"/>
      </c:barChart>
      <c:catAx>
        <c:axId val="470522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70525824"/>
        <c:crosses val="autoZero"/>
        <c:auto val="1"/>
        <c:lblAlgn val="ctr"/>
        <c:lblOffset val="100"/>
        <c:noMultiLvlLbl val="0"/>
      </c:catAx>
      <c:valAx>
        <c:axId val="47052582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70522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geen profiel</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2.8'!$M$1:$O$1</c:f>
              <c:strCache>
                <c:ptCount val="3"/>
                <c:pt idx="0">
                  <c:v>bl</c:v>
                </c:pt>
                <c:pt idx="1">
                  <c:v>kl</c:v>
                </c:pt>
                <c:pt idx="2">
                  <c:v>gl</c:v>
                </c:pt>
              </c:strCache>
            </c:strRef>
          </c:cat>
          <c:val>
            <c:numRef>
              <c:f>'fig 2.8'!$M$2:$O$2</c:f>
              <c:numCache>
                <c:formatCode>0</c:formatCode>
                <c:ptCount val="3"/>
                <c:pt idx="0">
                  <c:v>3.8461538461538467</c:v>
                </c:pt>
                <c:pt idx="1">
                  <c:v>3.8461538461538467</c:v>
                </c:pt>
                <c:pt idx="2">
                  <c:v>32.051282051282051</c:v>
                </c:pt>
              </c:numCache>
            </c:numRef>
          </c:val>
          <c:extLst>
            <c:ext xmlns:c16="http://schemas.microsoft.com/office/drawing/2014/chart" uri="{C3380CC4-5D6E-409C-BE32-E72D297353CC}">
              <c16:uniqueId val="{00000000-FE39-4415-A1D4-04CD61D35889}"/>
            </c:ext>
          </c:extLst>
        </c:ser>
        <c:ser>
          <c:idx val="1"/>
          <c:order val="1"/>
          <c:tx>
            <c:v>1 profiel</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2.8'!$M$1:$O$1</c:f>
              <c:strCache>
                <c:ptCount val="3"/>
                <c:pt idx="0">
                  <c:v>bl</c:v>
                </c:pt>
                <c:pt idx="1">
                  <c:v>kl</c:v>
                </c:pt>
                <c:pt idx="2">
                  <c:v>gl</c:v>
                </c:pt>
              </c:strCache>
            </c:strRef>
          </c:cat>
          <c:val>
            <c:numRef>
              <c:f>'fig 2.8'!$M$3:$O$3</c:f>
              <c:numCache>
                <c:formatCode>0</c:formatCode>
                <c:ptCount val="3"/>
                <c:pt idx="0">
                  <c:v>5.1282051282051286</c:v>
                </c:pt>
                <c:pt idx="1">
                  <c:v>5.1282051282051286</c:v>
                </c:pt>
                <c:pt idx="2">
                  <c:v>15.384615384615387</c:v>
                </c:pt>
              </c:numCache>
            </c:numRef>
          </c:val>
          <c:extLst>
            <c:ext xmlns:c16="http://schemas.microsoft.com/office/drawing/2014/chart" uri="{C3380CC4-5D6E-409C-BE32-E72D297353CC}">
              <c16:uniqueId val="{00000001-FE39-4415-A1D4-04CD61D35889}"/>
            </c:ext>
          </c:extLst>
        </c:ser>
        <c:ser>
          <c:idx val="2"/>
          <c:order val="2"/>
          <c:tx>
            <c:v>2 profielen</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2.8'!$M$1:$O$1</c:f>
              <c:strCache>
                <c:ptCount val="3"/>
                <c:pt idx="0">
                  <c:v>bl</c:v>
                </c:pt>
                <c:pt idx="1">
                  <c:v>kl</c:v>
                </c:pt>
                <c:pt idx="2">
                  <c:v>gl</c:v>
                </c:pt>
              </c:strCache>
            </c:strRef>
          </c:cat>
          <c:val>
            <c:numRef>
              <c:f>'fig 2.8'!$M$4:$O$4</c:f>
              <c:numCache>
                <c:formatCode>0</c:formatCode>
                <c:ptCount val="3"/>
                <c:pt idx="0">
                  <c:v>19.230769230769234</c:v>
                </c:pt>
                <c:pt idx="1">
                  <c:v>15.384615384615387</c:v>
                </c:pt>
                <c:pt idx="2">
                  <c:v>28.205128205128208</c:v>
                </c:pt>
              </c:numCache>
            </c:numRef>
          </c:val>
          <c:extLst>
            <c:ext xmlns:c16="http://schemas.microsoft.com/office/drawing/2014/chart" uri="{C3380CC4-5D6E-409C-BE32-E72D297353CC}">
              <c16:uniqueId val="{00000002-FE39-4415-A1D4-04CD61D35889}"/>
            </c:ext>
          </c:extLst>
        </c:ser>
        <c:ser>
          <c:idx val="3"/>
          <c:order val="3"/>
          <c:tx>
            <c:v>3 profielen</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2.8'!$M$1:$O$1</c:f>
              <c:strCache>
                <c:ptCount val="3"/>
                <c:pt idx="0">
                  <c:v>bl</c:v>
                </c:pt>
                <c:pt idx="1">
                  <c:v>kl</c:v>
                </c:pt>
                <c:pt idx="2">
                  <c:v>gl</c:v>
                </c:pt>
              </c:strCache>
            </c:strRef>
          </c:cat>
          <c:val>
            <c:numRef>
              <c:f>'fig 2.8'!$M$5:$O$5</c:f>
              <c:numCache>
                <c:formatCode>0</c:formatCode>
                <c:ptCount val="3"/>
                <c:pt idx="0">
                  <c:v>46.15384615384616</c:v>
                </c:pt>
                <c:pt idx="1">
                  <c:v>44.871794871794876</c:v>
                </c:pt>
                <c:pt idx="2">
                  <c:v>20.512820512820515</c:v>
                </c:pt>
              </c:numCache>
            </c:numRef>
          </c:val>
          <c:extLst>
            <c:ext xmlns:c16="http://schemas.microsoft.com/office/drawing/2014/chart" uri="{C3380CC4-5D6E-409C-BE32-E72D297353CC}">
              <c16:uniqueId val="{00000003-FE39-4415-A1D4-04CD61D35889}"/>
            </c:ext>
          </c:extLst>
        </c:ser>
        <c:ser>
          <c:idx val="4"/>
          <c:order val="4"/>
          <c:tx>
            <c:v>4 profielen</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2.8'!$M$1:$O$1</c:f>
              <c:strCache>
                <c:ptCount val="3"/>
                <c:pt idx="0">
                  <c:v>bl</c:v>
                </c:pt>
                <c:pt idx="1">
                  <c:v>kl</c:v>
                </c:pt>
                <c:pt idx="2">
                  <c:v>gl</c:v>
                </c:pt>
              </c:strCache>
            </c:strRef>
          </c:cat>
          <c:val>
            <c:numRef>
              <c:f>'fig 2.8'!$M$6:$O$6</c:f>
              <c:numCache>
                <c:formatCode>0</c:formatCode>
                <c:ptCount val="3"/>
                <c:pt idx="0">
                  <c:v>23.07692307692308</c:v>
                </c:pt>
                <c:pt idx="1">
                  <c:v>28.205128205128208</c:v>
                </c:pt>
                <c:pt idx="2">
                  <c:v>3.8461538461538467</c:v>
                </c:pt>
              </c:numCache>
            </c:numRef>
          </c:val>
          <c:extLst>
            <c:ext xmlns:c16="http://schemas.microsoft.com/office/drawing/2014/chart" uri="{C3380CC4-5D6E-409C-BE32-E72D297353CC}">
              <c16:uniqueId val="{00000004-FE39-4415-A1D4-04CD61D35889}"/>
            </c:ext>
          </c:extLst>
        </c:ser>
        <c:ser>
          <c:idx val="5"/>
          <c:order val="5"/>
          <c:tx>
            <c:v>5 profielen</c:v>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2.8'!$M$1:$O$1</c:f>
              <c:strCache>
                <c:ptCount val="3"/>
                <c:pt idx="0">
                  <c:v>bl</c:v>
                </c:pt>
                <c:pt idx="1">
                  <c:v>kl</c:v>
                </c:pt>
                <c:pt idx="2">
                  <c:v>gl</c:v>
                </c:pt>
              </c:strCache>
            </c:strRef>
          </c:cat>
          <c:val>
            <c:numRef>
              <c:f>'fig 2.8'!$M$7:$O$7</c:f>
              <c:numCache>
                <c:formatCode>0</c:formatCode>
                <c:ptCount val="3"/>
                <c:pt idx="0">
                  <c:v>2.5641025641025643</c:v>
                </c:pt>
                <c:pt idx="1">
                  <c:v>2.5641025641025643</c:v>
                </c:pt>
              </c:numCache>
            </c:numRef>
          </c:val>
          <c:extLst>
            <c:ext xmlns:c16="http://schemas.microsoft.com/office/drawing/2014/chart" uri="{C3380CC4-5D6E-409C-BE32-E72D297353CC}">
              <c16:uniqueId val="{00000005-FE39-4415-A1D4-04CD61D35889}"/>
            </c:ext>
          </c:extLst>
        </c:ser>
        <c:dLbls>
          <c:dLblPos val="ctr"/>
          <c:showLegendKey val="0"/>
          <c:showVal val="1"/>
          <c:showCatName val="0"/>
          <c:showSerName val="0"/>
          <c:showPercent val="0"/>
          <c:showBubbleSize val="0"/>
        </c:dLbls>
        <c:gapWidth val="150"/>
        <c:overlap val="100"/>
        <c:axId val="1698291056"/>
        <c:axId val="1698286896"/>
        <c:extLst>
          <c:ext xmlns:c15="http://schemas.microsoft.com/office/drawing/2012/chart" uri="{02D57815-91ED-43cb-92C2-25804820EDAC}">
            <c15:filteredBarSeries>
              <c15: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'fig 2.8'!$M$1:$O$1</c15:sqref>
                        </c15:formulaRef>
                      </c:ext>
                    </c:extLst>
                    <c:strCache>
                      <c:ptCount val="3"/>
                      <c:pt idx="0">
                        <c:v>bl</c:v>
                      </c:pt>
                      <c:pt idx="1">
                        <c:v>kl</c:v>
                      </c:pt>
                      <c:pt idx="2">
                        <c:v>gl</c:v>
                      </c:pt>
                    </c:strCache>
                  </c:strRef>
                </c:cat>
                <c:val>
                  <c:numRef>
                    <c:extLst>
                      <c:ext uri="{02D57815-91ED-43cb-92C2-25804820EDAC}">
                        <c15:formulaRef>
                          <c15:sqref>'fig 2.8'!$M$8:$O$8</c15:sqref>
                        </c15:formulaRef>
                      </c:ext>
                    </c:extLst>
                    <c:numCache>
                      <c:formatCode>0.0</c:formatCode>
                      <c:ptCount val="3"/>
                      <c:pt idx="0">
                        <c:v>100.00000000000001</c:v>
                      </c:pt>
                      <c:pt idx="1">
                        <c:v>100.00000000000001</c:v>
                      </c:pt>
                      <c:pt idx="2">
                        <c:v>100</c:v>
                      </c:pt>
                    </c:numCache>
                  </c:numRef>
                </c:val>
                <c:extLst>
                  <c:ext xmlns:c16="http://schemas.microsoft.com/office/drawing/2014/chart" uri="{C3380CC4-5D6E-409C-BE32-E72D297353CC}">
                    <c16:uniqueId val="{00000006-FE39-4415-A1D4-04CD61D35889}"/>
                  </c:ext>
                </c:extLst>
              </c15:ser>
            </c15:filteredBarSeries>
          </c:ext>
        </c:extLst>
      </c:barChart>
      <c:catAx>
        <c:axId val="169829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698286896"/>
        <c:crosses val="autoZero"/>
        <c:auto val="1"/>
        <c:lblAlgn val="ctr"/>
        <c:lblOffset val="100"/>
        <c:noMultiLvlLbl val="0"/>
      </c:catAx>
      <c:valAx>
        <c:axId val="16982868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698291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'fig 2.11'!$B$2</c:f>
              <c:strCache>
                <c:ptCount val="1"/>
                <c:pt idx="0">
                  <c:v>Techniek en gebouwde omgeving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2.11'!$C$1:$G$1</c:f>
              <c:strCache>
                <c:ptCount val="5"/>
                <c:pt idx="0">
                  <c:v>MVI</c:v>
                </c:pt>
                <c:pt idx="1">
                  <c:v>M&amp;T</c:v>
                </c:pt>
                <c:pt idx="2">
                  <c:v>MaT</c:v>
                </c:pt>
                <c:pt idx="3">
                  <c:v>PIE</c:v>
                </c:pt>
                <c:pt idx="4">
                  <c:v>BWI</c:v>
                </c:pt>
              </c:strCache>
            </c:strRef>
          </c:cat>
          <c:val>
            <c:numRef>
              <c:f>'fig 2.11'!$C$2:$G$2</c:f>
              <c:numCache>
                <c:formatCode>0</c:formatCode>
                <c:ptCount val="5"/>
                <c:pt idx="0">
                  <c:v>8.6991869918699187</c:v>
                </c:pt>
                <c:pt idx="1">
                  <c:v>14.035087719298245</c:v>
                </c:pt>
                <c:pt idx="2">
                  <c:v>12.755102040816327</c:v>
                </c:pt>
                <c:pt idx="3">
                  <c:v>55.853976531942628</c:v>
                </c:pt>
                <c:pt idx="4">
                  <c:v>56.634519454605922</c:v>
                </c:pt>
              </c:numCache>
            </c:numRef>
          </c:val>
          <c:extLst>
            <c:ext xmlns:c16="http://schemas.microsoft.com/office/drawing/2014/chart" uri="{C3380CC4-5D6E-409C-BE32-E72D297353CC}">
              <c16:uniqueId val="{00000000-6B31-4AFA-AB80-8BC18FA678CC}"/>
            </c:ext>
          </c:extLst>
        </c:ser>
        <c:ser>
          <c:idx val="1"/>
          <c:order val="1"/>
          <c:tx>
            <c:strRef>
              <c:f>'fig 2.11'!$B$3</c:f>
              <c:strCache>
                <c:ptCount val="1"/>
                <c:pt idx="0">
                  <c:v>Mobiliteit, transport, logistiek, maritiem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2.11'!$C$1:$G$1</c:f>
              <c:strCache>
                <c:ptCount val="5"/>
                <c:pt idx="0">
                  <c:v>MVI</c:v>
                </c:pt>
                <c:pt idx="1">
                  <c:v>M&amp;T</c:v>
                </c:pt>
                <c:pt idx="2">
                  <c:v>MaT</c:v>
                </c:pt>
                <c:pt idx="3">
                  <c:v>PIE</c:v>
                </c:pt>
                <c:pt idx="4">
                  <c:v>BWI</c:v>
                </c:pt>
              </c:strCache>
            </c:strRef>
          </c:cat>
          <c:val>
            <c:numRef>
              <c:f>'fig 2.11'!$C$3:$G$3</c:f>
              <c:numCache>
                <c:formatCode>0</c:formatCode>
                <c:ptCount val="5"/>
                <c:pt idx="0">
                  <c:v>4.0650406504065035</c:v>
                </c:pt>
                <c:pt idx="1">
                  <c:v>56.390977443609025</c:v>
                </c:pt>
                <c:pt idx="2">
                  <c:v>51.020408163265309</c:v>
                </c:pt>
                <c:pt idx="3">
                  <c:v>13.898305084745763</c:v>
                </c:pt>
                <c:pt idx="4">
                  <c:v>6.351845693382109</c:v>
                </c:pt>
              </c:numCache>
            </c:numRef>
          </c:val>
          <c:extLst>
            <c:ext xmlns:c16="http://schemas.microsoft.com/office/drawing/2014/chart" uri="{C3380CC4-5D6E-409C-BE32-E72D297353CC}">
              <c16:uniqueId val="{00000001-6B31-4AFA-AB80-8BC18FA678CC}"/>
            </c:ext>
          </c:extLst>
        </c:ser>
        <c:ser>
          <c:idx val="2"/>
          <c:order val="2"/>
          <c:tx>
            <c:strRef>
              <c:f>'fig 2.11'!$B$4</c:f>
              <c:strCache>
                <c:ptCount val="1"/>
                <c:pt idx="0">
                  <c:v>Zorg, welzijn en sport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2.11'!$C$1:$G$1</c:f>
              <c:strCache>
                <c:ptCount val="5"/>
                <c:pt idx="0">
                  <c:v>MVI</c:v>
                </c:pt>
                <c:pt idx="1">
                  <c:v>M&amp;T</c:v>
                </c:pt>
                <c:pt idx="2">
                  <c:v>MaT</c:v>
                </c:pt>
                <c:pt idx="3">
                  <c:v>PIE</c:v>
                </c:pt>
                <c:pt idx="4">
                  <c:v>BWI</c:v>
                </c:pt>
              </c:strCache>
            </c:strRef>
          </c:cat>
          <c:val>
            <c:numRef>
              <c:f>'fig 2.11'!$C$4:$G$4</c:f>
              <c:numCache>
                <c:formatCode>0</c:formatCode>
                <c:ptCount val="5"/>
                <c:pt idx="0">
                  <c:v>12.682926829268293</c:v>
                </c:pt>
                <c:pt idx="1">
                  <c:v>4.9289891395154548</c:v>
                </c:pt>
                <c:pt idx="2">
                  <c:v>12.755102040816327</c:v>
                </c:pt>
                <c:pt idx="3">
                  <c:v>3.6245110821382007</c:v>
                </c:pt>
                <c:pt idx="4">
                  <c:v>8.3139341536415028</c:v>
                </c:pt>
              </c:numCache>
            </c:numRef>
          </c:val>
          <c:extLst>
            <c:ext xmlns:c16="http://schemas.microsoft.com/office/drawing/2014/chart" uri="{C3380CC4-5D6E-409C-BE32-E72D297353CC}">
              <c16:uniqueId val="{00000002-6B31-4AFA-AB80-8BC18FA678CC}"/>
            </c:ext>
          </c:extLst>
        </c:ser>
        <c:ser>
          <c:idx val="3"/>
          <c:order val="3"/>
          <c:tx>
            <c:strRef>
              <c:f>'fig 2.11'!$B$5</c:f>
              <c:strCache>
                <c:ptCount val="1"/>
                <c:pt idx="0">
                  <c:v>Handel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2.11'!$C$1:$G$1</c:f>
              <c:strCache>
                <c:ptCount val="5"/>
                <c:pt idx="0">
                  <c:v>MVI</c:v>
                </c:pt>
                <c:pt idx="1">
                  <c:v>M&amp;T</c:v>
                </c:pt>
                <c:pt idx="2">
                  <c:v>MaT</c:v>
                </c:pt>
                <c:pt idx="3">
                  <c:v>PIE</c:v>
                </c:pt>
                <c:pt idx="4">
                  <c:v>BWI</c:v>
                </c:pt>
              </c:strCache>
            </c:strRef>
          </c:cat>
          <c:val>
            <c:numRef>
              <c:f>'fig 2.11'!$C$5:$G$5</c:f>
              <c:numCache>
                <c:formatCode>0</c:formatCode>
                <c:ptCount val="5"/>
                <c:pt idx="0">
                  <c:v>7.1544715447154479</c:v>
                </c:pt>
                <c:pt idx="1">
                  <c:v>2.1720969089390141</c:v>
                </c:pt>
                <c:pt idx="2">
                  <c:v>3.5714285714285712</c:v>
                </c:pt>
                <c:pt idx="3">
                  <c:v>2.6075619295958279</c:v>
                </c:pt>
                <c:pt idx="4">
                  <c:v>5.453940804788826</c:v>
                </c:pt>
              </c:numCache>
            </c:numRef>
          </c:val>
          <c:extLst>
            <c:ext xmlns:c16="http://schemas.microsoft.com/office/drawing/2014/chart" uri="{C3380CC4-5D6E-409C-BE32-E72D297353CC}">
              <c16:uniqueId val="{00000003-6B31-4AFA-AB80-8BC18FA678CC}"/>
            </c:ext>
          </c:extLst>
        </c:ser>
        <c:ser>
          <c:idx val="4"/>
          <c:order val="4"/>
          <c:tx>
            <c:strRef>
              <c:f>'fig 2.11'!$B$6</c:f>
              <c:strCache>
                <c:ptCount val="1"/>
                <c:pt idx="0">
                  <c:v>Creatieve industrie en ICT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2.11'!$C$1:$G$1</c:f>
              <c:strCache>
                <c:ptCount val="5"/>
                <c:pt idx="0">
                  <c:v>MVI</c:v>
                </c:pt>
                <c:pt idx="1">
                  <c:v>M&amp;T</c:v>
                </c:pt>
                <c:pt idx="2">
                  <c:v>MaT</c:v>
                </c:pt>
                <c:pt idx="3">
                  <c:v>PIE</c:v>
                </c:pt>
                <c:pt idx="4">
                  <c:v>BWI</c:v>
                </c:pt>
              </c:strCache>
            </c:strRef>
          </c:cat>
          <c:val>
            <c:numRef>
              <c:f>'fig 2.11'!$C$6:$G$6</c:f>
              <c:numCache>
                <c:formatCode>0</c:formatCode>
                <c:ptCount val="5"/>
                <c:pt idx="0">
                  <c:v>49.918699186991873</c:v>
                </c:pt>
                <c:pt idx="1">
                  <c:v>4.3441938178780282</c:v>
                </c:pt>
                <c:pt idx="2">
                  <c:v>5.6122448979591839</c:v>
                </c:pt>
                <c:pt idx="3">
                  <c:v>8.9178617992177323</c:v>
                </c:pt>
                <c:pt idx="4">
                  <c:v>5.6534752244762219</c:v>
                </c:pt>
              </c:numCache>
            </c:numRef>
          </c:val>
          <c:extLst>
            <c:ext xmlns:c16="http://schemas.microsoft.com/office/drawing/2014/chart" uri="{C3380CC4-5D6E-409C-BE32-E72D297353CC}">
              <c16:uniqueId val="{00000004-6B31-4AFA-AB80-8BC18FA678CC}"/>
            </c:ext>
          </c:extLst>
        </c:ser>
        <c:ser>
          <c:idx val="5"/>
          <c:order val="5"/>
          <c:tx>
            <c:strRef>
              <c:f>'fig 2.11'!$B$7</c:f>
              <c:strCache>
                <c:ptCount val="1"/>
                <c:pt idx="0">
                  <c:v>Voedsel, groen en gastvrijheid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2.11'!$C$1:$G$1</c:f>
              <c:strCache>
                <c:ptCount val="5"/>
                <c:pt idx="0">
                  <c:v>MVI</c:v>
                </c:pt>
                <c:pt idx="1">
                  <c:v>M&amp;T</c:v>
                </c:pt>
                <c:pt idx="2">
                  <c:v>MaT</c:v>
                </c:pt>
                <c:pt idx="3">
                  <c:v>PIE</c:v>
                </c:pt>
                <c:pt idx="4">
                  <c:v>BWI</c:v>
                </c:pt>
              </c:strCache>
            </c:strRef>
          </c:cat>
          <c:val>
            <c:numRef>
              <c:f>'fig 2.11'!$C$7:$G$7</c:f>
              <c:numCache>
                <c:formatCode>0</c:formatCode>
                <c:ptCount val="5"/>
                <c:pt idx="0">
                  <c:v>6.0162601626016263</c:v>
                </c:pt>
                <c:pt idx="1">
                  <c:v>8.3542188805346704</c:v>
                </c:pt>
                <c:pt idx="2">
                  <c:v>4.0816326530612246</c:v>
                </c:pt>
                <c:pt idx="3">
                  <c:v>6.8057366362451104</c:v>
                </c:pt>
                <c:pt idx="4">
                  <c:v>7.449285001662787</c:v>
                </c:pt>
              </c:numCache>
            </c:numRef>
          </c:val>
          <c:extLst>
            <c:ext xmlns:c16="http://schemas.microsoft.com/office/drawing/2014/chart" uri="{C3380CC4-5D6E-409C-BE32-E72D297353CC}">
              <c16:uniqueId val="{00000005-6B31-4AFA-AB80-8BC18FA678CC}"/>
            </c:ext>
          </c:extLst>
        </c:ser>
        <c:ser>
          <c:idx val="6"/>
          <c:order val="6"/>
          <c:tx>
            <c:strRef>
              <c:f>'fig 2.11'!$B$8</c:f>
              <c:strCache>
                <c:ptCount val="1"/>
                <c:pt idx="0">
                  <c:v>Zakelijke dienstverlening en veiligheid</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2.11'!$C$1:$G$1</c:f>
              <c:strCache>
                <c:ptCount val="5"/>
                <c:pt idx="0">
                  <c:v>MVI</c:v>
                </c:pt>
                <c:pt idx="1">
                  <c:v>M&amp;T</c:v>
                </c:pt>
                <c:pt idx="2">
                  <c:v>MaT</c:v>
                </c:pt>
                <c:pt idx="3">
                  <c:v>PIE</c:v>
                </c:pt>
                <c:pt idx="4">
                  <c:v>BWI</c:v>
                </c:pt>
              </c:strCache>
            </c:strRef>
          </c:cat>
          <c:val>
            <c:numRef>
              <c:f>'fig 2.11'!$C$8:$G$8</c:f>
              <c:numCache>
                <c:formatCode>0</c:formatCode>
                <c:ptCount val="5"/>
                <c:pt idx="0">
                  <c:v>7.5609756097560972</c:v>
                </c:pt>
                <c:pt idx="1">
                  <c:v>5.2631578947368416</c:v>
                </c:pt>
                <c:pt idx="2">
                  <c:v>7.6530612244897958</c:v>
                </c:pt>
                <c:pt idx="3">
                  <c:v>4.6675358539765321</c:v>
                </c:pt>
                <c:pt idx="4">
                  <c:v>5.2211506484868639</c:v>
                </c:pt>
              </c:numCache>
            </c:numRef>
          </c:val>
          <c:extLst>
            <c:ext xmlns:c16="http://schemas.microsoft.com/office/drawing/2014/chart" uri="{C3380CC4-5D6E-409C-BE32-E72D297353CC}">
              <c16:uniqueId val="{00000006-6B31-4AFA-AB80-8BC18FA678CC}"/>
            </c:ext>
          </c:extLst>
        </c:ser>
        <c:ser>
          <c:idx val="7"/>
          <c:order val="7"/>
          <c:tx>
            <c:strRef>
              <c:f>'fig 2.11'!$B$9</c:f>
              <c:strCache>
                <c:ptCount val="1"/>
                <c:pt idx="0">
                  <c:v>Entree</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2.11'!$C$1:$G$1</c:f>
              <c:strCache>
                <c:ptCount val="5"/>
                <c:pt idx="0">
                  <c:v>MVI</c:v>
                </c:pt>
                <c:pt idx="1">
                  <c:v>M&amp;T</c:v>
                </c:pt>
                <c:pt idx="2">
                  <c:v>MaT</c:v>
                </c:pt>
                <c:pt idx="3">
                  <c:v>PIE</c:v>
                </c:pt>
                <c:pt idx="4">
                  <c:v>BWI</c:v>
                </c:pt>
              </c:strCache>
            </c:strRef>
          </c:cat>
          <c:val>
            <c:numRef>
              <c:f>'fig 2.11'!$C$9:$G$9</c:f>
              <c:numCache>
                <c:formatCode>0</c:formatCode>
                <c:ptCount val="5"/>
                <c:pt idx="0">
                  <c:v>2.7642276422764227</c:v>
                </c:pt>
                <c:pt idx="1">
                  <c:v>4.4277360066833751</c:v>
                </c:pt>
                <c:pt idx="2">
                  <c:v>2.5510204081632653</c:v>
                </c:pt>
                <c:pt idx="3">
                  <c:v>3.4159061277705343</c:v>
                </c:pt>
                <c:pt idx="4">
                  <c:v>4.1902228134353177</c:v>
                </c:pt>
              </c:numCache>
            </c:numRef>
          </c:val>
          <c:extLst>
            <c:ext xmlns:c16="http://schemas.microsoft.com/office/drawing/2014/chart" uri="{C3380CC4-5D6E-409C-BE32-E72D297353CC}">
              <c16:uniqueId val="{00000007-6B31-4AFA-AB80-8BC18FA678CC}"/>
            </c:ext>
          </c:extLst>
        </c:ser>
        <c:ser>
          <c:idx val="8"/>
          <c:order val="8"/>
          <c:tx>
            <c:strRef>
              <c:f>'fig 2.11'!$B$10</c:f>
              <c:strCache>
                <c:ptCount val="1"/>
                <c:pt idx="0">
                  <c:v>Specialistisch vakmanschap</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2.11'!$C$1:$G$1</c:f>
              <c:strCache>
                <c:ptCount val="5"/>
                <c:pt idx="0">
                  <c:v>MVI</c:v>
                </c:pt>
                <c:pt idx="1">
                  <c:v>M&amp;T</c:v>
                </c:pt>
                <c:pt idx="2">
                  <c:v>MaT</c:v>
                </c:pt>
                <c:pt idx="3">
                  <c:v>PIE</c:v>
                </c:pt>
                <c:pt idx="4">
                  <c:v>BWI</c:v>
                </c:pt>
              </c:strCache>
            </c:strRef>
          </c:cat>
          <c:val>
            <c:numRef>
              <c:f>'fig 2.11'!$C$10:$G$10</c:f>
              <c:numCache>
                <c:formatCode>General</c:formatCode>
                <c:ptCount val="5"/>
                <c:pt idx="0" formatCode="0">
                  <c:v>1.1382113821138211</c:v>
                </c:pt>
                <c:pt idx="3" formatCode="0">
                  <c:v>0.18252933507170796</c:v>
                </c:pt>
                <c:pt idx="4" formatCode="0">
                  <c:v>0.63185899567675419</c:v>
                </c:pt>
              </c:numCache>
            </c:numRef>
          </c:val>
          <c:extLst>
            <c:ext xmlns:c16="http://schemas.microsoft.com/office/drawing/2014/chart" uri="{C3380CC4-5D6E-409C-BE32-E72D297353CC}">
              <c16:uniqueId val="{00000008-6B31-4AFA-AB80-8BC18FA678CC}"/>
            </c:ext>
          </c:extLst>
        </c:ser>
        <c:dLbls>
          <c:dLblPos val="ctr"/>
          <c:showLegendKey val="0"/>
          <c:showVal val="1"/>
          <c:showCatName val="0"/>
          <c:showSerName val="0"/>
          <c:showPercent val="0"/>
          <c:showBubbleSize val="0"/>
        </c:dLbls>
        <c:gapWidth val="150"/>
        <c:overlap val="100"/>
        <c:axId val="481183752"/>
        <c:axId val="481181592"/>
      </c:barChart>
      <c:catAx>
        <c:axId val="481183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81181592"/>
        <c:crosses val="autoZero"/>
        <c:auto val="1"/>
        <c:lblAlgn val="ctr"/>
        <c:lblOffset val="100"/>
        <c:noMultiLvlLbl val="0"/>
      </c:catAx>
      <c:valAx>
        <c:axId val="481181592"/>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81183752"/>
        <c:crosses val="autoZero"/>
        <c:crossBetween val="between"/>
      </c:valAx>
      <c:spPr>
        <a:noFill/>
        <a:ln>
          <a:noFill/>
        </a:ln>
        <a:effectLst/>
      </c:spPr>
    </c:plotArea>
    <c:legend>
      <c:legendPos val="b"/>
      <c:layout>
        <c:manualLayout>
          <c:xMode val="edge"/>
          <c:yMode val="edge"/>
          <c:x val="6.8669527896995708E-2"/>
          <c:y val="0.62813560438836358"/>
          <c:w val="0.89270386266094426"/>
          <c:h val="0.346759793101176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'fig 2.11b'!$B$2</c:f>
              <c:strCache>
                <c:ptCount val="1"/>
                <c:pt idx="0">
                  <c:v>Techniek</c:v>
                </c:pt>
              </c:strCache>
            </c:strRef>
          </c:tx>
          <c:spPr>
            <a:solidFill>
              <a:schemeClr val="accent1"/>
            </a:solidFill>
            <a:ln>
              <a:noFill/>
            </a:ln>
            <a:effectLst/>
          </c:spPr>
          <c:invertIfNegative val="0"/>
          <c:cat>
            <c:strRef>
              <c:f>'fig 2.11b'!$C$1:$G$1</c:f>
              <c:strCache>
                <c:ptCount val="5"/>
                <c:pt idx="0">
                  <c:v>MVI</c:v>
                </c:pt>
                <c:pt idx="1">
                  <c:v>M&amp;T</c:v>
                </c:pt>
                <c:pt idx="2">
                  <c:v>MaT</c:v>
                </c:pt>
                <c:pt idx="3">
                  <c:v>PIE</c:v>
                </c:pt>
                <c:pt idx="4">
                  <c:v>BWI</c:v>
                </c:pt>
              </c:strCache>
              <c:extLst/>
            </c:strRef>
          </c:cat>
          <c:val>
            <c:numRef>
              <c:f>'fig 2.11b'!$C$2:$G$2</c:f>
              <c:numCache>
                <c:formatCode>0</c:formatCode>
                <c:ptCount val="5"/>
                <c:pt idx="0">
                  <c:v>59.186991869918707</c:v>
                </c:pt>
                <c:pt idx="1">
                  <c:v>76.106934001670851</c:v>
                </c:pt>
                <c:pt idx="2">
                  <c:v>58.163265306122447</c:v>
                </c:pt>
                <c:pt idx="3">
                  <c:v>81.408083441981745</c:v>
                </c:pt>
                <c:pt idx="4">
                  <c:v>72.364482873295643</c:v>
                </c:pt>
              </c:numCache>
              <c:extLst/>
            </c:numRef>
          </c:val>
          <c:extLst>
            <c:ext xmlns:c16="http://schemas.microsoft.com/office/drawing/2014/chart" uri="{C3380CC4-5D6E-409C-BE32-E72D297353CC}">
              <c16:uniqueId val="{00000000-3C1E-4DAB-BA36-1D1B3257D7BD}"/>
            </c:ext>
          </c:extLst>
        </c:ser>
        <c:ser>
          <c:idx val="1"/>
          <c:order val="1"/>
          <c:tx>
            <c:strRef>
              <c:f>'fig 2.11b'!$B$3</c:f>
              <c:strCache>
                <c:ptCount val="1"/>
                <c:pt idx="0">
                  <c:v>Niet techniek</c:v>
                </c:pt>
              </c:strCache>
            </c:strRef>
          </c:tx>
          <c:spPr>
            <a:solidFill>
              <a:schemeClr val="accent2"/>
            </a:solidFill>
            <a:ln>
              <a:noFill/>
            </a:ln>
            <a:effectLst/>
          </c:spPr>
          <c:invertIfNegative val="0"/>
          <c:cat>
            <c:strRef>
              <c:f>'fig 2.11b'!$C$1:$G$1</c:f>
              <c:strCache>
                <c:ptCount val="5"/>
                <c:pt idx="0">
                  <c:v>MVI</c:v>
                </c:pt>
                <c:pt idx="1">
                  <c:v>M&amp;T</c:v>
                </c:pt>
                <c:pt idx="2">
                  <c:v>MaT</c:v>
                </c:pt>
                <c:pt idx="3">
                  <c:v>PIE</c:v>
                </c:pt>
                <c:pt idx="4">
                  <c:v>BWI</c:v>
                </c:pt>
              </c:strCache>
              <c:extLst/>
            </c:strRef>
          </c:cat>
          <c:val>
            <c:numRef>
              <c:f>'fig 2.11b'!$C$3:$G$3</c:f>
              <c:numCache>
                <c:formatCode>0</c:formatCode>
                <c:ptCount val="5"/>
                <c:pt idx="0">
                  <c:v>40.8130081300813</c:v>
                </c:pt>
                <c:pt idx="1">
                  <c:v>23.893065998329156</c:v>
                </c:pt>
                <c:pt idx="2">
                  <c:v>41.836734693877553</c:v>
                </c:pt>
                <c:pt idx="3">
                  <c:v>18.591916558018255</c:v>
                </c:pt>
                <c:pt idx="4">
                  <c:v>27.635517126704357</c:v>
                </c:pt>
              </c:numCache>
              <c:extLst/>
            </c:numRef>
          </c:val>
          <c:extLst>
            <c:ext xmlns:c16="http://schemas.microsoft.com/office/drawing/2014/chart" uri="{C3380CC4-5D6E-409C-BE32-E72D297353CC}">
              <c16:uniqueId val="{00000001-3C1E-4DAB-BA36-1D1B3257D7BD}"/>
            </c:ext>
          </c:extLst>
        </c:ser>
        <c:dLbls>
          <c:showLegendKey val="0"/>
          <c:showVal val="0"/>
          <c:showCatName val="0"/>
          <c:showSerName val="0"/>
          <c:showPercent val="0"/>
          <c:showBubbleSize val="0"/>
        </c:dLbls>
        <c:gapWidth val="150"/>
        <c:overlap val="100"/>
        <c:axId val="428801936"/>
        <c:axId val="428802656"/>
      </c:barChart>
      <c:catAx>
        <c:axId val="428801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28802656"/>
        <c:crosses val="autoZero"/>
        <c:auto val="1"/>
        <c:lblAlgn val="ctr"/>
        <c:lblOffset val="100"/>
        <c:noMultiLvlLbl val="0"/>
      </c:catAx>
      <c:valAx>
        <c:axId val="4288026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28801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Sheet1!$E$1</c:f>
              <c:strCache>
                <c:ptCount val="1"/>
                <c:pt idx="0">
                  <c:v>2018/2019</c:v>
                </c:pt>
              </c:strCache>
            </c:strRef>
          </c:tx>
          <c:spPr>
            <a:solidFill>
              <a:schemeClr val="accent2"/>
            </a:solidFill>
            <a:ln>
              <a:noFill/>
            </a:ln>
            <a:effectLst/>
          </c:spPr>
          <c:invertIfNegative val="0"/>
          <c:cat>
            <c:multiLvlStrRef>
              <c:f>Sheet1!$A$2:$C$16</c:f>
              <c:multiLvlStrCache>
                <c:ptCount val="15"/>
                <c:lvl>
                  <c:pt idx="0">
                    <c:v>Basis</c:v>
                  </c:pt>
                  <c:pt idx="1">
                    <c:v>Kader</c:v>
                  </c:pt>
                  <c:pt idx="2">
                    <c:v>Gemengd</c:v>
                  </c:pt>
                  <c:pt idx="3">
                    <c:v>Basis</c:v>
                  </c:pt>
                  <c:pt idx="4">
                    <c:v>Kader</c:v>
                  </c:pt>
                  <c:pt idx="5">
                    <c:v>Gemengd</c:v>
                  </c:pt>
                  <c:pt idx="6">
                    <c:v>Basis</c:v>
                  </c:pt>
                  <c:pt idx="7">
                    <c:v>Kader</c:v>
                  </c:pt>
                  <c:pt idx="8">
                    <c:v>Gemengd</c:v>
                  </c:pt>
                  <c:pt idx="9">
                    <c:v>Basis</c:v>
                  </c:pt>
                  <c:pt idx="10">
                    <c:v>Kader</c:v>
                  </c:pt>
                  <c:pt idx="11">
                    <c:v>Gemengd</c:v>
                  </c:pt>
                  <c:pt idx="12">
                    <c:v>Basis</c:v>
                  </c:pt>
                  <c:pt idx="13">
                    <c:v>Kader</c:v>
                  </c:pt>
                  <c:pt idx="14">
                    <c:v>Gemengd</c:v>
                  </c:pt>
                </c:lvl>
                <c:lvl>
                  <c:pt idx="0">
                    <c:v>BWI</c:v>
                  </c:pt>
                  <c:pt idx="3">
                    <c:v>MaT</c:v>
                  </c:pt>
                  <c:pt idx="6">
                    <c:v>MVI</c:v>
                  </c:pt>
                  <c:pt idx="9">
                    <c:v>M&amp;T</c:v>
                  </c:pt>
                  <c:pt idx="12">
                    <c:v>PIE</c:v>
                  </c:pt>
                </c:lvl>
                <c:lvl>
                  <c:pt idx="0">
                    <c:v>techniek</c:v>
                  </c:pt>
                </c:lvl>
              </c:multiLvlStrCache>
              <c:extLst/>
            </c:multiLvlStrRef>
          </c:cat>
          <c:val>
            <c:numRef>
              <c:f>Sheet1!$E$2:$E$16</c:f>
              <c:numCache>
                <c:formatCode>0</c:formatCode>
                <c:ptCount val="15"/>
                <c:pt idx="0">
                  <c:v>89.610389610389603</c:v>
                </c:pt>
                <c:pt idx="1">
                  <c:v>88.311688311688314</c:v>
                </c:pt>
                <c:pt idx="2">
                  <c:v>38.961038961038966</c:v>
                </c:pt>
                <c:pt idx="3">
                  <c:v>9.0909090909090917</c:v>
                </c:pt>
                <c:pt idx="4">
                  <c:v>6.4935064935064926</c:v>
                </c:pt>
                <c:pt idx="5">
                  <c:v>5.1948051948051948</c:v>
                </c:pt>
                <c:pt idx="6">
                  <c:v>33.766233766233768</c:v>
                </c:pt>
                <c:pt idx="7">
                  <c:v>40.259740259740262</c:v>
                </c:pt>
                <c:pt idx="8">
                  <c:v>14.285714285714285</c:v>
                </c:pt>
                <c:pt idx="9">
                  <c:v>70.129870129870127</c:v>
                </c:pt>
                <c:pt idx="10">
                  <c:v>70.129870129870127</c:v>
                </c:pt>
                <c:pt idx="11">
                  <c:v>23.376623376623375</c:v>
                </c:pt>
                <c:pt idx="12">
                  <c:v>96.103896103896105</c:v>
                </c:pt>
                <c:pt idx="13">
                  <c:v>96.103896103896105</c:v>
                </c:pt>
                <c:pt idx="14">
                  <c:v>49.350649350649348</c:v>
                </c:pt>
              </c:numCache>
              <c:extLst/>
            </c:numRef>
          </c:val>
          <c:extLst>
            <c:ext xmlns:c16="http://schemas.microsoft.com/office/drawing/2014/chart" uri="{C3380CC4-5D6E-409C-BE32-E72D297353CC}">
              <c16:uniqueId val="{00000000-4150-45A4-AD1B-5871749411AB}"/>
            </c:ext>
          </c:extLst>
        </c:ser>
        <c:ser>
          <c:idx val="2"/>
          <c:order val="2"/>
          <c:tx>
            <c:strRef>
              <c:f>Sheet1!$F$1</c:f>
              <c:strCache>
                <c:ptCount val="1"/>
                <c:pt idx="0">
                  <c:v>2019/2020</c:v>
                </c:pt>
              </c:strCache>
            </c:strRef>
          </c:tx>
          <c:spPr>
            <a:solidFill>
              <a:schemeClr val="accent3"/>
            </a:solidFill>
            <a:ln>
              <a:noFill/>
            </a:ln>
            <a:effectLst/>
          </c:spPr>
          <c:invertIfNegative val="0"/>
          <c:cat>
            <c:multiLvlStrRef>
              <c:f>Sheet1!$A$2:$C$16</c:f>
              <c:multiLvlStrCache>
                <c:ptCount val="15"/>
                <c:lvl>
                  <c:pt idx="0">
                    <c:v>Basis</c:v>
                  </c:pt>
                  <c:pt idx="1">
                    <c:v>Kader</c:v>
                  </c:pt>
                  <c:pt idx="2">
                    <c:v>Gemengd</c:v>
                  </c:pt>
                  <c:pt idx="3">
                    <c:v>Basis</c:v>
                  </c:pt>
                  <c:pt idx="4">
                    <c:v>Kader</c:v>
                  </c:pt>
                  <c:pt idx="5">
                    <c:v>Gemengd</c:v>
                  </c:pt>
                  <c:pt idx="6">
                    <c:v>Basis</c:v>
                  </c:pt>
                  <c:pt idx="7">
                    <c:v>Kader</c:v>
                  </c:pt>
                  <c:pt idx="8">
                    <c:v>Gemengd</c:v>
                  </c:pt>
                  <c:pt idx="9">
                    <c:v>Basis</c:v>
                  </c:pt>
                  <c:pt idx="10">
                    <c:v>Kader</c:v>
                  </c:pt>
                  <c:pt idx="11">
                    <c:v>Gemengd</c:v>
                  </c:pt>
                  <c:pt idx="12">
                    <c:v>Basis</c:v>
                  </c:pt>
                  <c:pt idx="13">
                    <c:v>Kader</c:v>
                  </c:pt>
                  <c:pt idx="14">
                    <c:v>Gemengd</c:v>
                  </c:pt>
                </c:lvl>
                <c:lvl>
                  <c:pt idx="0">
                    <c:v>BWI</c:v>
                  </c:pt>
                  <c:pt idx="3">
                    <c:v>MaT</c:v>
                  </c:pt>
                  <c:pt idx="6">
                    <c:v>MVI</c:v>
                  </c:pt>
                  <c:pt idx="9">
                    <c:v>M&amp;T</c:v>
                  </c:pt>
                  <c:pt idx="12">
                    <c:v>PIE</c:v>
                  </c:pt>
                </c:lvl>
                <c:lvl>
                  <c:pt idx="0">
                    <c:v>techniek</c:v>
                  </c:pt>
                </c:lvl>
              </c:multiLvlStrCache>
              <c:extLst/>
            </c:multiLvlStrRef>
          </c:cat>
          <c:val>
            <c:numRef>
              <c:f>Sheet1!$F$2:$F$16</c:f>
              <c:numCache>
                <c:formatCode>0</c:formatCode>
                <c:ptCount val="15"/>
                <c:pt idx="0">
                  <c:v>88.311688311688314</c:v>
                </c:pt>
                <c:pt idx="1">
                  <c:v>89.610389610389603</c:v>
                </c:pt>
                <c:pt idx="2">
                  <c:v>40.259740259740262</c:v>
                </c:pt>
                <c:pt idx="3">
                  <c:v>7.7922077922077921</c:v>
                </c:pt>
                <c:pt idx="4">
                  <c:v>6.4935064935064926</c:v>
                </c:pt>
                <c:pt idx="5">
                  <c:v>5.1948051948051948</c:v>
                </c:pt>
                <c:pt idx="6">
                  <c:v>29.870129870129869</c:v>
                </c:pt>
                <c:pt idx="7">
                  <c:v>41.558441558441558</c:v>
                </c:pt>
                <c:pt idx="8">
                  <c:v>15.584415584415584</c:v>
                </c:pt>
                <c:pt idx="9">
                  <c:v>68.831168831168839</c:v>
                </c:pt>
                <c:pt idx="10">
                  <c:v>68.831168831168839</c:v>
                </c:pt>
                <c:pt idx="11">
                  <c:v>23.376623376623375</c:v>
                </c:pt>
                <c:pt idx="12">
                  <c:v>96.103896103896105</c:v>
                </c:pt>
                <c:pt idx="13">
                  <c:v>96.103896103896105</c:v>
                </c:pt>
                <c:pt idx="14">
                  <c:v>50.649350649350644</c:v>
                </c:pt>
              </c:numCache>
              <c:extLst/>
            </c:numRef>
          </c:val>
          <c:extLst>
            <c:ext xmlns:c16="http://schemas.microsoft.com/office/drawing/2014/chart" uri="{C3380CC4-5D6E-409C-BE32-E72D297353CC}">
              <c16:uniqueId val="{00000001-4150-45A4-AD1B-5871749411AB}"/>
            </c:ext>
          </c:extLst>
        </c:ser>
        <c:ser>
          <c:idx val="3"/>
          <c:order val="3"/>
          <c:tx>
            <c:strRef>
              <c:f>Sheet1!$G$1</c:f>
              <c:strCache>
                <c:ptCount val="1"/>
                <c:pt idx="0">
                  <c:v>2020/2021</c:v>
                </c:pt>
              </c:strCache>
            </c:strRef>
          </c:tx>
          <c:spPr>
            <a:solidFill>
              <a:schemeClr val="accent4"/>
            </a:solidFill>
            <a:ln>
              <a:noFill/>
            </a:ln>
            <a:effectLst/>
          </c:spPr>
          <c:invertIfNegative val="0"/>
          <c:cat>
            <c:multiLvlStrRef>
              <c:f>Sheet1!$A$2:$C$16</c:f>
              <c:multiLvlStrCache>
                <c:ptCount val="15"/>
                <c:lvl>
                  <c:pt idx="0">
                    <c:v>Basis</c:v>
                  </c:pt>
                  <c:pt idx="1">
                    <c:v>Kader</c:v>
                  </c:pt>
                  <c:pt idx="2">
                    <c:v>Gemengd</c:v>
                  </c:pt>
                  <c:pt idx="3">
                    <c:v>Basis</c:v>
                  </c:pt>
                  <c:pt idx="4">
                    <c:v>Kader</c:v>
                  </c:pt>
                  <c:pt idx="5">
                    <c:v>Gemengd</c:v>
                  </c:pt>
                  <c:pt idx="6">
                    <c:v>Basis</c:v>
                  </c:pt>
                  <c:pt idx="7">
                    <c:v>Kader</c:v>
                  </c:pt>
                  <c:pt idx="8">
                    <c:v>Gemengd</c:v>
                  </c:pt>
                  <c:pt idx="9">
                    <c:v>Basis</c:v>
                  </c:pt>
                  <c:pt idx="10">
                    <c:v>Kader</c:v>
                  </c:pt>
                  <c:pt idx="11">
                    <c:v>Gemengd</c:v>
                  </c:pt>
                  <c:pt idx="12">
                    <c:v>Basis</c:v>
                  </c:pt>
                  <c:pt idx="13">
                    <c:v>Kader</c:v>
                  </c:pt>
                  <c:pt idx="14">
                    <c:v>Gemengd</c:v>
                  </c:pt>
                </c:lvl>
                <c:lvl>
                  <c:pt idx="0">
                    <c:v>BWI</c:v>
                  </c:pt>
                  <c:pt idx="3">
                    <c:v>MaT</c:v>
                  </c:pt>
                  <c:pt idx="6">
                    <c:v>MVI</c:v>
                  </c:pt>
                  <c:pt idx="9">
                    <c:v>M&amp;T</c:v>
                  </c:pt>
                  <c:pt idx="12">
                    <c:v>PIE</c:v>
                  </c:pt>
                </c:lvl>
                <c:lvl>
                  <c:pt idx="0">
                    <c:v>techniek</c:v>
                  </c:pt>
                </c:lvl>
              </c:multiLvlStrCache>
              <c:extLst/>
            </c:multiLvlStrRef>
          </c:cat>
          <c:val>
            <c:numRef>
              <c:f>Sheet1!$G$2:$G$16</c:f>
              <c:numCache>
                <c:formatCode>0</c:formatCode>
                <c:ptCount val="15"/>
                <c:pt idx="0">
                  <c:v>89.610389610389603</c:v>
                </c:pt>
                <c:pt idx="1">
                  <c:v>89.610389610389603</c:v>
                </c:pt>
                <c:pt idx="2">
                  <c:v>45.454545454545453</c:v>
                </c:pt>
                <c:pt idx="3">
                  <c:v>7.7922077922077921</c:v>
                </c:pt>
                <c:pt idx="4">
                  <c:v>6.4935064935064926</c:v>
                </c:pt>
                <c:pt idx="5">
                  <c:v>5.1948051948051948</c:v>
                </c:pt>
                <c:pt idx="6">
                  <c:v>35.064935064935064</c:v>
                </c:pt>
                <c:pt idx="7">
                  <c:v>41.558441558441558</c:v>
                </c:pt>
                <c:pt idx="8">
                  <c:v>12.987012987012985</c:v>
                </c:pt>
                <c:pt idx="9">
                  <c:v>70.129870129870127</c:v>
                </c:pt>
                <c:pt idx="10">
                  <c:v>70.129870129870127</c:v>
                </c:pt>
                <c:pt idx="11">
                  <c:v>25.97402597402597</c:v>
                </c:pt>
                <c:pt idx="12">
                  <c:v>96.103896103896105</c:v>
                </c:pt>
                <c:pt idx="13">
                  <c:v>96.103896103896105</c:v>
                </c:pt>
                <c:pt idx="14">
                  <c:v>54.54545454545454</c:v>
                </c:pt>
              </c:numCache>
              <c:extLst/>
            </c:numRef>
          </c:val>
          <c:extLst>
            <c:ext xmlns:c16="http://schemas.microsoft.com/office/drawing/2014/chart" uri="{C3380CC4-5D6E-409C-BE32-E72D297353CC}">
              <c16:uniqueId val="{00000002-4150-45A4-AD1B-5871749411AB}"/>
            </c:ext>
          </c:extLst>
        </c:ser>
        <c:ser>
          <c:idx val="4"/>
          <c:order val="4"/>
          <c:tx>
            <c:strRef>
              <c:f>Sheet1!$H$1</c:f>
              <c:strCache>
                <c:ptCount val="1"/>
                <c:pt idx="0">
                  <c:v>2021/2022</c:v>
                </c:pt>
              </c:strCache>
            </c:strRef>
          </c:tx>
          <c:spPr>
            <a:solidFill>
              <a:schemeClr val="accent5"/>
            </a:solidFill>
            <a:ln>
              <a:noFill/>
            </a:ln>
            <a:effectLst/>
          </c:spPr>
          <c:invertIfNegative val="0"/>
          <c:cat>
            <c:multiLvlStrRef>
              <c:f>Sheet1!$A$2:$C$16</c:f>
              <c:multiLvlStrCache>
                <c:ptCount val="15"/>
                <c:lvl>
                  <c:pt idx="0">
                    <c:v>Basis</c:v>
                  </c:pt>
                  <c:pt idx="1">
                    <c:v>Kader</c:v>
                  </c:pt>
                  <c:pt idx="2">
                    <c:v>Gemengd</c:v>
                  </c:pt>
                  <c:pt idx="3">
                    <c:v>Basis</c:v>
                  </c:pt>
                  <c:pt idx="4">
                    <c:v>Kader</c:v>
                  </c:pt>
                  <c:pt idx="5">
                    <c:v>Gemengd</c:v>
                  </c:pt>
                  <c:pt idx="6">
                    <c:v>Basis</c:v>
                  </c:pt>
                  <c:pt idx="7">
                    <c:v>Kader</c:v>
                  </c:pt>
                  <c:pt idx="8">
                    <c:v>Gemengd</c:v>
                  </c:pt>
                  <c:pt idx="9">
                    <c:v>Basis</c:v>
                  </c:pt>
                  <c:pt idx="10">
                    <c:v>Kader</c:v>
                  </c:pt>
                  <c:pt idx="11">
                    <c:v>Gemengd</c:v>
                  </c:pt>
                  <c:pt idx="12">
                    <c:v>Basis</c:v>
                  </c:pt>
                  <c:pt idx="13">
                    <c:v>Kader</c:v>
                  </c:pt>
                  <c:pt idx="14">
                    <c:v>Gemengd</c:v>
                  </c:pt>
                </c:lvl>
                <c:lvl>
                  <c:pt idx="0">
                    <c:v>BWI</c:v>
                  </c:pt>
                  <c:pt idx="3">
                    <c:v>MaT</c:v>
                  </c:pt>
                  <c:pt idx="6">
                    <c:v>MVI</c:v>
                  </c:pt>
                  <c:pt idx="9">
                    <c:v>M&amp;T</c:v>
                  </c:pt>
                  <c:pt idx="12">
                    <c:v>PIE</c:v>
                  </c:pt>
                </c:lvl>
                <c:lvl>
                  <c:pt idx="0">
                    <c:v>techniek</c:v>
                  </c:pt>
                </c:lvl>
              </c:multiLvlStrCache>
              <c:extLst/>
            </c:multiLvlStrRef>
          </c:cat>
          <c:val>
            <c:numRef>
              <c:f>Sheet1!$H$2:$H$16</c:f>
              <c:numCache>
                <c:formatCode>0</c:formatCode>
                <c:ptCount val="15"/>
                <c:pt idx="0">
                  <c:v>90.909090909090907</c:v>
                </c:pt>
                <c:pt idx="1">
                  <c:v>92.20779220779221</c:v>
                </c:pt>
                <c:pt idx="2">
                  <c:v>46.753246753246749</c:v>
                </c:pt>
                <c:pt idx="3">
                  <c:v>7.7922077922077921</c:v>
                </c:pt>
                <c:pt idx="4">
                  <c:v>6.4935064935064926</c:v>
                </c:pt>
                <c:pt idx="5">
                  <c:v>5.1948051948051948</c:v>
                </c:pt>
                <c:pt idx="6">
                  <c:v>35.064935064935064</c:v>
                </c:pt>
                <c:pt idx="7">
                  <c:v>42.857142857142854</c:v>
                </c:pt>
                <c:pt idx="8">
                  <c:v>16.883116883116884</c:v>
                </c:pt>
                <c:pt idx="9">
                  <c:v>67.532467532467535</c:v>
                </c:pt>
                <c:pt idx="10">
                  <c:v>70.129870129870127</c:v>
                </c:pt>
                <c:pt idx="11">
                  <c:v>24.675324675324674</c:v>
                </c:pt>
                <c:pt idx="12">
                  <c:v>96.103896103896105</c:v>
                </c:pt>
                <c:pt idx="13">
                  <c:v>96.103896103896105</c:v>
                </c:pt>
                <c:pt idx="14">
                  <c:v>57.142857142857139</c:v>
                </c:pt>
              </c:numCache>
              <c:extLst/>
            </c:numRef>
          </c:val>
          <c:extLst>
            <c:ext xmlns:c16="http://schemas.microsoft.com/office/drawing/2014/chart" uri="{C3380CC4-5D6E-409C-BE32-E72D297353CC}">
              <c16:uniqueId val="{00000003-4150-45A4-AD1B-5871749411AB}"/>
            </c:ext>
          </c:extLst>
        </c:ser>
        <c:ser>
          <c:idx val="5"/>
          <c:order val="5"/>
          <c:tx>
            <c:strRef>
              <c:f>Sheet1!$I$1</c:f>
              <c:strCache>
                <c:ptCount val="1"/>
                <c:pt idx="0">
                  <c:v>2022/2023</c:v>
                </c:pt>
              </c:strCache>
            </c:strRef>
          </c:tx>
          <c:spPr>
            <a:solidFill>
              <a:schemeClr val="accent6"/>
            </a:solidFill>
            <a:ln>
              <a:noFill/>
            </a:ln>
            <a:effectLst/>
          </c:spPr>
          <c:invertIfNegative val="0"/>
          <c:cat>
            <c:multiLvlStrRef>
              <c:f>Sheet1!$A$2:$C$16</c:f>
              <c:multiLvlStrCache>
                <c:ptCount val="15"/>
                <c:lvl>
                  <c:pt idx="0">
                    <c:v>Basis</c:v>
                  </c:pt>
                  <c:pt idx="1">
                    <c:v>Kader</c:v>
                  </c:pt>
                  <c:pt idx="2">
                    <c:v>Gemengd</c:v>
                  </c:pt>
                  <c:pt idx="3">
                    <c:v>Basis</c:v>
                  </c:pt>
                  <c:pt idx="4">
                    <c:v>Kader</c:v>
                  </c:pt>
                  <c:pt idx="5">
                    <c:v>Gemengd</c:v>
                  </c:pt>
                  <c:pt idx="6">
                    <c:v>Basis</c:v>
                  </c:pt>
                  <c:pt idx="7">
                    <c:v>Kader</c:v>
                  </c:pt>
                  <c:pt idx="8">
                    <c:v>Gemengd</c:v>
                  </c:pt>
                  <c:pt idx="9">
                    <c:v>Basis</c:v>
                  </c:pt>
                  <c:pt idx="10">
                    <c:v>Kader</c:v>
                  </c:pt>
                  <c:pt idx="11">
                    <c:v>Gemengd</c:v>
                  </c:pt>
                  <c:pt idx="12">
                    <c:v>Basis</c:v>
                  </c:pt>
                  <c:pt idx="13">
                    <c:v>Kader</c:v>
                  </c:pt>
                  <c:pt idx="14">
                    <c:v>Gemengd</c:v>
                  </c:pt>
                </c:lvl>
                <c:lvl>
                  <c:pt idx="0">
                    <c:v>BWI</c:v>
                  </c:pt>
                  <c:pt idx="3">
                    <c:v>MaT</c:v>
                  </c:pt>
                  <c:pt idx="6">
                    <c:v>MVI</c:v>
                  </c:pt>
                  <c:pt idx="9">
                    <c:v>M&amp;T</c:v>
                  </c:pt>
                  <c:pt idx="12">
                    <c:v>PIE</c:v>
                  </c:pt>
                </c:lvl>
                <c:lvl>
                  <c:pt idx="0">
                    <c:v>techniek</c:v>
                  </c:pt>
                </c:lvl>
              </c:multiLvlStrCache>
              <c:extLst/>
            </c:multiLvlStrRef>
          </c:cat>
          <c:val>
            <c:numRef>
              <c:f>Sheet1!$I$2:$I$16</c:f>
              <c:numCache>
                <c:formatCode>0</c:formatCode>
                <c:ptCount val="15"/>
                <c:pt idx="0">
                  <c:v>92.20779220779221</c:v>
                </c:pt>
                <c:pt idx="1">
                  <c:v>92.20779220779221</c:v>
                </c:pt>
                <c:pt idx="2">
                  <c:v>50.649350649350644</c:v>
                </c:pt>
                <c:pt idx="3">
                  <c:v>7.7922077922077921</c:v>
                </c:pt>
                <c:pt idx="4">
                  <c:v>6.4935064935064926</c:v>
                </c:pt>
                <c:pt idx="5">
                  <c:v>5.1948051948051948</c:v>
                </c:pt>
                <c:pt idx="6">
                  <c:v>33.766233766233768</c:v>
                </c:pt>
                <c:pt idx="7">
                  <c:v>41.558441558441558</c:v>
                </c:pt>
                <c:pt idx="8">
                  <c:v>18.181818181818183</c:v>
                </c:pt>
                <c:pt idx="9">
                  <c:v>63.636363636363633</c:v>
                </c:pt>
                <c:pt idx="10">
                  <c:v>66.233766233766232</c:v>
                </c:pt>
                <c:pt idx="11">
                  <c:v>24.675324675324674</c:v>
                </c:pt>
                <c:pt idx="12">
                  <c:v>94.805194805194802</c:v>
                </c:pt>
                <c:pt idx="13">
                  <c:v>96.103896103896105</c:v>
                </c:pt>
                <c:pt idx="14">
                  <c:v>55.844155844155843</c:v>
                </c:pt>
              </c:numCache>
              <c:extLst/>
            </c:numRef>
          </c:val>
          <c:extLst>
            <c:ext xmlns:c16="http://schemas.microsoft.com/office/drawing/2014/chart" uri="{C3380CC4-5D6E-409C-BE32-E72D297353CC}">
              <c16:uniqueId val="{00000004-4150-45A4-AD1B-5871749411AB}"/>
            </c:ext>
          </c:extLst>
        </c:ser>
        <c:ser>
          <c:idx val="6"/>
          <c:order val="6"/>
          <c:tx>
            <c:strRef>
              <c:f>Sheet1!$J$1</c:f>
              <c:strCache>
                <c:ptCount val="1"/>
                <c:pt idx="0">
                  <c:v>2023/2024</c:v>
                </c:pt>
              </c:strCache>
            </c:strRef>
          </c:tx>
          <c:spPr>
            <a:solidFill>
              <a:schemeClr val="accent1">
                <a:lumMod val="60000"/>
              </a:schemeClr>
            </a:solidFill>
            <a:ln>
              <a:noFill/>
            </a:ln>
            <a:effectLst/>
          </c:spPr>
          <c:invertIfNegative val="0"/>
          <c:cat>
            <c:multiLvlStrRef>
              <c:f>Sheet1!$A$2:$C$16</c:f>
              <c:multiLvlStrCache>
                <c:ptCount val="15"/>
                <c:lvl>
                  <c:pt idx="0">
                    <c:v>Basis</c:v>
                  </c:pt>
                  <c:pt idx="1">
                    <c:v>Kader</c:v>
                  </c:pt>
                  <c:pt idx="2">
                    <c:v>Gemengd</c:v>
                  </c:pt>
                  <c:pt idx="3">
                    <c:v>Basis</c:v>
                  </c:pt>
                  <c:pt idx="4">
                    <c:v>Kader</c:v>
                  </c:pt>
                  <c:pt idx="5">
                    <c:v>Gemengd</c:v>
                  </c:pt>
                  <c:pt idx="6">
                    <c:v>Basis</c:v>
                  </c:pt>
                  <c:pt idx="7">
                    <c:v>Kader</c:v>
                  </c:pt>
                  <c:pt idx="8">
                    <c:v>Gemengd</c:v>
                  </c:pt>
                  <c:pt idx="9">
                    <c:v>Basis</c:v>
                  </c:pt>
                  <c:pt idx="10">
                    <c:v>Kader</c:v>
                  </c:pt>
                  <c:pt idx="11">
                    <c:v>Gemengd</c:v>
                  </c:pt>
                  <c:pt idx="12">
                    <c:v>Basis</c:v>
                  </c:pt>
                  <c:pt idx="13">
                    <c:v>Kader</c:v>
                  </c:pt>
                  <c:pt idx="14">
                    <c:v>Gemengd</c:v>
                  </c:pt>
                </c:lvl>
                <c:lvl>
                  <c:pt idx="0">
                    <c:v>BWI</c:v>
                  </c:pt>
                  <c:pt idx="3">
                    <c:v>MaT</c:v>
                  </c:pt>
                  <c:pt idx="6">
                    <c:v>MVI</c:v>
                  </c:pt>
                  <c:pt idx="9">
                    <c:v>M&amp;T</c:v>
                  </c:pt>
                  <c:pt idx="12">
                    <c:v>PIE</c:v>
                  </c:pt>
                </c:lvl>
                <c:lvl>
                  <c:pt idx="0">
                    <c:v>techniek</c:v>
                  </c:pt>
                </c:lvl>
              </c:multiLvlStrCache>
              <c:extLst/>
            </c:multiLvlStrRef>
          </c:cat>
          <c:val>
            <c:numRef>
              <c:f>Sheet1!$J$2:$J$16</c:f>
              <c:numCache>
                <c:formatCode>0</c:formatCode>
                <c:ptCount val="15"/>
                <c:pt idx="0">
                  <c:v>89.610389610389603</c:v>
                </c:pt>
                <c:pt idx="1">
                  <c:v>90.909090909090907</c:v>
                </c:pt>
                <c:pt idx="2">
                  <c:v>49.350649350649348</c:v>
                </c:pt>
                <c:pt idx="3">
                  <c:v>6.4935064935064926</c:v>
                </c:pt>
                <c:pt idx="4">
                  <c:v>6.4935064935064926</c:v>
                </c:pt>
                <c:pt idx="5">
                  <c:v>5.1948051948051948</c:v>
                </c:pt>
                <c:pt idx="6">
                  <c:v>36.363636363636367</c:v>
                </c:pt>
                <c:pt idx="7">
                  <c:v>42.857142857142854</c:v>
                </c:pt>
                <c:pt idx="8">
                  <c:v>16.883116883116884</c:v>
                </c:pt>
                <c:pt idx="9">
                  <c:v>62.337662337662337</c:v>
                </c:pt>
                <c:pt idx="10">
                  <c:v>63.636363636363633</c:v>
                </c:pt>
                <c:pt idx="11">
                  <c:v>22.077922077922079</c:v>
                </c:pt>
                <c:pt idx="12">
                  <c:v>96.103896103896105</c:v>
                </c:pt>
                <c:pt idx="13">
                  <c:v>96.103896103896105</c:v>
                </c:pt>
                <c:pt idx="14">
                  <c:v>57.142857142857139</c:v>
                </c:pt>
              </c:numCache>
              <c:extLst/>
            </c:numRef>
          </c:val>
          <c:extLst>
            <c:ext xmlns:c16="http://schemas.microsoft.com/office/drawing/2014/chart" uri="{C3380CC4-5D6E-409C-BE32-E72D297353CC}">
              <c16:uniqueId val="{00000005-4150-45A4-AD1B-5871749411AB}"/>
            </c:ext>
          </c:extLst>
        </c:ser>
        <c:dLbls>
          <c:showLegendKey val="0"/>
          <c:showVal val="0"/>
          <c:showCatName val="0"/>
          <c:showSerName val="0"/>
          <c:showPercent val="0"/>
          <c:showBubbleSize val="0"/>
        </c:dLbls>
        <c:gapWidth val="219"/>
        <c:overlap val="-27"/>
        <c:axId val="359741456"/>
        <c:axId val="359742536"/>
        <c:extLst>
          <c:ext xmlns:c15="http://schemas.microsoft.com/office/drawing/2012/chart" uri="{02D57815-91ED-43cb-92C2-25804820EDAC}">
            <c15:filteredBarSeries>
              <c15:ser>
                <c:idx val="0"/>
                <c:order val="0"/>
                <c:tx>
                  <c:strRef>
                    <c:extLst>
                      <c:ext uri="{02D57815-91ED-43cb-92C2-25804820EDAC}">
                        <c15:formulaRef>
                          <c15:sqref>Sheet1!$D$1</c15:sqref>
                        </c15:formulaRef>
                      </c:ext>
                    </c:extLst>
                    <c:strCache>
                      <c:ptCount val="1"/>
                      <c:pt idx="0">
                        <c:v>2017/2018</c:v>
                      </c:pt>
                    </c:strCache>
                  </c:strRef>
                </c:tx>
                <c:spPr>
                  <a:solidFill>
                    <a:schemeClr val="accent1"/>
                  </a:solidFill>
                  <a:ln>
                    <a:noFill/>
                  </a:ln>
                  <a:effectLst/>
                </c:spPr>
                <c:invertIfNegative val="0"/>
                <c:cat>
                  <c:multiLvlStrRef>
                    <c:extLst>
                      <c:ext uri="{02D57815-91ED-43cb-92C2-25804820EDAC}">
                        <c15:formulaRef>
                          <c15:sqref>Sheet1!$A$2:$C$16</c15:sqref>
                        </c15:formulaRef>
                      </c:ext>
                    </c:extLst>
                    <c:multiLvlStrCache>
                      <c:ptCount val="15"/>
                      <c:lvl>
                        <c:pt idx="0">
                          <c:v>Basis</c:v>
                        </c:pt>
                        <c:pt idx="1">
                          <c:v>Kader</c:v>
                        </c:pt>
                        <c:pt idx="2">
                          <c:v>Gemengd</c:v>
                        </c:pt>
                        <c:pt idx="3">
                          <c:v>Basis</c:v>
                        </c:pt>
                        <c:pt idx="4">
                          <c:v>Kader</c:v>
                        </c:pt>
                        <c:pt idx="5">
                          <c:v>Gemengd</c:v>
                        </c:pt>
                        <c:pt idx="6">
                          <c:v>Basis</c:v>
                        </c:pt>
                        <c:pt idx="7">
                          <c:v>Kader</c:v>
                        </c:pt>
                        <c:pt idx="8">
                          <c:v>Gemengd</c:v>
                        </c:pt>
                        <c:pt idx="9">
                          <c:v>Basis</c:v>
                        </c:pt>
                        <c:pt idx="10">
                          <c:v>Kader</c:v>
                        </c:pt>
                        <c:pt idx="11">
                          <c:v>Gemengd</c:v>
                        </c:pt>
                        <c:pt idx="12">
                          <c:v>Basis</c:v>
                        </c:pt>
                        <c:pt idx="13">
                          <c:v>Kader</c:v>
                        </c:pt>
                        <c:pt idx="14">
                          <c:v>Gemengd</c:v>
                        </c:pt>
                      </c:lvl>
                      <c:lvl>
                        <c:pt idx="0">
                          <c:v>BWI</c:v>
                        </c:pt>
                        <c:pt idx="3">
                          <c:v>MaT</c:v>
                        </c:pt>
                        <c:pt idx="6">
                          <c:v>MVI</c:v>
                        </c:pt>
                        <c:pt idx="9">
                          <c:v>M&amp;T</c:v>
                        </c:pt>
                        <c:pt idx="12">
                          <c:v>PIE</c:v>
                        </c:pt>
                      </c:lvl>
                      <c:lvl>
                        <c:pt idx="0">
                          <c:v>techniek</c:v>
                        </c:pt>
                      </c:lvl>
                    </c:multiLvlStrCache>
                  </c:multiLvlStrRef>
                </c:cat>
                <c:val>
                  <c:numRef>
                    <c:extLst>
                      <c:ext uri="{02D57815-91ED-43cb-92C2-25804820EDAC}">
                        <c15:formulaRef>
                          <c15:sqref>Sheet1!$D$2:$D$16</c15:sqref>
                        </c15:formulaRef>
                      </c:ext>
                    </c:extLst>
                    <c:numCache>
                      <c:formatCode>0</c:formatCode>
                      <c:ptCount val="15"/>
                      <c:pt idx="0">
                        <c:v>89.610389610389603</c:v>
                      </c:pt>
                      <c:pt idx="1">
                        <c:v>89.610389610389603</c:v>
                      </c:pt>
                      <c:pt idx="2">
                        <c:v>38.961038961038966</c:v>
                      </c:pt>
                      <c:pt idx="3">
                        <c:v>6.4935064935064926</c:v>
                      </c:pt>
                      <c:pt idx="4">
                        <c:v>5.1948051948051948</c:v>
                      </c:pt>
                      <c:pt idx="5">
                        <c:v>3.8961038961038961</c:v>
                      </c:pt>
                      <c:pt idx="6">
                        <c:v>35.064935064935064</c:v>
                      </c:pt>
                      <c:pt idx="7">
                        <c:v>40.259740259740262</c:v>
                      </c:pt>
                      <c:pt idx="8">
                        <c:v>12.987012987012985</c:v>
                      </c:pt>
                      <c:pt idx="9">
                        <c:v>75.324675324675326</c:v>
                      </c:pt>
                      <c:pt idx="10">
                        <c:v>75.324675324675326</c:v>
                      </c:pt>
                      <c:pt idx="11">
                        <c:v>20.779220779220779</c:v>
                      </c:pt>
                      <c:pt idx="12">
                        <c:v>94.805194805194802</c:v>
                      </c:pt>
                      <c:pt idx="13">
                        <c:v>94.805194805194802</c:v>
                      </c:pt>
                      <c:pt idx="14">
                        <c:v>49.350649350649348</c:v>
                      </c:pt>
                    </c:numCache>
                  </c:numRef>
                </c:val>
                <c:extLst>
                  <c:ext xmlns:c16="http://schemas.microsoft.com/office/drawing/2014/chart" uri="{C3380CC4-5D6E-409C-BE32-E72D297353CC}">
                    <c16:uniqueId val="{00000006-4150-45A4-AD1B-5871749411AB}"/>
                  </c:ext>
                </c:extLst>
              </c15:ser>
            </c15:filteredBarSeries>
          </c:ext>
        </c:extLst>
      </c:barChart>
      <c:catAx>
        <c:axId val="35974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59742536"/>
        <c:crosses val="autoZero"/>
        <c:auto val="1"/>
        <c:lblAlgn val="ctr"/>
        <c:lblOffset val="100"/>
        <c:noMultiLvlLbl val="0"/>
      </c:catAx>
      <c:valAx>
        <c:axId val="35974253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5974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910444653796707E-2"/>
          <c:y val="6.911473514836472E-2"/>
          <c:w val="0.89846559827614025"/>
          <c:h val="0.81397307778756922"/>
        </c:manualLayout>
      </c:layout>
      <c:barChart>
        <c:barDir val="col"/>
        <c:grouping val="clustered"/>
        <c:varyColors val="0"/>
        <c:ser>
          <c:idx val="0"/>
          <c:order val="0"/>
          <c:tx>
            <c:strRef>
              <c:f>aantallen!$B$1</c:f>
              <c:strCache>
                <c:ptCount val="1"/>
                <c:pt idx="0">
                  <c:v>2017/18</c:v>
                </c:pt>
              </c:strCache>
            </c:strRef>
          </c:tx>
          <c:spPr>
            <a:solidFill>
              <a:schemeClr val="accent1"/>
            </a:solidFill>
            <a:ln>
              <a:noFill/>
            </a:ln>
            <a:effectLst/>
          </c:spPr>
          <c:invertIfNegative val="0"/>
          <c:dLbls>
            <c:delete val="1"/>
          </c:dLbls>
          <c:cat>
            <c:strRef>
              <c:f>aantallen!$A$2:$A$7</c:f>
              <c:strCache>
                <c:ptCount val="6"/>
                <c:pt idx="0">
                  <c:v>BWI</c:v>
                </c:pt>
                <c:pt idx="1">
                  <c:v>PIE</c:v>
                </c:pt>
                <c:pt idx="2">
                  <c:v>M&amp;T</c:v>
                </c:pt>
                <c:pt idx="3">
                  <c:v>MVI</c:v>
                </c:pt>
                <c:pt idx="4">
                  <c:v>MaT</c:v>
                </c:pt>
                <c:pt idx="5">
                  <c:v>Totaal</c:v>
                </c:pt>
              </c:strCache>
            </c:strRef>
          </c:cat>
          <c:val>
            <c:numRef>
              <c:f>aantallen!$B$2:$B$7</c:f>
              <c:numCache>
                <c:formatCode>#,##0</c:formatCode>
                <c:ptCount val="6"/>
                <c:pt idx="0">
                  <c:v>471</c:v>
                </c:pt>
                <c:pt idx="1">
                  <c:v>629</c:v>
                </c:pt>
                <c:pt idx="2">
                  <c:v>216</c:v>
                </c:pt>
                <c:pt idx="3">
                  <c:v>270</c:v>
                </c:pt>
                <c:pt idx="4">
                  <c:v>36</c:v>
                </c:pt>
                <c:pt idx="5">
                  <c:v>1489</c:v>
                </c:pt>
              </c:numCache>
            </c:numRef>
          </c:val>
          <c:extLst>
            <c:ext xmlns:c16="http://schemas.microsoft.com/office/drawing/2014/chart" uri="{C3380CC4-5D6E-409C-BE32-E72D297353CC}">
              <c16:uniqueId val="{00000000-E8F9-4793-BA64-4392BF2D1B32}"/>
            </c:ext>
          </c:extLst>
        </c:ser>
        <c:ser>
          <c:idx val="1"/>
          <c:order val="1"/>
          <c:tx>
            <c:strRef>
              <c:f>aantallen!$C$1</c:f>
              <c:strCache>
                <c:ptCount val="1"/>
                <c:pt idx="0">
                  <c:v>2018/19</c:v>
                </c:pt>
              </c:strCache>
            </c:strRef>
          </c:tx>
          <c:spPr>
            <a:solidFill>
              <a:schemeClr val="accent2"/>
            </a:solidFill>
            <a:ln>
              <a:noFill/>
            </a:ln>
            <a:effectLst/>
          </c:spPr>
          <c:invertIfNegative val="0"/>
          <c:dLbls>
            <c:dLbl>
              <c:idx val="0"/>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8F9-4793-BA64-4392BF2D1B32}"/>
                </c:ext>
              </c:extLst>
            </c:dLbl>
            <c:dLbl>
              <c:idx val="1"/>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8F9-4793-BA64-4392BF2D1B32}"/>
                </c:ext>
              </c:extLst>
            </c:dLbl>
            <c:dLbl>
              <c:idx val="2"/>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8F9-4793-BA64-4392BF2D1B32}"/>
                </c:ext>
              </c:extLst>
            </c:dLbl>
            <c:dLbl>
              <c:idx val="3"/>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8F9-4793-BA64-4392BF2D1B32}"/>
                </c:ext>
              </c:extLst>
            </c:dLbl>
            <c:dLbl>
              <c:idx val="4"/>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8F9-4793-BA64-4392BF2D1B32}"/>
                </c:ext>
              </c:extLst>
            </c:dLbl>
            <c:dLbl>
              <c:idx val="5"/>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8F9-4793-BA64-4392BF2D1B3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aantallen!$A$2:$A$7</c:f>
              <c:strCache>
                <c:ptCount val="6"/>
                <c:pt idx="0">
                  <c:v>BWI</c:v>
                </c:pt>
                <c:pt idx="1">
                  <c:v>PIE</c:v>
                </c:pt>
                <c:pt idx="2">
                  <c:v>M&amp;T</c:v>
                </c:pt>
                <c:pt idx="3">
                  <c:v>MVI</c:v>
                </c:pt>
                <c:pt idx="4">
                  <c:v>MaT</c:v>
                </c:pt>
                <c:pt idx="5">
                  <c:v>Totaal</c:v>
                </c:pt>
              </c:strCache>
            </c:strRef>
          </c:cat>
          <c:val>
            <c:numRef>
              <c:f>aantallen!$C$2:$C$7</c:f>
              <c:numCache>
                <c:formatCode>#,##0</c:formatCode>
                <c:ptCount val="6"/>
                <c:pt idx="0">
                  <c:v>489</c:v>
                </c:pt>
                <c:pt idx="1">
                  <c:v>637</c:v>
                </c:pt>
                <c:pt idx="2">
                  <c:v>201</c:v>
                </c:pt>
                <c:pt idx="3">
                  <c:v>250</c:v>
                </c:pt>
                <c:pt idx="4">
                  <c:v>35</c:v>
                </c:pt>
                <c:pt idx="5">
                  <c:v>1475</c:v>
                </c:pt>
              </c:numCache>
            </c:numRef>
          </c:val>
          <c:extLst>
            <c:ext xmlns:c16="http://schemas.microsoft.com/office/drawing/2014/chart" uri="{C3380CC4-5D6E-409C-BE32-E72D297353CC}">
              <c16:uniqueId val="{00000007-E8F9-4793-BA64-4392BF2D1B32}"/>
            </c:ext>
          </c:extLst>
        </c:ser>
        <c:ser>
          <c:idx val="2"/>
          <c:order val="2"/>
          <c:tx>
            <c:strRef>
              <c:f>aantallen!$D$1</c:f>
              <c:strCache>
                <c:ptCount val="1"/>
                <c:pt idx="0">
                  <c:v>2019/20</c:v>
                </c:pt>
              </c:strCache>
            </c:strRef>
          </c:tx>
          <c:spPr>
            <a:solidFill>
              <a:schemeClr val="accent3"/>
            </a:solidFill>
            <a:ln>
              <a:noFill/>
            </a:ln>
            <a:effectLst/>
          </c:spPr>
          <c:invertIfNegative val="0"/>
          <c:dLbls>
            <c:dLbl>
              <c:idx val="0"/>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8F9-4793-BA64-4392BF2D1B32}"/>
                </c:ext>
              </c:extLst>
            </c:dLbl>
            <c:dLbl>
              <c:idx val="1"/>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8F9-4793-BA64-4392BF2D1B32}"/>
                </c:ext>
              </c:extLst>
            </c:dLbl>
            <c:dLbl>
              <c:idx val="2"/>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E8F9-4793-BA64-4392BF2D1B32}"/>
                </c:ext>
              </c:extLst>
            </c:dLbl>
            <c:dLbl>
              <c:idx val="3"/>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E8F9-4793-BA64-4392BF2D1B32}"/>
                </c:ext>
              </c:extLst>
            </c:dLbl>
            <c:dLbl>
              <c:idx val="4"/>
              <c:tx>
                <c:rich>
                  <a:bodyPr/>
                  <a:lstStyle/>
                  <a:p>
                    <a:r>
                      <a:rPr lang="en-US"/>
                      <a:t>-37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E8F9-4793-BA64-4392BF2D1B32}"/>
                </c:ext>
              </c:extLst>
            </c:dLbl>
            <c:dLbl>
              <c:idx val="5"/>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E8F9-4793-BA64-4392BF2D1B3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aantallen!$A$2:$A$7</c:f>
              <c:strCache>
                <c:ptCount val="6"/>
                <c:pt idx="0">
                  <c:v>BWI</c:v>
                </c:pt>
                <c:pt idx="1">
                  <c:v>PIE</c:v>
                </c:pt>
                <c:pt idx="2">
                  <c:v>M&amp;T</c:v>
                </c:pt>
                <c:pt idx="3">
                  <c:v>MVI</c:v>
                </c:pt>
                <c:pt idx="4">
                  <c:v>MaT</c:v>
                </c:pt>
                <c:pt idx="5">
                  <c:v>Totaal</c:v>
                </c:pt>
              </c:strCache>
            </c:strRef>
          </c:cat>
          <c:val>
            <c:numRef>
              <c:f>aantallen!$D$2:$D$7</c:f>
              <c:numCache>
                <c:formatCode>#,##0</c:formatCode>
                <c:ptCount val="6"/>
                <c:pt idx="0">
                  <c:v>519</c:v>
                </c:pt>
                <c:pt idx="1">
                  <c:v>663</c:v>
                </c:pt>
                <c:pt idx="2">
                  <c:v>205</c:v>
                </c:pt>
                <c:pt idx="3">
                  <c:v>272</c:v>
                </c:pt>
                <c:pt idx="4">
                  <c:v>22</c:v>
                </c:pt>
                <c:pt idx="5">
                  <c:v>1542</c:v>
                </c:pt>
              </c:numCache>
            </c:numRef>
          </c:val>
          <c:extLst>
            <c:ext xmlns:c16="http://schemas.microsoft.com/office/drawing/2014/chart" uri="{C3380CC4-5D6E-409C-BE32-E72D297353CC}">
              <c16:uniqueId val="{0000000E-E8F9-4793-BA64-4392BF2D1B32}"/>
            </c:ext>
          </c:extLst>
        </c:ser>
        <c:ser>
          <c:idx val="3"/>
          <c:order val="3"/>
          <c:tx>
            <c:strRef>
              <c:f>aantallen!$E$1</c:f>
              <c:strCache>
                <c:ptCount val="1"/>
                <c:pt idx="0">
                  <c:v>2020/21</c:v>
                </c:pt>
              </c:strCache>
            </c:strRef>
          </c:tx>
          <c:spPr>
            <a:solidFill>
              <a:schemeClr val="accent4"/>
            </a:solidFill>
            <a:ln>
              <a:noFill/>
            </a:ln>
            <a:effectLst/>
          </c:spPr>
          <c:invertIfNegative val="0"/>
          <c:dLbls>
            <c:dLbl>
              <c:idx val="0"/>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E8F9-4793-BA64-4392BF2D1B32}"/>
                </c:ext>
              </c:extLst>
            </c:dLbl>
            <c:dLbl>
              <c:idx val="1"/>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E8F9-4793-BA64-4392BF2D1B32}"/>
                </c:ext>
              </c:extLst>
            </c:dLbl>
            <c:dLbl>
              <c:idx val="2"/>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E8F9-4793-BA64-4392BF2D1B32}"/>
                </c:ext>
              </c:extLst>
            </c:dLbl>
            <c:dLbl>
              <c:idx val="3"/>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E8F9-4793-BA64-4392BF2D1B32}"/>
                </c:ext>
              </c:extLst>
            </c:dLbl>
            <c:dLbl>
              <c:idx val="4"/>
              <c:tx>
                <c:rich>
                  <a:bodyPr/>
                  <a:lstStyle/>
                  <a:p>
                    <a:r>
                      <a:rPr lang="en-US"/>
                      <a:t>+32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E8F9-4793-BA64-4392BF2D1B32}"/>
                </c:ext>
              </c:extLst>
            </c:dLbl>
            <c:dLbl>
              <c:idx val="5"/>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E8F9-4793-BA64-4392BF2D1B3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aantallen!$A$2:$A$7</c:f>
              <c:strCache>
                <c:ptCount val="6"/>
                <c:pt idx="0">
                  <c:v>BWI</c:v>
                </c:pt>
                <c:pt idx="1">
                  <c:v>PIE</c:v>
                </c:pt>
                <c:pt idx="2">
                  <c:v>M&amp;T</c:v>
                </c:pt>
                <c:pt idx="3">
                  <c:v>MVI</c:v>
                </c:pt>
                <c:pt idx="4">
                  <c:v>MaT</c:v>
                </c:pt>
                <c:pt idx="5">
                  <c:v>Totaal</c:v>
                </c:pt>
              </c:strCache>
            </c:strRef>
          </c:cat>
          <c:val>
            <c:numRef>
              <c:f>aantallen!$E$2:$E$7</c:f>
              <c:numCache>
                <c:formatCode>#,##0</c:formatCode>
                <c:ptCount val="6"/>
                <c:pt idx="0">
                  <c:v>522</c:v>
                </c:pt>
                <c:pt idx="1">
                  <c:v>613</c:v>
                </c:pt>
                <c:pt idx="2">
                  <c:v>208</c:v>
                </c:pt>
                <c:pt idx="3">
                  <c:v>287</c:v>
                </c:pt>
                <c:pt idx="4">
                  <c:v>29</c:v>
                </c:pt>
                <c:pt idx="5">
                  <c:v>1525</c:v>
                </c:pt>
              </c:numCache>
            </c:numRef>
          </c:val>
          <c:extLst>
            <c:ext xmlns:c16="http://schemas.microsoft.com/office/drawing/2014/chart" uri="{C3380CC4-5D6E-409C-BE32-E72D297353CC}">
              <c16:uniqueId val="{00000015-E8F9-4793-BA64-4392BF2D1B32}"/>
            </c:ext>
          </c:extLst>
        </c:ser>
        <c:ser>
          <c:idx val="4"/>
          <c:order val="4"/>
          <c:tx>
            <c:strRef>
              <c:f>aantallen!$F$1</c:f>
              <c:strCache>
                <c:ptCount val="1"/>
                <c:pt idx="0">
                  <c:v>2021/22</c:v>
                </c:pt>
              </c:strCache>
            </c:strRef>
          </c:tx>
          <c:spPr>
            <a:solidFill>
              <a:schemeClr val="accent5"/>
            </a:solidFill>
            <a:ln>
              <a:noFill/>
            </a:ln>
            <a:effectLst/>
          </c:spPr>
          <c:invertIfNegative val="0"/>
          <c:dLbls>
            <c:dLbl>
              <c:idx val="0"/>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E8F9-4793-BA64-4392BF2D1B32}"/>
                </c:ext>
              </c:extLst>
            </c:dLbl>
            <c:dLbl>
              <c:idx val="1"/>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E8F9-4793-BA64-4392BF2D1B32}"/>
                </c:ext>
              </c:extLst>
            </c:dLbl>
            <c:dLbl>
              <c:idx val="2"/>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E8F9-4793-BA64-4392BF2D1B32}"/>
                </c:ext>
              </c:extLst>
            </c:dLbl>
            <c:dLbl>
              <c:idx val="3"/>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E8F9-4793-BA64-4392BF2D1B32}"/>
                </c:ext>
              </c:extLst>
            </c:dLbl>
            <c:dLbl>
              <c:idx val="4"/>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E8F9-4793-BA64-4392BF2D1B32}"/>
                </c:ext>
              </c:extLst>
            </c:dLbl>
            <c:dLbl>
              <c:idx val="5"/>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E8F9-4793-BA64-4392BF2D1B3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aantallen!$A$2:$A$7</c:f>
              <c:strCache>
                <c:ptCount val="6"/>
                <c:pt idx="0">
                  <c:v>BWI</c:v>
                </c:pt>
                <c:pt idx="1">
                  <c:v>PIE</c:v>
                </c:pt>
                <c:pt idx="2">
                  <c:v>M&amp;T</c:v>
                </c:pt>
                <c:pt idx="3">
                  <c:v>MVI</c:v>
                </c:pt>
                <c:pt idx="4">
                  <c:v>MaT</c:v>
                </c:pt>
                <c:pt idx="5">
                  <c:v>Totaal</c:v>
                </c:pt>
              </c:strCache>
            </c:strRef>
          </c:cat>
          <c:val>
            <c:numRef>
              <c:f>aantallen!$F$2:$F$7</c:f>
              <c:numCache>
                <c:formatCode>#,##0</c:formatCode>
                <c:ptCount val="6"/>
                <c:pt idx="0">
                  <c:v>540</c:v>
                </c:pt>
                <c:pt idx="1">
                  <c:v>619</c:v>
                </c:pt>
                <c:pt idx="2">
                  <c:v>223</c:v>
                </c:pt>
                <c:pt idx="3">
                  <c:v>292</c:v>
                </c:pt>
                <c:pt idx="4">
                  <c:v>27</c:v>
                </c:pt>
                <c:pt idx="5">
                  <c:v>1563</c:v>
                </c:pt>
              </c:numCache>
            </c:numRef>
          </c:val>
          <c:extLst>
            <c:ext xmlns:c16="http://schemas.microsoft.com/office/drawing/2014/chart" uri="{C3380CC4-5D6E-409C-BE32-E72D297353CC}">
              <c16:uniqueId val="{0000001C-E8F9-4793-BA64-4392BF2D1B32}"/>
            </c:ext>
          </c:extLst>
        </c:ser>
        <c:ser>
          <c:idx val="5"/>
          <c:order val="5"/>
          <c:tx>
            <c:strRef>
              <c:f>aantallen!$G$1</c:f>
              <c:strCache>
                <c:ptCount val="1"/>
                <c:pt idx="0">
                  <c:v>2022/23</c:v>
                </c:pt>
              </c:strCache>
            </c:strRef>
          </c:tx>
          <c:spPr>
            <a:solidFill>
              <a:schemeClr val="accent6"/>
            </a:solidFill>
            <a:ln>
              <a:noFill/>
            </a:ln>
            <a:effectLst/>
          </c:spPr>
          <c:invertIfNegative val="0"/>
          <c:dLbls>
            <c:dLbl>
              <c:idx val="0"/>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E8F9-4793-BA64-4392BF2D1B32}"/>
                </c:ext>
              </c:extLst>
            </c:dLbl>
            <c:dLbl>
              <c:idx val="1"/>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E8F9-4793-BA64-4392BF2D1B32}"/>
                </c:ext>
              </c:extLst>
            </c:dLbl>
            <c:dLbl>
              <c:idx val="2"/>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E8F9-4793-BA64-4392BF2D1B32}"/>
                </c:ext>
              </c:extLst>
            </c:dLbl>
            <c:dLbl>
              <c:idx val="3"/>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E8F9-4793-BA64-4392BF2D1B32}"/>
                </c:ext>
              </c:extLst>
            </c:dLbl>
            <c:dLbl>
              <c:idx val="4"/>
              <c:tx>
                <c:rich>
                  <a:bodyPr/>
                  <a:lstStyle/>
                  <a:p>
                    <a:r>
                      <a:rPr lang="en-US"/>
                      <a:t>-41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E8F9-4793-BA64-4392BF2D1B32}"/>
                </c:ext>
              </c:extLst>
            </c:dLbl>
            <c:dLbl>
              <c:idx val="5"/>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E8F9-4793-BA64-4392BF2D1B3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aantallen!$A$2:$A$7</c:f>
              <c:strCache>
                <c:ptCount val="6"/>
                <c:pt idx="0">
                  <c:v>BWI</c:v>
                </c:pt>
                <c:pt idx="1">
                  <c:v>PIE</c:v>
                </c:pt>
                <c:pt idx="2">
                  <c:v>M&amp;T</c:v>
                </c:pt>
                <c:pt idx="3">
                  <c:v>MVI</c:v>
                </c:pt>
                <c:pt idx="4">
                  <c:v>MaT</c:v>
                </c:pt>
                <c:pt idx="5">
                  <c:v>Totaal</c:v>
                </c:pt>
              </c:strCache>
            </c:strRef>
          </c:cat>
          <c:val>
            <c:numRef>
              <c:f>aantallen!$G$2:$G$7</c:f>
              <c:numCache>
                <c:formatCode>#,##0</c:formatCode>
                <c:ptCount val="6"/>
                <c:pt idx="0">
                  <c:v>558</c:v>
                </c:pt>
                <c:pt idx="1">
                  <c:v>632</c:v>
                </c:pt>
                <c:pt idx="2">
                  <c:v>228</c:v>
                </c:pt>
                <c:pt idx="3">
                  <c:v>293</c:v>
                </c:pt>
                <c:pt idx="4">
                  <c:v>16</c:v>
                </c:pt>
                <c:pt idx="5">
                  <c:v>1592</c:v>
                </c:pt>
              </c:numCache>
            </c:numRef>
          </c:val>
          <c:extLst>
            <c:ext xmlns:c16="http://schemas.microsoft.com/office/drawing/2014/chart" uri="{C3380CC4-5D6E-409C-BE32-E72D297353CC}">
              <c16:uniqueId val="{00000023-E8F9-4793-BA64-4392BF2D1B32}"/>
            </c:ext>
          </c:extLst>
        </c:ser>
        <c:dLbls>
          <c:showLegendKey val="0"/>
          <c:showVal val="1"/>
          <c:showCatName val="0"/>
          <c:showSerName val="0"/>
          <c:showPercent val="0"/>
          <c:showBubbleSize val="0"/>
        </c:dLbls>
        <c:gapWidth val="219"/>
        <c:overlap val="-20"/>
        <c:axId val="585511455"/>
        <c:axId val="585513119"/>
      </c:barChart>
      <c:catAx>
        <c:axId val="585511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85513119"/>
        <c:crosses val="autoZero"/>
        <c:auto val="1"/>
        <c:lblAlgn val="ctr"/>
        <c:lblOffset val="100"/>
        <c:noMultiLvlLbl val="0"/>
      </c:catAx>
      <c:valAx>
        <c:axId val="5855131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85511455"/>
        <c:crosses val="autoZero"/>
        <c:crossBetween val="between"/>
      </c:valAx>
      <c:spPr>
        <a:noFill/>
        <a:ln>
          <a:noFill/>
        </a:ln>
        <a:effectLst/>
      </c:spPr>
    </c:plotArea>
    <c:legend>
      <c:legendPos val="r"/>
      <c:layout>
        <c:manualLayout>
          <c:xMode val="edge"/>
          <c:yMode val="edge"/>
          <c:x val="0.10162479332247246"/>
          <c:y val="0.14764635398836012"/>
          <c:w val="0.10291247486218101"/>
          <c:h val="0.40711985790678457"/>
        </c:manualLayout>
      </c:layout>
      <c:overlay val="0"/>
      <c:spPr>
        <a:solidFill>
          <a:sysClr val="window" lastClr="FFFFFF"/>
        </a:solidFill>
        <a:ln>
          <a:solidFill>
            <a:sysClr val="windowText" lastClr="00000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910444653796707E-2"/>
          <c:y val="7.0789929928483722E-2"/>
          <c:w val="0.89846559827614025"/>
          <c:h val="0.8367680416094776"/>
        </c:manualLayout>
      </c:layout>
      <c:barChart>
        <c:barDir val="col"/>
        <c:grouping val="clustered"/>
        <c:varyColors val="0"/>
        <c:ser>
          <c:idx val="0"/>
          <c:order val="0"/>
          <c:tx>
            <c:strRef>
              <c:f>fte!$B$1</c:f>
              <c:strCache>
                <c:ptCount val="1"/>
                <c:pt idx="0">
                  <c:v>2017/18</c:v>
                </c:pt>
              </c:strCache>
            </c:strRef>
          </c:tx>
          <c:spPr>
            <a:solidFill>
              <a:schemeClr val="accent1"/>
            </a:solidFill>
            <a:ln>
              <a:noFill/>
            </a:ln>
            <a:effectLst/>
          </c:spPr>
          <c:invertIfNegative val="0"/>
          <c:dLbls>
            <c:delete val="1"/>
          </c:dLbls>
          <c:cat>
            <c:strRef>
              <c:f>fte!$A$2:$A$7</c:f>
              <c:strCache>
                <c:ptCount val="6"/>
                <c:pt idx="0">
                  <c:v>BWI</c:v>
                </c:pt>
                <c:pt idx="1">
                  <c:v>PIE</c:v>
                </c:pt>
                <c:pt idx="2">
                  <c:v>M&amp;T</c:v>
                </c:pt>
                <c:pt idx="3">
                  <c:v>MVI</c:v>
                </c:pt>
                <c:pt idx="4">
                  <c:v>MaT</c:v>
                </c:pt>
                <c:pt idx="5">
                  <c:v>Totaal</c:v>
                </c:pt>
              </c:strCache>
            </c:strRef>
          </c:cat>
          <c:val>
            <c:numRef>
              <c:f>fte!$B$2:$B$7</c:f>
              <c:numCache>
                <c:formatCode>#,##0</c:formatCode>
                <c:ptCount val="6"/>
                <c:pt idx="0">
                  <c:v>287.0274</c:v>
                </c:pt>
                <c:pt idx="1">
                  <c:v>382.3691</c:v>
                </c:pt>
                <c:pt idx="2">
                  <c:v>131.95439999999999</c:v>
                </c:pt>
                <c:pt idx="3">
                  <c:v>108.81</c:v>
                </c:pt>
                <c:pt idx="4">
                  <c:v>22.374000000000002</c:v>
                </c:pt>
                <c:pt idx="5">
                  <c:v>932.5607</c:v>
                </c:pt>
              </c:numCache>
            </c:numRef>
          </c:val>
          <c:extLst>
            <c:ext xmlns:c16="http://schemas.microsoft.com/office/drawing/2014/chart" uri="{C3380CC4-5D6E-409C-BE32-E72D297353CC}">
              <c16:uniqueId val="{00000000-2326-49B2-89DD-E0F7C258E476}"/>
            </c:ext>
          </c:extLst>
        </c:ser>
        <c:ser>
          <c:idx val="1"/>
          <c:order val="1"/>
          <c:tx>
            <c:strRef>
              <c:f>fte!$C$1</c:f>
              <c:strCache>
                <c:ptCount val="1"/>
                <c:pt idx="0">
                  <c:v>2018/19</c:v>
                </c:pt>
              </c:strCache>
            </c:strRef>
          </c:tx>
          <c:spPr>
            <a:solidFill>
              <a:schemeClr val="accent2"/>
            </a:solidFill>
            <a:ln>
              <a:noFill/>
            </a:ln>
            <a:effectLst/>
          </c:spPr>
          <c:invertIfNegative val="0"/>
          <c:dLbls>
            <c:dLbl>
              <c:idx val="0"/>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326-49B2-89DD-E0F7C258E476}"/>
                </c:ext>
              </c:extLst>
            </c:dLbl>
            <c:dLbl>
              <c:idx val="1"/>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326-49B2-89DD-E0F7C258E476}"/>
                </c:ext>
              </c:extLst>
            </c:dLbl>
            <c:dLbl>
              <c:idx val="2"/>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326-49B2-89DD-E0F7C258E476}"/>
                </c:ext>
              </c:extLst>
            </c:dLbl>
            <c:dLbl>
              <c:idx val="3"/>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326-49B2-89DD-E0F7C258E476}"/>
                </c:ext>
              </c:extLst>
            </c:dLbl>
            <c:dLbl>
              <c:idx val="4"/>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326-49B2-89DD-E0F7C258E476}"/>
                </c:ext>
              </c:extLst>
            </c:dLbl>
            <c:dLbl>
              <c:idx val="5"/>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326-49B2-89DD-E0F7C258E47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fte!$A$2:$A$7</c:f>
              <c:strCache>
                <c:ptCount val="6"/>
                <c:pt idx="0">
                  <c:v>BWI</c:v>
                </c:pt>
                <c:pt idx="1">
                  <c:v>PIE</c:v>
                </c:pt>
                <c:pt idx="2">
                  <c:v>M&amp;T</c:v>
                </c:pt>
                <c:pt idx="3">
                  <c:v>MVI</c:v>
                </c:pt>
                <c:pt idx="4">
                  <c:v>MaT</c:v>
                </c:pt>
                <c:pt idx="5">
                  <c:v>Totaal</c:v>
                </c:pt>
              </c:strCache>
            </c:strRef>
          </c:cat>
          <c:val>
            <c:numRef>
              <c:f>fte!$C$2:$C$7</c:f>
              <c:numCache>
                <c:formatCode>0</c:formatCode>
                <c:ptCount val="6"/>
                <c:pt idx="0">
                  <c:v>297.31200000000001</c:v>
                </c:pt>
                <c:pt idx="1">
                  <c:v>403.858</c:v>
                </c:pt>
                <c:pt idx="2">
                  <c:v>125.82599999999999</c:v>
                </c:pt>
                <c:pt idx="3">
                  <c:v>112.25</c:v>
                </c:pt>
                <c:pt idx="4">
                  <c:v>21.84</c:v>
                </c:pt>
                <c:pt idx="5">
                  <c:v>960.22500000000002</c:v>
                </c:pt>
              </c:numCache>
            </c:numRef>
          </c:val>
          <c:extLst>
            <c:ext xmlns:c16="http://schemas.microsoft.com/office/drawing/2014/chart" uri="{C3380CC4-5D6E-409C-BE32-E72D297353CC}">
              <c16:uniqueId val="{00000007-2326-49B2-89DD-E0F7C258E476}"/>
            </c:ext>
          </c:extLst>
        </c:ser>
        <c:ser>
          <c:idx val="2"/>
          <c:order val="2"/>
          <c:tx>
            <c:strRef>
              <c:f>fte!$D$1</c:f>
              <c:strCache>
                <c:ptCount val="1"/>
                <c:pt idx="0">
                  <c:v>2019/20</c:v>
                </c:pt>
              </c:strCache>
            </c:strRef>
          </c:tx>
          <c:spPr>
            <a:solidFill>
              <a:schemeClr val="accent3"/>
            </a:solidFill>
            <a:ln>
              <a:noFill/>
            </a:ln>
            <a:effectLst/>
          </c:spPr>
          <c:invertIfNegative val="0"/>
          <c:dLbls>
            <c:dLbl>
              <c:idx val="0"/>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2326-49B2-89DD-E0F7C258E476}"/>
                </c:ext>
              </c:extLst>
            </c:dLbl>
            <c:dLbl>
              <c:idx val="1"/>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2326-49B2-89DD-E0F7C258E476}"/>
                </c:ext>
              </c:extLst>
            </c:dLbl>
            <c:dLbl>
              <c:idx val="2"/>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2326-49B2-89DD-E0F7C258E476}"/>
                </c:ext>
              </c:extLst>
            </c:dLbl>
            <c:dLbl>
              <c:idx val="3"/>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2326-49B2-89DD-E0F7C258E476}"/>
                </c:ext>
              </c:extLst>
            </c:dLbl>
            <c:dLbl>
              <c:idx val="4"/>
              <c:tx>
                <c:rich>
                  <a:bodyPr/>
                  <a:lstStyle/>
                  <a:p>
                    <a:r>
                      <a:rPr lang="en-US"/>
                      <a:t>-47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2326-49B2-89DD-E0F7C258E476}"/>
                </c:ext>
              </c:extLst>
            </c:dLbl>
            <c:dLbl>
              <c:idx val="5"/>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2326-49B2-89DD-E0F7C258E47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fte!$A$2:$A$7</c:f>
              <c:strCache>
                <c:ptCount val="6"/>
                <c:pt idx="0">
                  <c:v>BWI</c:v>
                </c:pt>
                <c:pt idx="1">
                  <c:v>PIE</c:v>
                </c:pt>
                <c:pt idx="2">
                  <c:v>M&amp;T</c:v>
                </c:pt>
                <c:pt idx="3">
                  <c:v>MVI</c:v>
                </c:pt>
                <c:pt idx="4">
                  <c:v>MaT</c:v>
                </c:pt>
                <c:pt idx="5">
                  <c:v>Totaal</c:v>
                </c:pt>
              </c:strCache>
            </c:strRef>
          </c:cat>
          <c:val>
            <c:numRef>
              <c:f>fte!$D$2:$D$7</c:f>
              <c:numCache>
                <c:formatCode>0</c:formatCode>
                <c:ptCount val="6"/>
                <c:pt idx="0">
                  <c:v>321.77999999999997</c:v>
                </c:pt>
                <c:pt idx="1">
                  <c:v>426.97200000000004</c:v>
                </c:pt>
                <c:pt idx="2">
                  <c:v>132.84</c:v>
                </c:pt>
                <c:pt idx="3">
                  <c:v>123.76</c:v>
                </c:pt>
                <c:pt idx="4">
                  <c:v>11.66</c:v>
                </c:pt>
                <c:pt idx="5">
                  <c:v>1017.72</c:v>
                </c:pt>
              </c:numCache>
            </c:numRef>
          </c:val>
          <c:extLst>
            <c:ext xmlns:c16="http://schemas.microsoft.com/office/drawing/2014/chart" uri="{C3380CC4-5D6E-409C-BE32-E72D297353CC}">
              <c16:uniqueId val="{0000000E-2326-49B2-89DD-E0F7C258E476}"/>
            </c:ext>
          </c:extLst>
        </c:ser>
        <c:ser>
          <c:idx val="3"/>
          <c:order val="3"/>
          <c:tx>
            <c:strRef>
              <c:f>fte!$E$1</c:f>
              <c:strCache>
                <c:ptCount val="1"/>
                <c:pt idx="0">
                  <c:v>2020/21</c:v>
                </c:pt>
              </c:strCache>
            </c:strRef>
          </c:tx>
          <c:spPr>
            <a:solidFill>
              <a:schemeClr val="accent4"/>
            </a:solidFill>
            <a:ln>
              <a:noFill/>
            </a:ln>
            <a:effectLst/>
          </c:spPr>
          <c:invertIfNegative val="0"/>
          <c:dLbls>
            <c:dLbl>
              <c:idx val="0"/>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2326-49B2-89DD-E0F7C258E476}"/>
                </c:ext>
              </c:extLst>
            </c:dLbl>
            <c:dLbl>
              <c:idx val="1"/>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2326-49B2-89DD-E0F7C258E476}"/>
                </c:ext>
              </c:extLst>
            </c:dLbl>
            <c:dLbl>
              <c:idx val="2"/>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2326-49B2-89DD-E0F7C258E476}"/>
                </c:ext>
              </c:extLst>
            </c:dLbl>
            <c:dLbl>
              <c:idx val="3"/>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2326-49B2-89DD-E0F7C258E476}"/>
                </c:ext>
              </c:extLst>
            </c:dLbl>
            <c:dLbl>
              <c:idx val="4"/>
              <c:tx>
                <c:rich>
                  <a:bodyPr/>
                  <a:lstStyle/>
                  <a:p>
                    <a:r>
                      <a:rPr lang="en-US"/>
                      <a:t>+57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2326-49B2-89DD-E0F7C258E476}"/>
                </c:ext>
              </c:extLst>
            </c:dLbl>
            <c:dLbl>
              <c:idx val="5"/>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2326-49B2-89DD-E0F7C258E47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fte!$A$2:$A$7</c:f>
              <c:strCache>
                <c:ptCount val="6"/>
                <c:pt idx="0">
                  <c:v>BWI</c:v>
                </c:pt>
                <c:pt idx="1">
                  <c:v>PIE</c:v>
                </c:pt>
                <c:pt idx="2">
                  <c:v>M&amp;T</c:v>
                </c:pt>
                <c:pt idx="3">
                  <c:v>MVI</c:v>
                </c:pt>
                <c:pt idx="4">
                  <c:v>MaT</c:v>
                </c:pt>
                <c:pt idx="5">
                  <c:v>Totaal</c:v>
                </c:pt>
              </c:strCache>
            </c:strRef>
          </c:cat>
          <c:val>
            <c:numRef>
              <c:f>fte!$E$2:$E$7</c:f>
              <c:numCache>
                <c:formatCode>0</c:formatCode>
                <c:ptCount val="6"/>
                <c:pt idx="0">
                  <c:v>329.904</c:v>
                </c:pt>
                <c:pt idx="1">
                  <c:v>396.61099999999999</c:v>
                </c:pt>
                <c:pt idx="2">
                  <c:v>134.36799999999999</c:v>
                </c:pt>
                <c:pt idx="3">
                  <c:v>130.58500000000001</c:v>
                </c:pt>
                <c:pt idx="4">
                  <c:v>18.356999999999999</c:v>
                </c:pt>
                <c:pt idx="5">
                  <c:v>1009.5500000000001</c:v>
                </c:pt>
              </c:numCache>
            </c:numRef>
          </c:val>
          <c:extLst>
            <c:ext xmlns:c16="http://schemas.microsoft.com/office/drawing/2014/chart" uri="{C3380CC4-5D6E-409C-BE32-E72D297353CC}">
              <c16:uniqueId val="{00000015-2326-49B2-89DD-E0F7C258E476}"/>
            </c:ext>
          </c:extLst>
        </c:ser>
        <c:ser>
          <c:idx val="4"/>
          <c:order val="4"/>
          <c:tx>
            <c:strRef>
              <c:f>fte!$F$1</c:f>
              <c:strCache>
                <c:ptCount val="1"/>
                <c:pt idx="0">
                  <c:v>2021/22</c:v>
                </c:pt>
              </c:strCache>
            </c:strRef>
          </c:tx>
          <c:spPr>
            <a:solidFill>
              <a:schemeClr val="accent5"/>
            </a:solidFill>
            <a:ln>
              <a:noFill/>
            </a:ln>
            <a:effectLst/>
          </c:spPr>
          <c:invertIfNegative val="0"/>
          <c:dLbls>
            <c:dLbl>
              <c:idx val="0"/>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2326-49B2-89DD-E0F7C258E476}"/>
                </c:ext>
              </c:extLst>
            </c:dLbl>
            <c:dLbl>
              <c:idx val="1"/>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2326-49B2-89DD-E0F7C258E476}"/>
                </c:ext>
              </c:extLst>
            </c:dLbl>
            <c:dLbl>
              <c:idx val="2"/>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2326-49B2-89DD-E0F7C258E476}"/>
                </c:ext>
              </c:extLst>
            </c:dLbl>
            <c:dLbl>
              <c:idx val="3"/>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2326-49B2-89DD-E0F7C258E476}"/>
                </c:ext>
              </c:extLst>
            </c:dLbl>
            <c:dLbl>
              <c:idx val="4"/>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2326-49B2-89DD-E0F7C258E476}"/>
                </c:ext>
              </c:extLst>
            </c:dLbl>
            <c:dLbl>
              <c:idx val="5"/>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2326-49B2-89DD-E0F7C258E47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fte!$A$2:$A$7</c:f>
              <c:strCache>
                <c:ptCount val="6"/>
                <c:pt idx="0">
                  <c:v>BWI</c:v>
                </c:pt>
                <c:pt idx="1">
                  <c:v>PIE</c:v>
                </c:pt>
                <c:pt idx="2">
                  <c:v>M&amp;T</c:v>
                </c:pt>
                <c:pt idx="3">
                  <c:v>MVI</c:v>
                </c:pt>
                <c:pt idx="4">
                  <c:v>MaT</c:v>
                </c:pt>
                <c:pt idx="5">
                  <c:v>Totaal</c:v>
                </c:pt>
              </c:strCache>
            </c:strRef>
          </c:cat>
          <c:val>
            <c:numRef>
              <c:f>fte!$F$2:$F$7</c:f>
              <c:numCache>
                <c:formatCode>0</c:formatCode>
                <c:ptCount val="6"/>
                <c:pt idx="0">
                  <c:v>338.16419999999999</c:v>
                </c:pt>
                <c:pt idx="1">
                  <c:v>400.65393999999998</c:v>
                </c:pt>
                <c:pt idx="2">
                  <c:v>137.84968000000001</c:v>
                </c:pt>
                <c:pt idx="3">
                  <c:v>135.11715999999998</c:v>
                </c:pt>
                <c:pt idx="4">
                  <c:v>20.149290000000001</c:v>
                </c:pt>
                <c:pt idx="5">
                  <c:v>1031.93949</c:v>
                </c:pt>
              </c:numCache>
            </c:numRef>
          </c:val>
          <c:extLst>
            <c:ext xmlns:c16="http://schemas.microsoft.com/office/drawing/2014/chart" uri="{C3380CC4-5D6E-409C-BE32-E72D297353CC}">
              <c16:uniqueId val="{0000001C-2326-49B2-89DD-E0F7C258E476}"/>
            </c:ext>
          </c:extLst>
        </c:ser>
        <c:ser>
          <c:idx val="5"/>
          <c:order val="5"/>
          <c:tx>
            <c:strRef>
              <c:f>fte!$G$1</c:f>
              <c:strCache>
                <c:ptCount val="1"/>
                <c:pt idx="0">
                  <c:v>2022/23</c:v>
                </c:pt>
              </c:strCache>
            </c:strRef>
          </c:tx>
          <c:spPr>
            <a:solidFill>
              <a:schemeClr val="accent6"/>
            </a:solidFill>
            <a:ln>
              <a:noFill/>
            </a:ln>
            <a:effectLst/>
          </c:spPr>
          <c:invertIfNegative val="0"/>
          <c:dLbls>
            <c:dLbl>
              <c:idx val="0"/>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2326-49B2-89DD-E0F7C258E476}"/>
                </c:ext>
              </c:extLst>
            </c:dLbl>
            <c:dLbl>
              <c:idx val="1"/>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2326-49B2-89DD-E0F7C258E476}"/>
                </c:ext>
              </c:extLst>
            </c:dLbl>
            <c:dLbl>
              <c:idx val="2"/>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2326-49B2-89DD-E0F7C258E476}"/>
                </c:ext>
              </c:extLst>
            </c:dLbl>
            <c:dLbl>
              <c:idx val="3"/>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2326-49B2-89DD-E0F7C258E476}"/>
                </c:ext>
              </c:extLst>
            </c:dLbl>
            <c:dLbl>
              <c:idx val="4"/>
              <c:tx>
                <c:rich>
                  <a:bodyPr/>
                  <a:lstStyle/>
                  <a:p>
                    <a:r>
                      <a:rPr lang="en-US"/>
                      <a:t>-46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2326-49B2-89DD-E0F7C258E476}"/>
                </c:ext>
              </c:extLst>
            </c:dLbl>
            <c:dLbl>
              <c:idx val="5"/>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2326-49B2-89DD-E0F7C258E47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fte!$A$2:$A$7</c:f>
              <c:strCache>
                <c:ptCount val="6"/>
                <c:pt idx="0">
                  <c:v>BWI</c:v>
                </c:pt>
                <c:pt idx="1">
                  <c:v>PIE</c:v>
                </c:pt>
                <c:pt idx="2">
                  <c:v>M&amp;T</c:v>
                </c:pt>
                <c:pt idx="3">
                  <c:v>MVI</c:v>
                </c:pt>
                <c:pt idx="4">
                  <c:v>MaT</c:v>
                </c:pt>
                <c:pt idx="5">
                  <c:v>Totaal</c:v>
                </c:pt>
              </c:strCache>
            </c:strRef>
          </c:cat>
          <c:val>
            <c:numRef>
              <c:f>fte!$G$2:$G$7</c:f>
              <c:numCache>
                <c:formatCode>0</c:formatCode>
                <c:ptCount val="6"/>
                <c:pt idx="0">
                  <c:v>358.45920000000001</c:v>
                </c:pt>
                <c:pt idx="1">
                  <c:v>412.63280000000003</c:v>
                </c:pt>
                <c:pt idx="2">
                  <c:v>138.21359999999999</c:v>
                </c:pt>
                <c:pt idx="3">
                  <c:v>143.83369999999999</c:v>
                </c:pt>
                <c:pt idx="4">
                  <c:v>10.8864</c:v>
                </c:pt>
                <c:pt idx="5">
                  <c:v>1064.0927999999999</c:v>
                </c:pt>
              </c:numCache>
            </c:numRef>
          </c:val>
          <c:extLst>
            <c:ext xmlns:c16="http://schemas.microsoft.com/office/drawing/2014/chart" uri="{C3380CC4-5D6E-409C-BE32-E72D297353CC}">
              <c16:uniqueId val="{00000023-2326-49B2-89DD-E0F7C258E476}"/>
            </c:ext>
          </c:extLst>
        </c:ser>
        <c:dLbls>
          <c:showLegendKey val="0"/>
          <c:showVal val="1"/>
          <c:showCatName val="0"/>
          <c:showSerName val="0"/>
          <c:showPercent val="0"/>
          <c:showBubbleSize val="0"/>
        </c:dLbls>
        <c:gapWidth val="219"/>
        <c:overlap val="-20"/>
        <c:axId val="585511455"/>
        <c:axId val="585513119"/>
      </c:barChart>
      <c:catAx>
        <c:axId val="585511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85513119"/>
        <c:crosses val="autoZero"/>
        <c:auto val="1"/>
        <c:lblAlgn val="ctr"/>
        <c:lblOffset val="100"/>
        <c:noMultiLvlLbl val="0"/>
      </c:catAx>
      <c:valAx>
        <c:axId val="5855131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85511455"/>
        <c:crosses val="autoZero"/>
        <c:crossBetween val="between"/>
      </c:valAx>
      <c:spPr>
        <a:noFill/>
        <a:ln>
          <a:noFill/>
        </a:ln>
        <a:effectLst/>
      </c:spPr>
    </c:plotArea>
    <c:legend>
      <c:legendPos val="tr"/>
      <c:layout>
        <c:manualLayout>
          <c:xMode val="edge"/>
          <c:yMode val="edge"/>
          <c:x val="0.11043840792808922"/>
          <c:y val="0.18842911877394636"/>
          <c:w val="0.10291247486218101"/>
          <c:h val="0.40761154855643045"/>
        </c:manualLayout>
      </c:layout>
      <c:overlay val="0"/>
      <c:spPr>
        <a:solidFill>
          <a:sysClr val="window" lastClr="FFFFFF"/>
        </a:solidFill>
        <a:ln>
          <a:solidFill>
            <a:sysClr val="windowText" lastClr="00000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Combinatie techniekvak</a:t>
            </a:r>
            <a:r>
              <a:rPr lang="nl-NL" baseline="0"/>
              <a:t> en avo-vak</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tx>
            <c:strRef>
              <c:f>combi!$I$3</c:f>
              <c:strCache>
                <c:ptCount val="1"/>
                <c:pt idx="0">
                  <c:v>BWI</c:v>
                </c:pt>
              </c:strCache>
            </c:strRef>
          </c:tx>
          <c:spPr>
            <a:ln w="28575" cap="rnd">
              <a:solidFill>
                <a:schemeClr val="accent1"/>
              </a:solidFill>
              <a:round/>
            </a:ln>
            <a:effectLst/>
          </c:spPr>
          <c:marker>
            <c:symbol val="none"/>
          </c:marker>
          <c:cat>
            <c:strRef>
              <c:f>combi!$B$2:$G$2</c:f>
              <c:strCache>
                <c:ptCount val="6"/>
                <c:pt idx="0">
                  <c:v>2017/18</c:v>
                </c:pt>
                <c:pt idx="1">
                  <c:v>2018/19</c:v>
                </c:pt>
                <c:pt idx="2">
                  <c:v>2019/20</c:v>
                </c:pt>
                <c:pt idx="3">
                  <c:v>2020/21</c:v>
                </c:pt>
                <c:pt idx="4">
                  <c:v>2021/22</c:v>
                </c:pt>
                <c:pt idx="5">
                  <c:v>2022/23</c:v>
                </c:pt>
              </c:strCache>
            </c:strRef>
          </c:cat>
          <c:val>
            <c:numRef>
              <c:f>combi!$J$3:$O$3</c:f>
              <c:numCache>
                <c:formatCode>0%</c:formatCode>
                <c:ptCount val="6"/>
                <c:pt idx="0">
                  <c:v>0.28025477707006369</c:v>
                </c:pt>
                <c:pt idx="1">
                  <c:v>0.21676891615541921</c:v>
                </c:pt>
                <c:pt idx="2">
                  <c:v>0.19460500963391136</c:v>
                </c:pt>
                <c:pt idx="3">
                  <c:v>0.17624521072796934</c:v>
                </c:pt>
                <c:pt idx="4">
                  <c:v>0.20185185185185187</c:v>
                </c:pt>
                <c:pt idx="5">
                  <c:v>0.24193548387096775</c:v>
                </c:pt>
              </c:numCache>
            </c:numRef>
          </c:val>
          <c:smooth val="0"/>
          <c:extLst>
            <c:ext xmlns:c16="http://schemas.microsoft.com/office/drawing/2014/chart" uri="{C3380CC4-5D6E-409C-BE32-E72D297353CC}">
              <c16:uniqueId val="{00000000-A3C2-47BB-BCC4-E1A6C2329DFA}"/>
            </c:ext>
          </c:extLst>
        </c:ser>
        <c:ser>
          <c:idx val="1"/>
          <c:order val="1"/>
          <c:tx>
            <c:strRef>
              <c:f>combi!$I$4</c:f>
              <c:strCache>
                <c:ptCount val="1"/>
                <c:pt idx="0">
                  <c:v>PIE</c:v>
                </c:pt>
              </c:strCache>
            </c:strRef>
          </c:tx>
          <c:spPr>
            <a:ln w="28575" cap="rnd">
              <a:solidFill>
                <a:schemeClr val="accent2"/>
              </a:solidFill>
              <a:round/>
            </a:ln>
            <a:effectLst/>
          </c:spPr>
          <c:marker>
            <c:symbol val="none"/>
          </c:marker>
          <c:cat>
            <c:strRef>
              <c:f>combi!$B$2:$G$2</c:f>
              <c:strCache>
                <c:ptCount val="6"/>
                <c:pt idx="0">
                  <c:v>2017/18</c:v>
                </c:pt>
                <c:pt idx="1">
                  <c:v>2018/19</c:v>
                </c:pt>
                <c:pt idx="2">
                  <c:v>2019/20</c:v>
                </c:pt>
                <c:pt idx="3">
                  <c:v>2020/21</c:v>
                </c:pt>
                <c:pt idx="4">
                  <c:v>2021/22</c:v>
                </c:pt>
                <c:pt idx="5">
                  <c:v>2022/23</c:v>
                </c:pt>
              </c:strCache>
            </c:strRef>
          </c:cat>
          <c:val>
            <c:numRef>
              <c:f>combi!$J$4:$O$4</c:f>
              <c:numCache>
                <c:formatCode>0%</c:formatCode>
                <c:ptCount val="6"/>
                <c:pt idx="0">
                  <c:v>0.36406995230524641</c:v>
                </c:pt>
                <c:pt idx="1">
                  <c:v>0.26373626373626374</c:v>
                </c:pt>
                <c:pt idx="2">
                  <c:v>0.23831070889894421</c:v>
                </c:pt>
                <c:pt idx="3">
                  <c:v>0.19575856443719414</c:v>
                </c:pt>
                <c:pt idx="4">
                  <c:v>0.2197092084006462</c:v>
                </c:pt>
                <c:pt idx="5">
                  <c:v>0.24525316455696203</c:v>
                </c:pt>
              </c:numCache>
            </c:numRef>
          </c:val>
          <c:smooth val="0"/>
          <c:extLst>
            <c:ext xmlns:c16="http://schemas.microsoft.com/office/drawing/2014/chart" uri="{C3380CC4-5D6E-409C-BE32-E72D297353CC}">
              <c16:uniqueId val="{00000001-A3C2-47BB-BCC4-E1A6C2329DFA}"/>
            </c:ext>
          </c:extLst>
        </c:ser>
        <c:ser>
          <c:idx val="2"/>
          <c:order val="2"/>
          <c:tx>
            <c:strRef>
              <c:f>combi!$I$5</c:f>
              <c:strCache>
                <c:ptCount val="1"/>
                <c:pt idx="0">
                  <c:v>M&amp;T</c:v>
                </c:pt>
              </c:strCache>
            </c:strRef>
          </c:tx>
          <c:spPr>
            <a:ln w="28575" cap="rnd">
              <a:solidFill>
                <a:schemeClr val="accent3"/>
              </a:solidFill>
              <a:round/>
            </a:ln>
            <a:effectLst/>
          </c:spPr>
          <c:marker>
            <c:symbol val="none"/>
          </c:marker>
          <c:cat>
            <c:strRef>
              <c:f>combi!$B$2:$G$2</c:f>
              <c:strCache>
                <c:ptCount val="6"/>
                <c:pt idx="0">
                  <c:v>2017/18</c:v>
                </c:pt>
                <c:pt idx="1">
                  <c:v>2018/19</c:v>
                </c:pt>
                <c:pt idx="2">
                  <c:v>2019/20</c:v>
                </c:pt>
                <c:pt idx="3">
                  <c:v>2020/21</c:v>
                </c:pt>
                <c:pt idx="4">
                  <c:v>2021/22</c:v>
                </c:pt>
                <c:pt idx="5">
                  <c:v>2022/23</c:v>
                </c:pt>
              </c:strCache>
            </c:strRef>
          </c:cat>
          <c:val>
            <c:numRef>
              <c:f>combi!$J$5:$O$5</c:f>
              <c:numCache>
                <c:formatCode>0%</c:formatCode>
                <c:ptCount val="6"/>
                <c:pt idx="0">
                  <c:v>0.25925925925925924</c:v>
                </c:pt>
                <c:pt idx="1">
                  <c:v>0.23383084577114427</c:v>
                </c:pt>
                <c:pt idx="2">
                  <c:v>0.23414634146341465</c:v>
                </c:pt>
                <c:pt idx="3">
                  <c:v>0.15384615384615385</c:v>
                </c:pt>
                <c:pt idx="4">
                  <c:v>0.17040358744394618</c:v>
                </c:pt>
                <c:pt idx="5">
                  <c:v>0.25438596491228072</c:v>
                </c:pt>
              </c:numCache>
            </c:numRef>
          </c:val>
          <c:smooth val="0"/>
          <c:extLst>
            <c:ext xmlns:c16="http://schemas.microsoft.com/office/drawing/2014/chart" uri="{C3380CC4-5D6E-409C-BE32-E72D297353CC}">
              <c16:uniqueId val="{00000002-A3C2-47BB-BCC4-E1A6C2329DFA}"/>
            </c:ext>
          </c:extLst>
        </c:ser>
        <c:ser>
          <c:idx val="3"/>
          <c:order val="3"/>
          <c:tx>
            <c:strRef>
              <c:f>combi!$I$6</c:f>
              <c:strCache>
                <c:ptCount val="1"/>
                <c:pt idx="0">
                  <c:v>MVI</c:v>
                </c:pt>
              </c:strCache>
            </c:strRef>
          </c:tx>
          <c:spPr>
            <a:ln w="28575" cap="rnd">
              <a:solidFill>
                <a:schemeClr val="accent4"/>
              </a:solidFill>
              <a:round/>
            </a:ln>
            <a:effectLst/>
          </c:spPr>
          <c:marker>
            <c:symbol val="none"/>
          </c:marker>
          <c:cat>
            <c:strRef>
              <c:f>combi!$B$2:$G$2</c:f>
              <c:strCache>
                <c:ptCount val="6"/>
                <c:pt idx="0">
                  <c:v>2017/18</c:v>
                </c:pt>
                <c:pt idx="1">
                  <c:v>2018/19</c:v>
                </c:pt>
                <c:pt idx="2">
                  <c:v>2019/20</c:v>
                </c:pt>
                <c:pt idx="3">
                  <c:v>2020/21</c:v>
                </c:pt>
                <c:pt idx="4">
                  <c:v>2021/22</c:v>
                </c:pt>
                <c:pt idx="5">
                  <c:v>2022/23</c:v>
                </c:pt>
              </c:strCache>
            </c:strRef>
          </c:cat>
          <c:val>
            <c:numRef>
              <c:f>combi!$J$6:$O$6</c:f>
              <c:numCache>
                <c:formatCode>0%</c:formatCode>
                <c:ptCount val="6"/>
                <c:pt idx="0">
                  <c:v>0.3925925925925926</c:v>
                </c:pt>
                <c:pt idx="1">
                  <c:v>0.33600000000000002</c:v>
                </c:pt>
                <c:pt idx="2">
                  <c:v>0.31617647058823528</c:v>
                </c:pt>
                <c:pt idx="3">
                  <c:v>0.31010452961672474</c:v>
                </c:pt>
                <c:pt idx="4">
                  <c:v>0.3184931506849315</c:v>
                </c:pt>
                <c:pt idx="5">
                  <c:v>0.31058020477815701</c:v>
                </c:pt>
              </c:numCache>
            </c:numRef>
          </c:val>
          <c:smooth val="0"/>
          <c:extLst>
            <c:ext xmlns:c16="http://schemas.microsoft.com/office/drawing/2014/chart" uri="{C3380CC4-5D6E-409C-BE32-E72D297353CC}">
              <c16:uniqueId val="{00000003-A3C2-47BB-BCC4-E1A6C2329DFA}"/>
            </c:ext>
          </c:extLst>
        </c:ser>
        <c:ser>
          <c:idx val="4"/>
          <c:order val="4"/>
          <c:tx>
            <c:strRef>
              <c:f>combi!$I$7</c:f>
              <c:strCache>
                <c:ptCount val="1"/>
                <c:pt idx="0">
                  <c:v>MaT</c:v>
                </c:pt>
              </c:strCache>
            </c:strRef>
          </c:tx>
          <c:spPr>
            <a:ln w="28575" cap="rnd">
              <a:solidFill>
                <a:schemeClr val="accent5"/>
              </a:solidFill>
              <a:round/>
            </a:ln>
            <a:effectLst/>
          </c:spPr>
          <c:marker>
            <c:symbol val="none"/>
          </c:marker>
          <c:cat>
            <c:strRef>
              <c:f>combi!$B$2:$G$2</c:f>
              <c:strCache>
                <c:ptCount val="6"/>
                <c:pt idx="0">
                  <c:v>2017/18</c:v>
                </c:pt>
                <c:pt idx="1">
                  <c:v>2018/19</c:v>
                </c:pt>
                <c:pt idx="2">
                  <c:v>2019/20</c:v>
                </c:pt>
                <c:pt idx="3">
                  <c:v>2020/21</c:v>
                </c:pt>
                <c:pt idx="4">
                  <c:v>2021/22</c:v>
                </c:pt>
                <c:pt idx="5">
                  <c:v>2022/23</c:v>
                </c:pt>
              </c:strCache>
            </c:strRef>
          </c:cat>
          <c:val>
            <c:numRef>
              <c:f>combi!$J$7:$O$7</c:f>
              <c:numCache>
                <c:formatCode>General</c:formatCode>
                <c:ptCount val="6"/>
              </c:numCache>
            </c:numRef>
          </c:val>
          <c:smooth val="0"/>
          <c:extLst>
            <c:ext xmlns:c16="http://schemas.microsoft.com/office/drawing/2014/chart" uri="{C3380CC4-5D6E-409C-BE32-E72D297353CC}">
              <c16:uniqueId val="{00000004-A3C2-47BB-BCC4-E1A6C2329DFA}"/>
            </c:ext>
          </c:extLst>
        </c:ser>
        <c:ser>
          <c:idx val="5"/>
          <c:order val="5"/>
          <c:tx>
            <c:strRef>
              <c:f>combi!$I$8</c:f>
              <c:strCache>
                <c:ptCount val="1"/>
                <c:pt idx="0">
                  <c:v>Totaal</c:v>
                </c:pt>
              </c:strCache>
            </c:strRef>
          </c:tx>
          <c:spPr>
            <a:ln w="28575" cap="rnd">
              <a:solidFill>
                <a:schemeClr val="accent6"/>
              </a:solidFill>
              <a:round/>
            </a:ln>
            <a:effectLst/>
          </c:spPr>
          <c:marker>
            <c:symbol val="none"/>
          </c:marker>
          <c:cat>
            <c:strRef>
              <c:f>combi!$B$2:$G$2</c:f>
              <c:strCache>
                <c:ptCount val="6"/>
                <c:pt idx="0">
                  <c:v>2017/18</c:v>
                </c:pt>
                <c:pt idx="1">
                  <c:v>2018/19</c:v>
                </c:pt>
                <c:pt idx="2">
                  <c:v>2019/20</c:v>
                </c:pt>
                <c:pt idx="3">
                  <c:v>2020/21</c:v>
                </c:pt>
                <c:pt idx="4">
                  <c:v>2021/22</c:v>
                </c:pt>
                <c:pt idx="5">
                  <c:v>2022/23</c:v>
                </c:pt>
              </c:strCache>
            </c:strRef>
          </c:cat>
          <c:val>
            <c:numRef>
              <c:f>combi!$J$8:$O$8</c:f>
              <c:numCache>
                <c:formatCode>0%</c:formatCode>
                <c:ptCount val="6"/>
                <c:pt idx="0">
                  <c:v>0.33109469442578909</c:v>
                </c:pt>
                <c:pt idx="1">
                  <c:v>0.25830508474576269</c:v>
                </c:pt>
                <c:pt idx="2">
                  <c:v>0.23281452658884566</c:v>
                </c:pt>
                <c:pt idx="3">
                  <c:v>0.20524590163934425</c:v>
                </c:pt>
                <c:pt idx="4">
                  <c:v>0.22200895713371721</c:v>
                </c:pt>
                <c:pt idx="5">
                  <c:v>0.25125628140703515</c:v>
                </c:pt>
              </c:numCache>
            </c:numRef>
          </c:val>
          <c:smooth val="0"/>
          <c:extLst>
            <c:ext xmlns:c16="http://schemas.microsoft.com/office/drawing/2014/chart" uri="{C3380CC4-5D6E-409C-BE32-E72D297353CC}">
              <c16:uniqueId val="{00000005-A3C2-47BB-BCC4-E1A6C2329DFA}"/>
            </c:ext>
          </c:extLst>
        </c:ser>
        <c:dLbls>
          <c:showLegendKey val="0"/>
          <c:showVal val="0"/>
          <c:showCatName val="0"/>
          <c:showSerName val="0"/>
          <c:showPercent val="0"/>
          <c:showBubbleSize val="0"/>
        </c:dLbls>
        <c:smooth val="0"/>
        <c:axId val="808416335"/>
        <c:axId val="808416751"/>
      </c:lineChart>
      <c:catAx>
        <c:axId val="808416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08416751"/>
        <c:crosses val="autoZero"/>
        <c:auto val="1"/>
        <c:lblAlgn val="ctr"/>
        <c:lblOffset val="100"/>
        <c:noMultiLvlLbl val="0"/>
      </c:catAx>
      <c:valAx>
        <c:axId val="808416751"/>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084163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400" b="0" i="0" u="none" strike="noStrike" kern="1200" spc="0" baseline="0">
                <a:solidFill>
                  <a:sysClr val="windowText" lastClr="000000">
                    <a:lumMod val="65000"/>
                    <a:lumOff val="35000"/>
                  </a:sysClr>
                </a:solidFill>
              </a:rPr>
              <a:t>Combinatie techniekvak en overig(e) vak(ken)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tx>
            <c:strRef>
              <c:f>combi!$I$19</c:f>
              <c:strCache>
                <c:ptCount val="1"/>
                <c:pt idx="0">
                  <c:v>BWI</c:v>
                </c:pt>
              </c:strCache>
            </c:strRef>
          </c:tx>
          <c:spPr>
            <a:ln w="28575" cap="rnd">
              <a:solidFill>
                <a:schemeClr val="accent1"/>
              </a:solidFill>
              <a:round/>
            </a:ln>
            <a:effectLst/>
          </c:spPr>
          <c:marker>
            <c:symbol val="none"/>
          </c:marker>
          <c:cat>
            <c:strRef>
              <c:f>combi!$B$18:$G$18</c:f>
              <c:strCache>
                <c:ptCount val="6"/>
                <c:pt idx="0">
                  <c:v>2017/18</c:v>
                </c:pt>
                <c:pt idx="1">
                  <c:v>2018/19</c:v>
                </c:pt>
                <c:pt idx="2">
                  <c:v>2019/20</c:v>
                </c:pt>
                <c:pt idx="3">
                  <c:v>2020/21</c:v>
                </c:pt>
                <c:pt idx="4">
                  <c:v>2021/22</c:v>
                </c:pt>
                <c:pt idx="5">
                  <c:v>2022/23</c:v>
                </c:pt>
              </c:strCache>
            </c:strRef>
          </c:cat>
          <c:val>
            <c:numRef>
              <c:f>combi!$J$19:$O$19</c:f>
              <c:numCache>
                <c:formatCode>0%</c:formatCode>
                <c:ptCount val="6"/>
                <c:pt idx="0">
                  <c:v>0.63057324840764328</c:v>
                </c:pt>
                <c:pt idx="1">
                  <c:v>0.63599182004089982</c:v>
                </c:pt>
                <c:pt idx="2">
                  <c:v>0.63583815028901736</c:v>
                </c:pt>
                <c:pt idx="3">
                  <c:v>0.6130268199233716</c:v>
                </c:pt>
                <c:pt idx="4">
                  <c:v>0.6518518518518519</c:v>
                </c:pt>
                <c:pt idx="5">
                  <c:v>0.68458781362007171</c:v>
                </c:pt>
              </c:numCache>
            </c:numRef>
          </c:val>
          <c:smooth val="0"/>
          <c:extLst>
            <c:ext xmlns:c16="http://schemas.microsoft.com/office/drawing/2014/chart" uri="{C3380CC4-5D6E-409C-BE32-E72D297353CC}">
              <c16:uniqueId val="{00000000-3B3C-46FE-9435-6CD18DD9F475}"/>
            </c:ext>
          </c:extLst>
        </c:ser>
        <c:ser>
          <c:idx val="1"/>
          <c:order val="1"/>
          <c:tx>
            <c:strRef>
              <c:f>combi!$I$20</c:f>
              <c:strCache>
                <c:ptCount val="1"/>
                <c:pt idx="0">
                  <c:v>PIE</c:v>
                </c:pt>
              </c:strCache>
            </c:strRef>
          </c:tx>
          <c:spPr>
            <a:ln w="28575" cap="rnd">
              <a:solidFill>
                <a:schemeClr val="accent2"/>
              </a:solidFill>
              <a:round/>
            </a:ln>
            <a:effectLst/>
          </c:spPr>
          <c:marker>
            <c:symbol val="none"/>
          </c:marker>
          <c:cat>
            <c:strRef>
              <c:f>combi!$B$18:$G$18</c:f>
              <c:strCache>
                <c:ptCount val="6"/>
                <c:pt idx="0">
                  <c:v>2017/18</c:v>
                </c:pt>
                <c:pt idx="1">
                  <c:v>2018/19</c:v>
                </c:pt>
                <c:pt idx="2">
                  <c:v>2019/20</c:v>
                </c:pt>
                <c:pt idx="3">
                  <c:v>2020/21</c:v>
                </c:pt>
                <c:pt idx="4">
                  <c:v>2021/22</c:v>
                </c:pt>
                <c:pt idx="5">
                  <c:v>2022/23</c:v>
                </c:pt>
              </c:strCache>
            </c:strRef>
          </c:cat>
          <c:val>
            <c:numRef>
              <c:f>combi!$J$20:$O$20</c:f>
              <c:numCache>
                <c:formatCode>0%</c:formatCode>
                <c:ptCount val="6"/>
                <c:pt idx="0">
                  <c:v>0.62639109697933226</c:v>
                </c:pt>
                <c:pt idx="1">
                  <c:v>0.57927786499215073</c:v>
                </c:pt>
                <c:pt idx="2">
                  <c:v>0.5867269984917044</c:v>
                </c:pt>
                <c:pt idx="3">
                  <c:v>0.62805872756933112</c:v>
                </c:pt>
                <c:pt idx="4">
                  <c:v>0.66397415185783526</c:v>
                </c:pt>
                <c:pt idx="5">
                  <c:v>0.629746835443038</c:v>
                </c:pt>
              </c:numCache>
            </c:numRef>
          </c:val>
          <c:smooth val="0"/>
          <c:extLst>
            <c:ext xmlns:c16="http://schemas.microsoft.com/office/drawing/2014/chart" uri="{C3380CC4-5D6E-409C-BE32-E72D297353CC}">
              <c16:uniqueId val="{00000001-3B3C-46FE-9435-6CD18DD9F475}"/>
            </c:ext>
          </c:extLst>
        </c:ser>
        <c:ser>
          <c:idx val="2"/>
          <c:order val="2"/>
          <c:tx>
            <c:strRef>
              <c:f>combi!$I$21</c:f>
              <c:strCache>
                <c:ptCount val="1"/>
                <c:pt idx="0">
                  <c:v>M&amp;T</c:v>
                </c:pt>
              </c:strCache>
            </c:strRef>
          </c:tx>
          <c:spPr>
            <a:ln w="28575" cap="rnd">
              <a:solidFill>
                <a:schemeClr val="accent3"/>
              </a:solidFill>
              <a:round/>
            </a:ln>
            <a:effectLst/>
          </c:spPr>
          <c:marker>
            <c:symbol val="none"/>
          </c:marker>
          <c:cat>
            <c:strRef>
              <c:f>combi!$B$18:$G$18</c:f>
              <c:strCache>
                <c:ptCount val="6"/>
                <c:pt idx="0">
                  <c:v>2017/18</c:v>
                </c:pt>
                <c:pt idx="1">
                  <c:v>2018/19</c:v>
                </c:pt>
                <c:pt idx="2">
                  <c:v>2019/20</c:v>
                </c:pt>
                <c:pt idx="3">
                  <c:v>2020/21</c:v>
                </c:pt>
                <c:pt idx="4">
                  <c:v>2021/22</c:v>
                </c:pt>
                <c:pt idx="5">
                  <c:v>2022/23</c:v>
                </c:pt>
              </c:strCache>
            </c:strRef>
          </c:cat>
          <c:val>
            <c:numRef>
              <c:f>combi!$J$21:$O$21</c:f>
              <c:numCache>
                <c:formatCode>0%</c:formatCode>
                <c:ptCount val="6"/>
                <c:pt idx="0">
                  <c:v>0.62962962962962965</c:v>
                </c:pt>
                <c:pt idx="1">
                  <c:v>0.6616915422885572</c:v>
                </c:pt>
                <c:pt idx="2">
                  <c:v>0.71219512195121948</c:v>
                </c:pt>
                <c:pt idx="3">
                  <c:v>0.67788461538461542</c:v>
                </c:pt>
                <c:pt idx="4">
                  <c:v>0.71748878923766812</c:v>
                </c:pt>
                <c:pt idx="5">
                  <c:v>0.71491228070175439</c:v>
                </c:pt>
              </c:numCache>
            </c:numRef>
          </c:val>
          <c:smooth val="0"/>
          <c:extLst>
            <c:ext xmlns:c16="http://schemas.microsoft.com/office/drawing/2014/chart" uri="{C3380CC4-5D6E-409C-BE32-E72D297353CC}">
              <c16:uniqueId val="{00000002-3B3C-46FE-9435-6CD18DD9F475}"/>
            </c:ext>
          </c:extLst>
        </c:ser>
        <c:ser>
          <c:idx val="3"/>
          <c:order val="3"/>
          <c:tx>
            <c:strRef>
              <c:f>combi!$I$22</c:f>
              <c:strCache>
                <c:ptCount val="1"/>
                <c:pt idx="0">
                  <c:v>MVI</c:v>
                </c:pt>
              </c:strCache>
            </c:strRef>
          </c:tx>
          <c:spPr>
            <a:ln w="28575" cap="rnd">
              <a:solidFill>
                <a:schemeClr val="accent4"/>
              </a:solidFill>
              <a:round/>
            </a:ln>
            <a:effectLst/>
          </c:spPr>
          <c:marker>
            <c:symbol val="none"/>
          </c:marker>
          <c:cat>
            <c:strRef>
              <c:f>combi!$B$18:$G$18</c:f>
              <c:strCache>
                <c:ptCount val="6"/>
                <c:pt idx="0">
                  <c:v>2017/18</c:v>
                </c:pt>
                <c:pt idx="1">
                  <c:v>2018/19</c:v>
                </c:pt>
                <c:pt idx="2">
                  <c:v>2019/20</c:v>
                </c:pt>
                <c:pt idx="3">
                  <c:v>2020/21</c:v>
                </c:pt>
                <c:pt idx="4">
                  <c:v>2021/22</c:v>
                </c:pt>
                <c:pt idx="5">
                  <c:v>2022/23</c:v>
                </c:pt>
              </c:strCache>
            </c:strRef>
          </c:cat>
          <c:val>
            <c:numRef>
              <c:f>combi!$J$22:$O$22</c:f>
              <c:numCache>
                <c:formatCode>0%</c:formatCode>
                <c:ptCount val="6"/>
                <c:pt idx="0">
                  <c:v>0.75185185185185188</c:v>
                </c:pt>
                <c:pt idx="1">
                  <c:v>0.72799999999999998</c:v>
                </c:pt>
                <c:pt idx="2">
                  <c:v>0.71691176470588236</c:v>
                </c:pt>
                <c:pt idx="3">
                  <c:v>0.74216027874564461</c:v>
                </c:pt>
                <c:pt idx="4">
                  <c:v>0.7226027397260274</c:v>
                </c:pt>
                <c:pt idx="5">
                  <c:v>0.71672354948805461</c:v>
                </c:pt>
              </c:numCache>
            </c:numRef>
          </c:val>
          <c:smooth val="0"/>
          <c:extLst>
            <c:ext xmlns:c16="http://schemas.microsoft.com/office/drawing/2014/chart" uri="{C3380CC4-5D6E-409C-BE32-E72D297353CC}">
              <c16:uniqueId val="{00000003-3B3C-46FE-9435-6CD18DD9F475}"/>
            </c:ext>
          </c:extLst>
        </c:ser>
        <c:ser>
          <c:idx val="4"/>
          <c:order val="4"/>
          <c:tx>
            <c:strRef>
              <c:f>combi!$I$23</c:f>
              <c:strCache>
                <c:ptCount val="1"/>
                <c:pt idx="0">
                  <c:v>MaT</c:v>
                </c:pt>
              </c:strCache>
            </c:strRef>
          </c:tx>
          <c:spPr>
            <a:ln w="28575" cap="rnd">
              <a:solidFill>
                <a:schemeClr val="accent5"/>
              </a:solidFill>
              <a:round/>
            </a:ln>
            <a:effectLst/>
          </c:spPr>
          <c:marker>
            <c:symbol val="none"/>
          </c:marker>
          <c:cat>
            <c:strRef>
              <c:f>combi!$B$18:$G$18</c:f>
              <c:strCache>
                <c:ptCount val="6"/>
                <c:pt idx="0">
                  <c:v>2017/18</c:v>
                </c:pt>
                <c:pt idx="1">
                  <c:v>2018/19</c:v>
                </c:pt>
                <c:pt idx="2">
                  <c:v>2019/20</c:v>
                </c:pt>
                <c:pt idx="3">
                  <c:v>2020/21</c:v>
                </c:pt>
                <c:pt idx="4">
                  <c:v>2021/22</c:v>
                </c:pt>
                <c:pt idx="5">
                  <c:v>2022/23</c:v>
                </c:pt>
              </c:strCache>
            </c:strRef>
          </c:cat>
          <c:val>
            <c:numRef>
              <c:f>combi!$J$23:$O$23</c:f>
              <c:numCache>
                <c:formatCode>0%</c:formatCode>
                <c:ptCount val="6"/>
                <c:pt idx="0">
                  <c:v>0.44444444444444442</c:v>
                </c:pt>
                <c:pt idx="1">
                  <c:v>0.45714285714285713</c:v>
                </c:pt>
                <c:pt idx="2">
                  <c:v>0.59090909090909094</c:v>
                </c:pt>
                <c:pt idx="3">
                  <c:v>0.68965517241379315</c:v>
                </c:pt>
                <c:pt idx="4">
                  <c:v>0.40740740740740738</c:v>
                </c:pt>
              </c:numCache>
            </c:numRef>
          </c:val>
          <c:smooth val="0"/>
          <c:extLst>
            <c:ext xmlns:c16="http://schemas.microsoft.com/office/drawing/2014/chart" uri="{C3380CC4-5D6E-409C-BE32-E72D297353CC}">
              <c16:uniqueId val="{00000004-3B3C-46FE-9435-6CD18DD9F475}"/>
            </c:ext>
          </c:extLst>
        </c:ser>
        <c:ser>
          <c:idx val="5"/>
          <c:order val="5"/>
          <c:tx>
            <c:strRef>
              <c:f>combi!$I$24</c:f>
              <c:strCache>
                <c:ptCount val="1"/>
                <c:pt idx="0">
                  <c:v>Totaal</c:v>
                </c:pt>
              </c:strCache>
            </c:strRef>
          </c:tx>
          <c:spPr>
            <a:ln w="28575" cap="rnd">
              <a:solidFill>
                <a:schemeClr val="accent6"/>
              </a:solidFill>
              <a:round/>
            </a:ln>
            <a:effectLst/>
          </c:spPr>
          <c:marker>
            <c:symbol val="none"/>
          </c:marker>
          <c:cat>
            <c:strRef>
              <c:f>combi!$B$18:$G$18</c:f>
              <c:strCache>
                <c:ptCount val="6"/>
                <c:pt idx="0">
                  <c:v>2017/18</c:v>
                </c:pt>
                <c:pt idx="1">
                  <c:v>2018/19</c:v>
                </c:pt>
                <c:pt idx="2">
                  <c:v>2019/20</c:v>
                </c:pt>
                <c:pt idx="3">
                  <c:v>2020/21</c:v>
                </c:pt>
                <c:pt idx="4">
                  <c:v>2021/22</c:v>
                </c:pt>
                <c:pt idx="5">
                  <c:v>2022/23</c:v>
                </c:pt>
              </c:strCache>
            </c:strRef>
          </c:cat>
          <c:val>
            <c:numRef>
              <c:f>combi!$J$24:$O$24</c:f>
              <c:numCache>
                <c:formatCode>0%</c:formatCode>
                <c:ptCount val="6"/>
                <c:pt idx="0">
                  <c:v>0.60846205507051709</c:v>
                </c:pt>
                <c:pt idx="1">
                  <c:v>0.6271186440677966</c:v>
                </c:pt>
                <c:pt idx="2">
                  <c:v>0.63424124513618674</c:v>
                </c:pt>
                <c:pt idx="3">
                  <c:v>0.64983606557377049</c:v>
                </c:pt>
                <c:pt idx="4">
                  <c:v>0.66922584772872684</c:v>
                </c:pt>
                <c:pt idx="5">
                  <c:v>0.67148241206030146</c:v>
                </c:pt>
              </c:numCache>
            </c:numRef>
          </c:val>
          <c:smooth val="0"/>
          <c:extLst>
            <c:ext xmlns:c16="http://schemas.microsoft.com/office/drawing/2014/chart" uri="{C3380CC4-5D6E-409C-BE32-E72D297353CC}">
              <c16:uniqueId val="{00000005-3B3C-46FE-9435-6CD18DD9F475}"/>
            </c:ext>
          </c:extLst>
        </c:ser>
        <c:dLbls>
          <c:showLegendKey val="0"/>
          <c:showVal val="0"/>
          <c:showCatName val="0"/>
          <c:showSerName val="0"/>
          <c:showPercent val="0"/>
          <c:showBubbleSize val="0"/>
        </c:dLbls>
        <c:smooth val="0"/>
        <c:axId val="808416335"/>
        <c:axId val="808416751"/>
      </c:lineChart>
      <c:catAx>
        <c:axId val="808416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08416751"/>
        <c:crosses val="autoZero"/>
        <c:auto val="1"/>
        <c:lblAlgn val="ctr"/>
        <c:lblOffset val="100"/>
        <c:noMultiLvlLbl val="0"/>
      </c:catAx>
      <c:valAx>
        <c:axId val="80841675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08416335"/>
        <c:crosses val="autoZero"/>
        <c:crossBetween val="between"/>
      </c:valAx>
      <c:spPr>
        <a:noFill/>
        <a:ln>
          <a:noFill/>
        </a:ln>
        <a:effectLst/>
      </c:spPr>
    </c:plotArea>
    <c:legend>
      <c:legendPos val="r"/>
      <c:layout>
        <c:manualLayout>
          <c:xMode val="edge"/>
          <c:yMode val="edge"/>
          <c:x val="0.83842531246176399"/>
          <c:y val="0.40949633927338031"/>
          <c:w val="0.11648315972222222"/>
          <c:h val="0.46875328083989504"/>
        </c:manualLayout>
      </c:layout>
      <c:overlay val="1"/>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'#pervest'!$B$18</c:f>
              <c:strCache>
                <c:ptCount val="1"/>
                <c:pt idx="0">
                  <c:v>2017/18</c:v>
                </c:pt>
              </c:strCache>
            </c:strRef>
          </c:tx>
          <c:spPr>
            <a:solidFill>
              <a:schemeClr val="accent1"/>
            </a:solidFill>
            <a:ln>
              <a:noFill/>
            </a:ln>
            <a:effectLst/>
          </c:spPr>
          <c:invertIfNegative val="0"/>
          <c:dLbls>
            <c:delete val="1"/>
          </c:dLbls>
          <c:cat>
            <c:strRef>
              <c:f>'#pervest'!$A$19:$A$24</c:f>
              <c:strCache>
                <c:ptCount val="6"/>
                <c:pt idx="0">
                  <c:v>BWI</c:v>
                </c:pt>
                <c:pt idx="1">
                  <c:v>PIE</c:v>
                </c:pt>
                <c:pt idx="2">
                  <c:v>M&amp;T</c:v>
                </c:pt>
                <c:pt idx="3">
                  <c:v>MVI</c:v>
                </c:pt>
                <c:pt idx="4">
                  <c:v>MaT*</c:v>
                </c:pt>
                <c:pt idx="5">
                  <c:v>Totaal</c:v>
                </c:pt>
              </c:strCache>
            </c:strRef>
          </c:cat>
          <c:val>
            <c:numRef>
              <c:f>'#pervest'!$B$19:$B$24</c:f>
              <c:numCache>
                <c:formatCode>0.0</c:formatCode>
                <c:ptCount val="6"/>
                <c:pt idx="0">
                  <c:v>3.14</c:v>
                </c:pt>
                <c:pt idx="1">
                  <c:v>3.7</c:v>
                </c:pt>
                <c:pt idx="2">
                  <c:v>2.5411764705882351</c:v>
                </c:pt>
                <c:pt idx="3">
                  <c:v>3.375</c:v>
                </c:pt>
                <c:pt idx="5" formatCode="_(* #,##0.00_);_(* \(#,##0.00\);_(* &quot;-&quot;??_);_(@_)">
                  <c:v>6.34</c:v>
                </c:pt>
              </c:numCache>
            </c:numRef>
          </c:val>
          <c:extLst>
            <c:ext xmlns:c16="http://schemas.microsoft.com/office/drawing/2014/chart" uri="{C3380CC4-5D6E-409C-BE32-E72D297353CC}">
              <c16:uniqueId val="{00000000-9267-4FD7-A883-3A3BA882E2EF}"/>
            </c:ext>
          </c:extLst>
        </c:ser>
        <c:ser>
          <c:idx val="1"/>
          <c:order val="1"/>
          <c:tx>
            <c:strRef>
              <c:f>'#pervest'!$C$18</c:f>
              <c:strCache>
                <c:ptCount val="1"/>
                <c:pt idx="0">
                  <c:v>2018/19</c:v>
                </c:pt>
              </c:strCache>
            </c:strRef>
          </c:tx>
          <c:spPr>
            <a:solidFill>
              <a:schemeClr val="accent2"/>
            </a:solidFill>
            <a:ln>
              <a:noFill/>
            </a:ln>
            <a:effectLst/>
          </c:spPr>
          <c:invertIfNegative val="0"/>
          <c:dLbls>
            <c:dLbl>
              <c:idx val="0"/>
              <c:tx>
                <c:rich>
                  <a:bodyPr/>
                  <a:lstStyle/>
                  <a:p>
                    <a:fld id="{D02733FE-6799-4A89-ACFA-3418123F6C7F}" type="CELLRANGE">
                      <a:rPr lang="en-US"/>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9267-4FD7-A883-3A3BA882E2EF}"/>
                </c:ext>
              </c:extLst>
            </c:dLbl>
            <c:dLbl>
              <c:idx val="1"/>
              <c:tx>
                <c:rich>
                  <a:bodyPr/>
                  <a:lstStyle/>
                  <a:p>
                    <a:fld id="{13F56969-CA6C-427F-97B4-A209F37BF23E}"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267-4FD7-A883-3A3BA882E2EF}"/>
                </c:ext>
              </c:extLst>
            </c:dLbl>
            <c:dLbl>
              <c:idx val="2"/>
              <c:tx>
                <c:rich>
                  <a:bodyPr/>
                  <a:lstStyle/>
                  <a:p>
                    <a:fld id="{F940969A-0BD1-45F7-A6F8-F84AD4092570}"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267-4FD7-A883-3A3BA882E2EF}"/>
                </c:ext>
              </c:extLst>
            </c:dLbl>
            <c:dLbl>
              <c:idx val="3"/>
              <c:tx>
                <c:rich>
                  <a:bodyPr/>
                  <a:lstStyle/>
                  <a:p>
                    <a:fld id="{12B27126-0C42-47BF-AB99-636972DE19BF}"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267-4FD7-A883-3A3BA882E2EF}"/>
                </c:ext>
              </c:extLst>
            </c:dLbl>
            <c:dLbl>
              <c:idx val="4"/>
              <c:tx>
                <c:rich>
                  <a:bodyPr/>
                  <a:lstStyle/>
                  <a:p>
                    <a:endParaRPr lang="nl-NL"/>
                  </a:p>
                </c:rich>
              </c:tx>
              <c:dLblPos val="outEnd"/>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5-9267-4FD7-A883-3A3BA882E2EF}"/>
                </c:ext>
              </c:extLst>
            </c:dLbl>
            <c:dLbl>
              <c:idx val="5"/>
              <c:tx>
                <c:rich>
                  <a:bodyPr/>
                  <a:lstStyle/>
                  <a:p>
                    <a:fld id="{791FEA69-3929-49A2-84A0-C317F0DBC482}"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267-4FD7-A883-3A3BA882E2E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'#pervest'!$A$19:$A$24</c:f>
              <c:strCache>
                <c:ptCount val="6"/>
                <c:pt idx="0">
                  <c:v>BWI</c:v>
                </c:pt>
                <c:pt idx="1">
                  <c:v>PIE</c:v>
                </c:pt>
                <c:pt idx="2">
                  <c:v>M&amp;T</c:v>
                </c:pt>
                <c:pt idx="3">
                  <c:v>MVI</c:v>
                </c:pt>
                <c:pt idx="4">
                  <c:v>MaT*</c:v>
                </c:pt>
                <c:pt idx="5">
                  <c:v>Totaal</c:v>
                </c:pt>
              </c:strCache>
            </c:strRef>
          </c:cat>
          <c:val>
            <c:numRef>
              <c:f>'#pervest'!$C$19:$C$24</c:f>
              <c:numCache>
                <c:formatCode>0.0</c:formatCode>
                <c:ptCount val="6"/>
                <c:pt idx="0">
                  <c:v>3.1548387096774193</c:v>
                </c:pt>
                <c:pt idx="1">
                  <c:v>3.3526315789473684</c:v>
                </c:pt>
                <c:pt idx="2">
                  <c:v>2.3647058823529412</c:v>
                </c:pt>
                <c:pt idx="3">
                  <c:v>3.5714285714285716</c:v>
                </c:pt>
                <c:pt idx="5" formatCode="_(* #,##0.00_);_(* \(#,##0.00\);_(* &quot;-&quot;??_);_(@_)">
                  <c:v>6.2765957446808507</c:v>
                </c:pt>
              </c:numCache>
            </c:numRef>
          </c:val>
          <c:extLst>
            <c:ext xmlns:c15="http://schemas.microsoft.com/office/drawing/2012/chart" uri="{02D57815-91ED-43cb-92C2-25804820EDAC}">
              <c15:datalabelsRange>
                <c15:f>'#pervest'!$N$19:$N$24</c15:f>
                <c15:dlblRangeCache>
                  <c:ptCount val="6"/>
                  <c:pt idx="0">
                    <c:v>0</c:v>
                  </c:pt>
                  <c:pt idx="1">
                    <c:v>-9</c:v>
                  </c:pt>
                  <c:pt idx="2">
                    <c:v>-7</c:v>
                  </c:pt>
                  <c:pt idx="3">
                    <c:v>+6</c:v>
                  </c:pt>
                  <c:pt idx="5">
                    <c:v>-1</c:v>
                  </c:pt>
                </c15:dlblRangeCache>
              </c15:datalabelsRange>
            </c:ext>
            <c:ext xmlns:c16="http://schemas.microsoft.com/office/drawing/2014/chart" uri="{C3380CC4-5D6E-409C-BE32-E72D297353CC}">
              <c16:uniqueId val="{00000007-9267-4FD7-A883-3A3BA882E2EF}"/>
            </c:ext>
          </c:extLst>
        </c:ser>
        <c:ser>
          <c:idx val="2"/>
          <c:order val="2"/>
          <c:tx>
            <c:strRef>
              <c:f>'#pervest'!$D$18</c:f>
              <c:strCache>
                <c:ptCount val="1"/>
                <c:pt idx="0">
                  <c:v>2019/20</c:v>
                </c:pt>
              </c:strCache>
            </c:strRef>
          </c:tx>
          <c:spPr>
            <a:solidFill>
              <a:schemeClr val="accent3"/>
            </a:solidFill>
            <a:ln>
              <a:noFill/>
            </a:ln>
            <a:effectLst/>
          </c:spPr>
          <c:invertIfNegative val="0"/>
          <c:dLbls>
            <c:dLbl>
              <c:idx val="0"/>
              <c:tx>
                <c:rich>
                  <a:bodyPr/>
                  <a:lstStyle/>
                  <a:p>
                    <a:fld id="{4147CE03-5409-4EB5-AB56-4E3E20EDDDD5}" type="CELLRANGE">
                      <a:rPr lang="en-US"/>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9267-4FD7-A883-3A3BA882E2EF}"/>
                </c:ext>
              </c:extLst>
            </c:dLbl>
            <c:dLbl>
              <c:idx val="1"/>
              <c:tx>
                <c:rich>
                  <a:bodyPr/>
                  <a:lstStyle/>
                  <a:p>
                    <a:fld id="{88E1C3D4-E581-4747-AEE4-5384DF283F7D}"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267-4FD7-A883-3A3BA882E2EF}"/>
                </c:ext>
              </c:extLst>
            </c:dLbl>
            <c:dLbl>
              <c:idx val="2"/>
              <c:tx>
                <c:rich>
                  <a:bodyPr/>
                  <a:lstStyle/>
                  <a:p>
                    <a:fld id="{BA46C2E0-6E69-4709-9706-977B1ADD2AB6}"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267-4FD7-A883-3A3BA882E2EF}"/>
                </c:ext>
              </c:extLst>
            </c:dLbl>
            <c:dLbl>
              <c:idx val="3"/>
              <c:tx>
                <c:rich>
                  <a:bodyPr/>
                  <a:lstStyle/>
                  <a:p>
                    <a:fld id="{B96496DC-7D50-498A-9868-57BCCA8F83DD}"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267-4FD7-A883-3A3BA882E2EF}"/>
                </c:ext>
              </c:extLst>
            </c:dLbl>
            <c:dLbl>
              <c:idx val="4"/>
              <c:tx>
                <c:rich>
                  <a:bodyPr/>
                  <a:lstStyle/>
                  <a:p>
                    <a:endParaRPr lang="nl-NL"/>
                  </a:p>
                </c:rich>
              </c:tx>
              <c:dLblPos val="outEnd"/>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C-9267-4FD7-A883-3A3BA882E2EF}"/>
                </c:ext>
              </c:extLst>
            </c:dLbl>
            <c:dLbl>
              <c:idx val="5"/>
              <c:tx>
                <c:rich>
                  <a:bodyPr/>
                  <a:lstStyle/>
                  <a:p>
                    <a:fld id="{2E81557D-2491-4D90-B94E-8E58C039D4CB}"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267-4FD7-A883-3A3BA882E2E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'#pervest'!$A$19:$A$24</c:f>
              <c:strCache>
                <c:ptCount val="6"/>
                <c:pt idx="0">
                  <c:v>BWI</c:v>
                </c:pt>
                <c:pt idx="1">
                  <c:v>PIE</c:v>
                </c:pt>
                <c:pt idx="2">
                  <c:v>M&amp;T</c:v>
                </c:pt>
                <c:pt idx="3">
                  <c:v>MVI</c:v>
                </c:pt>
                <c:pt idx="4">
                  <c:v>MaT*</c:v>
                </c:pt>
                <c:pt idx="5">
                  <c:v>Totaal</c:v>
                </c:pt>
              </c:strCache>
            </c:strRef>
          </c:cat>
          <c:val>
            <c:numRef>
              <c:f>'#pervest'!$D$19:$D$24</c:f>
              <c:numCache>
                <c:formatCode>_(* #,##0.00_);_(* \(#,##0.00\);_(* "-"??_);_(@_)</c:formatCode>
                <c:ptCount val="6"/>
                <c:pt idx="0">
                  <c:v>3.3483870967741933</c:v>
                </c:pt>
                <c:pt idx="1">
                  <c:v>3.7885714285714287</c:v>
                </c:pt>
                <c:pt idx="2">
                  <c:v>2.5625</c:v>
                </c:pt>
                <c:pt idx="3">
                  <c:v>3.4</c:v>
                </c:pt>
                <c:pt idx="5">
                  <c:v>6.4249999999999998</c:v>
                </c:pt>
              </c:numCache>
            </c:numRef>
          </c:val>
          <c:extLst>
            <c:ext xmlns:c15="http://schemas.microsoft.com/office/drawing/2012/chart" uri="{02D57815-91ED-43cb-92C2-25804820EDAC}">
              <c15:datalabelsRange>
                <c15:f>'#pervest'!$O$19:$O$24</c15:f>
                <c15:dlblRangeCache>
                  <c:ptCount val="6"/>
                  <c:pt idx="0">
                    <c:v>+6</c:v>
                  </c:pt>
                  <c:pt idx="1">
                    <c:v>+13</c:v>
                  </c:pt>
                  <c:pt idx="2">
                    <c:v>+8</c:v>
                  </c:pt>
                  <c:pt idx="3">
                    <c:v>-5</c:v>
                  </c:pt>
                  <c:pt idx="5">
                    <c:v>+2</c:v>
                  </c:pt>
                </c15:dlblRangeCache>
              </c15:datalabelsRange>
            </c:ext>
            <c:ext xmlns:c16="http://schemas.microsoft.com/office/drawing/2014/chart" uri="{C3380CC4-5D6E-409C-BE32-E72D297353CC}">
              <c16:uniqueId val="{0000000E-9267-4FD7-A883-3A3BA882E2EF}"/>
            </c:ext>
          </c:extLst>
        </c:ser>
        <c:ser>
          <c:idx val="3"/>
          <c:order val="3"/>
          <c:tx>
            <c:strRef>
              <c:f>'#pervest'!$E$18</c:f>
              <c:strCache>
                <c:ptCount val="1"/>
                <c:pt idx="0">
                  <c:v>2020/21</c:v>
                </c:pt>
              </c:strCache>
            </c:strRef>
          </c:tx>
          <c:spPr>
            <a:solidFill>
              <a:schemeClr val="accent4"/>
            </a:solidFill>
            <a:ln>
              <a:noFill/>
            </a:ln>
            <a:effectLst/>
          </c:spPr>
          <c:invertIfNegative val="0"/>
          <c:dLbls>
            <c:dLbl>
              <c:idx val="0"/>
              <c:tx>
                <c:rich>
                  <a:bodyPr/>
                  <a:lstStyle/>
                  <a:p>
                    <a:fld id="{284A64ED-2E5F-4237-9D80-8DFC3ED8A59E}" type="CELLRANGE">
                      <a:rPr lang="en-US"/>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9267-4FD7-A883-3A3BA882E2EF}"/>
                </c:ext>
              </c:extLst>
            </c:dLbl>
            <c:dLbl>
              <c:idx val="1"/>
              <c:tx>
                <c:rich>
                  <a:bodyPr/>
                  <a:lstStyle/>
                  <a:p>
                    <a:fld id="{5B68B335-5AA3-4334-BDB5-FCC8927B04B1}"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9267-4FD7-A883-3A3BA882E2EF}"/>
                </c:ext>
              </c:extLst>
            </c:dLbl>
            <c:dLbl>
              <c:idx val="2"/>
              <c:tx>
                <c:rich>
                  <a:bodyPr/>
                  <a:lstStyle/>
                  <a:p>
                    <a:fld id="{955587D7-6E46-4771-BB15-6C54D1CEB3D1}"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9267-4FD7-A883-3A3BA882E2EF}"/>
                </c:ext>
              </c:extLst>
            </c:dLbl>
            <c:dLbl>
              <c:idx val="3"/>
              <c:tx>
                <c:rich>
                  <a:bodyPr/>
                  <a:lstStyle/>
                  <a:p>
                    <a:fld id="{D4F6A1AE-16A5-47D2-9B92-5D8563C593BF}"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9267-4FD7-A883-3A3BA882E2EF}"/>
                </c:ext>
              </c:extLst>
            </c:dLbl>
            <c:dLbl>
              <c:idx val="4"/>
              <c:tx>
                <c:rich>
                  <a:bodyPr/>
                  <a:lstStyle/>
                  <a:p>
                    <a:endParaRPr lang="nl-NL"/>
                  </a:p>
                </c:rich>
              </c:tx>
              <c:dLblPos val="outEnd"/>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3-9267-4FD7-A883-3A3BA882E2EF}"/>
                </c:ext>
              </c:extLst>
            </c:dLbl>
            <c:dLbl>
              <c:idx val="5"/>
              <c:tx>
                <c:rich>
                  <a:bodyPr/>
                  <a:lstStyle/>
                  <a:p>
                    <a:fld id="{8509EEAE-5CEC-4C87-8F92-46B527EFA903}"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9267-4FD7-A883-3A3BA882E2E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'#pervest'!$A$19:$A$24</c:f>
              <c:strCache>
                <c:ptCount val="6"/>
                <c:pt idx="0">
                  <c:v>BWI</c:v>
                </c:pt>
                <c:pt idx="1">
                  <c:v>PIE</c:v>
                </c:pt>
                <c:pt idx="2">
                  <c:v>M&amp;T</c:v>
                </c:pt>
                <c:pt idx="3">
                  <c:v>MVI</c:v>
                </c:pt>
                <c:pt idx="4">
                  <c:v>MaT*</c:v>
                </c:pt>
                <c:pt idx="5">
                  <c:v>Totaal</c:v>
                </c:pt>
              </c:strCache>
            </c:strRef>
          </c:cat>
          <c:val>
            <c:numRef>
              <c:f>'#pervest'!$E$19:$E$24</c:f>
              <c:numCache>
                <c:formatCode>_(* #,##0.00_);_(* \(#,##0.00\);_(* "-"??_);_(@_)</c:formatCode>
                <c:ptCount val="6"/>
                <c:pt idx="0">
                  <c:v>3.36774193548387</c:v>
                </c:pt>
                <c:pt idx="1">
                  <c:v>3.3135135135135134</c:v>
                </c:pt>
                <c:pt idx="2">
                  <c:v>2.6</c:v>
                </c:pt>
                <c:pt idx="3">
                  <c:v>3.8266666666666667</c:v>
                </c:pt>
                <c:pt idx="5">
                  <c:v>6.4893617021276597</c:v>
                </c:pt>
              </c:numCache>
            </c:numRef>
          </c:val>
          <c:extLst>
            <c:ext xmlns:c15="http://schemas.microsoft.com/office/drawing/2012/chart" uri="{02D57815-91ED-43cb-92C2-25804820EDAC}">
              <c15:datalabelsRange>
                <c15:f>'#pervest'!$P$19:$P$24</c15:f>
                <c15:dlblRangeCache>
                  <c:ptCount val="6"/>
                  <c:pt idx="0">
                    <c:v>+1</c:v>
                  </c:pt>
                  <c:pt idx="1">
                    <c:v>-13</c:v>
                  </c:pt>
                  <c:pt idx="2">
                    <c:v>+1</c:v>
                  </c:pt>
                  <c:pt idx="3">
                    <c:v>+13</c:v>
                  </c:pt>
                  <c:pt idx="5">
                    <c:v>+1</c:v>
                  </c:pt>
                </c15:dlblRangeCache>
              </c15:datalabelsRange>
            </c:ext>
            <c:ext xmlns:c16="http://schemas.microsoft.com/office/drawing/2014/chart" uri="{C3380CC4-5D6E-409C-BE32-E72D297353CC}">
              <c16:uniqueId val="{00000015-9267-4FD7-A883-3A3BA882E2EF}"/>
            </c:ext>
          </c:extLst>
        </c:ser>
        <c:ser>
          <c:idx val="4"/>
          <c:order val="4"/>
          <c:tx>
            <c:strRef>
              <c:f>'#pervest'!$F$18</c:f>
              <c:strCache>
                <c:ptCount val="1"/>
                <c:pt idx="0">
                  <c:v>2021/22</c:v>
                </c:pt>
              </c:strCache>
            </c:strRef>
          </c:tx>
          <c:spPr>
            <a:solidFill>
              <a:schemeClr val="accent5"/>
            </a:solidFill>
            <a:ln>
              <a:noFill/>
            </a:ln>
            <a:effectLst/>
          </c:spPr>
          <c:invertIfNegative val="0"/>
          <c:dLbls>
            <c:dLbl>
              <c:idx val="0"/>
              <c:tx>
                <c:rich>
                  <a:bodyPr/>
                  <a:lstStyle/>
                  <a:p>
                    <a:fld id="{108D9C7E-19A8-406C-A8C0-7AFEFBFBF40A}" type="CELLRANGE">
                      <a:rPr lang="en-US"/>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9267-4FD7-A883-3A3BA882E2EF}"/>
                </c:ext>
              </c:extLst>
            </c:dLbl>
            <c:dLbl>
              <c:idx val="1"/>
              <c:tx>
                <c:rich>
                  <a:bodyPr/>
                  <a:lstStyle/>
                  <a:p>
                    <a:fld id="{B94DAA16-7B6B-4860-8DA0-6215DC3F269E}"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9267-4FD7-A883-3A3BA882E2EF}"/>
                </c:ext>
              </c:extLst>
            </c:dLbl>
            <c:dLbl>
              <c:idx val="2"/>
              <c:tx>
                <c:rich>
                  <a:bodyPr/>
                  <a:lstStyle/>
                  <a:p>
                    <a:fld id="{CB05C0FF-E188-4E37-BA04-F9D153EA9BD4}"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9267-4FD7-A883-3A3BA882E2EF}"/>
                </c:ext>
              </c:extLst>
            </c:dLbl>
            <c:dLbl>
              <c:idx val="3"/>
              <c:tx>
                <c:rich>
                  <a:bodyPr/>
                  <a:lstStyle/>
                  <a:p>
                    <a:fld id="{A022822B-8A9B-4F6B-95AB-8566014920B9}"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9267-4FD7-A883-3A3BA882E2EF}"/>
                </c:ext>
              </c:extLst>
            </c:dLbl>
            <c:dLbl>
              <c:idx val="4"/>
              <c:tx>
                <c:rich>
                  <a:bodyPr/>
                  <a:lstStyle/>
                  <a:p>
                    <a:endParaRPr lang="nl-NL"/>
                  </a:p>
                </c:rich>
              </c:tx>
              <c:dLblPos val="outEnd"/>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A-9267-4FD7-A883-3A3BA882E2EF}"/>
                </c:ext>
              </c:extLst>
            </c:dLbl>
            <c:dLbl>
              <c:idx val="5"/>
              <c:tx>
                <c:rich>
                  <a:bodyPr/>
                  <a:lstStyle/>
                  <a:p>
                    <a:fld id="{F0925642-8923-430C-AC45-B069DA57BCDE}"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9267-4FD7-A883-3A3BA882E2E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'#pervest'!$A$19:$A$24</c:f>
              <c:strCache>
                <c:ptCount val="6"/>
                <c:pt idx="0">
                  <c:v>BWI</c:v>
                </c:pt>
                <c:pt idx="1">
                  <c:v>PIE</c:v>
                </c:pt>
                <c:pt idx="2">
                  <c:v>M&amp;T</c:v>
                </c:pt>
                <c:pt idx="3">
                  <c:v>MVI</c:v>
                </c:pt>
                <c:pt idx="4">
                  <c:v>MaT*</c:v>
                </c:pt>
                <c:pt idx="5">
                  <c:v>Totaal</c:v>
                </c:pt>
              </c:strCache>
            </c:strRef>
          </c:cat>
          <c:val>
            <c:numRef>
              <c:f>'#pervest'!$F$19:$F$24</c:f>
              <c:numCache>
                <c:formatCode>0.00</c:formatCode>
                <c:ptCount val="6"/>
                <c:pt idx="0">
                  <c:v>3.4838709677419355</c:v>
                </c:pt>
                <c:pt idx="1">
                  <c:v>3.345945945945946</c:v>
                </c:pt>
                <c:pt idx="2">
                  <c:v>2.6235294117647059</c:v>
                </c:pt>
                <c:pt idx="3">
                  <c:v>3.4352941176470586</c:v>
                </c:pt>
                <c:pt idx="5">
                  <c:v>6.5125000000000002</c:v>
                </c:pt>
              </c:numCache>
            </c:numRef>
          </c:val>
          <c:extLst>
            <c:ext xmlns:c15="http://schemas.microsoft.com/office/drawing/2012/chart" uri="{02D57815-91ED-43cb-92C2-25804820EDAC}">
              <c15:datalabelsRange>
                <c15:f>'#pervest'!$Q$19:$Q$24</c15:f>
                <c15:dlblRangeCache>
                  <c:ptCount val="6"/>
                  <c:pt idx="0">
                    <c:v>+3</c:v>
                  </c:pt>
                  <c:pt idx="1">
                    <c:v>+1</c:v>
                  </c:pt>
                  <c:pt idx="2">
                    <c:v>+1</c:v>
                  </c:pt>
                  <c:pt idx="3">
                    <c:v>-10</c:v>
                  </c:pt>
                  <c:pt idx="5">
                    <c:v>0</c:v>
                  </c:pt>
                </c15:dlblRangeCache>
              </c15:datalabelsRange>
            </c:ext>
            <c:ext xmlns:c16="http://schemas.microsoft.com/office/drawing/2014/chart" uri="{C3380CC4-5D6E-409C-BE32-E72D297353CC}">
              <c16:uniqueId val="{0000001C-9267-4FD7-A883-3A3BA882E2EF}"/>
            </c:ext>
          </c:extLst>
        </c:ser>
        <c:ser>
          <c:idx val="5"/>
          <c:order val="5"/>
          <c:tx>
            <c:strRef>
              <c:f>'#pervest'!$G$18</c:f>
              <c:strCache>
                <c:ptCount val="1"/>
                <c:pt idx="0">
                  <c:v>2022/23</c:v>
                </c:pt>
              </c:strCache>
            </c:strRef>
          </c:tx>
          <c:spPr>
            <a:solidFill>
              <a:schemeClr val="accent6"/>
            </a:solidFill>
            <a:ln>
              <a:noFill/>
            </a:ln>
            <a:effectLst/>
          </c:spPr>
          <c:invertIfNegative val="0"/>
          <c:dLbls>
            <c:dLbl>
              <c:idx val="0"/>
              <c:tx>
                <c:rich>
                  <a:bodyPr/>
                  <a:lstStyle/>
                  <a:p>
                    <a:fld id="{28C020F7-0B21-4291-A6BF-54206B21E65B}" type="CELLRANGE">
                      <a:rPr lang="en-US"/>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D-9267-4FD7-A883-3A3BA882E2EF}"/>
                </c:ext>
              </c:extLst>
            </c:dLbl>
            <c:dLbl>
              <c:idx val="1"/>
              <c:tx>
                <c:rich>
                  <a:bodyPr/>
                  <a:lstStyle/>
                  <a:p>
                    <a:fld id="{C9B0B2E3-422A-48B4-B023-5DEFAF0F6E8E}"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9267-4FD7-A883-3A3BA882E2EF}"/>
                </c:ext>
              </c:extLst>
            </c:dLbl>
            <c:dLbl>
              <c:idx val="2"/>
              <c:tx>
                <c:rich>
                  <a:bodyPr/>
                  <a:lstStyle/>
                  <a:p>
                    <a:fld id="{CB7C6CF1-2D40-405F-A0CF-388AB53F198C}"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9267-4FD7-A883-3A3BA882E2EF}"/>
                </c:ext>
              </c:extLst>
            </c:dLbl>
            <c:dLbl>
              <c:idx val="3"/>
              <c:tx>
                <c:rich>
                  <a:bodyPr/>
                  <a:lstStyle/>
                  <a:p>
                    <a:fld id="{24A63FC7-8735-41ED-8ADF-AE311B418147}"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9267-4FD7-A883-3A3BA882E2EF}"/>
                </c:ext>
              </c:extLst>
            </c:dLbl>
            <c:dLbl>
              <c:idx val="4"/>
              <c:tx>
                <c:rich>
                  <a:bodyPr/>
                  <a:lstStyle/>
                  <a:p>
                    <a:endParaRPr lang="nl-NL"/>
                  </a:p>
                </c:rich>
              </c:tx>
              <c:dLblPos val="outEnd"/>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1-9267-4FD7-A883-3A3BA882E2EF}"/>
                </c:ext>
              </c:extLst>
            </c:dLbl>
            <c:dLbl>
              <c:idx val="5"/>
              <c:tx>
                <c:rich>
                  <a:bodyPr/>
                  <a:lstStyle/>
                  <a:p>
                    <a:fld id="{97897822-9847-4161-8F7C-447DE557F9DE}"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9267-4FD7-A883-3A3BA882E2E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'#pervest'!$A$19:$A$24</c:f>
              <c:strCache>
                <c:ptCount val="6"/>
                <c:pt idx="0">
                  <c:v>BWI</c:v>
                </c:pt>
                <c:pt idx="1">
                  <c:v>PIE</c:v>
                </c:pt>
                <c:pt idx="2">
                  <c:v>M&amp;T</c:v>
                </c:pt>
                <c:pt idx="3">
                  <c:v>MVI</c:v>
                </c:pt>
                <c:pt idx="4">
                  <c:v>MaT*</c:v>
                </c:pt>
                <c:pt idx="5">
                  <c:v>Totaal</c:v>
                </c:pt>
              </c:strCache>
            </c:strRef>
          </c:cat>
          <c:val>
            <c:numRef>
              <c:f>'#pervest'!$G$19:$G$24</c:f>
              <c:numCache>
                <c:formatCode>0.00</c:formatCode>
                <c:ptCount val="6"/>
                <c:pt idx="0">
                  <c:v>3.6</c:v>
                </c:pt>
                <c:pt idx="1">
                  <c:v>3.3263157894736843</c:v>
                </c:pt>
                <c:pt idx="2">
                  <c:v>2.6823529411764704</c:v>
                </c:pt>
                <c:pt idx="3">
                  <c:v>3.6625000000000001</c:v>
                </c:pt>
                <c:pt idx="5">
                  <c:v>6.6333333333333337</c:v>
                </c:pt>
              </c:numCache>
            </c:numRef>
          </c:val>
          <c:extLst>
            <c:ext xmlns:c15="http://schemas.microsoft.com/office/drawing/2012/chart" uri="{02D57815-91ED-43cb-92C2-25804820EDAC}">
              <c15:datalabelsRange>
                <c15:f>'#pervest'!$R$19:$R$24</c15:f>
                <c15:dlblRangeCache>
                  <c:ptCount val="6"/>
                  <c:pt idx="0">
                    <c:v>+3</c:v>
                  </c:pt>
                  <c:pt idx="1">
                    <c:v>-1</c:v>
                  </c:pt>
                  <c:pt idx="2">
                    <c:v>+2</c:v>
                  </c:pt>
                  <c:pt idx="3">
                    <c:v>+6</c:v>
                  </c:pt>
                  <c:pt idx="5">
                    <c:v>+2</c:v>
                  </c:pt>
                </c15:dlblRangeCache>
              </c15:datalabelsRange>
            </c:ext>
            <c:ext xmlns:c16="http://schemas.microsoft.com/office/drawing/2014/chart" uri="{C3380CC4-5D6E-409C-BE32-E72D297353CC}">
              <c16:uniqueId val="{00000023-9267-4FD7-A883-3A3BA882E2EF}"/>
            </c:ext>
          </c:extLst>
        </c:ser>
        <c:dLbls>
          <c:dLblPos val="outEnd"/>
          <c:showLegendKey val="0"/>
          <c:showVal val="1"/>
          <c:showCatName val="0"/>
          <c:showSerName val="0"/>
          <c:showPercent val="0"/>
          <c:showBubbleSize val="0"/>
        </c:dLbls>
        <c:gapWidth val="150"/>
        <c:overlap val="-20"/>
        <c:axId val="2108441199"/>
        <c:axId val="2108441615"/>
      </c:barChart>
      <c:catAx>
        <c:axId val="2108441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08441615"/>
        <c:crosses val="autoZero"/>
        <c:auto val="1"/>
        <c:lblAlgn val="ctr"/>
        <c:lblOffset val="100"/>
        <c:noMultiLvlLbl val="0"/>
      </c:catAx>
      <c:valAx>
        <c:axId val="210844161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08441199"/>
        <c:crosses val="autoZero"/>
        <c:crossBetween val="between"/>
      </c:valAx>
      <c:spPr>
        <a:noFill/>
        <a:ln>
          <a:noFill/>
        </a:ln>
        <a:effectLst/>
      </c:spPr>
    </c:plotArea>
    <c:legend>
      <c:legendPos val="l"/>
      <c:layout>
        <c:manualLayout>
          <c:xMode val="edge"/>
          <c:yMode val="edge"/>
          <c:x val="9.0379597326610828E-2"/>
          <c:y val="7.3709579941841769E-2"/>
          <c:w val="0.32314604519994483"/>
          <c:h val="0.17261162876131314"/>
        </c:manualLayout>
      </c:layout>
      <c:overlay val="1"/>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nl-NL"/>
              <a:t>In hoeverre zijn de volgende stellingen voor uw regio van toepassing? (n=48)</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0.50790044765892395"/>
          <c:y val="0.17790398701142365"/>
          <c:w val="0.44707607508009534"/>
          <c:h val="0.68930448766424779"/>
        </c:manualLayout>
      </c:layout>
      <c:barChart>
        <c:barDir val="bar"/>
        <c:grouping val="percentStacked"/>
        <c:varyColors val="0"/>
        <c:ser>
          <c:idx val="0"/>
          <c:order val="0"/>
          <c:tx>
            <c:strRef>
              <c:f>Totaal!$B$13</c:f>
              <c:strCache>
                <c:ptCount val="1"/>
                <c:pt idx="0">
                  <c:v>Helemaal niet</c:v>
                </c:pt>
              </c:strCache>
            </c:strRef>
          </c:tx>
          <c:spPr>
            <a:solidFill>
              <a:schemeClr val="accent1"/>
            </a:solidFill>
            <a:ln>
              <a:noFill/>
            </a:ln>
            <a:effectLst/>
          </c:spPr>
          <c:invertIfNegative val="0"/>
          <c:dLbls>
            <c:delete val="1"/>
          </c:dLbls>
          <c:cat>
            <c:strRef>
              <c:f>Totaal!$A$14:$A$20</c:f>
              <c:strCache>
                <c:ptCount val="7"/>
                <c:pt idx="0">
                  <c:v>STO is geïntegreerd binnen de (lijn)organisatie</c:v>
                </c:pt>
                <c:pt idx="1">
                  <c:v>Er is een sterk, uniek én gezamenlijk aanbod vanuit de regio dat voorziet in de regionale behoefte</c:v>
                </c:pt>
                <c:pt idx="2">
                  <c:v>Er is sprake van structurele betrokkenheid op alle niveaus vanuit de scholen</c:v>
                </c:pt>
                <c:pt idx="3">
                  <c:v>Er is sprake van gedeelde samenwerking met de partners in de regio, die overtuigd zijn van de urgentie en het belang</c:v>
                </c:pt>
                <c:pt idx="4">
                  <c:v>Er zijn structuren en systemen die de borging ondersteunen</c:v>
                </c:pt>
                <c:pt idx="5">
                  <c:v>We hebben inzicht in de resultaten en effecten van het regionale aanbod door goede monitoring en evaluatie</c:v>
                </c:pt>
                <c:pt idx="6">
                  <c:v>We communiceren structureel richting betrokkenen over de activiteiten en resultaten van STO</c:v>
                </c:pt>
              </c:strCache>
            </c:strRef>
          </c:cat>
          <c:val>
            <c:numRef>
              <c:f>Totaal!$B$14:$B$20</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0-11FB-4C60-B696-E1B05ED3B789}"/>
            </c:ext>
          </c:extLst>
        </c:ser>
        <c:ser>
          <c:idx val="1"/>
          <c:order val="1"/>
          <c:tx>
            <c:strRef>
              <c:f>Totaal!$C$13</c:f>
              <c:strCache>
                <c:ptCount val="1"/>
                <c:pt idx="0">
                  <c:v>Niet</c:v>
                </c:pt>
              </c:strCache>
            </c:strRef>
          </c:tx>
          <c:spPr>
            <a:solidFill>
              <a:schemeClr val="accent2"/>
            </a:solidFill>
            <a:ln>
              <a:noFill/>
            </a:ln>
            <a:effectLst/>
          </c:spPr>
          <c:invertIfNegative val="0"/>
          <c:dLbls>
            <c:delete val="1"/>
          </c:dLbls>
          <c:cat>
            <c:strRef>
              <c:f>Totaal!$A$14:$A$20</c:f>
              <c:strCache>
                <c:ptCount val="7"/>
                <c:pt idx="0">
                  <c:v>STO is geïntegreerd binnen de (lijn)organisatie</c:v>
                </c:pt>
                <c:pt idx="1">
                  <c:v>Er is een sterk, uniek én gezamenlijk aanbod vanuit de regio dat voorziet in de regionale behoefte</c:v>
                </c:pt>
                <c:pt idx="2">
                  <c:v>Er is sprake van structurele betrokkenheid op alle niveaus vanuit de scholen</c:v>
                </c:pt>
                <c:pt idx="3">
                  <c:v>Er is sprake van gedeelde samenwerking met de partners in de regio, die overtuigd zijn van de urgentie en het belang</c:v>
                </c:pt>
                <c:pt idx="4">
                  <c:v>Er zijn structuren en systemen die de borging ondersteunen</c:v>
                </c:pt>
                <c:pt idx="5">
                  <c:v>We hebben inzicht in de resultaten en effecten van het regionale aanbod door goede monitoring en evaluatie</c:v>
                </c:pt>
                <c:pt idx="6">
                  <c:v>We communiceren structureel richting betrokkenen over de activiteiten en resultaten van STO</c:v>
                </c:pt>
              </c:strCache>
            </c:strRef>
          </c:cat>
          <c:val>
            <c:numRef>
              <c:f>Totaal!$C$14:$C$20</c:f>
              <c:numCache>
                <c:formatCode>0%</c:formatCode>
                <c:ptCount val="7"/>
                <c:pt idx="0">
                  <c:v>2.0833333333333332E-2</c:v>
                </c:pt>
                <c:pt idx="1">
                  <c:v>2.0833333333333332E-2</c:v>
                </c:pt>
                <c:pt idx="2">
                  <c:v>4.1666666666666664E-2</c:v>
                </c:pt>
                <c:pt idx="3">
                  <c:v>0</c:v>
                </c:pt>
                <c:pt idx="4">
                  <c:v>2.0833333333333332E-2</c:v>
                </c:pt>
                <c:pt idx="5">
                  <c:v>2.0833333333333332E-2</c:v>
                </c:pt>
                <c:pt idx="6">
                  <c:v>4.1666666666666664E-2</c:v>
                </c:pt>
              </c:numCache>
            </c:numRef>
          </c:val>
          <c:extLst>
            <c:ext xmlns:c16="http://schemas.microsoft.com/office/drawing/2014/chart" uri="{C3380CC4-5D6E-409C-BE32-E72D297353CC}">
              <c16:uniqueId val="{00000001-11FB-4C60-B696-E1B05ED3B789}"/>
            </c:ext>
          </c:extLst>
        </c:ser>
        <c:ser>
          <c:idx val="2"/>
          <c:order val="2"/>
          <c:tx>
            <c:strRef>
              <c:f>Totaal!$D$13</c:f>
              <c:strCache>
                <c:ptCount val="1"/>
                <c:pt idx="0">
                  <c:v>Neutraal</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Totaal!$A$14:$A$20</c:f>
              <c:strCache>
                <c:ptCount val="7"/>
                <c:pt idx="0">
                  <c:v>STO is geïntegreerd binnen de (lijn)organisatie</c:v>
                </c:pt>
                <c:pt idx="1">
                  <c:v>Er is een sterk, uniek én gezamenlijk aanbod vanuit de regio dat voorziet in de regionale behoefte</c:v>
                </c:pt>
                <c:pt idx="2">
                  <c:v>Er is sprake van structurele betrokkenheid op alle niveaus vanuit de scholen</c:v>
                </c:pt>
                <c:pt idx="3">
                  <c:v>Er is sprake van gedeelde samenwerking met de partners in de regio, die overtuigd zijn van de urgentie en het belang</c:v>
                </c:pt>
                <c:pt idx="4">
                  <c:v>Er zijn structuren en systemen die de borging ondersteunen</c:v>
                </c:pt>
                <c:pt idx="5">
                  <c:v>We hebben inzicht in de resultaten en effecten van het regionale aanbod door goede monitoring en evaluatie</c:v>
                </c:pt>
                <c:pt idx="6">
                  <c:v>We communiceren structureel richting betrokkenen over de activiteiten en resultaten van STO</c:v>
                </c:pt>
              </c:strCache>
            </c:strRef>
          </c:cat>
          <c:val>
            <c:numRef>
              <c:f>Totaal!$D$14:$D$20</c:f>
              <c:numCache>
                <c:formatCode>0%</c:formatCode>
                <c:ptCount val="7"/>
                <c:pt idx="0">
                  <c:v>6.25E-2</c:v>
                </c:pt>
                <c:pt idx="1">
                  <c:v>0.14583333333333334</c:v>
                </c:pt>
                <c:pt idx="2">
                  <c:v>0.22916666666666666</c:v>
                </c:pt>
                <c:pt idx="3">
                  <c:v>0.10416666666666667</c:v>
                </c:pt>
                <c:pt idx="4">
                  <c:v>8.3333333333333329E-2</c:v>
                </c:pt>
                <c:pt idx="5">
                  <c:v>0.20833333333333334</c:v>
                </c:pt>
                <c:pt idx="6">
                  <c:v>0.16666666666666666</c:v>
                </c:pt>
              </c:numCache>
            </c:numRef>
          </c:val>
          <c:extLst>
            <c:ext xmlns:c16="http://schemas.microsoft.com/office/drawing/2014/chart" uri="{C3380CC4-5D6E-409C-BE32-E72D297353CC}">
              <c16:uniqueId val="{00000002-11FB-4C60-B696-E1B05ED3B789}"/>
            </c:ext>
          </c:extLst>
        </c:ser>
        <c:ser>
          <c:idx val="3"/>
          <c:order val="3"/>
          <c:tx>
            <c:strRef>
              <c:f>Totaal!$E$13</c:f>
              <c:strCache>
                <c:ptCount val="1"/>
                <c:pt idx="0">
                  <c:v>In enige mate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Totaal!$A$14:$A$20</c:f>
              <c:strCache>
                <c:ptCount val="7"/>
                <c:pt idx="0">
                  <c:v>STO is geïntegreerd binnen de (lijn)organisatie</c:v>
                </c:pt>
                <c:pt idx="1">
                  <c:v>Er is een sterk, uniek én gezamenlijk aanbod vanuit de regio dat voorziet in de regionale behoefte</c:v>
                </c:pt>
                <c:pt idx="2">
                  <c:v>Er is sprake van structurele betrokkenheid op alle niveaus vanuit de scholen</c:v>
                </c:pt>
                <c:pt idx="3">
                  <c:v>Er is sprake van gedeelde samenwerking met de partners in de regio, die overtuigd zijn van de urgentie en het belang</c:v>
                </c:pt>
                <c:pt idx="4">
                  <c:v>Er zijn structuren en systemen die de borging ondersteunen</c:v>
                </c:pt>
                <c:pt idx="5">
                  <c:v>We hebben inzicht in de resultaten en effecten van het regionale aanbod door goede monitoring en evaluatie</c:v>
                </c:pt>
                <c:pt idx="6">
                  <c:v>We communiceren structureel richting betrokkenen over de activiteiten en resultaten van STO</c:v>
                </c:pt>
              </c:strCache>
            </c:strRef>
          </c:cat>
          <c:val>
            <c:numRef>
              <c:f>Totaal!$E$14:$E$20</c:f>
              <c:numCache>
                <c:formatCode>0%</c:formatCode>
                <c:ptCount val="7"/>
                <c:pt idx="0">
                  <c:v>0.45833333333333331</c:v>
                </c:pt>
                <c:pt idx="1">
                  <c:v>0.375</c:v>
                </c:pt>
                <c:pt idx="2">
                  <c:v>0.35416666666666669</c:v>
                </c:pt>
                <c:pt idx="3">
                  <c:v>0.4375</c:v>
                </c:pt>
                <c:pt idx="4">
                  <c:v>0.52083333333333337</c:v>
                </c:pt>
                <c:pt idx="5">
                  <c:v>0.47916666666666669</c:v>
                </c:pt>
                <c:pt idx="6">
                  <c:v>0.39583333333333331</c:v>
                </c:pt>
              </c:numCache>
            </c:numRef>
          </c:val>
          <c:extLst>
            <c:ext xmlns:c16="http://schemas.microsoft.com/office/drawing/2014/chart" uri="{C3380CC4-5D6E-409C-BE32-E72D297353CC}">
              <c16:uniqueId val="{00000003-11FB-4C60-B696-E1B05ED3B789}"/>
            </c:ext>
          </c:extLst>
        </c:ser>
        <c:ser>
          <c:idx val="4"/>
          <c:order val="4"/>
          <c:tx>
            <c:strRef>
              <c:f>Totaal!$F$13</c:f>
              <c:strCache>
                <c:ptCount val="1"/>
                <c:pt idx="0">
                  <c:v>In sterke mate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Totaal!$A$14:$A$20</c:f>
              <c:strCache>
                <c:ptCount val="7"/>
                <c:pt idx="0">
                  <c:v>STO is geïntegreerd binnen de (lijn)organisatie</c:v>
                </c:pt>
                <c:pt idx="1">
                  <c:v>Er is een sterk, uniek én gezamenlijk aanbod vanuit de regio dat voorziet in de regionale behoefte</c:v>
                </c:pt>
                <c:pt idx="2">
                  <c:v>Er is sprake van structurele betrokkenheid op alle niveaus vanuit de scholen</c:v>
                </c:pt>
                <c:pt idx="3">
                  <c:v>Er is sprake van gedeelde samenwerking met de partners in de regio, die overtuigd zijn van de urgentie en het belang</c:v>
                </c:pt>
                <c:pt idx="4">
                  <c:v>Er zijn structuren en systemen die de borging ondersteunen</c:v>
                </c:pt>
                <c:pt idx="5">
                  <c:v>We hebben inzicht in de resultaten en effecten van het regionale aanbod door goede monitoring en evaluatie</c:v>
                </c:pt>
                <c:pt idx="6">
                  <c:v>We communiceren structureel richting betrokkenen over de activiteiten en resultaten van STO</c:v>
                </c:pt>
              </c:strCache>
            </c:strRef>
          </c:cat>
          <c:val>
            <c:numRef>
              <c:f>Totaal!$F$14:$F$20</c:f>
              <c:numCache>
                <c:formatCode>0%</c:formatCode>
                <c:ptCount val="7"/>
                <c:pt idx="0">
                  <c:v>0.45833333333333331</c:v>
                </c:pt>
                <c:pt idx="1">
                  <c:v>0.45833333333333331</c:v>
                </c:pt>
                <c:pt idx="2">
                  <c:v>0.375</c:v>
                </c:pt>
                <c:pt idx="3">
                  <c:v>0.45833333333333331</c:v>
                </c:pt>
                <c:pt idx="4">
                  <c:v>0.375</c:v>
                </c:pt>
                <c:pt idx="5">
                  <c:v>0.29166666666666669</c:v>
                </c:pt>
                <c:pt idx="6">
                  <c:v>0.39583333333333331</c:v>
                </c:pt>
              </c:numCache>
            </c:numRef>
          </c:val>
          <c:extLst>
            <c:ext xmlns:c16="http://schemas.microsoft.com/office/drawing/2014/chart" uri="{C3380CC4-5D6E-409C-BE32-E72D297353CC}">
              <c16:uniqueId val="{00000004-11FB-4C60-B696-E1B05ED3B789}"/>
            </c:ext>
          </c:extLst>
        </c:ser>
        <c:dLbls>
          <c:dLblPos val="ctr"/>
          <c:showLegendKey val="0"/>
          <c:showVal val="1"/>
          <c:showCatName val="0"/>
          <c:showSerName val="0"/>
          <c:showPercent val="0"/>
          <c:showBubbleSize val="0"/>
        </c:dLbls>
        <c:gapWidth val="50"/>
        <c:overlap val="100"/>
        <c:axId val="1032047167"/>
        <c:axId val="1032043327"/>
      </c:barChart>
      <c:catAx>
        <c:axId val="10320471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32043327"/>
        <c:crosses val="autoZero"/>
        <c:auto val="1"/>
        <c:lblAlgn val="ctr"/>
        <c:lblOffset val="100"/>
        <c:noMultiLvlLbl val="0"/>
      </c:catAx>
      <c:valAx>
        <c:axId val="1032043327"/>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320471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nl-NL"/>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'#perregio'!$B$2</c:f>
              <c:strCache>
                <c:ptCount val="1"/>
                <c:pt idx="0">
                  <c:v>2017/18</c:v>
                </c:pt>
              </c:strCache>
            </c:strRef>
          </c:tx>
          <c:spPr>
            <a:solidFill>
              <a:schemeClr val="accent1"/>
            </a:solidFill>
            <a:ln>
              <a:noFill/>
            </a:ln>
            <a:effectLst/>
          </c:spPr>
          <c:invertIfNegative val="0"/>
          <c:dLbls>
            <c:delete val="1"/>
          </c:dLbls>
          <c:cat>
            <c:strRef>
              <c:f>'#perregio'!$A$3:$A$8</c:f>
              <c:strCache>
                <c:ptCount val="6"/>
                <c:pt idx="0">
                  <c:v>BWI</c:v>
                </c:pt>
                <c:pt idx="1">
                  <c:v>PIE</c:v>
                </c:pt>
                <c:pt idx="2">
                  <c:v>M&amp;T</c:v>
                </c:pt>
                <c:pt idx="3">
                  <c:v>MVI</c:v>
                </c:pt>
                <c:pt idx="4">
                  <c:v>MaT</c:v>
                </c:pt>
                <c:pt idx="5">
                  <c:v>Totaal</c:v>
                </c:pt>
              </c:strCache>
            </c:strRef>
          </c:cat>
          <c:val>
            <c:numRef>
              <c:f>'#perregio'!$B$3:$B$8</c:f>
              <c:numCache>
                <c:formatCode>0.0</c:formatCode>
                <c:ptCount val="6"/>
                <c:pt idx="0">
                  <c:v>5.81</c:v>
                </c:pt>
                <c:pt idx="1">
                  <c:v>7.7</c:v>
                </c:pt>
                <c:pt idx="2">
                  <c:v>2.71</c:v>
                </c:pt>
                <c:pt idx="3">
                  <c:v>3.29</c:v>
                </c:pt>
                <c:pt idx="4">
                  <c:v>0.39</c:v>
                </c:pt>
                <c:pt idx="5">
                  <c:v>18.309999999999999</c:v>
                </c:pt>
              </c:numCache>
            </c:numRef>
          </c:val>
          <c:extLst>
            <c:ext xmlns:c16="http://schemas.microsoft.com/office/drawing/2014/chart" uri="{C3380CC4-5D6E-409C-BE32-E72D297353CC}">
              <c16:uniqueId val="{00000000-44F7-4B9B-830A-91D0038F397B}"/>
            </c:ext>
          </c:extLst>
        </c:ser>
        <c:ser>
          <c:idx val="1"/>
          <c:order val="1"/>
          <c:tx>
            <c:strRef>
              <c:f>'#perregio'!$C$2</c:f>
              <c:strCache>
                <c:ptCount val="1"/>
                <c:pt idx="0">
                  <c:v>2018/19</c:v>
                </c:pt>
              </c:strCache>
            </c:strRef>
          </c:tx>
          <c:spPr>
            <a:solidFill>
              <a:schemeClr val="accent2"/>
            </a:solidFill>
            <a:ln>
              <a:noFill/>
            </a:ln>
            <a:effectLst/>
          </c:spPr>
          <c:invertIfNegative val="0"/>
          <c:dLbls>
            <c:dLbl>
              <c:idx val="0"/>
              <c:tx>
                <c:rich>
                  <a:bodyPr/>
                  <a:lstStyle/>
                  <a:p>
                    <a:r>
                      <a:rPr lang="en-US"/>
                      <a:t>+5</a:t>
                    </a:r>
                  </a:p>
                </c:rich>
              </c:tx>
              <c:dLblPos val="outEnd"/>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1-44F7-4B9B-830A-91D0038F397B}"/>
                </c:ext>
              </c:extLst>
            </c:dLbl>
            <c:dLbl>
              <c:idx val="1"/>
              <c:tx>
                <c:rich>
                  <a:bodyPr/>
                  <a:lstStyle/>
                  <a:p>
                    <a:r>
                      <a:rPr lang="en-US"/>
                      <a:t>+2</a:t>
                    </a:r>
                  </a:p>
                </c:rich>
              </c:tx>
              <c:dLblPos val="outEnd"/>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2-44F7-4B9B-830A-91D0038F397B}"/>
                </c:ext>
              </c:extLst>
            </c:dLbl>
            <c:dLbl>
              <c:idx val="2"/>
              <c:tx>
                <c:rich>
                  <a:bodyPr/>
                  <a:lstStyle/>
                  <a:p>
                    <a:fld id="{03EC1ED4-703B-45EB-9CD5-FECAFC766C86}" type="CELLRANGE">
                      <a:rPr lang="en-US"/>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44F7-4B9B-830A-91D0038F397B}"/>
                </c:ext>
              </c:extLst>
            </c:dLbl>
            <c:dLbl>
              <c:idx val="3"/>
              <c:tx>
                <c:rich>
                  <a:bodyPr/>
                  <a:lstStyle/>
                  <a:p>
                    <a:fld id="{EE3CF75A-2ADD-4714-A8FD-3D032D1E2DE7}"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4F7-4B9B-830A-91D0038F397B}"/>
                </c:ext>
              </c:extLst>
            </c:dLbl>
            <c:dLbl>
              <c:idx val="4"/>
              <c:tx>
                <c:rich>
                  <a:bodyPr/>
                  <a:lstStyle/>
                  <a:p>
                    <a:fld id="{6E0B6BD1-B625-4593-948B-596F623E9E78}"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4F7-4B9B-830A-91D0038F397B}"/>
                </c:ext>
              </c:extLst>
            </c:dLbl>
            <c:dLbl>
              <c:idx val="5"/>
              <c:tx>
                <c:rich>
                  <a:bodyPr/>
                  <a:lstStyle/>
                  <a:p>
                    <a:fld id="{EEDF40CD-128C-49B5-B9DF-BD251BECD49D}"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44F7-4B9B-830A-91D0038F397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'#perregio'!$A$3:$A$8</c:f>
              <c:strCache>
                <c:ptCount val="6"/>
                <c:pt idx="0">
                  <c:v>BWI</c:v>
                </c:pt>
                <c:pt idx="1">
                  <c:v>PIE</c:v>
                </c:pt>
                <c:pt idx="2">
                  <c:v>M&amp;T</c:v>
                </c:pt>
                <c:pt idx="3">
                  <c:v>MVI</c:v>
                </c:pt>
                <c:pt idx="4">
                  <c:v>MaT</c:v>
                </c:pt>
                <c:pt idx="5">
                  <c:v>Totaal</c:v>
                </c:pt>
              </c:strCache>
            </c:strRef>
          </c:cat>
          <c:val>
            <c:numRef>
              <c:f>'#perregio'!$C$3:$C$8</c:f>
              <c:numCache>
                <c:formatCode>0.0</c:formatCode>
                <c:ptCount val="6"/>
                <c:pt idx="0">
                  <c:v>6.16</c:v>
                </c:pt>
                <c:pt idx="1">
                  <c:v>8.06</c:v>
                </c:pt>
                <c:pt idx="2">
                  <c:v>2.5499999999999998</c:v>
                </c:pt>
                <c:pt idx="3">
                  <c:v>3.06</c:v>
                </c:pt>
                <c:pt idx="4">
                  <c:v>0.43</c:v>
                </c:pt>
                <c:pt idx="5">
                  <c:v>18.55</c:v>
                </c:pt>
              </c:numCache>
            </c:numRef>
          </c:val>
          <c:extLst>
            <c:ext xmlns:c15="http://schemas.microsoft.com/office/drawing/2012/chart" uri="{02D57815-91ED-43cb-92C2-25804820EDAC}">
              <c15:datalabelsRange>
                <c15:f>'#perregio'!$N$3:$N$8</c15:f>
                <c15:dlblRangeCache>
                  <c:ptCount val="6"/>
                  <c:pt idx="0">
                    <c:v>+6</c:v>
                  </c:pt>
                  <c:pt idx="1">
                    <c:v>+5</c:v>
                  </c:pt>
                  <c:pt idx="2">
                    <c:v>-6</c:v>
                  </c:pt>
                  <c:pt idx="3">
                    <c:v>-7</c:v>
                  </c:pt>
                  <c:pt idx="4">
                    <c:v>+10</c:v>
                  </c:pt>
                  <c:pt idx="5">
                    <c:v>+1</c:v>
                  </c:pt>
                </c15:dlblRangeCache>
              </c15:datalabelsRange>
            </c:ext>
            <c:ext xmlns:c16="http://schemas.microsoft.com/office/drawing/2014/chart" uri="{C3380CC4-5D6E-409C-BE32-E72D297353CC}">
              <c16:uniqueId val="{00000007-44F7-4B9B-830A-91D0038F397B}"/>
            </c:ext>
          </c:extLst>
        </c:ser>
        <c:ser>
          <c:idx val="2"/>
          <c:order val="2"/>
          <c:tx>
            <c:strRef>
              <c:f>'#perregio'!$D$2</c:f>
              <c:strCache>
                <c:ptCount val="1"/>
                <c:pt idx="0">
                  <c:v>2019/20</c:v>
                </c:pt>
              </c:strCache>
            </c:strRef>
          </c:tx>
          <c:spPr>
            <a:solidFill>
              <a:schemeClr val="accent3"/>
            </a:solidFill>
            <a:ln>
              <a:noFill/>
            </a:ln>
            <a:effectLst/>
          </c:spPr>
          <c:invertIfNegative val="0"/>
          <c:dLbls>
            <c:dLbl>
              <c:idx val="0"/>
              <c:tx>
                <c:rich>
                  <a:bodyPr/>
                  <a:lstStyle/>
                  <a:p>
                    <a:fld id="{5F8E27B5-4383-4C0C-AEED-20EE585E17F9}" type="CELLRANGE">
                      <a:rPr lang="en-US"/>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44F7-4B9B-830A-91D0038F397B}"/>
                </c:ext>
              </c:extLst>
            </c:dLbl>
            <c:dLbl>
              <c:idx val="1"/>
              <c:tx>
                <c:rich>
                  <a:bodyPr/>
                  <a:lstStyle/>
                  <a:p>
                    <a:fld id="{D4261AA4-DD0F-4473-AE7C-BEEDE10D4CFF}"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44F7-4B9B-830A-91D0038F397B}"/>
                </c:ext>
              </c:extLst>
            </c:dLbl>
            <c:dLbl>
              <c:idx val="2"/>
              <c:tx>
                <c:rich>
                  <a:bodyPr/>
                  <a:lstStyle/>
                  <a:p>
                    <a:fld id="{0C3E29DC-8258-4285-B041-0F5C04351A05}"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44F7-4B9B-830A-91D0038F397B}"/>
                </c:ext>
              </c:extLst>
            </c:dLbl>
            <c:dLbl>
              <c:idx val="3"/>
              <c:tx>
                <c:rich>
                  <a:bodyPr/>
                  <a:lstStyle/>
                  <a:p>
                    <a:fld id="{2AE33A88-852B-4938-BD4D-EAF5E105D147}"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44F7-4B9B-830A-91D0038F397B}"/>
                </c:ext>
              </c:extLst>
            </c:dLbl>
            <c:dLbl>
              <c:idx val="4"/>
              <c:tx>
                <c:rich>
                  <a:bodyPr/>
                  <a:lstStyle/>
                  <a:p>
                    <a:fld id="{3D6FD2D1-31FD-42E2-9A43-318B757F5C1B}"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44F7-4B9B-830A-91D0038F397B}"/>
                </c:ext>
              </c:extLst>
            </c:dLbl>
            <c:dLbl>
              <c:idx val="5"/>
              <c:tx>
                <c:rich>
                  <a:bodyPr/>
                  <a:lstStyle/>
                  <a:p>
                    <a:fld id="{CD8A4BD6-EEAC-4FA7-9CA4-BE66C100218F}"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44F7-4B9B-830A-91D0038F397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'#perregio'!$A$3:$A$8</c:f>
              <c:strCache>
                <c:ptCount val="6"/>
                <c:pt idx="0">
                  <c:v>BWI</c:v>
                </c:pt>
                <c:pt idx="1">
                  <c:v>PIE</c:v>
                </c:pt>
                <c:pt idx="2">
                  <c:v>M&amp;T</c:v>
                </c:pt>
                <c:pt idx="3">
                  <c:v>MVI</c:v>
                </c:pt>
                <c:pt idx="4">
                  <c:v>MaT</c:v>
                </c:pt>
                <c:pt idx="5">
                  <c:v>Totaal</c:v>
                </c:pt>
              </c:strCache>
            </c:strRef>
          </c:cat>
          <c:val>
            <c:numRef>
              <c:f>'#perregio'!$D$3:$D$8</c:f>
              <c:numCache>
                <c:formatCode>0.0</c:formatCode>
                <c:ptCount val="6"/>
                <c:pt idx="0">
                  <c:v>6.56</c:v>
                </c:pt>
                <c:pt idx="1">
                  <c:v>8.32</c:v>
                </c:pt>
                <c:pt idx="2">
                  <c:v>2.61</c:v>
                </c:pt>
                <c:pt idx="3">
                  <c:v>3.39</c:v>
                </c:pt>
                <c:pt idx="4">
                  <c:v>0.21</c:v>
                </c:pt>
                <c:pt idx="5">
                  <c:v>19.3</c:v>
                </c:pt>
              </c:numCache>
            </c:numRef>
          </c:val>
          <c:extLst>
            <c:ext xmlns:c15="http://schemas.microsoft.com/office/drawing/2012/chart" uri="{02D57815-91ED-43cb-92C2-25804820EDAC}">
              <c15:datalabelsRange>
                <c15:f>'#perregio'!$O$3:$O$8</c15:f>
                <c15:dlblRangeCache>
                  <c:ptCount val="6"/>
                  <c:pt idx="0">
                    <c:v>+6</c:v>
                  </c:pt>
                  <c:pt idx="1">
                    <c:v>+3</c:v>
                  </c:pt>
                  <c:pt idx="2">
                    <c:v>+2</c:v>
                  </c:pt>
                  <c:pt idx="3">
                    <c:v>+11</c:v>
                  </c:pt>
                  <c:pt idx="4">
                    <c:v>-51</c:v>
                  </c:pt>
                  <c:pt idx="5">
                    <c:v>+4</c:v>
                  </c:pt>
                </c15:dlblRangeCache>
              </c15:datalabelsRange>
            </c:ext>
            <c:ext xmlns:c16="http://schemas.microsoft.com/office/drawing/2014/chart" uri="{C3380CC4-5D6E-409C-BE32-E72D297353CC}">
              <c16:uniqueId val="{0000000E-44F7-4B9B-830A-91D0038F397B}"/>
            </c:ext>
          </c:extLst>
        </c:ser>
        <c:ser>
          <c:idx val="3"/>
          <c:order val="3"/>
          <c:tx>
            <c:strRef>
              <c:f>'#perregio'!$E$2</c:f>
              <c:strCache>
                <c:ptCount val="1"/>
                <c:pt idx="0">
                  <c:v>2020/21</c:v>
                </c:pt>
              </c:strCache>
            </c:strRef>
          </c:tx>
          <c:spPr>
            <a:solidFill>
              <a:schemeClr val="accent4"/>
            </a:solidFill>
            <a:ln>
              <a:noFill/>
            </a:ln>
            <a:effectLst/>
          </c:spPr>
          <c:invertIfNegative val="0"/>
          <c:dLbls>
            <c:dLbl>
              <c:idx val="0"/>
              <c:tx>
                <c:rich>
                  <a:bodyPr/>
                  <a:lstStyle/>
                  <a:p>
                    <a:fld id="{4A59D004-F1E4-467D-AC51-3CDCDD50A938}" type="CELLRANGE">
                      <a:rPr lang="en-US"/>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44F7-4B9B-830A-91D0038F397B}"/>
                </c:ext>
              </c:extLst>
            </c:dLbl>
            <c:dLbl>
              <c:idx val="1"/>
              <c:tx>
                <c:rich>
                  <a:bodyPr/>
                  <a:lstStyle/>
                  <a:p>
                    <a:fld id="{BB17221B-22A5-4250-A901-CD7CCAEFE599}"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44F7-4B9B-830A-91D0038F397B}"/>
                </c:ext>
              </c:extLst>
            </c:dLbl>
            <c:dLbl>
              <c:idx val="2"/>
              <c:tx>
                <c:rich>
                  <a:bodyPr/>
                  <a:lstStyle/>
                  <a:p>
                    <a:fld id="{5E0EC2A1-12CA-4F70-8B07-12218091D60C}"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44F7-4B9B-830A-91D0038F397B}"/>
                </c:ext>
              </c:extLst>
            </c:dLbl>
            <c:dLbl>
              <c:idx val="3"/>
              <c:tx>
                <c:rich>
                  <a:bodyPr/>
                  <a:lstStyle/>
                  <a:p>
                    <a:fld id="{F441AB7F-1390-45FA-8579-CD9229A9E879}"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44F7-4B9B-830A-91D0038F397B}"/>
                </c:ext>
              </c:extLst>
            </c:dLbl>
            <c:dLbl>
              <c:idx val="4"/>
              <c:tx>
                <c:rich>
                  <a:bodyPr/>
                  <a:lstStyle/>
                  <a:p>
                    <a:fld id="{209E8723-52BD-4427-910D-9F0D93D0B2E2}"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44F7-4B9B-830A-91D0038F397B}"/>
                </c:ext>
              </c:extLst>
            </c:dLbl>
            <c:dLbl>
              <c:idx val="5"/>
              <c:tx>
                <c:rich>
                  <a:bodyPr/>
                  <a:lstStyle/>
                  <a:p>
                    <a:fld id="{FE747A35-8A0C-4DD0-A93A-93DA80454643}"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44F7-4B9B-830A-91D0038F397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'#perregio'!$A$3:$A$8</c:f>
              <c:strCache>
                <c:ptCount val="6"/>
                <c:pt idx="0">
                  <c:v>BWI</c:v>
                </c:pt>
                <c:pt idx="1">
                  <c:v>PIE</c:v>
                </c:pt>
                <c:pt idx="2">
                  <c:v>M&amp;T</c:v>
                </c:pt>
                <c:pt idx="3">
                  <c:v>MVI</c:v>
                </c:pt>
                <c:pt idx="4">
                  <c:v>MaT</c:v>
                </c:pt>
                <c:pt idx="5">
                  <c:v>Totaal</c:v>
                </c:pt>
              </c:strCache>
            </c:strRef>
          </c:cat>
          <c:val>
            <c:numRef>
              <c:f>'#perregio'!$E$3:$E$8</c:f>
              <c:numCache>
                <c:formatCode>0.0</c:formatCode>
                <c:ptCount val="6"/>
                <c:pt idx="0">
                  <c:v>6.57</c:v>
                </c:pt>
                <c:pt idx="1">
                  <c:v>7.73</c:v>
                </c:pt>
                <c:pt idx="2">
                  <c:v>2.66</c:v>
                </c:pt>
                <c:pt idx="3">
                  <c:v>3.53</c:v>
                </c:pt>
                <c:pt idx="4">
                  <c:v>0.35</c:v>
                </c:pt>
                <c:pt idx="5">
                  <c:v>19.100000000000001</c:v>
                </c:pt>
              </c:numCache>
            </c:numRef>
          </c:val>
          <c:extLst>
            <c:ext xmlns:c15="http://schemas.microsoft.com/office/drawing/2012/chart" uri="{02D57815-91ED-43cb-92C2-25804820EDAC}">
              <c15:datalabelsRange>
                <c15:f>'#perregio'!$P$3:$P$8</c15:f>
                <c15:dlblRangeCache>
                  <c:ptCount val="6"/>
                  <c:pt idx="0">
                    <c:v>0</c:v>
                  </c:pt>
                  <c:pt idx="1">
                    <c:v>-7</c:v>
                  </c:pt>
                  <c:pt idx="2">
                    <c:v>+2</c:v>
                  </c:pt>
                  <c:pt idx="3">
                    <c:v>+4</c:v>
                  </c:pt>
                  <c:pt idx="4">
                    <c:v>+67</c:v>
                  </c:pt>
                  <c:pt idx="5">
                    <c:v>-1</c:v>
                  </c:pt>
                </c15:dlblRangeCache>
              </c15:datalabelsRange>
            </c:ext>
            <c:ext xmlns:c16="http://schemas.microsoft.com/office/drawing/2014/chart" uri="{C3380CC4-5D6E-409C-BE32-E72D297353CC}">
              <c16:uniqueId val="{00000015-44F7-4B9B-830A-91D0038F397B}"/>
            </c:ext>
          </c:extLst>
        </c:ser>
        <c:ser>
          <c:idx val="4"/>
          <c:order val="4"/>
          <c:tx>
            <c:strRef>
              <c:f>'#perregio'!$F$2</c:f>
              <c:strCache>
                <c:ptCount val="1"/>
                <c:pt idx="0">
                  <c:v>2021/22</c:v>
                </c:pt>
              </c:strCache>
            </c:strRef>
          </c:tx>
          <c:spPr>
            <a:solidFill>
              <a:schemeClr val="accent5"/>
            </a:solidFill>
            <a:ln>
              <a:noFill/>
            </a:ln>
            <a:effectLst/>
          </c:spPr>
          <c:invertIfNegative val="0"/>
          <c:dLbls>
            <c:dLbl>
              <c:idx val="0"/>
              <c:tx>
                <c:rich>
                  <a:bodyPr/>
                  <a:lstStyle/>
                  <a:p>
                    <a:fld id="{161D63DB-4DE4-4C8D-A9BF-FED8B3B8385F}" type="CELLRANGE">
                      <a:rPr lang="en-US"/>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44F7-4B9B-830A-91D0038F397B}"/>
                </c:ext>
              </c:extLst>
            </c:dLbl>
            <c:dLbl>
              <c:idx val="1"/>
              <c:tx>
                <c:rich>
                  <a:bodyPr/>
                  <a:lstStyle/>
                  <a:p>
                    <a:fld id="{2F2E9522-D171-4670-B3B8-B26C56DDA1FF}"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44F7-4B9B-830A-91D0038F397B}"/>
                </c:ext>
              </c:extLst>
            </c:dLbl>
            <c:dLbl>
              <c:idx val="2"/>
              <c:tx>
                <c:rich>
                  <a:bodyPr/>
                  <a:lstStyle/>
                  <a:p>
                    <a:fld id="{143665DF-9C3F-44A1-82F9-5B2FA74B4CB3}"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44F7-4B9B-830A-91D0038F397B}"/>
                </c:ext>
              </c:extLst>
            </c:dLbl>
            <c:dLbl>
              <c:idx val="3"/>
              <c:tx>
                <c:rich>
                  <a:bodyPr/>
                  <a:lstStyle/>
                  <a:p>
                    <a:fld id="{54DBB14F-FA23-4B85-A7CA-D0AF5CD76588}"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44F7-4B9B-830A-91D0038F397B}"/>
                </c:ext>
              </c:extLst>
            </c:dLbl>
            <c:dLbl>
              <c:idx val="4"/>
              <c:tx>
                <c:rich>
                  <a:bodyPr/>
                  <a:lstStyle/>
                  <a:p>
                    <a:fld id="{F2EFB807-8320-4251-99DC-06D6E8A79D5E}"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44F7-4B9B-830A-91D0038F397B}"/>
                </c:ext>
              </c:extLst>
            </c:dLbl>
            <c:dLbl>
              <c:idx val="5"/>
              <c:tx>
                <c:rich>
                  <a:bodyPr/>
                  <a:lstStyle/>
                  <a:p>
                    <a:fld id="{06EE825D-F7BE-4FE6-9CE7-E44084DE95BE}"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44F7-4B9B-830A-91D0038F397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'#perregio'!$A$3:$A$8</c:f>
              <c:strCache>
                <c:ptCount val="6"/>
                <c:pt idx="0">
                  <c:v>BWI</c:v>
                </c:pt>
                <c:pt idx="1">
                  <c:v>PIE</c:v>
                </c:pt>
                <c:pt idx="2">
                  <c:v>M&amp;T</c:v>
                </c:pt>
                <c:pt idx="3">
                  <c:v>MVI</c:v>
                </c:pt>
                <c:pt idx="4">
                  <c:v>MaT</c:v>
                </c:pt>
                <c:pt idx="5">
                  <c:v>Totaal</c:v>
                </c:pt>
              </c:strCache>
            </c:strRef>
          </c:cat>
          <c:val>
            <c:numRef>
              <c:f>'#perregio'!$F$3:$F$8</c:f>
              <c:numCache>
                <c:formatCode>0.0</c:formatCode>
                <c:ptCount val="6"/>
                <c:pt idx="0">
                  <c:v>6.88</c:v>
                </c:pt>
                <c:pt idx="1">
                  <c:v>7.81</c:v>
                </c:pt>
                <c:pt idx="2">
                  <c:v>2.87</c:v>
                </c:pt>
                <c:pt idx="3">
                  <c:v>3.49</c:v>
                </c:pt>
                <c:pt idx="4">
                  <c:v>0.35</c:v>
                </c:pt>
                <c:pt idx="5">
                  <c:v>19.62</c:v>
                </c:pt>
              </c:numCache>
            </c:numRef>
          </c:val>
          <c:extLst>
            <c:ext xmlns:c15="http://schemas.microsoft.com/office/drawing/2012/chart" uri="{02D57815-91ED-43cb-92C2-25804820EDAC}">
              <c15:datalabelsRange>
                <c15:f>'#perregio'!$Q$3:$Q$8</c15:f>
                <c15:dlblRangeCache>
                  <c:ptCount val="6"/>
                  <c:pt idx="0">
                    <c:v>+5</c:v>
                  </c:pt>
                  <c:pt idx="1">
                    <c:v>+1</c:v>
                  </c:pt>
                  <c:pt idx="2">
                    <c:v>+8</c:v>
                  </c:pt>
                  <c:pt idx="3">
                    <c:v>-1</c:v>
                  </c:pt>
                  <c:pt idx="4">
                    <c:v>0</c:v>
                  </c:pt>
                  <c:pt idx="5">
                    <c:v>+3</c:v>
                  </c:pt>
                </c15:dlblRangeCache>
              </c15:datalabelsRange>
            </c:ext>
            <c:ext xmlns:c16="http://schemas.microsoft.com/office/drawing/2014/chart" uri="{C3380CC4-5D6E-409C-BE32-E72D297353CC}">
              <c16:uniqueId val="{0000001C-44F7-4B9B-830A-91D0038F397B}"/>
            </c:ext>
          </c:extLst>
        </c:ser>
        <c:ser>
          <c:idx val="5"/>
          <c:order val="5"/>
          <c:tx>
            <c:strRef>
              <c:f>'#perregio'!$G$2</c:f>
              <c:strCache>
                <c:ptCount val="1"/>
                <c:pt idx="0">
                  <c:v>2022/23</c:v>
                </c:pt>
              </c:strCache>
            </c:strRef>
          </c:tx>
          <c:spPr>
            <a:solidFill>
              <a:schemeClr val="accent6"/>
            </a:solidFill>
            <a:ln>
              <a:noFill/>
            </a:ln>
            <a:effectLst/>
          </c:spPr>
          <c:invertIfNegative val="0"/>
          <c:dLbls>
            <c:dLbl>
              <c:idx val="0"/>
              <c:tx>
                <c:rich>
                  <a:bodyPr/>
                  <a:lstStyle/>
                  <a:p>
                    <a:fld id="{F52344E6-D5A0-416C-8333-64EB5EC828EE}" type="CELLRANGE">
                      <a:rPr lang="en-US"/>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D-44F7-4B9B-830A-91D0038F397B}"/>
                </c:ext>
              </c:extLst>
            </c:dLbl>
            <c:dLbl>
              <c:idx val="1"/>
              <c:tx>
                <c:rich>
                  <a:bodyPr/>
                  <a:lstStyle/>
                  <a:p>
                    <a:fld id="{0E04E1B0-4E4E-4D60-9586-A58F9431F391}"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44F7-4B9B-830A-91D0038F397B}"/>
                </c:ext>
              </c:extLst>
            </c:dLbl>
            <c:dLbl>
              <c:idx val="2"/>
              <c:tx>
                <c:rich>
                  <a:bodyPr/>
                  <a:lstStyle/>
                  <a:p>
                    <a:fld id="{176CC0CD-7C36-4202-A617-0D4CDAF24465}"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44F7-4B9B-830A-91D0038F397B}"/>
                </c:ext>
              </c:extLst>
            </c:dLbl>
            <c:dLbl>
              <c:idx val="3"/>
              <c:tx>
                <c:rich>
                  <a:bodyPr/>
                  <a:lstStyle/>
                  <a:p>
                    <a:fld id="{B2E7C3F5-4FE9-43A6-8047-82EADB3D57A4}"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44F7-4B9B-830A-91D0038F397B}"/>
                </c:ext>
              </c:extLst>
            </c:dLbl>
            <c:dLbl>
              <c:idx val="4"/>
              <c:tx>
                <c:rich>
                  <a:bodyPr/>
                  <a:lstStyle/>
                  <a:p>
                    <a:fld id="{62F93A48-1953-426A-98D9-6A551507166A}"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44F7-4B9B-830A-91D0038F397B}"/>
                </c:ext>
              </c:extLst>
            </c:dLbl>
            <c:dLbl>
              <c:idx val="5"/>
              <c:tx>
                <c:rich>
                  <a:bodyPr/>
                  <a:lstStyle/>
                  <a:p>
                    <a:fld id="{0002563C-FD3A-4935-B606-57C623FD4BE5}"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44F7-4B9B-830A-91D0038F397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'#perregio'!$A$3:$A$8</c:f>
              <c:strCache>
                <c:ptCount val="6"/>
                <c:pt idx="0">
                  <c:v>BWI</c:v>
                </c:pt>
                <c:pt idx="1">
                  <c:v>PIE</c:v>
                </c:pt>
                <c:pt idx="2">
                  <c:v>M&amp;T</c:v>
                </c:pt>
                <c:pt idx="3">
                  <c:v>MVI</c:v>
                </c:pt>
                <c:pt idx="4">
                  <c:v>MaT</c:v>
                </c:pt>
                <c:pt idx="5">
                  <c:v>Totaal</c:v>
                </c:pt>
              </c:strCache>
            </c:strRef>
          </c:cat>
          <c:val>
            <c:numRef>
              <c:f>'#perregio'!$G$3:$G$8</c:f>
              <c:numCache>
                <c:formatCode>0.0</c:formatCode>
                <c:ptCount val="6"/>
                <c:pt idx="0">
                  <c:v>7.0780000000000003</c:v>
                </c:pt>
                <c:pt idx="1">
                  <c:v>8.0129999999999999</c:v>
                </c:pt>
                <c:pt idx="2">
                  <c:v>2.9350000000000001</c:v>
                </c:pt>
                <c:pt idx="3">
                  <c:v>3.3769999999999998</c:v>
                </c:pt>
                <c:pt idx="4">
                  <c:v>0.20799999999999999</c:v>
                </c:pt>
                <c:pt idx="5">
                  <c:v>19.882999999999999</c:v>
                </c:pt>
              </c:numCache>
            </c:numRef>
          </c:val>
          <c:extLst>
            <c:ext xmlns:c15="http://schemas.microsoft.com/office/drawing/2012/chart" uri="{02D57815-91ED-43cb-92C2-25804820EDAC}">
              <c15:datalabelsRange>
                <c15:f>'#perregio'!$R$3:$R$8</c15:f>
                <c15:dlblRangeCache>
                  <c:ptCount val="6"/>
                  <c:pt idx="0">
                    <c:v>+3</c:v>
                  </c:pt>
                  <c:pt idx="1">
                    <c:v>+3</c:v>
                  </c:pt>
                  <c:pt idx="2">
                    <c:v>+2</c:v>
                  </c:pt>
                  <c:pt idx="3">
                    <c:v>-3</c:v>
                  </c:pt>
                  <c:pt idx="4">
                    <c:v>-41</c:v>
                  </c:pt>
                  <c:pt idx="5">
                    <c:v>+1</c:v>
                  </c:pt>
                </c15:dlblRangeCache>
              </c15:datalabelsRange>
            </c:ext>
            <c:ext xmlns:c16="http://schemas.microsoft.com/office/drawing/2014/chart" uri="{C3380CC4-5D6E-409C-BE32-E72D297353CC}">
              <c16:uniqueId val="{00000023-44F7-4B9B-830A-91D0038F397B}"/>
            </c:ext>
          </c:extLst>
        </c:ser>
        <c:dLbls>
          <c:dLblPos val="outEnd"/>
          <c:showLegendKey val="0"/>
          <c:showVal val="1"/>
          <c:showCatName val="0"/>
          <c:showSerName val="0"/>
          <c:showPercent val="0"/>
          <c:showBubbleSize val="0"/>
        </c:dLbls>
        <c:gapWidth val="150"/>
        <c:overlap val="-20"/>
        <c:axId val="2108441199"/>
        <c:axId val="2108441615"/>
      </c:barChart>
      <c:catAx>
        <c:axId val="2108441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08441615"/>
        <c:crosses val="autoZero"/>
        <c:auto val="1"/>
        <c:lblAlgn val="ctr"/>
        <c:lblOffset val="100"/>
        <c:noMultiLvlLbl val="0"/>
      </c:catAx>
      <c:valAx>
        <c:axId val="210844161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08441199"/>
        <c:crosses val="autoZero"/>
        <c:crossBetween val="between"/>
      </c:valAx>
      <c:spPr>
        <a:noFill/>
        <a:ln>
          <a:noFill/>
        </a:ln>
        <a:effectLst/>
      </c:spPr>
    </c:plotArea>
    <c:legend>
      <c:legendPos val="l"/>
      <c:layout>
        <c:manualLayout>
          <c:xMode val="edge"/>
          <c:yMode val="edge"/>
          <c:x val="7.4965282117513091E-2"/>
          <c:y val="8.0528769189860919E-2"/>
          <c:w val="0.1030486645322802"/>
          <c:h val="0.46881480509253182"/>
        </c:manualLayout>
      </c:layout>
      <c:overlay val="1"/>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leeftijd!$C$33</c:f>
              <c:strCache>
                <c:ptCount val="1"/>
                <c:pt idx="0">
                  <c:v>18 t/m 29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leeftijd!$A$34:$B$45</c:f>
              <c:multiLvlStrCache>
                <c:ptCount val="12"/>
                <c:lvl>
                  <c:pt idx="0">
                    <c:v>2017/18</c:v>
                  </c:pt>
                  <c:pt idx="1">
                    <c:v>2022/23</c:v>
                  </c:pt>
                  <c:pt idx="2">
                    <c:v>2017/18</c:v>
                  </c:pt>
                  <c:pt idx="3">
                    <c:v>2022/23</c:v>
                  </c:pt>
                  <c:pt idx="4">
                    <c:v>2017/18</c:v>
                  </c:pt>
                  <c:pt idx="5">
                    <c:v>2022/23</c:v>
                  </c:pt>
                  <c:pt idx="6">
                    <c:v>2017/18</c:v>
                  </c:pt>
                  <c:pt idx="7">
                    <c:v>2022/23</c:v>
                  </c:pt>
                  <c:pt idx="8">
                    <c:v>2017/18</c:v>
                  </c:pt>
                  <c:pt idx="9">
                    <c:v>2022/23</c:v>
                  </c:pt>
                  <c:pt idx="10">
                    <c:v>2017/18</c:v>
                  </c:pt>
                  <c:pt idx="11">
                    <c:v>2022/23</c:v>
                  </c:pt>
                </c:lvl>
                <c:lvl>
                  <c:pt idx="0">
                    <c:v>BWI</c:v>
                  </c:pt>
                  <c:pt idx="2">
                    <c:v>PIE</c:v>
                  </c:pt>
                  <c:pt idx="4">
                    <c:v>M&amp;T</c:v>
                  </c:pt>
                  <c:pt idx="6">
                    <c:v>MVI</c:v>
                  </c:pt>
                  <c:pt idx="8">
                    <c:v>MaT</c:v>
                  </c:pt>
                  <c:pt idx="10">
                    <c:v>Totaal</c:v>
                  </c:pt>
                </c:lvl>
              </c:multiLvlStrCache>
            </c:multiLvlStrRef>
          </c:cat>
          <c:val>
            <c:numRef>
              <c:f>leeftijd!$C$34:$C$45</c:f>
              <c:numCache>
                <c:formatCode>0%</c:formatCode>
                <c:ptCount val="12"/>
                <c:pt idx="0">
                  <c:v>7.0063694267515922E-2</c:v>
                </c:pt>
                <c:pt idx="1">
                  <c:v>6.093189964157706E-2</c:v>
                </c:pt>
                <c:pt idx="2">
                  <c:v>4.6104928457869634E-2</c:v>
                </c:pt>
                <c:pt idx="3">
                  <c:v>6.0126582278481014E-2</c:v>
                </c:pt>
                <c:pt idx="4">
                  <c:v>5.0925925925925923E-2</c:v>
                </c:pt>
                <c:pt idx="5">
                  <c:v>5.701754385964912E-2</c:v>
                </c:pt>
                <c:pt idx="6">
                  <c:v>0.14814814814814814</c:v>
                </c:pt>
                <c:pt idx="7">
                  <c:v>0.15699658703071673</c:v>
                </c:pt>
                <c:pt idx="10">
                  <c:v>7.0517125587642712E-2</c:v>
                </c:pt>
                <c:pt idx="11">
                  <c:v>7.6633165829145727E-2</c:v>
                </c:pt>
              </c:numCache>
            </c:numRef>
          </c:val>
          <c:extLst>
            <c:ext xmlns:c16="http://schemas.microsoft.com/office/drawing/2014/chart" uri="{C3380CC4-5D6E-409C-BE32-E72D297353CC}">
              <c16:uniqueId val="{00000000-4E0E-42DA-A892-AF4BDB4FEAF3}"/>
            </c:ext>
          </c:extLst>
        </c:ser>
        <c:ser>
          <c:idx val="1"/>
          <c:order val="1"/>
          <c:tx>
            <c:strRef>
              <c:f>leeftijd!$D$33</c:f>
              <c:strCache>
                <c:ptCount val="1"/>
                <c:pt idx="0">
                  <c:v>30 t/m 39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leeftijd!$A$34:$B$45</c:f>
              <c:multiLvlStrCache>
                <c:ptCount val="12"/>
                <c:lvl>
                  <c:pt idx="0">
                    <c:v>2017/18</c:v>
                  </c:pt>
                  <c:pt idx="1">
                    <c:v>2022/23</c:v>
                  </c:pt>
                  <c:pt idx="2">
                    <c:v>2017/18</c:v>
                  </c:pt>
                  <c:pt idx="3">
                    <c:v>2022/23</c:v>
                  </c:pt>
                  <c:pt idx="4">
                    <c:v>2017/18</c:v>
                  </c:pt>
                  <c:pt idx="5">
                    <c:v>2022/23</c:v>
                  </c:pt>
                  <c:pt idx="6">
                    <c:v>2017/18</c:v>
                  </c:pt>
                  <c:pt idx="7">
                    <c:v>2022/23</c:v>
                  </c:pt>
                  <c:pt idx="8">
                    <c:v>2017/18</c:v>
                  </c:pt>
                  <c:pt idx="9">
                    <c:v>2022/23</c:v>
                  </c:pt>
                  <c:pt idx="10">
                    <c:v>2017/18</c:v>
                  </c:pt>
                  <c:pt idx="11">
                    <c:v>2022/23</c:v>
                  </c:pt>
                </c:lvl>
                <c:lvl>
                  <c:pt idx="0">
                    <c:v>BWI</c:v>
                  </c:pt>
                  <c:pt idx="2">
                    <c:v>PIE</c:v>
                  </c:pt>
                  <c:pt idx="4">
                    <c:v>M&amp;T</c:v>
                  </c:pt>
                  <c:pt idx="6">
                    <c:v>MVI</c:v>
                  </c:pt>
                  <c:pt idx="8">
                    <c:v>MaT</c:v>
                  </c:pt>
                  <c:pt idx="10">
                    <c:v>Totaal</c:v>
                  </c:pt>
                </c:lvl>
              </c:multiLvlStrCache>
            </c:multiLvlStrRef>
          </c:cat>
          <c:val>
            <c:numRef>
              <c:f>leeftijd!$D$34:$D$45</c:f>
              <c:numCache>
                <c:formatCode>0%</c:formatCode>
                <c:ptCount val="12"/>
                <c:pt idx="0">
                  <c:v>0.18471337579617833</c:v>
                </c:pt>
                <c:pt idx="1">
                  <c:v>0.2132616487455197</c:v>
                </c:pt>
                <c:pt idx="2">
                  <c:v>0.13354531001589801</c:v>
                </c:pt>
                <c:pt idx="3">
                  <c:v>0.15348101265822786</c:v>
                </c:pt>
                <c:pt idx="4">
                  <c:v>0.18055555555555555</c:v>
                </c:pt>
                <c:pt idx="5">
                  <c:v>0.19298245614035087</c:v>
                </c:pt>
                <c:pt idx="6">
                  <c:v>0.24444444444444444</c:v>
                </c:pt>
                <c:pt idx="7">
                  <c:v>0.31399317406143346</c:v>
                </c:pt>
                <c:pt idx="10">
                  <c:v>0.17259905977165882</c:v>
                </c:pt>
                <c:pt idx="11">
                  <c:v>0.20477386934673367</c:v>
                </c:pt>
              </c:numCache>
            </c:numRef>
          </c:val>
          <c:extLst>
            <c:ext xmlns:c16="http://schemas.microsoft.com/office/drawing/2014/chart" uri="{C3380CC4-5D6E-409C-BE32-E72D297353CC}">
              <c16:uniqueId val="{00000001-4E0E-42DA-A892-AF4BDB4FEAF3}"/>
            </c:ext>
          </c:extLst>
        </c:ser>
        <c:ser>
          <c:idx val="2"/>
          <c:order val="2"/>
          <c:tx>
            <c:strRef>
              <c:f>leeftijd!$E$33</c:f>
              <c:strCache>
                <c:ptCount val="1"/>
                <c:pt idx="0">
                  <c:v>40 t/m 49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leeftijd!$A$34:$B$45</c:f>
              <c:multiLvlStrCache>
                <c:ptCount val="12"/>
                <c:lvl>
                  <c:pt idx="0">
                    <c:v>2017/18</c:v>
                  </c:pt>
                  <c:pt idx="1">
                    <c:v>2022/23</c:v>
                  </c:pt>
                  <c:pt idx="2">
                    <c:v>2017/18</c:v>
                  </c:pt>
                  <c:pt idx="3">
                    <c:v>2022/23</c:v>
                  </c:pt>
                  <c:pt idx="4">
                    <c:v>2017/18</c:v>
                  </c:pt>
                  <c:pt idx="5">
                    <c:v>2022/23</c:v>
                  </c:pt>
                  <c:pt idx="6">
                    <c:v>2017/18</c:v>
                  </c:pt>
                  <c:pt idx="7">
                    <c:v>2022/23</c:v>
                  </c:pt>
                  <c:pt idx="8">
                    <c:v>2017/18</c:v>
                  </c:pt>
                  <c:pt idx="9">
                    <c:v>2022/23</c:v>
                  </c:pt>
                  <c:pt idx="10">
                    <c:v>2017/18</c:v>
                  </c:pt>
                  <c:pt idx="11">
                    <c:v>2022/23</c:v>
                  </c:pt>
                </c:lvl>
                <c:lvl>
                  <c:pt idx="0">
                    <c:v>BWI</c:v>
                  </c:pt>
                  <c:pt idx="2">
                    <c:v>PIE</c:v>
                  </c:pt>
                  <c:pt idx="4">
                    <c:v>M&amp;T</c:v>
                  </c:pt>
                  <c:pt idx="6">
                    <c:v>MVI</c:v>
                  </c:pt>
                  <c:pt idx="8">
                    <c:v>MaT</c:v>
                  </c:pt>
                  <c:pt idx="10">
                    <c:v>Totaal</c:v>
                  </c:pt>
                </c:lvl>
              </c:multiLvlStrCache>
            </c:multiLvlStrRef>
          </c:cat>
          <c:val>
            <c:numRef>
              <c:f>leeftijd!$E$34:$E$45</c:f>
              <c:numCache>
                <c:formatCode>0%</c:formatCode>
                <c:ptCount val="12"/>
                <c:pt idx="0">
                  <c:v>0.21019108280254778</c:v>
                </c:pt>
                <c:pt idx="1">
                  <c:v>0.27956989247311825</c:v>
                </c:pt>
                <c:pt idx="2">
                  <c:v>0.25755166931637519</c:v>
                </c:pt>
                <c:pt idx="3">
                  <c:v>0.24841772151898733</c:v>
                </c:pt>
                <c:pt idx="4">
                  <c:v>0.27777777777777779</c:v>
                </c:pt>
                <c:pt idx="5">
                  <c:v>0.32894736842105265</c:v>
                </c:pt>
                <c:pt idx="6">
                  <c:v>0.23703703703703705</c:v>
                </c:pt>
                <c:pt idx="7">
                  <c:v>0.29010238907849828</c:v>
                </c:pt>
                <c:pt idx="10">
                  <c:v>0.24110141034251176</c:v>
                </c:pt>
                <c:pt idx="11">
                  <c:v>0.27826633165829145</c:v>
                </c:pt>
              </c:numCache>
            </c:numRef>
          </c:val>
          <c:extLst>
            <c:ext xmlns:c16="http://schemas.microsoft.com/office/drawing/2014/chart" uri="{C3380CC4-5D6E-409C-BE32-E72D297353CC}">
              <c16:uniqueId val="{00000002-4E0E-42DA-A892-AF4BDB4FEAF3}"/>
            </c:ext>
          </c:extLst>
        </c:ser>
        <c:ser>
          <c:idx val="3"/>
          <c:order val="3"/>
          <c:tx>
            <c:strRef>
              <c:f>leeftijd!$F$33</c:f>
              <c:strCache>
                <c:ptCount val="1"/>
                <c:pt idx="0">
                  <c:v>50 t/m 59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leeftijd!$A$34:$B$45</c:f>
              <c:multiLvlStrCache>
                <c:ptCount val="12"/>
                <c:lvl>
                  <c:pt idx="0">
                    <c:v>2017/18</c:v>
                  </c:pt>
                  <c:pt idx="1">
                    <c:v>2022/23</c:v>
                  </c:pt>
                  <c:pt idx="2">
                    <c:v>2017/18</c:v>
                  </c:pt>
                  <c:pt idx="3">
                    <c:v>2022/23</c:v>
                  </c:pt>
                  <c:pt idx="4">
                    <c:v>2017/18</c:v>
                  </c:pt>
                  <c:pt idx="5">
                    <c:v>2022/23</c:v>
                  </c:pt>
                  <c:pt idx="6">
                    <c:v>2017/18</c:v>
                  </c:pt>
                  <c:pt idx="7">
                    <c:v>2022/23</c:v>
                  </c:pt>
                  <c:pt idx="8">
                    <c:v>2017/18</c:v>
                  </c:pt>
                  <c:pt idx="9">
                    <c:v>2022/23</c:v>
                  </c:pt>
                  <c:pt idx="10">
                    <c:v>2017/18</c:v>
                  </c:pt>
                  <c:pt idx="11">
                    <c:v>2022/23</c:v>
                  </c:pt>
                </c:lvl>
                <c:lvl>
                  <c:pt idx="0">
                    <c:v>BWI</c:v>
                  </c:pt>
                  <c:pt idx="2">
                    <c:v>PIE</c:v>
                  </c:pt>
                  <c:pt idx="4">
                    <c:v>M&amp;T</c:v>
                  </c:pt>
                  <c:pt idx="6">
                    <c:v>MVI</c:v>
                  </c:pt>
                  <c:pt idx="8">
                    <c:v>MaT</c:v>
                  </c:pt>
                  <c:pt idx="10">
                    <c:v>Totaal</c:v>
                  </c:pt>
                </c:lvl>
              </c:multiLvlStrCache>
            </c:multiLvlStrRef>
          </c:cat>
          <c:val>
            <c:numRef>
              <c:f>leeftijd!$F$34:$F$45</c:f>
              <c:numCache>
                <c:formatCode>0%</c:formatCode>
                <c:ptCount val="12"/>
                <c:pt idx="0">
                  <c:v>0.35244161358811038</c:v>
                </c:pt>
                <c:pt idx="1">
                  <c:v>0.28136200716845877</c:v>
                </c:pt>
                <c:pt idx="2">
                  <c:v>0.35453100158982515</c:v>
                </c:pt>
                <c:pt idx="3">
                  <c:v>0.34335443037974683</c:v>
                </c:pt>
                <c:pt idx="4">
                  <c:v>0.35648148148148145</c:v>
                </c:pt>
                <c:pt idx="5">
                  <c:v>0.25438596491228072</c:v>
                </c:pt>
                <c:pt idx="6">
                  <c:v>0.28888888888888886</c:v>
                </c:pt>
                <c:pt idx="7">
                  <c:v>0.15699658703071673</c:v>
                </c:pt>
                <c:pt idx="10">
                  <c:v>0.34251175285426461</c:v>
                </c:pt>
                <c:pt idx="11">
                  <c:v>0.27638190954773867</c:v>
                </c:pt>
              </c:numCache>
            </c:numRef>
          </c:val>
          <c:extLst>
            <c:ext xmlns:c16="http://schemas.microsoft.com/office/drawing/2014/chart" uri="{C3380CC4-5D6E-409C-BE32-E72D297353CC}">
              <c16:uniqueId val="{00000003-4E0E-42DA-A892-AF4BDB4FEAF3}"/>
            </c:ext>
          </c:extLst>
        </c:ser>
        <c:ser>
          <c:idx val="4"/>
          <c:order val="4"/>
          <c:tx>
            <c:strRef>
              <c:f>leeftijd!$G$33</c:f>
              <c:strCache>
                <c:ptCount val="1"/>
                <c:pt idx="0">
                  <c:v>60+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leeftijd!$A$34:$B$45</c:f>
              <c:multiLvlStrCache>
                <c:ptCount val="12"/>
                <c:lvl>
                  <c:pt idx="0">
                    <c:v>2017/18</c:v>
                  </c:pt>
                  <c:pt idx="1">
                    <c:v>2022/23</c:v>
                  </c:pt>
                  <c:pt idx="2">
                    <c:v>2017/18</c:v>
                  </c:pt>
                  <c:pt idx="3">
                    <c:v>2022/23</c:v>
                  </c:pt>
                  <c:pt idx="4">
                    <c:v>2017/18</c:v>
                  </c:pt>
                  <c:pt idx="5">
                    <c:v>2022/23</c:v>
                  </c:pt>
                  <c:pt idx="6">
                    <c:v>2017/18</c:v>
                  </c:pt>
                  <c:pt idx="7">
                    <c:v>2022/23</c:v>
                  </c:pt>
                  <c:pt idx="8">
                    <c:v>2017/18</c:v>
                  </c:pt>
                  <c:pt idx="9">
                    <c:v>2022/23</c:v>
                  </c:pt>
                  <c:pt idx="10">
                    <c:v>2017/18</c:v>
                  </c:pt>
                  <c:pt idx="11">
                    <c:v>2022/23</c:v>
                  </c:pt>
                </c:lvl>
                <c:lvl>
                  <c:pt idx="0">
                    <c:v>BWI</c:v>
                  </c:pt>
                  <c:pt idx="2">
                    <c:v>PIE</c:v>
                  </c:pt>
                  <c:pt idx="4">
                    <c:v>M&amp;T</c:v>
                  </c:pt>
                  <c:pt idx="6">
                    <c:v>MVI</c:v>
                  </c:pt>
                  <c:pt idx="8">
                    <c:v>MaT</c:v>
                  </c:pt>
                  <c:pt idx="10">
                    <c:v>Totaal</c:v>
                  </c:pt>
                </c:lvl>
              </c:multiLvlStrCache>
            </c:multiLvlStrRef>
          </c:cat>
          <c:val>
            <c:numRef>
              <c:f>leeftijd!$G$34:$G$45</c:f>
              <c:numCache>
                <c:formatCode>0%</c:formatCode>
                <c:ptCount val="12"/>
                <c:pt idx="0">
                  <c:v>0.18259023354564755</c:v>
                </c:pt>
                <c:pt idx="1">
                  <c:v>0.16487455197132617</c:v>
                </c:pt>
                <c:pt idx="2">
                  <c:v>0.20826709062003179</c:v>
                </c:pt>
                <c:pt idx="3">
                  <c:v>0.19462025316455697</c:v>
                </c:pt>
                <c:pt idx="4">
                  <c:v>0.13425925925925927</c:v>
                </c:pt>
                <c:pt idx="5">
                  <c:v>0.16666666666666666</c:v>
                </c:pt>
                <c:pt idx="6">
                  <c:v>8.1481481481481488E-2</c:v>
                </c:pt>
                <c:pt idx="7">
                  <c:v>8.191126279863481E-2</c:v>
                </c:pt>
                <c:pt idx="10">
                  <c:v>0.17327065144392209</c:v>
                </c:pt>
                <c:pt idx="11">
                  <c:v>0.16394472361809045</c:v>
                </c:pt>
              </c:numCache>
            </c:numRef>
          </c:val>
          <c:extLst>
            <c:ext xmlns:c16="http://schemas.microsoft.com/office/drawing/2014/chart" uri="{C3380CC4-5D6E-409C-BE32-E72D297353CC}">
              <c16:uniqueId val="{00000004-4E0E-42DA-A892-AF4BDB4FEAF3}"/>
            </c:ext>
          </c:extLst>
        </c:ser>
        <c:dLbls>
          <c:dLblPos val="ctr"/>
          <c:showLegendKey val="0"/>
          <c:showVal val="1"/>
          <c:showCatName val="0"/>
          <c:showSerName val="0"/>
          <c:showPercent val="0"/>
          <c:showBubbleSize val="0"/>
        </c:dLbls>
        <c:gapWidth val="20"/>
        <c:overlap val="100"/>
        <c:axId val="947863631"/>
        <c:axId val="947868623"/>
      </c:barChart>
      <c:catAx>
        <c:axId val="94786363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47868623"/>
        <c:crosses val="autoZero"/>
        <c:auto val="1"/>
        <c:lblAlgn val="ctr"/>
        <c:lblOffset val="100"/>
        <c:noMultiLvlLbl val="0"/>
      </c:catAx>
      <c:valAx>
        <c:axId val="94786862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47863631"/>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Bevoegd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1"/>
          <c:order val="0"/>
          <c:tx>
            <c:strRef>
              <c:f>'andere kenmerken'!$E$1</c:f>
              <c:strCache>
                <c:ptCount val="1"/>
                <c:pt idx="0">
                  <c:v>2017/18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'andere kenmerken'!$F$3:$F$8</c:f>
              <c:numCache>
                <c:formatCode>0%</c:formatCode>
                <c:ptCount val="6"/>
                <c:pt idx="0">
                  <c:v>0.54989384288747345</c:v>
                </c:pt>
                <c:pt idx="1">
                  <c:v>0.49920508744038156</c:v>
                </c:pt>
                <c:pt idx="2">
                  <c:v>0.48148148148148145</c:v>
                </c:pt>
                <c:pt idx="3">
                  <c:v>0.40370370370370373</c:v>
                </c:pt>
                <c:pt idx="4">
                  <c:v>0.33333333333333331</c:v>
                </c:pt>
                <c:pt idx="5">
                  <c:v>0.51175285426460715</c:v>
                </c:pt>
              </c:numCache>
            </c:numRef>
          </c:val>
          <c:extLst>
            <c:ext xmlns:c16="http://schemas.microsoft.com/office/drawing/2014/chart" uri="{C3380CC4-5D6E-409C-BE32-E72D297353CC}">
              <c16:uniqueId val="{00000000-4B6B-47A3-AABF-0190DCE502CA}"/>
            </c:ext>
          </c:extLst>
        </c:ser>
        <c:ser>
          <c:idx val="0"/>
          <c:order val="1"/>
          <c:tx>
            <c:strRef>
              <c:f>'andere kenmerken'!$A$1</c:f>
              <c:strCache>
                <c:ptCount val="1"/>
                <c:pt idx="0">
                  <c:v>2022/23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'andere kenmerken'!$A$3:$A$8</c:f>
              <c:strCache>
                <c:ptCount val="6"/>
                <c:pt idx="0">
                  <c:v>BWI</c:v>
                </c:pt>
                <c:pt idx="1">
                  <c:v>PIE</c:v>
                </c:pt>
                <c:pt idx="2">
                  <c:v>M&amp;T</c:v>
                </c:pt>
                <c:pt idx="3">
                  <c:v>MVI</c:v>
                </c:pt>
                <c:pt idx="4">
                  <c:v>MaT</c:v>
                </c:pt>
                <c:pt idx="5">
                  <c:v>Totaal</c:v>
                </c:pt>
              </c:strCache>
            </c:strRef>
          </c:cat>
          <c:val>
            <c:numRef>
              <c:f>'andere kenmerken'!$C$3:$C$8</c:f>
              <c:numCache>
                <c:formatCode>0%</c:formatCode>
                <c:ptCount val="6"/>
                <c:pt idx="0">
                  <c:v>0.53148148148148144</c:v>
                </c:pt>
                <c:pt idx="1">
                  <c:v>0.5815831987075929</c:v>
                </c:pt>
                <c:pt idx="2">
                  <c:v>0.547085201793722</c:v>
                </c:pt>
                <c:pt idx="3">
                  <c:v>0.57191780821917804</c:v>
                </c:pt>
                <c:pt idx="5">
                  <c:v>0.57581573896353166</c:v>
                </c:pt>
              </c:numCache>
            </c:numRef>
          </c:val>
          <c:extLst>
            <c:ext xmlns:c16="http://schemas.microsoft.com/office/drawing/2014/chart" uri="{C3380CC4-5D6E-409C-BE32-E72D297353CC}">
              <c16:uniqueId val="{00000001-4B6B-47A3-AABF-0190DCE502CA}"/>
            </c:ext>
          </c:extLst>
        </c:ser>
        <c:dLbls>
          <c:dLblPos val="outEnd"/>
          <c:showLegendKey val="0"/>
          <c:showVal val="1"/>
          <c:showCatName val="0"/>
          <c:showSerName val="0"/>
          <c:showPercent val="0"/>
          <c:showBubbleSize val="0"/>
        </c:dLbls>
        <c:gapWidth val="50"/>
        <c:overlap val="-27"/>
        <c:axId val="1087966879"/>
        <c:axId val="1087951487"/>
      </c:barChart>
      <c:catAx>
        <c:axId val="1087966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87951487"/>
        <c:crosses val="autoZero"/>
        <c:auto val="1"/>
        <c:lblAlgn val="ctr"/>
        <c:lblOffset val="100"/>
        <c:noMultiLvlLbl val="0"/>
      </c:catAx>
      <c:valAx>
        <c:axId val="108795148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879668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Ondersteunend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1"/>
          <c:order val="0"/>
          <c:tx>
            <c:strRef>
              <c:f>'andere kenmerken'!$E$1</c:f>
              <c:strCache>
                <c:ptCount val="1"/>
                <c:pt idx="0">
                  <c:v>2017/18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'andere kenmerken'!$F$57:$F$62</c:f>
              <c:numCache>
                <c:formatCode>0%</c:formatCode>
                <c:ptCount val="6"/>
                <c:pt idx="0">
                  <c:v>0.17409766454352441</c:v>
                </c:pt>
                <c:pt idx="1">
                  <c:v>0.1589825119236884</c:v>
                </c:pt>
                <c:pt idx="2">
                  <c:v>0.17592592592592593</c:v>
                </c:pt>
                <c:pt idx="3">
                  <c:v>8.1481481481481488E-2</c:v>
                </c:pt>
                <c:pt idx="4">
                  <c:v>0.27777777777777779</c:v>
                </c:pt>
                <c:pt idx="5">
                  <c:v>0.14976494291470785</c:v>
                </c:pt>
              </c:numCache>
            </c:numRef>
          </c:val>
          <c:extLst>
            <c:ext xmlns:c16="http://schemas.microsoft.com/office/drawing/2014/chart" uri="{C3380CC4-5D6E-409C-BE32-E72D297353CC}">
              <c16:uniqueId val="{00000000-05F2-4231-B44C-F7F44A3D2800}"/>
            </c:ext>
          </c:extLst>
        </c:ser>
        <c:ser>
          <c:idx val="0"/>
          <c:order val="1"/>
          <c:tx>
            <c:strRef>
              <c:f>'andere kenmerken'!$A$1</c:f>
              <c:strCache>
                <c:ptCount val="1"/>
                <c:pt idx="0">
                  <c:v>2022/23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'andere kenmerken'!$A$3:$A$8</c:f>
              <c:strCache>
                <c:ptCount val="6"/>
                <c:pt idx="0">
                  <c:v>BWI</c:v>
                </c:pt>
                <c:pt idx="1">
                  <c:v>PIE</c:v>
                </c:pt>
                <c:pt idx="2">
                  <c:v>M&amp;T</c:v>
                </c:pt>
                <c:pt idx="3">
                  <c:v>MVI</c:v>
                </c:pt>
                <c:pt idx="4">
                  <c:v>MaT</c:v>
                </c:pt>
                <c:pt idx="5">
                  <c:v>Totaal</c:v>
                </c:pt>
              </c:strCache>
            </c:strRef>
          </c:cat>
          <c:val>
            <c:numRef>
              <c:f>'andere kenmerken'!$C$57:$C$62</c:f>
              <c:numCache>
                <c:formatCode>0%</c:formatCode>
                <c:ptCount val="6"/>
                <c:pt idx="0">
                  <c:v>0.29814814814814816</c:v>
                </c:pt>
                <c:pt idx="1">
                  <c:v>0.26009693053311794</c:v>
                </c:pt>
                <c:pt idx="2">
                  <c:v>0.28251121076233182</c:v>
                </c:pt>
                <c:pt idx="3">
                  <c:v>0.12328767123287671</c:v>
                </c:pt>
                <c:pt idx="4">
                  <c:v>0</c:v>
                </c:pt>
                <c:pt idx="5">
                  <c:v>0.24248240563019835</c:v>
                </c:pt>
              </c:numCache>
            </c:numRef>
          </c:val>
          <c:extLst>
            <c:ext xmlns:c16="http://schemas.microsoft.com/office/drawing/2014/chart" uri="{C3380CC4-5D6E-409C-BE32-E72D297353CC}">
              <c16:uniqueId val="{00000001-05F2-4231-B44C-F7F44A3D2800}"/>
            </c:ext>
          </c:extLst>
        </c:ser>
        <c:dLbls>
          <c:dLblPos val="outEnd"/>
          <c:showLegendKey val="0"/>
          <c:showVal val="1"/>
          <c:showCatName val="0"/>
          <c:showSerName val="0"/>
          <c:showPercent val="0"/>
          <c:showBubbleSize val="0"/>
        </c:dLbls>
        <c:gapWidth val="50"/>
        <c:overlap val="-27"/>
        <c:axId val="1087966879"/>
        <c:axId val="1087951487"/>
      </c:barChart>
      <c:catAx>
        <c:axId val="1087966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87951487"/>
        <c:crosses val="autoZero"/>
        <c:auto val="1"/>
        <c:lblAlgn val="ctr"/>
        <c:lblOffset val="100"/>
        <c:noMultiLvlLbl val="0"/>
      </c:catAx>
      <c:valAx>
        <c:axId val="108795148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87966879"/>
        <c:crosses val="autoZero"/>
        <c:crossBetween val="between"/>
      </c:valAx>
      <c:spPr>
        <a:noFill/>
        <a:ln>
          <a:noFill/>
        </a:ln>
        <a:effectLst/>
      </c:spPr>
    </c:plotArea>
    <c:legend>
      <c:legendPos val="tr"/>
      <c:layout>
        <c:manualLayout>
          <c:xMode val="edge"/>
          <c:yMode val="edge"/>
          <c:x val="0.75428333333333331"/>
          <c:y val="0.18119548611111114"/>
          <c:w val="0.20602916666666668"/>
          <c:h val="0.14882916666666668"/>
        </c:manualLayout>
      </c:layout>
      <c:overlay val="1"/>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Vast</a:t>
            </a:r>
            <a:r>
              <a:rPr lang="nl-NL" baseline="0"/>
              <a:t> contract</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1"/>
          <c:order val="0"/>
          <c:tx>
            <c:strRef>
              <c:f>'andere kenmerken'!$E$1</c:f>
              <c:strCache>
                <c:ptCount val="1"/>
                <c:pt idx="0">
                  <c:v>2017/18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'andere kenmerken'!$F$39:$F$44</c:f>
              <c:numCache>
                <c:formatCode>0%</c:formatCode>
                <c:ptCount val="6"/>
                <c:pt idx="0">
                  <c:v>0.85350318471337583</c:v>
                </c:pt>
                <c:pt idx="1">
                  <c:v>0.83942766295707472</c:v>
                </c:pt>
                <c:pt idx="2">
                  <c:v>0.81944444444444442</c:v>
                </c:pt>
                <c:pt idx="3">
                  <c:v>0.81851851851851853</c:v>
                </c:pt>
                <c:pt idx="4">
                  <c:v>0.88888888888888884</c:v>
                </c:pt>
                <c:pt idx="5">
                  <c:v>0.83948959032907988</c:v>
                </c:pt>
              </c:numCache>
            </c:numRef>
          </c:val>
          <c:extLst>
            <c:ext xmlns:c16="http://schemas.microsoft.com/office/drawing/2014/chart" uri="{C3380CC4-5D6E-409C-BE32-E72D297353CC}">
              <c16:uniqueId val="{00000000-5B87-44F3-912D-F76AA77411E9}"/>
            </c:ext>
          </c:extLst>
        </c:ser>
        <c:ser>
          <c:idx val="0"/>
          <c:order val="1"/>
          <c:tx>
            <c:strRef>
              <c:f>'andere kenmerken'!$A$1</c:f>
              <c:strCache>
                <c:ptCount val="1"/>
                <c:pt idx="0">
                  <c:v>2022/23</c:v>
                </c:pt>
              </c:strCache>
            </c:strRef>
          </c:tx>
          <c:spPr>
            <a:solidFill>
              <a:schemeClr val="accent1"/>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1-5B87-44F3-912D-F76AA7741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'andere kenmerken'!$A$3:$A$8</c:f>
              <c:strCache>
                <c:ptCount val="6"/>
                <c:pt idx="0">
                  <c:v>BWI</c:v>
                </c:pt>
                <c:pt idx="1">
                  <c:v>PIE</c:v>
                </c:pt>
                <c:pt idx="2">
                  <c:v>M&amp;T</c:v>
                </c:pt>
                <c:pt idx="3">
                  <c:v>MVI</c:v>
                </c:pt>
                <c:pt idx="4">
                  <c:v>MaT</c:v>
                </c:pt>
                <c:pt idx="5">
                  <c:v>Totaal</c:v>
                </c:pt>
              </c:strCache>
            </c:strRef>
          </c:cat>
          <c:val>
            <c:numRef>
              <c:f>'andere kenmerken'!$C$39:$C$44</c:f>
              <c:numCache>
                <c:formatCode>0%</c:formatCode>
                <c:ptCount val="6"/>
                <c:pt idx="0">
                  <c:v>0.76296296296296295</c:v>
                </c:pt>
                <c:pt idx="1">
                  <c:v>0.76736672051696286</c:v>
                </c:pt>
                <c:pt idx="2">
                  <c:v>0.8340807174887892</c:v>
                </c:pt>
                <c:pt idx="3">
                  <c:v>0.70205479452054798</c:v>
                </c:pt>
                <c:pt idx="4">
                  <c:v>0.55555555555555558</c:v>
                </c:pt>
                <c:pt idx="5">
                  <c:v>0.76711452335252717</c:v>
                </c:pt>
              </c:numCache>
            </c:numRef>
          </c:val>
          <c:extLst>
            <c:ext xmlns:c16="http://schemas.microsoft.com/office/drawing/2014/chart" uri="{C3380CC4-5D6E-409C-BE32-E72D297353CC}">
              <c16:uniqueId val="{00000002-5B87-44F3-912D-F76AA77411E9}"/>
            </c:ext>
          </c:extLst>
        </c:ser>
        <c:dLbls>
          <c:dLblPos val="outEnd"/>
          <c:showLegendKey val="0"/>
          <c:showVal val="1"/>
          <c:showCatName val="0"/>
          <c:showSerName val="0"/>
          <c:showPercent val="0"/>
          <c:showBubbleSize val="0"/>
        </c:dLbls>
        <c:gapWidth val="50"/>
        <c:overlap val="-27"/>
        <c:axId val="1087966879"/>
        <c:axId val="1087951487"/>
      </c:barChart>
      <c:catAx>
        <c:axId val="1087966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87951487"/>
        <c:crosses val="autoZero"/>
        <c:auto val="1"/>
        <c:lblAlgn val="ctr"/>
        <c:lblOffset val="100"/>
        <c:noMultiLvlLbl val="0"/>
      </c:catAx>
      <c:valAx>
        <c:axId val="108795148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879668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Vrouw</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1"/>
          <c:order val="0"/>
          <c:tx>
            <c:strRef>
              <c:f>'andere kenmerken'!$E$1</c:f>
              <c:strCache>
                <c:ptCount val="1"/>
                <c:pt idx="0">
                  <c:v>2017/18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'andere kenmerken'!$F$21:$F$26</c:f>
              <c:numCache>
                <c:formatCode>0%</c:formatCode>
                <c:ptCount val="6"/>
                <c:pt idx="0">
                  <c:v>9.9787685774946927E-2</c:v>
                </c:pt>
                <c:pt idx="1">
                  <c:v>6.0413354531001592E-2</c:v>
                </c:pt>
                <c:pt idx="2">
                  <c:v>4.6296296296296294E-2</c:v>
                </c:pt>
                <c:pt idx="3">
                  <c:v>0.41851851851851851</c:v>
                </c:pt>
                <c:pt idx="5">
                  <c:v>0.13767629281396912</c:v>
                </c:pt>
              </c:numCache>
            </c:numRef>
          </c:val>
          <c:extLst>
            <c:ext xmlns:c16="http://schemas.microsoft.com/office/drawing/2014/chart" uri="{C3380CC4-5D6E-409C-BE32-E72D297353CC}">
              <c16:uniqueId val="{00000000-5E27-41B4-9EF7-B25CC4AE8351}"/>
            </c:ext>
          </c:extLst>
        </c:ser>
        <c:ser>
          <c:idx val="0"/>
          <c:order val="1"/>
          <c:tx>
            <c:strRef>
              <c:f>'andere kenmerken'!$A$1</c:f>
              <c:strCache>
                <c:ptCount val="1"/>
                <c:pt idx="0">
                  <c:v>2022/23</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1-5E27-41B4-9EF7-B25CC4AE83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'andere kenmerken'!$A$3:$A$8</c:f>
              <c:strCache>
                <c:ptCount val="6"/>
                <c:pt idx="0">
                  <c:v>BWI</c:v>
                </c:pt>
                <c:pt idx="1">
                  <c:v>PIE</c:v>
                </c:pt>
                <c:pt idx="2">
                  <c:v>M&amp;T</c:v>
                </c:pt>
                <c:pt idx="3">
                  <c:v>MVI</c:v>
                </c:pt>
                <c:pt idx="4">
                  <c:v>MaT</c:v>
                </c:pt>
                <c:pt idx="5">
                  <c:v>Totaal</c:v>
                </c:pt>
              </c:strCache>
            </c:strRef>
          </c:cat>
          <c:val>
            <c:numRef>
              <c:f>'andere kenmerken'!$C$21:$C$26</c:f>
              <c:numCache>
                <c:formatCode>0%</c:formatCode>
                <c:ptCount val="6"/>
                <c:pt idx="0">
                  <c:v>0.15185185185185185</c:v>
                </c:pt>
                <c:pt idx="1">
                  <c:v>6.4620355411954766E-2</c:v>
                </c:pt>
                <c:pt idx="2">
                  <c:v>4.4843049327354258E-2</c:v>
                </c:pt>
                <c:pt idx="3">
                  <c:v>0.47945205479452052</c:v>
                </c:pt>
                <c:pt idx="4">
                  <c:v>0</c:v>
                </c:pt>
                <c:pt idx="5">
                  <c:v>0.16762635956493921</c:v>
                </c:pt>
              </c:numCache>
            </c:numRef>
          </c:val>
          <c:extLst>
            <c:ext xmlns:c16="http://schemas.microsoft.com/office/drawing/2014/chart" uri="{C3380CC4-5D6E-409C-BE32-E72D297353CC}">
              <c16:uniqueId val="{00000002-5E27-41B4-9EF7-B25CC4AE8351}"/>
            </c:ext>
          </c:extLst>
        </c:ser>
        <c:dLbls>
          <c:dLblPos val="outEnd"/>
          <c:showLegendKey val="0"/>
          <c:showVal val="1"/>
          <c:showCatName val="0"/>
          <c:showSerName val="0"/>
          <c:showPercent val="0"/>
          <c:showBubbleSize val="0"/>
        </c:dLbls>
        <c:gapWidth val="50"/>
        <c:overlap val="-27"/>
        <c:axId val="1087966879"/>
        <c:axId val="1087951487"/>
      </c:barChart>
      <c:catAx>
        <c:axId val="1087966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87951487"/>
        <c:crosses val="autoZero"/>
        <c:auto val="1"/>
        <c:lblAlgn val="ctr"/>
        <c:lblOffset val="100"/>
        <c:noMultiLvlLbl val="0"/>
      </c:catAx>
      <c:valAx>
        <c:axId val="108795148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879668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nl-NL" sz="1200"/>
              <a:t>Opleidingsniveau lesgevenden in technische profielvakken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percentStacked"/>
        <c:varyColors val="0"/>
        <c:ser>
          <c:idx val="0"/>
          <c:order val="0"/>
          <c:tx>
            <c:strRef>
              <c:f>opl!$C$18</c:f>
              <c:strCache>
                <c:ptCount val="1"/>
                <c:pt idx="0">
                  <c:v>Mbo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opl!$A$19:$B$30</c:f>
              <c:multiLvlStrCache>
                <c:ptCount val="12"/>
                <c:lvl>
                  <c:pt idx="0">
                    <c:v>2017/18</c:v>
                  </c:pt>
                  <c:pt idx="1">
                    <c:v>2022/23</c:v>
                  </c:pt>
                  <c:pt idx="2">
                    <c:v>2017/18</c:v>
                  </c:pt>
                  <c:pt idx="3">
                    <c:v>2022/23</c:v>
                  </c:pt>
                  <c:pt idx="4">
                    <c:v>2017/18</c:v>
                  </c:pt>
                  <c:pt idx="5">
                    <c:v>2022/23</c:v>
                  </c:pt>
                  <c:pt idx="6">
                    <c:v>2017/18</c:v>
                  </c:pt>
                  <c:pt idx="7">
                    <c:v>2022/23</c:v>
                  </c:pt>
                  <c:pt idx="8">
                    <c:v>2017/18</c:v>
                  </c:pt>
                  <c:pt idx="9">
                    <c:v>2022/23</c:v>
                  </c:pt>
                  <c:pt idx="10">
                    <c:v>2017/18</c:v>
                  </c:pt>
                  <c:pt idx="11">
                    <c:v>2022/23</c:v>
                  </c:pt>
                </c:lvl>
                <c:lvl>
                  <c:pt idx="0">
                    <c:v>BWI</c:v>
                  </c:pt>
                  <c:pt idx="2">
                    <c:v>PIE</c:v>
                  </c:pt>
                  <c:pt idx="4">
                    <c:v>M&amp;T</c:v>
                  </c:pt>
                  <c:pt idx="6">
                    <c:v>MVI</c:v>
                  </c:pt>
                  <c:pt idx="8">
                    <c:v>MaT</c:v>
                  </c:pt>
                  <c:pt idx="10">
                    <c:v>Totaal</c:v>
                  </c:pt>
                </c:lvl>
              </c:multiLvlStrCache>
            </c:multiLvlStrRef>
          </c:cat>
          <c:val>
            <c:numRef>
              <c:f>opl!$C$19:$C$30</c:f>
              <c:numCache>
                <c:formatCode>0%</c:formatCode>
                <c:ptCount val="12"/>
                <c:pt idx="0">
                  <c:v>0.18471337579617833</c:v>
                </c:pt>
                <c:pt idx="1">
                  <c:v>0.28315412186379929</c:v>
                </c:pt>
                <c:pt idx="2">
                  <c:v>0.16693163751987281</c:v>
                </c:pt>
                <c:pt idx="3">
                  <c:v>0.28797468354430378</c:v>
                </c:pt>
                <c:pt idx="4">
                  <c:v>0.18055555555555555</c:v>
                </c:pt>
                <c:pt idx="5">
                  <c:v>0.24561403508771928</c:v>
                </c:pt>
                <c:pt idx="6">
                  <c:v>8.8888888888888892E-2</c:v>
                </c:pt>
                <c:pt idx="7">
                  <c:v>0.13993174061433447</c:v>
                </c:pt>
                <c:pt idx="10">
                  <c:v>0.15580926796507724</c:v>
                </c:pt>
                <c:pt idx="11">
                  <c:v>0.25</c:v>
                </c:pt>
              </c:numCache>
            </c:numRef>
          </c:val>
          <c:extLst>
            <c:ext xmlns:c16="http://schemas.microsoft.com/office/drawing/2014/chart" uri="{C3380CC4-5D6E-409C-BE32-E72D297353CC}">
              <c16:uniqueId val="{00000000-54EF-4467-B4A8-8201DDB3928F}"/>
            </c:ext>
          </c:extLst>
        </c:ser>
        <c:ser>
          <c:idx val="1"/>
          <c:order val="1"/>
          <c:tx>
            <c:strRef>
              <c:f>opl!$D$18</c:f>
              <c:strCache>
                <c:ptCount val="1"/>
                <c:pt idx="0">
                  <c:v>Hbo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opl!$A$19:$B$30</c:f>
              <c:multiLvlStrCache>
                <c:ptCount val="12"/>
                <c:lvl>
                  <c:pt idx="0">
                    <c:v>2017/18</c:v>
                  </c:pt>
                  <c:pt idx="1">
                    <c:v>2022/23</c:v>
                  </c:pt>
                  <c:pt idx="2">
                    <c:v>2017/18</c:v>
                  </c:pt>
                  <c:pt idx="3">
                    <c:v>2022/23</c:v>
                  </c:pt>
                  <c:pt idx="4">
                    <c:v>2017/18</c:v>
                  </c:pt>
                  <c:pt idx="5">
                    <c:v>2022/23</c:v>
                  </c:pt>
                  <c:pt idx="6">
                    <c:v>2017/18</c:v>
                  </c:pt>
                  <c:pt idx="7">
                    <c:v>2022/23</c:v>
                  </c:pt>
                  <c:pt idx="8">
                    <c:v>2017/18</c:v>
                  </c:pt>
                  <c:pt idx="9">
                    <c:v>2022/23</c:v>
                  </c:pt>
                  <c:pt idx="10">
                    <c:v>2017/18</c:v>
                  </c:pt>
                  <c:pt idx="11">
                    <c:v>2022/23</c:v>
                  </c:pt>
                </c:lvl>
                <c:lvl>
                  <c:pt idx="0">
                    <c:v>BWI</c:v>
                  </c:pt>
                  <c:pt idx="2">
                    <c:v>PIE</c:v>
                  </c:pt>
                  <c:pt idx="4">
                    <c:v>M&amp;T</c:v>
                  </c:pt>
                  <c:pt idx="6">
                    <c:v>MVI</c:v>
                  </c:pt>
                  <c:pt idx="8">
                    <c:v>MaT</c:v>
                  </c:pt>
                  <c:pt idx="10">
                    <c:v>Totaal</c:v>
                  </c:pt>
                </c:lvl>
              </c:multiLvlStrCache>
            </c:multiLvlStrRef>
          </c:cat>
          <c:val>
            <c:numRef>
              <c:f>opl!$D$19:$D$30</c:f>
              <c:numCache>
                <c:formatCode>0%</c:formatCode>
                <c:ptCount val="12"/>
                <c:pt idx="0">
                  <c:v>0.613588110403397</c:v>
                </c:pt>
                <c:pt idx="1">
                  <c:v>0.56630824372759858</c:v>
                </c:pt>
                <c:pt idx="2">
                  <c:v>0.66136724960254367</c:v>
                </c:pt>
                <c:pt idx="3">
                  <c:v>0.564873417721519</c:v>
                </c:pt>
                <c:pt idx="4">
                  <c:v>0.64351851851851849</c:v>
                </c:pt>
                <c:pt idx="5">
                  <c:v>0.58333333333333337</c:v>
                </c:pt>
                <c:pt idx="6">
                  <c:v>0.67777777777777781</c:v>
                </c:pt>
                <c:pt idx="7">
                  <c:v>0.71672354948805461</c:v>
                </c:pt>
                <c:pt idx="10">
                  <c:v>0.64271323035594363</c:v>
                </c:pt>
                <c:pt idx="11">
                  <c:v>0.59610552763819091</c:v>
                </c:pt>
              </c:numCache>
            </c:numRef>
          </c:val>
          <c:extLst>
            <c:ext xmlns:c16="http://schemas.microsoft.com/office/drawing/2014/chart" uri="{C3380CC4-5D6E-409C-BE32-E72D297353CC}">
              <c16:uniqueId val="{00000001-54EF-4467-B4A8-8201DDB3928F}"/>
            </c:ext>
          </c:extLst>
        </c:ser>
        <c:ser>
          <c:idx val="2"/>
          <c:order val="2"/>
          <c:tx>
            <c:strRef>
              <c:f>opl!$E$18</c:f>
              <c:strCache>
                <c:ptCount val="1"/>
                <c:pt idx="0">
                  <c:v>Wo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opl!$A$19:$B$30</c:f>
              <c:multiLvlStrCache>
                <c:ptCount val="12"/>
                <c:lvl>
                  <c:pt idx="0">
                    <c:v>2017/18</c:v>
                  </c:pt>
                  <c:pt idx="1">
                    <c:v>2022/23</c:v>
                  </c:pt>
                  <c:pt idx="2">
                    <c:v>2017/18</c:v>
                  </c:pt>
                  <c:pt idx="3">
                    <c:v>2022/23</c:v>
                  </c:pt>
                  <c:pt idx="4">
                    <c:v>2017/18</c:v>
                  </c:pt>
                  <c:pt idx="5">
                    <c:v>2022/23</c:v>
                  </c:pt>
                  <c:pt idx="6">
                    <c:v>2017/18</c:v>
                  </c:pt>
                  <c:pt idx="7">
                    <c:v>2022/23</c:v>
                  </c:pt>
                  <c:pt idx="8">
                    <c:v>2017/18</c:v>
                  </c:pt>
                  <c:pt idx="9">
                    <c:v>2022/23</c:v>
                  </c:pt>
                  <c:pt idx="10">
                    <c:v>2017/18</c:v>
                  </c:pt>
                  <c:pt idx="11">
                    <c:v>2022/23</c:v>
                  </c:pt>
                </c:lvl>
                <c:lvl>
                  <c:pt idx="0">
                    <c:v>BWI</c:v>
                  </c:pt>
                  <c:pt idx="2">
                    <c:v>PIE</c:v>
                  </c:pt>
                  <c:pt idx="4">
                    <c:v>M&amp;T</c:v>
                  </c:pt>
                  <c:pt idx="6">
                    <c:v>MVI</c:v>
                  </c:pt>
                  <c:pt idx="8">
                    <c:v>MaT</c:v>
                  </c:pt>
                  <c:pt idx="10">
                    <c:v>Totaal</c:v>
                  </c:pt>
                </c:lvl>
              </c:multiLvlStrCache>
            </c:multiLvlStrRef>
          </c:cat>
          <c:val>
            <c:numRef>
              <c:f>opl!$E$19:$E$30</c:f>
              <c:numCache>
                <c:formatCode>0%</c:formatCode>
                <c:ptCount val="12"/>
                <c:pt idx="0">
                  <c:v>5.0955414012738856E-2</c:v>
                </c:pt>
                <c:pt idx="1">
                  <c:v>4.6594982078853049E-2</c:v>
                </c:pt>
                <c:pt idx="2">
                  <c:v>4.9284578696343402E-2</c:v>
                </c:pt>
                <c:pt idx="3">
                  <c:v>4.746835443037975E-2</c:v>
                </c:pt>
                <c:pt idx="4">
                  <c:v>5.0925925925925923E-2</c:v>
                </c:pt>
                <c:pt idx="5">
                  <c:v>6.1403508771929821E-2</c:v>
                </c:pt>
                <c:pt idx="6">
                  <c:v>8.1481481481481488E-2</c:v>
                </c:pt>
                <c:pt idx="7">
                  <c:v>8.8737201365187715E-2</c:v>
                </c:pt>
                <c:pt idx="10">
                  <c:v>5.6413700470114174E-2</c:v>
                </c:pt>
                <c:pt idx="11">
                  <c:v>5.9045226130653265E-2</c:v>
                </c:pt>
              </c:numCache>
            </c:numRef>
          </c:val>
          <c:extLst>
            <c:ext xmlns:c16="http://schemas.microsoft.com/office/drawing/2014/chart" uri="{C3380CC4-5D6E-409C-BE32-E72D297353CC}">
              <c16:uniqueId val="{00000002-54EF-4467-B4A8-8201DDB3928F}"/>
            </c:ext>
          </c:extLst>
        </c:ser>
        <c:ser>
          <c:idx val="3"/>
          <c:order val="3"/>
          <c:tx>
            <c:strRef>
              <c:f>opl!$F$18</c:f>
              <c:strCache>
                <c:ptCount val="1"/>
                <c:pt idx="0">
                  <c:v>onbekend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opl!$A$19:$B$30</c:f>
              <c:multiLvlStrCache>
                <c:ptCount val="12"/>
                <c:lvl>
                  <c:pt idx="0">
                    <c:v>2017/18</c:v>
                  </c:pt>
                  <c:pt idx="1">
                    <c:v>2022/23</c:v>
                  </c:pt>
                  <c:pt idx="2">
                    <c:v>2017/18</c:v>
                  </c:pt>
                  <c:pt idx="3">
                    <c:v>2022/23</c:v>
                  </c:pt>
                  <c:pt idx="4">
                    <c:v>2017/18</c:v>
                  </c:pt>
                  <c:pt idx="5">
                    <c:v>2022/23</c:v>
                  </c:pt>
                  <c:pt idx="6">
                    <c:v>2017/18</c:v>
                  </c:pt>
                  <c:pt idx="7">
                    <c:v>2022/23</c:v>
                  </c:pt>
                  <c:pt idx="8">
                    <c:v>2017/18</c:v>
                  </c:pt>
                  <c:pt idx="9">
                    <c:v>2022/23</c:v>
                  </c:pt>
                  <c:pt idx="10">
                    <c:v>2017/18</c:v>
                  </c:pt>
                  <c:pt idx="11">
                    <c:v>2022/23</c:v>
                  </c:pt>
                </c:lvl>
                <c:lvl>
                  <c:pt idx="0">
                    <c:v>BWI</c:v>
                  </c:pt>
                  <c:pt idx="2">
                    <c:v>PIE</c:v>
                  </c:pt>
                  <c:pt idx="4">
                    <c:v>M&amp;T</c:v>
                  </c:pt>
                  <c:pt idx="6">
                    <c:v>MVI</c:v>
                  </c:pt>
                  <c:pt idx="8">
                    <c:v>MaT</c:v>
                  </c:pt>
                  <c:pt idx="10">
                    <c:v>Totaal</c:v>
                  </c:pt>
                </c:lvl>
              </c:multiLvlStrCache>
            </c:multiLvlStrRef>
          </c:cat>
          <c:val>
            <c:numRef>
              <c:f>opl!$F$19:$F$30</c:f>
              <c:numCache>
                <c:formatCode>0%</c:formatCode>
                <c:ptCount val="12"/>
                <c:pt idx="0">
                  <c:v>0.15074309978768577</c:v>
                </c:pt>
                <c:pt idx="1">
                  <c:v>0.1039426523297491</c:v>
                </c:pt>
                <c:pt idx="2">
                  <c:v>0.12241653418124006</c:v>
                </c:pt>
                <c:pt idx="3">
                  <c:v>9.9683544303797472E-2</c:v>
                </c:pt>
                <c:pt idx="4">
                  <c:v>0.125</c:v>
                </c:pt>
                <c:pt idx="5">
                  <c:v>0.10964912280701754</c:v>
                </c:pt>
                <c:pt idx="6">
                  <c:v>0.15185185185185185</c:v>
                </c:pt>
                <c:pt idx="7">
                  <c:v>5.4607508532423209E-2</c:v>
                </c:pt>
                <c:pt idx="10">
                  <c:v>0.145063801208865</c:v>
                </c:pt>
                <c:pt idx="11">
                  <c:v>9.4849246231155773E-2</c:v>
                </c:pt>
              </c:numCache>
            </c:numRef>
          </c:val>
          <c:extLst>
            <c:ext xmlns:c16="http://schemas.microsoft.com/office/drawing/2014/chart" uri="{C3380CC4-5D6E-409C-BE32-E72D297353CC}">
              <c16:uniqueId val="{00000003-54EF-4467-B4A8-8201DDB3928F}"/>
            </c:ext>
          </c:extLst>
        </c:ser>
        <c:dLbls>
          <c:dLblPos val="ctr"/>
          <c:showLegendKey val="0"/>
          <c:showVal val="1"/>
          <c:showCatName val="0"/>
          <c:showSerName val="0"/>
          <c:showPercent val="0"/>
          <c:showBubbleSize val="0"/>
        </c:dLbls>
        <c:gapWidth val="20"/>
        <c:overlap val="100"/>
        <c:axId val="947863631"/>
        <c:axId val="947868623"/>
      </c:barChart>
      <c:catAx>
        <c:axId val="94786363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47868623"/>
        <c:crosses val="autoZero"/>
        <c:auto val="1"/>
        <c:lblAlgn val="ctr"/>
        <c:lblOffset val="100"/>
        <c:noMultiLvlLbl val="0"/>
      </c:catAx>
      <c:valAx>
        <c:axId val="94786862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47863631"/>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oplrichting!$C$18</c:f>
              <c:strCache>
                <c:ptCount val="1"/>
                <c:pt idx="0">
                  <c:v>Leraren opleiding algemene en beroepsgerichte vakken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oplrichting!$A$19:$B$30</c:f>
              <c:multiLvlStrCache>
                <c:ptCount val="12"/>
                <c:lvl>
                  <c:pt idx="0">
                    <c:v>2017/18</c:v>
                  </c:pt>
                  <c:pt idx="1">
                    <c:v>2022/23</c:v>
                  </c:pt>
                  <c:pt idx="2">
                    <c:v>2017/18</c:v>
                  </c:pt>
                  <c:pt idx="3">
                    <c:v>2022/23</c:v>
                  </c:pt>
                  <c:pt idx="4">
                    <c:v>2017/18</c:v>
                  </c:pt>
                  <c:pt idx="5">
                    <c:v>2022/23</c:v>
                  </c:pt>
                  <c:pt idx="6">
                    <c:v>2017/18</c:v>
                  </c:pt>
                  <c:pt idx="7">
                    <c:v>2022/23</c:v>
                  </c:pt>
                  <c:pt idx="8">
                    <c:v>2017/18</c:v>
                  </c:pt>
                  <c:pt idx="9">
                    <c:v>2022/23</c:v>
                  </c:pt>
                  <c:pt idx="10">
                    <c:v>2017/18</c:v>
                  </c:pt>
                  <c:pt idx="11">
                    <c:v>2022/23</c:v>
                  </c:pt>
                </c:lvl>
                <c:lvl>
                  <c:pt idx="0">
                    <c:v>BWI</c:v>
                  </c:pt>
                  <c:pt idx="2">
                    <c:v>PIE</c:v>
                  </c:pt>
                  <c:pt idx="4">
                    <c:v>M&amp;T</c:v>
                  </c:pt>
                  <c:pt idx="6">
                    <c:v>MVI</c:v>
                  </c:pt>
                  <c:pt idx="8">
                    <c:v>MaT</c:v>
                  </c:pt>
                  <c:pt idx="10">
                    <c:v>Totaal</c:v>
                  </c:pt>
                </c:lvl>
              </c:multiLvlStrCache>
            </c:multiLvlStrRef>
          </c:cat>
          <c:val>
            <c:numRef>
              <c:f>oplrichting!$C$19:$C$30</c:f>
              <c:numCache>
                <c:formatCode>0%</c:formatCode>
                <c:ptCount val="12"/>
                <c:pt idx="0">
                  <c:v>0.51898734177215189</c:v>
                </c:pt>
                <c:pt idx="1">
                  <c:v>0.45519713261648748</c:v>
                </c:pt>
                <c:pt idx="2">
                  <c:v>0.53477588871715609</c:v>
                </c:pt>
                <c:pt idx="3">
                  <c:v>0.46202531645569622</c:v>
                </c:pt>
                <c:pt idx="4">
                  <c:v>0.54377880184331795</c:v>
                </c:pt>
                <c:pt idx="5">
                  <c:v>0.5</c:v>
                </c:pt>
                <c:pt idx="6">
                  <c:v>0.58029197080291972</c:v>
                </c:pt>
                <c:pt idx="7">
                  <c:v>0.5460750853242321</c:v>
                </c:pt>
                <c:pt idx="10">
                  <c:v>0.54997717937015067</c:v>
                </c:pt>
                <c:pt idx="11">
                  <c:v>0.4842964824120603</c:v>
                </c:pt>
              </c:numCache>
            </c:numRef>
          </c:val>
          <c:extLst>
            <c:ext xmlns:c16="http://schemas.microsoft.com/office/drawing/2014/chart" uri="{C3380CC4-5D6E-409C-BE32-E72D297353CC}">
              <c16:uniqueId val="{00000000-21D7-46F1-AF60-6059F0C9D234}"/>
            </c:ext>
          </c:extLst>
        </c:ser>
        <c:ser>
          <c:idx val="1"/>
          <c:order val="1"/>
          <c:tx>
            <c:strRef>
              <c:f>oplrichting!$D$18</c:f>
              <c:strCache>
                <c:ptCount val="1"/>
                <c:pt idx="0">
                  <c:v>overig onderwijs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oplrichting!$A$19:$B$30</c:f>
              <c:multiLvlStrCache>
                <c:ptCount val="12"/>
                <c:lvl>
                  <c:pt idx="0">
                    <c:v>2017/18</c:v>
                  </c:pt>
                  <c:pt idx="1">
                    <c:v>2022/23</c:v>
                  </c:pt>
                  <c:pt idx="2">
                    <c:v>2017/18</c:v>
                  </c:pt>
                  <c:pt idx="3">
                    <c:v>2022/23</c:v>
                  </c:pt>
                  <c:pt idx="4">
                    <c:v>2017/18</c:v>
                  </c:pt>
                  <c:pt idx="5">
                    <c:v>2022/23</c:v>
                  </c:pt>
                  <c:pt idx="6">
                    <c:v>2017/18</c:v>
                  </c:pt>
                  <c:pt idx="7">
                    <c:v>2022/23</c:v>
                  </c:pt>
                  <c:pt idx="8">
                    <c:v>2017/18</c:v>
                  </c:pt>
                  <c:pt idx="9">
                    <c:v>2022/23</c:v>
                  </c:pt>
                  <c:pt idx="10">
                    <c:v>2017/18</c:v>
                  </c:pt>
                  <c:pt idx="11">
                    <c:v>2022/23</c:v>
                  </c:pt>
                </c:lvl>
                <c:lvl>
                  <c:pt idx="0">
                    <c:v>BWI</c:v>
                  </c:pt>
                  <c:pt idx="2">
                    <c:v>PIE</c:v>
                  </c:pt>
                  <c:pt idx="4">
                    <c:v>M&amp;T</c:v>
                  </c:pt>
                  <c:pt idx="6">
                    <c:v>MVI</c:v>
                  </c:pt>
                  <c:pt idx="8">
                    <c:v>MaT</c:v>
                  </c:pt>
                  <c:pt idx="10">
                    <c:v>Totaal</c:v>
                  </c:pt>
                </c:lvl>
              </c:multiLvlStrCache>
            </c:multiLvlStrRef>
          </c:cat>
          <c:val>
            <c:numRef>
              <c:f>oplrichting!$D$19:$D$30</c:f>
              <c:numCache>
                <c:formatCode>0%</c:formatCode>
                <c:ptCount val="12"/>
                <c:pt idx="0">
                  <c:v>7.3839662447257384E-2</c:v>
                </c:pt>
                <c:pt idx="1">
                  <c:v>0.1003584229390681</c:v>
                </c:pt>
                <c:pt idx="2">
                  <c:v>6.8006182380216385E-2</c:v>
                </c:pt>
                <c:pt idx="3">
                  <c:v>8.0696202531645569E-2</c:v>
                </c:pt>
                <c:pt idx="4">
                  <c:v>7.3732718894009217E-2</c:v>
                </c:pt>
                <c:pt idx="5">
                  <c:v>7.8947368421052627E-2</c:v>
                </c:pt>
                <c:pt idx="6">
                  <c:v>7.6642335766423361E-2</c:v>
                </c:pt>
                <c:pt idx="7">
                  <c:v>0.11262798634812286</c:v>
                </c:pt>
                <c:pt idx="10">
                  <c:v>8.352350524874487E-2</c:v>
                </c:pt>
                <c:pt idx="11">
                  <c:v>9.1080402010050257E-2</c:v>
                </c:pt>
              </c:numCache>
            </c:numRef>
          </c:val>
          <c:extLst>
            <c:ext xmlns:c16="http://schemas.microsoft.com/office/drawing/2014/chart" uri="{C3380CC4-5D6E-409C-BE32-E72D297353CC}">
              <c16:uniqueId val="{00000001-21D7-46F1-AF60-6059F0C9D234}"/>
            </c:ext>
          </c:extLst>
        </c:ser>
        <c:ser>
          <c:idx val="2"/>
          <c:order val="2"/>
          <c:tx>
            <c:strRef>
              <c:f>oplrichting!$E$18</c:f>
              <c:strCache>
                <c:ptCount val="1"/>
                <c:pt idx="0">
                  <c:v>overig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oplrichting!$A$19:$B$30</c:f>
              <c:multiLvlStrCache>
                <c:ptCount val="12"/>
                <c:lvl>
                  <c:pt idx="0">
                    <c:v>2017/18</c:v>
                  </c:pt>
                  <c:pt idx="1">
                    <c:v>2022/23</c:v>
                  </c:pt>
                  <c:pt idx="2">
                    <c:v>2017/18</c:v>
                  </c:pt>
                  <c:pt idx="3">
                    <c:v>2022/23</c:v>
                  </c:pt>
                  <c:pt idx="4">
                    <c:v>2017/18</c:v>
                  </c:pt>
                  <c:pt idx="5">
                    <c:v>2022/23</c:v>
                  </c:pt>
                  <c:pt idx="6">
                    <c:v>2017/18</c:v>
                  </c:pt>
                  <c:pt idx="7">
                    <c:v>2022/23</c:v>
                  </c:pt>
                  <c:pt idx="8">
                    <c:v>2017/18</c:v>
                  </c:pt>
                  <c:pt idx="9">
                    <c:v>2022/23</c:v>
                  </c:pt>
                  <c:pt idx="10">
                    <c:v>2017/18</c:v>
                  </c:pt>
                  <c:pt idx="11">
                    <c:v>2022/23</c:v>
                  </c:pt>
                </c:lvl>
                <c:lvl>
                  <c:pt idx="0">
                    <c:v>BWI</c:v>
                  </c:pt>
                  <c:pt idx="2">
                    <c:v>PIE</c:v>
                  </c:pt>
                  <c:pt idx="4">
                    <c:v>M&amp;T</c:v>
                  </c:pt>
                  <c:pt idx="6">
                    <c:v>MVI</c:v>
                  </c:pt>
                  <c:pt idx="8">
                    <c:v>MaT</c:v>
                  </c:pt>
                  <c:pt idx="10">
                    <c:v>Totaal</c:v>
                  </c:pt>
                </c:lvl>
              </c:multiLvlStrCache>
            </c:multiLvlStrRef>
          </c:cat>
          <c:val>
            <c:numRef>
              <c:f>oplrichting!$E$19:$E$30</c:f>
              <c:numCache>
                <c:formatCode>0%</c:formatCode>
                <c:ptCount val="12"/>
                <c:pt idx="0">
                  <c:v>0.21729957805907174</c:v>
                </c:pt>
                <c:pt idx="1">
                  <c:v>0.32616487455197135</c:v>
                </c:pt>
                <c:pt idx="2">
                  <c:v>0.23493044822256567</c:v>
                </c:pt>
                <c:pt idx="3">
                  <c:v>0.33227848101265822</c:v>
                </c:pt>
                <c:pt idx="4">
                  <c:v>0.22580645161290322</c:v>
                </c:pt>
                <c:pt idx="5">
                  <c:v>0.2807017543859649</c:v>
                </c:pt>
                <c:pt idx="6">
                  <c:v>0.17153284671532848</c:v>
                </c:pt>
                <c:pt idx="7">
                  <c:v>0.26621160409556316</c:v>
                </c:pt>
                <c:pt idx="10">
                  <c:v>0.19717024189867641</c:v>
                </c:pt>
                <c:pt idx="11">
                  <c:v>0.30716080402010049</c:v>
                </c:pt>
              </c:numCache>
            </c:numRef>
          </c:val>
          <c:extLst>
            <c:ext xmlns:c16="http://schemas.microsoft.com/office/drawing/2014/chart" uri="{C3380CC4-5D6E-409C-BE32-E72D297353CC}">
              <c16:uniqueId val="{00000002-21D7-46F1-AF60-6059F0C9D234}"/>
            </c:ext>
          </c:extLst>
        </c:ser>
        <c:ser>
          <c:idx val="3"/>
          <c:order val="3"/>
          <c:tx>
            <c:strRef>
              <c:f>oplrichting!$F$18</c:f>
              <c:strCache>
                <c:ptCount val="1"/>
                <c:pt idx="0">
                  <c:v>onbekend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oplrichting!$A$19:$B$30</c:f>
              <c:multiLvlStrCache>
                <c:ptCount val="12"/>
                <c:lvl>
                  <c:pt idx="0">
                    <c:v>2017/18</c:v>
                  </c:pt>
                  <c:pt idx="1">
                    <c:v>2022/23</c:v>
                  </c:pt>
                  <c:pt idx="2">
                    <c:v>2017/18</c:v>
                  </c:pt>
                  <c:pt idx="3">
                    <c:v>2022/23</c:v>
                  </c:pt>
                  <c:pt idx="4">
                    <c:v>2017/18</c:v>
                  </c:pt>
                  <c:pt idx="5">
                    <c:v>2022/23</c:v>
                  </c:pt>
                  <c:pt idx="6">
                    <c:v>2017/18</c:v>
                  </c:pt>
                  <c:pt idx="7">
                    <c:v>2022/23</c:v>
                  </c:pt>
                  <c:pt idx="8">
                    <c:v>2017/18</c:v>
                  </c:pt>
                  <c:pt idx="9">
                    <c:v>2022/23</c:v>
                  </c:pt>
                  <c:pt idx="10">
                    <c:v>2017/18</c:v>
                  </c:pt>
                  <c:pt idx="11">
                    <c:v>2022/23</c:v>
                  </c:pt>
                </c:lvl>
                <c:lvl>
                  <c:pt idx="0">
                    <c:v>BWI</c:v>
                  </c:pt>
                  <c:pt idx="2">
                    <c:v>PIE</c:v>
                  </c:pt>
                  <c:pt idx="4">
                    <c:v>M&amp;T</c:v>
                  </c:pt>
                  <c:pt idx="6">
                    <c:v>MVI</c:v>
                  </c:pt>
                  <c:pt idx="8">
                    <c:v>MaT</c:v>
                  </c:pt>
                  <c:pt idx="10">
                    <c:v>Totaal</c:v>
                  </c:pt>
                </c:lvl>
              </c:multiLvlStrCache>
            </c:multiLvlStrRef>
          </c:cat>
          <c:val>
            <c:numRef>
              <c:f>oplrichting!$F$19:$F$30</c:f>
              <c:numCache>
                <c:formatCode>0%</c:formatCode>
                <c:ptCount val="12"/>
                <c:pt idx="0">
                  <c:v>0.189873417721519</c:v>
                </c:pt>
                <c:pt idx="1">
                  <c:v>0.11827956989247312</c:v>
                </c:pt>
                <c:pt idx="2">
                  <c:v>0.16228748068006182</c:v>
                </c:pt>
                <c:pt idx="3">
                  <c:v>0.125</c:v>
                </c:pt>
                <c:pt idx="4">
                  <c:v>0.15668202764976957</c:v>
                </c:pt>
                <c:pt idx="5">
                  <c:v>0.14035087719298245</c:v>
                </c:pt>
                <c:pt idx="6">
                  <c:v>0.17153284671532848</c:v>
                </c:pt>
                <c:pt idx="7">
                  <c:v>7.5085324232081918E-2</c:v>
                </c:pt>
                <c:pt idx="10">
                  <c:v>0.16932907348242812</c:v>
                </c:pt>
                <c:pt idx="11">
                  <c:v>0.11746231155778894</c:v>
                </c:pt>
              </c:numCache>
            </c:numRef>
          </c:val>
          <c:extLst>
            <c:ext xmlns:c16="http://schemas.microsoft.com/office/drawing/2014/chart" uri="{C3380CC4-5D6E-409C-BE32-E72D297353CC}">
              <c16:uniqueId val="{00000003-21D7-46F1-AF60-6059F0C9D234}"/>
            </c:ext>
          </c:extLst>
        </c:ser>
        <c:dLbls>
          <c:dLblPos val="ctr"/>
          <c:showLegendKey val="0"/>
          <c:showVal val="1"/>
          <c:showCatName val="0"/>
          <c:showSerName val="0"/>
          <c:showPercent val="0"/>
          <c:showBubbleSize val="0"/>
        </c:dLbls>
        <c:gapWidth val="20"/>
        <c:overlap val="100"/>
        <c:axId val="947863631"/>
        <c:axId val="947868623"/>
      </c:barChart>
      <c:catAx>
        <c:axId val="94786363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47868623"/>
        <c:crosses val="autoZero"/>
        <c:auto val="1"/>
        <c:lblAlgn val="ctr"/>
        <c:lblOffset val="100"/>
        <c:noMultiLvlLbl val="0"/>
      </c:catAx>
      <c:valAx>
        <c:axId val="94786862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47863631"/>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nl-NL" sz="1000" baseline="0"/>
              <a:t>2 jaar eerder                                                      5 jaar eerder</a:t>
            </a:r>
            <a:endParaRPr lang="nl-NL" sz="1000"/>
          </a:p>
        </c:rich>
      </c:tx>
      <c:layout>
        <c:manualLayout>
          <c:xMode val="edge"/>
          <c:yMode val="edge"/>
          <c:x val="0.17329122047678305"/>
          <c:y val="2.7132545931758525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7.7167710671264975E-2"/>
          <c:y val="0.11058236413108911"/>
          <c:w val="0.66288221896775468"/>
          <c:h val="0.74404512509330833"/>
        </c:manualLayout>
      </c:layout>
      <c:barChart>
        <c:barDir val="col"/>
        <c:grouping val="percentStacked"/>
        <c:varyColors val="0"/>
        <c:ser>
          <c:idx val="0"/>
          <c:order val="0"/>
          <c:tx>
            <c:strRef>
              <c:f>eerder!$L$2</c:f>
              <c:strCache>
                <c:ptCount val="1"/>
                <c:pt idx="0">
                  <c:v>Werkzaam buiten onderwijs</c:v>
                </c:pt>
              </c:strCache>
            </c:strRef>
          </c:tx>
          <c:spPr>
            <a:solidFill>
              <a:schemeClr val="accent1"/>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0-5D6E-4244-9DBA-C7DE8A5570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eerder!$K$3:$K$15</c:f>
              <c:strCache>
                <c:ptCount val="13"/>
                <c:pt idx="0">
                  <c:v>2017/18</c:v>
                </c:pt>
                <c:pt idx="1">
                  <c:v>2018/19</c:v>
                </c:pt>
                <c:pt idx="2">
                  <c:v>2019/20</c:v>
                </c:pt>
                <c:pt idx="3">
                  <c:v>2020/21</c:v>
                </c:pt>
                <c:pt idx="4">
                  <c:v>2021/22</c:v>
                </c:pt>
                <c:pt idx="5">
                  <c:v>2022/23</c:v>
                </c:pt>
                <c:pt idx="7">
                  <c:v>2017/18</c:v>
                </c:pt>
                <c:pt idx="8">
                  <c:v>2018/19</c:v>
                </c:pt>
                <c:pt idx="9">
                  <c:v>2019/20</c:v>
                </c:pt>
                <c:pt idx="10">
                  <c:v>2020/21</c:v>
                </c:pt>
                <c:pt idx="11">
                  <c:v>2021/22</c:v>
                </c:pt>
                <c:pt idx="12">
                  <c:v>2022/23</c:v>
                </c:pt>
              </c:strCache>
            </c:strRef>
          </c:cat>
          <c:val>
            <c:numRef>
              <c:f>eerder!$L$3:$L$15</c:f>
              <c:numCache>
                <c:formatCode>0%</c:formatCode>
                <c:ptCount val="13"/>
                <c:pt idx="0">
                  <c:v>6.1615700593336376E-2</c:v>
                </c:pt>
                <c:pt idx="1">
                  <c:v>7.2256305385139746E-2</c:v>
                </c:pt>
                <c:pt idx="2">
                  <c:v>9.9221789883268477E-2</c:v>
                </c:pt>
                <c:pt idx="3">
                  <c:v>0.12262295081967213</c:v>
                </c:pt>
                <c:pt idx="4">
                  <c:v>0.1145233525271913</c:v>
                </c:pt>
                <c:pt idx="5">
                  <c:v>0.11306532663316583</c:v>
                </c:pt>
                <c:pt idx="6" formatCode="General">
                  <c:v>0</c:v>
                </c:pt>
                <c:pt idx="7">
                  <c:v>0.11410314924691921</c:v>
                </c:pt>
                <c:pt idx="8">
                  <c:v>0.13627118644067795</c:v>
                </c:pt>
                <c:pt idx="9">
                  <c:v>0.1601815823605707</c:v>
                </c:pt>
                <c:pt idx="10">
                  <c:v>0.20131147540983607</c:v>
                </c:pt>
                <c:pt idx="11">
                  <c:v>0.21497120921305182</c:v>
                </c:pt>
                <c:pt idx="12">
                  <c:v>0.22675879396984924</c:v>
                </c:pt>
              </c:numCache>
            </c:numRef>
          </c:val>
          <c:extLst>
            <c:ext xmlns:c16="http://schemas.microsoft.com/office/drawing/2014/chart" uri="{C3380CC4-5D6E-409C-BE32-E72D297353CC}">
              <c16:uniqueId val="{00000001-5D6E-4244-9DBA-C7DE8A557067}"/>
            </c:ext>
          </c:extLst>
        </c:ser>
        <c:ser>
          <c:idx val="1"/>
          <c:order val="1"/>
          <c:tx>
            <c:strRef>
              <c:f>eerder!$M$2</c:f>
              <c:strCache>
                <c:ptCount val="1"/>
                <c:pt idx="0">
                  <c:v>Werkzaam in onderwijs</c:v>
                </c:pt>
              </c:strCache>
            </c:strRef>
          </c:tx>
          <c:spPr>
            <a:solidFill>
              <a:schemeClr val="accent2"/>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2-5D6E-4244-9DBA-C7DE8A5570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eerder!$K$3:$K$15</c:f>
              <c:strCache>
                <c:ptCount val="13"/>
                <c:pt idx="0">
                  <c:v>2017/18</c:v>
                </c:pt>
                <c:pt idx="1">
                  <c:v>2018/19</c:v>
                </c:pt>
                <c:pt idx="2">
                  <c:v>2019/20</c:v>
                </c:pt>
                <c:pt idx="3">
                  <c:v>2020/21</c:v>
                </c:pt>
                <c:pt idx="4">
                  <c:v>2021/22</c:v>
                </c:pt>
                <c:pt idx="5">
                  <c:v>2022/23</c:v>
                </c:pt>
                <c:pt idx="7">
                  <c:v>2017/18</c:v>
                </c:pt>
                <c:pt idx="8">
                  <c:v>2018/19</c:v>
                </c:pt>
                <c:pt idx="9">
                  <c:v>2019/20</c:v>
                </c:pt>
                <c:pt idx="10">
                  <c:v>2020/21</c:v>
                </c:pt>
                <c:pt idx="11">
                  <c:v>2021/22</c:v>
                </c:pt>
                <c:pt idx="12">
                  <c:v>2022/23</c:v>
                </c:pt>
              </c:strCache>
            </c:strRef>
          </c:cat>
          <c:val>
            <c:numRef>
              <c:f>eerder!$M$3:$M$15</c:f>
              <c:numCache>
                <c:formatCode>0%</c:formatCode>
                <c:ptCount val="13"/>
                <c:pt idx="0">
                  <c:v>0.80602464628023729</c:v>
                </c:pt>
                <c:pt idx="1">
                  <c:v>0.81595092024539873</c:v>
                </c:pt>
                <c:pt idx="2">
                  <c:v>0.78274967574578469</c:v>
                </c:pt>
                <c:pt idx="3">
                  <c:v>0.75147540983606553</c:v>
                </c:pt>
                <c:pt idx="4">
                  <c:v>0.7536788227767115</c:v>
                </c:pt>
                <c:pt idx="5">
                  <c:v>0.74623115577889443</c:v>
                </c:pt>
                <c:pt idx="6" formatCode="General">
                  <c:v>0</c:v>
                </c:pt>
                <c:pt idx="7">
                  <c:v>0.70743952533089915</c:v>
                </c:pt>
                <c:pt idx="8">
                  <c:v>0.7105084745762712</c:v>
                </c:pt>
                <c:pt idx="9">
                  <c:v>0.67639429312581067</c:v>
                </c:pt>
                <c:pt idx="10">
                  <c:v>0.63540983606557377</c:v>
                </c:pt>
                <c:pt idx="11">
                  <c:v>0.62891874600127962</c:v>
                </c:pt>
                <c:pt idx="12">
                  <c:v>0.60929648241206025</c:v>
                </c:pt>
              </c:numCache>
            </c:numRef>
          </c:val>
          <c:extLst>
            <c:ext xmlns:c16="http://schemas.microsoft.com/office/drawing/2014/chart" uri="{C3380CC4-5D6E-409C-BE32-E72D297353CC}">
              <c16:uniqueId val="{00000003-5D6E-4244-9DBA-C7DE8A557067}"/>
            </c:ext>
          </c:extLst>
        </c:ser>
        <c:ser>
          <c:idx val="2"/>
          <c:order val="2"/>
          <c:tx>
            <c:strRef>
              <c:f>eerder!$N$2</c:f>
              <c:strCache>
                <c:ptCount val="1"/>
                <c:pt idx="0">
                  <c:v>Studerend</c:v>
                </c:pt>
              </c:strCache>
            </c:strRef>
          </c:tx>
          <c:spPr>
            <a:solidFill>
              <a:schemeClr val="accent3"/>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4-5D6E-4244-9DBA-C7DE8A5570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eerder!$K$3:$K$15</c:f>
              <c:strCache>
                <c:ptCount val="13"/>
                <c:pt idx="0">
                  <c:v>2017/18</c:v>
                </c:pt>
                <c:pt idx="1">
                  <c:v>2018/19</c:v>
                </c:pt>
                <c:pt idx="2">
                  <c:v>2019/20</c:v>
                </c:pt>
                <c:pt idx="3">
                  <c:v>2020/21</c:v>
                </c:pt>
                <c:pt idx="4">
                  <c:v>2021/22</c:v>
                </c:pt>
                <c:pt idx="5">
                  <c:v>2022/23</c:v>
                </c:pt>
                <c:pt idx="7">
                  <c:v>2017/18</c:v>
                </c:pt>
                <c:pt idx="8">
                  <c:v>2018/19</c:v>
                </c:pt>
                <c:pt idx="9">
                  <c:v>2019/20</c:v>
                </c:pt>
                <c:pt idx="10">
                  <c:v>2020/21</c:v>
                </c:pt>
                <c:pt idx="11">
                  <c:v>2021/22</c:v>
                </c:pt>
                <c:pt idx="12">
                  <c:v>2022/23</c:v>
                </c:pt>
              </c:strCache>
            </c:strRef>
          </c:cat>
          <c:val>
            <c:numRef>
              <c:f>eerder!$N$3:$N$15</c:f>
              <c:numCache>
                <c:formatCode>0%</c:formatCode>
                <c:ptCount val="13"/>
                <c:pt idx="0">
                  <c:v>0.13235965312642628</c:v>
                </c:pt>
                <c:pt idx="1">
                  <c:v>0.11179277436946149</c:v>
                </c:pt>
                <c:pt idx="2">
                  <c:v>0.11802853437094682</c:v>
                </c:pt>
                <c:pt idx="3">
                  <c:v>0.12590163934426229</c:v>
                </c:pt>
                <c:pt idx="4">
                  <c:v>0.13179782469609724</c:v>
                </c:pt>
                <c:pt idx="5">
                  <c:v>0.1407035175879397</c:v>
                </c:pt>
                <c:pt idx="6" formatCode="General">
                  <c:v>0</c:v>
                </c:pt>
                <c:pt idx="7">
                  <c:v>0.17845732542218165</c:v>
                </c:pt>
                <c:pt idx="8">
                  <c:v>0.15322033898305085</c:v>
                </c:pt>
                <c:pt idx="9">
                  <c:v>0.16342412451361868</c:v>
                </c:pt>
                <c:pt idx="10">
                  <c:v>0.16327868852459015</c:v>
                </c:pt>
                <c:pt idx="11">
                  <c:v>0.15611004478566859</c:v>
                </c:pt>
                <c:pt idx="12">
                  <c:v>0.16394472361809045</c:v>
                </c:pt>
              </c:numCache>
            </c:numRef>
          </c:val>
          <c:extLst>
            <c:ext xmlns:c16="http://schemas.microsoft.com/office/drawing/2014/chart" uri="{C3380CC4-5D6E-409C-BE32-E72D297353CC}">
              <c16:uniqueId val="{00000005-5D6E-4244-9DBA-C7DE8A557067}"/>
            </c:ext>
          </c:extLst>
        </c:ser>
        <c:dLbls>
          <c:dLblPos val="ctr"/>
          <c:showLegendKey val="0"/>
          <c:showVal val="1"/>
          <c:showCatName val="0"/>
          <c:showSerName val="0"/>
          <c:showPercent val="0"/>
          <c:showBubbleSize val="0"/>
        </c:dLbls>
        <c:gapWidth val="50"/>
        <c:overlap val="100"/>
        <c:axId val="1983881375"/>
        <c:axId val="1983878047"/>
      </c:barChart>
      <c:catAx>
        <c:axId val="1983881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crossAx val="1983878047"/>
        <c:crosses val="autoZero"/>
        <c:auto val="1"/>
        <c:lblAlgn val="ctr"/>
        <c:lblOffset val="100"/>
        <c:noMultiLvlLbl val="0"/>
      </c:catAx>
      <c:valAx>
        <c:axId val="19838780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83881375"/>
        <c:crosses val="autoZero"/>
        <c:crossBetween val="between"/>
      </c:valAx>
      <c:spPr>
        <a:noFill/>
        <a:ln>
          <a:noFill/>
        </a:ln>
        <a:effectLst/>
      </c:spPr>
    </c:plotArea>
    <c:legend>
      <c:legendPos val="r"/>
      <c:layout>
        <c:manualLayout>
          <c:xMode val="edge"/>
          <c:yMode val="edge"/>
          <c:x val="0.73571164259692612"/>
          <c:y val="0.31636473762458017"/>
          <c:w val="0.26208203690288195"/>
          <c:h val="0.2743797759545791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nl-NL" sz="1000" baseline="0"/>
              <a:t>2 jaar eerder                                             5 jaar eerder</a:t>
            </a:r>
            <a:endParaRPr lang="nl-NL" sz="1000"/>
          </a:p>
        </c:rich>
      </c:tx>
      <c:layout>
        <c:manualLayout>
          <c:xMode val="edge"/>
          <c:yMode val="edge"/>
          <c:x val="0.18213491462287423"/>
          <c:y val="3.8660634737171622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7.7167710671264975E-2"/>
          <c:y val="0.10675973416167016"/>
          <c:w val="0.66288221896775468"/>
          <c:h val="0.74786775506272729"/>
        </c:manualLayout>
      </c:layout>
      <c:barChart>
        <c:barDir val="col"/>
        <c:grouping val="percentStacked"/>
        <c:varyColors val="0"/>
        <c:ser>
          <c:idx val="0"/>
          <c:order val="0"/>
          <c:tx>
            <c:strRef>
              <c:f>eerder!$P$2</c:f>
              <c:strCache>
                <c:ptCount val="1"/>
                <c:pt idx="0">
                  <c:v>Primair, industrie, elektriciteit en bouw</c:v>
                </c:pt>
              </c:strCache>
            </c:strRef>
          </c:tx>
          <c:spPr>
            <a:solidFill>
              <a:schemeClr val="accent1"/>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0-6D40-4E4B-9863-5C878DB352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eerder!$K$3:$K$15</c:f>
              <c:strCache>
                <c:ptCount val="13"/>
                <c:pt idx="0">
                  <c:v>2017/18</c:v>
                </c:pt>
                <c:pt idx="1">
                  <c:v>2018/19</c:v>
                </c:pt>
                <c:pt idx="2">
                  <c:v>2019/20</c:v>
                </c:pt>
                <c:pt idx="3">
                  <c:v>2020/21</c:v>
                </c:pt>
                <c:pt idx="4">
                  <c:v>2021/22</c:v>
                </c:pt>
                <c:pt idx="5">
                  <c:v>2022/23</c:v>
                </c:pt>
                <c:pt idx="7">
                  <c:v>2017/18</c:v>
                </c:pt>
                <c:pt idx="8">
                  <c:v>2018/19</c:v>
                </c:pt>
                <c:pt idx="9">
                  <c:v>2019/20</c:v>
                </c:pt>
                <c:pt idx="10">
                  <c:v>2020/21</c:v>
                </c:pt>
                <c:pt idx="11">
                  <c:v>2021/22</c:v>
                </c:pt>
                <c:pt idx="12">
                  <c:v>2022/23</c:v>
                </c:pt>
              </c:strCache>
            </c:strRef>
          </c:cat>
          <c:val>
            <c:numRef>
              <c:f>eerder!$P$3:$P$15</c:f>
              <c:numCache>
                <c:formatCode>0%</c:formatCode>
                <c:ptCount val="13"/>
                <c:pt idx="0">
                  <c:v>0.17037037037037037</c:v>
                </c:pt>
                <c:pt idx="1">
                  <c:v>0.24528301886792453</c:v>
                </c:pt>
                <c:pt idx="2">
                  <c:v>0.24183006535947713</c:v>
                </c:pt>
                <c:pt idx="3">
                  <c:v>0.32085561497326204</c:v>
                </c:pt>
                <c:pt idx="4">
                  <c:v>0.31843575418994413</c:v>
                </c:pt>
                <c:pt idx="5">
                  <c:v>0.28333333333333333</c:v>
                </c:pt>
                <c:pt idx="6" formatCode="General">
                  <c:v>0</c:v>
                </c:pt>
                <c:pt idx="7">
                  <c:v>0.28000000000000003</c:v>
                </c:pt>
                <c:pt idx="8">
                  <c:v>0.23880597014925373</c:v>
                </c:pt>
                <c:pt idx="9">
                  <c:v>0.2874493927125506</c:v>
                </c:pt>
                <c:pt idx="10">
                  <c:v>0.26384364820846906</c:v>
                </c:pt>
                <c:pt idx="11">
                  <c:v>0.29464285714285715</c:v>
                </c:pt>
                <c:pt idx="12">
                  <c:v>0.26869806094182824</c:v>
                </c:pt>
              </c:numCache>
            </c:numRef>
          </c:val>
          <c:extLst>
            <c:ext xmlns:c16="http://schemas.microsoft.com/office/drawing/2014/chart" uri="{C3380CC4-5D6E-409C-BE32-E72D297353CC}">
              <c16:uniqueId val="{00000001-6D40-4E4B-9863-5C878DB352E8}"/>
            </c:ext>
          </c:extLst>
        </c:ser>
        <c:ser>
          <c:idx val="1"/>
          <c:order val="1"/>
          <c:tx>
            <c:strRef>
              <c:f>eerder!$Q$2</c:f>
              <c:strCache>
                <c:ptCount val="1"/>
                <c:pt idx="0">
                  <c:v>Winkel en horeca</c:v>
                </c:pt>
              </c:strCache>
            </c:strRef>
          </c:tx>
          <c:spPr>
            <a:solidFill>
              <a:schemeClr val="accent2"/>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2-6D40-4E4B-9863-5C878DB352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eerder!$K$3:$K$15</c:f>
              <c:strCache>
                <c:ptCount val="13"/>
                <c:pt idx="0">
                  <c:v>2017/18</c:v>
                </c:pt>
                <c:pt idx="1">
                  <c:v>2018/19</c:v>
                </c:pt>
                <c:pt idx="2">
                  <c:v>2019/20</c:v>
                </c:pt>
                <c:pt idx="3">
                  <c:v>2020/21</c:v>
                </c:pt>
                <c:pt idx="4">
                  <c:v>2021/22</c:v>
                </c:pt>
                <c:pt idx="5">
                  <c:v>2022/23</c:v>
                </c:pt>
                <c:pt idx="7">
                  <c:v>2017/18</c:v>
                </c:pt>
                <c:pt idx="8">
                  <c:v>2018/19</c:v>
                </c:pt>
                <c:pt idx="9">
                  <c:v>2019/20</c:v>
                </c:pt>
                <c:pt idx="10">
                  <c:v>2020/21</c:v>
                </c:pt>
                <c:pt idx="11">
                  <c:v>2021/22</c:v>
                </c:pt>
                <c:pt idx="12">
                  <c:v>2022/23</c:v>
                </c:pt>
              </c:strCache>
            </c:strRef>
          </c:cat>
          <c:val>
            <c:numRef>
              <c:f>eerder!$Q$3:$Q$15</c:f>
              <c:numCache>
                <c:formatCode>0%</c:formatCode>
                <c:ptCount val="13"/>
                <c:pt idx="0">
                  <c:v>0.13333333333333333</c:v>
                </c:pt>
                <c:pt idx="1">
                  <c:v>0.16037735849056603</c:v>
                </c:pt>
                <c:pt idx="2">
                  <c:v>0.20915032679738563</c:v>
                </c:pt>
                <c:pt idx="3">
                  <c:v>0.19251336898395721</c:v>
                </c:pt>
                <c:pt idx="4">
                  <c:v>0.23463687150837989</c:v>
                </c:pt>
                <c:pt idx="5">
                  <c:v>0.22222222222222221</c:v>
                </c:pt>
                <c:pt idx="6" formatCode="General">
                  <c:v>0</c:v>
                </c:pt>
                <c:pt idx="7">
                  <c:v>0.188</c:v>
                </c:pt>
                <c:pt idx="8">
                  <c:v>0.18407960199004975</c:v>
                </c:pt>
                <c:pt idx="9">
                  <c:v>0.20647773279352227</c:v>
                </c:pt>
                <c:pt idx="10">
                  <c:v>0.25407166123778502</c:v>
                </c:pt>
                <c:pt idx="11">
                  <c:v>0.26785714285714285</c:v>
                </c:pt>
                <c:pt idx="12">
                  <c:v>0.23545706371191136</c:v>
                </c:pt>
              </c:numCache>
            </c:numRef>
          </c:val>
          <c:extLst>
            <c:ext xmlns:c16="http://schemas.microsoft.com/office/drawing/2014/chart" uri="{C3380CC4-5D6E-409C-BE32-E72D297353CC}">
              <c16:uniqueId val="{00000003-6D40-4E4B-9863-5C878DB352E8}"/>
            </c:ext>
          </c:extLst>
        </c:ser>
        <c:ser>
          <c:idx val="2"/>
          <c:order val="2"/>
          <c:tx>
            <c:strRef>
              <c:f>eerder!$R$2</c:f>
              <c:strCache>
                <c:ptCount val="1"/>
                <c:pt idx="0">
                  <c:v>Zakelijke dienstverlening en informatie</c:v>
                </c:pt>
              </c:strCache>
            </c:strRef>
          </c:tx>
          <c:spPr>
            <a:solidFill>
              <a:schemeClr val="accent3"/>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4-6D40-4E4B-9863-5C878DB352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eerder!$K$3:$K$15</c:f>
              <c:strCache>
                <c:ptCount val="13"/>
                <c:pt idx="0">
                  <c:v>2017/18</c:v>
                </c:pt>
                <c:pt idx="1">
                  <c:v>2018/19</c:v>
                </c:pt>
                <c:pt idx="2">
                  <c:v>2019/20</c:v>
                </c:pt>
                <c:pt idx="3">
                  <c:v>2020/21</c:v>
                </c:pt>
                <c:pt idx="4">
                  <c:v>2021/22</c:v>
                </c:pt>
                <c:pt idx="5">
                  <c:v>2022/23</c:v>
                </c:pt>
                <c:pt idx="7">
                  <c:v>2017/18</c:v>
                </c:pt>
                <c:pt idx="8">
                  <c:v>2018/19</c:v>
                </c:pt>
                <c:pt idx="9">
                  <c:v>2019/20</c:v>
                </c:pt>
                <c:pt idx="10">
                  <c:v>2020/21</c:v>
                </c:pt>
                <c:pt idx="11">
                  <c:v>2021/22</c:v>
                </c:pt>
                <c:pt idx="12">
                  <c:v>2022/23</c:v>
                </c:pt>
              </c:strCache>
            </c:strRef>
          </c:cat>
          <c:val>
            <c:numRef>
              <c:f>eerder!$R$3:$R$15</c:f>
              <c:numCache>
                <c:formatCode>0%</c:formatCode>
                <c:ptCount val="13"/>
                <c:pt idx="0">
                  <c:v>0.19259259259259259</c:v>
                </c:pt>
                <c:pt idx="1">
                  <c:v>0.27358490566037735</c:v>
                </c:pt>
                <c:pt idx="2">
                  <c:v>0.19607843137254902</c:v>
                </c:pt>
                <c:pt idx="3">
                  <c:v>0.19251336898395721</c:v>
                </c:pt>
                <c:pt idx="4">
                  <c:v>0.18994413407821228</c:v>
                </c:pt>
                <c:pt idx="5">
                  <c:v>0.21111111111111111</c:v>
                </c:pt>
                <c:pt idx="6" formatCode="General">
                  <c:v>0</c:v>
                </c:pt>
                <c:pt idx="7">
                  <c:v>0.188</c:v>
                </c:pt>
                <c:pt idx="8">
                  <c:v>0.17412935323383086</c:v>
                </c:pt>
                <c:pt idx="9">
                  <c:v>0.13360323886639677</c:v>
                </c:pt>
                <c:pt idx="10">
                  <c:v>0.14332247557003258</c:v>
                </c:pt>
                <c:pt idx="11">
                  <c:v>0.13988095238095238</c:v>
                </c:pt>
                <c:pt idx="12">
                  <c:v>0.16343490304709141</c:v>
                </c:pt>
              </c:numCache>
            </c:numRef>
          </c:val>
          <c:extLst>
            <c:ext xmlns:c16="http://schemas.microsoft.com/office/drawing/2014/chart" uri="{C3380CC4-5D6E-409C-BE32-E72D297353CC}">
              <c16:uniqueId val="{00000005-6D40-4E4B-9863-5C878DB352E8}"/>
            </c:ext>
          </c:extLst>
        </c:ser>
        <c:ser>
          <c:idx val="3"/>
          <c:order val="3"/>
          <c:tx>
            <c:strRef>
              <c:f>eerder!$S$2</c:f>
              <c:strCache>
                <c:ptCount val="1"/>
                <c:pt idx="0">
                  <c:v>Overheid en zorg</c:v>
                </c:pt>
              </c:strCache>
            </c:strRef>
          </c:tx>
          <c:spPr>
            <a:solidFill>
              <a:schemeClr val="accent4"/>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6-6D40-4E4B-9863-5C878DB352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eerder!$K$3:$K$15</c:f>
              <c:strCache>
                <c:ptCount val="13"/>
                <c:pt idx="0">
                  <c:v>2017/18</c:v>
                </c:pt>
                <c:pt idx="1">
                  <c:v>2018/19</c:v>
                </c:pt>
                <c:pt idx="2">
                  <c:v>2019/20</c:v>
                </c:pt>
                <c:pt idx="3">
                  <c:v>2020/21</c:v>
                </c:pt>
                <c:pt idx="4">
                  <c:v>2021/22</c:v>
                </c:pt>
                <c:pt idx="5">
                  <c:v>2022/23</c:v>
                </c:pt>
                <c:pt idx="7">
                  <c:v>2017/18</c:v>
                </c:pt>
                <c:pt idx="8">
                  <c:v>2018/19</c:v>
                </c:pt>
                <c:pt idx="9">
                  <c:v>2019/20</c:v>
                </c:pt>
                <c:pt idx="10">
                  <c:v>2020/21</c:v>
                </c:pt>
                <c:pt idx="11">
                  <c:v>2021/22</c:v>
                </c:pt>
                <c:pt idx="12">
                  <c:v>2022/23</c:v>
                </c:pt>
              </c:strCache>
            </c:strRef>
          </c:cat>
          <c:val>
            <c:numRef>
              <c:f>eerder!$S$3:$S$15</c:f>
              <c:numCache>
                <c:formatCode>0%</c:formatCode>
                <c:ptCount val="13"/>
                <c:pt idx="0">
                  <c:v>0.13333333333333333</c:v>
                </c:pt>
                <c:pt idx="1">
                  <c:v>0</c:v>
                </c:pt>
                <c:pt idx="2">
                  <c:v>9.8039215686274508E-2</c:v>
                </c:pt>
                <c:pt idx="3">
                  <c:v>8.5561497326203204E-2</c:v>
                </c:pt>
                <c:pt idx="4">
                  <c:v>7.8212290502793297E-2</c:v>
                </c:pt>
                <c:pt idx="5">
                  <c:v>6.6666666666666666E-2</c:v>
                </c:pt>
                <c:pt idx="6" formatCode="General">
                  <c:v>0</c:v>
                </c:pt>
                <c:pt idx="7">
                  <c:v>0.108</c:v>
                </c:pt>
                <c:pt idx="8">
                  <c:v>9.4527363184079602E-2</c:v>
                </c:pt>
                <c:pt idx="9">
                  <c:v>7.6923076923076927E-2</c:v>
                </c:pt>
                <c:pt idx="10">
                  <c:v>7.8175895765472306E-2</c:v>
                </c:pt>
                <c:pt idx="11">
                  <c:v>5.9523809523809521E-2</c:v>
                </c:pt>
                <c:pt idx="12">
                  <c:v>6.9252077562326875E-2</c:v>
                </c:pt>
              </c:numCache>
            </c:numRef>
          </c:val>
          <c:extLst>
            <c:ext xmlns:c16="http://schemas.microsoft.com/office/drawing/2014/chart" uri="{C3380CC4-5D6E-409C-BE32-E72D297353CC}">
              <c16:uniqueId val="{00000007-6D40-4E4B-9863-5C878DB352E8}"/>
            </c:ext>
          </c:extLst>
        </c:ser>
        <c:ser>
          <c:idx val="4"/>
          <c:order val="4"/>
          <c:tx>
            <c:strRef>
              <c:f>eerder!$T$2</c:f>
              <c:strCache>
                <c:ptCount val="1"/>
                <c:pt idx="0">
                  <c:v>Overig &amp; onbekend</c:v>
                </c:pt>
              </c:strCache>
            </c:strRef>
          </c:tx>
          <c:spPr>
            <a:solidFill>
              <a:schemeClr val="accent5"/>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8-6D40-4E4B-9863-5C878DB352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eerder!$K$3:$K$15</c:f>
              <c:strCache>
                <c:ptCount val="13"/>
                <c:pt idx="0">
                  <c:v>2017/18</c:v>
                </c:pt>
                <c:pt idx="1">
                  <c:v>2018/19</c:v>
                </c:pt>
                <c:pt idx="2">
                  <c:v>2019/20</c:v>
                </c:pt>
                <c:pt idx="3">
                  <c:v>2020/21</c:v>
                </c:pt>
                <c:pt idx="4">
                  <c:v>2021/22</c:v>
                </c:pt>
                <c:pt idx="5">
                  <c:v>2022/23</c:v>
                </c:pt>
                <c:pt idx="7">
                  <c:v>2017/18</c:v>
                </c:pt>
                <c:pt idx="8">
                  <c:v>2018/19</c:v>
                </c:pt>
                <c:pt idx="9">
                  <c:v>2019/20</c:v>
                </c:pt>
                <c:pt idx="10">
                  <c:v>2020/21</c:v>
                </c:pt>
                <c:pt idx="11">
                  <c:v>2021/22</c:v>
                </c:pt>
                <c:pt idx="12">
                  <c:v>2022/23</c:v>
                </c:pt>
              </c:strCache>
            </c:strRef>
          </c:cat>
          <c:val>
            <c:numRef>
              <c:f>eerder!$T$3:$T$15</c:f>
              <c:numCache>
                <c:formatCode>0%</c:formatCode>
                <c:ptCount val="13"/>
                <c:pt idx="0">
                  <c:v>0.37037037037037035</c:v>
                </c:pt>
                <c:pt idx="1">
                  <c:v>0.32075471698113206</c:v>
                </c:pt>
                <c:pt idx="2">
                  <c:v>0.25490196078431371</c:v>
                </c:pt>
                <c:pt idx="3">
                  <c:v>0.20855614973262032</c:v>
                </c:pt>
                <c:pt idx="4">
                  <c:v>0.1787709497206704</c:v>
                </c:pt>
                <c:pt idx="5">
                  <c:v>0.21666666666666667</c:v>
                </c:pt>
                <c:pt idx="6" formatCode="General">
                  <c:v>0</c:v>
                </c:pt>
                <c:pt idx="7">
                  <c:v>0.23599999999999999</c:v>
                </c:pt>
                <c:pt idx="8">
                  <c:v>0.30845771144278605</c:v>
                </c:pt>
                <c:pt idx="9">
                  <c:v>0.29554655870445345</c:v>
                </c:pt>
                <c:pt idx="10">
                  <c:v>0.26058631921824105</c:v>
                </c:pt>
                <c:pt idx="11">
                  <c:v>0.23809523809523808</c:v>
                </c:pt>
                <c:pt idx="12">
                  <c:v>0.26315789473684209</c:v>
                </c:pt>
              </c:numCache>
            </c:numRef>
          </c:val>
          <c:extLst>
            <c:ext xmlns:c16="http://schemas.microsoft.com/office/drawing/2014/chart" uri="{C3380CC4-5D6E-409C-BE32-E72D297353CC}">
              <c16:uniqueId val="{00000009-6D40-4E4B-9863-5C878DB352E8}"/>
            </c:ext>
          </c:extLst>
        </c:ser>
        <c:dLbls>
          <c:dLblPos val="ctr"/>
          <c:showLegendKey val="0"/>
          <c:showVal val="1"/>
          <c:showCatName val="0"/>
          <c:showSerName val="0"/>
          <c:showPercent val="0"/>
          <c:showBubbleSize val="0"/>
        </c:dLbls>
        <c:gapWidth val="50"/>
        <c:overlap val="100"/>
        <c:axId val="1983881375"/>
        <c:axId val="1983878047"/>
      </c:barChart>
      <c:catAx>
        <c:axId val="1983881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crossAx val="1983878047"/>
        <c:crosses val="autoZero"/>
        <c:auto val="1"/>
        <c:lblAlgn val="ctr"/>
        <c:lblOffset val="100"/>
        <c:noMultiLvlLbl val="0"/>
      </c:catAx>
      <c:valAx>
        <c:axId val="19838780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83881375"/>
        <c:crosses val="autoZero"/>
        <c:crossBetween val="between"/>
      </c:valAx>
      <c:spPr>
        <a:noFill/>
        <a:ln>
          <a:noFill/>
        </a:ln>
        <a:effectLst/>
      </c:spPr>
    </c:plotArea>
    <c:legend>
      <c:legendPos val="r"/>
      <c:layout>
        <c:manualLayout>
          <c:xMode val="edge"/>
          <c:yMode val="edge"/>
          <c:x val="0.76218748859922991"/>
          <c:y val="0.20764808301117282"/>
          <c:w val="0.21354298589865867"/>
          <c:h val="0.4711186727751052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nl-NL"/>
              <a:t>Inzet en tevredenheid op techniekonderwijs (n=48)</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0.53129332391143413"/>
          <c:y val="0.12606474190726158"/>
          <c:w val="0.42371206003095768"/>
          <c:h val="0.73712904636920384"/>
        </c:manualLayout>
      </c:layout>
      <c:barChart>
        <c:barDir val="bar"/>
        <c:grouping val="percentStacked"/>
        <c:varyColors val="0"/>
        <c:ser>
          <c:idx val="3"/>
          <c:order val="0"/>
          <c:tx>
            <c:strRef>
              <c:f>Totaal!$E$162</c:f>
              <c:strCache>
                <c:ptCount val="1"/>
                <c:pt idx="0">
                  <c:v>Hoge inzet, hoge tevredenheid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Totaal!$A$163:$A$174</c:f>
              <c:strCache>
                <c:ptCount val="12"/>
                <c:pt idx="0">
                  <c:v>Instroombevordering van leerlingen in de technische profielen</c:v>
                </c:pt>
                <c:pt idx="1">
                  <c:v>Up-to-date faciliteiten (inrichten van (centrale) technieklokalen/hotspots/techlabs)</c:v>
                </c:pt>
                <c:pt idx="2">
                  <c:v>Up-to-date apparatuur (moderne inventaris, faciliteiten, apparatuur binnen de school)</c:v>
                </c:pt>
                <c:pt idx="3">
                  <c:v>Innovatief en up-to-date technisch onderwijs (andere inhoud technisch onderwijs/andere leeromgevingen)</c:v>
                </c:pt>
                <c:pt idx="4">
                  <c:v>Buitenschools/levensecht leren</c:v>
                </c:pt>
                <c:pt idx="5">
                  <c:v>Werven van voldoende techniekdocenten/instructeurs/hybride docenten</c:v>
                </c:pt>
                <c:pt idx="6">
                  <c:v>Kwaliteit van de docenten/instructeurs (eventueel vanuit het bedrijfsleven)</c:v>
                </c:pt>
                <c:pt idx="7">
                  <c:v>Scholing/professionalisering van techniekdocenten (up-to-date raken door bijvoorbeeld gastlessen en/of opleiding(en))</c:v>
                </c:pt>
                <c:pt idx="8">
                  <c:v>LOB-activiteiten, keuzeprocessen leerlingen</c:v>
                </c:pt>
                <c:pt idx="9">
                  <c:v>Het organiseren van een infrastructuur voor de samenwerking tussen de verschillende partners</c:v>
                </c:pt>
                <c:pt idx="10">
                  <c:v>Breder inzetten van techniek in het vmbo (niet-technische profielen en/of in onderbouw)</c:v>
                </c:pt>
                <c:pt idx="11">
                  <c:v>Techniekaanbod bereikbaar maken/houden voor leerlingen in de regio</c:v>
                </c:pt>
              </c:strCache>
            </c:strRef>
          </c:cat>
          <c:val>
            <c:numRef>
              <c:f>Totaal!$E$163:$E$174</c:f>
              <c:numCache>
                <c:formatCode>0%</c:formatCode>
                <c:ptCount val="12"/>
                <c:pt idx="0">
                  <c:v>0.54166666666666663</c:v>
                </c:pt>
                <c:pt idx="1">
                  <c:v>0.77083333333333337</c:v>
                </c:pt>
                <c:pt idx="2">
                  <c:v>0.83333333333333337</c:v>
                </c:pt>
                <c:pt idx="3">
                  <c:v>0.625</c:v>
                </c:pt>
                <c:pt idx="4">
                  <c:v>0.52083333333333337</c:v>
                </c:pt>
                <c:pt idx="5">
                  <c:v>0.3125</c:v>
                </c:pt>
                <c:pt idx="6">
                  <c:v>0.25</c:v>
                </c:pt>
                <c:pt idx="7">
                  <c:v>0.45833333333333331</c:v>
                </c:pt>
                <c:pt idx="8">
                  <c:v>0.54166666666666663</c:v>
                </c:pt>
                <c:pt idx="9">
                  <c:v>0.5625</c:v>
                </c:pt>
                <c:pt idx="10">
                  <c:v>0.375</c:v>
                </c:pt>
                <c:pt idx="11">
                  <c:v>0.60416666666666663</c:v>
                </c:pt>
              </c:numCache>
            </c:numRef>
          </c:val>
          <c:extLst>
            <c:ext xmlns:c16="http://schemas.microsoft.com/office/drawing/2014/chart" uri="{C3380CC4-5D6E-409C-BE32-E72D297353CC}">
              <c16:uniqueId val="{00000000-F39B-4E2E-BC1C-53D3C8759E44}"/>
            </c:ext>
          </c:extLst>
        </c:ser>
        <c:ser>
          <c:idx val="1"/>
          <c:order val="1"/>
          <c:tx>
            <c:strRef>
              <c:f>Totaal!$C$162</c:f>
              <c:strCache>
                <c:ptCount val="1"/>
                <c:pt idx="0">
                  <c:v>Lage inzet, hoge tevredenheid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Totaal!$A$163:$A$174</c:f>
              <c:strCache>
                <c:ptCount val="12"/>
                <c:pt idx="0">
                  <c:v>Instroombevordering van leerlingen in de technische profielen</c:v>
                </c:pt>
                <c:pt idx="1">
                  <c:v>Up-to-date faciliteiten (inrichten van (centrale) technieklokalen/hotspots/techlabs)</c:v>
                </c:pt>
                <c:pt idx="2">
                  <c:v>Up-to-date apparatuur (moderne inventaris, faciliteiten, apparatuur binnen de school)</c:v>
                </c:pt>
                <c:pt idx="3">
                  <c:v>Innovatief en up-to-date technisch onderwijs (andere inhoud technisch onderwijs/andere leeromgevingen)</c:v>
                </c:pt>
                <c:pt idx="4">
                  <c:v>Buitenschools/levensecht leren</c:v>
                </c:pt>
                <c:pt idx="5">
                  <c:v>Werven van voldoende techniekdocenten/instructeurs/hybride docenten</c:v>
                </c:pt>
                <c:pt idx="6">
                  <c:v>Kwaliteit van de docenten/instructeurs (eventueel vanuit het bedrijfsleven)</c:v>
                </c:pt>
                <c:pt idx="7">
                  <c:v>Scholing/professionalisering van techniekdocenten (up-to-date raken door bijvoorbeeld gastlessen en/of opleiding(en))</c:v>
                </c:pt>
                <c:pt idx="8">
                  <c:v>LOB-activiteiten, keuzeprocessen leerlingen</c:v>
                </c:pt>
                <c:pt idx="9">
                  <c:v>Het organiseren van een infrastructuur voor de samenwerking tussen de verschillende partners</c:v>
                </c:pt>
                <c:pt idx="10">
                  <c:v>Breder inzetten van techniek in het vmbo (niet-technische profielen en/of in onderbouw)</c:v>
                </c:pt>
                <c:pt idx="11">
                  <c:v>Techniekaanbod bereikbaar maken/houden voor leerlingen in de regio</c:v>
                </c:pt>
              </c:strCache>
            </c:strRef>
          </c:cat>
          <c:val>
            <c:numRef>
              <c:f>Totaal!$C$163:$C$174</c:f>
              <c:numCache>
                <c:formatCode>0%</c:formatCode>
                <c:ptCount val="12"/>
                <c:pt idx="0">
                  <c:v>6.25E-2</c:v>
                </c:pt>
                <c:pt idx="1">
                  <c:v>0.10416666666666667</c:v>
                </c:pt>
                <c:pt idx="2">
                  <c:v>4.1666666666666664E-2</c:v>
                </c:pt>
                <c:pt idx="3">
                  <c:v>8.3333333333333329E-2</c:v>
                </c:pt>
                <c:pt idx="4">
                  <c:v>6.25E-2</c:v>
                </c:pt>
                <c:pt idx="5">
                  <c:v>0.10416666666666667</c:v>
                </c:pt>
                <c:pt idx="6">
                  <c:v>0.16666666666666666</c:v>
                </c:pt>
                <c:pt idx="7">
                  <c:v>8.3333333333333329E-2</c:v>
                </c:pt>
                <c:pt idx="8">
                  <c:v>6.25E-2</c:v>
                </c:pt>
                <c:pt idx="9">
                  <c:v>8.3333333333333329E-2</c:v>
                </c:pt>
                <c:pt idx="10">
                  <c:v>6.25E-2</c:v>
                </c:pt>
                <c:pt idx="11">
                  <c:v>6.25E-2</c:v>
                </c:pt>
              </c:numCache>
            </c:numRef>
          </c:val>
          <c:extLst>
            <c:ext xmlns:c16="http://schemas.microsoft.com/office/drawing/2014/chart" uri="{C3380CC4-5D6E-409C-BE32-E72D297353CC}">
              <c16:uniqueId val="{00000001-F39B-4E2E-BC1C-53D3C8759E44}"/>
            </c:ext>
          </c:extLst>
        </c:ser>
        <c:ser>
          <c:idx val="0"/>
          <c:order val="2"/>
          <c:tx>
            <c:strRef>
              <c:f>Totaal!$B$162</c:f>
              <c:strCache>
                <c:ptCount val="1"/>
                <c:pt idx="0">
                  <c:v>Lage inzet, lage tevredenheid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Totaal!$A$163:$A$174</c:f>
              <c:strCache>
                <c:ptCount val="12"/>
                <c:pt idx="0">
                  <c:v>Instroombevordering van leerlingen in de technische profielen</c:v>
                </c:pt>
                <c:pt idx="1">
                  <c:v>Up-to-date faciliteiten (inrichten van (centrale) technieklokalen/hotspots/techlabs)</c:v>
                </c:pt>
                <c:pt idx="2">
                  <c:v>Up-to-date apparatuur (moderne inventaris, faciliteiten, apparatuur binnen de school)</c:v>
                </c:pt>
                <c:pt idx="3">
                  <c:v>Innovatief en up-to-date technisch onderwijs (andere inhoud technisch onderwijs/andere leeromgevingen)</c:v>
                </c:pt>
                <c:pt idx="4">
                  <c:v>Buitenschools/levensecht leren</c:v>
                </c:pt>
                <c:pt idx="5">
                  <c:v>Werven van voldoende techniekdocenten/instructeurs/hybride docenten</c:v>
                </c:pt>
                <c:pt idx="6">
                  <c:v>Kwaliteit van de docenten/instructeurs (eventueel vanuit het bedrijfsleven)</c:v>
                </c:pt>
                <c:pt idx="7">
                  <c:v>Scholing/professionalisering van techniekdocenten (up-to-date raken door bijvoorbeeld gastlessen en/of opleiding(en))</c:v>
                </c:pt>
                <c:pt idx="8">
                  <c:v>LOB-activiteiten, keuzeprocessen leerlingen</c:v>
                </c:pt>
                <c:pt idx="9">
                  <c:v>Het organiseren van een infrastructuur voor de samenwerking tussen de verschillende partners</c:v>
                </c:pt>
                <c:pt idx="10">
                  <c:v>Breder inzetten van techniek in het vmbo (niet-technische profielen en/of in onderbouw)</c:v>
                </c:pt>
                <c:pt idx="11">
                  <c:v>Techniekaanbod bereikbaar maken/houden voor leerlingen in de regio</c:v>
                </c:pt>
              </c:strCache>
            </c:strRef>
          </c:cat>
          <c:val>
            <c:numRef>
              <c:f>Totaal!$B$163:$B$174</c:f>
              <c:numCache>
                <c:formatCode>0%</c:formatCode>
                <c:ptCount val="12"/>
                <c:pt idx="0">
                  <c:v>0.20833333333333334</c:v>
                </c:pt>
                <c:pt idx="1">
                  <c:v>8.3333333333333329E-2</c:v>
                </c:pt>
                <c:pt idx="2">
                  <c:v>6.25E-2</c:v>
                </c:pt>
                <c:pt idx="3">
                  <c:v>0.1875</c:v>
                </c:pt>
                <c:pt idx="4">
                  <c:v>0.35416666666666669</c:v>
                </c:pt>
                <c:pt idx="5">
                  <c:v>0.5</c:v>
                </c:pt>
                <c:pt idx="6">
                  <c:v>0.4375</c:v>
                </c:pt>
                <c:pt idx="7">
                  <c:v>0.3125</c:v>
                </c:pt>
                <c:pt idx="8">
                  <c:v>0.25</c:v>
                </c:pt>
                <c:pt idx="9">
                  <c:v>0.3125</c:v>
                </c:pt>
                <c:pt idx="10">
                  <c:v>0.41666666666666669</c:v>
                </c:pt>
                <c:pt idx="11">
                  <c:v>0.1875</c:v>
                </c:pt>
              </c:numCache>
            </c:numRef>
          </c:val>
          <c:extLst>
            <c:ext xmlns:c16="http://schemas.microsoft.com/office/drawing/2014/chart" uri="{C3380CC4-5D6E-409C-BE32-E72D297353CC}">
              <c16:uniqueId val="{00000002-F39B-4E2E-BC1C-53D3C8759E44}"/>
            </c:ext>
          </c:extLst>
        </c:ser>
        <c:ser>
          <c:idx val="2"/>
          <c:order val="3"/>
          <c:tx>
            <c:strRef>
              <c:f>Totaal!$D$162</c:f>
              <c:strCache>
                <c:ptCount val="1"/>
                <c:pt idx="0">
                  <c:v>Hoge inzet, lage tevredenheid</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Totaal!$A$163:$A$174</c:f>
              <c:strCache>
                <c:ptCount val="12"/>
                <c:pt idx="0">
                  <c:v>Instroombevordering van leerlingen in de technische profielen</c:v>
                </c:pt>
                <c:pt idx="1">
                  <c:v>Up-to-date faciliteiten (inrichten van (centrale) technieklokalen/hotspots/techlabs)</c:v>
                </c:pt>
                <c:pt idx="2">
                  <c:v>Up-to-date apparatuur (moderne inventaris, faciliteiten, apparatuur binnen de school)</c:v>
                </c:pt>
                <c:pt idx="3">
                  <c:v>Innovatief en up-to-date technisch onderwijs (andere inhoud technisch onderwijs/andere leeromgevingen)</c:v>
                </c:pt>
                <c:pt idx="4">
                  <c:v>Buitenschools/levensecht leren</c:v>
                </c:pt>
                <c:pt idx="5">
                  <c:v>Werven van voldoende techniekdocenten/instructeurs/hybride docenten</c:v>
                </c:pt>
                <c:pt idx="6">
                  <c:v>Kwaliteit van de docenten/instructeurs (eventueel vanuit het bedrijfsleven)</c:v>
                </c:pt>
                <c:pt idx="7">
                  <c:v>Scholing/professionalisering van techniekdocenten (up-to-date raken door bijvoorbeeld gastlessen en/of opleiding(en))</c:v>
                </c:pt>
                <c:pt idx="8">
                  <c:v>LOB-activiteiten, keuzeprocessen leerlingen</c:v>
                </c:pt>
                <c:pt idx="9">
                  <c:v>Het organiseren van een infrastructuur voor de samenwerking tussen de verschillende partners</c:v>
                </c:pt>
                <c:pt idx="10">
                  <c:v>Breder inzetten van techniek in het vmbo (niet-technische profielen en/of in onderbouw)</c:v>
                </c:pt>
                <c:pt idx="11">
                  <c:v>Techniekaanbod bereikbaar maken/houden voor leerlingen in de regio</c:v>
                </c:pt>
              </c:strCache>
            </c:strRef>
          </c:cat>
          <c:val>
            <c:numRef>
              <c:f>Totaal!$D$163:$D$174</c:f>
              <c:numCache>
                <c:formatCode>0%</c:formatCode>
                <c:ptCount val="12"/>
                <c:pt idx="0">
                  <c:v>0.1875</c:v>
                </c:pt>
                <c:pt idx="1">
                  <c:v>4.1666666666666664E-2</c:v>
                </c:pt>
                <c:pt idx="2">
                  <c:v>6.25E-2</c:v>
                </c:pt>
                <c:pt idx="3">
                  <c:v>0.10416666666666667</c:v>
                </c:pt>
                <c:pt idx="4">
                  <c:v>6.25E-2</c:v>
                </c:pt>
                <c:pt idx="5">
                  <c:v>8.3333333333333329E-2</c:v>
                </c:pt>
                <c:pt idx="6">
                  <c:v>0.14583333333333334</c:v>
                </c:pt>
                <c:pt idx="7">
                  <c:v>0.14583333333333334</c:v>
                </c:pt>
                <c:pt idx="8">
                  <c:v>0.14583333333333334</c:v>
                </c:pt>
                <c:pt idx="9">
                  <c:v>4.1666666666666664E-2</c:v>
                </c:pt>
                <c:pt idx="10">
                  <c:v>0.14583333333333334</c:v>
                </c:pt>
                <c:pt idx="11">
                  <c:v>0.14583333333333334</c:v>
                </c:pt>
              </c:numCache>
            </c:numRef>
          </c:val>
          <c:extLst>
            <c:ext xmlns:c16="http://schemas.microsoft.com/office/drawing/2014/chart" uri="{C3380CC4-5D6E-409C-BE32-E72D297353CC}">
              <c16:uniqueId val="{00000003-F39B-4E2E-BC1C-53D3C8759E44}"/>
            </c:ext>
          </c:extLst>
        </c:ser>
        <c:dLbls>
          <c:dLblPos val="ctr"/>
          <c:showLegendKey val="0"/>
          <c:showVal val="1"/>
          <c:showCatName val="0"/>
          <c:showSerName val="0"/>
          <c:showPercent val="0"/>
          <c:showBubbleSize val="0"/>
        </c:dLbls>
        <c:gapWidth val="50"/>
        <c:overlap val="100"/>
        <c:axId val="974298639"/>
        <c:axId val="974296239"/>
      </c:barChart>
      <c:catAx>
        <c:axId val="9742986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nl-NL"/>
          </a:p>
        </c:txPr>
        <c:crossAx val="974296239"/>
        <c:crosses val="autoZero"/>
        <c:auto val="1"/>
        <c:lblAlgn val="ctr"/>
        <c:lblOffset val="100"/>
        <c:noMultiLvlLbl val="0"/>
      </c:catAx>
      <c:valAx>
        <c:axId val="97429623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74298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nl-NL"/>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Sheet1!$C$1</c:f>
              <c:strCache>
                <c:ptCount val="1"/>
                <c:pt idx="0">
                  <c:v>Instroom bachelor</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3C-41B5-9AE0-95B7C4DE6C53}"/>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3C-41B5-9AE0-95B7C4DE6C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Sheet1!$A$7:$A$24</c:f>
              <c:strCache>
                <c:ptCount val="18"/>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pt idx="17">
                  <c:v>2025//26</c:v>
                </c:pt>
              </c:strCache>
            </c:strRef>
          </c:cat>
          <c:val>
            <c:numRef>
              <c:f>Sheet1!$C$7:$C$22</c:f>
              <c:numCache>
                <c:formatCode>#</c:formatCode>
                <c:ptCount val="16"/>
                <c:pt idx="0">
                  <c:v>255</c:v>
                </c:pt>
                <c:pt idx="1">
                  <c:v>246</c:v>
                </c:pt>
                <c:pt idx="2">
                  <c:v>197</c:v>
                </c:pt>
                <c:pt idx="3">
                  <c:v>189</c:v>
                </c:pt>
                <c:pt idx="4">
                  <c:v>231</c:v>
                </c:pt>
                <c:pt idx="5">
                  <c:v>234</c:v>
                </c:pt>
                <c:pt idx="6">
                  <c:v>269</c:v>
                </c:pt>
                <c:pt idx="7">
                  <c:v>258</c:v>
                </c:pt>
                <c:pt idx="8">
                  <c:v>269</c:v>
                </c:pt>
                <c:pt idx="9">
                  <c:v>224</c:v>
                </c:pt>
                <c:pt idx="10">
                  <c:v>233</c:v>
                </c:pt>
                <c:pt idx="11">
                  <c:v>246</c:v>
                </c:pt>
                <c:pt idx="12">
                  <c:v>255</c:v>
                </c:pt>
                <c:pt idx="13">
                  <c:v>229</c:v>
                </c:pt>
                <c:pt idx="14">
                  <c:v>192</c:v>
                </c:pt>
                <c:pt idx="15">
                  <c:v>174</c:v>
                </c:pt>
              </c:numCache>
            </c:numRef>
          </c:val>
          <c:extLst>
            <c:ext xmlns:c16="http://schemas.microsoft.com/office/drawing/2014/chart" uri="{C3380CC4-5D6E-409C-BE32-E72D297353CC}">
              <c16:uniqueId val="{00000002-C33C-41B5-9AE0-95B7C4DE6C53}"/>
            </c:ext>
          </c:extLst>
        </c:ser>
        <c:ser>
          <c:idx val="1"/>
          <c:order val="1"/>
          <c:tx>
            <c:strRef>
              <c:f>Sheet1!$D$1</c:f>
              <c:strCache>
                <c:ptCount val="1"/>
                <c:pt idx="0">
                  <c:v>Gediplomeerden</c:v>
                </c:pt>
              </c:strCache>
            </c:strRef>
          </c:tx>
          <c:spPr>
            <a:solidFill>
              <a:schemeClr val="accent2"/>
            </a:solidFill>
            <a:ln>
              <a:noFill/>
            </a:ln>
            <a:effectLst/>
          </c:spPr>
          <c:invertIfNegative val="0"/>
          <c:dPt>
            <c:idx val="13"/>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4-C33C-41B5-9AE0-95B7C4DE6C53}"/>
              </c:ext>
            </c:extLst>
          </c:dPt>
          <c:dPt>
            <c:idx val="15"/>
            <c:invertIfNegative val="0"/>
            <c:bubble3D val="0"/>
            <c:spPr>
              <a:solidFill>
                <a:schemeClr val="accent2">
                  <a:lumMod val="40000"/>
                  <a:lumOff val="60000"/>
                </a:schemeClr>
              </a:solidFill>
              <a:ln>
                <a:solidFill>
                  <a:schemeClr val="accent2"/>
                </a:solidFill>
              </a:ln>
              <a:effectLst/>
            </c:spPr>
            <c:extLst>
              <c:ext xmlns:c16="http://schemas.microsoft.com/office/drawing/2014/chart" uri="{C3380CC4-5D6E-409C-BE32-E72D297353CC}">
                <c16:uniqueId val="{00000006-C33C-41B5-9AE0-95B7C4DE6C53}"/>
              </c:ext>
            </c:extLst>
          </c:dPt>
          <c:dPt>
            <c:idx val="16"/>
            <c:invertIfNegative val="0"/>
            <c:bubble3D val="0"/>
            <c:spPr>
              <a:solidFill>
                <a:schemeClr val="accent2">
                  <a:lumMod val="40000"/>
                  <a:lumOff val="60000"/>
                </a:schemeClr>
              </a:solidFill>
              <a:ln>
                <a:solidFill>
                  <a:schemeClr val="accent2"/>
                </a:solidFill>
              </a:ln>
              <a:effectLst/>
            </c:spPr>
            <c:extLst>
              <c:ext xmlns:c16="http://schemas.microsoft.com/office/drawing/2014/chart" uri="{C3380CC4-5D6E-409C-BE32-E72D297353CC}">
                <c16:uniqueId val="{00000008-C33C-41B5-9AE0-95B7C4DE6C53}"/>
              </c:ext>
            </c:extLst>
          </c:dPt>
          <c:dPt>
            <c:idx val="17"/>
            <c:invertIfNegative val="0"/>
            <c:bubble3D val="0"/>
            <c:spPr>
              <a:solidFill>
                <a:schemeClr val="accent2">
                  <a:lumMod val="40000"/>
                  <a:lumOff val="60000"/>
                </a:schemeClr>
              </a:solidFill>
              <a:ln>
                <a:solidFill>
                  <a:schemeClr val="accent2"/>
                </a:solidFill>
              </a:ln>
              <a:effectLst/>
            </c:spPr>
            <c:extLst>
              <c:ext xmlns:c16="http://schemas.microsoft.com/office/drawing/2014/chart" uri="{C3380CC4-5D6E-409C-BE32-E72D297353CC}">
                <c16:uniqueId val="{0000000A-C33C-41B5-9AE0-95B7C4DE6C53}"/>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33C-41B5-9AE0-95B7C4DE6C53}"/>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33C-41B5-9AE0-95B7C4DE6C53}"/>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33C-41B5-9AE0-95B7C4DE6C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Sheet1!$A$7:$A$24</c:f>
              <c:strCache>
                <c:ptCount val="18"/>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pt idx="17">
                  <c:v>2025//26</c:v>
                </c:pt>
              </c:strCache>
            </c:strRef>
          </c:cat>
          <c:val>
            <c:numRef>
              <c:f>Sheet1!$D$7:$D$24</c:f>
              <c:numCache>
                <c:formatCode>#</c:formatCode>
                <c:ptCount val="18"/>
                <c:pt idx="0">
                  <c:v>165</c:v>
                </c:pt>
                <c:pt idx="1">
                  <c:v>155</c:v>
                </c:pt>
                <c:pt idx="2">
                  <c:v>161</c:v>
                </c:pt>
                <c:pt idx="3">
                  <c:v>169</c:v>
                </c:pt>
                <c:pt idx="4">
                  <c:v>135</c:v>
                </c:pt>
                <c:pt idx="5">
                  <c:v>120</c:v>
                </c:pt>
                <c:pt idx="6">
                  <c:v>130</c:v>
                </c:pt>
                <c:pt idx="7">
                  <c:v>144</c:v>
                </c:pt>
                <c:pt idx="8">
                  <c:v>105</c:v>
                </c:pt>
                <c:pt idx="9">
                  <c:v>144</c:v>
                </c:pt>
                <c:pt idx="10">
                  <c:v>112</c:v>
                </c:pt>
                <c:pt idx="11">
                  <c:v>114</c:v>
                </c:pt>
                <c:pt idx="12">
                  <c:v>114</c:v>
                </c:pt>
                <c:pt idx="13">
                  <c:v>78</c:v>
                </c:pt>
                <c:pt idx="14">
                  <c:v>110</c:v>
                </c:pt>
                <c:pt idx="15" formatCode="0.0">
                  <c:v>91.626763700001902</c:v>
                </c:pt>
                <c:pt idx="16" formatCode="0.0">
                  <c:v>79.705770000000484</c:v>
                </c:pt>
                <c:pt idx="17" formatCode="0.0">
                  <c:v>69.116714400001001</c:v>
                </c:pt>
              </c:numCache>
            </c:numRef>
          </c:val>
          <c:extLst>
            <c:ext xmlns:c16="http://schemas.microsoft.com/office/drawing/2014/chart" uri="{C3380CC4-5D6E-409C-BE32-E72D297353CC}">
              <c16:uniqueId val="{0000000D-C33C-41B5-9AE0-95B7C4DE6C53}"/>
            </c:ext>
          </c:extLst>
        </c:ser>
        <c:dLbls>
          <c:showLegendKey val="0"/>
          <c:showVal val="0"/>
          <c:showCatName val="0"/>
          <c:showSerName val="0"/>
          <c:showPercent val="0"/>
          <c:showBubbleSize val="0"/>
        </c:dLbls>
        <c:gapWidth val="50"/>
        <c:overlap val="-27"/>
        <c:axId val="247546063"/>
        <c:axId val="247546895"/>
      </c:barChart>
      <c:catAx>
        <c:axId val="247546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47546895"/>
        <c:crosses val="autoZero"/>
        <c:auto val="1"/>
        <c:lblAlgn val="ctr"/>
        <c:lblOffset val="100"/>
        <c:noMultiLvlLbl val="0"/>
      </c:catAx>
      <c:valAx>
        <c:axId val="247546895"/>
        <c:scaling>
          <c:orientation val="minMax"/>
        </c:scaling>
        <c:delete val="0"/>
        <c:axPos val="l"/>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47546063"/>
        <c:crosses val="autoZero"/>
        <c:crossBetween val="between"/>
      </c:valAx>
      <c:spPr>
        <a:noFill/>
        <a:ln>
          <a:noFill/>
        </a:ln>
        <a:effectLst/>
      </c:spPr>
    </c:plotArea>
    <c:legend>
      <c:legendPos val="r"/>
      <c:layout>
        <c:manualLayout>
          <c:xMode val="edge"/>
          <c:yMode val="edge"/>
          <c:x val="0.78109739583333337"/>
          <c:y val="7.8107117798394049E-2"/>
          <c:w val="0.18362482638888888"/>
          <c:h val="0.14851589095917467"/>
        </c:manualLayout>
      </c:layout>
      <c:overlay val="1"/>
      <c:spPr>
        <a:solidFill>
          <a:schemeClr val="bg1"/>
        </a:solidFill>
        <a:ln>
          <a:solidFill>
            <a:sysClr val="windowText" lastClr="00000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936203391065981E-2"/>
          <c:y val="5.6123624244059964E-2"/>
          <c:w val="0.89622789685008686"/>
          <c:h val="0.85143467768003689"/>
        </c:manualLayout>
      </c:layout>
      <c:barChart>
        <c:barDir val="col"/>
        <c:grouping val="clustered"/>
        <c:varyColors val="0"/>
        <c:ser>
          <c:idx val="0"/>
          <c:order val="0"/>
          <c:tx>
            <c:strRef>
              <c:f>aantallen!$B$1</c:f>
              <c:strCache>
                <c:ptCount val="1"/>
                <c:pt idx="0">
                  <c:v>2017/18</c:v>
                </c:pt>
              </c:strCache>
            </c:strRef>
          </c:tx>
          <c:spPr>
            <a:solidFill>
              <a:schemeClr val="accent1"/>
            </a:solidFill>
            <a:ln>
              <a:noFill/>
            </a:ln>
            <a:effectLst/>
          </c:spPr>
          <c:invertIfNegative val="0"/>
          <c:dLbls>
            <c:delete val="1"/>
          </c:dLbls>
          <c:cat>
            <c:strRef>
              <c:f>aantallen!$A$9:$A$14</c:f>
              <c:strCache>
                <c:ptCount val="6"/>
                <c:pt idx="0">
                  <c:v>HBR</c:v>
                </c:pt>
                <c:pt idx="1">
                  <c:v>Z&amp;W</c:v>
                </c:pt>
                <c:pt idx="2">
                  <c:v>Groen</c:v>
                </c:pt>
                <c:pt idx="3">
                  <c:v>E&amp;O</c:v>
                </c:pt>
                <c:pt idx="4">
                  <c:v>D&amp;P</c:v>
                </c:pt>
                <c:pt idx="5">
                  <c:v>Totaal</c:v>
                </c:pt>
              </c:strCache>
            </c:strRef>
          </c:cat>
          <c:val>
            <c:numRef>
              <c:f>aantallen!$B$9:$B$14</c:f>
              <c:numCache>
                <c:formatCode>#,##0</c:formatCode>
                <c:ptCount val="6"/>
                <c:pt idx="0">
                  <c:v>362</c:v>
                </c:pt>
                <c:pt idx="1">
                  <c:v>2243</c:v>
                </c:pt>
                <c:pt idx="2">
                  <c:v>790</c:v>
                </c:pt>
                <c:pt idx="3">
                  <c:v>946</c:v>
                </c:pt>
                <c:pt idx="4">
                  <c:v>1575</c:v>
                </c:pt>
                <c:pt idx="5">
                  <c:v>5494</c:v>
                </c:pt>
              </c:numCache>
            </c:numRef>
          </c:val>
          <c:extLst>
            <c:ext xmlns:c16="http://schemas.microsoft.com/office/drawing/2014/chart" uri="{C3380CC4-5D6E-409C-BE32-E72D297353CC}">
              <c16:uniqueId val="{00000000-BB48-45D6-AF20-A9CC62DEC059}"/>
            </c:ext>
          </c:extLst>
        </c:ser>
        <c:ser>
          <c:idx val="1"/>
          <c:order val="1"/>
          <c:tx>
            <c:strRef>
              <c:f>aantallen!$C$1</c:f>
              <c:strCache>
                <c:ptCount val="1"/>
                <c:pt idx="0">
                  <c:v>2018/19</c:v>
                </c:pt>
              </c:strCache>
            </c:strRef>
          </c:tx>
          <c:spPr>
            <a:solidFill>
              <a:schemeClr val="accent2"/>
            </a:solidFill>
            <a:ln>
              <a:noFill/>
            </a:ln>
            <a:effectLst/>
          </c:spPr>
          <c:invertIfNegative val="0"/>
          <c:dLbls>
            <c:dLbl>
              <c:idx val="0"/>
              <c:tx>
                <c:rich>
                  <a:bodyPr/>
                  <a:lstStyle/>
                  <a:p>
                    <a:r>
                      <a:rPr lang="en-US"/>
                      <a:t>+5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B48-45D6-AF20-A9CC62DEC059}"/>
                </c:ext>
              </c:extLst>
            </c:dLbl>
            <c:dLbl>
              <c:idx val="1"/>
              <c:tx>
                <c:rich>
                  <a:bodyPr/>
                  <a:lstStyle/>
                  <a:p>
                    <a:r>
                      <a:rPr lang="en-US"/>
                      <a:t>-9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B48-45D6-AF20-A9CC62DEC059}"/>
                </c:ext>
              </c:extLst>
            </c:dLbl>
            <c:dLbl>
              <c:idx val="2"/>
              <c:tx>
                <c:rich>
                  <a:bodyPr/>
                  <a:lstStyle/>
                  <a:p>
                    <a:r>
                      <a:rPr lang="en-US"/>
                      <a:t>+1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B48-45D6-AF20-A9CC62DEC059}"/>
                </c:ext>
              </c:extLst>
            </c:dLbl>
            <c:dLbl>
              <c:idx val="3"/>
              <c:tx>
                <c:rich>
                  <a:bodyPr/>
                  <a:lstStyle/>
                  <a:p>
                    <a:r>
                      <a:rPr lang="en-US"/>
                      <a:t>-1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B48-45D6-AF20-A9CC62DEC059}"/>
                </c:ext>
              </c:extLst>
            </c:dLbl>
            <c:dLbl>
              <c:idx val="4"/>
              <c:tx>
                <c:rich>
                  <a:bodyPr/>
                  <a:lstStyle/>
                  <a:p>
                    <a:r>
                      <a:rPr lang="en-US"/>
                      <a:t>+1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B48-45D6-AF20-A9CC62DEC059}"/>
                </c:ext>
              </c:extLst>
            </c:dLbl>
            <c:dLbl>
              <c:idx val="5"/>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B48-45D6-AF20-A9CC62DEC05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aantallen!$A$9:$A$14</c:f>
              <c:strCache>
                <c:ptCount val="6"/>
                <c:pt idx="0">
                  <c:v>HBR</c:v>
                </c:pt>
                <c:pt idx="1">
                  <c:v>Z&amp;W</c:v>
                </c:pt>
                <c:pt idx="2">
                  <c:v>Groen</c:v>
                </c:pt>
                <c:pt idx="3">
                  <c:v>E&amp;O</c:v>
                </c:pt>
                <c:pt idx="4">
                  <c:v>D&amp;P</c:v>
                </c:pt>
                <c:pt idx="5">
                  <c:v>Totaal</c:v>
                </c:pt>
              </c:strCache>
            </c:strRef>
          </c:cat>
          <c:val>
            <c:numRef>
              <c:f>aantallen!$C$9:$C$14</c:f>
              <c:numCache>
                <c:formatCode>#,##0</c:formatCode>
                <c:ptCount val="6"/>
                <c:pt idx="0">
                  <c:v>379</c:v>
                </c:pt>
                <c:pt idx="1">
                  <c:v>2046</c:v>
                </c:pt>
                <c:pt idx="2">
                  <c:v>797</c:v>
                </c:pt>
                <c:pt idx="3">
                  <c:v>939</c:v>
                </c:pt>
                <c:pt idx="4">
                  <c:v>1591</c:v>
                </c:pt>
                <c:pt idx="5">
                  <c:v>5320</c:v>
                </c:pt>
              </c:numCache>
            </c:numRef>
          </c:val>
          <c:extLst>
            <c:ext xmlns:c16="http://schemas.microsoft.com/office/drawing/2014/chart" uri="{C3380CC4-5D6E-409C-BE32-E72D297353CC}">
              <c16:uniqueId val="{00000007-BB48-45D6-AF20-A9CC62DEC059}"/>
            </c:ext>
          </c:extLst>
        </c:ser>
        <c:ser>
          <c:idx val="2"/>
          <c:order val="2"/>
          <c:tx>
            <c:strRef>
              <c:f>aantallen!$D$1</c:f>
              <c:strCache>
                <c:ptCount val="1"/>
                <c:pt idx="0">
                  <c:v>2019/20</c:v>
                </c:pt>
              </c:strCache>
            </c:strRef>
          </c:tx>
          <c:spPr>
            <a:solidFill>
              <a:schemeClr val="accent3"/>
            </a:solidFill>
            <a:ln>
              <a:noFill/>
            </a:ln>
            <a:effectLst/>
          </c:spPr>
          <c:invertIfNegative val="0"/>
          <c:dLbls>
            <c:dLbl>
              <c:idx val="0"/>
              <c:tx>
                <c:rich>
                  <a:bodyPr/>
                  <a:lstStyle/>
                  <a:p>
                    <a:r>
                      <a:rPr lang="en-US"/>
                      <a:t>+6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B48-45D6-AF20-A9CC62DEC059}"/>
                </c:ext>
              </c:extLst>
            </c:dLbl>
            <c:dLbl>
              <c:idx val="1"/>
              <c:tx>
                <c:rich>
                  <a:bodyPr/>
                  <a:lstStyle/>
                  <a:p>
                    <a:r>
                      <a:rPr lang="en-US"/>
                      <a:t>-4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B48-45D6-AF20-A9CC62DEC059}"/>
                </c:ext>
              </c:extLst>
            </c:dLbl>
            <c:dLbl>
              <c:idx val="2"/>
              <c:tx>
                <c:rich>
                  <a:bodyPr/>
                  <a:lstStyle/>
                  <a:p>
                    <a:r>
                      <a:rPr lang="en-US"/>
                      <a:t>+10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BB48-45D6-AF20-A9CC62DEC059}"/>
                </c:ext>
              </c:extLst>
            </c:dLbl>
            <c:dLbl>
              <c:idx val="3"/>
              <c:tx>
                <c:rich>
                  <a:bodyPr/>
                  <a:lstStyle/>
                  <a:p>
                    <a:r>
                      <a:rPr lang="en-US"/>
                      <a:t>+1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BB48-45D6-AF20-A9CC62DEC059}"/>
                </c:ext>
              </c:extLst>
            </c:dLbl>
            <c:dLbl>
              <c:idx val="4"/>
              <c:tx>
                <c:rich>
                  <a:bodyPr/>
                  <a:lstStyle/>
                  <a:p>
                    <a:r>
                      <a:rPr lang="en-US"/>
                      <a:t>+2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BB48-45D6-AF20-A9CC62DEC059}"/>
                </c:ext>
              </c:extLst>
            </c:dLbl>
            <c:dLbl>
              <c:idx val="5"/>
              <c:tx>
                <c:rich>
                  <a:bodyPr/>
                  <a:lstStyle/>
                  <a:p>
                    <a:r>
                      <a:rPr lang="en-US"/>
                      <a:t>+1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BB48-45D6-AF20-A9CC62DEC05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aantallen!$A$9:$A$14</c:f>
              <c:strCache>
                <c:ptCount val="6"/>
                <c:pt idx="0">
                  <c:v>HBR</c:v>
                </c:pt>
                <c:pt idx="1">
                  <c:v>Z&amp;W</c:v>
                </c:pt>
                <c:pt idx="2">
                  <c:v>Groen</c:v>
                </c:pt>
                <c:pt idx="3">
                  <c:v>E&amp;O</c:v>
                </c:pt>
                <c:pt idx="4">
                  <c:v>D&amp;P</c:v>
                </c:pt>
                <c:pt idx="5">
                  <c:v>Totaal</c:v>
                </c:pt>
              </c:strCache>
            </c:strRef>
          </c:cat>
          <c:val>
            <c:numRef>
              <c:f>aantallen!$D$9:$D$14</c:f>
              <c:numCache>
                <c:formatCode>#,##0</c:formatCode>
                <c:ptCount val="6"/>
                <c:pt idx="0">
                  <c:v>400</c:v>
                </c:pt>
                <c:pt idx="1">
                  <c:v>1973</c:v>
                </c:pt>
                <c:pt idx="2">
                  <c:v>880</c:v>
                </c:pt>
                <c:pt idx="3">
                  <c:v>951</c:v>
                </c:pt>
                <c:pt idx="4">
                  <c:v>1615</c:v>
                </c:pt>
                <c:pt idx="5">
                  <c:v>5355</c:v>
                </c:pt>
              </c:numCache>
            </c:numRef>
          </c:val>
          <c:extLst>
            <c:ext xmlns:c16="http://schemas.microsoft.com/office/drawing/2014/chart" uri="{C3380CC4-5D6E-409C-BE32-E72D297353CC}">
              <c16:uniqueId val="{0000000E-BB48-45D6-AF20-A9CC62DEC059}"/>
            </c:ext>
          </c:extLst>
        </c:ser>
        <c:ser>
          <c:idx val="3"/>
          <c:order val="3"/>
          <c:tx>
            <c:strRef>
              <c:f>aantallen!$E$1</c:f>
              <c:strCache>
                <c:ptCount val="1"/>
                <c:pt idx="0">
                  <c:v>2020/21</c:v>
                </c:pt>
              </c:strCache>
            </c:strRef>
          </c:tx>
          <c:spPr>
            <a:solidFill>
              <a:schemeClr val="accent4"/>
            </a:solidFill>
            <a:ln>
              <a:noFill/>
            </a:ln>
            <a:effectLst/>
          </c:spPr>
          <c:invertIfNegative val="0"/>
          <c:dLbls>
            <c:dLbl>
              <c:idx val="0"/>
              <c:tx>
                <c:rich>
                  <a:bodyPr/>
                  <a:lstStyle/>
                  <a:p>
                    <a:r>
                      <a:rPr lang="en-US"/>
                      <a:t>-2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BB48-45D6-AF20-A9CC62DEC059}"/>
                </c:ext>
              </c:extLst>
            </c:dLbl>
            <c:dLbl>
              <c:idx val="1"/>
              <c:tx>
                <c:rich>
                  <a:bodyPr/>
                  <a:lstStyle/>
                  <a:p>
                    <a:r>
                      <a:rPr lang="en-US"/>
                      <a:t>-36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BB48-45D6-AF20-A9CC62DEC059}"/>
                </c:ext>
              </c:extLst>
            </c:dLbl>
            <c:dLbl>
              <c:idx val="2"/>
              <c:tx>
                <c:rich>
                  <a:bodyPr/>
                  <a:lstStyle/>
                  <a:p>
                    <a:r>
                      <a:rPr lang="en-US"/>
                      <a:t>-13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BB48-45D6-AF20-A9CC62DEC059}"/>
                </c:ext>
              </c:extLst>
            </c:dLbl>
            <c:dLbl>
              <c:idx val="3"/>
              <c:tx>
                <c:rich>
                  <a:bodyPr/>
                  <a:lstStyle/>
                  <a:p>
                    <a:r>
                      <a:rPr lang="en-US"/>
                      <a:t>-10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BB48-45D6-AF20-A9CC62DEC059}"/>
                </c:ext>
              </c:extLst>
            </c:dLbl>
            <c:dLbl>
              <c:idx val="4"/>
              <c:tx>
                <c:rich>
                  <a:bodyPr/>
                  <a:lstStyle/>
                  <a:p>
                    <a:r>
                      <a:rPr lang="en-US"/>
                      <a:t>-2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BB48-45D6-AF20-A9CC62DEC059}"/>
                </c:ext>
              </c:extLst>
            </c:dLbl>
            <c:dLbl>
              <c:idx val="5"/>
              <c:tx>
                <c:rich>
                  <a:bodyPr/>
                  <a:lstStyle/>
                  <a:p>
                    <a:r>
                      <a:rPr lang="en-US"/>
                      <a:t>-16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BB48-45D6-AF20-A9CC62DEC05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aantallen!$A$9:$A$14</c:f>
              <c:strCache>
                <c:ptCount val="6"/>
                <c:pt idx="0">
                  <c:v>HBR</c:v>
                </c:pt>
                <c:pt idx="1">
                  <c:v>Z&amp;W</c:v>
                </c:pt>
                <c:pt idx="2">
                  <c:v>Groen</c:v>
                </c:pt>
                <c:pt idx="3">
                  <c:v>E&amp;O</c:v>
                </c:pt>
                <c:pt idx="4">
                  <c:v>D&amp;P</c:v>
                </c:pt>
                <c:pt idx="5">
                  <c:v>Totaal</c:v>
                </c:pt>
              </c:strCache>
            </c:strRef>
          </c:cat>
          <c:val>
            <c:numRef>
              <c:f>aantallen!$E$9:$E$14</c:f>
              <c:numCache>
                <c:formatCode>#,##0</c:formatCode>
                <c:ptCount val="6"/>
                <c:pt idx="0">
                  <c:v>392</c:v>
                </c:pt>
                <c:pt idx="1">
                  <c:v>1259</c:v>
                </c:pt>
                <c:pt idx="2">
                  <c:v>767</c:v>
                </c:pt>
                <c:pt idx="3">
                  <c:v>853</c:v>
                </c:pt>
                <c:pt idx="4">
                  <c:v>1583</c:v>
                </c:pt>
                <c:pt idx="5">
                  <c:v>4513</c:v>
                </c:pt>
              </c:numCache>
            </c:numRef>
          </c:val>
          <c:extLst>
            <c:ext xmlns:c16="http://schemas.microsoft.com/office/drawing/2014/chart" uri="{C3380CC4-5D6E-409C-BE32-E72D297353CC}">
              <c16:uniqueId val="{00000015-BB48-45D6-AF20-A9CC62DEC059}"/>
            </c:ext>
          </c:extLst>
        </c:ser>
        <c:ser>
          <c:idx val="4"/>
          <c:order val="4"/>
          <c:tx>
            <c:strRef>
              <c:f>aantallen!$F$1</c:f>
              <c:strCache>
                <c:ptCount val="1"/>
                <c:pt idx="0">
                  <c:v>2021/22</c:v>
                </c:pt>
              </c:strCache>
            </c:strRef>
          </c:tx>
          <c:spPr>
            <a:solidFill>
              <a:schemeClr val="accent5"/>
            </a:solidFill>
            <a:ln>
              <a:noFill/>
            </a:ln>
            <a:effectLst/>
          </c:spPr>
          <c:invertIfNegative val="0"/>
          <c:dLbls>
            <c:dLbl>
              <c:idx val="0"/>
              <c:tx>
                <c:rich>
                  <a:bodyPr/>
                  <a:lstStyle/>
                  <a:p>
                    <a:r>
                      <a:rPr lang="en-US"/>
                      <a:t>-4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BB48-45D6-AF20-A9CC62DEC059}"/>
                </c:ext>
              </c:extLst>
            </c:dLbl>
            <c:dLbl>
              <c:idx val="1"/>
              <c:tx>
                <c:rich>
                  <a:bodyPr/>
                  <a:lstStyle/>
                  <a:p>
                    <a:r>
                      <a:rPr lang="en-US"/>
                      <a:t>+16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BB48-45D6-AF20-A9CC62DEC059}"/>
                </c:ext>
              </c:extLst>
            </c:dLbl>
            <c:dLbl>
              <c:idx val="2"/>
              <c:tx>
                <c:rich>
                  <a:bodyPr/>
                  <a:lstStyle/>
                  <a:p>
                    <a:r>
                      <a:rPr lang="en-US"/>
                      <a:t>-5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BB48-45D6-AF20-A9CC62DEC059}"/>
                </c:ext>
              </c:extLst>
            </c:dLbl>
            <c:dLbl>
              <c:idx val="3"/>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BB48-45D6-AF20-A9CC62DEC059}"/>
                </c:ext>
              </c:extLst>
            </c:dLbl>
            <c:dLbl>
              <c:idx val="4"/>
              <c:tx>
                <c:rich>
                  <a:bodyPr/>
                  <a:lstStyle/>
                  <a:p>
                    <a:r>
                      <a:rPr lang="en-US"/>
                      <a:t>+1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BB48-45D6-AF20-A9CC62DEC059}"/>
                </c:ext>
              </c:extLst>
            </c:dLbl>
            <c:dLbl>
              <c:idx val="5"/>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BB48-45D6-AF20-A9CC62DEC05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aantallen!$A$9:$A$14</c:f>
              <c:strCache>
                <c:ptCount val="6"/>
                <c:pt idx="0">
                  <c:v>HBR</c:v>
                </c:pt>
                <c:pt idx="1">
                  <c:v>Z&amp;W</c:v>
                </c:pt>
                <c:pt idx="2">
                  <c:v>Groen</c:v>
                </c:pt>
                <c:pt idx="3">
                  <c:v>E&amp;O</c:v>
                </c:pt>
                <c:pt idx="4">
                  <c:v>D&amp;P</c:v>
                </c:pt>
                <c:pt idx="5">
                  <c:v>Totaal</c:v>
                </c:pt>
              </c:strCache>
            </c:strRef>
          </c:cat>
          <c:val>
            <c:numRef>
              <c:f>aantallen!$F$9:$F$14</c:f>
              <c:numCache>
                <c:formatCode>#,##0</c:formatCode>
                <c:ptCount val="6"/>
                <c:pt idx="0">
                  <c:v>375</c:v>
                </c:pt>
                <c:pt idx="1">
                  <c:v>1460</c:v>
                </c:pt>
                <c:pt idx="2">
                  <c:v>725</c:v>
                </c:pt>
                <c:pt idx="3">
                  <c:v>827</c:v>
                </c:pt>
                <c:pt idx="4">
                  <c:v>1591</c:v>
                </c:pt>
                <c:pt idx="5">
                  <c:v>4654</c:v>
                </c:pt>
              </c:numCache>
            </c:numRef>
          </c:val>
          <c:extLst>
            <c:ext xmlns:c16="http://schemas.microsoft.com/office/drawing/2014/chart" uri="{C3380CC4-5D6E-409C-BE32-E72D297353CC}">
              <c16:uniqueId val="{0000001C-BB48-45D6-AF20-A9CC62DEC059}"/>
            </c:ext>
          </c:extLst>
        </c:ser>
        <c:ser>
          <c:idx val="5"/>
          <c:order val="5"/>
          <c:tx>
            <c:strRef>
              <c:f>aantallen!$G$1</c:f>
              <c:strCache>
                <c:ptCount val="1"/>
                <c:pt idx="0">
                  <c:v>2022/23</c:v>
                </c:pt>
              </c:strCache>
            </c:strRef>
          </c:tx>
          <c:spPr>
            <a:solidFill>
              <a:schemeClr val="accent6"/>
            </a:solidFill>
            <a:ln>
              <a:noFill/>
            </a:ln>
            <a:effectLst/>
          </c:spPr>
          <c:invertIfNegative val="0"/>
          <c:dLbls>
            <c:dLbl>
              <c:idx val="0"/>
              <c:tx>
                <c:rich>
                  <a:bodyPr/>
                  <a:lstStyle/>
                  <a:p>
                    <a:r>
                      <a:rPr lang="en-US"/>
                      <a:t>+9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BB48-45D6-AF20-A9CC62DEC059}"/>
                </c:ext>
              </c:extLst>
            </c:dLbl>
            <c:dLbl>
              <c:idx val="1"/>
              <c:tx>
                <c:rich>
                  <a:bodyPr/>
                  <a:lstStyle/>
                  <a:p>
                    <a:r>
                      <a:rPr lang="en-US"/>
                      <a:t>+5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BB48-45D6-AF20-A9CC62DEC059}"/>
                </c:ext>
              </c:extLst>
            </c:dLbl>
            <c:dLbl>
              <c:idx val="2"/>
              <c:tx>
                <c:rich>
                  <a:bodyPr/>
                  <a:lstStyle/>
                  <a:p>
                    <a:r>
                      <a:rPr lang="en-US"/>
                      <a:t>+29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BB48-45D6-AF20-A9CC62DEC059}"/>
                </c:ext>
              </c:extLst>
            </c:dLbl>
            <c:dLbl>
              <c:idx val="3"/>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BB48-45D6-AF20-A9CC62DEC059}"/>
                </c:ext>
              </c:extLst>
            </c:dLbl>
            <c:dLbl>
              <c:idx val="4"/>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BB48-45D6-AF20-A9CC62DEC059}"/>
                </c:ext>
              </c:extLst>
            </c:dLbl>
            <c:dLbl>
              <c:idx val="5"/>
              <c:tx>
                <c:rich>
                  <a:bodyPr/>
                  <a:lstStyle/>
                  <a:p>
                    <a:r>
                      <a:rPr lang="en-US"/>
                      <a:t>+5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BB48-45D6-AF20-A9CC62DEC05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aantallen!$A$9:$A$14</c:f>
              <c:strCache>
                <c:ptCount val="6"/>
                <c:pt idx="0">
                  <c:v>HBR</c:v>
                </c:pt>
                <c:pt idx="1">
                  <c:v>Z&amp;W</c:v>
                </c:pt>
                <c:pt idx="2">
                  <c:v>Groen</c:v>
                </c:pt>
                <c:pt idx="3">
                  <c:v>E&amp;O</c:v>
                </c:pt>
                <c:pt idx="4">
                  <c:v>D&amp;P</c:v>
                </c:pt>
                <c:pt idx="5">
                  <c:v>Totaal</c:v>
                </c:pt>
              </c:strCache>
            </c:strRef>
          </c:cat>
          <c:val>
            <c:numRef>
              <c:f>aantallen!$G$9:$G$14</c:f>
              <c:numCache>
                <c:formatCode>#,##0</c:formatCode>
                <c:ptCount val="6"/>
                <c:pt idx="0">
                  <c:v>408</c:v>
                </c:pt>
                <c:pt idx="1">
                  <c:v>1527</c:v>
                </c:pt>
                <c:pt idx="2">
                  <c:v>936</c:v>
                </c:pt>
                <c:pt idx="3">
                  <c:v>773</c:v>
                </c:pt>
                <c:pt idx="4">
                  <c:v>1642</c:v>
                </c:pt>
                <c:pt idx="5">
                  <c:v>4882</c:v>
                </c:pt>
              </c:numCache>
            </c:numRef>
          </c:val>
          <c:extLst>
            <c:ext xmlns:c16="http://schemas.microsoft.com/office/drawing/2014/chart" uri="{C3380CC4-5D6E-409C-BE32-E72D297353CC}">
              <c16:uniqueId val="{00000023-BB48-45D6-AF20-A9CC62DEC059}"/>
            </c:ext>
          </c:extLst>
        </c:ser>
        <c:dLbls>
          <c:dLblPos val="outEnd"/>
          <c:showLegendKey val="0"/>
          <c:showVal val="1"/>
          <c:showCatName val="0"/>
          <c:showSerName val="0"/>
          <c:showPercent val="0"/>
          <c:showBubbleSize val="0"/>
        </c:dLbls>
        <c:gapWidth val="219"/>
        <c:overlap val="-20"/>
        <c:axId val="585511455"/>
        <c:axId val="585513119"/>
      </c:barChart>
      <c:catAx>
        <c:axId val="585511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85513119"/>
        <c:crosses val="autoZero"/>
        <c:auto val="1"/>
        <c:lblAlgn val="ctr"/>
        <c:lblOffset val="100"/>
        <c:noMultiLvlLbl val="0"/>
      </c:catAx>
      <c:valAx>
        <c:axId val="5855131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85511455"/>
        <c:crosses val="autoZero"/>
        <c:crossBetween val="between"/>
      </c:valAx>
      <c:spPr>
        <a:noFill/>
        <a:ln>
          <a:noFill/>
        </a:ln>
        <a:effectLst/>
      </c:spPr>
    </c:plotArea>
    <c:legend>
      <c:legendPos val="tr"/>
      <c:layout>
        <c:manualLayout>
          <c:xMode val="edge"/>
          <c:yMode val="edge"/>
          <c:x val="0.1145525655143568"/>
          <c:y val="0.16659559814437422"/>
          <c:w val="0.10294648852061397"/>
          <c:h val="0.40761154855643045"/>
        </c:manualLayout>
      </c:layout>
      <c:overlay val="0"/>
      <c:spPr>
        <a:solidFill>
          <a:sysClr val="window" lastClr="FFFFFF"/>
        </a:solidFill>
        <a:ln>
          <a:solidFill>
            <a:sysClr val="windowText" lastClr="00000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910444653796707E-2"/>
          <c:y val="5.6268516215561032E-2"/>
          <c:w val="0.89626219462473611"/>
          <c:h val="0.85101235096512573"/>
        </c:manualLayout>
      </c:layout>
      <c:barChart>
        <c:barDir val="col"/>
        <c:grouping val="clustered"/>
        <c:varyColors val="0"/>
        <c:ser>
          <c:idx val="0"/>
          <c:order val="0"/>
          <c:tx>
            <c:strRef>
              <c:f>fte!$B$1</c:f>
              <c:strCache>
                <c:ptCount val="1"/>
                <c:pt idx="0">
                  <c:v>2017/18</c:v>
                </c:pt>
              </c:strCache>
            </c:strRef>
          </c:tx>
          <c:spPr>
            <a:solidFill>
              <a:schemeClr val="accent1"/>
            </a:solidFill>
            <a:ln>
              <a:noFill/>
            </a:ln>
            <a:effectLst/>
          </c:spPr>
          <c:invertIfNegative val="0"/>
          <c:dLbls>
            <c:delete val="1"/>
          </c:dLbls>
          <c:cat>
            <c:strRef>
              <c:f>fte!$A$9:$A$14</c:f>
              <c:strCache>
                <c:ptCount val="6"/>
                <c:pt idx="0">
                  <c:v>HBR</c:v>
                </c:pt>
                <c:pt idx="1">
                  <c:v>Z&amp;W</c:v>
                </c:pt>
                <c:pt idx="2">
                  <c:v>Groen</c:v>
                </c:pt>
                <c:pt idx="3">
                  <c:v>E&amp;O</c:v>
                </c:pt>
                <c:pt idx="4">
                  <c:v>D&amp;P</c:v>
                </c:pt>
                <c:pt idx="5">
                  <c:v>Totaal</c:v>
                </c:pt>
              </c:strCache>
            </c:strRef>
          </c:cat>
          <c:val>
            <c:numRef>
              <c:f>fte!$B$9:$B$14</c:f>
              <c:numCache>
                <c:formatCode>#,##0</c:formatCode>
                <c:ptCount val="6"/>
                <c:pt idx="0">
                  <c:v>226.3586</c:v>
                </c:pt>
                <c:pt idx="1">
                  <c:v>1143.7057</c:v>
                </c:pt>
                <c:pt idx="2">
                  <c:v>438.37099999999998</c:v>
                </c:pt>
                <c:pt idx="3">
                  <c:v>461.36420000000004</c:v>
                </c:pt>
                <c:pt idx="4">
                  <c:v>673.78499999999997</c:v>
                </c:pt>
                <c:pt idx="5">
                  <c:v>2943.6852000000003</c:v>
                </c:pt>
              </c:numCache>
            </c:numRef>
          </c:val>
          <c:extLst>
            <c:ext xmlns:c16="http://schemas.microsoft.com/office/drawing/2014/chart" uri="{C3380CC4-5D6E-409C-BE32-E72D297353CC}">
              <c16:uniqueId val="{00000000-E01C-4BEF-8591-E8B32012396B}"/>
            </c:ext>
          </c:extLst>
        </c:ser>
        <c:ser>
          <c:idx val="1"/>
          <c:order val="1"/>
          <c:tx>
            <c:strRef>
              <c:f>fte!$C$1</c:f>
              <c:strCache>
                <c:ptCount val="1"/>
                <c:pt idx="0">
                  <c:v>2018/19</c:v>
                </c:pt>
              </c:strCache>
            </c:strRef>
          </c:tx>
          <c:spPr>
            <a:solidFill>
              <a:schemeClr val="accent2"/>
            </a:solidFill>
            <a:ln>
              <a:noFill/>
            </a:ln>
            <a:effectLst/>
          </c:spPr>
          <c:invertIfNegative val="0"/>
          <c:dLbls>
            <c:dLbl>
              <c:idx val="0"/>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01C-4BEF-8591-E8B32012396B}"/>
                </c:ext>
              </c:extLst>
            </c:dLbl>
            <c:dLbl>
              <c:idx val="1"/>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01C-4BEF-8591-E8B32012396B}"/>
                </c:ext>
              </c:extLst>
            </c:dLbl>
            <c:dLbl>
              <c:idx val="2"/>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01C-4BEF-8591-E8B32012396B}"/>
                </c:ext>
              </c:extLst>
            </c:dLbl>
            <c:dLbl>
              <c:idx val="3"/>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01C-4BEF-8591-E8B32012396B}"/>
                </c:ext>
              </c:extLst>
            </c:dLbl>
            <c:dLbl>
              <c:idx val="4"/>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01C-4BEF-8591-E8B32012396B}"/>
                </c:ext>
              </c:extLst>
            </c:dLbl>
            <c:dLbl>
              <c:idx val="5"/>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01C-4BEF-8591-E8B32012396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fte!$A$9:$A$14</c:f>
              <c:strCache>
                <c:ptCount val="6"/>
                <c:pt idx="0">
                  <c:v>HBR</c:v>
                </c:pt>
                <c:pt idx="1">
                  <c:v>Z&amp;W</c:v>
                </c:pt>
                <c:pt idx="2">
                  <c:v>Groen</c:v>
                </c:pt>
                <c:pt idx="3">
                  <c:v>E&amp;O</c:v>
                </c:pt>
                <c:pt idx="4">
                  <c:v>D&amp;P</c:v>
                </c:pt>
                <c:pt idx="5">
                  <c:v>Totaal</c:v>
                </c:pt>
              </c:strCache>
            </c:strRef>
          </c:cat>
          <c:val>
            <c:numRef>
              <c:f>fte!$C$9:$C$14</c:f>
              <c:numCache>
                <c:formatCode>0</c:formatCode>
                <c:ptCount val="6"/>
                <c:pt idx="0">
                  <c:v>224.36799999999999</c:v>
                </c:pt>
                <c:pt idx="1">
                  <c:v>1029.1379999999999</c:v>
                </c:pt>
                <c:pt idx="2">
                  <c:v>420.01900000000001</c:v>
                </c:pt>
                <c:pt idx="3">
                  <c:v>448.84199999999998</c:v>
                </c:pt>
                <c:pt idx="4">
                  <c:v>736.63300000000004</c:v>
                </c:pt>
                <c:pt idx="5">
                  <c:v>2856.84</c:v>
                </c:pt>
              </c:numCache>
            </c:numRef>
          </c:val>
          <c:extLst>
            <c:ext xmlns:c16="http://schemas.microsoft.com/office/drawing/2014/chart" uri="{C3380CC4-5D6E-409C-BE32-E72D297353CC}">
              <c16:uniqueId val="{00000007-E01C-4BEF-8591-E8B32012396B}"/>
            </c:ext>
          </c:extLst>
        </c:ser>
        <c:ser>
          <c:idx val="2"/>
          <c:order val="2"/>
          <c:tx>
            <c:strRef>
              <c:f>fte!$D$1</c:f>
              <c:strCache>
                <c:ptCount val="1"/>
                <c:pt idx="0">
                  <c:v>2019/20</c:v>
                </c:pt>
              </c:strCache>
            </c:strRef>
          </c:tx>
          <c:spPr>
            <a:solidFill>
              <a:schemeClr val="accent3"/>
            </a:solidFill>
            <a:ln>
              <a:noFill/>
            </a:ln>
            <a:effectLst/>
          </c:spPr>
          <c:invertIfNegative val="0"/>
          <c:dLbls>
            <c:dLbl>
              <c:idx val="0"/>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01C-4BEF-8591-E8B32012396B}"/>
                </c:ext>
              </c:extLst>
            </c:dLbl>
            <c:dLbl>
              <c:idx val="1"/>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01C-4BEF-8591-E8B32012396B}"/>
                </c:ext>
              </c:extLst>
            </c:dLbl>
            <c:dLbl>
              <c:idx val="2"/>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E01C-4BEF-8591-E8B32012396B}"/>
                </c:ext>
              </c:extLst>
            </c:dLbl>
            <c:dLbl>
              <c:idx val="3"/>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E01C-4BEF-8591-E8B32012396B}"/>
                </c:ext>
              </c:extLst>
            </c:dLbl>
            <c:dLbl>
              <c:idx val="4"/>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E01C-4BEF-8591-E8B32012396B}"/>
                </c:ext>
              </c:extLst>
            </c:dLbl>
            <c:dLbl>
              <c:idx val="5"/>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E01C-4BEF-8591-E8B32012396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fte!$A$9:$A$14</c:f>
              <c:strCache>
                <c:ptCount val="6"/>
                <c:pt idx="0">
                  <c:v>HBR</c:v>
                </c:pt>
                <c:pt idx="1">
                  <c:v>Z&amp;W</c:v>
                </c:pt>
                <c:pt idx="2">
                  <c:v>Groen</c:v>
                </c:pt>
                <c:pt idx="3">
                  <c:v>E&amp;O</c:v>
                </c:pt>
                <c:pt idx="4">
                  <c:v>D&amp;P</c:v>
                </c:pt>
                <c:pt idx="5">
                  <c:v>Totaal</c:v>
                </c:pt>
              </c:strCache>
            </c:strRef>
          </c:cat>
          <c:val>
            <c:numRef>
              <c:f>fte!$D$9:$D$14</c:f>
              <c:numCache>
                <c:formatCode>0</c:formatCode>
                <c:ptCount val="6"/>
                <c:pt idx="0">
                  <c:v>232.39999999999998</c:v>
                </c:pt>
                <c:pt idx="1">
                  <c:v>998.33799999999997</c:v>
                </c:pt>
                <c:pt idx="2">
                  <c:v>444.4</c:v>
                </c:pt>
                <c:pt idx="3">
                  <c:v>439.36200000000002</c:v>
                </c:pt>
                <c:pt idx="4">
                  <c:v>707.37</c:v>
                </c:pt>
                <c:pt idx="5">
                  <c:v>2822.085</c:v>
                </c:pt>
              </c:numCache>
            </c:numRef>
          </c:val>
          <c:extLst>
            <c:ext xmlns:c16="http://schemas.microsoft.com/office/drawing/2014/chart" uri="{C3380CC4-5D6E-409C-BE32-E72D297353CC}">
              <c16:uniqueId val="{0000000E-E01C-4BEF-8591-E8B32012396B}"/>
            </c:ext>
          </c:extLst>
        </c:ser>
        <c:ser>
          <c:idx val="3"/>
          <c:order val="3"/>
          <c:tx>
            <c:strRef>
              <c:f>fte!$E$1</c:f>
              <c:strCache>
                <c:ptCount val="1"/>
                <c:pt idx="0">
                  <c:v>2020/21</c:v>
                </c:pt>
              </c:strCache>
            </c:strRef>
          </c:tx>
          <c:spPr>
            <a:solidFill>
              <a:schemeClr val="accent4"/>
            </a:solidFill>
            <a:ln>
              <a:noFill/>
            </a:ln>
            <a:effectLst/>
          </c:spPr>
          <c:invertIfNegative val="0"/>
          <c:dLbls>
            <c:dLbl>
              <c:idx val="0"/>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E01C-4BEF-8591-E8B32012396B}"/>
                </c:ext>
              </c:extLst>
            </c:dLbl>
            <c:dLbl>
              <c:idx val="1"/>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E01C-4BEF-8591-E8B32012396B}"/>
                </c:ext>
              </c:extLst>
            </c:dLbl>
            <c:dLbl>
              <c:idx val="2"/>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E01C-4BEF-8591-E8B32012396B}"/>
                </c:ext>
              </c:extLst>
            </c:dLbl>
            <c:dLbl>
              <c:idx val="3"/>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E01C-4BEF-8591-E8B32012396B}"/>
                </c:ext>
              </c:extLst>
            </c:dLbl>
            <c:dLbl>
              <c:idx val="4"/>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E01C-4BEF-8591-E8B32012396B}"/>
                </c:ext>
              </c:extLst>
            </c:dLbl>
            <c:dLbl>
              <c:idx val="5"/>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E01C-4BEF-8591-E8B32012396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fte!$A$9:$A$14</c:f>
              <c:strCache>
                <c:ptCount val="6"/>
                <c:pt idx="0">
                  <c:v>HBR</c:v>
                </c:pt>
                <c:pt idx="1">
                  <c:v>Z&amp;W</c:v>
                </c:pt>
                <c:pt idx="2">
                  <c:v>Groen</c:v>
                </c:pt>
                <c:pt idx="3">
                  <c:v>E&amp;O</c:v>
                </c:pt>
                <c:pt idx="4">
                  <c:v>D&amp;P</c:v>
                </c:pt>
                <c:pt idx="5">
                  <c:v>Totaal</c:v>
                </c:pt>
              </c:strCache>
            </c:strRef>
          </c:cat>
          <c:val>
            <c:numRef>
              <c:f>fte!$E$9:$E$14</c:f>
              <c:numCache>
                <c:formatCode>0</c:formatCode>
                <c:ptCount val="6"/>
                <c:pt idx="0">
                  <c:v>232.45599999999999</c:v>
                </c:pt>
                <c:pt idx="1">
                  <c:v>698.74500000000012</c:v>
                </c:pt>
                <c:pt idx="2">
                  <c:v>397.30600000000004</c:v>
                </c:pt>
                <c:pt idx="3">
                  <c:v>397.49800000000005</c:v>
                </c:pt>
                <c:pt idx="4">
                  <c:v>710.76700000000005</c:v>
                </c:pt>
                <c:pt idx="5">
                  <c:v>2437.02</c:v>
                </c:pt>
              </c:numCache>
            </c:numRef>
          </c:val>
          <c:extLst>
            <c:ext xmlns:c16="http://schemas.microsoft.com/office/drawing/2014/chart" uri="{C3380CC4-5D6E-409C-BE32-E72D297353CC}">
              <c16:uniqueId val="{00000015-E01C-4BEF-8591-E8B32012396B}"/>
            </c:ext>
          </c:extLst>
        </c:ser>
        <c:ser>
          <c:idx val="4"/>
          <c:order val="4"/>
          <c:tx>
            <c:strRef>
              <c:f>fte!$F$1</c:f>
              <c:strCache>
                <c:ptCount val="1"/>
                <c:pt idx="0">
                  <c:v>2021/22</c:v>
                </c:pt>
              </c:strCache>
            </c:strRef>
          </c:tx>
          <c:spPr>
            <a:solidFill>
              <a:schemeClr val="accent5"/>
            </a:solidFill>
            <a:ln>
              <a:noFill/>
            </a:ln>
            <a:effectLst/>
          </c:spPr>
          <c:invertIfNegative val="0"/>
          <c:dLbls>
            <c:dLbl>
              <c:idx val="0"/>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E01C-4BEF-8591-E8B32012396B}"/>
                </c:ext>
              </c:extLst>
            </c:dLbl>
            <c:dLbl>
              <c:idx val="1"/>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E01C-4BEF-8591-E8B32012396B}"/>
                </c:ext>
              </c:extLst>
            </c:dLbl>
            <c:dLbl>
              <c:idx val="2"/>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E01C-4BEF-8591-E8B32012396B}"/>
                </c:ext>
              </c:extLst>
            </c:dLbl>
            <c:dLbl>
              <c:idx val="3"/>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E01C-4BEF-8591-E8B32012396B}"/>
                </c:ext>
              </c:extLst>
            </c:dLbl>
            <c:dLbl>
              <c:idx val="4"/>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E01C-4BEF-8591-E8B32012396B}"/>
                </c:ext>
              </c:extLst>
            </c:dLbl>
            <c:dLbl>
              <c:idx val="5"/>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E01C-4BEF-8591-E8B32012396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fte!$A$9:$A$14</c:f>
              <c:strCache>
                <c:ptCount val="6"/>
                <c:pt idx="0">
                  <c:v>HBR</c:v>
                </c:pt>
                <c:pt idx="1">
                  <c:v>Z&amp;W</c:v>
                </c:pt>
                <c:pt idx="2">
                  <c:v>Groen</c:v>
                </c:pt>
                <c:pt idx="3">
                  <c:v>E&amp;O</c:v>
                </c:pt>
                <c:pt idx="4">
                  <c:v>D&amp;P</c:v>
                </c:pt>
                <c:pt idx="5">
                  <c:v>Totaal</c:v>
                </c:pt>
              </c:strCache>
            </c:strRef>
          </c:cat>
          <c:val>
            <c:numRef>
              <c:f>fte!$F$9:$F$14</c:f>
              <c:numCache>
                <c:formatCode>0</c:formatCode>
                <c:ptCount val="6"/>
                <c:pt idx="0">
                  <c:v>229.755</c:v>
                </c:pt>
                <c:pt idx="1">
                  <c:v>813.93540000000007</c:v>
                </c:pt>
                <c:pt idx="2">
                  <c:v>364.89249999999998</c:v>
                </c:pt>
                <c:pt idx="3">
                  <c:v>383.98437000000001</c:v>
                </c:pt>
                <c:pt idx="4">
                  <c:v>709.58600000000001</c:v>
                </c:pt>
                <c:pt idx="5">
                  <c:v>2502.1765599999999</c:v>
                </c:pt>
              </c:numCache>
            </c:numRef>
          </c:val>
          <c:extLst>
            <c:ext xmlns:c16="http://schemas.microsoft.com/office/drawing/2014/chart" uri="{C3380CC4-5D6E-409C-BE32-E72D297353CC}">
              <c16:uniqueId val="{0000001C-E01C-4BEF-8591-E8B32012396B}"/>
            </c:ext>
          </c:extLst>
        </c:ser>
        <c:ser>
          <c:idx val="5"/>
          <c:order val="5"/>
          <c:tx>
            <c:strRef>
              <c:f>fte!$G$1</c:f>
              <c:strCache>
                <c:ptCount val="1"/>
                <c:pt idx="0">
                  <c:v>2022/23</c:v>
                </c:pt>
              </c:strCache>
            </c:strRef>
          </c:tx>
          <c:spPr>
            <a:solidFill>
              <a:schemeClr val="accent6"/>
            </a:solidFill>
            <a:ln>
              <a:noFill/>
            </a:ln>
            <a:effectLst/>
          </c:spPr>
          <c:invertIfNegative val="0"/>
          <c:dLbls>
            <c:dLbl>
              <c:idx val="0"/>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E01C-4BEF-8591-E8B32012396B}"/>
                </c:ext>
              </c:extLst>
            </c:dLbl>
            <c:dLbl>
              <c:idx val="1"/>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E01C-4BEF-8591-E8B32012396B}"/>
                </c:ext>
              </c:extLst>
            </c:dLbl>
            <c:dLbl>
              <c:idx val="2"/>
              <c:tx>
                <c:rich>
                  <a:bodyPr/>
                  <a:lstStyle/>
                  <a:p>
                    <a:r>
                      <a:rPr lang="en-US"/>
                      <a:t>+27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E01C-4BEF-8591-E8B32012396B}"/>
                </c:ext>
              </c:extLst>
            </c:dLbl>
            <c:dLbl>
              <c:idx val="3"/>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E01C-4BEF-8591-E8B32012396B}"/>
                </c:ext>
              </c:extLst>
            </c:dLbl>
            <c:dLbl>
              <c:idx val="4"/>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E01C-4BEF-8591-E8B32012396B}"/>
                </c:ext>
              </c:extLst>
            </c:dLbl>
            <c:dLbl>
              <c:idx val="5"/>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E01C-4BEF-8591-E8B32012396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fte!$A$9:$A$14</c:f>
              <c:strCache>
                <c:ptCount val="6"/>
                <c:pt idx="0">
                  <c:v>HBR</c:v>
                </c:pt>
                <c:pt idx="1">
                  <c:v>Z&amp;W</c:v>
                </c:pt>
                <c:pt idx="2">
                  <c:v>Groen</c:v>
                </c:pt>
                <c:pt idx="3">
                  <c:v>E&amp;O</c:v>
                </c:pt>
                <c:pt idx="4">
                  <c:v>D&amp;P</c:v>
                </c:pt>
                <c:pt idx="5">
                  <c:v>Totaal</c:v>
                </c:pt>
              </c:strCache>
            </c:strRef>
          </c:cat>
          <c:val>
            <c:numRef>
              <c:f>fte!$G$9:$G$14</c:f>
              <c:numCache>
                <c:formatCode>0</c:formatCode>
                <c:ptCount val="6"/>
                <c:pt idx="0">
                  <c:v>249.24719999999999</c:v>
                </c:pt>
                <c:pt idx="1">
                  <c:v>833.74200000000008</c:v>
                </c:pt>
                <c:pt idx="2">
                  <c:v>463.97519999999997</c:v>
                </c:pt>
                <c:pt idx="3">
                  <c:v>345.22179999999997</c:v>
                </c:pt>
                <c:pt idx="4">
                  <c:v>736.27280000000007</c:v>
                </c:pt>
                <c:pt idx="5">
                  <c:v>2628.4688000000001</c:v>
                </c:pt>
              </c:numCache>
            </c:numRef>
          </c:val>
          <c:extLst>
            <c:ext xmlns:c16="http://schemas.microsoft.com/office/drawing/2014/chart" uri="{C3380CC4-5D6E-409C-BE32-E72D297353CC}">
              <c16:uniqueId val="{00000023-E01C-4BEF-8591-E8B32012396B}"/>
            </c:ext>
          </c:extLst>
        </c:ser>
        <c:dLbls>
          <c:showLegendKey val="0"/>
          <c:showVal val="1"/>
          <c:showCatName val="0"/>
          <c:showSerName val="0"/>
          <c:showPercent val="0"/>
          <c:showBubbleSize val="0"/>
        </c:dLbls>
        <c:gapWidth val="219"/>
        <c:overlap val="-20"/>
        <c:axId val="585511455"/>
        <c:axId val="585513119"/>
      </c:barChart>
      <c:catAx>
        <c:axId val="585511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85513119"/>
        <c:crosses val="autoZero"/>
        <c:auto val="1"/>
        <c:lblAlgn val="ctr"/>
        <c:lblOffset val="100"/>
        <c:noMultiLvlLbl val="0"/>
      </c:catAx>
      <c:valAx>
        <c:axId val="5855131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85511455"/>
        <c:crosses val="autoZero"/>
        <c:crossBetween val="between"/>
      </c:valAx>
      <c:spPr>
        <a:noFill/>
        <a:ln>
          <a:noFill/>
        </a:ln>
        <a:effectLst/>
      </c:spPr>
    </c:plotArea>
    <c:legend>
      <c:legendPos val="tr"/>
      <c:layout>
        <c:manualLayout>
          <c:xMode val="edge"/>
          <c:yMode val="edge"/>
          <c:x val="9.2511244111105617E-2"/>
          <c:y val="0.18459770114942528"/>
          <c:w val="0.10291247486218101"/>
          <c:h val="0.4090937723693629"/>
        </c:manualLayout>
      </c:layout>
      <c:overlay val="0"/>
      <c:spPr>
        <a:solidFill>
          <a:sysClr val="window" lastClr="FFFFFF"/>
        </a:solidFill>
        <a:ln>
          <a:solidFill>
            <a:sysClr val="windowText" lastClr="00000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nl-NL" sz="1200" b="0" i="0" u="none" strike="noStrike" kern="1200" spc="0" baseline="0">
                <a:solidFill>
                  <a:sysClr val="windowText" lastClr="000000">
                    <a:lumMod val="65000"/>
                    <a:lumOff val="35000"/>
                  </a:sysClr>
                </a:solidFill>
              </a:rPr>
              <a:t>Combinatie niet-techniekvak en avo-vak</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tx>
            <c:strRef>
              <c:f>combi!$I$10</c:f>
              <c:strCache>
                <c:ptCount val="1"/>
                <c:pt idx="0">
                  <c:v>HBR</c:v>
                </c:pt>
              </c:strCache>
            </c:strRef>
          </c:tx>
          <c:spPr>
            <a:ln w="28575" cap="rnd">
              <a:solidFill>
                <a:schemeClr val="accent1"/>
              </a:solidFill>
              <a:round/>
            </a:ln>
            <a:effectLst/>
          </c:spPr>
          <c:marker>
            <c:symbol val="none"/>
          </c:marker>
          <c:cat>
            <c:strRef>
              <c:f>combi!$B$2:$G$2</c:f>
              <c:strCache>
                <c:ptCount val="6"/>
                <c:pt idx="0">
                  <c:v>2017/18</c:v>
                </c:pt>
                <c:pt idx="1">
                  <c:v>2018/19</c:v>
                </c:pt>
                <c:pt idx="2">
                  <c:v>2019/20</c:v>
                </c:pt>
                <c:pt idx="3">
                  <c:v>2020/21</c:v>
                </c:pt>
                <c:pt idx="4">
                  <c:v>2021/22</c:v>
                </c:pt>
                <c:pt idx="5">
                  <c:v>2022/23</c:v>
                </c:pt>
              </c:strCache>
            </c:strRef>
          </c:cat>
          <c:val>
            <c:numRef>
              <c:f>combi!$J$10:$O$10</c:f>
              <c:numCache>
                <c:formatCode>0%</c:formatCode>
                <c:ptCount val="6"/>
                <c:pt idx="0">
                  <c:v>0.14640883977900551</c:v>
                </c:pt>
                <c:pt idx="1">
                  <c:v>0.12401055408970976</c:v>
                </c:pt>
                <c:pt idx="2">
                  <c:v>0.14499999999999999</c:v>
                </c:pt>
                <c:pt idx="3">
                  <c:v>0.13775510204081631</c:v>
                </c:pt>
                <c:pt idx="4">
                  <c:v>0.15466666666666667</c:v>
                </c:pt>
                <c:pt idx="5">
                  <c:v>0.15196078431372548</c:v>
                </c:pt>
              </c:numCache>
            </c:numRef>
          </c:val>
          <c:smooth val="0"/>
          <c:extLst>
            <c:ext xmlns:c16="http://schemas.microsoft.com/office/drawing/2014/chart" uri="{C3380CC4-5D6E-409C-BE32-E72D297353CC}">
              <c16:uniqueId val="{00000000-8B18-482A-AFB5-B8E6BE77F7CE}"/>
            </c:ext>
          </c:extLst>
        </c:ser>
        <c:ser>
          <c:idx val="1"/>
          <c:order val="1"/>
          <c:tx>
            <c:strRef>
              <c:f>combi!$I$11</c:f>
              <c:strCache>
                <c:ptCount val="1"/>
                <c:pt idx="0">
                  <c:v>Z&amp;W</c:v>
                </c:pt>
              </c:strCache>
            </c:strRef>
          </c:tx>
          <c:spPr>
            <a:ln w="28575" cap="rnd">
              <a:solidFill>
                <a:schemeClr val="accent2"/>
              </a:solidFill>
              <a:round/>
            </a:ln>
            <a:effectLst/>
          </c:spPr>
          <c:marker>
            <c:symbol val="none"/>
          </c:marker>
          <c:cat>
            <c:strRef>
              <c:f>combi!$B$2:$G$2</c:f>
              <c:strCache>
                <c:ptCount val="6"/>
                <c:pt idx="0">
                  <c:v>2017/18</c:v>
                </c:pt>
                <c:pt idx="1">
                  <c:v>2018/19</c:v>
                </c:pt>
                <c:pt idx="2">
                  <c:v>2019/20</c:v>
                </c:pt>
                <c:pt idx="3">
                  <c:v>2020/21</c:v>
                </c:pt>
                <c:pt idx="4">
                  <c:v>2021/22</c:v>
                </c:pt>
                <c:pt idx="5">
                  <c:v>2022/23</c:v>
                </c:pt>
              </c:strCache>
            </c:strRef>
          </c:cat>
          <c:val>
            <c:numRef>
              <c:f>combi!$J$11:$O$11</c:f>
              <c:numCache>
                <c:formatCode>0%</c:formatCode>
                <c:ptCount val="6"/>
                <c:pt idx="0">
                  <c:v>0.32634864021399912</c:v>
                </c:pt>
                <c:pt idx="1">
                  <c:v>0.32502443792766372</c:v>
                </c:pt>
                <c:pt idx="2">
                  <c:v>0.32488596046629498</c:v>
                </c:pt>
                <c:pt idx="3">
                  <c:v>0.15488482922954727</c:v>
                </c:pt>
                <c:pt idx="4">
                  <c:v>0.17602739726027397</c:v>
                </c:pt>
                <c:pt idx="5">
                  <c:v>0.18074656188605109</c:v>
                </c:pt>
              </c:numCache>
            </c:numRef>
          </c:val>
          <c:smooth val="0"/>
          <c:extLst>
            <c:ext xmlns:c16="http://schemas.microsoft.com/office/drawing/2014/chart" uri="{C3380CC4-5D6E-409C-BE32-E72D297353CC}">
              <c16:uniqueId val="{00000001-8B18-482A-AFB5-B8E6BE77F7CE}"/>
            </c:ext>
          </c:extLst>
        </c:ser>
        <c:ser>
          <c:idx val="2"/>
          <c:order val="2"/>
          <c:tx>
            <c:strRef>
              <c:f>combi!$I$12</c:f>
              <c:strCache>
                <c:ptCount val="1"/>
                <c:pt idx="0">
                  <c:v>Groen</c:v>
                </c:pt>
              </c:strCache>
            </c:strRef>
          </c:tx>
          <c:spPr>
            <a:ln w="28575" cap="rnd">
              <a:solidFill>
                <a:schemeClr val="accent3"/>
              </a:solidFill>
              <a:round/>
            </a:ln>
            <a:effectLst/>
          </c:spPr>
          <c:marker>
            <c:symbol val="none"/>
          </c:marker>
          <c:cat>
            <c:strRef>
              <c:f>combi!$B$2:$G$2</c:f>
              <c:strCache>
                <c:ptCount val="6"/>
                <c:pt idx="0">
                  <c:v>2017/18</c:v>
                </c:pt>
                <c:pt idx="1">
                  <c:v>2018/19</c:v>
                </c:pt>
                <c:pt idx="2">
                  <c:v>2019/20</c:v>
                </c:pt>
                <c:pt idx="3">
                  <c:v>2020/21</c:v>
                </c:pt>
                <c:pt idx="4">
                  <c:v>2021/22</c:v>
                </c:pt>
                <c:pt idx="5">
                  <c:v>2022/23</c:v>
                </c:pt>
              </c:strCache>
            </c:strRef>
          </c:cat>
          <c:val>
            <c:numRef>
              <c:f>combi!$J$12:$O$12</c:f>
              <c:numCache>
                <c:formatCode>0%</c:formatCode>
                <c:ptCount val="6"/>
                <c:pt idx="0">
                  <c:v>0.32531645569620254</c:v>
                </c:pt>
                <c:pt idx="1">
                  <c:v>0.31367628607277293</c:v>
                </c:pt>
                <c:pt idx="2">
                  <c:v>0.36590909090909091</c:v>
                </c:pt>
                <c:pt idx="3">
                  <c:v>0.30117340286831812</c:v>
                </c:pt>
                <c:pt idx="4">
                  <c:v>0.29793103448275859</c:v>
                </c:pt>
                <c:pt idx="5">
                  <c:v>0.3002136752136752</c:v>
                </c:pt>
              </c:numCache>
            </c:numRef>
          </c:val>
          <c:smooth val="0"/>
          <c:extLst>
            <c:ext xmlns:c16="http://schemas.microsoft.com/office/drawing/2014/chart" uri="{C3380CC4-5D6E-409C-BE32-E72D297353CC}">
              <c16:uniqueId val="{00000002-8B18-482A-AFB5-B8E6BE77F7CE}"/>
            </c:ext>
          </c:extLst>
        </c:ser>
        <c:ser>
          <c:idx val="3"/>
          <c:order val="3"/>
          <c:tx>
            <c:strRef>
              <c:f>combi!$I$13</c:f>
              <c:strCache>
                <c:ptCount val="1"/>
                <c:pt idx="0">
                  <c:v>E&amp;O</c:v>
                </c:pt>
              </c:strCache>
            </c:strRef>
          </c:tx>
          <c:spPr>
            <a:ln w="28575" cap="rnd">
              <a:solidFill>
                <a:schemeClr val="accent4"/>
              </a:solidFill>
              <a:round/>
            </a:ln>
            <a:effectLst/>
          </c:spPr>
          <c:marker>
            <c:symbol val="none"/>
          </c:marker>
          <c:cat>
            <c:strRef>
              <c:f>combi!$B$2:$G$2</c:f>
              <c:strCache>
                <c:ptCount val="6"/>
                <c:pt idx="0">
                  <c:v>2017/18</c:v>
                </c:pt>
                <c:pt idx="1">
                  <c:v>2018/19</c:v>
                </c:pt>
                <c:pt idx="2">
                  <c:v>2019/20</c:v>
                </c:pt>
                <c:pt idx="3">
                  <c:v>2020/21</c:v>
                </c:pt>
                <c:pt idx="4">
                  <c:v>2021/22</c:v>
                </c:pt>
                <c:pt idx="5">
                  <c:v>2022/23</c:v>
                </c:pt>
              </c:strCache>
            </c:strRef>
          </c:cat>
          <c:val>
            <c:numRef>
              <c:f>combi!$J$13:$O$13</c:f>
              <c:numCache>
                <c:formatCode>0%</c:formatCode>
                <c:ptCount val="6"/>
                <c:pt idx="0">
                  <c:v>0.56342494714587743</c:v>
                </c:pt>
                <c:pt idx="1">
                  <c:v>0.60063897763578278</c:v>
                </c:pt>
                <c:pt idx="2">
                  <c:v>0.64458464773922186</c:v>
                </c:pt>
                <c:pt idx="3">
                  <c:v>0.63188745603751462</c:v>
                </c:pt>
                <c:pt idx="4">
                  <c:v>0.65175332527206775</c:v>
                </c:pt>
                <c:pt idx="5">
                  <c:v>0.62483829236739974</c:v>
                </c:pt>
              </c:numCache>
            </c:numRef>
          </c:val>
          <c:smooth val="0"/>
          <c:extLst>
            <c:ext xmlns:c16="http://schemas.microsoft.com/office/drawing/2014/chart" uri="{C3380CC4-5D6E-409C-BE32-E72D297353CC}">
              <c16:uniqueId val="{00000003-8B18-482A-AFB5-B8E6BE77F7CE}"/>
            </c:ext>
          </c:extLst>
        </c:ser>
        <c:ser>
          <c:idx val="4"/>
          <c:order val="4"/>
          <c:tx>
            <c:strRef>
              <c:f>combi!$I$14</c:f>
              <c:strCache>
                <c:ptCount val="1"/>
                <c:pt idx="0">
                  <c:v>D&amp;P</c:v>
                </c:pt>
              </c:strCache>
            </c:strRef>
          </c:tx>
          <c:spPr>
            <a:ln w="28575" cap="rnd">
              <a:solidFill>
                <a:schemeClr val="accent5"/>
              </a:solidFill>
              <a:round/>
            </a:ln>
            <a:effectLst/>
          </c:spPr>
          <c:marker>
            <c:symbol val="none"/>
          </c:marker>
          <c:cat>
            <c:strRef>
              <c:f>combi!$B$2:$G$2</c:f>
              <c:strCache>
                <c:ptCount val="6"/>
                <c:pt idx="0">
                  <c:v>2017/18</c:v>
                </c:pt>
                <c:pt idx="1">
                  <c:v>2018/19</c:v>
                </c:pt>
                <c:pt idx="2">
                  <c:v>2019/20</c:v>
                </c:pt>
                <c:pt idx="3">
                  <c:v>2020/21</c:v>
                </c:pt>
                <c:pt idx="4">
                  <c:v>2021/22</c:v>
                </c:pt>
                <c:pt idx="5">
                  <c:v>2022/23</c:v>
                </c:pt>
              </c:strCache>
            </c:strRef>
          </c:cat>
          <c:val>
            <c:numRef>
              <c:f>combi!$J$14:$O$14</c:f>
              <c:numCache>
                <c:formatCode>0%</c:formatCode>
                <c:ptCount val="6"/>
                <c:pt idx="0">
                  <c:v>0.52</c:v>
                </c:pt>
                <c:pt idx="1">
                  <c:v>0.46825895663104966</c:v>
                </c:pt>
                <c:pt idx="2">
                  <c:v>0.45386996904024768</c:v>
                </c:pt>
                <c:pt idx="3">
                  <c:v>0.4421983575489577</c:v>
                </c:pt>
                <c:pt idx="4">
                  <c:v>0.46008799497171587</c:v>
                </c:pt>
                <c:pt idx="5">
                  <c:v>0.47137637028014617</c:v>
                </c:pt>
              </c:numCache>
            </c:numRef>
          </c:val>
          <c:smooth val="0"/>
          <c:extLst>
            <c:ext xmlns:c16="http://schemas.microsoft.com/office/drawing/2014/chart" uri="{C3380CC4-5D6E-409C-BE32-E72D297353CC}">
              <c16:uniqueId val="{00000004-8B18-482A-AFB5-B8E6BE77F7CE}"/>
            </c:ext>
          </c:extLst>
        </c:ser>
        <c:ser>
          <c:idx val="5"/>
          <c:order val="5"/>
          <c:tx>
            <c:strRef>
              <c:f>combi!$I$15</c:f>
              <c:strCache>
                <c:ptCount val="1"/>
                <c:pt idx="0">
                  <c:v>Totaal</c:v>
                </c:pt>
              </c:strCache>
            </c:strRef>
          </c:tx>
          <c:spPr>
            <a:ln w="28575" cap="rnd">
              <a:solidFill>
                <a:schemeClr val="accent6"/>
              </a:solidFill>
              <a:round/>
            </a:ln>
            <a:effectLst/>
          </c:spPr>
          <c:marker>
            <c:symbol val="none"/>
          </c:marker>
          <c:cat>
            <c:strRef>
              <c:f>combi!$B$2:$G$2</c:f>
              <c:strCache>
                <c:ptCount val="6"/>
                <c:pt idx="0">
                  <c:v>2017/18</c:v>
                </c:pt>
                <c:pt idx="1">
                  <c:v>2018/19</c:v>
                </c:pt>
                <c:pt idx="2">
                  <c:v>2019/20</c:v>
                </c:pt>
                <c:pt idx="3">
                  <c:v>2020/21</c:v>
                </c:pt>
                <c:pt idx="4">
                  <c:v>2021/22</c:v>
                </c:pt>
                <c:pt idx="5">
                  <c:v>2022/23</c:v>
                </c:pt>
              </c:strCache>
            </c:strRef>
          </c:cat>
          <c:val>
            <c:numRef>
              <c:f>combi!$J$15:$O$15</c:f>
              <c:numCache>
                <c:formatCode>0%</c:formatCode>
                <c:ptCount val="6"/>
                <c:pt idx="0">
                  <c:v>0.41135784492173277</c:v>
                </c:pt>
                <c:pt idx="1">
                  <c:v>0.40037593984962405</c:v>
                </c:pt>
                <c:pt idx="2">
                  <c:v>0.41195144724556487</c:v>
                </c:pt>
                <c:pt idx="3">
                  <c:v>0.35829824950144029</c:v>
                </c:pt>
                <c:pt idx="4">
                  <c:v>0.36721100128921358</c:v>
                </c:pt>
                <c:pt idx="5">
                  <c:v>0.35825481360098321</c:v>
                </c:pt>
              </c:numCache>
            </c:numRef>
          </c:val>
          <c:smooth val="0"/>
          <c:extLst>
            <c:ext xmlns:c16="http://schemas.microsoft.com/office/drawing/2014/chart" uri="{C3380CC4-5D6E-409C-BE32-E72D297353CC}">
              <c16:uniqueId val="{00000005-8B18-482A-AFB5-B8E6BE77F7CE}"/>
            </c:ext>
          </c:extLst>
        </c:ser>
        <c:dLbls>
          <c:showLegendKey val="0"/>
          <c:showVal val="0"/>
          <c:showCatName val="0"/>
          <c:showSerName val="0"/>
          <c:showPercent val="0"/>
          <c:showBubbleSize val="0"/>
        </c:dLbls>
        <c:smooth val="0"/>
        <c:axId val="808416335"/>
        <c:axId val="808416751"/>
      </c:lineChart>
      <c:catAx>
        <c:axId val="808416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08416751"/>
        <c:crosses val="autoZero"/>
        <c:auto val="1"/>
        <c:lblAlgn val="ctr"/>
        <c:lblOffset val="100"/>
        <c:noMultiLvlLbl val="0"/>
      </c:catAx>
      <c:valAx>
        <c:axId val="808416751"/>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084163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nl-NL" sz="1200" b="0" i="0" u="none" strike="noStrike" kern="1200" spc="0" baseline="0">
                <a:solidFill>
                  <a:sysClr val="windowText" lastClr="000000">
                    <a:lumMod val="65000"/>
                    <a:lumOff val="35000"/>
                  </a:sysClr>
                </a:solidFill>
              </a:rPr>
              <a:t>Combinatie niet-techniekvak en overig(e) vak(ken)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tx>
            <c:strRef>
              <c:f>combi!$I$26</c:f>
              <c:strCache>
                <c:ptCount val="1"/>
                <c:pt idx="0">
                  <c:v>HBR</c:v>
                </c:pt>
              </c:strCache>
            </c:strRef>
          </c:tx>
          <c:spPr>
            <a:ln w="28575" cap="rnd">
              <a:solidFill>
                <a:schemeClr val="accent1"/>
              </a:solidFill>
              <a:round/>
            </a:ln>
            <a:effectLst/>
          </c:spPr>
          <c:marker>
            <c:symbol val="none"/>
          </c:marker>
          <c:cat>
            <c:strRef>
              <c:f>combi!$B$18:$G$18</c:f>
              <c:strCache>
                <c:ptCount val="6"/>
                <c:pt idx="0">
                  <c:v>2017/18</c:v>
                </c:pt>
                <c:pt idx="1">
                  <c:v>2018/19</c:v>
                </c:pt>
                <c:pt idx="2">
                  <c:v>2019/20</c:v>
                </c:pt>
                <c:pt idx="3">
                  <c:v>2020/21</c:v>
                </c:pt>
                <c:pt idx="4">
                  <c:v>2021/22</c:v>
                </c:pt>
                <c:pt idx="5">
                  <c:v>2022/23</c:v>
                </c:pt>
              </c:strCache>
            </c:strRef>
          </c:cat>
          <c:val>
            <c:numRef>
              <c:f>combi!$J$26:$O$26</c:f>
              <c:numCache>
                <c:formatCode>0%</c:formatCode>
                <c:ptCount val="6"/>
                <c:pt idx="0">
                  <c:v>0.65193370165745856</c:v>
                </c:pt>
                <c:pt idx="1">
                  <c:v>0.72031662269129293</c:v>
                </c:pt>
                <c:pt idx="2">
                  <c:v>0.68500000000000005</c:v>
                </c:pt>
                <c:pt idx="3">
                  <c:v>0.66836734693877553</c:v>
                </c:pt>
                <c:pt idx="4">
                  <c:v>0.71199999999999997</c:v>
                </c:pt>
                <c:pt idx="5">
                  <c:v>0.66666666666666663</c:v>
                </c:pt>
              </c:numCache>
            </c:numRef>
          </c:val>
          <c:smooth val="0"/>
          <c:extLst>
            <c:ext xmlns:c16="http://schemas.microsoft.com/office/drawing/2014/chart" uri="{C3380CC4-5D6E-409C-BE32-E72D297353CC}">
              <c16:uniqueId val="{00000000-6562-4028-AEFE-778E59F364C6}"/>
            </c:ext>
          </c:extLst>
        </c:ser>
        <c:ser>
          <c:idx val="1"/>
          <c:order val="1"/>
          <c:tx>
            <c:strRef>
              <c:f>combi!$I$27</c:f>
              <c:strCache>
                <c:ptCount val="1"/>
                <c:pt idx="0">
                  <c:v>Z&amp;W</c:v>
                </c:pt>
              </c:strCache>
            </c:strRef>
          </c:tx>
          <c:spPr>
            <a:ln w="28575" cap="rnd">
              <a:solidFill>
                <a:schemeClr val="accent2"/>
              </a:solidFill>
              <a:round/>
            </a:ln>
            <a:effectLst/>
          </c:spPr>
          <c:marker>
            <c:symbol val="none"/>
          </c:marker>
          <c:cat>
            <c:strRef>
              <c:f>combi!$B$18:$G$18</c:f>
              <c:strCache>
                <c:ptCount val="6"/>
                <c:pt idx="0">
                  <c:v>2017/18</c:v>
                </c:pt>
                <c:pt idx="1">
                  <c:v>2018/19</c:v>
                </c:pt>
                <c:pt idx="2">
                  <c:v>2019/20</c:v>
                </c:pt>
                <c:pt idx="3">
                  <c:v>2020/21</c:v>
                </c:pt>
                <c:pt idx="4">
                  <c:v>2021/22</c:v>
                </c:pt>
                <c:pt idx="5">
                  <c:v>2022/23</c:v>
                </c:pt>
              </c:strCache>
            </c:strRef>
          </c:cat>
          <c:val>
            <c:numRef>
              <c:f>combi!$J$27:$O$27</c:f>
              <c:numCache>
                <c:formatCode>0%</c:formatCode>
                <c:ptCount val="6"/>
                <c:pt idx="0">
                  <c:v>0.66428889879625497</c:v>
                </c:pt>
                <c:pt idx="1">
                  <c:v>0.67937438905180836</c:v>
                </c:pt>
                <c:pt idx="2">
                  <c:v>0.68879878357830715</c:v>
                </c:pt>
                <c:pt idx="3">
                  <c:v>0.70135027799841143</c:v>
                </c:pt>
                <c:pt idx="4">
                  <c:v>0.71506849315068488</c:v>
                </c:pt>
                <c:pt idx="5">
                  <c:v>0.71905697445972494</c:v>
                </c:pt>
              </c:numCache>
            </c:numRef>
          </c:val>
          <c:smooth val="0"/>
          <c:extLst>
            <c:ext xmlns:c16="http://schemas.microsoft.com/office/drawing/2014/chart" uri="{C3380CC4-5D6E-409C-BE32-E72D297353CC}">
              <c16:uniqueId val="{00000001-6562-4028-AEFE-778E59F364C6}"/>
            </c:ext>
          </c:extLst>
        </c:ser>
        <c:ser>
          <c:idx val="2"/>
          <c:order val="2"/>
          <c:tx>
            <c:strRef>
              <c:f>combi!$I$28</c:f>
              <c:strCache>
                <c:ptCount val="1"/>
                <c:pt idx="0">
                  <c:v>Groen</c:v>
                </c:pt>
              </c:strCache>
            </c:strRef>
          </c:tx>
          <c:spPr>
            <a:ln w="28575" cap="rnd">
              <a:solidFill>
                <a:schemeClr val="accent3"/>
              </a:solidFill>
              <a:round/>
            </a:ln>
            <a:effectLst/>
          </c:spPr>
          <c:marker>
            <c:symbol val="none"/>
          </c:marker>
          <c:cat>
            <c:strRef>
              <c:f>combi!$B$18:$G$18</c:f>
              <c:strCache>
                <c:ptCount val="6"/>
                <c:pt idx="0">
                  <c:v>2017/18</c:v>
                </c:pt>
                <c:pt idx="1">
                  <c:v>2018/19</c:v>
                </c:pt>
                <c:pt idx="2">
                  <c:v>2019/20</c:v>
                </c:pt>
                <c:pt idx="3">
                  <c:v>2020/21</c:v>
                </c:pt>
                <c:pt idx="4">
                  <c:v>2021/22</c:v>
                </c:pt>
                <c:pt idx="5">
                  <c:v>2022/23</c:v>
                </c:pt>
              </c:strCache>
            </c:strRef>
          </c:cat>
          <c:val>
            <c:numRef>
              <c:f>combi!$J$28:$O$28</c:f>
              <c:numCache>
                <c:formatCode>0%</c:formatCode>
                <c:ptCount val="6"/>
                <c:pt idx="0">
                  <c:v>0.65063291139240509</c:v>
                </c:pt>
                <c:pt idx="1">
                  <c:v>0.72898368883312425</c:v>
                </c:pt>
                <c:pt idx="2">
                  <c:v>0.74090909090909096</c:v>
                </c:pt>
                <c:pt idx="3">
                  <c:v>0.75097783572359844</c:v>
                </c:pt>
                <c:pt idx="4">
                  <c:v>0.77103448275862074</c:v>
                </c:pt>
                <c:pt idx="5">
                  <c:v>0.7713675213675214</c:v>
                </c:pt>
              </c:numCache>
            </c:numRef>
          </c:val>
          <c:smooth val="0"/>
          <c:extLst>
            <c:ext xmlns:c16="http://schemas.microsoft.com/office/drawing/2014/chart" uri="{C3380CC4-5D6E-409C-BE32-E72D297353CC}">
              <c16:uniqueId val="{00000002-6562-4028-AEFE-778E59F364C6}"/>
            </c:ext>
          </c:extLst>
        </c:ser>
        <c:ser>
          <c:idx val="3"/>
          <c:order val="3"/>
          <c:tx>
            <c:strRef>
              <c:f>combi!$I$29</c:f>
              <c:strCache>
                <c:ptCount val="1"/>
                <c:pt idx="0">
                  <c:v>E&amp;O</c:v>
                </c:pt>
              </c:strCache>
            </c:strRef>
          </c:tx>
          <c:spPr>
            <a:ln w="28575" cap="rnd">
              <a:solidFill>
                <a:schemeClr val="accent4"/>
              </a:solidFill>
              <a:round/>
            </a:ln>
            <a:effectLst/>
          </c:spPr>
          <c:marker>
            <c:symbol val="none"/>
          </c:marker>
          <c:cat>
            <c:strRef>
              <c:f>combi!$B$18:$G$18</c:f>
              <c:strCache>
                <c:ptCount val="6"/>
                <c:pt idx="0">
                  <c:v>2017/18</c:v>
                </c:pt>
                <c:pt idx="1">
                  <c:v>2018/19</c:v>
                </c:pt>
                <c:pt idx="2">
                  <c:v>2019/20</c:v>
                </c:pt>
                <c:pt idx="3">
                  <c:v>2020/21</c:v>
                </c:pt>
                <c:pt idx="4">
                  <c:v>2021/22</c:v>
                </c:pt>
                <c:pt idx="5">
                  <c:v>2022/23</c:v>
                </c:pt>
              </c:strCache>
            </c:strRef>
          </c:cat>
          <c:val>
            <c:numRef>
              <c:f>combi!$J$29:$O$29</c:f>
              <c:numCache>
                <c:formatCode>0%</c:formatCode>
                <c:ptCount val="6"/>
                <c:pt idx="0">
                  <c:v>0.68816067653276958</c:v>
                </c:pt>
                <c:pt idx="1">
                  <c:v>0.70287539936102239</c:v>
                </c:pt>
                <c:pt idx="2">
                  <c:v>0.68769716088328081</c:v>
                </c:pt>
                <c:pt idx="3">
                  <c:v>0.70574443141852283</c:v>
                </c:pt>
                <c:pt idx="4">
                  <c:v>0.74002418379685608</c:v>
                </c:pt>
                <c:pt idx="5">
                  <c:v>0.7347994825355757</c:v>
                </c:pt>
              </c:numCache>
            </c:numRef>
          </c:val>
          <c:smooth val="0"/>
          <c:extLst>
            <c:ext xmlns:c16="http://schemas.microsoft.com/office/drawing/2014/chart" uri="{C3380CC4-5D6E-409C-BE32-E72D297353CC}">
              <c16:uniqueId val="{00000003-6562-4028-AEFE-778E59F364C6}"/>
            </c:ext>
          </c:extLst>
        </c:ser>
        <c:ser>
          <c:idx val="4"/>
          <c:order val="4"/>
          <c:tx>
            <c:strRef>
              <c:f>combi!$I$30</c:f>
              <c:strCache>
                <c:ptCount val="1"/>
                <c:pt idx="0">
                  <c:v>D&amp;P</c:v>
                </c:pt>
              </c:strCache>
            </c:strRef>
          </c:tx>
          <c:spPr>
            <a:ln w="28575" cap="rnd">
              <a:solidFill>
                <a:schemeClr val="accent5"/>
              </a:solidFill>
              <a:round/>
            </a:ln>
            <a:effectLst/>
          </c:spPr>
          <c:marker>
            <c:symbol val="none"/>
          </c:marker>
          <c:cat>
            <c:strRef>
              <c:f>combi!$B$18:$G$18</c:f>
              <c:strCache>
                <c:ptCount val="6"/>
                <c:pt idx="0">
                  <c:v>2017/18</c:v>
                </c:pt>
                <c:pt idx="1">
                  <c:v>2018/19</c:v>
                </c:pt>
                <c:pt idx="2">
                  <c:v>2019/20</c:v>
                </c:pt>
                <c:pt idx="3">
                  <c:v>2020/21</c:v>
                </c:pt>
                <c:pt idx="4">
                  <c:v>2021/22</c:v>
                </c:pt>
                <c:pt idx="5">
                  <c:v>2022/23</c:v>
                </c:pt>
              </c:strCache>
            </c:strRef>
          </c:cat>
          <c:val>
            <c:numRef>
              <c:f>combi!$J$30:$O$30</c:f>
              <c:numCache>
                <c:formatCode>0%</c:formatCode>
                <c:ptCount val="6"/>
                <c:pt idx="0">
                  <c:v>0.72317460317460314</c:v>
                </c:pt>
                <c:pt idx="1">
                  <c:v>0.71024512884977997</c:v>
                </c:pt>
                <c:pt idx="2">
                  <c:v>0.71578947368421053</c:v>
                </c:pt>
                <c:pt idx="3">
                  <c:v>0.73341756159191407</c:v>
                </c:pt>
                <c:pt idx="4">
                  <c:v>0.74230043997485862</c:v>
                </c:pt>
                <c:pt idx="5">
                  <c:v>0.74847746650426306</c:v>
                </c:pt>
              </c:numCache>
            </c:numRef>
          </c:val>
          <c:smooth val="0"/>
          <c:extLst>
            <c:ext xmlns:c16="http://schemas.microsoft.com/office/drawing/2014/chart" uri="{C3380CC4-5D6E-409C-BE32-E72D297353CC}">
              <c16:uniqueId val="{00000004-6562-4028-AEFE-778E59F364C6}"/>
            </c:ext>
          </c:extLst>
        </c:ser>
        <c:ser>
          <c:idx val="5"/>
          <c:order val="5"/>
          <c:tx>
            <c:strRef>
              <c:f>combi!$I$31</c:f>
              <c:strCache>
                <c:ptCount val="1"/>
                <c:pt idx="0">
                  <c:v>Totaal</c:v>
                </c:pt>
              </c:strCache>
            </c:strRef>
          </c:tx>
          <c:spPr>
            <a:ln w="28575" cap="rnd">
              <a:solidFill>
                <a:schemeClr val="accent6"/>
              </a:solidFill>
              <a:round/>
            </a:ln>
            <a:effectLst/>
          </c:spPr>
          <c:marker>
            <c:symbol val="none"/>
          </c:marker>
          <c:cat>
            <c:strRef>
              <c:f>combi!$B$18:$G$18</c:f>
              <c:strCache>
                <c:ptCount val="6"/>
                <c:pt idx="0">
                  <c:v>2017/18</c:v>
                </c:pt>
                <c:pt idx="1">
                  <c:v>2018/19</c:v>
                </c:pt>
                <c:pt idx="2">
                  <c:v>2019/20</c:v>
                </c:pt>
                <c:pt idx="3">
                  <c:v>2020/21</c:v>
                </c:pt>
                <c:pt idx="4">
                  <c:v>2021/22</c:v>
                </c:pt>
                <c:pt idx="5">
                  <c:v>2022/23</c:v>
                </c:pt>
              </c:strCache>
            </c:strRef>
          </c:cat>
          <c:val>
            <c:numRef>
              <c:f>combi!$J$31:$O$31</c:f>
              <c:numCache>
                <c:formatCode>0%</c:formatCode>
                <c:ptCount val="6"/>
                <c:pt idx="0">
                  <c:v>0.67910447761194026</c:v>
                </c:pt>
                <c:pt idx="1">
                  <c:v>0.6986842105263158</c:v>
                </c:pt>
                <c:pt idx="2">
                  <c:v>0.70233426704014934</c:v>
                </c:pt>
                <c:pt idx="3">
                  <c:v>0.71726124529138047</c:v>
                </c:pt>
                <c:pt idx="4">
                  <c:v>0.73313278899871082</c:v>
                </c:pt>
                <c:pt idx="5">
                  <c:v>0.73371569029086436</c:v>
                </c:pt>
              </c:numCache>
            </c:numRef>
          </c:val>
          <c:smooth val="0"/>
          <c:extLst>
            <c:ext xmlns:c16="http://schemas.microsoft.com/office/drawing/2014/chart" uri="{C3380CC4-5D6E-409C-BE32-E72D297353CC}">
              <c16:uniqueId val="{00000005-6562-4028-AEFE-778E59F364C6}"/>
            </c:ext>
          </c:extLst>
        </c:ser>
        <c:dLbls>
          <c:showLegendKey val="0"/>
          <c:showVal val="0"/>
          <c:showCatName val="0"/>
          <c:showSerName val="0"/>
          <c:showPercent val="0"/>
          <c:showBubbleSize val="0"/>
        </c:dLbls>
        <c:smooth val="0"/>
        <c:axId val="808416335"/>
        <c:axId val="808416751"/>
      </c:lineChart>
      <c:catAx>
        <c:axId val="808416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08416751"/>
        <c:crosses val="autoZero"/>
        <c:auto val="1"/>
        <c:lblAlgn val="ctr"/>
        <c:lblOffset val="100"/>
        <c:noMultiLvlLbl val="0"/>
      </c:catAx>
      <c:valAx>
        <c:axId val="808416751"/>
        <c:scaling>
          <c:orientation val="minMax"/>
          <c:max val="0.8"/>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08416335"/>
        <c:crosses val="autoZero"/>
        <c:crossBetween val="between"/>
      </c:valAx>
      <c:spPr>
        <a:noFill/>
        <a:ln>
          <a:noFill/>
        </a:ln>
        <a:effectLst/>
      </c:spPr>
    </c:plotArea>
    <c:legend>
      <c:legendPos val="r"/>
      <c:layout>
        <c:manualLayout>
          <c:xMode val="edge"/>
          <c:yMode val="edge"/>
          <c:x val="0.84065416666666648"/>
          <c:y val="0.40009076990376202"/>
          <c:w val="0.11648315972222222"/>
          <c:h val="0.46875328083989504"/>
        </c:manualLayout>
      </c:layout>
      <c:overlay val="1"/>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'#pervest'!$B$18</c:f>
              <c:strCache>
                <c:ptCount val="1"/>
                <c:pt idx="0">
                  <c:v>2017/18</c:v>
                </c:pt>
              </c:strCache>
            </c:strRef>
          </c:tx>
          <c:spPr>
            <a:solidFill>
              <a:schemeClr val="accent1"/>
            </a:solidFill>
            <a:ln>
              <a:noFill/>
            </a:ln>
            <a:effectLst/>
          </c:spPr>
          <c:invertIfNegative val="0"/>
          <c:dLbls>
            <c:delete val="1"/>
          </c:dLbls>
          <c:cat>
            <c:strRef>
              <c:f>'#pervest'!$A$26:$A$31</c:f>
              <c:strCache>
                <c:ptCount val="6"/>
                <c:pt idx="0">
                  <c:v>HBR</c:v>
                </c:pt>
                <c:pt idx="1">
                  <c:v>Z&amp;W</c:v>
                </c:pt>
                <c:pt idx="2">
                  <c:v>Groen</c:v>
                </c:pt>
                <c:pt idx="3">
                  <c:v>E&amp;O</c:v>
                </c:pt>
                <c:pt idx="4">
                  <c:v>D&amp;P</c:v>
                </c:pt>
                <c:pt idx="5">
                  <c:v>Totaal</c:v>
                </c:pt>
              </c:strCache>
            </c:strRef>
          </c:cat>
          <c:val>
            <c:numRef>
              <c:f>'#pervest'!$B$26:$B$31</c:f>
              <c:numCache>
                <c:formatCode>0.0</c:formatCode>
                <c:ptCount val="6"/>
                <c:pt idx="0">
                  <c:v>3.8105263157894735</c:v>
                </c:pt>
                <c:pt idx="1">
                  <c:v>7.8701754385964913</c:v>
                </c:pt>
                <c:pt idx="2">
                  <c:v>19.75</c:v>
                </c:pt>
                <c:pt idx="3">
                  <c:v>4.2044444444444444</c:v>
                </c:pt>
                <c:pt idx="4">
                  <c:v>7.5</c:v>
                </c:pt>
                <c:pt idx="5">
                  <c:v>17.010000000000002</c:v>
                </c:pt>
              </c:numCache>
            </c:numRef>
          </c:val>
          <c:extLst>
            <c:ext xmlns:c16="http://schemas.microsoft.com/office/drawing/2014/chart" uri="{C3380CC4-5D6E-409C-BE32-E72D297353CC}">
              <c16:uniqueId val="{00000000-5CB6-4432-A6F7-52ED6119B252}"/>
            </c:ext>
          </c:extLst>
        </c:ser>
        <c:ser>
          <c:idx val="1"/>
          <c:order val="1"/>
          <c:tx>
            <c:strRef>
              <c:f>'#pervest'!$C$18</c:f>
              <c:strCache>
                <c:ptCount val="1"/>
                <c:pt idx="0">
                  <c:v>2018/19</c:v>
                </c:pt>
              </c:strCache>
            </c:strRef>
          </c:tx>
          <c:spPr>
            <a:solidFill>
              <a:schemeClr val="accent2"/>
            </a:solidFill>
            <a:ln>
              <a:noFill/>
            </a:ln>
            <a:effectLst/>
          </c:spPr>
          <c:invertIfNegative val="0"/>
          <c:dLbls>
            <c:dLbl>
              <c:idx val="0"/>
              <c:tx>
                <c:rich>
                  <a:bodyPr/>
                  <a:lstStyle/>
                  <a:p>
                    <a:fld id="{A8187A1B-C889-4DB3-BBD8-5A9E61229F2E}" type="CELLRANGE">
                      <a:rPr lang="en-US"/>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5CB6-4432-A6F7-52ED6119B252}"/>
                </c:ext>
              </c:extLst>
            </c:dLbl>
            <c:dLbl>
              <c:idx val="1"/>
              <c:tx>
                <c:rich>
                  <a:bodyPr/>
                  <a:lstStyle/>
                  <a:p>
                    <a:fld id="{7C04FCC7-E92E-410F-BAF1-FF2B8AC0A8C7}"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5CB6-4432-A6F7-52ED6119B252}"/>
                </c:ext>
              </c:extLst>
            </c:dLbl>
            <c:dLbl>
              <c:idx val="2"/>
              <c:tx>
                <c:rich>
                  <a:bodyPr/>
                  <a:lstStyle/>
                  <a:p>
                    <a:fld id="{70571496-54AF-4611-B68F-1B1FC702A8EA}"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5CB6-4432-A6F7-52ED6119B252}"/>
                </c:ext>
              </c:extLst>
            </c:dLbl>
            <c:dLbl>
              <c:idx val="3"/>
              <c:tx>
                <c:rich>
                  <a:bodyPr/>
                  <a:lstStyle/>
                  <a:p>
                    <a:fld id="{190BC20E-B233-4B71-B758-299926E322C4}"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5CB6-4432-A6F7-52ED6119B252}"/>
                </c:ext>
              </c:extLst>
            </c:dLbl>
            <c:dLbl>
              <c:idx val="4"/>
              <c:tx>
                <c:rich>
                  <a:bodyPr/>
                  <a:lstStyle/>
                  <a:p>
                    <a:fld id="{151C3ADA-244E-46C6-80AE-F15114AD9166}"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5CB6-4432-A6F7-52ED6119B252}"/>
                </c:ext>
              </c:extLst>
            </c:dLbl>
            <c:dLbl>
              <c:idx val="5"/>
              <c:tx>
                <c:rich>
                  <a:bodyPr/>
                  <a:lstStyle/>
                  <a:p>
                    <a:fld id="{10FF8EEE-E5AD-451A-A094-9F1A2CEBC359}"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5CB6-4432-A6F7-52ED6119B25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'#pervest'!$A$26:$A$31</c:f>
              <c:strCache>
                <c:ptCount val="6"/>
                <c:pt idx="0">
                  <c:v>HBR</c:v>
                </c:pt>
                <c:pt idx="1">
                  <c:v>Z&amp;W</c:v>
                </c:pt>
                <c:pt idx="2">
                  <c:v>Groen</c:v>
                </c:pt>
                <c:pt idx="3">
                  <c:v>E&amp;O</c:v>
                </c:pt>
                <c:pt idx="4">
                  <c:v>D&amp;P</c:v>
                </c:pt>
                <c:pt idx="5">
                  <c:v>Totaal</c:v>
                </c:pt>
              </c:strCache>
            </c:strRef>
          </c:cat>
          <c:val>
            <c:numRef>
              <c:f>'#pervest'!$C$26:$C$31</c:f>
              <c:numCache>
                <c:formatCode>0.0</c:formatCode>
                <c:ptCount val="6"/>
                <c:pt idx="0">
                  <c:v>3.9894736842105263</c:v>
                </c:pt>
                <c:pt idx="1">
                  <c:v>7.3071428571428569</c:v>
                </c:pt>
                <c:pt idx="2">
                  <c:v>17.711111111111112</c:v>
                </c:pt>
                <c:pt idx="3">
                  <c:v>4.2681818181818185</c:v>
                </c:pt>
                <c:pt idx="4">
                  <c:v>7.4</c:v>
                </c:pt>
                <c:pt idx="5">
                  <c:v>16.121212121212121</c:v>
                </c:pt>
              </c:numCache>
            </c:numRef>
          </c:val>
          <c:extLst>
            <c:ext xmlns:c15="http://schemas.microsoft.com/office/drawing/2012/chart" uri="{02D57815-91ED-43cb-92C2-25804820EDAC}">
              <c15:datalabelsRange>
                <c15:f>'#pervest'!$N$26:$N$31</c15:f>
                <c15:dlblRangeCache>
                  <c:ptCount val="6"/>
                  <c:pt idx="0">
                    <c:v>+5</c:v>
                  </c:pt>
                  <c:pt idx="1">
                    <c:v>-7</c:v>
                  </c:pt>
                  <c:pt idx="2">
                    <c:v>-10</c:v>
                  </c:pt>
                  <c:pt idx="3">
                    <c:v>+2</c:v>
                  </c:pt>
                  <c:pt idx="4">
                    <c:v>-1</c:v>
                  </c:pt>
                  <c:pt idx="5">
                    <c:v>-5</c:v>
                  </c:pt>
                </c15:dlblRangeCache>
              </c15:datalabelsRange>
            </c:ext>
            <c:ext xmlns:c16="http://schemas.microsoft.com/office/drawing/2014/chart" uri="{C3380CC4-5D6E-409C-BE32-E72D297353CC}">
              <c16:uniqueId val="{00000007-5CB6-4432-A6F7-52ED6119B252}"/>
            </c:ext>
          </c:extLst>
        </c:ser>
        <c:ser>
          <c:idx val="2"/>
          <c:order val="2"/>
          <c:tx>
            <c:strRef>
              <c:f>'#pervest'!$D$18</c:f>
              <c:strCache>
                <c:ptCount val="1"/>
                <c:pt idx="0">
                  <c:v>2019/20</c:v>
                </c:pt>
              </c:strCache>
            </c:strRef>
          </c:tx>
          <c:spPr>
            <a:solidFill>
              <a:schemeClr val="accent3"/>
            </a:solidFill>
            <a:ln>
              <a:noFill/>
            </a:ln>
            <a:effectLst/>
          </c:spPr>
          <c:invertIfNegative val="0"/>
          <c:dLbls>
            <c:dLbl>
              <c:idx val="0"/>
              <c:tx>
                <c:rich>
                  <a:bodyPr/>
                  <a:lstStyle/>
                  <a:p>
                    <a:fld id="{88A88F7F-5188-4D48-891A-3735B148EA82}" type="CELLRANGE">
                      <a:rPr lang="en-US"/>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5CB6-4432-A6F7-52ED6119B252}"/>
                </c:ext>
              </c:extLst>
            </c:dLbl>
            <c:dLbl>
              <c:idx val="1"/>
              <c:tx>
                <c:rich>
                  <a:bodyPr/>
                  <a:lstStyle/>
                  <a:p>
                    <a:fld id="{3D8EA8A8-9B47-4676-8E0A-F7A1CE5720AE}"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5CB6-4432-A6F7-52ED6119B252}"/>
                </c:ext>
              </c:extLst>
            </c:dLbl>
            <c:dLbl>
              <c:idx val="2"/>
              <c:tx>
                <c:rich>
                  <a:bodyPr/>
                  <a:lstStyle/>
                  <a:p>
                    <a:fld id="{1EC99A49-5E11-462F-AF80-923B0015214D}"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5CB6-4432-A6F7-52ED6119B252}"/>
                </c:ext>
              </c:extLst>
            </c:dLbl>
            <c:dLbl>
              <c:idx val="3"/>
              <c:tx>
                <c:rich>
                  <a:bodyPr/>
                  <a:lstStyle/>
                  <a:p>
                    <a:fld id="{20A9BD02-EF04-40B3-A43D-5C8F22329F77}"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5CB6-4432-A6F7-52ED6119B252}"/>
                </c:ext>
              </c:extLst>
            </c:dLbl>
            <c:dLbl>
              <c:idx val="4"/>
              <c:tx>
                <c:rich>
                  <a:bodyPr/>
                  <a:lstStyle/>
                  <a:p>
                    <a:fld id="{1B32F110-6F3D-4C72-A7BE-BC200CF05454}"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5CB6-4432-A6F7-52ED6119B252}"/>
                </c:ext>
              </c:extLst>
            </c:dLbl>
            <c:dLbl>
              <c:idx val="5"/>
              <c:tx>
                <c:rich>
                  <a:bodyPr/>
                  <a:lstStyle/>
                  <a:p>
                    <a:fld id="{73F0FC8A-C8E5-4CD0-90E1-E1B6A5A5BFCD}"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5CB6-4432-A6F7-52ED6119B25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'#pervest'!$A$26:$A$31</c:f>
              <c:strCache>
                <c:ptCount val="6"/>
                <c:pt idx="0">
                  <c:v>HBR</c:v>
                </c:pt>
                <c:pt idx="1">
                  <c:v>Z&amp;W</c:v>
                </c:pt>
                <c:pt idx="2">
                  <c:v>Groen</c:v>
                </c:pt>
                <c:pt idx="3">
                  <c:v>E&amp;O</c:v>
                </c:pt>
                <c:pt idx="4">
                  <c:v>D&amp;P</c:v>
                </c:pt>
                <c:pt idx="5">
                  <c:v>Totaal</c:v>
                </c:pt>
              </c:strCache>
            </c:strRef>
          </c:cat>
          <c:val>
            <c:numRef>
              <c:f>'#pervest'!$D$26:$D$31</c:f>
              <c:numCache>
                <c:formatCode>_(* #,##0.00_);_(* \(#,##0.00\);_(* "-"??_);_(@_)</c:formatCode>
                <c:ptCount val="6"/>
                <c:pt idx="0">
                  <c:v>3.8095238095238093</c:v>
                </c:pt>
                <c:pt idx="1">
                  <c:v>7.1745454545454548</c:v>
                </c:pt>
                <c:pt idx="2">
                  <c:v>19.555555555555557</c:v>
                </c:pt>
                <c:pt idx="3">
                  <c:v>4.2266666666666666</c:v>
                </c:pt>
                <c:pt idx="4">
                  <c:v>8.0749999999999993</c:v>
                </c:pt>
                <c:pt idx="5">
                  <c:v>16.734375</c:v>
                </c:pt>
              </c:numCache>
            </c:numRef>
          </c:val>
          <c:extLst>
            <c:ext xmlns:c15="http://schemas.microsoft.com/office/drawing/2012/chart" uri="{02D57815-91ED-43cb-92C2-25804820EDAC}">
              <c15:datalabelsRange>
                <c15:f>'#pervest'!$O$26:$O$31</c15:f>
                <c15:dlblRangeCache>
                  <c:ptCount val="6"/>
                  <c:pt idx="0">
                    <c:v>-5</c:v>
                  </c:pt>
                  <c:pt idx="1">
                    <c:v>-2</c:v>
                  </c:pt>
                  <c:pt idx="2">
                    <c:v>+10</c:v>
                  </c:pt>
                  <c:pt idx="3">
                    <c:v>-1</c:v>
                  </c:pt>
                  <c:pt idx="4">
                    <c:v>+9</c:v>
                  </c:pt>
                  <c:pt idx="5">
                    <c:v>+4</c:v>
                  </c:pt>
                </c15:dlblRangeCache>
              </c15:datalabelsRange>
            </c:ext>
            <c:ext xmlns:c16="http://schemas.microsoft.com/office/drawing/2014/chart" uri="{C3380CC4-5D6E-409C-BE32-E72D297353CC}">
              <c16:uniqueId val="{0000000E-5CB6-4432-A6F7-52ED6119B252}"/>
            </c:ext>
          </c:extLst>
        </c:ser>
        <c:ser>
          <c:idx val="3"/>
          <c:order val="3"/>
          <c:tx>
            <c:strRef>
              <c:f>'#pervest'!$E$18</c:f>
              <c:strCache>
                <c:ptCount val="1"/>
                <c:pt idx="0">
                  <c:v>2020/21</c:v>
                </c:pt>
              </c:strCache>
            </c:strRef>
          </c:tx>
          <c:spPr>
            <a:solidFill>
              <a:schemeClr val="accent4"/>
            </a:solidFill>
            <a:ln>
              <a:noFill/>
            </a:ln>
            <a:effectLst/>
          </c:spPr>
          <c:invertIfNegative val="0"/>
          <c:dLbls>
            <c:dLbl>
              <c:idx val="0"/>
              <c:tx>
                <c:rich>
                  <a:bodyPr/>
                  <a:lstStyle/>
                  <a:p>
                    <a:fld id="{4B6F67B7-CF65-4272-BDE3-C2CC47C7A462}" type="CELLRANGE">
                      <a:rPr lang="en-US"/>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5CB6-4432-A6F7-52ED6119B252}"/>
                </c:ext>
              </c:extLst>
            </c:dLbl>
            <c:dLbl>
              <c:idx val="1"/>
              <c:tx>
                <c:rich>
                  <a:bodyPr/>
                  <a:lstStyle/>
                  <a:p>
                    <a:fld id="{A0B44026-4216-4214-A48F-87F26DDF700F}"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5CB6-4432-A6F7-52ED6119B252}"/>
                </c:ext>
              </c:extLst>
            </c:dLbl>
            <c:dLbl>
              <c:idx val="2"/>
              <c:tx>
                <c:rich>
                  <a:bodyPr/>
                  <a:lstStyle/>
                  <a:p>
                    <a:fld id="{2016B45C-2667-47EA-BE63-7876015E76B5}"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5CB6-4432-A6F7-52ED6119B252}"/>
                </c:ext>
              </c:extLst>
            </c:dLbl>
            <c:dLbl>
              <c:idx val="3"/>
              <c:tx>
                <c:rich>
                  <a:bodyPr/>
                  <a:lstStyle/>
                  <a:p>
                    <a:fld id="{4DF97A22-8E12-4FA0-A71C-6DD3A557879B}"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5CB6-4432-A6F7-52ED6119B252}"/>
                </c:ext>
              </c:extLst>
            </c:dLbl>
            <c:dLbl>
              <c:idx val="4"/>
              <c:tx>
                <c:rich>
                  <a:bodyPr/>
                  <a:lstStyle/>
                  <a:p>
                    <a:fld id="{AE01E244-1C23-485C-91F4-9BC9F2055FB8}"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5CB6-4432-A6F7-52ED6119B252}"/>
                </c:ext>
              </c:extLst>
            </c:dLbl>
            <c:dLbl>
              <c:idx val="5"/>
              <c:tx>
                <c:rich>
                  <a:bodyPr/>
                  <a:lstStyle/>
                  <a:p>
                    <a:fld id="{429CC193-8CE6-4C8B-966C-A962A03ED051}"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5CB6-4432-A6F7-52ED6119B25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'#pervest'!$A$26:$A$31</c:f>
              <c:strCache>
                <c:ptCount val="6"/>
                <c:pt idx="0">
                  <c:v>HBR</c:v>
                </c:pt>
                <c:pt idx="1">
                  <c:v>Z&amp;W</c:v>
                </c:pt>
                <c:pt idx="2">
                  <c:v>Groen</c:v>
                </c:pt>
                <c:pt idx="3">
                  <c:v>E&amp;O</c:v>
                </c:pt>
                <c:pt idx="4">
                  <c:v>D&amp;P</c:v>
                </c:pt>
                <c:pt idx="5">
                  <c:v>Totaal</c:v>
                </c:pt>
              </c:strCache>
            </c:strRef>
          </c:cat>
          <c:val>
            <c:numRef>
              <c:f>'#pervest'!$E$26:$E$31</c:f>
              <c:numCache>
                <c:formatCode>_(* #,##0.00_);_(* \(#,##0.00\);_(* "-"??_);_(@_)</c:formatCode>
                <c:ptCount val="6"/>
                <c:pt idx="0">
                  <c:v>3.92</c:v>
                </c:pt>
                <c:pt idx="1">
                  <c:v>5.5955555555555554</c:v>
                </c:pt>
                <c:pt idx="2">
                  <c:v>17.044444444444444</c:v>
                </c:pt>
                <c:pt idx="3">
                  <c:v>4.0619047619047617</c:v>
                </c:pt>
                <c:pt idx="4">
                  <c:v>7.915</c:v>
                </c:pt>
                <c:pt idx="5">
                  <c:v>14.796721311475411</c:v>
                </c:pt>
              </c:numCache>
            </c:numRef>
          </c:val>
          <c:extLst>
            <c:ext xmlns:c15="http://schemas.microsoft.com/office/drawing/2012/chart" uri="{02D57815-91ED-43cb-92C2-25804820EDAC}">
              <c15:datalabelsRange>
                <c15:f>'#pervest'!$P$26:$P$31</c15:f>
                <c15:dlblRangeCache>
                  <c:ptCount val="6"/>
                  <c:pt idx="0">
                    <c:v>+3</c:v>
                  </c:pt>
                  <c:pt idx="1">
                    <c:v>-22</c:v>
                  </c:pt>
                  <c:pt idx="2">
                    <c:v>-13</c:v>
                  </c:pt>
                  <c:pt idx="3">
                    <c:v>-4</c:v>
                  </c:pt>
                  <c:pt idx="4">
                    <c:v>-2</c:v>
                  </c:pt>
                  <c:pt idx="5">
                    <c:v>-12</c:v>
                  </c:pt>
                </c15:dlblRangeCache>
              </c15:datalabelsRange>
            </c:ext>
            <c:ext xmlns:c16="http://schemas.microsoft.com/office/drawing/2014/chart" uri="{C3380CC4-5D6E-409C-BE32-E72D297353CC}">
              <c16:uniqueId val="{00000015-5CB6-4432-A6F7-52ED6119B252}"/>
            </c:ext>
          </c:extLst>
        </c:ser>
        <c:ser>
          <c:idx val="4"/>
          <c:order val="4"/>
          <c:tx>
            <c:strRef>
              <c:f>'#pervest'!$F$18</c:f>
              <c:strCache>
                <c:ptCount val="1"/>
                <c:pt idx="0">
                  <c:v>2021/22</c:v>
                </c:pt>
              </c:strCache>
            </c:strRef>
          </c:tx>
          <c:spPr>
            <a:solidFill>
              <a:schemeClr val="accent5"/>
            </a:solidFill>
            <a:ln>
              <a:noFill/>
            </a:ln>
            <a:effectLst/>
          </c:spPr>
          <c:invertIfNegative val="0"/>
          <c:dLbls>
            <c:dLbl>
              <c:idx val="0"/>
              <c:tx>
                <c:rich>
                  <a:bodyPr/>
                  <a:lstStyle/>
                  <a:p>
                    <a:fld id="{9B0D8CF4-5CBC-46B4-8DCE-143B1686B2EA}" type="CELLRANGE">
                      <a:rPr lang="en-US"/>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5CB6-4432-A6F7-52ED6119B252}"/>
                </c:ext>
              </c:extLst>
            </c:dLbl>
            <c:dLbl>
              <c:idx val="1"/>
              <c:tx>
                <c:rich>
                  <a:bodyPr/>
                  <a:lstStyle/>
                  <a:p>
                    <a:fld id="{8B5CE32D-E50C-4D91-9D9F-ECFD7BD0AEC9}"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5CB6-4432-A6F7-52ED6119B252}"/>
                </c:ext>
              </c:extLst>
            </c:dLbl>
            <c:dLbl>
              <c:idx val="2"/>
              <c:tx>
                <c:rich>
                  <a:bodyPr/>
                  <a:lstStyle/>
                  <a:p>
                    <a:fld id="{449A6205-0C0C-43A9-9395-26CFA2B19149}"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5CB6-4432-A6F7-52ED6119B252}"/>
                </c:ext>
              </c:extLst>
            </c:dLbl>
            <c:dLbl>
              <c:idx val="3"/>
              <c:tx>
                <c:rich>
                  <a:bodyPr/>
                  <a:lstStyle/>
                  <a:p>
                    <a:fld id="{03ED0081-B8E5-4760-92A5-4F0E66CE3A28}"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5CB6-4432-A6F7-52ED6119B252}"/>
                </c:ext>
              </c:extLst>
            </c:dLbl>
            <c:dLbl>
              <c:idx val="4"/>
              <c:tx>
                <c:rich>
                  <a:bodyPr/>
                  <a:lstStyle/>
                  <a:p>
                    <a:fld id="{3962122D-FE89-494A-B5BF-3688340FBA9D}"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5CB6-4432-A6F7-52ED6119B252}"/>
                </c:ext>
              </c:extLst>
            </c:dLbl>
            <c:dLbl>
              <c:idx val="5"/>
              <c:tx>
                <c:rich>
                  <a:bodyPr/>
                  <a:lstStyle/>
                  <a:p>
                    <a:fld id="{6455A7E3-1FE6-4850-AFBC-70BAD839291E}"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5CB6-4432-A6F7-52ED6119B25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'#pervest'!$A$26:$A$31</c:f>
              <c:strCache>
                <c:ptCount val="6"/>
                <c:pt idx="0">
                  <c:v>HBR</c:v>
                </c:pt>
                <c:pt idx="1">
                  <c:v>Z&amp;W</c:v>
                </c:pt>
                <c:pt idx="2">
                  <c:v>Groen</c:v>
                </c:pt>
                <c:pt idx="3">
                  <c:v>E&amp;O</c:v>
                </c:pt>
                <c:pt idx="4">
                  <c:v>D&amp;P</c:v>
                </c:pt>
                <c:pt idx="5">
                  <c:v>Totaal</c:v>
                </c:pt>
              </c:strCache>
            </c:strRef>
          </c:cat>
          <c:val>
            <c:numRef>
              <c:f>'#pervest'!$F$26:$F$31</c:f>
              <c:numCache>
                <c:formatCode>0.00</c:formatCode>
                <c:ptCount val="6"/>
                <c:pt idx="0">
                  <c:v>3.75</c:v>
                </c:pt>
                <c:pt idx="1">
                  <c:v>5.7254901960784315</c:v>
                </c:pt>
                <c:pt idx="2">
                  <c:v>20.714285714285715</c:v>
                </c:pt>
                <c:pt idx="3">
                  <c:v>3.9380952380952383</c:v>
                </c:pt>
                <c:pt idx="4">
                  <c:v>7.7609756097560973</c:v>
                </c:pt>
                <c:pt idx="5">
                  <c:v>14.774603174603175</c:v>
                </c:pt>
              </c:numCache>
            </c:numRef>
          </c:val>
          <c:extLst>
            <c:ext xmlns:c15="http://schemas.microsoft.com/office/drawing/2012/chart" uri="{02D57815-91ED-43cb-92C2-25804820EDAC}">
              <c15:datalabelsRange>
                <c15:f>'#pervest'!$Q$26:$Q$31</c15:f>
                <c15:dlblRangeCache>
                  <c:ptCount val="6"/>
                  <c:pt idx="0">
                    <c:v>-4</c:v>
                  </c:pt>
                  <c:pt idx="1">
                    <c:v>+2</c:v>
                  </c:pt>
                  <c:pt idx="2">
                    <c:v>+22</c:v>
                  </c:pt>
                  <c:pt idx="3">
                    <c:v>-3</c:v>
                  </c:pt>
                  <c:pt idx="4">
                    <c:v>-2</c:v>
                  </c:pt>
                  <c:pt idx="5">
                    <c:v>0</c:v>
                  </c:pt>
                </c15:dlblRangeCache>
              </c15:datalabelsRange>
            </c:ext>
            <c:ext xmlns:c16="http://schemas.microsoft.com/office/drawing/2014/chart" uri="{C3380CC4-5D6E-409C-BE32-E72D297353CC}">
              <c16:uniqueId val="{0000001C-5CB6-4432-A6F7-52ED6119B252}"/>
            </c:ext>
          </c:extLst>
        </c:ser>
        <c:ser>
          <c:idx val="5"/>
          <c:order val="5"/>
          <c:tx>
            <c:strRef>
              <c:f>'#pervest'!$G$18</c:f>
              <c:strCache>
                <c:ptCount val="1"/>
                <c:pt idx="0">
                  <c:v>2022/23</c:v>
                </c:pt>
              </c:strCache>
            </c:strRef>
          </c:tx>
          <c:spPr>
            <a:solidFill>
              <a:schemeClr val="accent6"/>
            </a:solidFill>
            <a:ln>
              <a:noFill/>
            </a:ln>
            <a:effectLst/>
          </c:spPr>
          <c:invertIfNegative val="0"/>
          <c:dLbls>
            <c:dLbl>
              <c:idx val="0"/>
              <c:tx>
                <c:rich>
                  <a:bodyPr/>
                  <a:lstStyle/>
                  <a:p>
                    <a:fld id="{73A50938-4E1F-4022-8240-0E62D4551327}" type="CELLRANGE">
                      <a:rPr lang="en-US"/>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D-5CB6-4432-A6F7-52ED6119B252}"/>
                </c:ext>
              </c:extLst>
            </c:dLbl>
            <c:dLbl>
              <c:idx val="1"/>
              <c:tx>
                <c:rich>
                  <a:bodyPr/>
                  <a:lstStyle/>
                  <a:p>
                    <a:fld id="{3B5B88A6-06C9-480F-8A14-911D4A0149B0}"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5CB6-4432-A6F7-52ED6119B252}"/>
                </c:ext>
              </c:extLst>
            </c:dLbl>
            <c:dLbl>
              <c:idx val="2"/>
              <c:tx>
                <c:rich>
                  <a:bodyPr/>
                  <a:lstStyle/>
                  <a:p>
                    <a:fld id="{81E975E8-A9A0-493E-A933-2593018B0D55}"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5CB6-4432-A6F7-52ED6119B252}"/>
                </c:ext>
              </c:extLst>
            </c:dLbl>
            <c:dLbl>
              <c:idx val="3"/>
              <c:tx>
                <c:rich>
                  <a:bodyPr/>
                  <a:lstStyle/>
                  <a:p>
                    <a:fld id="{5F9129C0-6C51-40D9-84E1-F0DD3B4AD6F5}"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5CB6-4432-A6F7-52ED6119B252}"/>
                </c:ext>
              </c:extLst>
            </c:dLbl>
            <c:dLbl>
              <c:idx val="4"/>
              <c:tx>
                <c:rich>
                  <a:bodyPr/>
                  <a:lstStyle/>
                  <a:p>
                    <a:fld id="{91E64395-BD2C-4C71-8E92-90CE6D88AAE7}"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5CB6-4432-A6F7-52ED6119B252}"/>
                </c:ext>
              </c:extLst>
            </c:dLbl>
            <c:dLbl>
              <c:idx val="5"/>
              <c:tx>
                <c:rich>
                  <a:bodyPr/>
                  <a:lstStyle/>
                  <a:p>
                    <a:fld id="{68D5CA58-13E4-4FAE-8513-164C2FFA7B5D}"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5CB6-4432-A6F7-52ED6119B25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'#pervest'!$A$26:$A$31</c:f>
              <c:strCache>
                <c:ptCount val="6"/>
                <c:pt idx="0">
                  <c:v>HBR</c:v>
                </c:pt>
                <c:pt idx="1">
                  <c:v>Z&amp;W</c:v>
                </c:pt>
                <c:pt idx="2">
                  <c:v>Groen</c:v>
                </c:pt>
                <c:pt idx="3">
                  <c:v>E&amp;O</c:v>
                </c:pt>
                <c:pt idx="4">
                  <c:v>D&amp;P</c:v>
                </c:pt>
                <c:pt idx="5">
                  <c:v>Totaal</c:v>
                </c:pt>
              </c:strCache>
            </c:strRef>
          </c:cat>
          <c:val>
            <c:numRef>
              <c:f>'#pervest'!$G$26:$G$31</c:f>
              <c:numCache>
                <c:formatCode>0.00</c:formatCode>
                <c:ptCount val="6"/>
                <c:pt idx="0">
                  <c:v>3.8857142857142857</c:v>
                </c:pt>
                <c:pt idx="1">
                  <c:v>5.9882352941176471</c:v>
                </c:pt>
                <c:pt idx="2">
                  <c:v>23.4</c:v>
                </c:pt>
                <c:pt idx="3">
                  <c:v>3.9641025641025642</c:v>
                </c:pt>
                <c:pt idx="4">
                  <c:v>8.2100000000000009</c:v>
                </c:pt>
                <c:pt idx="5">
                  <c:v>16.00655737704918</c:v>
                </c:pt>
              </c:numCache>
            </c:numRef>
          </c:val>
          <c:extLst>
            <c:ext xmlns:c15="http://schemas.microsoft.com/office/drawing/2012/chart" uri="{02D57815-91ED-43cb-92C2-25804820EDAC}">
              <c15:datalabelsRange>
                <c15:f>'#pervest'!$R$26:$R$31</c15:f>
                <c15:dlblRangeCache>
                  <c:ptCount val="6"/>
                  <c:pt idx="0">
                    <c:v>+4</c:v>
                  </c:pt>
                  <c:pt idx="1">
                    <c:v>+5</c:v>
                  </c:pt>
                  <c:pt idx="2">
                    <c:v>+13</c:v>
                  </c:pt>
                  <c:pt idx="3">
                    <c:v>+1</c:v>
                  </c:pt>
                  <c:pt idx="4">
                    <c:v>+6</c:v>
                  </c:pt>
                  <c:pt idx="5">
                    <c:v>+8</c:v>
                  </c:pt>
                </c15:dlblRangeCache>
              </c15:datalabelsRange>
            </c:ext>
            <c:ext xmlns:c16="http://schemas.microsoft.com/office/drawing/2014/chart" uri="{C3380CC4-5D6E-409C-BE32-E72D297353CC}">
              <c16:uniqueId val="{00000023-5CB6-4432-A6F7-52ED6119B252}"/>
            </c:ext>
          </c:extLst>
        </c:ser>
        <c:dLbls>
          <c:dLblPos val="outEnd"/>
          <c:showLegendKey val="0"/>
          <c:showVal val="1"/>
          <c:showCatName val="0"/>
          <c:showSerName val="0"/>
          <c:showPercent val="0"/>
          <c:showBubbleSize val="0"/>
        </c:dLbls>
        <c:gapWidth val="150"/>
        <c:overlap val="-20"/>
        <c:axId val="2108441199"/>
        <c:axId val="2108441615"/>
      </c:barChart>
      <c:catAx>
        <c:axId val="2108441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08441615"/>
        <c:crosses val="autoZero"/>
        <c:auto val="1"/>
        <c:lblAlgn val="ctr"/>
        <c:lblOffset val="100"/>
        <c:noMultiLvlLbl val="0"/>
      </c:catAx>
      <c:valAx>
        <c:axId val="210844161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08441199"/>
        <c:crosses val="autoZero"/>
        <c:crossBetween val="between"/>
      </c:valAx>
      <c:spPr>
        <a:noFill/>
        <a:ln>
          <a:noFill/>
        </a:ln>
        <a:effectLst/>
      </c:spPr>
    </c:plotArea>
    <c:legend>
      <c:legendPos val="l"/>
      <c:layout>
        <c:manualLayout>
          <c:xMode val="edge"/>
          <c:yMode val="edge"/>
          <c:x val="8.5989583333333328E-2"/>
          <c:y val="0.27880729166666662"/>
          <c:w val="0.10294648852061397"/>
          <c:h val="0.46979367036580355"/>
        </c:manualLayout>
      </c:layout>
      <c:overlay val="1"/>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'#perregio'!$B$2</c:f>
              <c:strCache>
                <c:ptCount val="1"/>
                <c:pt idx="0">
                  <c:v>2017/18</c:v>
                </c:pt>
              </c:strCache>
            </c:strRef>
          </c:tx>
          <c:spPr>
            <a:solidFill>
              <a:schemeClr val="accent1"/>
            </a:solidFill>
            <a:ln>
              <a:noFill/>
            </a:ln>
            <a:effectLst/>
          </c:spPr>
          <c:invertIfNegative val="0"/>
          <c:dLbls>
            <c:delete val="1"/>
          </c:dLbls>
          <c:cat>
            <c:strRef>
              <c:f>'#perregio'!$A$10:$A$15</c:f>
              <c:strCache>
                <c:ptCount val="6"/>
                <c:pt idx="0">
                  <c:v>HBR</c:v>
                </c:pt>
                <c:pt idx="1">
                  <c:v>Z&amp;W</c:v>
                </c:pt>
                <c:pt idx="2">
                  <c:v>Groen</c:v>
                </c:pt>
                <c:pt idx="3">
                  <c:v>E&amp;O</c:v>
                </c:pt>
                <c:pt idx="4">
                  <c:v>D&amp;P</c:v>
                </c:pt>
                <c:pt idx="5">
                  <c:v>Totaal</c:v>
                </c:pt>
              </c:strCache>
            </c:strRef>
          </c:cat>
          <c:val>
            <c:numRef>
              <c:f>'#perregio'!$B$10:$B$15</c:f>
              <c:numCache>
                <c:formatCode>0.0</c:formatCode>
                <c:ptCount val="6"/>
                <c:pt idx="0">
                  <c:v>3.95</c:v>
                </c:pt>
                <c:pt idx="1">
                  <c:v>24.01</c:v>
                </c:pt>
                <c:pt idx="2">
                  <c:v>7.14</c:v>
                </c:pt>
                <c:pt idx="3">
                  <c:v>10.029999999999999</c:v>
                </c:pt>
                <c:pt idx="4">
                  <c:v>15.69</c:v>
                </c:pt>
                <c:pt idx="5">
                  <c:v>56.38</c:v>
                </c:pt>
              </c:numCache>
            </c:numRef>
          </c:val>
          <c:extLst>
            <c:ext xmlns:c16="http://schemas.microsoft.com/office/drawing/2014/chart" uri="{C3380CC4-5D6E-409C-BE32-E72D297353CC}">
              <c16:uniqueId val="{00000000-0407-4CD9-B8AE-E269833E3ED9}"/>
            </c:ext>
          </c:extLst>
        </c:ser>
        <c:ser>
          <c:idx val="1"/>
          <c:order val="1"/>
          <c:tx>
            <c:strRef>
              <c:f>'#perregio'!$C$2</c:f>
              <c:strCache>
                <c:ptCount val="1"/>
                <c:pt idx="0">
                  <c:v>2018/19</c:v>
                </c:pt>
              </c:strCache>
            </c:strRef>
          </c:tx>
          <c:spPr>
            <a:solidFill>
              <a:schemeClr val="accent2"/>
            </a:solidFill>
            <a:ln>
              <a:noFill/>
            </a:ln>
            <a:effectLst/>
          </c:spPr>
          <c:invertIfNegative val="0"/>
          <c:dLbls>
            <c:dLbl>
              <c:idx val="0"/>
              <c:tx>
                <c:rich>
                  <a:bodyPr/>
                  <a:lstStyle/>
                  <a:p>
                    <a:fld id="{7F10D706-7263-419F-BB1E-03319D34474F}" type="CELLRANGE">
                      <a:rPr lang="en-US"/>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0407-4CD9-B8AE-E269833E3ED9}"/>
                </c:ext>
              </c:extLst>
            </c:dLbl>
            <c:dLbl>
              <c:idx val="1"/>
              <c:tx>
                <c:rich>
                  <a:bodyPr/>
                  <a:lstStyle/>
                  <a:p>
                    <a:fld id="{3DB01780-23B3-4193-888A-D39CDBFCBEA0}"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0407-4CD9-B8AE-E269833E3ED9}"/>
                </c:ext>
              </c:extLst>
            </c:dLbl>
            <c:dLbl>
              <c:idx val="2"/>
              <c:tx>
                <c:rich>
                  <a:bodyPr/>
                  <a:lstStyle/>
                  <a:p>
                    <a:fld id="{E2534066-2689-437D-B8ED-82C09EE4307A}"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0407-4CD9-B8AE-E269833E3ED9}"/>
                </c:ext>
              </c:extLst>
            </c:dLbl>
            <c:dLbl>
              <c:idx val="3"/>
              <c:tx>
                <c:rich>
                  <a:bodyPr/>
                  <a:lstStyle/>
                  <a:p>
                    <a:fld id="{3486A87A-26D2-47C7-93F4-E4C872D42242}"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0407-4CD9-B8AE-E269833E3ED9}"/>
                </c:ext>
              </c:extLst>
            </c:dLbl>
            <c:dLbl>
              <c:idx val="4"/>
              <c:tx>
                <c:rich>
                  <a:bodyPr/>
                  <a:lstStyle/>
                  <a:p>
                    <a:fld id="{6CD280D8-79E3-4D45-9689-0C6C3A43865C}"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0407-4CD9-B8AE-E269833E3ED9}"/>
                </c:ext>
              </c:extLst>
            </c:dLbl>
            <c:dLbl>
              <c:idx val="5"/>
              <c:tx>
                <c:rich>
                  <a:bodyPr/>
                  <a:lstStyle/>
                  <a:p>
                    <a:fld id="{B8A0BD69-9994-4397-A04F-CCCCF73CC5D7}"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0407-4CD9-B8AE-E269833E3ED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'#perregio'!$A$10:$A$15</c:f>
              <c:strCache>
                <c:ptCount val="6"/>
                <c:pt idx="0">
                  <c:v>HBR</c:v>
                </c:pt>
                <c:pt idx="1">
                  <c:v>Z&amp;W</c:v>
                </c:pt>
                <c:pt idx="2">
                  <c:v>Groen</c:v>
                </c:pt>
                <c:pt idx="3">
                  <c:v>E&amp;O</c:v>
                </c:pt>
                <c:pt idx="4">
                  <c:v>D&amp;P</c:v>
                </c:pt>
                <c:pt idx="5">
                  <c:v>Totaal</c:v>
                </c:pt>
              </c:strCache>
            </c:strRef>
          </c:cat>
          <c:val>
            <c:numRef>
              <c:f>'#perregio'!$C$10:$C$15</c:f>
              <c:numCache>
                <c:formatCode>0.0</c:formatCode>
                <c:ptCount val="6"/>
                <c:pt idx="0">
                  <c:v>3.86</c:v>
                </c:pt>
                <c:pt idx="1">
                  <c:v>22.7</c:v>
                </c:pt>
                <c:pt idx="2">
                  <c:v>7.81</c:v>
                </c:pt>
                <c:pt idx="3">
                  <c:v>10.119999999999999</c:v>
                </c:pt>
                <c:pt idx="4">
                  <c:v>16.190000000000001</c:v>
                </c:pt>
                <c:pt idx="5">
                  <c:v>56.19</c:v>
                </c:pt>
              </c:numCache>
            </c:numRef>
          </c:val>
          <c:extLst>
            <c:ext xmlns:c15="http://schemas.microsoft.com/office/drawing/2012/chart" uri="{02D57815-91ED-43cb-92C2-25804820EDAC}">
              <c15:datalabelsRange>
                <c15:f>'#perregio'!$N$10:$N$15</c15:f>
                <c15:dlblRangeCache>
                  <c:ptCount val="6"/>
                  <c:pt idx="0">
                    <c:v>-2</c:v>
                  </c:pt>
                  <c:pt idx="1">
                    <c:v>-5</c:v>
                  </c:pt>
                  <c:pt idx="2">
                    <c:v>+9</c:v>
                  </c:pt>
                  <c:pt idx="3">
                    <c:v>+1</c:v>
                  </c:pt>
                  <c:pt idx="4">
                    <c:v>+3</c:v>
                  </c:pt>
                  <c:pt idx="5">
                    <c:v>0</c:v>
                  </c:pt>
                </c15:dlblRangeCache>
              </c15:datalabelsRange>
            </c:ext>
            <c:ext xmlns:c16="http://schemas.microsoft.com/office/drawing/2014/chart" uri="{C3380CC4-5D6E-409C-BE32-E72D297353CC}">
              <c16:uniqueId val="{00000007-0407-4CD9-B8AE-E269833E3ED9}"/>
            </c:ext>
          </c:extLst>
        </c:ser>
        <c:ser>
          <c:idx val="2"/>
          <c:order val="2"/>
          <c:tx>
            <c:strRef>
              <c:f>'#perregio'!$D$2</c:f>
              <c:strCache>
                <c:ptCount val="1"/>
                <c:pt idx="0">
                  <c:v>2019/20</c:v>
                </c:pt>
              </c:strCache>
            </c:strRef>
          </c:tx>
          <c:spPr>
            <a:solidFill>
              <a:schemeClr val="accent3"/>
            </a:solidFill>
            <a:ln>
              <a:noFill/>
            </a:ln>
            <a:effectLst/>
          </c:spPr>
          <c:invertIfNegative val="0"/>
          <c:dLbls>
            <c:dLbl>
              <c:idx val="0"/>
              <c:tx>
                <c:rich>
                  <a:bodyPr/>
                  <a:lstStyle/>
                  <a:p>
                    <a:fld id="{68D594DB-B618-48F2-9E1B-46D27CD73788}" type="CELLRANGE">
                      <a:rPr lang="en-US"/>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0407-4CD9-B8AE-E269833E3ED9}"/>
                </c:ext>
              </c:extLst>
            </c:dLbl>
            <c:dLbl>
              <c:idx val="1"/>
              <c:tx>
                <c:rich>
                  <a:bodyPr/>
                  <a:lstStyle/>
                  <a:p>
                    <a:fld id="{4089E3FE-3273-49FE-B045-5DAEE74E4577}"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0407-4CD9-B8AE-E269833E3ED9}"/>
                </c:ext>
              </c:extLst>
            </c:dLbl>
            <c:dLbl>
              <c:idx val="2"/>
              <c:tx>
                <c:rich>
                  <a:bodyPr/>
                  <a:lstStyle/>
                  <a:p>
                    <a:fld id="{A1B1C1C5-4810-470E-A6F7-BF3A1A6E85FB}"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0407-4CD9-B8AE-E269833E3ED9}"/>
                </c:ext>
              </c:extLst>
            </c:dLbl>
            <c:dLbl>
              <c:idx val="3"/>
              <c:tx>
                <c:rich>
                  <a:bodyPr/>
                  <a:lstStyle/>
                  <a:p>
                    <a:fld id="{136CA428-9CB9-4FEE-B5A8-10790D374351}"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0407-4CD9-B8AE-E269833E3ED9}"/>
                </c:ext>
              </c:extLst>
            </c:dLbl>
            <c:dLbl>
              <c:idx val="4"/>
              <c:tx>
                <c:rich>
                  <a:bodyPr/>
                  <a:lstStyle/>
                  <a:p>
                    <a:fld id="{8CB4FC19-BE9F-46B9-8337-23CA094DE86F}"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0407-4CD9-B8AE-E269833E3ED9}"/>
                </c:ext>
              </c:extLst>
            </c:dLbl>
            <c:dLbl>
              <c:idx val="5"/>
              <c:tx>
                <c:rich>
                  <a:bodyPr/>
                  <a:lstStyle/>
                  <a:p>
                    <a:fld id="{92B0EB13-F497-4901-9312-A296B0F492A1}"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0407-4CD9-B8AE-E269833E3ED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'#perregio'!$A$10:$A$15</c:f>
              <c:strCache>
                <c:ptCount val="6"/>
                <c:pt idx="0">
                  <c:v>HBR</c:v>
                </c:pt>
                <c:pt idx="1">
                  <c:v>Z&amp;W</c:v>
                </c:pt>
                <c:pt idx="2">
                  <c:v>Groen</c:v>
                </c:pt>
                <c:pt idx="3">
                  <c:v>E&amp;O</c:v>
                </c:pt>
                <c:pt idx="4">
                  <c:v>D&amp;P</c:v>
                </c:pt>
                <c:pt idx="5">
                  <c:v>Totaal</c:v>
                </c:pt>
              </c:strCache>
            </c:strRef>
          </c:cat>
          <c:val>
            <c:numRef>
              <c:f>'#perregio'!$D$10:$D$15</c:f>
              <c:numCache>
                <c:formatCode>0.0</c:formatCode>
                <c:ptCount val="6"/>
                <c:pt idx="0">
                  <c:v>4.01</c:v>
                </c:pt>
                <c:pt idx="1">
                  <c:v>22</c:v>
                </c:pt>
                <c:pt idx="2">
                  <c:v>8.9700000000000006</c:v>
                </c:pt>
                <c:pt idx="3">
                  <c:v>9.99</c:v>
                </c:pt>
                <c:pt idx="4">
                  <c:v>15.8</c:v>
                </c:pt>
                <c:pt idx="5">
                  <c:v>56</c:v>
                </c:pt>
              </c:numCache>
            </c:numRef>
          </c:val>
          <c:extLst>
            <c:ext xmlns:c15="http://schemas.microsoft.com/office/drawing/2012/chart" uri="{02D57815-91ED-43cb-92C2-25804820EDAC}">
              <c15:datalabelsRange>
                <c15:f>'#perregio'!$O$10:$O$15</c15:f>
                <c15:dlblRangeCache>
                  <c:ptCount val="6"/>
                  <c:pt idx="0">
                    <c:v>+4</c:v>
                  </c:pt>
                  <c:pt idx="1">
                    <c:v>-3</c:v>
                  </c:pt>
                  <c:pt idx="2">
                    <c:v>+15</c:v>
                  </c:pt>
                  <c:pt idx="3">
                    <c:v>-1</c:v>
                  </c:pt>
                  <c:pt idx="4">
                    <c:v>-2</c:v>
                  </c:pt>
                  <c:pt idx="5">
                    <c:v>0</c:v>
                  </c:pt>
                </c15:dlblRangeCache>
              </c15:datalabelsRange>
            </c:ext>
            <c:ext xmlns:c16="http://schemas.microsoft.com/office/drawing/2014/chart" uri="{C3380CC4-5D6E-409C-BE32-E72D297353CC}">
              <c16:uniqueId val="{0000000E-0407-4CD9-B8AE-E269833E3ED9}"/>
            </c:ext>
          </c:extLst>
        </c:ser>
        <c:ser>
          <c:idx val="3"/>
          <c:order val="3"/>
          <c:tx>
            <c:strRef>
              <c:f>'#perregio'!$E$2</c:f>
              <c:strCache>
                <c:ptCount val="1"/>
                <c:pt idx="0">
                  <c:v>2020/21</c:v>
                </c:pt>
              </c:strCache>
            </c:strRef>
          </c:tx>
          <c:spPr>
            <a:solidFill>
              <a:schemeClr val="accent4"/>
            </a:solidFill>
            <a:ln>
              <a:noFill/>
            </a:ln>
            <a:effectLst/>
          </c:spPr>
          <c:invertIfNegative val="0"/>
          <c:dLbls>
            <c:dLbl>
              <c:idx val="0"/>
              <c:tx>
                <c:rich>
                  <a:bodyPr/>
                  <a:lstStyle/>
                  <a:p>
                    <a:fld id="{18E51254-B43C-4DDB-A1E2-F8FB62056991}" type="CELLRANGE">
                      <a:rPr lang="en-US"/>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0407-4CD9-B8AE-E269833E3ED9}"/>
                </c:ext>
              </c:extLst>
            </c:dLbl>
            <c:dLbl>
              <c:idx val="1"/>
              <c:tx>
                <c:rich>
                  <a:bodyPr/>
                  <a:lstStyle/>
                  <a:p>
                    <a:fld id="{C368E95E-8673-48B5-8C07-2CE563A844AD}"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0407-4CD9-B8AE-E269833E3ED9}"/>
                </c:ext>
              </c:extLst>
            </c:dLbl>
            <c:dLbl>
              <c:idx val="2"/>
              <c:tx>
                <c:rich>
                  <a:bodyPr/>
                  <a:lstStyle/>
                  <a:p>
                    <a:fld id="{4A6762BE-36E5-48AB-B84A-406B014F8EE3}"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0407-4CD9-B8AE-E269833E3ED9}"/>
                </c:ext>
              </c:extLst>
            </c:dLbl>
            <c:dLbl>
              <c:idx val="3"/>
              <c:tx>
                <c:rich>
                  <a:bodyPr/>
                  <a:lstStyle/>
                  <a:p>
                    <a:fld id="{91F75DD7-AB45-4ADD-A68D-8DB7D2092D39}"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0407-4CD9-B8AE-E269833E3ED9}"/>
                </c:ext>
              </c:extLst>
            </c:dLbl>
            <c:dLbl>
              <c:idx val="4"/>
              <c:tx>
                <c:rich>
                  <a:bodyPr/>
                  <a:lstStyle/>
                  <a:p>
                    <a:fld id="{D0C5F18C-622C-421B-BC86-1E8E6C1A5347}"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0407-4CD9-B8AE-E269833E3ED9}"/>
                </c:ext>
              </c:extLst>
            </c:dLbl>
            <c:dLbl>
              <c:idx val="5"/>
              <c:tx>
                <c:rich>
                  <a:bodyPr/>
                  <a:lstStyle/>
                  <a:p>
                    <a:fld id="{214BC74D-8A29-4323-957A-AD27E84F2470}"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0407-4CD9-B8AE-E269833E3ED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'#perregio'!$A$10:$A$15</c:f>
              <c:strCache>
                <c:ptCount val="6"/>
                <c:pt idx="0">
                  <c:v>HBR</c:v>
                </c:pt>
                <c:pt idx="1">
                  <c:v>Z&amp;W</c:v>
                </c:pt>
                <c:pt idx="2">
                  <c:v>Groen</c:v>
                </c:pt>
                <c:pt idx="3">
                  <c:v>E&amp;O</c:v>
                </c:pt>
                <c:pt idx="4">
                  <c:v>D&amp;P</c:v>
                </c:pt>
                <c:pt idx="5">
                  <c:v>Totaal</c:v>
                </c:pt>
              </c:strCache>
            </c:strRef>
          </c:cat>
          <c:val>
            <c:numRef>
              <c:f>'#perregio'!$E$10:$E$15</c:f>
              <c:numCache>
                <c:formatCode>0.0</c:formatCode>
                <c:ptCount val="6"/>
                <c:pt idx="0">
                  <c:v>3.97</c:v>
                </c:pt>
                <c:pt idx="1">
                  <c:v>14.4</c:v>
                </c:pt>
                <c:pt idx="2">
                  <c:v>7.38</c:v>
                </c:pt>
                <c:pt idx="3">
                  <c:v>9.1199999999999992</c:v>
                </c:pt>
                <c:pt idx="4">
                  <c:v>15.9</c:v>
                </c:pt>
                <c:pt idx="5">
                  <c:v>47</c:v>
                </c:pt>
              </c:numCache>
            </c:numRef>
          </c:val>
          <c:extLst>
            <c:ext xmlns:c15="http://schemas.microsoft.com/office/drawing/2012/chart" uri="{02D57815-91ED-43cb-92C2-25804820EDAC}">
              <c15:datalabelsRange>
                <c15:f>'#perregio'!$P$10:$P$15</c15:f>
                <c15:dlblRangeCache>
                  <c:ptCount val="6"/>
                  <c:pt idx="0">
                    <c:v>-1</c:v>
                  </c:pt>
                  <c:pt idx="1">
                    <c:v>-35</c:v>
                  </c:pt>
                  <c:pt idx="2">
                    <c:v>-18</c:v>
                  </c:pt>
                  <c:pt idx="3">
                    <c:v>-9</c:v>
                  </c:pt>
                  <c:pt idx="4">
                    <c:v>+1</c:v>
                  </c:pt>
                  <c:pt idx="5">
                    <c:v>-16</c:v>
                  </c:pt>
                </c15:dlblRangeCache>
              </c15:datalabelsRange>
            </c:ext>
            <c:ext xmlns:c16="http://schemas.microsoft.com/office/drawing/2014/chart" uri="{C3380CC4-5D6E-409C-BE32-E72D297353CC}">
              <c16:uniqueId val="{00000015-0407-4CD9-B8AE-E269833E3ED9}"/>
            </c:ext>
          </c:extLst>
        </c:ser>
        <c:ser>
          <c:idx val="4"/>
          <c:order val="4"/>
          <c:tx>
            <c:strRef>
              <c:f>'#perregio'!$F$2</c:f>
              <c:strCache>
                <c:ptCount val="1"/>
                <c:pt idx="0">
                  <c:v>2021/22</c:v>
                </c:pt>
              </c:strCache>
            </c:strRef>
          </c:tx>
          <c:spPr>
            <a:solidFill>
              <a:schemeClr val="accent5"/>
            </a:solidFill>
            <a:ln>
              <a:noFill/>
            </a:ln>
            <a:effectLst/>
          </c:spPr>
          <c:invertIfNegative val="0"/>
          <c:dLbls>
            <c:dLbl>
              <c:idx val="0"/>
              <c:tx>
                <c:rich>
                  <a:bodyPr/>
                  <a:lstStyle/>
                  <a:p>
                    <a:fld id="{9C7F5D39-786D-4E87-B261-3405672F35E1}" type="CELLRANGE">
                      <a:rPr lang="en-US"/>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0407-4CD9-B8AE-E269833E3ED9}"/>
                </c:ext>
              </c:extLst>
            </c:dLbl>
            <c:dLbl>
              <c:idx val="1"/>
              <c:tx>
                <c:rich>
                  <a:bodyPr/>
                  <a:lstStyle/>
                  <a:p>
                    <a:fld id="{657D5F0E-7BD0-449C-990B-E67D35EE6396}"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0407-4CD9-B8AE-E269833E3ED9}"/>
                </c:ext>
              </c:extLst>
            </c:dLbl>
            <c:dLbl>
              <c:idx val="2"/>
              <c:tx>
                <c:rich>
                  <a:bodyPr/>
                  <a:lstStyle/>
                  <a:p>
                    <a:fld id="{13E065FB-2E95-46A8-9FE1-7DAAC66734E8}"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0407-4CD9-B8AE-E269833E3ED9}"/>
                </c:ext>
              </c:extLst>
            </c:dLbl>
            <c:dLbl>
              <c:idx val="3"/>
              <c:tx>
                <c:rich>
                  <a:bodyPr/>
                  <a:lstStyle/>
                  <a:p>
                    <a:fld id="{E55933F2-A2EF-4E6B-8684-5D70C84A14C8}"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0407-4CD9-B8AE-E269833E3ED9}"/>
                </c:ext>
              </c:extLst>
            </c:dLbl>
            <c:dLbl>
              <c:idx val="4"/>
              <c:tx>
                <c:rich>
                  <a:bodyPr/>
                  <a:lstStyle/>
                  <a:p>
                    <a:fld id="{73D0FDC1-D34C-463D-B88B-AD79FAFF26EC}"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0407-4CD9-B8AE-E269833E3ED9}"/>
                </c:ext>
              </c:extLst>
            </c:dLbl>
            <c:dLbl>
              <c:idx val="5"/>
              <c:tx>
                <c:rich>
                  <a:bodyPr/>
                  <a:lstStyle/>
                  <a:p>
                    <a:fld id="{DCAF61CF-E1A5-4B5A-8DD8-F4B85E6DFF4A}"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0407-4CD9-B8AE-E269833E3ED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'#perregio'!$A$10:$A$15</c:f>
              <c:strCache>
                <c:ptCount val="6"/>
                <c:pt idx="0">
                  <c:v>HBR</c:v>
                </c:pt>
                <c:pt idx="1">
                  <c:v>Z&amp;W</c:v>
                </c:pt>
                <c:pt idx="2">
                  <c:v>Groen</c:v>
                </c:pt>
                <c:pt idx="3">
                  <c:v>E&amp;O</c:v>
                </c:pt>
                <c:pt idx="4">
                  <c:v>D&amp;P</c:v>
                </c:pt>
                <c:pt idx="5">
                  <c:v>Totaal</c:v>
                </c:pt>
              </c:strCache>
            </c:strRef>
          </c:cat>
          <c:val>
            <c:numRef>
              <c:f>'#perregio'!$F$10:$F$15</c:f>
              <c:numCache>
                <c:formatCode>0.0</c:formatCode>
                <c:ptCount val="6"/>
                <c:pt idx="0">
                  <c:v>3.79</c:v>
                </c:pt>
                <c:pt idx="1">
                  <c:v>16.38</c:v>
                </c:pt>
                <c:pt idx="2">
                  <c:v>6.57</c:v>
                </c:pt>
                <c:pt idx="3">
                  <c:v>8.6199999999999992</c:v>
                </c:pt>
                <c:pt idx="4">
                  <c:v>15.3</c:v>
                </c:pt>
                <c:pt idx="5">
                  <c:v>47.22</c:v>
                </c:pt>
              </c:numCache>
            </c:numRef>
          </c:val>
          <c:extLst>
            <c:ext xmlns:c15="http://schemas.microsoft.com/office/drawing/2012/chart" uri="{02D57815-91ED-43cb-92C2-25804820EDAC}">
              <c15:datalabelsRange>
                <c15:f>'#perregio'!$Q$10:$Q$15</c15:f>
                <c15:dlblRangeCache>
                  <c:ptCount val="6"/>
                  <c:pt idx="0">
                    <c:v>-5</c:v>
                  </c:pt>
                  <c:pt idx="1">
                    <c:v>+14</c:v>
                  </c:pt>
                  <c:pt idx="2">
                    <c:v>-11</c:v>
                  </c:pt>
                  <c:pt idx="3">
                    <c:v>-5</c:v>
                  </c:pt>
                  <c:pt idx="4">
                    <c:v>-4</c:v>
                  </c:pt>
                  <c:pt idx="5">
                    <c:v>0</c:v>
                  </c:pt>
                </c15:dlblRangeCache>
              </c15:datalabelsRange>
            </c:ext>
            <c:ext xmlns:c16="http://schemas.microsoft.com/office/drawing/2014/chart" uri="{C3380CC4-5D6E-409C-BE32-E72D297353CC}">
              <c16:uniqueId val="{0000001C-0407-4CD9-B8AE-E269833E3ED9}"/>
            </c:ext>
          </c:extLst>
        </c:ser>
        <c:ser>
          <c:idx val="5"/>
          <c:order val="5"/>
          <c:tx>
            <c:strRef>
              <c:f>'#perregio'!$G$2</c:f>
              <c:strCache>
                <c:ptCount val="1"/>
                <c:pt idx="0">
                  <c:v>2022/23</c:v>
                </c:pt>
              </c:strCache>
            </c:strRef>
          </c:tx>
          <c:spPr>
            <a:solidFill>
              <a:schemeClr val="accent6"/>
            </a:solidFill>
            <a:ln>
              <a:noFill/>
            </a:ln>
            <a:effectLst/>
          </c:spPr>
          <c:invertIfNegative val="0"/>
          <c:dLbls>
            <c:dLbl>
              <c:idx val="0"/>
              <c:tx>
                <c:rich>
                  <a:bodyPr/>
                  <a:lstStyle/>
                  <a:p>
                    <a:fld id="{08BE8348-0D6E-4D84-8D73-5CBDB9F53DF6}" type="CELLRANGE">
                      <a:rPr lang="en-US"/>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D-0407-4CD9-B8AE-E269833E3ED9}"/>
                </c:ext>
              </c:extLst>
            </c:dLbl>
            <c:dLbl>
              <c:idx val="1"/>
              <c:tx>
                <c:rich>
                  <a:bodyPr/>
                  <a:lstStyle/>
                  <a:p>
                    <a:fld id="{9526D92B-8C7A-4531-9A5F-C33C7A1A817E}"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0407-4CD9-B8AE-E269833E3ED9}"/>
                </c:ext>
              </c:extLst>
            </c:dLbl>
            <c:dLbl>
              <c:idx val="2"/>
              <c:tx>
                <c:rich>
                  <a:bodyPr/>
                  <a:lstStyle/>
                  <a:p>
                    <a:fld id="{FD937009-E15C-4D56-9E59-DE6C2393F312}"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0407-4CD9-B8AE-E269833E3ED9}"/>
                </c:ext>
              </c:extLst>
            </c:dLbl>
            <c:dLbl>
              <c:idx val="3"/>
              <c:tx>
                <c:rich>
                  <a:bodyPr/>
                  <a:lstStyle/>
                  <a:p>
                    <a:fld id="{C1EC51D3-9410-43FB-9518-392712463F6D}"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0407-4CD9-B8AE-E269833E3ED9}"/>
                </c:ext>
              </c:extLst>
            </c:dLbl>
            <c:dLbl>
              <c:idx val="4"/>
              <c:tx>
                <c:rich>
                  <a:bodyPr/>
                  <a:lstStyle/>
                  <a:p>
                    <a:fld id="{D107C1E7-B5FE-4F08-8C23-0D91D7B60D3D}"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0407-4CD9-B8AE-E269833E3ED9}"/>
                </c:ext>
              </c:extLst>
            </c:dLbl>
            <c:dLbl>
              <c:idx val="5"/>
              <c:tx>
                <c:rich>
                  <a:bodyPr/>
                  <a:lstStyle/>
                  <a:p>
                    <a:fld id="{2D2D1DF5-0FF8-4E01-AFE9-98DCCC47537A}" type="CELLRANGE">
                      <a:rPr lang="nl-NL"/>
                      <a:pPr/>
                      <a:t>[CELLRANGE]</a:t>
                    </a:fld>
                    <a:endParaRPr lang="nl-N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0407-4CD9-B8AE-E269833E3ED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'#perregio'!$A$10:$A$15</c:f>
              <c:strCache>
                <c:ptCount val="6"/>
                <c:pt idx="0">
                  <c:v>HBR</c:v>
                </c:pt>
                <c:pt idx="1">
                  <c:v>Z&amp;W</c:v>
                </c:pt>
                <c:pt idx="2">
                  <c:v>Groen</c:v>
                </c:pt>
                <c:pt idx="3">
                  <c:v>E&amp;O</c:v>
                </c:pt>
                <c:pt idx="4">
                  <c:v>D&amp;P</c:v>
                </c:pt>
                <c:pt idx="5">
                  <c:v>Totaal</c:v>
                </c:pt>
              </c:strCache>
            </c:strRef>
          </c:cat>
          <c:val>
            <c:numRef>
              <c:f>'#perregio'!$G$10:$G$15</c:f>
              <c:numCache>
                <c:formatCode>0.0</c:formatCode>
                <c:ptCount val="6"/>
                <c:pt idx="0">
                  <c:v>4.0519999999999996</c:v>
                </c:pt>
                <c:pt idx="1">
                  <c:v>16.896000000000001</c:v>
                </c:pt>
                <c:pt idx="2">
                  <c:v>8.4939999999999998</c:v>
                </c:pt>
                <c:pt idx="3">
                  <c:v>7.8049999999999997</c:v>
                </c:pt>
                <c:pt idx="4">
                  <c:v>16.623000000000001</c:v>
                </c:pt>
                <c:pt idx="5">
                  <c:v>49.584000000000003</c:v>
                </c:pt>
              </c:numCache>
            </c:numRef>
          </c:val>
          <c:extLst>
            <c:ext xmlns:c15="http://schemas.microsoft.com/office/drawing/2012/chart" uri="{02D57815-91ED-43cb-92C2-25804820EDAC}">
              <c15:datalabelsRange>
                <c15:f>'#perregio'!$R$10:$R$15</c15:f>
                <c15:dlblRangeCache>
                  <c:ptCount val="6"/>
                  <c:pt idx="0">
                    <c:v>+7</c:v>
                  </c:pt>
                  <c:pt idx="1">
                    <c:v>+3</c:v>
                  </c:pt>
                  <c:pt idx="2">
                    <c:v>+29</c:v>
                  </c:pt>
                  <c:pt idx="3">
                    <c:v>-9</c:v>
                  </c:pt>
                  <c:pt idx="4">
                    <c:v>+9</c:v>
                  </c:pt>
                  <c:pt idx="5">
                    <c:v>+5</c:v>
                  </c:pt>
                </c15:dlblRangeCache>
              </c15:datalabelsRange>
            </c:ext>
            <c:ext xmlns:c16="http://schemas.microsoft.com/office/drawing/2014/chart" uri="{C3380CC4-5D6E-409C-BE32-E72D297353CC}">
              <c16:uniqueId val="{00000023-0407-4CD9-B8AE-E269833E3ED9}"/>
            </c:ext>
          </c:extLst>
        </c:ser>
        <c:dLbls>
          <c:dLblPos val="outEnd"/>
          <c:showLegendKey val="0"/>
          <c:showVal val="1"/>
          <c:showCatName val="0"/>
          <c:showSerName val="0"/>
          <c:showPercent val="0"/>
          <c:showBubbleSize val="0"/>
        </c:dLbls>
        <c:gapWidth val="150"/>
        <c:overlap val="-20"/>
        <c:axId val="2108441199"/>
        <c:axId val="2108441615"/>
      </c:barChart>
      <c:catAx>
        <c:axId val="2108441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08441615"/>
        <c:crosses val="autoZero"/>
        <c:auto val="1"/>
        <c:lblAlgn val="ctr"/>
        <c:lblOffset val="100"/>
        <c:noMultiLvlLbl val="0"/>
      </c:catAx>
      <c:valAx>
        <c:axId val="210844161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08441199"/>
        <c:crosses val="autoZero"/>
        <c:crossBetween val="between"/>
      </c:valAx>
      <c:spPr>
        <a:noFill/>
        <a:ln>
          <a:noFill/>
        </a:ln>
        <a:effectLst/>
      </c:spPr>
    </c:plotArea>
    <c:legend>
      <c:legendPos val="l"/>
      <c:layout>
        <c:manualLayout>
          <c:xMode val="edge"/>
          <c:yMode val="edge"/>
          <c:x val="7.4965277777777783E-2"/>
          <c:y val="0.186203125"/>
          <c:w val="0.1030486645322802"/>
          <c:h val="0.47044852130105752"/>
        </c:manualLayout>
      </c:layout>
      <c:overlay val="1"/>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leeftijd!$C$52</c:f>
              <c:strCache>
                <c:ptCount val="1"/>
                <c:pt idx="0">
                  <c:v>18 t/m 29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leeftijd!$A$53:$B$64</c:f>
              <c:multiLvlStrCache>
                <c:ptCount val="12"/>
                <c:lvl>
                  <c:pt idx="0">
                    <c:v>2017/18</c:v>
                  </c:pt>
                  <c:pt idx="1">
                    <c:v>2022/23</c:v>
                  </c:pt>
                  <c:pt idx="2">
                    <c:v>2017/18</c:v>
                  </c:pt>
                  <c:pt idx="3">
                    <c:v>2022/23</c:v>
                  </c:pt>
                  <c:pt idx="4">
                    <c:v>2017/18</c:v>
                  </c:pt>
                  <c:pt idx="5">
                    <c:v>2022/23</c:v>
                  </c:pt>
                  <c:pt idx="6">
                    <c:v>2017/18</c:v>
                  </c:pt>
                  <c:pt idx="7">
                    <c:v>2022/23</c:v>
                  </c:pt>
                  <c:pt idx="8">
                    <c:v>2017/18</c:v>
                  </c:pt>
                  <c:pt idx="9">
                    <c:v>2022/23</c:v>
                  </c:pt>
                  <c:pt idx="10">
                    <c:v>2017/18</c:v>
                  </c:pt>
                  <c:pt idx="11">
                    <c:v>2022/23</c:v>
                  </c:pt>
                </c:lvl>
                <c:lvl>
                  <c:pt idx="0">
                    <c:v>HBR</c:v>
                  </c:pt>
                  <c:pt idx="2">
                    <c:v>Z&amp;W</c:v>
                  </c:pt>
                  <c:pt idx="4">
                    <c:v>Groen</c:v>
                  </c:pt>
                  <c:pt idx="6">
                    <c:v>E&amp;O</c:v>
                  </c:pt>
                  <c:pt idx="8">
                    <c:v>D&amp;P</c:v>
                  </c:pt>
                  <c:pt idx="10">
                    <c:v>Totaal</c:v>
                  </c:pt>
                </c:lvl>
              </c:multiLvlStrCache>
            </c:multiLvlStrRef>
          </c:cat>
          <c:val>
            <c:numRef>
              <c:f>leeftijd!$C$53:$C$64</c:f>
              <c:numCache>
                <c:formatCode>0%</c:formatCode>
                <c:ptCount val="12"/>
                <c:pt idx="0">
                  <c:v>8.2872928176795577E-2</c:v>
                </c:pt>
                <c:pt idx="1">
                  <c:v>9.0686274509803919E-2</c:v>
                </c:pt>
                <c:pt idx="2">
                  <c:v>0.16094516272848863</c:v>
                </c:pt>
                <c:pt idx="3">
                  <c:v>0.17812704649639816</c:v>
                </c:pt>
                <c:pt idx="4">
                  <c:v>0.13544303797468354</c:v>
                </c:pt>
                <c:pt idx="5">
                  <c:v>0.14529914529914531</c:v>
                </c:pt>
                <c:pt idx="6">
                  <c:v>0.19238900634249473</c:v>
                </c:pt>
                <c:pt idx="7">
                  <c:v>0.2186287192755498</c:v>
                </c:pt>
                <c:pt idx="8">
                  <c:v>0.14222222222222222</c:v>
                </c:pt>
                <c:pt idx="9">
                  <c:v>0.15895249695493302</c:v>
                </c:pt>
                <c:pt idx="10">
                  <c:v>0.15362213323625773</c:v>
                </c:pt>
                <c:pt idx="11">
                  <c:v>0.16571077427283901</c:v>
                </c:pt>
              </c:numCache>
            </c:numRef>
          </c:val>
          <c:extLst>
            <c:ext xmlns:c16="http://schemas.microsoft.com/office/drawing/2014/chart" uri="{C3380CC4-5D6E-409C-BE32-E72D297353CC}">
              <c16:uniqueId val="{00000000-441A-48FA-AFE8-0B7A78223ABF}"/>
            </c:ext>
          </c:extLst>
        </c:ser>
        <c:ser>
          <c:idx val="1"/>
          <c:order val="1"/>
          <c:tx>
            <c:strRef>
              <c:f>leeftijd!$D$52</c:f>
              <c:strCache>
                <c:ptCount val="1"/>
                <c:pt idx="0">
                  <c:v>30 t/m 39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leeftijd!$A$53:$B$64</c:f>
              <c:multiLvlStrCache>
                <c:ptCount val="12"/>
                <c:lvl>
                  <c:pt idx="0">
                    <c:v>2017/18</c:v>
                  </c:pt>
                  <c:pt idx="1">
                    <c:v>2022/23</c:v>
                  </c:pt>
                  <c:pt idx="2">
                    <c:v>2017/18</c:v>
                  </c:pt>
                  <c:pt idx="3">
                    <c:v>2022/23</c:v>
                  </c:pt>
                  <c:pt idx="4">
                    <c:v>2017/18</c:v>
                  </c:pt>
                  <c:pt idx="5">
                    <c:v>2022/23</c:v>
                  </c:pt>
                  <c:pt idx="6">
                    <c:v>2017/18</c:v>
                  </c:pt>
                  <c:pt idx="7">
                    <c:v>2022/23</c:v>
                  </c:pt>
                  <c:pt idx="8">
                    <c:v>2017/18</c:v>
                  </c:pt>
                  <c:pt idx="9">
                    <c:v>2022/23</c:v>
                  </c:pt>
                  <c:pt idx="10">
                    <c:v>2017/18</c:v>
                  </c:pt>
                  <c:pt idx="11">
                    <c:v>2022/23</c:v>
                  </c:pt>
                </c:lvl>
                <c:lvl>
                  <c:pt idx="0">
                    <c:v>HBR</c:v>
                  </c:pt>
                  <c:pt idx="2">
                    <c:v>Z&amp;W</c:v>
                  </c:pt>
                  <c:pt idx="4">
                    <c:v>Groen</c:v>
                  </c:pt>
                  <c:pt idx="6">
                    <c:v>E&amp;O</c:v>
                  </c:pt>
                  <c:pt idx="8">
                    <c:v>D&amp;P</c:v>
                  </c:pt>
                  <c:pt idx="10">
                    <c:v>Totaal</c:v>
                  </c:pt>
                </c:lvl>
              </c:multiLvlStrCache>
            </c:multiLvlStrRef>
          </c:cat>
          <c:val>
            <c:numRef>
              <c:f>leeftijd!$D$53:$D$64</c:f>
              <c:numCache>
                <c:formatCode>0%</c:formatCode>
                <c:ptCount val="12"/>
                <c:pt idx="0">
                  <c:v>0.22375690607734808</c:v>
                </c:pt>
                <c:pt idx="1">
                  <c:v>0.23774509803921567</c:v>
                </c:pt>
                <c:pt idx="2">
                  <c:v>0.24431564868479716</c:v>
                </c:pt>
                <c:pt idx="3">
                  <c:v>0.28487229862475444</c:v>
                </c:pt>
                <c:pt idx="4">
                  <c:v>0.24683544303797469</c:v>
                </c:pt>
                <c:pt idx="5">
                  <c:v>0.25</c:v>
                </c:pt>
                <c:pt idx="6">
                  <c:v>0.2568710359408034</c:v>
                </c:pt>
                <c:pt idx="7">
                  <c:v>0.26908150064683051</c:v>
                </c:pt>
                <c:pt idx="8">
                  <c:v>0.26158730158730159</c:v>
                </c:pt>
                <c:pt idx="9">
                  <c:v>0.26248477466504261</c:v>
                </c:pt>
                <c:pt idx="10">
                  <c:v>0.2522752093192574</c:v>
                </c:pt>
                <c:pt idx="11">
                  <c:v>0.26853748463744365</c:v>
                </c:pt>
              </c:numCache>
            </c:numRef>
          </c:val>
          <c:extLst>
            <c:ext xmlns:c16="http://schemas.microsoft.com/office/drawing/2014/chart" uri="{C3380CC4-5D6E-409C-BE32-E72D297353CC}">
              <c16:uniqueId val="{00000001-441A-48FA-AFE8-0B7A78223ABF}"/>
            </c:ext>
          </c:extLst>
        </c:ser>
        <c:ser>
          <c:idx val="2"/>
          <c:order val="2"/>
          <c:tx>
            <c:strRef>
              <c:f>leeftijd!$E$52</c:f>
              <c:strCache>
                <c:ptCount val="1"/>
                <c:pt idx="0">
                  <c:v>40 t/m 49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leeftijd!$A$53:$B$64</c:f>
              <c:multiLvlStrCache>
                <c:ptCount val="12"/>
                <c:lvl>
                  <c:pt idx="0">
                    <c:v>2017/18</c:v>
                  </c:pt>
                  <c:pt idx="1">
                    <c:v>2022/23</c:v>
                  </c:pt>
                  <c:pt idx="2">
                    <c:v>2017/18</c:v>
                  </c:pt>
                  <c:pt idx="3">
                    <c:v>2022/23</c:v>
                  </c:pt>
                  <c:pt idx="4">
                    <c:v>2017/18</c:v>
                  </c:pt>
                  <c:pt idx="5">
                    <c:v>2022/23</c:v>
                  </c:pt>
                  <c:pt idx="6">
                    <c:v>2017/18</c:v>
                  </c:pt>
                  <c:pt idx="7">
                    <c:v>2022/23</c:v>
                  </c:pt>
                  <c:pt idx="8">
                    <c:v>2017/18</c:v>
                  </c:pt>
                  <c:pt idx="9">
                    <c:v>2022/23</c:v>
                  </c:pt>
                  <c:pt idx="10">
                    <c:v>2017/18</c:v>
                  </c:pt>
                  <c:pt idx="11">
                    <c:v>2022/23</c:v>
                  </c:pt>
                </c:lvl>
                <c:lvl>
                  <c:pt idx="0">
                    <c:v>HBR</c:v>
                  </c:pt>
                  <c:pt idx="2">
                    <c:v>Z&amp;W</c:v>
                  </c:pt>
                  <c:pt idx="4">
                    <c:v>Groen</c:v>
                  </c:pt>
                  <c:pt idx="6">
                    <c:v>E&amp;O</c:v>
                  </c:pt>
                  <c:pt idx="8">
                    <c:v>D&amp;P</c:v>
                  </c:pt>
                  <c:pt idx="10">
                    <c:v>Totaal</c:v>
                  </c:pt>
                </c:lvl>
              </c:multiLvlStrCache>
            </c:multiLvlStrRef>
          </c:cat>
          <c:val>
            <c:numRef>
              <c:f>leeftijd!$E$53:$E$64</c:f>
              <c:numCache>
                <c:formatCode>0%</c:formatCode>
                <c:ptCount val="12"/>
                <c:pt idx="0">
                  <c:v>0.31215469613259667</c:v>
                </c:pt>
                <c:pt idx="1">
                  <c:v>0.29411764705882354</c:v>
                </c:pt>
                <c:pt idx="2">
                  <c:v>0.19750334373606776</c:v>
                </c:pt>
                <c:pt idx="3">
                  <c:v>0.21021611001964635</c:v>
                </c:pt>
                <c:pt idx="4">
                  <c:v>0.24556962025316456</c:v>
                </c:pt>
                <c:pt idx="5">
                  <c:v>0.25854700854700857</c:v>
                </c:pt>
                <c:pt idx="6">
                  <c:v>0.21353065539112051</c:v>
                </c:pt>
                <c:pt idx="7">
                  <c:v>0.20698576972833119</c:v>
                </c:pt>
                <c:pt idx="8">
                  <c:v>0.2253968253968254</c:v>
                </c:pt>
                <c:pt idx="9">
                  <c:v>0.23264311814859928</c:v>
                </c:pt>
                <c:pt idx="10">
                  <c:v>0.22042227884965418</c:v>
                </c:pt>
                <c:pt idx="11">
                  <c:v>0.23064317902498976</c:v>
                </c:pt>
              </c:numCache>
            </c:numRef>
          </c:val>
          <c:extLst>
            <c:ext xmlns:c16="http://schemas.microsoft.com/office/drawing/2014/chart" uri="{C3380CC4-5D6E-409C-BE32-E72D297353CC}">
              <c16:uniqueId val="{00000002-441A-48FA-AFE8-0B7A78223ABF}"/>
            </c:ext>
          </c:extLst>
        </c:ser>
        <c:ser>
          <c:idx val="3"/>
          <c:order val="3"/>
          <c:tx>
            <c:strRef>
              <c:f>leeftijd!$F$52</c:f>
              <c:strCache>
                <c:ptCount val="1"/>
                <c:pt idx="0">
                  <c:v>50 t/m 59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leeftijd!$A$53:$B$64</c:f>
              <c:multiLvlStrCache>
                <c:ptCount val="12"/>
                <c:lvl>
                  <c:pt idx="0">
                    <c:v>2017/18</c:v>
                  </c:pt>
                  <c:pt idx="1">
                    <c:v>2022/23</c:v>
                  </c:pt>
                  <c:pt idx="2">
                    <c:v>2017/18</c:v>
                  </c:pt>
                  <c:pt idx="3">
                    <c:v>2022/23</c:v>
                  </c:pt>
                  <c:pt idx="4">
                    <c:v>2017/18</c:v>
                  </c:pt>
                  <c:pt idx="5">
                    <c:v>2022/23</c:v>
                  </c:pt>
                  <c:pt idx="6">
                    <c:v>2017/18</c:v>
                  </c:pt>
                  <c:pt idx="7">
                    <c:v>2022/23</c:v>
                  </c:pt>
                  <c:pt idx="8">
                    <c:v>2017/18</c:v>
                  </c:pt>
                  <c:pt idx="9">
                    <c:v>2022/23</c:v>
                  </c:pt>
                  <c:pt idx="10">
                    <c:v>2017/18</c:v>
                  </c:pt>
                  <c:pt idx="11">
                    <c:v>2022/23</c:v>
                  </c:pt>
                </c:lvl>
                <c:lvl>
                  <c:pt idx="0">
                    <c:v>HBR</c:v>
                  </c:pt>
                  <c:pt idx="2">
                    <c:v>Z&amp;W</c:v>
                  </c:pt>
                  <c:pt idx="4">
                    <c:v>Groen</c:v>
                  </c:pt>
                  <c:pt idx="6">
                    <c:v>E&amp;O</c:v>
                  </c:pt>
                  <c:pt idx="8">
                    <c:v>D&amp;P</c:v>
                  </c:pt>
                  <c:pt idx="10">
                    <c:v>Totaal</c:v>
                  </c:pt>
                </c:lvl>
              </c:multiLvlStrCache>
            </c:multiLvlStrRef>
          </c:cat>
          <c:val>
            <c:numRef>
              <c:f>leeftijd!$F$53:$F$64</c:f>
              <c:numCache>
                <c:formatCode>0%</c:formatCode>
                <c:ptCount val="12"/>
                <c:pt idx="0">
                  <c:v>0.26795580110497236</c:v>
                </c:pt>
                <c:pt idx="1">
                  <c:v>0.26960784313725489</c:v>
                </c:pt>
                <c:pt idx="2">
                  <c:v>0.28310298707088721</c:v>
                </c:pt>
                <c:pt idx="3">
                  <c:v>0.2154551407989522</c:v>
                </c:pt>
                <c:pt idx="4">
                  <c:v>0.25822784810126581</c:v>
                </c:pt>
                <c:pt idx="5">
                  <c:v>0.24145299145299146</c:v>
                </c:pt>
                <c:pt idx="6">
                  <c:v>0.24207188160676532</c:v>
                </c:pt>
                <c:pt idx="7">
                  <c:v>0.2276843467011643</c:v>
                </c:pt>
                <c:pt idx="8">
                  <c:v>0.26730158730158732</c:v>
                </c:pt>
                <c:pt idx="9">
                  <c:v>0.23386114494518878</c:v>
                </c:pt>
                <c:pt idx="10">
                  <c:v>0.26538041499817983</c:v>
                </c:pt>
                <c:pt idx="11">
                  <c:v>0.22818517001229005</c:v>
                </c:pt>
              </c:numCache>
            </c:numRef>
          </c:val>
          <c:extLst>
            <c:ext xmlns:c16="http://schemas.microsoft.com/office/drawing/2014/chart" uri="{C3380CC4-5D6E-409C-BE32-E72D297353CC}">
              <c16:uniqueId val="{00000003-441A-48FA-AFE8-0B7A78223ABF}"/>
            </c:ext>
          </c:extLst>
        </c:ser>
        <c:ser>
          <c:idx val="4"/>
          <c:order val="4"/>
          <c:tx>
            <c:strRef>
              <c:f>leeftijd!$G$52</c:f>
              <c:strCache>
                <c:ptCount val="1"/>
                <c:pt idx="0">
                  <c:v>60+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leeftijd!$A$53:$B$64</c:f>
              <c:multiLvlStrCache>
                <c:ptCount val="12"/>
                <c:lvl>
                  <c:pt idx="0">
                    <c:v>2017/18</c:v>
                  </c:pt>
                  <c:pt idx="1">
                    <c:v>2022/23</c:v>
                  </c:pt>
                  <c:pt idx="2">
                    <c:v>2017/18</c:v>
                  </c:pt>
                  <c:pt idx="3">
                    <c:v>2022/23</c:v>
                  </c:pt>
                  <c:pt idx="4">
                    <c:v>2017/18</c:v>
                  </c:pt>
                  <c:pt idx="5">
                    <c:v>2022/23</c:v>
                  </c:pt>
                  <c:pt idx="6">
                    <c:v>2017/18</c:v>
                  </c:pt>
                  <c:pt idx="7">
                    <c:v>2022/23</c:v>
                  </c:pt>
                  <c:pt idx="8">
                    <c:v>2017/18</c:v>
                  </c:pt>
                  <c:pt idx="9">
                    <c:v>2022/23</c:v>
                  </c:pt>
                  <c:pt idx="10">
                    <c:v>2017/18</c:v>
                  </c:pt>
                  <c:pt idx="11">
                    <c:v>2022/23</c:v>
                  </c:pt>
                </c:lvl>
                <c:lvl>
                  <c:pt idx="0">
                    <c:v>HBR</c:v>
                  </c:pt>
                  <c:pt idx="2">
                    <c:v>Z&amp;W</c:v>
                  </c:pt>
                  <c:pt idx="4">
                    <c:v>Groen</c:v>
                  </c:pt>
                  <c:pt idx="6">
                    <c:v>E&amp;O</c:v>
                  </c:pt>
                  <c:pt idx="8">
                    <c:v>D&amp;P</c:v>
                  </c:pt>
                  <c:pt idx="10">
                    <c:v>Totaal</c:v>
                  </c:pt>
                </c:lvl>
              </c:multiLvlStrCache>
            </c:multiLvlStrRef>
          </c:cat>
          <c:val>
            <c:numRef>
              <c:f>leeftijd!$G$53:$G$64</c:f>
              <c:numCache>
                <c:formatCode>0%</c:formatCode>
                <c:ptCount val="12"/>
                <c:pt idx="0">
                  <c:v>0.1132596685082873</c:v>
                </c:pt>
                <c:pt idx="1">
                  <c:v>0.10784313725490197</c:v>
                </c:pt>
                <c:pt idx="2">
                  <c:v>0.11413285777975925</c:v>
                </c:pt>
                <c:pt idx="3">
                  <c:v>0.11132940406024885</c:v>
                </c:pt>
                <c:pt idx="4">
                  <c:v>0.11392405063291139</c:v>
                </c:pt>
                <c:pt idx="5">
                  <c:v>0.1047008547008547</c:v>
                </c:pt>
                <c:pt idx="6">
                  <c:v>9.5137420718816063E-2</c:v>
                </c:pt>
                <c:pt idx="7">
                  <c:v>7.7619663648124185E-2</c:v>
                </c:pt>
                <c:pt idx="8">
                  <c:v>0.1034920634920635</c:v>
                </c:pt>
                <c:pt idx="9">
                  <c:v>0.11205846528623629</c:v>
                </c:pt>
                <c:pt idx="10">
                  <c:v>0.10829996359665089</c:v>
                </c:pt>
                <c:pt idx="11">
                  <c:v>0.10692339205243753</c:v>
                </c:pt>
              </c:numCache>
            </c:numRef>
          </c:val>
          <c:extLst>
            <c:ext xmlns:c16="http://schemas.microsoft.com/office/drawing/2014/chart" uri="{C3380CC4-5D6E-409C-BE32-E72D297353CC}">
              <c16:uniqueId val="{00000004-441A-48FA-AFE8-0B7A78223ABF}"/>
            </c:ext>
          </c:extLst>
        </c:ser>
        <c:dLbls>
          <c:dLblPos val="ctr"/>
          <c:showLegendKey val="0"/>
          <c:showVal val="1"/>
          <c:showCatName val="0"/>
          <c:showSerName val="0"/>
          <c:showPercent val="0"/>
          <c:showBubbleSize val="0"/>
        </c:dLbls>
        <c:gapWidth val="20"/>
        <c:overlap val="100"/>
        <c:axId val="947863631"/>
        <c:axId val="947868623"/>
      </c:barChart>
      <c:catAx>
        <c:axId val="94786363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47868623"/>
        <c:crosses val="autoZero"/>
        <c:auto val="1"/>
        <c:lblAlgn val="ctr"/>
        <c:lblOffset val="100"/>
        <c:noMultiLvlLbl val="0"/>
      </c:catAx>
      <c:valAx>
        <c:axId val="94786862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47863631"/>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nl-NL" sz="1200"/>
              <a:t>Bevoegd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1"/>
          <c:order val="0"/>
          <c:tx>
            <c:strRef>
              <c:f>'andere kenmerken'!$E$1</c:f>
              <c:strCache>
                <c:ptCount val="1"/>
                <c:pt idx="0">
                  <c:v>2017/18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'andere kenmerken'!$A$10:$A$15</c:f>
              <c:strCache>
                <c:ptCount val="6"/>
                <c:pt idx="0">
                  <c:v>HBR</c:v>
                </c:pt>
                <c:pt idx="1">
                  <c:v>Z&amp;W</c:v>
                </c:pt>
                <c:pt idx="2">
                  <c:v>Groen</c:v>
                </c:pt>
                <c:pt idx="3">
                  <c:v>E&amp;O</c:v>
                </c:pt>
                <c:pt idx="4">
                  <c:v>D&amp;P</c:v>
                </c:pt>
                <c:pt idx="5">
                  <c:v>Totaal</c:v>
                </c:pt>
              </c:strCache>
            </c:strRef>
          </c:cat>
          <c:val>
            <c:numRef>
              <c:f>'andere kenmerken'!$F$10:$F$15</c:f>
              <c:numCache>
                <c:formatCode>0%</c:formatCode>
                <c:ptCount val="6"/>
                <c:pt idx="0">
                  <c:v>0.58011049723756902</c:v>
                </c:pt>
                <c:pt idx="1">
                  <c:v>0.66295140436914846</c:v>
                </c:pt>
                <c:pt idx="2">
                  <c:v>0.64936708860759496</c:v>
                </c:pt>
                <c:pt idx="3">
                  <c:v>0.56659619450317122</c:v>
                </c:pt>
                <c:pt idx="4">
                  <c:v>0.32507936507936508</c:v>
                </c:pt>
                <c:pt idx="5">
                  <c:v>0.57772115034583182</c:v>
                </c:pt>
              </c:numCache>
            </c:numRef>
          </c:val>
          <c:extLst>
            <c:ext xmlns:c16="http://schemas.microsoft.com/office/drawing/2014/chart" uri="{C3380CC4-5D6E-409C-BE32-E72D297353CC}">
              <c16:uniqueId val="{00000000-000D-4933-A68F-D47F68F9AC2F}"/>
            </c:ext>
          </c:extLst>
        </c:ser>
        <c:ser>
          <c:idx val="0"/>
          <c:order val="1"/>
          <c:tx>
            <c:strRef>
              <c:f>'andere kenmerken'!$A$1</c:f>
              <c:strCache>
                <c:ptCount val="1"/>
                <c:pt idx="0">
                  <c:v>2022/23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'andere kenmerken'!$A$10:$A$15</c:f>
              <c:strCache>
                <c:ptCount val="6"/>
                <c:pt idx="0">
                  <c:v>HBR</c:v>
                </c:pt>
                <c:pt idx="1">
                  <c:v>Z&amp;W</c:v>
                </c:pt>
                <c:pt idx="2">
                  <c:v>Groen</c:v>
                </c:pt>
                <c:pt idx="3">
                  <c:v>E&amp;O</c:v>
                </c:pt>
                <c:pt idx="4">
                  <c:v>D&amp;P</c:v>
                </c:pt>
                <c:pt idx="5">
                  <c:v>Totaal</c:v>
                </c:pt>
              </c:strCache>
            </c:strRef>
          </c:cat>
          <c:val>
            <c:numRef>
              <c:f>'andere kenmerken'!$C$10:$C$15</c:f>
              <c:numCache>
                <c:formatCode>0%</c:formatCode>
                <c:ptCount val="6"/>
                <c:pt idx="0">
                  <c:v>0.7573333333333333</c:v>
                </c:pt>
                <c:pt idx="1">
                  <c:v>0.67671232876712328</c:v>
                </c:pt>
                <c:pt idx="2">
                  <c:v>0.9613793103448276</c:v>
                </c:pt>
                <c:pt idx="3">
                  <c:v>0.67956469165659006</c:v>
                </c:pt>
                <c:pt idx="4">
                  <c:v>0.61345065996228787</c:v>
                </c:pt>
                <c:pt idx="5">
                  <c:v>0.71529866781263429</c:v>
                </c:pt>
              </c:numCache>
            </c:numRef>
          </c:val>
          <c:extLst>
            <c:ext xmlns:c16="http://schemas.microsoft.com/office/drawing/2014/chart" uri="{C3380CC4-5D6E-409C-BE32-E72D297353CC}">
              <c16:uniqueId val="{00000001-000D-4933-A68F-D47F68F9AC2F}"/>
            </c:ext>
          </c:extLst>
        </c:ser>
        <c:dLbls>
          <c:dLblPos val="outEnd"/>
          <c:showLegendKey val="0"/>
          <c:showVal val="1"/>
          <c:showCatName val="0"/>
          <c:showSerName val="0"/>
          <c:showPercent val="0"/>
          <c:showBubbleSize val="0"/>
        </c:dLbls>
        <c:gapWidth val="40"/>
        <c:overlap val="-27"/>
        <c:axId val="1087966879"/>
        <c:axId val="1087951487"/>
      </c:barChart>
      <c:catAx>
        <c:axId val="1087966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87951487"/>
        <c:crosses val="autoZero"/>
        <c:auto val="1"/>
        <c:lblAlgn val="ctr"/>
        <c:lblOffset val="100"/>
        <c:noMultiLvlLbl val="0"/>
      </c:catAx>
      <c:valAx>
        <c:axId val="108795148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879668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nl-NL" sz="1200"/>
              <a:t>Ondersteunend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1"/>
          <c:order val="0"/>
          <c:tx>
            <c:strRef>
              <c:f>'andere kenmerken'!$E$1</c:f>
              <c:strCache>
                <c:ptCount val="1"/>
                <c:pt idx="0">
                  <c:v>2017/18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'andere kenmerken'!$A$28:$A$33</c:f>
              <c:strCache>
                <c:ptCount val="6"/>
                <c:pt idx="0">
                  <c:v>HBR</c:v>
                </c:pt>
                <c:pt idx="1">
                  <c:v>Z&amp;W</c:v>
                </c:pt>
                <c:pt idx="2">
                  <c:v>Groen</c:v>
                </c:pt>
                <c:pt idx="3">
                  <c:v>E&amp;O</c:v>
                </c:pt>
                <c:pt idx="4">
                  <c:v>D&amp;P</c:v>
                </c:pt>
                <c:pt idx="5">
                  <c:v>Totaal</c:v>
                </c:pt>
              </c:strCache>
            </c:strRef>
          </c:cat>
          <c:val>
            <c:numRef>
              <c:f>'andere kenmerken'!$F$64:$F$69</c:f>
              <c:numCache>
                <c:formatCode>0%</c:formatCode>
                <c:ptCount val="6"/>
                <c:pt idx="0">
                  <c:v>0.11049723756906077</c:v>
                </c:pt>
                <c:pt idx="1">
                  <c:v>9.1395452518947831E-2</c:v>
                </c:pt>
                <c:pt idx="2">
                  <c:v>7.3417721518987344E-2</c:v>
                </c:pt>
                <c:pt idx="3">
                  <c:v>7.399577167019028E-2</c:v>
                </c:pt>
                <c:pt idx="4">
                  <c:v>8.5079365079365074E-2</c:v>
                </c:pt>
                <c:pt idx="5">
                  <c:v>8.2635602475427741E-2</c:v>
                </c:pt>
              </c:numCache>
            </c:numRef>
          </c:val>
          <c:extLst>
            <c:ext xmlns:c16="http://schemas.microsoft.com/office/drawing/2014/chart" uri="{C3380CC4-5D6E-409C-BE32-E72D297353CC}">
              <c16:uniqueId val="{00000000-88EE-4E4A-B514-D581AD4D57AE}"/>
            </c:ext>
          </c:extLst>
        </c:ser>
        <c:ser>
          <c:idx val="0"/>
          <c:order val="1"/>
          <c:tx>
            <c:strRef>
              <c:f>'andere kenmerken'!$A$1</c:f>
              <c:strCache>
                <c:ptCount val="1"/>
                <c:pt idx="0">
                  <c:v>2022/23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'andere kenmerken'!$A$28:$A$33</c:f>
              <c:strCache>
                <c:ptCount val="6"/>
                <c:pt idx="0">
                  <c:v>HBR</c:v>
                </c:pt>
                <c:pt idx="1">
                  <c:v>Z&amp;W</c:v>
                </c:pt>
                <c:pt idx="2">
                  <c:v>Groen</c:v>
                </c:pt>
                <c:pt idx="3">
                  <c:v>E&amp;O</c:v>
                </c:pt>
                <c:pt idx="4">
                  <c:v>D&amp;P</c:v>
                </c:pt>
                <c:pt idx="5">
                  <c:v>Totaal</c:v>
                </c:pt>
              </c:strCache>
            </c:strRef>
          </c:cat>
          <c:val>
            <c:numRef>
              <c:f>'andere kenmerken'!$C$64:$C$69</c:f>
              <c:numCache>
                <c:formatCode>0%</c:formatCode>
                <c:ptCount val="6"/>
                <c:pt idx="0">
                  <c:v>0.184</c:v>
                </c:pt>
                <c:pt idx="1">
                  <c:v>0.1678082191780822</c:v>
                </c:pt>
                <c:pt idx="2">
                  <c:v>0.12551724137931033</c:v>
                </c:pt>
                <c:pt idx="3">
                  <c:v>0.10036275695284159</c:v>
                </c:pt>
                <c:pt idx="4">
                  <c:v>0.15147705845380263</c:v>
                </c:pt>
                <c:pt idx="5">
                  <c:v>0.13665663944993553</c:v>
                </c:pt>
              </c:numCache>
            </c:numRef>
          </c:val>
          <c:extLst>
            <c:ext xmlns:c16="http://schemas.microsoft.com/office/drawing/2014/chart" uri="{C3380CC4-5D6E-409C-BE32-E72D297353CC}">
              <c16:uniqueId val="{00000001-88EE-4E4A-B514-D581AD4D57AE}"/>
            </c:ext>
          </c:extLst>
        </c:ser>
        <c:dLbls>
          <c:dLblPos val="outEnd"/>
          <c:showLegendKey val="0"/>
          <c:showVal val="1"/>
          <c:showCatName val="0"/>
          <c:showSerName val="0"/>
          <c:showPercent val="0"/>
          <c:showBubbleSize val="0"/>
        </c:dLbls>
        <c:gapWidth val="50"/>
        <c:overlap val="-27"/>
        <c:axId val="1087966879"/>
        <c:axId val="1087951487"/>
      </c:barChart>
      <c:catAx>
        <c:axId val="1087966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87951487"/>
        <c:crosses val="autoZero"/>
        <c:auto val="1"/>
        <c:lblAlgn val="ctr"/>
        <c:lblOffset val="100"/>
        <c:noMultiLvlLbl val="0"/>
      </c:catAx>
      <c:valAx>
        <c:axId val="108795148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87966879"/>
        <c:crosses val="autoZero"/>
        <c:crossBetween val="between"/>
      </c:valAx>
      <c:spPr>
        <a:noFill/>
        <a:ln>
          <a:noFill/>
        </a:ln>
        <a:effectLst/>
      </c:spPr>
    </c:plotArea>
    <c:legend>
      <c:legendPos val="tr"/>
      <c:layout>
        <c:manualLayout>
          <c:xMode val="edge"/>
          <c:yMode val="edge"/>
          <c:x val="0.74105416666666668"/>
          <c:y val="0.19442465277777779"/>
          <c:w val="0.20602916666666668"/>
          <c:h val="0.14882916666666668"/>
        </c:manualLayout>
      </c:layout>
      <c:overlay val="1"/>
      <c:spPr>
        <a:solidFill>
          <a:sysClr val="window" lastClr="FFFFFF"/>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nl-NL"/>
              <a:t>Inzet en tevredenheid op samenwerking (n=48)</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0.53083434282253184"/>
          <c:y val="0.1342701393095094"/>
          <c:w val="0.42417104111986004"/>
          <c:h val="0.75229947766789695"/>
        </c:manualLayout>
      </c:layout>
      <c:barChart>
        <c:barDir val="bar"/>
        <c:grouping val="percentStacked"/>
        <c:varyColors val="0"/>
        <c:ser>
          <c:idx val="3"/>
          <c:order val="0"/>
          <c:tx>
            <c:strRef>
              <c:f>Totaal!$E$176</c:f>
              <c:strCache>
                <c:ptCount val="1"/>
                <c:pt idx="0">
                  <c:v>Hoge inzet, hoge tevredenheid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Totaal!$A$177:$A$190</c:f>
              <c:strCache>
                <c:ptCount val="14"/>
                <c:pt idx="0">
                  <c:v>Promotie en beeldvorming van techniek bij het basisonderwijs (deelname aan STO-activiteiten)</c:v>
                </c:pt>
                <c:pt idx="1">
                  <c:v>Gebruik van apparatuur/faciliteiten door basisscholen</c:v>
                </c:pt>
                <c:pt idx="2">
                  <c:v>Met andere vmbo-scholen aanbod van technische profielen afstemmen</c:v>
                </c:pt>
                <c:pt idx="3">
                  <c:v>Met andere vmbo-scholen aanbod van technische keuzevakken afstemmen</c:v>
                </c:pt>
                <c:pt idx="4">
                  <c:v>Afspraken met andere vmbo-scholen over aanschaf van apparatuur</c:v>
                </c:pt>
                <c:pt idx="5">
                  <c:v>Afspraken met andere vmbo-scholen over gebruik apparatuur/faciliteiten</c:v>
                </c:pt>
                <c:pt idx="6">
                  <c:v>Uitwisseling van leerlingen tussen vmbo-scholen voor deelname aan profielen/keuzevakken/activiteiten</c:v>
                </c:pt>
                <c:pt idx="7">
                  <c:v>Met mbo technisch aanbod afstemmen op mbo-opleidingsaanbod en regionale arbeidsmarktvraag</c:v>
                </c:pt>
                <c:pt idx="8">
                  <c:v>Afstemming met mbo rond doorstroom (bijv. doorlopende leerlijnen/leerroutes)</c:v>
                </c:pt>
                <c:pt idx="9">
                  <c:v>Afspraken met het mbo over aanschaf van apparatuur</c:v>
                </c:pt>
                <c:pt idx="10">
                  <c:v>Afspraken met het mbo over gebruik van apparatuur/faciliteiten</c:v>
                </c:pt>
                <c:pt idx="11">
                  <c:v>Deelname van mbo aan keuzevakken en activiteiten</c:v>
                </c:pt>
                <c:pt idx="12">
                  <c:v>Met bedrijven technisch aanbod afstemmen</c:v>
                </c:pt>
                <c:pt idx="13">
                  <c:v>Deelname van bedrijven aan keuzevakken en activiteiten</c:v>
                </c:pt>
              </c:strCache>
            </c:strRef>
          </c:cat>
          <c:val>
            <c:numRef>
              <c:f>Totaal!$E$177:$E$190</c:f>
              <c:numCache>
                <c:formatCode>0%</c:formatCode>
                <c:ptCount val="14"/>
                <c:pt idx="0">
                  <c:v>0.625</c:v>
                </c:pt>
                <c:pt idx="1">
                  <c:v>0.47916666666666669</c:v>
                </c:pt>
                <c:pt idx="2">
                  <c:v>0.33333333333333331</c:v>
                </c:pt>
                <c:pt idx="3">
                  <c:v>0.35416666666666669</c:v>
                </c:pt>
                <c:pt idx="4">
                  <c:v>0.3125</c:v>
                </c:pt>
                <c:pt idx="5">
                  <c:v>0.33333333333333331</c:v>
                </c:pt>
                <c:pt idx="6">
                  <c:v>0.20833333333333334</c:v>
                </c:pt>
                <c:pt idx="7">
                  <c:v>0.27083333333333331</c:v>
                </c:pt>
                <c:pt idx="8">
                  <c:v>0.27083333333333331</c:v>
                </c:pt>
                <c:pt idx="9">
                  <c:v>0.10416666666666667</c:v>
                </c:pt>
                <c:pt idx="10">
                  <c:v>0.22916666666666666</c:v>
                </c:pt>
                <c:pt idx="11">
                  <c:v>0.29166666666666669</c:v>
                </c:pt>
                <c:pt idx="12">
                  <c:v>0.45833333333333331</c:v>
                </c:pt>
                <c:pt idx="13">
                  <c:v>0.5625</c:v>
                </c:pt>
              </c:numCache>
            </c:numRef>
          </c:val>
          <c:extLst>
            <c:ext xmlns:c16="http://schemas.microsoft.com/office/drawing/2014/chart" uri="{C3380CC4-5D6E-409C-BE32-E72D297353CC}">
              <c16:uniqueId val="{00000000-3E26-4C39-9D21-0409AB27E0C2}"/>
            </c:ext>
          </c:extLst>
        </c:ser>
        <c:ser>
          <c:idx val="1"/>
          <c:order val="1"/>
          <c:tx>
            <c:strRef>
              <c:f>Totaal!$C$176</c:f>
              <c:strCache>
                <c:ptCount val="1"/>
                <c:pt idx="0">
                  <c:v>Lage inzet, hoge tevredenheid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Totaal!$A$177:$A$190</c:f>
              <c:strCache>
                <c:ptCount val="14"/>
                <c:pt idx="0">
                  <c:v>Promotie en beeldvorming van techniek bij het basisonderwijs (deelname aan STO-activiteiten)</c:v>
                </c:pt>
                <c:pt idx="1">
                  <c:v>Gebruik van apparatuur/faciliteiten door basisscholen</c:v>
                </c:pt>
                <c:pt idx="2">
                  <c:v>Met andere vmbo-scholen aanbod van technische profielen afstemmen</c:v>
                </c:pt>
                <c:pt idx="3">
                  <c:v>Met andere vmbo-scholen aanbod van technische keuzevakken afstemmen</c:v>
                </c:pt>
                <c:pt idx="4">
                  <c:v>Afspraken met andere vmbo-scholen over aanschaf van apparatuur</c:v>
                </c:pt>
                <c:pt idx="5">
                  <c:v>Afspraken met andere vmbo-scholen over gebruik apparatuur/faciliteiten</c:v>
                </c:pt>
                <c:pt idx="6">
                  <c:v>Uitwisseling van leerlingen tussen vmbo-scholen voor deelname aan profielen/keuzevakken/activiteiten</c:v>
                </c:pt>
                <c:pt idx="7">
                  <c:v>Met mbo technisch aanbod afstemmen op mbo-opleidingsaanbod en regionale arbeidsmarktvraag</c:v>
                </c:pt>
                <c:pt idx="8">
                  <c:v>Afstemming met mbo rond doorstroom (bijv. doorlopende leerlijnen/leerroutes)</c:v>
                </c:pt>
                <c:pt idx="9">
                  <c:v>Afspraken met het mbo over aanschaf van apparatuur</c:v>
                </c:pt>
                <c:pt idx="10">
                  <c:v>Afspraken met het mbo over gebruik van apparatuur/faciliteiten</c:v>
                </c:pt>
                <c:pt idx="11">
                  <c:v>Deelname van mbo aan keuzevakken en activiteiten</c:v>
                </c:pt>
                <c:pt idx="12">
                  <c:v>Met bedrijven technisch aanbod afstemmen</c:v>
                </c:pt>
                <c:pt idx="13">
                  <c:v>Deelname van bedrijven aan keuzevakken en activiteiten</c:v>
                </c:pt>
              </c:strCache>
            </c:strRef>
          </c:cat>
          <c:val>
            <c:numRef>
              <c:f>Totaal!$C$177:$C$190</c:f>
              <c:numCache>
                <c:formatCode>0%</c:formatCode>
                <c:ptCount val="14"/>
                <c:pt idx="0">
                  <c:v>2.0833333333333332E-2</c:v>
                </c:pt>
                <c:pt idx="1">
                  <c:v>8.3333333333333329E-2</c:v>
                </c:pt>
                <c:pt idx="2">
                  <c:v>8.3333333333333329E-2</c:v>
                </c:pt>
                <c:pt idx="3">
                  <c:v>0.125</c:v>
                </c:pt>
                <c:pt idx="4">
                  <c:v>0.16666666666666666</c:v>
                </c:pt>
                <c:pt idx="5">
                  <c:v>6.25E-2</c:v>
                </c:pt>
                <c:pt idx="6">
                  <c:v>0.125</c:v>
                </c:pt>
                <c:pt idx="7">
                  <c:v>4.1666666666666664E-2</c:v>
                </c:pt>
                <c:pt idx="8">
                  <c:v>2.0833333333333332E-2</c:v>
                </c:pt>
                <c:pt idx="9">
                  <c:v>0.10416666666666667</c:v>
                </c:pt>
                <c:pt idx="10">
                  <c:v>0.125</c:v>
                </c:pt>
                <c:pt idx="11">
                  <c:v>0.10416666666666667</c:v>
                </c:pt>
                <c:pt idx="12">
                  <c:v>0.16666666666666666</c:v>
                </c:pt>
                <c:pt idx="13">
                  <c:v>0.125</c:v>
                </c:pt>
              </c:numCache>
            </c:numRef>
          </c:val>
          <c:extLst>
            <c:ext xmlns:c16="http://schemas.microsoft.com/office/drawing/2014/chart" uri="{C3380CC4-5D6E-409C-BE32-E72D297353CC}">
              <c16:uniqueId val="{00000001-3E26-4C39-9D21-0409AB27E0C2}"/>
            </c:ext>
          </c:extLst>
        </c:ser>
        <c:ser>
          <c:idx val="0"/>
          <c:order val="2"/>
          <c:tx>
            <c:strRef>
              <c:f>Totaal!$B$176</c:f>
              <c:strCache>
                <c:ptCount val="1"/>
                <c:pt idx="0">
                  <c:v>Lage inzet, lage tevredenheid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Totaal!$A$177:$A$190</c:f>
              <c:strCache>
                <c:ptCount val="14"/>
                <c:pt idx="0">
                  <c:v>Promotie en beeldvorming van techniek bij het basisonderwijs (deelname aan STO-activiteiten)</c:v>
                </c:pt>
                <c:pt idx="1">
                  <c:v>Gebruik van apparatuur/faciliteiten door basisscholen</c:v>
                </c:pt>
                <c:pt idx="2">
                  <c:v>Met andere vmbo-scholen aanbod van technische profielen afstemmen</c:v>
                </c:pt>
                <c:pt idx="3">
                  <c:v>Met andere vmbo-scholen aanbod van technische keuzevakken afstemmen</c:v>
                </c:pt>
                <c:pt idx="4">
                  <c:v>Afspraken met andere vmbo-scholen over aanschaf van apparatuur</c:v>
                </c:pt>
                <c:pt idx="5">
                  <c:v>Afspraken met andere vmbo-scholen over gebruik apparatuur/faciliteiten</c:v>
                </c:pt>
                <c:pt idx="6">
                  <c:v>Uitwisseling van leerlingen tussen vmbo-scholen voor deelname aan profielen/keuzevakken/activiteiten</c:v>
                </c:pt>
                <c:pt idx="7">
                  <c:v>Met mbo technisch aanbod afstemmen op mbo-opleidingsaanbod en regionale arbeidsmarktvraag</c:v>
                </c:pt>
                <c:pt idx="8">
                  <c:v>Afstemming met mbo rond doorstroom (bijv. doorlopende leerlijnen/leerroutes)</c:v>
                </c:pt>
                <c:pt idx="9">
                  <c:v>Afspraken met het mbo over aanschaf van apparatuur</c:v>
                </c:pt>
                <c:pt idx="10">
                  <c:v>Afspraken met het mbo over gebruik van apparatuur/faciliteiten</c:v>
                </c:pt>
                <c:pt idx="11">
                  <c:v>Deelname van mbo aan keuzevakken en activiteiten</c:v>
                </c:pt>
                <c:pt idx="12">
                  <c:v>Met bedrijven technisch aanbod afstemmen</c:v>
                </c:pt>
                <c:pt idx="13">
                  <c:v>Deelname van bedrijven aan keuzevakken en activiteiten</c:v>
                </c:pt>
              </c:strCache>
            </c:strRef>
          </c:cat>
          <c:val>
            <c:numRef>
              <c:f>Totaal!$B$177:$B$190</c:f>
              <c:numCache>
                <c:formatCode>0%</c:formatCode>
                <c:ptCount val="14"/>
                <c:pt idx="0">
                  <c:v>0.25</c:v>
                </c:pt>
                <c:pt idx="1">
                  <c:v>0.375</c:v>
                </c:pt>
                <c:pt idx="2">
                  <c:v>0.4375</c:v>
                </c:pt>
                <c:pt idx="3">
                  <c:v>0.4375</c:v>
                </c:pt>
                <c:pt idx="4">
                  <c:v>0.45833333333333331</c:v>
                </c:pt>
                <c:pt idx="5">
                  <c:v>0.58333333333333337</c:v>
                </c:pt>
                <c:pt idx="6">
                  <c:v>0.58333333333333337</c:v>
                </c:pt>
                <c:pt idx="7">
                  <c:v>0.625</c:v>
                </c:pt>
                <c:pt idx="8">
                  <c:v>0.54166666666666663</c:v>
                </c:pt>
                <c:pt idx="9">
                  <c:v>0.77083333333333337</c:v>
                </c:pt>
                <c:pt idx="10">
                  <c:v>0.60416666666666663</c:v>
                </c:pt>
                <c:pt idx="11">
                  <c:v>0.5625</c:v>
                </c:pt>
                <c:pt idx="12">
                  <c:v>0.25</c:v>
                </c:pt>
                <c:pt idx="13">
                  <c:v>0.27083333333333331</c:v>
                </c:pt>
              </c:numCache>
            </c:numRef>
          </c:val>
          <c:extLst>
            <c:ext xmlns:c16="http://schemas.microsoft.com/office/drawing/2014/chart" uri="{C3380CC4-5D6E-409C-BE32-E72D297353CC}">
              <c16:uniqueId val="{00000002-3E26-4C39-9D21-0409AB27E0C2}"/>
            </c:ext>
          </c:extLst>
        </c:ser>
        <c:ser>
          <c:idx val="2"/>
          <c:order val="3"/>
          <c:tx>
            <c:strRef>
              <c:f>Totaal!$D$176</c:f>
              <c:strCache>
                <c:ptCount val="1"/>
                <c:pt idx="0">
                  <c:v>Hoge inzet, lage tevredenheid</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Totaal!$A$177:$A$190</c:f>
              <c:strCache>
                <c:ptCount val="14"/>
                <c:pt idx="0">
                  <c:v>Promotie en beeldvorming van techniek bij het basisonderwijs (deelname aan STO-activiteiten)</c:v>
                </c:pt>
                <c:pt idx="1">
                  <c:v>Gebruik van apparatuur/faciliteiten door basisscholen</c:v>
                </c:pt>
                <c:pt idx="2">
                  <c:v>Met andere vmbo-scholen aanbod van technische profielen afstemmen</c:v>
                </c:pt>
                <c:pt idx="3">
                  <c:v>Met andere vmbo-scholen aanbod van technische keuzevakken afstemmen</c:v>
                </c:pt>
                <c:pt idx="4">
                  <c:v>Afspraken met andere vmbo-scholen over aanschaf van apparatuur</c:v>
                </c:pt>
                <c:pt idx="5">
                  <c:v>Afspraken met andere vmbo-scholen over gebruik apparatuur/faciliteiten</c:v>
                </c:pt>
                <c:pt idx="6">
                  <c:v>Uitwisseling van leerlingen tussen vmbo-scholen voor deelname aan profielen/keuzevakken/activiteiten</c:v>
                </c:pt>
                <c:pt idx="7">
                  <c:v>Met mbo technisch aanbod afstemmen op mbo-opleidingsaanbod en regionale arbeidsmarktvraag</c:v>
                </c:pt>
                <c:pt idx="8">
                  <c:v>Afstemming met mbo rond doorstroom (bijv. doorlopende leerlijnen/leerroutes)</c:v>
                </c:pt>
                <c:pt idx="9">
                  <c:v>Afspraken met het mbo over aanschaf van apparatuur</c:v>
                </c:pt>
                <c:pt idx="10">
                  <c:v>Afspraken met het mbo over gebruik van apparatuur/faciliteiten</c:v>
                </c:pt>
                <c:pt idx="11">
                  <c:v>Deelname van mbo aan keuzevakken en activiteiten</c:v>
                </c:pt>
                <c:pt idx="12">
                  <c:v>Met bedrijven technisch aanbod afstemmen</c:v>
                </c:pt>
                <c:pt idx="13">
                  <c:v>Deelname van bedrijven aan keuzevakken en activiteiten</c:v>
                </c:pt>
              </c:strCache>
            </c:strRef>
          </c:cat>
          <c:val>
            <c:numRef>
              <c:f>Totaal!$D$177:$D$190</c:f>
              <c:numCache>
                <c:formatCode>0%</c:formatCode>
                <c:ptCount val="14"/>
                <c:pt idx="0">
                  <c:v>0.10416666666666667</c:v>
                </c:pt>
                <c:pt idx="1">
                  <c:v>6.25E-2</c:v>
                </c:pt>
                <c:pt idx="2">
                  <c:v>0.14583333333333334</c:v>
                </c:pt>
                <c:pt idx="3">
                  <c:v>8.3333333333333329E-2</c:v>
                </c:pt>
                <c:pt idx="4">
                  <c:v>6.25E-2</c:v>
                </c:pt>
                <c:pt idx="5">
                  <c:v>2.0833333333333332E-2</c:v>
                </c:pt>
                <c:pt idx="6">
                  <c:v>8.3333333333333329E-2</c:v>
                </c:pt>
                <c:pt idx="7">
                  <c:v>6.25E-2</c:v>
                </c:pt>
                <c:pt idx="8">
                  <c:v>0.16666666666666666</c:v>
                </c:pt>
                <c:pt idx="9">
                  <c:v>2.0833333333333332E-2</c:v>
                </c:pt>
                <c:pt idx="10">
                  <c:v>4.1666666666666664E-2</c:v>
                </c:pt>
                <c:pt idx="11">
                  <c:v>4.1666666666666664E-2</c:v>
                </c:pt>
                <c:pt idx="12">
                  <c:v>0.125</c:v>
                </c:pt>
                <c:pt idx="13">
                  <c:v>4.1666666666666664E-2</c:v>
                </c:pt>
              </c:numCache>
            </c:numRef>
          </c:val>
          <c:extLst>
            <c:ext xmlns:c16="http://schemas.microsoft.com/office/drawing/2014/chart" uri="{C3380CC4-5D6E-409C-BE32-E72D297353CC}">
              <c16:uniqueId val="{00000003-3E26-4C39-9D21-0409AB27E0C2}"/>
            </c:ext>
          </c:extLst>
        </c:ser>
        <c:dLbls>
          <c:dLblPos val="ctr"/>
          <c:showLegendKey val="0"/>
          <c:showVal val="1"/>
          <c:showCatName val="0"/>
          <c:showSerName val="0"/>
          <c:showPercent val="0"/>
          <c:showBubbleSize val="0"/>
        </c:dLbls>
        <c:gapWidth val="50"/>
        <c:overlap val="100"/>
        <c:axId val="974298639"/>
        <c:axId val="974296239"/>
      </c:barChart>
      <c:catAx>
        <c:axId val="9742986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74296239"/>
        <c:crosses val="autoZero"/>
        <c:auto val="1"/>
        <c:lblAlgn val="ctr"/>
        <c:lblOffset val="100"/>
        <c:noMultiLvlLbl val="0"/>
      </c:catAx>
      <c:valAx>
        <c:axId val="97429623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74298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nl-NL"/>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nl-NL" sz="1200"/>
              <a:t>Vast contract</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1"/>
          <c:order val="0"/>
          <c:tx>
            <c:strRef>
              <c:f>'andere kenmerken'!$E$1</c:f>
              <c:strCache>
                <c:ptCount val="1"/>
                <c:pt idx="0">
                  <c:v>2017/18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'andere kenmerken'!$A$28:$A$33</c:f>
              <c:strCache>
                <c:ptCount val="6"/>
                <c:pt idx="0">
                  <c:v>HBR</c:v>
                </c:pt>
                <c:pt idx="1">
                  <c:v>Z&amp;W</c:v>
                </c:pt>
                <c:pt idx="2">
                  <c:v>Groen</c:v>
                </c:pt>
                <c:pt idx="3">
                  <c:v>E&amp;O</c:v>
                </c:pt>
                <c:pt idx="4">
                  <c:v>D&amp;P</c:v>
                </c:pt>
                <c:pt idx="5">
                  <c:v>Totaal</c:v>
                </c:pt>
              </c:strCache>
            </c:strRef>
          </c:cat>
          <c:val>
            <c:numRef>
              <c:f>'andere kenmerken'!$F$46:$F$51</c:f>
              <c:numCache>
                <c:formatCode>0%</c:formatCode>
                <c:ptCount val="6"/>
                <c:pt idx="0">
                  <c:v>0.82596685082872923</c:v>
                </c:pt>
                <c:pt idx="1">
                  <c:v>0.8292465448060633</c:v>
                </c:pt>
                <c:pt idx="2">
                  <c:v>0.87088607594936707</c:v>
                </c:pt>
                <c:pt idx="3">
                  <c:v>0.78646934460887952</c:v>
                </c:pt>
                <c:pt idx="4">
                  <c:v>0.83873015873015877</c:v>
                </c:pt>
                <c:pt idx="5">
                  <c:v>0.82945030942846742</c:v>
                </c:pt>
              </c:numCache>
            </c:numRef>
          </c:val>
          <c:extLst>
            <c:ext xmlns:c16="http://schemas.microsoft.com/office/drawing/2014/chart" uri="{C3380CC4-5D6E-409C-BE32-E72D297353CC}">
              <c16:uniqueId val="{00000000-D677-4BB2-8217-4E3DA1ADB1BC}"/>
            </c:ext>
          </c:extLst>
        </c:ser>
        <c:ser>
          <c:idx val="0"/>
          <c:order val="1"/>
          <c:tx>
            <c:strRef>
              <c:f>'andere kenmerken'!$A$1</c:f>
              <c:strCache>
                <c:ptCount val="1"/>
                <c:pt idx="0">
                  <c:v>2022/23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'andere kenmerken'!$A$28:$A$33</c:f>
              <c:strCache>
                <c:ptCount val="6"/>
                <c:pt idx="0">
                  <c:v>HBR</c:v>
                </c:pt>
                <c:pt idx="1">
                  <c:v>Z&amp;W</c:v>
                </c:pt>
                <c:pt idx="2">
                  <c:v>Groen</c:v>
                </c:pt>
                <c:pt idx="3">
                  <c:v>E&amp;O</c:v>
                </c:pt>
                <c:pt idx="4">
                  <c:v>D&amp;P</c:v>
                </c:pt>
                <c:pt idx="5">
                  <c:v>Totaal</c:v>
                </c:pt>
              </c:strCache>
            </c:strRef>
          </c:cat>
          <c:val>
            <c:numRef>
              <c:f>'andere kenmerken'!$C$46:$C$51</c:f>
              <c:numCache>
                <c:formatCode>0%</c:formatCode>
                <c:ptCount val="6"/>
                <c:pt idx="0">
                  <c:v>0.86133333333333328</c:v>
                </c:pt>
                <c:pt idx="1">
                  <c:v>0.76917808219178085</c:v>
                </c:pt>
                <c:pt idx="2">
                  <c:v>1.0151724137931035</c:v>
                </c:pt>
                <c:pt idx="3">
                  <c:v>0.71221281741233378</c:v>
                </c:pt>
                <c:pt idx="4">
                  <c:v>0.80263984915147701</c:v>
                </c:pt>
                <c:pt idx="5">
                  <c:v>0.80360979802320587</c:v>
                </c:pt>
              </c:numCache>
            </c:numRef>
          </c:val>
          <c:extLst>
            <c:ext xmlns:c16="http://schemas.microsoft.com/office/drawing/2014/chart" uri="{C3380CC4-5D6E-409C-BE32-E72D297353CC}">
              <c16:uniqueId val="{00000001-D677-4BB2-8217-4E3DA1ADB1BC}"/>
            </c:ext>
          </c:extLst>
        </c:ser>
        <c:dLbls>
          <c:dLblPos val="outEnd"/>
          <c:showLegendKey val="0"/>
          <c:showVal val="1"/>
          <c:showCatName val="0"/>
          <c:showSerName val="0"/>
          <c:showPercent val="0"/>
          <c:showBubbleSize val="0"/>
        </c:dLbls>
        <c:gapWidth val="50"/>
        <c:overlap val="-27"/>
        <c:axId val="1087966879"/>
        <c:axId val="1087951487"/>
      </c:barChart>
      <c:catAx>
        <c:axId val="1087966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87951487"/>
        <c:crosses val="autoZero"/>
        <c:auto val="1"/>
        <c:lblAlgn val="ctr"/>
        <c:lblOffset val="100"/>
        <c:noMultiLvlLbl val="0"/>
      </c:catAx>
      <c:valAx>
        <c:axId val="108795148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879668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nl-NL" sz="1200"/>
              <a:t>Vrouw</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1"/>
          <c:order val="0"/>
          <c:tx>
            <c:strRef>
              <c:f>'andere kenmerken'!$E$1</c:f>
              <c:strCache>
                <c:ptCount val="1"/>
                <c:pt idx="0">
                  <c:v>2017/18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'andere kenmerken'!$A$28:$A$33</c:f>
              <c:strCache>
                <c:ptCount val="6"/>
                <c:pt idx="0">
                  <c:v>HBR</c:v>
                </c:pt>
                <c:pt idx="1">
                  <c:v>Z&amp;W</c:v>
                </c:pt>
                <c:pt idx="2">
                  <c:v>Groen</c:v>
                </c:pt>
                <c:pt idx="3">
                  <c:v>E&amp;O</c:v>
                </c:pt>
                <c:pt idx="4">
                  <c:v>D&amp;P</c:v>
                </c:pt>
                <c:pt idx="5">
                  <c:v>Totaal</c:v>
                </c:pt>
              </c:strCache>
            </c:strRef>
          </c:cat>
          <c:val>
            <c:numRef>
              <c:f>'andere kenmerken'!$F$28:$F$33</c:f>
              <c:numCache>
                <c:formatCode>0%</c:formatCode>
                <c:ptCount val="6"/>
                <c:pt idx="0">
                  <c:v>0.30939226519337015</c:v>
                </c:pt>
                <c:pt idx="1">
                  <c:v>0.75390102541239412</c:v>
                </c:pt>
                <c:pt idx="2">
                  <c:v>0.50886075949367093</c:v>
                </c:pt>
                <c:pt idx="3">
                  <c:v>0.44080338266384778</c:v>
                </c:pt>
                <c:pt idx="4">
                  <c:v>0.40507936507936509</c:v>
                </c:pt>
                <c:pt idx="5">
                  <c:v>0.54841645431379682</c:v>
                </c:pt>
              </c:numCache>
            </c:numRef>
          </c:val>
          <c:extLst>
            <c:ext xmlns:c16="http://schemas.microsoft.com/office/drawing/2014/chart" uri="{C3380CC4-5D6E-409C-BE32-E72D297353CC}">
              <c16:uniqueId val="{00000000-8FF1-4640-8AD0-90CCDFD20569}"/>
            </c:ext>
          </c:extLst>
        </c:ser>
        <c:ser>
          <c:idx val="0"/>
          <c:order val="1"/>
          <c:tx>
            <c:strRef>
              <c:f>'andere kenmerken'!$A$1</c:f>
              <c:strCache>
                <c:ptCount val="1"/>
                <c:pt idx="0">
                  <c:v>2022/23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'andere kenmerken'!$A$28:$A$33</c:f>
              <c:strCache>
                <c:ptCount val="6"/>
                <c:pt idx="0">
                  <c:v>HBR</c:v>
                </c:pt>
                <c:pt idx="1">
                  <c:v>Z&amp;W</c:v>
                </c:pt>
                <c:pt idx="2">
                  <c:v>Groen</c:v>
                </c:pt>
                <c:pt idx="3">
                  <c:v>E&amp;O</c:v>
                </c:pt>
                <c:pt idx="4">
                  <c:v>D&amp;P</c:v>
                </c:pt>
                <c:pt idx="5">
                  <c:v>Totaal</c:v>
                </c:pt>
              </c:strCache>
            </c:strRef>
          </c:cat>
          <c:val>
            <c:numRef>
              <c:f>'andere kenmerken'!$C$28:$C$33</c:f>
              <c:numCache>
                <c:formatCode>0%</c:formatCode>
                <c:ptCount val="6"/>
                <c:pt idx="0">
                  <c:v>0.376</c:v>
                </c:pt>
                <c:pt idx="1">
                  <c:v>0.87123287671232874</c:v>
                </c:pt>
                <c:pt idx="2">
                  <c:v>0.71034482758620687</c:v>
                </c:pt>
                <c:pt idx="3">
                  <c:v>0.4195888754534462</c:v>
                </c:pt>
                <c:pt idx="4">
                  <c:v>0.46448774355751099</c:v>
                </c:pt>
                <c:pt idx="5">
                  <c:v>0.59389772238934246</c:v>
                </c:pt>
              </c:numCache>
            </c:numRef>
          </c:val>
          <c:extLst>
            <c:ext xmlns:c16="http://schemas.microsoft.com/office/drawing/2014/chart" uri="{C3380CC4-5D6E-409C-BE32-E72D297353CC}">
              <c16:uniqueId val="{00000001-8FF1-4640-8AD0-90CCDFD20569}"/>
            </c:ext>
          </c:extLst>
        </c:ser>
        <c:dLbls>
          <c:dLblPos val="outEnd"/>
          <c:showLegendKey val="0"/>
          <c:showVal val="1"/>
          <c:showCatName val="0"/>
          <c:showSerName val="0"/>
          <c:showPercent val="0"/>
          <c:showBubbleSize val="0"/>
        </c:dLbls>
        <c:gapWidth val="50"/>
        <c:overlap val="-27"/>
        <c:axId val="1087966879"/>
        <c:axId val="1087951487"/>
      </c:barChart>
      <c:catAx>
        <c:axId val="1087966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87951487"/>
        <c:crosses val="autoZero"/>
        <c:auto val="1"/>
        <c:lblAlgn val="ctr"/>
        <c:lblOffset val="100"/>
        <c:noMultiLvlLbl val="0"/>
      </c:catAx>
      <c:valAx>
        <c:axId val="108795148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879668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opl!$C$35</c:f>
              <c:strCache>
                <c:ptCount val="1"/>
                <c:pt idx="0">
                  <c:v>Mbo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opl!$A$36:$B$47</c:f>
              <c:multiLvlStrCache>
                <c:ptCount val="12"/>
                <c:lvl>
                  <c:pt idx="0">
                    <c:v>2017/18</c:v>
                  </c:pt>
                  <c:pt idx="1">
                    <c:v>2022/23</c:v>
                  </c:pt>
                  <c:pt idx="2">
                    <c:v>2017/18</c:v>
                  </c:pt>
                  <c:pt idx="3">
                    <c:v>2022/23</c:v>
                  </c:pt>
                  <c:pt idx="4">
                    <c:v>2017/18</c:v>
                  </c:pt>
                  <c:pt idx="5">
                    <c:v>2022/23</c:v>
                  </c:pt>
                  <c:pt idx="6">
                    <c:v>2017/18</c:v>
                  </c:pt>
                  <c:pt idx="7">
                    <c:v>2022/23</c:v>
                  </c:pt>
                  <c:pt idx="8">
                    <c:v>2017/18</c:v>
                  </c:pt>
                  <c:pt idx="9">
                    <c:v>2022/23</c:v>
                  </c:pt>
                  <c:pt idx="10">
                    <c:v>2017/18</c:v>
                  </c:pt>
                  <c:pt idx="11">
                    <c:v>2022/23</c:v>
                  </c:pt>
                </c:lvl>
                <c:lvl>
                  <c:pt idx="0">
                    <c:v>HBR</c:v>
                  </c:pt>
                  <c:pt idx="2">
                    <c:v>Z&amp;W</c:v>
                  </c:pt>
                  <c:pt idx="4">
                    <c:v>Groen</c:v>
                  </c:pt>
                  <c:pt idx="6">
                    <c:v>E&amp;O</c:v>
                  </c:pt>
                  <c:pt idx="8">
                    <c:v>D&amp;P</c:v>
                  </c:pt>
                  <c:pt idx="10">
                    <c:v>Totaal</c:v>
                  </c:pt>
                </c:lvl>
              </c:multiLvlStrCache>
            </c:multiLvlStrRef>
          </c:cat>
          <c:val>
            <c:numRef>
              <c:f>opl!$C$36:$C$47</c:f>
              <c:numCache>
                <c:formatCode>0%</c:formatCode>
                <c:ptCount val="12"/>
                <c:pt idx="0">
                  <c:v>0.16850828729281769</c:v>
                </c:pt>
                <c:pt idx="1">
                  <c:v>0.20343137254901961</c:v>
                </c:pt>
                <c:pt idx="2">
                  <c:v>0.1154703522068658</c:v>
                </c:pt>
                <c:pt idx="3">
                  <c:v>0.20104780615586115</c:v>
                </c:pt>
                <c:pt idx="4">
                  <c:v>9.2405063291139247E-2</c:v>
                </c:pt>
                <c:pt idx="5">
                  <c:v>0.12927350427350429</c:v>
                </c:pt>
                <c:pt idx="6">
                  <c:v>0.12050739957716702</c:v>
                </c:pt>
                <c:pt idx="7">
                  <c:v>0.16558861578266496</c:v>
                </c:pt>
                <c:pt idx="8">
                  <c:v>0.10539682539682539</c:v>
                </c:pt>
                <c:pt idx="9">
                  <c:v>0.15347137637028013</c:v>
                </c:pt>
                <c:pt idx="10">
                  <c:v>0.11103021477975973</c:v>
                </c:pt>
                <c:pt idx="11">
                  <c:v>0.16345759934453094</c:v>
                </c:pt>
              </c:numCache>
            </c:numRef>
          </c:val>
          <c:extLst>
            <c:ext xmlns:c16="http://schemas.microsoft.com/office/drawing/2014/chart" uri="{C3380CC4-5D6E-409C-BE32-E72D297353CC}">
              <c16:uniqueId val="{00000000-F469-43B4-AA65-C3D992BCC49C}"/>
            </c:ext>
          </c:extLst>
        </c:ser>
        <c:ser>
          <c:idx val="1"/>
          <c:order val="1"/>
          <c:tx>
            <c:strRef>
              <c:f>opl!$D$35</c:f>
              <c:strCache>
                <c:ptCount val="1"/>
                <c:pt idx="0">
                  <c:v>Hbo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opl!$A$36:$B$47</c:f>
              <c:multiLvlStrCache>
                <c:ptCount val="12"/>
                <c:lvl>
                  <c:pt idx="0">
                    <c:v>2017/18</c:v>
                  </c:pt>
                  <c:pt idx="1">
                    <c:v>2022/23</c:v>
                  </c:pt>
                  <c:pt idx="2">
                    <c:v>2017/18</c:v>
                  </c:pt>
                  <c:pt idx="3">
                    <c:v>2022/23</c:v>
                  </c:pt>
                  <c:pt idx="4">
                    <c:v>2017/18</c:v>
                  </c:pt>
                  <c:pt idx="5">
                    <c:v>2022/23</c:v>
                  </c:pt>
                  <c:pt idx="6">
                    <c:v>2017/18</c:v>
                  </c:pt>
                  <c:pt idx="7">
                    <c:v>2022/23</c:v>
                  </c:pt>
                  <c:pt idx="8">
                    <c:v>2017/18</c:v>
                  </c:pt>
                  <c:pt idx="9">
                    <c:v>2022/23</c:v>
                  </c:pt>
                  <c:pt idx="10">
                    <c:v>2017/18</c:v>
                  </c:pt>
                  <c:pt idx="11">
                    <c:v>2022/23</c:v>
                  </c:pt>
                </c:lvl>
                <c:lvl>
                  <c:pt idx="0">
                    <c:v>HBR</c:v>
                  </c:pt>
                  <c:pt idx="2">
                    <c:v>Z&amp;W</c:v>
                  </c:pt>
                  <c:pt idx="4">
                    <c:v>Groen</c:v>
                  </c:pt>
                  <c:pt idx="6">
                    <c:v>E&amp;O</c:v>
                  </c:pt>
                  <c:pt idx="8">
                    <c:v>D&amp;P</c:v>
                  </c:pt>
                  <c:pt idx="10">
                    <c:v>Totaal</c:v>
                  </c:pt>
                </c:lvl>
              </c:multiLvlStrCache>
            </c:multiLvlStrRef>
          </c:cat>
          <c:val>
            <c:numRef>
              <c:f>opl!$D$36:$D$47</c:f>
              <c:numCache>
                <c:formatCode>0%</c:formatCode>
                <c:ptCount val="12"/>
                <c:pt idx="0">
                  <c:v>0.6933701657458563</c:v>
                </c:pt>
                <c:pt idx="1">
                  <c:v>0.69362745098039214</c:v>
                </c:pt>
                <c:pt idx="2">
                  <c:v>0.68301382077574679</c:v>
                </c:pt>
                <c:pt idx="3">
                  <c:v>0.66928618205631962</c:v>
                </c:pt>
                <c:pt idx="4">
                  <c:v>0.71139240506329116</c:v>
                </c:pt>
                <c:pt idx="5">
                  <c:v>0.75534188034188032</c:v>
                </c:pt>
                <c:pt idx="6">
                  <c:v>0.64270613107822405</c:v>
                </c:pt>
                <c:pt idx="7">
                  <c:v>0.72962483829236735</c:v>
                </c:pt>
                <c:pt idx="8">
                  <c:v>0.70285714285714285</c:v>
                </c:pt>
                <c:pt idx="9">
                  <c:v>0.71985383678440928</c:v>
                </c:pt>
                <c:pt idx="10">
                  <c:v>0.68893338187113218</c:v>
                </c:pt>
                <c:pt idx="11">
                  <c:v>0.71364195002048336</c:v>
                </c:pt>
              </c:numCache>
            </c:numRef>
          </c:val>
          <c:extLst>
            <c:ext xmlns:c16="http://schemas.microsoft.com/office/drawing/2014/chart" uri="{C3380CC4-5D6E-409C-BE32-E72D297353CC}">
              <c16:uniqueId val="{00000001-F469-43B4-AA65-C3D992BCC49C}"/>
            </c:ext>
          </c:extLst>
        </c:ser>
        <c:ser>
          <c:idx val="2"/>
          <c:order val="2"/>
          <c:tx>
            <c:strRef>
              <c:f>opl!$E$35</c:f>
              <c:strCache>
                <c:ptCount val="1"/>
                <c:pt idx="0">
                  <c:v>Wo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opl!$A$36:$B$47</c:f>
              <c:multiLvlStrCache>
                <c:ptCount val="12"/>
                <c:lvl>
                  <c:pt idx="0">
                    <c:v>2017/18</c:v>
                  </c:pt>
                  <c:pt idx="1">
                    <c:v>2022/23</c:v>
                  </c:pt>
                  <c:pt idx="2">
                    <c:v>2017/18</c:v>
                  </c:pt>
                  <c:pt idx="3">
                    <c:v>2022/23</c:v>
                  </c:pt>
                  <c:pt idx="4">
                    <c:v>2017/18</c:v>
                  </c:pt>
                  <c:pt idx="5">
                    <c:v>2022/23</c:v>
                  </c:pt>
                  <c:pt idx="6">
                    <c:v>2017/18</c:v>
                  </c:pt>
                  <c:pt idx="7">
                    <c:v>2022/23</c:v>
                  </c:pt>
                  <c:pt idx="8">
                    <c:v>2017/18</c:v>
                  </c:pt>
                  <c:pt idx="9">
                    <c:v>2022/23</c:v>
                  </c:pt>
                  <c:pt idx="10">
                    <c:v>2017/18</c:v>
                  </c:pt>
                  <c:pt idx="11">
                    <c:v>2022/23</c:v>
                  </c:pt>
                </c:lvl>
                <c:lvl>
                  <c:pt idx="0">
                    <c:v>HBR</c:v>
                  </c:pt>
                  <c:pt idx="2">
                    <c:v>Z&amp;W</c:v>
                  </c:pt>
                  <c:pt idx="4">
                    <c:v>Groen</c:v>
                  </c:pt>
                  <c:pt idx="6">
                    <c:v>E&amp;O</c:v>
                  </c:pt>
                  <c:pt idx="8">
                    <c:v>D&amp;P</c:v>
                  </c:pt>
                  <c:pt idx="10">
                    <c:v>Totaal</c:v>
                  </c:pt>
                </c:lvl>
              </c:multiLvlStrCache>
            </c:multiLvlStrRef>
          </c:cat>
          <c:val>
            <c:numRef>
              <c:f>opl!$E$36:$E$47</c:f>
              <c:numCache>
                <c:formatCode>0%</c:formatCode>
                <c:ptCount val="12"/>
                <c:pt idx="0">
                  <c:v>4.4198895027624308E-2</c:v>
                </c:pt>
                <c:pt idx="1">
                  <c:v>6.1274509803921566E-2</c:v>
                </c:pt>
                <c:pt idx="2">
                  <c:v>8.0695497102095406E-2</c:v>
                </c:pt>
                <c:pt idx="3">
                  <c:v>6.3523248199083171E-2</c:v>
                </c:pt>
                <c:pt idx="4">
                  <c:v>8.2278481012658222E-2</c:v>
                </c:pt>
                <c:pt idx="5">
                  <c:v>6.0897435897435896E-2</c:v>
                </c:pt>
                <c:pt idx="6">
                  <c:v>0.12790697674418605</c:v>
                </c:pt>
                <c:pt idx="7">
                  <c:v>7.8913324708926258E-2</c:v>
                </c:pt>
                <c:pt idx="8">
                  <c:v>9.2063492063492069E-2</c:v>
                </c:pt>
                <c:pt idx="9">
                  <c:v>7.186358099878197E-2</c:v>
                </c:pt>
                <c:pt idx="10">
                  <c:v>8.9916272297051333E-2</c:v>
                </c:pt>
                <c:pt idx="11">
                  <c:v>6.7800081933633752E-2</c:v>
                </c:pt>
              </c:numCache>
            </c:numRef>
          </c:val>
          <c:extLst>
            <c:ext xmlns:c16="http://schemas.microsoft.com/office/drawing/2014/chart" uri="{C3380CC4-5D6E-409C-BE32-E72D297353CC}">
              <c16:uniqueId val="{00000002-F469-43B4-AA65-C3D992BCC49C}"/>
            </c:ext>
          </c:extLst>
        </c:ser>
        <c:ser>
          <c:idx val="3"/>
          <c:order val="3"/>
          <c:tx>
            <c:strRef>
              <c:f>opl!$F$35</c:f>
              <c:strCache>
                <c:ptCount val="1"/>
                <c:pt idx="0">
                  <c:v>onbekend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opl!$A$36:$B$47</c:f>
              <c:multiLvlStrCache>
                <c:ptCount val="12"/>
                <c:lvl>
                  <c:pt idx="0">
                    <c:v>2017/18</c:v>
                  </c:pt>
                  <c:pt idx="1">
                    <c:v>2022/23</c:v>
                  </c:pt>
                  <c:pt idx="2">
                    <c:v>2017/18</c:v>
                  </c:pt>
                  <c:pt idx="3">
                    <c:v>2022/23</c:v>
                  </c:pt>
                  <c:pt idx="4">
                    <c:v>2017/18</c:v>
                  </c:pt>
                  <c:pt idx="5">
                    <c:v>2022/23</c:v>
                  </c:pt>
                  <c:pt idx="6">
                    <c:v>2017/18</c:v>
                  </c:pt>
                  <c:pt idx="7">
                    <c:v>2022/23</c:v>
                  </c:pt>
                  <c:pt idx="8">
                    <c:v>2017/18</c:v>
                  </c:pt>
                  <c:pt idx="9">
                    <c:v>2022/23</c:v>
                  </c:pt>
                  <c:pt idx="10">
                    <c:v>2017/18</c:v>
                  </c:pt>
                  <c:pt idx="11">
                    <c:v>2022/23</c:v>
                  </c:pt>
                </c:lvl>
                <c:lvl>
                  <c:pt idx="0">
                    <c:v>HBR</c:v>
                  </c:pt>
                  <c:pt idx="2">
                    <c:v>Z&amp;W</c:v>
                  </c:pt>
                  <c:pt idx="4">
                    <c:v>Groen</c:v>
                  </c:pt>
                  <c:pt idx="6">
                    <c:v>E&amp;O</c:v>
                  </c:pt>
                  <c:pt idx="8">
                    <c:v>D&amp;P</c:v>
                  </c:pt>
                  <c:pt idx="10">
                    <c:v>Totaal</c:v>
                  </c:pt>
                </c:lvl>
              </c:multiLvlStrCache>
            </c:multiLvlStrRef>
          </c:cat>
          <c:val>
            <c:numRef>
              <c:f>opl!$F$36:$F$47</c:f>
              <c:numCache>
                <c:formatCode>0%</c:formatCode>
                <c:ptCount val="12"/>
                <c:pt idx="0">
                  <c:v>9.3922651933701654E-2</c:v>
                </c:pt>
                <c:pt idx="1">
                  <c:v>4.1666666666666664E-2</c:v>
                </c:pt>
                <c:pt idx="2">
                  <c:v>0.12082032991529201</c:v>
                </c:pt>
                <c:pt idx="3">
                  <c:v>6.6142763588736081E-2</c:v>
                </c:pt>
                <c:pt idx="4">
                  <c:v>0.11392405063291139</c:v>
                </c:pt>
                <c:pt idx="5">
                  <c:v>5.4487179487179488E-2</c:v>
                </c:pt>
                <c:pt idx="6">
                  <c:v>0.10887949260042283</c:v>
                </c:pt>
                <c:pt idx="7">
                  <c:v>2.5873221216041398E-2</c:v>
                </c:pt>
                <c:pt idx="8">
                  <c:v>9.9682539682539678E-2</c:v>
                </c:pt>
                <c:pt idx="9">
                  <c:v>5.4811205846528627E-2</c:v>
                </c:pt>
                <c:pt idx="10">
                  <c:v>0.11012013105205679</c:v>
                </c:pt>
                <c:pt idx="11">
                  <c:v>5.5100368701351904E-2</c:v>
                </c:pt>
              </c:numCache>
            </c:numRef>
          </c:val>
          <c:extLst>
            <c:ext xmlns:c16="http://schemas.microsoft.com/office/drawing/2014/chart" uri="{C3380CC4-5D6E-409C-BE32-E72D297353CC}">
              <c16:uniqueId val="{00000003-F469-43B4-AA65-C3D992BCC49C}"/>
            </c:ext>
          </c:extLst>
        </c:ser>
        <c:dLbls>
          <c:dLblPos val="ctr"/>
          <c:showLegendKey val="0"/>
          <c:showVal val="1"/>
          <c:showCatName val="0"/>
          <c:showSerName val="0"/>
          <c:showPercent val="0"/>
          <c:showBubbleSize val="0"/>
        </c:dLbls>
        <c:gapWidth val="20"/>
        <c:overlap val="100"/>
        <c:axId val="947863631"/>
        <c:axId val="947868623"/>
      </c:barChart>
      <c:catAx>
        <c:axId val="94786363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47868623"/>
        <c:crosses val="autoZero"/>
        <c:auto val="1"/>
        <c:lblAlgn val="ctr"/>
        <c:lblOffset val="100"/>
        <c:noMultiLvlLbl val="0"/>
      </c:catAx>
      <c:valAx>
        <c:axId val="94786862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47863631"/>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oplrichting!$C$35</c:f>
              <c:strCache>
                <c:ptCount val="1"/>
                <c:pt idx="0">
                  <c:v>Leraren opleiding algemene en beroepsgerichte vakken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oplrichting!$A$36:$B$47</c:f>
              <c:multiLvlStrCache>
                <c:ptCount val="12"/>
                <c:lvl>
                  <c:pt idx="0">
                    <c:v>2017/18</c:v>
                  </c:pt>
                  <c:pt idx="1">
                    <c:v>2022/23</c:v>
                  </c:pt>
                  <c:pt idx="2">
                    <c:v>2017/18</c:v>
                  </c:pt>
                  <c:pt idx="3">
                    <c:v>2022/23</c:v>
                  </c:pt>
                  <c:pt idx="4">
                    <c:v>2017/18</c:v>
                  </c:pt>
                  <c:pt idx="5">
                    <c:v>2022/23</c:v>
                  </c:pt>
                  <c:pt idx="6">
                    <c:v>2017/18</c:v>
                  </c:pt>
                  <c:pt idx="7">
                    <c:v>2022/23</c:v>
                  </c:pt>
                  <c:pt idx="8">
                    <c:v>2017/18</c:v>
                  </c:pt>
                  <c:pt idx="9">
                    <c:v>2022/23</c:v>
                  </c:pt>
                  <c:pt idx="10">
                    <c:v>2017/18</c:v>
                  </c:pt>
                  <c:pt idx="11">
                    <c:v>2022/23</c:v>
                  </c:pt>
                </c:lvl>
                <c:lvl>
                  <c:pt idx="0">
                    <c:v>HBR</c:v>
                  </c:pt>
                  <c:pt idx="2">
                    <c:v>Z&amp;W</c:v>
                  </c:pt>
                  <c:pt idx="4">
                    <c:v>Groen</c:v>
                  </c:pt>
                  <c:pt idx="6">
                    <c:v>E&amp;O</c:v>
                  </c:pt>
                  <c:pt idx="8">
                    <c:v>D&amp;P</c:v>
                  </c:pt>
                  <c:pt idx="10">
                    <c:v>Totaal</c:v>
                  </c:pt>
                </c:lvl>
              </c:multiLvlStrCache>
            </c:multiLvlStrRef>
          </c:cat>
          <c:val>
            <c:numRef>
              <c:f>oplrichting!$C$36:$C$47</c:f>
              <c:numCache>
                <c:formatCode>0%</c:formatCode>
                <c:ptCount val="12"/>
                <c:pt idx="0">
                  <c:v>0.60382513661202186</c:v>
                </c:pt>
                <c:pt idx="1">
                  <c:v>0.61029411764705888</c:v>
                </c:pt>
                <c:pt idx="2">
                  <c:v>0.55060898782024359</c:v>
                </c:pt>
                <c:pt idx="3">
                  <c:v>0.55795677799607069</c:v>
                </c:pt>
                <c:pt idx="4">
                  <c:v>0.60939431396786159</c:v>
                </c:pt>
                <c:pt idx="5">
                  <c:v>0.63568376068376065</c:v>
                </c:pt>
                <c:pt idx="6">
                  <c:v>0.50525210084033612</c:v>
                </c:pt>
                <c:pt idx="7">
                  <c:v>0.59249676584734801</c:v>
                </c:pt>
                <c:pt idx="8">
                  <c:v>0.57858484658735132</c:v>
                </c:pt>
                <c:pt idx="9">
                  <c:v>0.58952496954933009</c:v>
                </c:pt>
                <c:pt idx="10">
                  <c:v>0.52161256175017645</c:v>
                </c:pt>
                <c:pt idx="11">
                  <c:v>0.59483818107333064</c:v>
                </c:pt>
              </c:numCache>
            </c:numRef>
          </c:val>
          <c:extLst>
            <c:ext xmlns:c16="http://schemas.microsoft.com/office/drawing/2014/chart" uri="{C3380CC4-5D6E-409C-BE32-E72D297353CC}">
              <c16:uniqueId val="{00000000-4161-4336-9B17-25DA4A7634A8}"/>
            </c:ext>
          </c:extLst>
        </c:ser>
        <c:ser>
          <c:idx val="1"/>
          <c:order val="1"/>
          <c:tx>
            <c:strRef>
              <c:f>oplrichting!$D$35</c:f>
              <c:strCache>
                <c:ptCount val="1"/>
                <c:pt idx="0">
                  <c:v>overig onderwijs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oplrichting!$A$36:$B$47</c:f>
              <c:multiLvlStrCache>
                <c:ptCount val="12"/>
                <c:lvl>
                  <c:pt idx="0">
                    <c:v>2017/18</c:v>
                  </c:pt>
                  <c:pt idx="1">
                    <c:v>2022/23</c:v>
                  </c:pt>
                  <c:pt idx="2">
                    <c:v>2017/18</c:v>
                  </c:pt>
                  <c:pt idx="3">
                    <c:v>2022/23</c:v>
                  </c:pt>
                  <c:pt idx="4">
                    <c:v>2017/18</c:v>
                  </c:pt>
                  <c:pt idx="5">
                    <c:v>2022/23</c:v>
                  </c:pt>
                  <c:pt idx="6">
                    <c:v>2017/18</c:v>
                  </c:pt>
                  <c:pt idx="7">
                    <c:v>2022/23</c:v>
                  </c:pt>
                  <c:pt idx="8">
                    <c:v>2017/18</c:v>
                  </c:pt>
                  <c:pt idx="9">
                    <c:v>2022/23</c:v>
                  </c:pt>
                  <c:pt idx="10">
                    <c:v>2017/18</c:v>
                  </c:pt>
                  <c:pt idx="11">
                    <c:v>2022/23</c:v>
                  </c:pt>
                </c:lvl>
                <c:lvl>
                  <c:pt idx="0">
                    <c:v>HBR</c:v>
                  </c:pt>
                  <c:pt idx="2">
                    <c:v>Z&amp;W</c:v>
                  </c:pt>
                  <c:pt idx="4">
                    <c:v>Groen</c:v>
                  </c:pt>
                  <c:pt idx="6">
                    <c:v>E&amp;O</c:v>
                  </c:pt>
                  <c:pt idx="8">
                    <c:v>D&amp;P</c:v>
                  </c:pt>
                  <c:pt idx="10">
                    <c:v>Totaal</c:v>
                  </c:pt>
                </c:lvl>
              </c:multiLvlStrCache>
            </c:multiLvlStrRef>
          </c:cat>
          <c:val>
            <c:numRef>
              <c:f>oplrichting!$D$36:$D$47</c:f>
              <c:numCache>
                <c:formatCode>0%</c:formatCode>
                <c:ptCount val="12"/>
                <c:pt idx="0">
                  <c:v>8.4699453551912565E-2</c:v>
                </c:pt>
                <c:pt idx="1">
                  <c:v>0.10784313725490197</c:v>
                </c:pt>
                <c:pt idx="2">
                  <c:v>0.14741705165896682</c:v>
                </c:pt>
                <c:pt idx="3">
                  <c:v>0.13686967910936476</c:v>
                </c:pt>
                <c:pt idx="4">
                  <c:v>0.10754017305315204</c:v>
                </c:pt>
                <c:pt idx="5">
                  <c:v>0.11538461538461539</c:v>
                </c:pt>
                <c:pt idx="6">
                  <c:v>0.11449579831932773</c:v>
                </c:pt>
                <c:pt idx="7">
                  <c:v>7.6326002587322125E-2</c:v>
                </c:pt>
                <c:pt idx="8">
                  <c:v>0.11897307451471509</c:v>
                </c:pt>
                <c:pt idx="9">
                  <c:v>0.12302070645554203</c:v>
                </c:pt>
                <c:pt idx="10">
                  <c:v>0.17497353563867327</c:v>
                </c:pt>
                <c:pt idx="11">
                  <c:v>0.11450225317492831</c:v>
                </c:pt>
              </c:numCache>
            </c:numRef>
          </c:val>
          <c:extLst>
            <c:ext xmlns:c16="http://schemas.microsoft.com/office/drawing/2014/chart" uri="{C3380CC4-5D6E-409C-BE32-E72D297353CC}">
              <c16:uniqueId val="{00000001-4161-4336-9B17-25DA4A7634A8}"/>
            </c:ext>
          </c:extLst>
        </c:ser>
        <c:ser>
          <c:idx val="2"/>
          <c:order val="2"/>
          <c:tx>
            <c:strRef>
              <c:f>oplrichting!$E$35</c:f>
              <c:strCache>
                <c:ptCount val="1"/>
                <c:pt idx="0">
                  <c:v>overig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oplrichting!$A$36:$B$47</c:f>
              <c:multiLvlStrCache>
                <c:ptCount val="12"/>
                <c:lvl>
                  <c:pt idx="0">
                    <c:v>2017/18</c:v>
                  </c:pt>
                  <c:pt idx="1">
                    <c:v>2022/23</c:v>
                  </c:pt>
                  <c:pt idx="2">
                    <c:v>2017/18</c:v>
                  </c:pt>
                  <c:pt idx="3">
                    <c:v>2022/23</c:v>
                  </c:pt>
                  <c:pt idx="4">
                    <c:v>2017/18</c:v>
                  </c:pt>
                  <c:pt idx="5">
                    <c:v>2022/23</c:v>
                  </c:pt>
                  <c:pt idx="6">
                    <c:v>2017/18</c:v>
                  </c:pt>
                  <c:pt idx="7">
                    <c:v>2022/23</c:v>
                  </c:pt>
                  <c:pt idx="8">
                    <c:v>2017/18</c:v>
                  </c:pt>
                  <c:pt idx="9">
                    <c:v>2022/23</c:v>
                  </c:pt>
                  <c:pt idx="10">
                    <c:v>2017/18</c:v>
                  </c:pt>
                  <c:pt idx="11">
                    <c:v>2022/23</c:v>
                  </c:pt>
                </c:lvl>
                <c:lvl>
                  <c:pt idx="0">
                    <c:v>HBR</c:v>
                  </c:pt>
                  <c:pt idx="2">
                    <c:v>Z&amp;W</c:v>
                  </c:pt>
                  <c:pt idx="4">
                    <c:v>Groen</c:v>
                  </c:pt>
                  <c:pt idx="6">
                    <c:v>E&amp;O</c:v>
                  </c:pt>
                  <c:pt idx="8">
                    <c:v>D&amp;P</c:v>
                  </c:pt>
                  <c:pt idx="10">
                    <c:v>Totaal</c:v>
                  </c:pt>
                </c:lvl>
              </c:multiLvlStrCache>
            </c:multiLvlStrRef>
          </c:cat>
          <c:val>
            <c:numRef>
              <c:f>oplrichting!$E$36:$E$47</c:f>
              <c:numCache>
                <c:formatCode>0%</c:formatCode>
                <c:ptCount val="12"/>
                <c:pt idx="0">
                  <c:v>0.16120218579234974</c:v>
                </c:pt>
                <c:pt idx="1">
                  <c:v>0.21813725490196079</c:v>
                </c:pt>
                <c:pt idx="2">
                  <c:v>0.14867702645947081</c:v>
                </c:pt>
                <c:pt idx="3">
                  <c:v>0.22069417157825802</c:v>
                </c:pt>
                <c:pt idx="4">
                  <c:v>0.14462299134734241</c:v>
                </c:pt>
                <c:pt idx="5">
                  <c:v>0.17841880341880342</c:v>
                </c:pt>
                <c:pt idx="6">
                  <c:v>0.23739495798319327</c:v>
                </c:pt>
                <c:pt idx="7">
                  <c:v>0.28589909443725742</c:v>
                </c:pt>
                <c:pt idx="8">
                  <c:v>0.17157169693174704</c:v>
                </c:pt>
                <c:pt idx="9">
                  <c:v>0.21315468940316687</c:v>
                </c:pt>
                <c:pt idx="10">
                  <c:v>0.16981298517995766</c:v>
                </c:pt>
                <c:pt idx="11">
                  <c:v>0.21691929537074969</c:v>
                </c:pt>
              </c:numCache>
            </c:numRef>
          </c:val>
          <c:extLst>
            <c:ext xmlns:c16="http://schemas.microsoft.com/office/drawing/2014/chart" uri="{C3380CC4-5D6E-409C-BE32-E72D297353CC}">
              <c16:uniqueId val="{00000002-4161-4336-9B17-25DA4A7634A8}"/>
            </c:ext>
          </c:extLst>
        </c:ser>
        <c:ser>
          <c:idx val="3"/>
          <c:order val="3"/>
          <c:tx>
            <c:strRef>
              <c:f>oplrichting!$F$35</c:f>
              <c:strCache>
                <c:ptCount val="1"/>
                <c:pt idx="0">
                  <c:v>onbekend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oplrichting!$A$36:$B$47</c:f>
              <c:multiLvlStrCache>
                <c:ptCount val="12"/>
                <c:lvl>
                  <c:pt idx="0">
                    <c:v>2017/18</c:v>
                  </c:pt>
                  <c:pt idx="1">
                    <c:v>2022/23</c:v>
                  </c:pt>
                  <c:pt idx="2">
                    <c:v>2017/18</c:v>
                  </c:pt>
                  <c:pt idx="3">
                    <c:v>2022/23</c:v>
                  </c:pt>
                  <c:pt idx="4">
                    <c:v>2017/18</c:v>
                  </c:pt>
                  <c:pt idx="5">
                    <c:v>2022/23</c:v>
                  </c:pt>
                  <c:pt idx="6">
                    <c:v>2017/18</c:v>
                  </c:pt>
                  <c:pt idx="7">
                    <c:v>2022/23</c:v>
                  </c:pt>
                  <c:pt idx="8">
                    <c:v>2017/18</c:v>
                  </c:pt>
                  <c:pt idx="9">
                    <c:v>2022/23</c:v>
                  </c:pt>
                  <c:pt idx="10">
                    <c:v>2017/18</c:v>
                  </c:pt>
                  <c:pt idx="11">
                    <c:v>2022/23</c:v>
                  </c:pt>
                </c:lvl>
                <c:lvl>
                  <c:pt idx="0">
                    <c:v>HBR</c:v>
                  </c:pt>
                  <c:pt idx="2">
                    <c:v>Z&amp;W</c:v>
                  </c:pt>
                  <c:pt idx="4">
                    <c:v>Groen</c:v>
                  </c:pt>
                  <c:pt idx="6">
                    <c:v>E&amp;O</c:v>
                  </c:pt>
                  <c:pt idx="8">
                    <c:v>D&amp;P</c:v>
                  </c:pt>
                  <c:pt idx="10">
                    <c:v>Totaal</c:v>
                  </c:pt>
                </c:lvl>
              </c:multiLvlStrCache>
            </c:multiLvlStrRef>
          </c:cat>
          <c:val>
            <c:numRef>
              <c:f>oplrichting!$F$36:$F$47</c:f>
              <c:numCache>
                <c:formatCode>0%</c:formatCode>
                <c:ptCount val="12"/>
                <c:pt idx="0">
                  <c:v>0.15027322404371585</c:v>
                </c:pt>
                <c:pt idx="1">
                  <c:v>6.3725490196078427E-2</c:v>
                </c:pt>
                <c:pt idx="2">
                  <c:v>0.15329693406131878</c:v>
                </c:pt>
                <c:pt idx="3">
                  <c:v>8.4479371316306479E-2</c:v>
                </c:pt>
                <c:pt idx="4">
                  <c:v>0.138442521631644</c:v>
                </c:pt>
                <c:pt idx="5">
                  <c:v>7.0512820512820512E-2</c:v>
                </c:pt>
                <c:pt idx="6">
                  <c:v>0.14285714285714285</c:v>
                </c:pt>
                <c:pt idx="7">
                  <c:v>4.5278137128072445E-2</c:v>
                </c:pt>
                <c:pt idx="8">
                  <c:v>0.13087038196618661</c:v>
                </c:pt>
                <c:pt idx="9">
                  <c:v>7.4299634591961025E-2</c:v>
                </c:pt>
                <c:pt idx="10">
                  <c:v>0.13360091743119265</c:v>
                </c:pt>
                <c:pt idx="11">
                  <c:v>7.3740270380991402E-2</c:v>
                </c:pt>
              </c:numCache>
            </c:numRef>
          </c:val>
          <c:extLst>
            <c:ext xmlns:c16="http://schemas.microsoft.com/office/drawing/2014/chart" uri="{C3380CC4-5D6E-409C-BE32-E72D297353CC}">
              <c16:uniqueId val="{00000003-4161-4336-9B17-25DA4A7634A8}"/>
            </c:ext>
          </c:extLst>
        </c:ser>
        <c:dLbls>
          <c:dLblPos val="ctr"/>
          <c:showLegendKey val="0"/>
          <c:showVal val="1"/>
          <c:showCatName val="0"/>
          <c:showSerName val="0"/>
          <c:showPercent val="0"/>
          <c:showBubbleSize val="0"/>
        </c:dLbls>
        <c:gapWidth val="20"/>
        <c:overlap val="100"/>
        <c:axId val="947863631"/>
        <c:axId val="947868623"/>
      </c:barChart>
      <c:catAx>
        <c:axId val="94786363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47868623"/>
        <c:crosses val="autoZero"/>
        <c:auto val="1"/>
        <c:lblAlgn val="ctr"/>
        <c:lblOffset val="100"/>
        <c:noMultiLvlLbl val="0"/>
      </c:catAx>
      <c:valAx>
        <c:axId val="94786862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47863631"/>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nl-NL" sz="1000" baseline="0"/>
              <a:t>2 jaar eerder                                             5 jaar eerder</a:t>
            </a:r>
            <a:endParaRPr lang="nl-NL" sz="1000"/>
          </a:p>
        </c:rich>
      </c:tx>
      <c:layout>
        <c:manualLayout>
          <c:xMode val="edge"/>
          <c:yMode val="edge"/>
          <c:x val="0.18874999131286876"/>
          <c:y val="3.501830046473548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7.7167710671264975E-2"/>
          <c:y val="0.11822762406992704"/>
          <c:w val="0.66288221896775468"/>
          <c:h val="0.73639986515447042"/>
        </c:manualLayout>
      </c:layout>
      <c:barChart>
        <c:barDir val="col"/>
        <c:grouping val="percentStacked"/>
        <c:varyColors val="0"/>
        <c:ser>
          <c:idx val="0"/>
          <c:order val="0"/>
          <c:tx>
            <c:strRef>
              <c:f>eerder!$L$2</c:f>
              <c:strCache>
                <c:ptCount val="1"/>
                <c:pt idx="0">
                  <c:v>Werkzaam buiten onderwijs</c:v>
                </c:pt>
              </c:strCache>
            </c:strRef>
          </c:tx>
          <c:spPr>
            <a:solidFill>
              <a:schemeClr val="accent1"/>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0-AA71-4178-9C1A-F41A02636A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eerder!$K$18:$K$30</c:f>
              <c:strCache>
                <c:ptCount val="13"/>
                <c:pt idx="0">
                  <c:v>2017/18</c:v>
                </c:pt>
                <c:pt idx="1">
                  <c:v>2018/19</c:v>
                </c:pt>
                <c:pt idx="2">
                  <c:v>2019/20</c:v>
                </c:pt>
                <c:pt idx="3">
                  <c:v>2020/21</c:v>
                </c:pt>
                <c:pt idx="4">
                  <c:v>2021/22</c:v>
                </c:pt>
                <c:pt idx="5">
                  <c:v>2022/23</c:v>
                </c:pt>
                <c:pt idx="7">
                  <c:v>2017/18</c:v>
                </c:pt>
                <c:pt idx="8">
                  <c:v>2018/19</c:v>
                </c:pt>
                <c:pt idx="9">
                  <c:v>2019/20</c:v>
                </c:pt>
                <c:pt idx="10">
                  <c:v>2020/21</c:v>
                </c:pt>
                <c:pt idx="11">
                  <c:v>2021/22</c:v>
                </c:pt>
                <c:pt idx="12">
                  <c:v>2022/23</c:v>
                </c:pt>
              </c:strCache>
            </c:strRef>
          </c:cat>
          <c:val>
            <c:numRef>
              <c:f>eerder!$L$18:$L$30</c:f>
              <c:numCache>
                <c:formatCode>0%</c:formatCode>
                <c:ptCount val="13"/>
                <c:pt idx="0">
                  <c:v>4.9003175723359209E-2</c:v>
                </c:pt>
                <c:pt idx="1">
                  <c:v>4.7744360902255638E-2</c:v>
                </c:pt>
                <c:pt idx="2">
                  <c:v>5.5648926237161528E-2</c:v>
                </c:pt>
                <c:pt idx="3">
                  <c:v>6.315089740748947E-2</c:v>
                </c:pt>
                <c:pt idx="4">
                  <c:v>6.3816072195960458E-2</c:v>
                </c:pt>
                <c:pt idx="5">
                  <c:v>8.0499795165915614E-2</c:v>
                </c:pt>
                <c:pt idx="6" formatCode="General">
                  <c:v>0</c:v>
                </c:pt>
                <c:pt idx="7">
                  <c:v>8.0363443895553985E-2</c:v>
                </c:pt>
                <c:pt idx="8">
                  <c:v>9.9060150375939848E-2</c:v>
                </c:pt>
                <c:pt idx="9">
                  <c:v>0.10830999066293184</c:v>
                </c:pt>
                <c:pt idx="10">
                  <c:v>0.11234212275648128</c:v>
                </c:pt>
                <c:pt idx="11">
                  <c:v>0.11860764933390631</c:v>
                </c:pt>
                <c:pt idx="12">
                  <c:v>0.14358869315854159</c:v>
                </c:pt>
              </c:numCache>
            </c:numRef>
          </c:val>
          <c:extLst>
            <c:ext xmlns:c16="http://schemas.microsoft.com/office/drawing/2014/chart" uri="{C3380CC4-5D6E-409C-BE32-E72D297353CC}">
              <c16:uniqueId val="{00000001-AA71-4178-9C1A-F41A02636A84}"/>
            </c:ext>
          </c:extLst>
        </c:ser>
        <c:ser>
          <c:idx val="1"/>
          <c:order val="1"/>
          <c:tx>
            <c:strRef>
              <c:f>eerder!$M$2</c:f>
              <c:strCache>
                <c:ptCount val="1"/>
                <c:pt idx="0">
                  <c:v>Werkzaam in onderwijs</c:v>
                </c:pt>
              </c:strCache>
            </c:strRef>
          </c:tx>
          <c:spPr>
            <a:solidFill>
              <a:schemeClr val="accent2"/>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2-AA71-4178-9C1A-F41A02636A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eerder!$K$18:$K$30</c:f>
              <c:strCache>
                <c:ptCount val="13"/>
                <c:pt idx="0">
                  <c:v>2017/18</c:v>
                </c:pt>
                <c:pt idx="1">
                  <c:v>2018/19</c:v>
                </c:pt>
                <c:pt idx="2">
                  <c:v>2019/20</c:v>
                </c:pt>
                <c:pt idx="3">
                  <c:v>2020/21</c:v>
                </c:pt>
                <c:pt idx="4">
                  <c:v>2021/22</c:v>
                </c:pt>
                <c:pt idx="5">
                  <c:v>2022/23</c:v>
                </c:pt>
                <c:pt idx="7">
                  <c:v>2017/18</c:v>
                </c:pt>
                <c:pt idx="8">
                  <c:v>2018/19</c:v>
                </c:pt>
                <c:pt idx="9">
                  <c:v>2019/20</c:v>
                </c:pt>
                <c:pt idx="10">
                  <c:v>2020/21</c:v>
                </c:pt>
                <c:pt idx="11">
                  <c:v>2021/22</c:v>
                </c:pt>
                <c:pt idx="12">
                  <c:v>2022/23</c:v>
                </c:pt>
              </c:strCache>
            </c:strRef>
          </c:cat>
          <c:val>
            <c:numRef>
              <c:f>eerder!$M$18:$M$30</c:f>
              <c:numCache>
                <c:formatCode>0%</c:formatCode>
                <c:ptCount val="13"/>
                <c:pt idx="0">
                  <c:v>0.74325158786167955</c:v>
                </c:pt>
                <c:pt idx="1">
                  <c:v>0.77781954887218041</c:v>
                </c:pt>
                <c:pt idx="2">
                  <c:v>0.77254901960784317</c:v>
                </c:pt>
                <c:pt idx="3">
                  <c:v>0.77088411256370482</c:v>
                </c:pt>
                <c:pt idx="4">
                  <c:v>0.76192522561237641</c:v>
                </c:pt>
                <c:pt idx="5">
                  <c:v>0.72818517001229</c:v>
                </c:pt>
                <c:pt idx="6" formatCode="General">
                  <c:v>0</c:v>
                </c:pt>
                <c:pt idx="7">
                  <c:v>0.64586273817925199</c:v>
                </c:pt>
                <c:pt idx="8">
                  <c:v>0.65883458646616544</c:v>
                </c:pt>
                <c:pt idx="9">
                  <c:v>0.64407096171802058</c:v>
                </c:pt>
                <c:pt idx="10">
                  <c:v>0.65078661644139157</c:v>
                </c:pt>
                <c:pt idx="11">
                  <c:v>0.63601203266007733</c:v>
                </c:pt>
                <c:pt idx="12">
                  <c:v>0.61306841458418682</c:v>
                </c:pt>
              </c:numCache>
            </c:numRef>
          </c:val>
          <c:extLst>
            <c:ext xmlns:c16="http://schemas.microsoft.com/office/drawing/2014/chart" uri="{C3380CC4-5D6E-409C-BE32-E72D297353CC}">
              <c16:uniqueId val="{00000003-AA71-4178-9C1A-F41A02636A84}"/>
            </c:ext>
          </c:extLst>
        </c:ser>
        <c:ser>
          <c:idx val="2"/>
          <c:order val="2"/>
          <c:tx>
            <c:strRef>
              <c:f>eerder!$N$2</c:f>
              <c:strCache>
                <c:ptCount val="1"/>
                <c:pt idx="0">
                  <c:v>Studerend</c:v>
                </c:pt>
              </c:strCache>
            </c:strRef>
          </c:tx>
          <c:spPr>
            <a:solidFill>
              <a:schemeClr val="accent3"/>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4-AA71-4178-9C1A-F41A02636A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eerder!$K$18:$K$30</c:f>
              <c:strCache>
                <c:ptCount val="13"/>
                <c:pt idx="0">
                  <c:v>2017/18</c:v>
                </c:pt>
                <c:pt idx="1">
                  <c:v>2018/19</c:v>
                </c:pt>
                <c:pt idx="2">
                  <c:v>2019/20</c:v>
                </c:pt>
                <c:pt idx="3">
                  <c:v>2020/21</c:v>
                </c:pt>
                <c:pt idx="4">
                  <c:v>2021/22</c:v>
                </c:pt>
                <c:pt idx="5">
                  <c:v>2022/23</c:v>
                </c:pt>
                <c:pt idx="7">
                  <c:v>2017/18</c:v>
                </c:pt>
                <c:pt idx="8">
                  <c:v>2018/19</c:v>
                </c:pt>
                <c:pt idx="9">
                  <c:v>2019/20</c:v>
                </c:pt>
                <c:pt idx="10">
                  <c:v>2020/21</c:v>
                </c:pt>
                <c:pt idx="11">
                  <c:v>2021/22</c:v>
                </c:pt>
                <c:pt idx="12">
                  <c:v>2022/23</c:v>
                </c:pt>
              </c:strCache>
            </c:strRef>
          </c:cat>
          <c:val>
            <c:numRef>
              <c:f>eerder!$N$18:$N$30</c:f>
              <c:numCache>
                <c:formatCode>0%</c:formatCode>
                <c:ptCount val="13"/>
                <c:pt idx="0">
                  <c:v>0.20774523641496118</c:v>
                </c:pt>
                <c:pt idx="1">
                  <c:v>0.17443609022556392</c:v>
                </c:pt>
                <c:pt idx="2">
                  <c:v>0.17180205415499533</c:v>
                </c:pt>
                <c:pt idx="3">
                  <c:v>0.16596499002880566</c:v>
                </c:pt>
                <c:pt idx="4">
                  <c:v>0.17425870219166309</c:v>
                </c:pt>
                <c:pt idx="5">
                  <c:v>0.19131503482179435</c:v>
                </c:pt>
                <c:pt idx="6" formatCode="General">
                  <c:v>0</c:v>
                </c:pt>
                <c:pt idx="7">
                  <c:v>0.27377381792519406</c:v>
                </c:pt>
                <c:pt idx="8">
                  <c:v>0.24210526315789474</c:v>
                </c:pt>
                <c:pt idx="9">
                  <c:v>0.24761904761904763</c:v>
                </c:pt>
                <c:pt idx="10">
                  <c:v>0.2368712608021272</c:v>
                </c:pt>
                <c:pt idx="11">
                  <c:v>0.24538031800601634</c:v>
                </c:pt>
                <c:pt idx="12">
                  <c:v>0.2433428922572716</c:v>
                </c:pt>
              </c:numCache>
            </c:numRef>
          </c:val>
          <c:extLst>
            <c:ext xmlns:c16="http://schemas.microsoft.com/office/drawing/2014/chart" uri="{C3380CC4-5D6E-409C-BE32-E72D297353CC}">
              <c16:uniqueId val="{00000005-AA71-4178-9C1A-F41A02636A84}"/>
            </c:ext>
          </c:extLst>
        </c:ser>
        <c:dLbls>
          <c:dLblPos val="ctr"/>
          <c:showLegendKey val="0"/>
          <c:showVal val="1"/>
          <c:showCatName val="0"/>
          <c:showSerName val="0"/>
          <c:showPercent val="0"/>
          <c:showBubbleSize val="0"/>
        </c:dLbls>
        <c:gapWidth val="50"/>
        <c:overlap val="100"/>
        <c:axId val="1983881375"/>
        <c:axId val="1983878047"/>
      </c:barChart>
      <c:catAx>
        <c:axId val="1983881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crossAx val="1983878047"/>
        <c:crosses val="autoZero"/>
        <c:auto val="1"/>
        <c:lblAlgn val="ctr"/>
        <c:lblOffset val="100"/>
        <c:noMultiLvlLbl val="0"/>
      </c:catAx>
      <c:valAx>
        <c:axId val="19838780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83881375"/>
        <c:crosses val="autoZero"/>
        <c:crossBetween val="between"/>
      </c:valAx>
      <c:spPr>
        <a:noFill/>
        <a:ln>
          <a:noFill/>
        </a:ln>
        <a:effectLst/>
      </c:spPr>
    </c:plotArea>
    <c:legend>
      <c:legendPos val="r"/>
      <c:layout>
        <c:manualLayout>
          <c:xMode val="edge"/>
          <c:yMode val="edge"/>
          <c:x val="0.73571164259692612"/>
          <c:y val="0.31636473762458017"/>
          <c:w val="0.26208203690288195"/>
          <c:h val="0.2743797759545791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nl-NL" sz="1000" baseline="0"/>
              <a:t>2 jaar eerder                                             5 jaar eerder</a:t>
            </a:r>
            <a:endParaRPr lang="nl-NL" sz="1000"/>
          </a:p>
        </c:rich>
      </c:tx>
      <c:layout>
        <c:manualLayout>
          <c:xMode val="edge"/>
          <c:yMode val="edge"/>
          <c:x val="0.18213752076224365"/>
          <c:y val="3.477141288571020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7.7167710671264975E-2"/>
          <c:y val="0.11825402913461032"/>
          <c:w val="0.66288221896775468"/>
          <c:h val="0.73637344042596375"/>
        </c:manualLayout>
      </c:layout>
      <c:barChart>
        <c:barDir val="col"/>
        <c:grouping val="percentStacked"/>
        <c:varyColors val="0"/>
        <c:ser>
          <c:idx val="0"/>
          <c:order val="0"/>
          <c:tx>
            <c:strRef>
              <c:f>eerder!$P$2</c:f>
              <c:strCache>
                <c:ptCount val="1"/>
                <c:pt idx="0">
                  <c:v>Primair, industrie, elektriciteit en bouw</c:v>
                </c:pt>
              </c:strCache>
            </c:strRef>
          </c:tx>
          <c:spPr>
            <a:solidFill>
              <a:schemeClr val="accent1"/>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0-1124-4565-B83D-1AF7634F9D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eerder!$K$18:$K$30</c:f>
              <c:strCache>
                <c:ptCount val="13"/>
                <c:pt idx="0">
                  <c:v>2017/18</c:v>
                </c:pt>
                <c:pt idx="1">
                  <c:v>2018/19</c:v>
                </c:pt>
                <c:pt idx="2">
                  <c:v>2019/20</c:v>
                </c:pt>
                <c:pt idx="3">
                  <c:v>2020/21</c:v>
                </c:pt>
                <c:pt idx="4">
                  <c:v>2021/22</c:v>
                </c:pt>
                <c:pt idx="5">
                  <c:v>2022/23</c:v>
                </c:pt>
                <c:pt idx="7">
                  <c:v>2017/18</c:v>
                </c:pt>
                <c:pt idx="8">
                  <c:v>2018/19</c:v>
                </c:pt>
                <c:pt idx="9">
                  <c:v>2019/20</c:v>
                </c:pt>
                <c:pt idx="10">
                  <c:v>2020/21</c:v>
                </c:pt>
                <c:pt idx="11">
                  <c:v>2021/22</c:v>
                </c:pt>
                <c:pt idx="12">
                  <c:v>2022/23</c:v>
                </c:pt>
              </c:strCache>
            </c:strRef>
          </c:cat>
          <c:val>
            <c:numRef>
              <c:f>eerder!$P$18:$P$30</c:f>
              <c:numCache>
                <c:formatCode>0%</c:formatCode>
                <c:ptCount val="13"/>
                <c:pt idx="0">
                  <c:v>3.8703870387038701E-2</c:v>
                </c:pt>
                <c:pt idx="1">
                  <c:v>5.5118110236220472E-2</c:v>
                </c:pt>
                <c:pt idx="2">
                  <c:v>6.3758389261744972E-2</c:v>
                </c:pt>
                <c:pt idx="3">
                  <c:v>6.3157894736842107E-2</c:v>
                </c:pt>
                <c:pt idx="4">
                  <c:v>7.7441077441077436E-2</c:v>
                </c:pt>
                <c:pt idx="5">
                  <c:v>8.3969465648854963E-2</c:v>
                </c:pt>
                <c:pt idx="6" formatCode="General">
                  <c:v>0</c:v>
                </c:pt>
                <c:pt idx="7">
                  <c:v>4.7749725576289793E-2</c:v>
                </c:pt>
                <c:pt idx="8">
                  <c:v>4.743833017077799E-2</c:v>
                </c:pt>
                <c:pt idx="9">
                  <c:v>6.2068965517241378E-2</c:v>
                </c:pt>
                <c:pt idx="10">
                  <c:v>7.4950690335305714E-2</c:v>
                </c:pt>
                <c:pt idx="11">
                  <c:v>7.789855072463768E-2</c:v>
                </c:pt>
                <c:pt idx="12">
                  <c:v>7.7032810271041363E-2</c:v>
                </c:pt>
              </c:numCache>
            </c:numRef>
          </c:val>
          <c:extLst>
            <c:ext xmlns:c16="http://schemas.microsoft.com/office/drawing/2014/chart" uri="{C3380CC4-5D6E-409C-BE32-E72D297353CC}">
              <c16:uniqueId val="{00000001-1124-4565-B83D-1AF7634F9D8A}"/>
            </c:ext>
          </c:extLst>
        </c:ser>
        <c:ser>
          <c:idx val="1"/>
          <c:order val="1"/>
          <c:tx>
            <c:strRef>
              <c:f>eerder!$Q$2</c:f>
              <c:strCache>
                <c:ptCount val="1"/>
                <c:pt idx="0">
                  <c:v>Winkel en horeca</c:v>
                </c:pt>
              </c:strCache>
            </c:strRef>
          </c:tx>
          <c:spPr>
            <a:solidFill>
              <a:schemeClr val="accent2"/>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2-1124-4565-B83D-1AF7634F9D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eerder!$K$18:$K$30</c:f>
              <c:strCache>
                <c:ptCount val="13"/>
                <c:pt idx="0">
                  <c:v>2017/18</c:v>
                </c:pt>
                <c:pt idx="1">
                  <c:v>2018/19</c:v>
                </c:pt>
                <c:pt idx="2">
                  <c:v>2019/20</c:v>
                </c:pt>
                <c:pt idx="3">
                  <c:v>2020/21</c:v>
                </c:pt>
                <c:pt idx="4">
                  <c:v>2021/22</c:v>
                </c:pt>
                <c:pt idx="5">
                  <c:v>2022/23</c:v>
                </c:pt>
                <c:pt idx="7">
                  <c:v>2017/18</c:v>
                </c:pt>
                <c:pt idx="8">
                  <c:v>2018/19</c:v>
                </c:pt>
                <c:pt idx="9">
                  <c:v>2019/20</c:v>
                </c:pt>
                <c:pt idx="10">
                  <c:v>2020/21</c:v>
                </c:pt>
                <c:pt idx="11">
                  <c:v>2021/22</c:v>
                </c:pt>
                <c:pt idx="12">
                  <c:v>2022/23</c:v>
                </c:pt>
              </c:strCache>
            </c:strRef>
          </c:cat>
          <c:val>
            <c:numRef>
              <c:f>eerder!$Q$18:$Q$30</c:f>
              <c:numCache>
                <c:formatCode>0%</c:formatCode>
                <c:ptCount val="13"/>
                <c:pt idx="0">
                  <c:v>0.1467146714671467</c:v>
                </c:pt>
                <c:pt idx="1">
                  <c:v>0.20078740157480315</c:v>
                </c:pt>
                <c:pt idx="2">
                  <c:v>0.20805369127516779</c:v>
                </c:pt>
                <c:pt idx="3">
                  <c:v>0.19649122807017544</c:v>
                </c:pt>
                <c:pt idx="4">
                  <c:v>0.15824915824915825</c:v>
                </c:pt>
                <c:pt idx="5">
                  <c:v>0.20865139949109415</c:v>
                </c:pt>
                <c:pt idx="6" formatCode="General">
                  <c:v>0</c:v>
                </c:pt>
                <c:pt idx="7">
                  <c:v>0.15203073545554335</c:v>
                </c:pt>
                <c:pt idx="8">
                  <c:v>0.22011385199240988</c:v>
                </c:pt>
                <c:pt idx="9">
                  <c:v>0.24482758620689654</c:v>
                </c:pt>
                <c:pt idx="10">
                  <c:v>0.22090729783037474</c:v>
                </c:pt>
                <c:pt idx="11">
                  <c:v>0.21920289855072464</c:v>
                </c:pt>
                <c:pt idx="12">
                  <c:v>0.20399429386590584</c:v>
                </c:pt>
              </c:numCache>
            </c:numRef>
          </c:val>
          <c:extLst>
            <c:ext xmlns:c16="http://schemas.microsoft.com/office/drawing/2014/chart" uri="{C3380CC4-5D6E-409C-BE32-E72D297353CC}">
              <c16:uniqueId val="{00000003-1124-4565-B83D-1AF7634F9D8A}"/>
            </c:ext>
          </c:extLst>
        </c:ser>
        <c:ser>
          <c:idx val="2"/>
          <c:order val="2"/>
          <c:tx>
            <c:strRef>
              <c:f>eerder!$R$2</c:f>
              <c:strCache>
                <c:ptCount val="1"/>
                <c:pt idx="0">
                  <c:v>Zakelijke dienstverlening en informatie</c:v>
                </c:pt>
              </c:strCache>
            </c:strRef>
          </c:tx>
          <c:spPr>
            <a:solidFill>
              <a:schemeClr val="accent3"/>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4-1124-4565-B83D-1AF7634F9D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eerder!$K$18:$K$30</c:f>
              <c:strCache>
                <c:ptCount val="13"/>
                <c:pt idx="0">
                  <c:v>2017/18</c:v>
                </c:pt>
                <c:pt idx="1">
                  <c:v>2018/19</c:v>
                </c:pt>
                <c:pt idx="2">
                  <c:v>2019/20</c:v>
                </c:pt>
                <c:pt idx="3">
                  <c:v>2020/21</c:v>
                </c:pt>
                <c:pt idx="4">
                  <c:v>2021/22</c:v>
                </c:pt>
                <c:pt idx="5">
                  <c:v>2022/23</c:v>
                </c:pt>
                <c:pt idx="7">
                  <c:v>2017/18</c:v>
                </c:pt>
                <c:pt idx="8">
                  <c:v>2018/19</c:v>
                </c:pt>
                <c:pt idx="9">
                  <c:v>2019/20</c:v>
                </c:pt>
                <c:pt idx="10">
                  <c:v>2020/21</c:v>
                </c:pt>
                <c:pt idx="11">
                  <c:v>2021/22</c:v>
                </c:pt>
                <c:pt idx="12">
                  <c:v>2022/23</c:v>
                </c:pt>
              </c:strCache>
            </c:strRef>
          </c:cat>
          <c:val>
            <c:numRef>
              <c:f>eerder!$R$18:$R$30</c:f>
              <c:numCache>
                <c:formatCode>0%</c:formatCode>
                <c:ptCount val="13"/>
                <c:pt idx="0">
                  <c:v>0.27452745274527451</c:v>
                </c:pt>
                <c:pt idx="1">
                  <c:v>0.27165354330708663</c:v>
                </c:pt>
                <c:pt idx="2">
                  <c:v>0.29865771812080538</c:v>
                </c:pt>
                <c:pt idx="3">
                  <c:v>0.28771929824561404</c:v>
                </c:pt>
                <c:pt idx="4">
                  <c:v>0.30303030303030304</c:v>
                </c:pt>
                <c:pt idx="5">
                  <c:v>0.2010178117048346</c:v>
                </c:pt>
                <c:pt idx="6" formatCode="General">
                  <c:v>0</c:v>
                </c:pt>
                <c:pt idx="7">
                  <c:v>0.28869374313940727</c:v>
                </c:pt>
                <c:pt idx="8">
                  <c:v>0.22770398481973433</c:v>
                </c:pt>
                <c:pt idx="9">
                  <c:v>0.25689655172413794</c:v>
                </c:pt>
                <c:pt idx="10">
                  <c:v>0.21893491124260356</c:v>
                </c:pt>
                <c:pt idx="11">
                  <c:v>0.23550724637681159</c:v>
                </c:pt>
                <c:pt idx="12">
                  <c:v>0.23252496433666192</c:v>
                </c:pt>
              </c:numCache>
            </c:numRef>
          </c:val>
          <c:extLst>
            <c:ext xmlns:c16="http://schemas.microsoft.com/office/drawing/2014/chart" uri="{C3380CC4-5D6E-409C-BE32-E72D297353CC}">
              <c16:uniqueId val="{00000005-1124-4565-B83D-1AF7634F9D8A}"/>
            </c:ext>
          </c:extLst>
        </c:ser>
        <c:ser>
          <c:idx val="3"/>
          <c:order val="3"/>
          <c:tx>
            <c:strRef>
              <c:f>eerder!$S$2</c:f>
              <c:strCache>
                <c:ptCount val="1"/>
                <c:pt idx="0">
                  <c:v>Overheid en zorg</c:v>
                </c:pt>
              </c:strCache>
            </c:strRef>
          </c:tx>
          <c:spPr>
            <a:solidFill>
              <a:schemeClr val="accent4"/>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6-1124-4565-B83D-1AF7634F9D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eerder!$K$18:$K$30</c:f>
              <c:strCache>
                <c:ptCount val="13"/>
                <c:pt idx="0">
                  <c:v>2017/18</c:v>
                </c:pt>
                <c:pt idx="1">
                  <c:v>2018/19</c:v>
                </c:pt>
                <c:pt idx="2">
                  <c:v>2019/20</c:v>
                </c:pt>
                <c:pt idx="3">
                  <c:v>2020/21</c:v>
                </c:pt>
                <c:pt idx="4">
                  <c:v>2021/22</c:v>
                </c:pt>
                <c:pt idx="5">
                  <c:v>2022/23</c:v>
                </c:pt>
                <c:pt idx="7">
                  <c:v>2017/18</c:v>
                </c:pt>
                <c:pt idx="8">
                  <c:v>2018/19</c:v>
                </c:pt>
                <c:pt idx="9">
                  <c:v>2019/20</c:v>
                </c:pt>
                <c:pt idx="10">
                  <c:v>2020/21</c:v>
                </c:pt>
                <c:pt idx="11">
                  <c:v>2021/22</c:v>
                </c:pt>
                <c:pt idx="12">
                  <c:v>2022/23</c:v>
                </c:pt>
              </c:strCache>
            </c:strRef>
          </c:cat>
          <c:val>
            <c:numRef>
              <c:f>eerder!$S$18:$S$30</c:f>
              <c:numCache>
                <c:formatCode>0%</c:formatCode>
                <c:ptCount val="13"/>
                <c:pt idx="0">
                  <c:v>0.19981998199819981</c:v>
                </c:pt>
                <c:pt idx="1">
                  <c:v>0.2125984251968504</c:v>
                </c:pt>
                <c:pt idx="2">
                  <c:v>0.17785234899328858</c:v>
                </c:pt>
                <c:pt idx="3">
                  <c:v>0.22105263157894736</c:v>
                </c:pt>
                <c:pt idx="4">
                  <c:v>0.22895622895622897</c:v>
                </c:pt>
                <c:pt idx="5">
                  <c:v>0.25699745547073793</c:v>
                </c:pt>
                <c:pt idx="6" formatCode="General">
                  <c:v>0</c:v>
                </c:pt>
                <c:pt idx="7">
                  <c:v>0.20911086717892427</c:v>
                </c:pt>
                <c:pt idx="8">
                  <c:v>0.22201138519924099</c:v>
                </c:pt>
                <c:pt idx="9">
                  <c:v>0.18103448275862069</c:v>
                </c:pt>
                <c:pt idx="10">
                  <c:v>0.19723865877712032</c:v>
                </c:pt>
                <c:pt idx="11">
                  <c:v>0.20471014492753623</c:v>
                </c:pt>
                <c:pt idx="12">
                  <c:v>0.20256776034236804</c:v>
                </c:pt>
              </c:numCache>
            </c:numRef>
          </c:val>
          <c:extLst>
            <c:ext xmlns:c16="http://schemas.microsoft.com/office/drawing/2014/chart" uri="{C3380CC4-5D6E-409C-BE32-E72D297353CC}">
              <c16:uniqueId val="{00000007-1124-4565-B83D-1AF7634F9D8A}"/>
            </c:ext>
          </c:extLst>
        </c:ser>
        <c:ser>
          <c:idx val="4"/>
          <c:order val="4"/>
          <c:tx>
            <c:strRef>
              <c:f>eerder!$T$2</c:f>
              <c:strCache>
                <c:ptCount val="1"/>
                <c:pt idx="0">
                  <c:v>Overig &amp; onbekend</c:v>
                </c:pt>
              </c:strCache>
            </c:strRef>
          </c:tx>
          <c:spPr>
            <a:solidFill>
              <a:schemeClr val="accent5"/>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8-1124-4565-B83D-1AF7634F9D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eerder!$K$18:$K$30</c:f>
              <c:strCache>
                <c:ptCount val="13"/>
                <c:pt idx="0">
                  <c:v>2017/18</c:v>
                </c:pt>
                <c:pt idx="1">
                  <c:v>2018/19</c:v>
                </c:pt>
                <c:pt idx="2">
                  <c:v>2019/20</c:v>
                </c:pt>
                <c:pt idx="3">
                  <c:v>2020/21</c:v>
                </c:pt>
                <c:pt idx="4">
                  <c:v>2021/22</c:v>
                </c:pt>
                <c:pt idx="5">
                  <c:v>2022/23</c:v>
                </c:pt>
                <c:pt idx="7">
                  <c:v>2017/18</c:v>
                </c:pt>
                <c:pt idx="8">
                  <c:v>2018/19</c:v>
                </c:pt>
                <c:pt idx="9">
                  <c:v>2019/20</c:v>
                </c:pt>
                <c:pt idx="10">
                  <c:v>2020/21</c:v>
                </c:pt>
                <c:pt idx="11">
                  <c:v>2021/22</c:v>
                </c:pt>
                <c:pt idx="12">
                  <c:v>2022/23</c:v>
                </c:pt>
              </c:strCache>
            </c:strRef>
          </c:cat>
          <c:val>
            <c:numRef>
              <c:f>eerder!$T$18:$T$30</c:f>
              <c:numCache>
                <c:formatCode>0%</c:formatCode>
                <c:ptCount val="13"/>
                <c:pt idx="0">
                  <c:v>0.34023402340234021</c:v>
                </c:pt>
                <c:pt idx="1">
                  <c:v>0.25984251968503935</c:v>
                </c:pt>
                <c:pt idx="2">
                  <c:v>0.25167785234899331</c:v>
                </c:pt>
                <c:pt idx="3">
                  <c:v>0.23157894736842105</c:v>
                </c:pt>
                <c:pt idx="4">
                  <c:v>0.23232323232323232</c:v>
                </c:pt>
                <c:pt idx="5">
                  <c:v>0.24936386768447838</c:v>
                </c:pt>
                <c:pt idx="6" formatCode="General">
                  <c:v>0</c:v>
                </c:pt>
                <c:pt idx="7">
                  <c:v>0.30241492864983532</c:v>
                </c:pt>
                <c:pt idx="8">
                  <c:v>0.2827324478178368</c:v>
                </c:pt>
                <c:pt idx="9">
                  <c:v>0.25517241379310346</c:v>
                </c:pt>
                <c:pt idx="10">
                  <c:v>0.28796844181459569</c:v>
                </c:pt>
                <c:pt idx="11">
                  <c:v>0.26268115942028986</c:v>
                </c:pt>
                <c:pt idx="12">
                  <c:v>0.28388017118402281</c:v>
                </c:pt>
              </c:numCache>
            </c:numRef>
          </c:val>
          <c:extLst>
            <c:ext xmlns:c16="http://schemas.microsoft.com/office/drawing/2014/chart" uri="{C3380CC4-5D6E-409C-BE32-E72D297353CC}">
              <c16:uniqueId val="{00000009-1124-4565-B83D-1AF7634F9D8A}"/>
            </c:ext>
          </c:extLst>
        </c:ser>
        <c:dLbls>
          <c:dLblPos val="ctr"/>
          <c:showLegendKey val="0"/>
          <c:showVal val="1"/>
          <c:showCatName val="0"/>
          <c:showSerName val="0"/>
          <c:showPercent val="0"/>
          <c:showBubbleSize val="0"/>
        </c:dLbls>
        <c:gapWidth val="50"/>
        <c:overlap val="100"/>
        <c:axId val="1983881375"/>
        <c:axId val="1983878047"/>
      </c:barChart>
      <c:catAx>
        <c:axId val="1983881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crossAx val="1983878047"/>
        <c:crosses val="autoZero"/>
        <c:auto val="1"/>
        <c:lblAlgn val="ctr"/>
        <c:lblOffset val="100"/>
        <c:noMultiLvlLbl val="0"/>
      </c:catAx>
      <c:valAx>
        <c:axId val="19838780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83881375"/>
        <c:crosses val="autoZero"/>
        <c:crossBetween val="between"/>
      </c:valAx>
      <c:spPr>
        <a:noFill/>
        <a:ln>
          <a:noFill/>
        </a:ln>
        <a:effectLst/>
      </c:spPr>
    </c:plotArea>
    <c:legend>
      <c:legendPos val="r"/>
      <c:layout>
        <c:manualLayout>
          <c:xMode val="edge"/>
          <c:yMode val="edge"/>
          <c:x val="0.76218748859922991"/>
          <c:y val="0.20764808301117282"/>
          <c:w val="0.21354298589865867"/>
          <c:h val="0.4711186727751052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nl-NL" sz="1000"/>
              <a:t>In welke mate zijn in uw regio in de afgesloten sto-periode (2020-2024) op onderstaande terreinen opbrengsten gerealiseerd? (n=48)</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percentStacked"/>
        <c:varyColors val="0"/>
        <c:ser>
          <c:idx val="0"/>
          <c:order val="0"/>
          <c:tx>
            <c:strRef>
              <c:f>Totaal!$B$46</c:f>
              <c:strCache>
                <c:ptCount val="1"/>
                <c:pt idx="0">
                  <c:v>Geen</c:v>
                </c:pt>
              </c:strCache>
            </c:strRef>
          </c:tx>
          <c:spPr>
            <a:solidFill>
              <a:schemeClr val="accent1"/>
            </a:solidFill>
            <a:ln>
              <a:noFill/>
            </a:ln>
            <a:effectLst/>
          </c:spPr>
          <c:invertIfNegative val="0"/>
          <c:dLbls>
            <c:delete val="1"/>
          </c:dLbls>
          <c:cat>
            <c:strRef>
              <c:f>Totaal!$A$47:$A$55</c:f>
              <c:strCache>
                <c:ptCount val="9"/>
                <c:pt idx="0">
                  <c:v>(her)inrichting van het regionale techniekaanbod</c:v>
                </c:pt>
                <c:pt idx="1">
                  <c:v>De aantallen techniekleerlingen in de profielen</c:v>
                </c:pt>
                <c:pt idx="2">
                  <c:v>De kwaliteit van het techniekonderwijs/de technieklessen</c:v>
                </c:pt>
                <c:pt idx="3">
                  <c:v>Voldoende techniekdocenten</c:v>
                </c:pt>
                <c:pt idx="4">
                  <c:v>De aansluiting met mbo</c:v>
                </c:pt>
                <c:pt idx="5">
                  <c:v>De aansluiting op de regionale vraag van het bedrijfsleven</c:v>
                </c:pt>
                <c:pt idx="6">
                  <c:v>De samenwerking tussen de verschillende partijen van STO</c:v>
                </c:pt>
                <c:pt idx="7">
                  <c:v>De beeldvorming ten aanzien van techniek</c:v>
                </c:pt>
                <c:pt idx="8">
                  <c:v>Andere opbrengst, namelijk… (n=13)</c:v>
                </c:pt>
              </c:strCache>
            </c:strRef>
          </c:cat>
          <c:val>
            <c:numRef>
              <c:f>Totaal!$B$47:$B$55</c:f>
              <c:numCache>
                <c:formatCode>0%</c:formatCode>
                <c:ptCount val="9"/>
                <c:pt idx="0">
                  <c:v>2.0833333333333332E-2</c:v>
                </c:pt>
                <c:pt idx="1">
                  <c:v>2.0833333333333332E-2</c:v>
                </c:pt>
                <c:pt idx="2">
                  <c:v>0</c:v>
                </c:pt>
                <c:pt idx="3">
                  <c:v>0</c:v>
                </c:pt>
                <c:pt idx="4">
                  <c:v>2.0833333333333332E-2</c:v>
                </c:pt>
                <c:pt idx="5">
                  <c:v>0</c:v>
                </c:pt>
                <c:pt idx="6">
                  <c:v>0</c:v>
                </c:pt>
                <c:pt idx="7">
                  <c:v>0</c:v>
                </c:pt>
                <c:pt idx="8">
                  <c:v>0</c:v>
                </c:pt>
              </c:numCache>
            </c:numRef>
          </c:val>
          <c:extLst>
            <c:ext xmlns:c16="http://schemas.microsoft.com/office/drawing/2014/chart" uri="{C3380CC4-5D6E-409C-BE32-E72D297353CC}">
              <c16:uniqueId val="{00000000-0133-41A9-BD61-8CD9D06DB423}"/>
            </c:ext>
          </c:extLst>
        </c:ser>
        <c:ser>
          <c:idx val="1"/>
          <c:order val="1"/>
          <c:tx>
            <c:strRef>
              <c:f>Totaal!$C$46</c:f>
              <c:strCache>
                <c:ptCount val="1"/>
                <c:pt idx="0">
                  <c:v>Gering</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0133-41A9-BD61-8CD9D06DB423}"/>
                </c:ext>
              </c:extLst>
            </c:dLbl>
            <c:dLbl>
              <c:idx val="1"/>
              <c:delete val="1"/>
              <c:extLst>
                <c:ext xmlns:c15="http://schemas.microsoft.com/office/drawing/2012/chart" uri="{CE6537A1-D6FC-4f65-9D91-7224C49458BB}"/>
                <c:ext xmlns:c16="http://schemas.microsoft.com/office/drawing/2014/chart" uri="{C3380CC4-5D6E-409C-BE32-E72D297353CC}">
                  <c16:uniqueId val="{00000002-0133-41A9-BD61-8CD9D06DB423}"/>
                </c:ext>
              </c:extLst>
            </c:dLbl>
            <c:dLbl>
              <c:idx val="2"/>
              <c:delete val="1"/>
              <c:extLst>
                <c:ext xmlns:c15="http://schemas.microsoft.com/office/drawing/2012/chart" uri="{CE6537A1-D6FC-4f65-9D91-7224C49458BB}"/>
                <c:ext xmlns:c16="http://schemas.microsoft.com/office/drawing/2014/chart" uri="{C3380CC4-5D6E-409C-BE32-E72D297353CC}">
                  <c16:uniqueId val="{00000003-0133-41A9-BD61-8CD9D06DB423}"/>
                </c:ext>
              </c:extLst>
            </c:dLbl>
            <c:dLbl>
              <c:idx val="5"/>
              <c:delete val="1"/>
              <c:extLst>
                <c:ext xmlns:c15="http://schemas.microsoft.com/office/drawing/2012/chart" uri="{CE6537A1-D6FC-4f65-9D91-7224C49458BB}"/>
                <c:ext xmlns:c16="http://schemas.microsoft.com/office/drawing/2014/chart" uri="{C3380CC4-5D6E-409C-BE32-E72D297353CC}">
                  <c16:uniqueId val="{00000004-0133-41A9-BD61-8CD9D06DB423}"/>
                </c:ext>
              </c:extLst>
            </c:dLbl>
            <c:dLbl>
              <c:idx val="6"/>
              <c:delete val="1"/>
              <c:extLst>
                <c:ext xmlns:c15="http://schemas.microsoft.com/office/drawing/2012/chart" uri="{CE6537A1-D6FC-4f65-9D91-7224C49458BB}"/>
                <c:ext xmlns:c16="http://schemas.microsoft.com/office/drawing/2014/chart" uri="{C3380CC4-5D6E-409C-BE32-E72D297353CC}">
                  <c16:uniqueId val="{00000005-0133-41A9-BD61-8CD9D06DB423}"/>
                </c:ext>
              </c:extLst>
            </c:dLbl>
            <c:dLbl>
              <c:idx val="7"/>
              <c:delete val="1"/>
              <c:extLst>
                <c:ext xmlns:c15="http://schemas.microsoft.com/office/drawing/2012/chart" uri="{CE6537A1-D6FC-4f65-9D91-7224C49458BB}"/>
                <c:ext xmlns:c16="http://schemas.microsoft.com/office/drawing/2014/chart" uri="{C3380CC4-5D6E-409C-BE32-E72D297353CC}">
                  <c16:uniqueId val="{00000006-0133-41A9-BD61-8CD9D06DB423}"/>
                </c:ext>
              </c:extLst>
            </c:dLbl>
            <c:dLbl>
              <c:idx val="8"/>
              <c:delete val="1"/>
              <c:extLst>
                <c:ext xmlns:c15="http://schemas.microsoft.com/office/drawing/2012/chart" uri="{CE6537A1-D6FC-4f65-9D91-7224C49458BB}"/>
                <c:ext xmlns:c16="http://schemas.microsoft.com/office/drawing/2014/chart" uri="{C3380CC4-5D6E-409C-BE32-E72D297353CC}">
                  <c16:uniqueId val="{00000007-0133-41A9-BD61-8CD9D06DB4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Totaal!$A$47:$A$55</c:f>
              <c:strCache>
                <c:ptCount val="9"/>
                <c:pt idx="0">
                  <c:v>(her)inrichting van het regionale techniekaanbod</c:v>
                </c:pt>
                <c:pt idx="1">
                  <c:v>De aantallen techniekleerlingen in de profielen</c:v>
                </c:pt>
                <c:pt idx="2">
                  <c:v>De kwaliteit van het techniekonderwijs/de technieklessen</c:v>
                </c:pt>
                <c:pt idx="3">
                  <c:v>Voldoende techniekdocenten</c:v>
                </c:pt>
                <c:pt idx="4">
                  <c:v>De aansluiting met mbo</c:v>
                </c:pt>
                <c:pt idx="5">
                  <c:v>De aansluiting op de regionale vraag van het bedrijfsleven</c:v>
                </c:pt>
                <c:pt idx="6">
                  <c:v>De samenwerking tussen de verschillende partijen van STO</c:v>
                </c:pt>
                <c:pt idx="7">
                  <c:v>De beeldvorming ten aanzien van techniek</c:v>
                </c:pt>
                <c:pt idx="8">
                  <c:v>Andere opbrengst, namelijk… (n=13)</c:v>
                </c:pt>
              </c:strCache>
            </c:strRef>
          </c:cat>
          <c:val>
            <c:numRef>
              <c:f>Totaal!$C$47:$C$55</c:f>
              <c:numCache>
                <c:formatCode>0%</c:formatCode>
                <c:ptCount val="9"/>
                <c:pt idx="0">
                  <c:v>2.0833333333333332E-2</c:v>
                </c:pt>
                <c:pt idx="1">
                  <c:v>4.1666666666666664E-2</c:v>
                </c:pt>
                <c:pt idx="2">
                  <c:v>0</c:v>
                </c:pt>
                <c:pt idx="3">
                  <c:v>0.16666666666666666</c:v>
                </c:pt>
                <c:pt idx="4">
                  <c:v>0.20833333333333334</c:v>
                </c:pt>
                <c:pt idx="5">
                  <c:v>4.1666666666666664E-2</c:v>
                </c:pt>
                <c:pt idx="6">
                  <c:v>0</c:v>
                </c:pt>
                <c:pt idx="7">
                  <c:v>0</c:v>
                </c:pt>
                <c:pt idx="8">
                  <c:v>0</c:v>
                </c:pt>
              </c:numCache>
            </c:numRef>
          </c:val>
          <c:extLst>
            <c:ext xmlns:c16="http://schemas.microsoft.com/office/drawing/2014/chart" uri="{C3380CC4-5D6E-409C-BE32-E72D297353CC}">
              <c16:uniqueId val="{00000008-0133-41A9-BD61-8CD9D06DB423}"/>
            </c:ext>
          </c:extLst>
        </c:ser>
        <c:ser>
          <c:idx val="2"/>
          <c:order val="2"/>
          <c:tx>
            <c:strRef>
              <c:f>Totaal!$D$46</c:f>
              <c:strCache>
                <c:ptCount val="1"/>
                <c:pt idx="0">
                  <c:v>Neutraal</c:v>
                </c:pt>
              </c:strCache>
            </c:strRef>
          </c:tx>
          <c:spPr>
            <a:solidFill>
              <a:schemeClr val="accent3"/>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9-0133-41A9-BD61-8CD9D06DB4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Totaal!$A$47:$A$55</c:f>
              <c:strCache>
                <c:ptCount val="9"/>
                <c:pt idx="0">
                  <c:v>(her)inrichting van het regionale techniekaanbod</c:v>
                </c:pt>
                <c:pt idx="1">
                  <c:v>De aantallen techniekleerlingen in de profielen</c:v>
                </c:pt>
                <c:pt idx="2">
                  <c:v>De kwaliteit van het techniekonderwijs/de technieklessen</c:v>
                </c:pt>
                <c:pt idx="3">
                  <c:v>Voldoende techniekdocenten</c:v>
                </c:pt>
                <c:pt idx="4">
                  <c:v>De aansluiting met mbo</c:v>
                </c:pt>
                <c:pt idx="5">
                  <c:v>De aansluiting op de regionale vraag van het bedrijfsleven</c:v>
                </c:pt>
                <c:pt idx="6">
                  <c:v>De samenwerking tussen de verschillende partijen van STO</c:v>
                </c:pt>
                <c:pt idx="7">
                  <c:v>De beeldvorming ten aanzien van techniek</c:v>
                </c:pt>
                <c:pt idx="8">
                  <c:v>Andere opbrengst, namelijk… (n=13)</c:v>
                </c:pt>
              </c:strCache>
            </c:strRef>
          </c:cat>
          <c:val>
            <c:numRef>
              <c:f>Totaal!$D$47:$D$55</c:f>
              <c:numCache>
                <c:formatCode>0%</c:formatCode>
                <c:ptCount val="9"/>
                <c:pt idx="0">
                  <c:v>0.10416666666666667</c:v>
                </c:pt>
                <c:pt idx="1">
                  <c:v>0.375</c:v>
                </c:pt>
                <c:pt idx="2">
                  <c:v>0.20833333333333334</c:v>
                </c:pt>
                <c:pt idx="3">
                  <c:v>0.3125</c:v>
                </c:pt>
                <c:pt idx="4">
                  <c:v>0.20833333333333334</c:v>
                </c:pt>
                <c:pt idx="5">
                  <c:v>0.22916666666666666</c:v>
                </c:pt>
                <c:pt idx="6">
                  <c:v>2.0833333333333332E-2</c:v>
                </c:pt>
                <c:pt idx="7">
                  <c:v>0.14583333333333334</c:v>
                </c:pt>
                <c:pt idx="8">
                  <c:v>0.15384615384615385</c:v>
                </c:pt>
              </c:numCache>
            </c:numRef>
          </c:val>
          <c:extLst>
            <c:ext xmlns:c16="http://schemas.microsoft.com/office/drawing/2014/chart" uri="{C3380CC4-5D6E-409C-BE32-E72D297353CC}">
              <c16:uniqueId val="{0000000A-0133-41A9-BD61-8CD9D06DB423}"/>
            </c:ext>
          </c:extLst>
        </c:ser>
        <c:ser>
          <c:idx val="3"/>
          <c:order val="3"/>
          <c:tx>
            <c:strRef>
              <c:f>Totaal!$E$46</c:f>
              <c:strCache>
                <c:ptCount val="1"/>
                <c:pt idx="0">
                  <c:v>Behoorlijk</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Totaal!$A$47:$A$55</c:f>
              <c:strCache>
                <c:ptCount val="9"/>
                <c:pt idx="0">
                  <c:v>(her)inrichting van het regionale techniekaanbod</c:v>
                </c:pt>
                <c:pt idx="1">
                  <c:v>De aantallen techniekleerlingen in de profielen</c:v>
                </c:pt>
                <c:pt idx="2">
                  <c:v>De kwaliteit van het techniekonderwijs/de technieklessen</c:v>
                </c:pt>
                <c:pt idx="3">
                  <c:v>Voldoende techniekdocenten</c:v>
                </c:pt>
                <c:pt idx="4">
                  <c:v>De aansluiting met mbo</c:v>
                </c:pt>
                <c:pt idx="5">
                  <c:v>De aansluiting op de regionale vraag van het bedrijfsleven</c:v>
                </c:pt>
                <c:pt idx="6">
                  <c:v>De samenwerking tussen de verschillende partijen van STO</c:v>
                </c:pt>
                <c:pt idx="7">
                  <c:v>De beeldvorming ten aanzien van techniek</c:v>
                </c:pt>
                <c:pt idx="8">
                  <c:v>Andere opbrengst, namelijk… (n=13)</c:v>
                </c:pt>
              </c:strCache>
            </c:strRef>
          </c:cat>
          <c:val>
            <c:numRef>
              <c:f>Totaal!$E$47:$E$55</c:f>
              <c:numCache>
                <c:formatCode>0%</c:formatCode>
                <c:ptCount val="9"/>
                <c:pt idx="0">
                  <c:v>0.64583333333333337</c:v>
                </c:pt>
                <c:pt idx="1">
                  <c:v>0.39583333333333331</c:v>
                </c:pt>
                <c:pt idx="2">
                  <c:v>0.5</c:v>
                </c:pt>
                <c:pt idx="3">
                  <c:v>0.39583333333333331</c:v>
                </c:pt>
                <c:pt idx="4">
                  <c:v>0.4375</c:v>
                </c:pt>
                <c:pt idx="5">
                  <c:v>0.45833333333333331</c:v>
                </c:pt>
                <c:pt idx="6">
                  <c:v>0.52083333333333337</c:v>
                </c:pt>
                <c:pt idx="7">
                  <c:v>0.625</c:v>
                </c:pt>
                <c:pt idx="8">
                  <c:v>0.38461538461538464</c:v>
                </c:pt>
              </c:numCache>
            </c:numRef>
          </c:val>
          <c:extLst>
            <c:ext xmlns:c16="http://schemas.microsoft.com/office/drawing/2014/chart" uri="{C3380CC4-5D6E-409C-BE32-E72D297353CC}">
              <c16:uniqueId val="{0000000B-0133-41A9-BD61-8CD9D06DB423}"/>
            </c:ext>
          </c:extLst>
        </c:ser>
        <c:ser>
          <c:idx val="4"/>
          <c:order val="4"/>
          <c:tx>
            <c:strRef>
              <c:f>Totaal!$F$46</c:f>
              <c:strCache>
                <c:ptCount val="1"/>
                <c:pt idx="0">
                  <c:v>Veel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Totaal!$A$47:$A$55</c:f>
              <c:strCache>
                <c:ptCount val="9"/>
                <c:pt idx="0">
                  <c:v>(her)inrichting van het regionale techniekaanbod</c:v>
                </c:pt>
                <c:pt idx="1">
                  <c:v>De aantallen techniekleerlingen in de profielen</c:v>
                </c:pt>
                <c:pt idx="2">
                  <c:v>De kwaliteit van het techniekonderwijs/de technieklessen</c:v>
                </c:pt>
                <c:pt idx="3">
                  <c:v>Voldoende techniekdocenten</c:v>
                </c:pt>
                <c:pt idx="4">
                  <c:v>De aansluiting met mbo</c:v>
                </c:pt>
                <c:pt idx="5">
                  <c:v>De aansluiting op de regionale vraag van het bedrijfsleven</c:v>
                </c:pt>
                <c:pt idx="6">
                  <c:v>De samenwerking tussen de verschillende partijen van STO</c:v>
                </c:pt>
                <c:pt idx="7">
                  <c:v>De beeldvorming ten aanzien van techniek</c:v>
                </c:pt>
                <c:pt idx="8">
                  <c:v>Andere opbrengst, namelijk… (n=13)</c:v>
                </c:pt>
              </c:strCache>
            </c:strRef>
          </c:cat>
          <c:val>
            <c:numRef>
              <c:f>Totaal!$F$47:$F$55</c:f>
              <c:numCache>
                <c:formatCode>0%</c:formatCode>
                <c:ptCount val="9"/>
                <c:pt idx="0">
                  <c:v>0.20833333333333334</c:v>
                </c:pt>
                <c:pt idx="1">
                  <c:v>0.16666666666666666</c:v>
                </c:pt>
                <c:pt idx="2">
                  <c:v>0.29166666666666669</c:v>
                </c:pt>
                <c:pt idx="3">
                  <c:v>0.125</c:v>
                </c:pt>
                <c:pt idx="4">
                  <c:v>0.125</c:v>
                </c:pt>
                <c:pt idx="5">
                  <c:v>0.27083333333333331</c:v>
                </c:pt>
                <c:pt idx="6">
                  <c:v>0.45833333333333331</c:v>
                </c:pt>
                <c:pt idx="7">
                  <c:v>0.22916666666666666</c:v>
                </c:pt>
                <c:pt idx="8">
                  <c:v>0.46153846153846156</c:v>
                </c:pt>
              </c:numCache>
            </c:numRef>
          </c:val>
          <c:extLst>
            <c:ext xmlns:c16="http://schemas.microsoft.com/office/drawing/2014/chart" uri="{C3380CC4-5D6E-409C-BE32-E72D297353CC}">
              <c16:uniqueId val="{0000000C-0133-41A9-BD61-8CD9D06DB423}"/>
            </c:ext>
          </c:extLst>
        </c:ser>
        <c:dLbls>
          <c:dLblPos val="ctr"/>
          <c:showLegendKey val="0"/>
          <c:showVal val="1"/>
          <c:showCatName val="0"/>
          <c:showSerName val="0"/>
          <c:showPercent val="0"/>
          <c:showBubbleSize val="0"/>
        </c:dLbls>
        <c:gapWidth val="50"/>
        <c:overlap val="100"/>
        <c:axId val="1033400543"/>
        <c:axId val="1033402463"/>
      </c:barChart>
      <c:catAx>
        <c:axId val="103340054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33402463"/>
        <c:crosses val="autoZero"/>
        <c:auto val="1"/>
        <c:lblAlgn val="ctr"/>
        <c:lblOffset val="100"/>
        <c:noMultiLvlLbl val="0"/>
      </c:catAx>
      <c:valAx>
        <c:axId val="103340246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33400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nl-NL"/>
              <a:t>Hoe tevreden bent u met de vooruitgang die in uw regio de afgelopen sto-periode (2020-2024) is geboekt op deze drie hoofddoelen? (n=48)</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0.44552205866465827"/>
          <c:y val="0.3562546698086097"/>
          <c:w val="0.51320494973408604"/>
          <c:h val="0.49243682587121862"/>
        </c:manualLayout>
      </c:layout>
      <c:barChart>
        <c:barDir val="bar"/>
        <c:grouping val="percentStacked"/>
        <c:varyColors val="0"/>
        <c:ser>
          <c:idx val="0"/>
          <c:order val="0"/>
          <c:tx>
            <c:strRef>
              <c:f>Totaal!$B$87</c:f>
              <c:strCache>
                <c:ptCount val="1"/>
                <c:pt idx="0">
                  <c:v>Heel ontevreden</c:v>
                </c:pt>
              </c:strCache>
            </c:strRef>
          </c:tx>
          <c:spPr>
            <a:solidFill>
              <a:schemeClr val="accent1"/>
            </a:solidFill>
            <a:ln>
              <a:noFill/>
            </a:ln>
            <a:effectLst/>
          </c:spPr>
          <c:invertIfNegative val="0"/>
          <c:dLbls>
            <c:delete val="1"/>
          </c:dLbls>
          <c:cat>
            <c:strRef>
              <c:f>Totaal!$A$88:$A$90</c:f>
              <c:strCache>
                <c:ptCount val="3"/>
                <c:pt idx="0">
                  <c:v>De regio heeft een duurzaam techniekaanbod</c:v>
                </c:pt>
                <c:pt idx="1">
                  <c:v>De regio heeft een dekkend techniekaanbod</c:v>
                </c:pt>
                <c:pt idx="2">
                  <c:v>De regio biedt kwalitatief hoogstaand technisch onderwijs</c:v>
                </c:pt>
              </c:strCache>
            </c:strRef>
          </c:cat>
          <c:val>
            <c:numRef>
              <c:f>Totaal!$B$88:$B$90</c:f>
              <c:numCache>
                <c:formatCode>0%</c:formatCode>
                <c:ptCount val="3"/>
                <c:pt idx="0">
                  <c:v>0</c:v>
                </c:pt>
                <c:pt idx="1">
                  <c:v>0</c:v>
                </c:pt>
                <c:pt idx="2">
                  <c:v>0</c:v>
                </c:pt>
              </c:numCache>
            </c:numRef>
          </c:val>
          <c:extLst>
            <c:ext xmlns:c16="http://schemas.microsoft.com/office/drawing/2014/chart" uri="{C3380CC4-5D6E-409C-BE32-E72D297353CC}">
              <c16:uniqueId val="{00000000-07C4-4E76-8B8A-9A52BD3AAC61}"/>
            </c:ext>
          </c:extLst>
        </c:ser>
        <c:ser>
          <c:idx val="1"/>
          <c:order val="1"/>
          <c:tx>
            <c:strRef>
              <c:f>Totaal!$C$87</c:f>
              <c:strCache>
                <c:ptCount val="1"/>
                <c:pt idx="0">
                  <c:v>Ontevreden</c:v>
                </c:pt>
              </c:strCache>
            </c:strRef>
          </c:tx>
          <c:spPr>
            <a:solidFill>
              <a:schemeClr val="accent2"/>
            </a:solidFill>
            <a:ln>
              <a:noFill/>
            </a:ln>
            <a:effectLst/>
          </c:spPr>
          <c:invertIfNegative val="0"/>
          <c:dLbls>
            <c:delete val="1"/>
          </c:dLbls>
          <c:cat>
            <c:strRef>
              <c:f>Totaal!$A$88:$A$90</c:f>
              <c:strCache>
                <c:ptCount val="3"/>
                <c:pt idx="0">
                  <c:v>De regio heeft een duurzaam techniekaanbod</c:v>
                </c:pt>
                <c:pt idx="1">
                  <c:v>De regio heeft een dekkend techniekaanbod</c:v>
                </c:pt>
                <c:pt idx="2">
                  <c:v>De regio biedt kwalitatief hoogstaand technisch onderwijs</c:v>
                </c:pt>
              </c:strCache>
            </c:strRef>
          </c:cat>
          <c:val>
            <c:numRef>
              <c:f>Totaal!$C$88:$C$90</c:f>
              <c:numCache>
                <c:formatCode>0%</c:formatCode>
                <c:ptCount val="3"/>
                <c:pt idx="0">
                  <c:v>2.0833333333333332E-2</c:v>
                </c:pt>
                <c:pt idx="1">
                  <c:v>2.0833333333333332E-2</c:v>
                </c:pt>
                <c:pt idx="2">
                  <c:v>0</c:v>
                </c:pt>
              </c:numCache>
            </c:numRef>
          </c:val>
          <c:extLst>
            <c:ext xmlns:c16="http://schemas.microsoft.com/office/drawing/2014/chart" uri="{C3380CC4-5D6E-409C-BE32-E72D297353CC}">
              <c16:uniqueId val="{00000001-07C4-4E76-8B8A-9A52BD3AAC61}"/>
            </c:ext>
          </c:extLst>
        </c:ser>
        <c:ser>
          <c:idx val="2"/>
          <c:order val="2"/>
          <c:tx>
            <c:strRef>
              <c:f>Totaal!$D$87</c:f>
              <c:strCache>
                <c:ptCount val="1"/>
                <c:pt idx="0">
                  <c:v>Neutraal</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Totaal!$A$88:$A$90</c:f>
              <c:strCache>
                <c:ptCount val="3"/>
                <c:pt idx="0">
                  <c:v>De regio heeft een duurzaam techniekaanbod</c:v>
                </c:pt>
                <c:pt idx="1">
                  <c:v>De regio heeft een dekkend techniekaanbod</c:v>
                </c:pt>
                <c:pt idx="2">
                  <c:v>De regio biedt kwalitatief hoogstaand technisch onderwijs</c:v>
                </c:pt>
              </c:strCache>
            </c:strRef>
          </c:cat>
          <c:val>
            <c:numRef>
              <c:f>Totaal!$D$88:$D$90</c:f>
              <c:numCache>
                <c:formatCode>0%</c:formatCode>
                <c:ptCount val="3"/>
                <c:pt idx="0">
                  <c:v>0.16666666666666666</c:v>
                </c:pt>
                <c:pt idx="1">
                  <c:v>0.1875</c:v>
                </c:pt>
                <c:pt idx="2">
                  <c:v>0.22916666666666666</c:v>
                </c:pt>
              </c:numCache>
            </c:numRef>
          </c:val>
          <c:extLst>
            <c:ext xmlns:c16="http://schemas.microsoft.com/office/drawing/2014/chart" uri="{C3380CC4-5D6E-409C-BE32-E72D297353CC}">
              <c16:uniqueId val="{00000002-07C4-4E76-8B8A-9A52BD3AAC61}"/>
            </c:ext>
          </c:extLst>
        </c:ser>
        <c:ser>
          <c:idx val="3"/>
          <c:order val="3"/>
          <c:tx>
            <c:strRef>
              <c:f>Totaal!$E$87</c:f>
              <c:strCache>
                <c:ptCount val="1"/>
                <c:pt idx="0">
                  <c:v>Tevreden</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Totaal!$A$88:$A$90</c:f>
              <c:strCache>
                <c:ptCount val="3"/>
                <c:pt idx="0">
                  <c:v>De regio heeft een duurzaam techniekaanbod</c:v>
                </c:pt>
                <c:pt idx="1">
                  <c:v>De regio heeft een dekkend techniekaanbod</c:v>
                </c:pt>
                <c:pt idx="2">
                  <c:v>De regio biedt kwalitatief hoogstaand technisch onderwijs</c:v>
                </c:pt>
              </c:strCache>
            </c:strRef>
          </c:cat>
          <c:val>
            <c:numRef>
              <c:f>Totaal!$E$88:$E$90</c:f>
              <c:numCache>
                <c:formatCode>0%</c:formatCode>
                <c:ptCount val="3"/>
                <c:pt idx="0">
                  <c:v>0.70833333333333337</c:v>
                </c:pt>
                <c:pt idx="1">
                  <c:v>0.70833333333333337</c:v>
                </c:pt>
                <c:pt idx="2">
                  <c:v>0.6875</c:v>
                </c:pt>
              </c:numCache>
            </c:numRef>
          </c:val>
          <c:extLst>
            <c:ext xmlns:c16="http://schemas.microsoft.com/office/drawing/2014/chart" uri="{C3380CC4-5D6E-409C-BE32-E72D297353CC}">
              <c16:uniqueId val="{00000003-07C4-4E76-8B8A-9A52BD3AAC61}"/>
            </c:ext>
          </c:extLst>
        </c:ser>
        <c:ser>
          <c:idx val="4"/>
          <c:order val="4"/>
          <c:tx>
            <c:strRef>
              <c:f>Totaal!$F$87</c:f>
              <c:strCache>
                <c:ptCount val="1"/>
                <c:pt idx="0">
                  <c:v>Zeer tevreden</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Totaal!$A$88:$A$90</c:f>
              <c:strCache>
                <c:ptCount val="3"/>
                <c:pt idx="0">
                  <c:v>De regio heeft een duurzaam techniekaanbod</c:v>
                </c:pt>
                <c:pt idx="1">
                  <c:v>De regio heeft een dekkend techniekaanbod</c:v>
                </c:pt>
                <c:pt idx="2">
                  <c:v>De regio biedt kwalitatief hoogstaand technisch onderwijs</c:v>
                </c:pt>
              </c:strCache>
            </c:strRef>
          </c:cat>
          <c:val>
            <c:numRef>
              <c:f>Totaal!$F$88:$F$90</c:f>
              <c:numCache>
                <c:formatCode>0%</c:formatCode>
                <c:ptCount val="3"/>
                <c:pt idx="0">
                  <c:v>0.10416666666666667</c:v>
                </c:pt>
                <c:pt idx="1">
                  <c:v>8.3333333333333329E-2</c:v>
                </c:pt>
                <c:pt idx="2">
                  <c:v>8.3333333333333329E-2</c:v>
                </c:pt>
              </c:numCache>
            </c:numRef>
          </c:val>
          <c:extLst>
            <c:ext xmlns:c16="http://schemas.microsoft.com/office/drawing/2014/chart" uri="{C3380CC4-5D6E-409C-BE32-E72D297353CC}">
              <c16:uniqueId val="{00000004-07C4-4E76-8B8A-9A52BD3AAC61}"/>
            </c:ext>
          </c:extLst>
        </c:ser>
        <c:dLbls>
          <c:dLblPos val="ctr"/>
          <c:showLegendKey val="0"/>
          <c:showVal val="1"/>
          <c:showCatName val="0"/>
          <c:showSerName val="0"/>
          <c:showPercent val="0"/>
          <c:showBubbleSize val="0"/>
        </c:dLbls>
        <c:gapWidth val="50"/>
        <c:overlap val="100"/>
        <c:axId val="632271503"/>
        <c:axId val="632272463"/>
      </c:barChart>
      <c:catAx>
        <c:axId val="63227150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32272463"/>
        <c:crosses val="autoZero"/>
        <c:auto val="1"/>
        <c:lblAlgn val="ctr"/>
        <c:lblOffset val="100"/>
        <c:noMultiLvlLbl val="0"/>
      </c:catAx>
      <c:valAx>
        <c:axId val="63227246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32271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nl-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nl-NL"/>
              <a:t>In hoeverre heeft de inzet van de STO-middelen en de daarmee gerealiseerde activiteiten en opbrengsten in uw regio bijgedragen aan het verhelpen van de volgende problemen? (n=48)</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percentStacked"/>
        <c:varyColors val="0"/>
        <c:ser>
          <c:idx val="0"/>
          <c:order val="0"/>
          <c:tx>
            <c:strRef>
              <c:f>Totaal!$B$92</c:f>
              <c:strCache>
                <c:ptCount val="1"/>
                <c:pt idx="0">
                  <c:v>Helemaal niet</c:v>
                </c:pt>
              </c:strCache>
            </c:strRef>
          </c:tx>
          <c:spPr>
            <a:solidFill>
              <a:schemeClr val="accent1"/>
            </a:solidFill>
            <a:ln>
              <a:noFill/>
            </a:ln>
            <a:effectLst/>
          </c:spPr>
          <c:invertIfNegative val="0"/>
          <c:dLbls>
            <c:delete val="1"/>
          </c:dLbls>
          <c:cat>
            <c:strRef>
              <c:f>Totaal!$A$93:$A$100</c:f>
              <c:strCache>
                <c:ptCount val="8"/>
                <c:pt idx="0">
                  <c:v>Dalende leerlingaantallen beroepsgerichte leerwegen</c:v>
                </c:pt>
                <c:pt idx="1">
                  <c:v>Afname aandeel leerlingen dat voor techniekprofiel kiest</c:v>
                </c:pt>
                <c:pt idx="2">
                  <c:v>Versnipperd (ondoelmatig) techniekaanbod</c:v>
                </c:pt>
                <c:pt idx="3">
                  <c:v>(Dreigend) lerarentekort voor techniek</c:v>
                </c:pt>
                <c:pt idx="4">
                  <c:v>Aansluiting technisch onderwijs op vervolgonderwijs en behoefte arbeidsmarkt kan beter</c:v>
                </c:pt>
                <c:pt idx="5">
                  <c:v>Tekort op arbeidsmarkt aan technisch geschoold personeel</c:v>
                </c:pt>
                <c:pt idx="6">
                  <c:v>Technologische ontwikkelingen lastig bij te benen door vmbo-scholen</c:v>
                </c:pt>
                <c:pt idx="7">
                  <c:v>Kwaliteit techniekonderwijs voor verbetering vatbaar</c:v>
                </c:pt>
              </c:strCache>
            </c:strRef>
          </c:cat>
          <c:val>
            <c:numRef>
              <c:f>Totaal!$B$93:$B$100</c:f>
              <c:numCache>
                <c:formatCode>0%</c:formatCode>
                <c:ptCount val="8"/>
                <c:pt idx="0">
                  <c:v>4.1666666666666664E-2</c:v>
                </c:pt>
                <c:pt idx="1">
                  <c:v>4.1666666666666664E-2</c:v>
                </c:pt>
                <c:pt idx="2">
                  <c:v>2.0833333333333332E-2</c:v>
                </c:pt>
                <c:pt idx="3">
                  <c:v>0</c:v>
                </c:pt>
                <c:pt idx="4">
                  <c:v>0</c:v>
                </c:pt>
                <c:pt idx="5">
                  <c:v>2.0833333333333332E-2</c:v>
                </c:pt>
                <c:pt idx="6">
                  <c:v>0</c:v>
                </c:pt>
                <c:pt idx="7">
                  <c:v>0</c:v>
                </c:pt>
              </c:numCache>
            </c:numRef>
          </c:val>
          <c:extLst>
            <c:ext xmlns:c16="http://schemas.microsoft.com/office/drawing/2014/chart" uri="{C3380CC4-5D6E-409C-BE32-E72D297353CC}">
              <c16:uniqueId val="{00000000-293C-432A-8A45-3DE506A710B1}"/>
            </c:ext>
          </c:extLst>
        </c:ser>
        <c:ser>
          <c:idx val="1"/>
          <c:order val="1"/>
          <c:tx>
            <c:strRef>
              <c:f>Totaal!$C$92</c:f>
              <c:strCache>
                <c:ptCount val="1"/>
                <c:pt idx="0">
                  <c:v>Niet</c:v>
                </c:pt>
              </c:strCache>
            </c:strRef>
          </c:tx>
          <c:spPr>
            <a:solidFill>
              <a:schemeClr val="accent2"/>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1-293C-432A-8A45-3DE506A710B1}"/>
                </c:ext>
              </c:extLst>
            </c:dLbl>
            <c:dLbl>
              <c:idx val="6"/>
              <c:delete val="1"/>
              <c:extLst>
                <c:ext xmlns:c15="http://schemas.microsoft.com/office/drawing/2012/chart" uri="{CE6537A1-D6FC-4f65-9D91-7224C49458BB}"/>
                <c:ext xmlns:c16="http://schemas.microsoft.com/office/drawing/2014/chart" uri="{C3380CC4-5D6E-409C-BE32-E72D297353CC}">
                  <c16:uniqueId val="{00000002-293C-432A-8A45-3DE506A710B1}"/>
                </c:ext>
              </c:extLst>
            </c:dLbl>
            <c:dLbl>
              <c:idx val="7"/>
              <c:delete val="1"/>
              <c:extLst>
                <c:ext xmlns:c15="http://schemas.microsoft.com/office/drawing/2012/chart" uri="{CE6537A1-D6FC-4f65-9D91-7224C49458BB}"/>
                <c:ext xmlns:c16="http://schemas.microsoft.com/office/drawing/2014/chart" uri="{C3380CC4-5D6E-409C-BE32-E72D297353CC}">
                  <c16:uniqueId val="{00000003-293C-432A-8A45-3DE506A710B1}"/>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Totaal!$A$93:$A$100</c:f>
              <c:strCache>
                <c:ptCount val="8"/>
                <c:pt idx="0">
                  <c:v>Dalende leerlingaantallen beroepsgerichte leerwegen</c:v>
                </c:pt>
                <c:pt idx="1">
                  <c:v>Afname aandeel leerlingen dat voor techniekprofiel kiest</c:v>
                </c:pt>
                <c:pt idx="2">
                  <c:v>Versnipperd (ondoelmatig) techniekaanbod</c:v>
                </c:pt>
                <c:pt idx="3">
                  <c:v>(Dreigend) lerarentekort voor techniek</c:v>
                </c:pt>
                <c:pt idx="4">
                  <c:v>Aansluiting technisch onderwijs op vervolgonderwijs en behoefte arbeidsmarkt kan beter</c:v>
                </c:pt>
                <c:pt idx="5">
                  <c:v>Tekort op arbeidsmarkt aan technisch geschoold personeel</c:v>
                </c:pt>
                <c:pt idx="6">
                  <c:v>Technologische ontwikkelingen lastig bij te benen door vmbo-scholen</c:v>
                </c:pt>
                <c:pt idx="7">
                  <c:v>Kwaliteit techniekonderwijs voor verbetering vatbaar</c:v>
                </c:pt>
              </c:strCache>
            </c:strRef>
          </c:cat>
          <c:val>
            <c:numRef>
              <c:f>Totaal!$C$93:$C$100</c:f>
              <c:numCache>
                <c:formatCode>0%</c:formatCode>
                <c:ptCount val="8"/>
                <c:pt idx="0">
                  <c:v>8.3333333333333329E-2</c:v>
                </c:pt>
                <c:pt idx="1">
                  <c:v>8.3333333333333329E-2</c:v>
                </c:pt>
                <c:pt idx="2">
                  <c:v>6.25E-2</c:v>
                </c:pt>
                <c:pt idx="3">
                  <c:v>0.125</c:v>
                </c:pt>
                <c:pt idx="4">
                  <c:v>0</c:v>
                </c:pt>
                <c:pt idx="5">
                  <c:v>0.125</c:v>
                </c:pt>
                <c:pt idx="6">
                  <c:v>4.1666666666666664E-2</c:v>
                </c:pt>
                <c:pt idx="7">
                  <c:v>4.1666666666666664E-2</c:v>
                </c:pt>
              </c:numCache>
            </c:numRef>
          </c:val>
          <c:extLst>
            <c:ext xmlns:c16="http://schemas.microsoft.com/office/drawing/2014/chart" uri="{C3380CC4-5D6E-409C-BE32-E72D297353CC}">
              <c16:uniqueId val="{00000004-293C-432A-8A45-3DE506A710B1}"/>
            </c:ext>
          </c:extLst>
        </c:ser>
        <c:ser>
          <c:idx val="2"/>
          <c:order val="2"/>
          <c:tx>
            <c:strRef>
              <c:f>Totaal!$D$92</c:f>
              <c:strCache>
                <c:ptCount val="1"/>
                <c:pt idx="0">
                  <c:v>Neutraal</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Totaal!$A$93:$A$100</c:f>
              <c:strCache>
                <c:ptCount val="8"/>
                <c:pt idx="0">
                  <c:v>Dalende leerlingaantallen beroepsgerichte leerwegen</c:v>
                </c:pt>
                <c:pt idx="1">
                  <c:v>Afname aandeel leerlingen dat voor techniekprofiel kiest</c:v>
                </c:pt>
                <c:pt idx="2">
                  <c:v>Versnipperd (ondoelmatig) techniekaanbod</c:v>
                </c:pt>
                <c:pt idx="3">
                  <c:v>(Dreigend) lerarentekort voor techniek</c:v>
                </c:pt>
                <c:pt idx="4">
                  <c:v>Aansluiting technisch onderwijs op vervolgonderwijs en behoefte arbeidsmarkt kan beter</c:v>
                </c:pt>
                <c:pt idx="5">
                  <c:v>Tekort op arbeidsmarkt aan technisch geschoold personeel</c:v>
                </c:pt>
                <c:pt idx="6">
                  <c:v>Technologische ontwikkelingen lastig bij te benen door vmbo-scholen</c:v>
                </c:pt>
                <c:pt idx="7">
                  <c:v>Kwaliteit techniekonderwijs voor verbetering vatbaar</c:v>
                </c:pt>
              </c:strCache>
            </c:strRef>
          </c:cat>
          <c:val>
            <c:numRef>
              <c:f>Totaal!$D$93:$D$100</c:f>
              <c:numCache>
                <c:formatCode>0%</c:formatCode>
                <c:ptCount val="8"/>
                <c:pt idx="0">
                  <c:v>0.20833333333333334</c:v>
                </c:pt>
                <c:pt idx="1">
                  <c:v>0.10416666666666667</c:v>
                </c:pt>
                <c:pt idx="2">
                  <c:v>0.20833333333333334</c:v>
                </c:pt>
                <c:pt idx="3">
                  <c:v>0.3125</c:v>
                </c:pt>
                <c:pt idx="4">
                  <c:v>0.22916666666666666</c:v>
                </c:pt>
                <c:pt idx="5">
                  <c:v>0.3125</c:v>
                </c:pt>
                <c:pt idx="6">
                  <c:v>0.14583333333333334</c:v>
                </c:pt>
                <c:pt idx="7">
                  <c:v>0.22916666666666666</c:v>
                </c:pt>
              </c:numCache>
            </c:numRef>
          </c:val>
          <c:extLst>
            <c:ext xmlns:c16="http://schemas.microsoft.com/office/drawing/2014/chart" uri="{C3380CC4-5D6E-409C-BE32-E72D297353CC}">
              <c16:uniqueId val="{00000005-293C-432A-8A45-3DE506A710B1}"/>
            </c:ext>
          </c:extLst>
        </c:ser>
        <c:ser>
          <c:idx val="3"/>
          <c:order val="3"/>
          <c:tx>
            <c:strRef>
              <c:f>Totaal!$E$92</c:f>
              <c:strCache>
                <c:ptCount val="1"/>
                <c:pt idx="0">
                  <c:v>In enige mate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Totaal!$A$93:$A$100</c:f>
              <c:strCache>
                <c:ptCount val="8"/>
                <c:pt idx="0">
                  <c:v>Dalende leerlingaantallen beroepsgerichte leerwegen</c:v>
                </c:pt>
                <c:pt idx="1">
                  <c:v>Afname aandeel leerlingen dat voor techniekprofiel kiest</c:v>
                </c:pt>
                <c:pt idx="2">
                  <c:v>Versnipperd (ondoelmatig) techniekaanbod</c:v>
                </c:pt>
                <c:pt idx="3">
                  <c:v>(Dreigend) lerarentekort voor techniek</c:v>
                </c:pt>
                <c:pt idx="4">
                  <c:v>Aansluiting technisch onderwijs op vervolgonderwijs en behoefte arbeidsmarkt kan beter</c:v>
                </c:pt>
                <c:pt idx="5">
                  <c:v>Tekort op arbeidsmarkt aan technisch geschoold personeel</c:v>
                </c:pt>
                <c:pt idx="6">
                  <c:v>Technologische ontwikkelingen lastig bij te benen door vmbo-scholen</c:v>
                </c:pt>
                <c:pt idx="7">
                  <c:v>Kwaliteit techniekonderwijs voor verbetering vatbaar</c:v>
                </c:pt>
              </c:strCache>
            </c:strRef>
          </c:cat>
          <c:val>
            <c:numRef>
              <c:f>Totaal!$E$93:$E$100</c:f>
              <c:numCache>
                <c:formatCode>0%</c:formatCode>
                <c:ptCount val="8"/>
                <c:pt idx="0">
                  <c:v>0.54166666666666663</c:v>
                </c:pt>
                <c:pt idx="1">
                  <c:v>0.5</c:v>
                </c:pt>
                <c:pt idx="2">
                  <c:v>0.625</c:v>
                </c:pt>
                <c:pt idx="3">
                  <c:v>0.3125</c:v>
                </c:pt>
                <c:pt idx="4">
                  <c:v>0.625</c:v>
                </c:pt>
                <c:pt idx="5">
                  <c:v>0.39583333333333331</c:v>
                </c:pt>
                <c:pt idx="6">
                  <c:v>0.54166666666666663</c:v>
                </c:pt>
                <c:pt idx="7">
                  <c:v>0.52083333333333337</c:v>
                </c:pt>
              </c:numCache>
            </c:numRef>
          </c:val>
          <c:extLst>
            <c:ext xmlns:c16="http://schemas.microsoft.com/office/drawing/2014/chart" uri="{C3380CC4-5D6E-409C-BE32-E72D297353CC}">
              <c16:uniqueId val="{00000006-293C-432A-8A45-3DE506A710B1}"/>
            </c:ext>
          </c:extLst>
        </c:ser>
        <c:ser>
          <c:idx val="4"/>
          <c:order val="4"/>
          <c:tx>
            <c:strRef>
              <c:f>Totaal!$F$92</c:f>
              <c:strCache>
                <c:ptCount val="1"/>
                <c:pt idx="0">
                  <c:v>In sterke mate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Totaal!$A$93:$A$100</c:f>
              <c:strCache>
                <c:ptCount val="8"/>
                <c:pt idx="0">
                  <c:v>Dalende leerlingaantallen beroepsgerichte leerwegen</c:v>
                </c:pt>
                <c:pt idx="1">
                  <c:v>Afname aandeel leerlingen dat voor techniekprofiel kiest</c:v>
                </c:pt>
                <c:pt idx="2">
                  <c:v>Versnipperd (ondoelmatig) techniekaanbod</c:v>
                </c:pt>
                <c:pt idx="3">
                  <c:v>(Dreigend) lerarentekort voor techniek</c:v>
                </c:pt>
                <c:pt idx="4">
                  <c:v>Aansluiting technisch onderwijs op vervolgonderwijs en behoefte arbeidsmarkt kan beter</c:v>
                </c:pt>
                <c:pt idx="5">
                  <c:v>Tekort op arbeidsmarkt aan technisch geschoold personeel</c:v>
                </c:pt>
                <c:pt idx="6">
                  <c:v>Technologische ontwikkelingen lastig bij te benen door vmbo-scholen</c:v>
                </c:pt>
                <c:pt idx="7">
                  <c:v>Kwaliteit techniekonderwijs voor verbetering vatbaar</c:v>
                </c:pt>
              </c:strCache>
            </c:strRef>
          </c:cat>
          <c:val>
            <c:numRef>
              <c:f>Totaal!$F$93:$F$100</c:f>
              <c:numCache>
                <c:formatCode>0%</c:formatCode>
                <c:ptCount val="8"/>
                <c:pt idx="0">
                  <c:v>0.125</c:v>
                </c:pt>
                <c:pt idx="1">
                  <c:v>0.27083333333333331</c:v>
                </c:pt>
                <c:pt idx="2">
                  <c:v>8.3333333333333329E-2</c:v>
                </c:pt>
                <c:pt idx="3">
                  <c:v>0.25</c:v>
                </c:pt>
                <c:pt idx="4">
                  <c:v>0.14583333333333334</c:v>
                </c:pt>
                <c:pt idx="5">
                  <c:v>0.14583333333333334</c:v>
                </c:pt>
                <c:pt idx="6">
                  <c:v>0.27083333333333331</c:v>
                </c:pt>
                <c:pt idx="7">
                  <c:v>0.20833333333333334</c:v>
                </c:pt>
              </c:numCache>
            </c:numRef>
          </c:val>
          <c:extLst>
            <c:ext xmlns:c16="http://schemas.microsoft.com/office/drawing/2014/chart" uri="{C3380CC4-5D6E-409C-BE32-E72D297353CC}">
              <c16:uniqueId val="{00000007-293C-432A-8A45-3DE506A710B1}"/>
            </c:ext>
          </c:extLst>
        </c:ser>
        <c:dLbls>
          <c:dLblPos val="ctr"/>
          <c:showLegendKey val="0"/>
          <c:showVal val="1"/>
          <c:showCatName val="0"/>
          <c:showSerName val="0"/>
          <c:showPercent val="0"/>
          <c:showBubbleSize val="0"/>
        </c:dLbls>
        <c:gapWidth val="50"/>
        <c:overlap val="100"/>
        <c:axId val="975263679"/>
        <c:axId val="975263199"/>
      </c:barChart>
      <c:catAx>
        <c:axId val="97526367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75263199"/>
        <c:crosses val="autoZero"/>
        <c:auto val="1"/>
        <c:lblAlgn val="ctr"/>
        <c:lblOffset val="100"/>
        <c:noMultiLvlLbl val="0"/>
      </c:catAx>
      <c:valAx>
        <c:axId val="97526319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752636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0.28018</cdr:x>
      <cdr:y>0.63772</cdr:y>
    </cdr:from>
    <cdr:to>
      <cdr:x>0.31565</cdr:x>
      <cdr:y>0.71959</cdr:y>
    </cdr:to>
    <cdr:sp macro="" textlink="">
      <cdr:nvSpPr>
        <cdr:cNvPr id="4" name="TextBox 3">
          <a:extLst xmlns:a="http://schemas.openxmlformats.org/drawingml/2006/main">
            <a:ext uri="{FF2B5EF4-FFF2-40B4-BE49-F238E27FC236}">
              <a16:creationId xmlns:a16="http://schemas.microsoft.com/office/drawing/2014/main" id="{46674437-608E-3223-A5F5-7E7B001B657F}"/>
            </a:ext>
          </a:extLst>
        </cdr:cNvPr>
        <cdr:cNvSpPr txBox="1"/>
      </cdr:nvSpPr>
      <cdr:spPr>
        <a:xfrm xmlns:a="http://schemas.openxmlformats.org/drawingml/2006/main">
          <a:off x="1665288" y="1710925"/>
          <a:ext cx="210819" cy="21964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000"/>
            <a:t>*</a:t>
          </a:r>
        </a:p>
      </cdr:txBody>
    </cdr:sp>
  </cdr:relSizeAnchor>
  <cdr:relSizeAnchor xmlns:cdr="http://schemas.openxmlformats.org/drawingml/2006/chartDrawing">
    <cdr:from>
      <cdr:x>0.56154</cdr:x>
      <cdr:y>0.54501</cdr:y>
    </cdr:from>
    <cdr:to>
      <cdr:x>0.59094</cdr:x>
      <cdr:y>0.62688</cdr:y>
    </cdr:to>
    <cdr:sp macro="" textlink="">
      <cdr:nvSpPr>
        <cdr:cNvPr id="7" name="TextBox 3">
          <a:extLst xmlns:a="http://schemas.openxmlformats.org/drawingml/2006/main">
            <a:ext uri="{FF2B5EF4-FFF2-40B4-BE49-F238E27FC236}">
              <a16:creationId xmlns:a16="http://schemas.microsoft.com/office/drawing/2014/main" id="{46674437-608E-3223-A5F5-7E7B001B657F}"/>
            </a:ext>
          </a:extLst>
        </cdr:cNvPr>
        <cdr:cNvSpPr txBox="1"/>
      </cdr:nvSpPr>
      <cdr:spPr>
        <a:xfrm xmlns:a="http://schemas.openxmlformats.org/drawingml/2006/main">
          <a:off x="3337565" y="1462205"/>
          <a:ext cx="174742" cy="21964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000"/>
            <a:t>*</a:t>
          </a:r>
        </a:p>
      </cdr:txBody>
    </cdr:sp>
  </cdr:relSizeAnchor>
  <cdr:relSizeAnchor xmlns:cdr="http://schemas.openxmlformats.org/drawingml/2006/chartDrawing">
    <cdr:from>
      <cdr:x>0.40936</cdr:x>
      <cdr:y>0.60026</cdr:y>
    </cdr:from>
    <cdr:to>
      <cdr:x>0.43876</cdr:x>
      <cdr:y>0.68213</cdr:y>
    </cdr:to>
    <cdr:sp macro="" textlink="">
      <cdr:nvSpPr>
        <cdr:cNvPr id="8" name="TextBox 3">
          <a:extLst xmlns:a="http://schemas.openxmlformats.org/drawingml/2006/main">
            <a:ext uri="{FF2B5EF4-FFF2-40B4-BE49-F238E27FC236}">
              <a16:creationId xmlns:a16="http://schemas.microsoft.com/office/drawing/2014/main" id="{46674437-608E-3223-A5F5-7E7B001B657F}"/>
            </a:ext>
          </a:extLst>
        </cdr:cNvPr>
        <cdr:cNvSpPr txBox="1"/>
      </cdr:nvSpPr>
      <cdr:spPr>
        <a:xfrm xmlns:a="http://schemas.openxmlformats.org/drawingml/2006/main">
          <a:off x="2433076" y="1610433"/>
          <a:ext cx="174742" cy="21964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000"/>
            <a:t>*</a:t>
          </a:r>
        </a:p>
      </cdr:txBody>
    </cdr:sp>
  </cdr:relSizeAnchor>
  <cdr:relSizeAnchor xmlns:cdr="http://schemas.openxmlformats.org/drawingml/2006/chartDrawing">
    <cdr:from>
      <cdr:x>0.66672</cdr:x>
      <cdr:y>0.49358</cdr:y>
    </cdr:from>
    <cdr:to>
      <cdr:x>0.69609</cdr:x>
      <cdr:y>0.57545</cdr:y>
    </cdr:to>
    <cdr:sp macro="" textlink="">
      <cdr:nvSpPr>
        <cdr:cNvPr id="10" name="TextBox 3">
          <a:extLst xmlns:a="http://schemas.openxmlformats.org/drawingml/2006/main">
            <a:ext uri="{FF2B5EF4-FFF2-40B4-BE49-F238E27FC236}">
              <a16:creationId xmlns:a16="http://schemas.microsoft.com/office/drawing/2014/main" id="{46674437-608E-3223-A5F5-7E7B001B657F}"/>
            </a:ext>
          </a:extLst>
        </cdr:cNvPr>
        <cdr:cNvSpPr txBox="1"/>
      </cdr:nvSpPr>
      <cdr:spPr>
        <a:xfrm xmlns:a="http://schemas.openxmlformats.org/drawingml/2006/main">
          <a:off x="3962703" y="1324215"/>
          <a:ext cx="174563" cy="21964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0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0.87104</cdr:x>
      <cdr:y>0.04631</cdr:y>
    </cdr:from>
    <cdr:to>
      <cdr:x>0.9612</cdr:x>
      <cdr:y>0.18715</cdr:y>
    </cdr:to>
    <cdr:sp macro="" textlink="">
      <cdr:nvSpPr>
        <cdr:cNvPr id="2" name="Oval 1">
          <a:extLst xmlns:a="http://schemas.openxmlformats.org/drawingml/2006/main">
            <a:ext uri="{FF2B5EF4-FFF2-40B4-BE49-F238E27FC236}">
              <a16:creationId xmlns:a16="http://schemas.microsoft.com/office/drawing/2014/main" id="{3A038D6A-3703-49F5-8C45-739107E39B5F}"/>
            </a:ext>
          </a:extLst>
        </cdr:cNvPr>
        <cdr:cNvSpPr/>
      </cdr:nvSpPr>
      <cdr:spPr>
        <a:xfrm xmlns:a="http://schemas.openxmlformats.org/drawingml/2006/main">
          <a:off x="5060950" y="155575"/>
          <a:ext cx="523875" cy="473075"/>
        </a:xfrm>
        <a:prstGeom xmlns:a="http://schemas.openxmlformats.org/drawingml/2006/main" prst="ellipse">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GB" sz="1800">
              <a:solidFill>
                <a:schemeClr val="accent1"/>
              </a:solidFill>
            </a:rPr>
            <a:t>A</a:t>
          </a:r>
        </a:p>
      </cdr:txBody>
    </cdr:sp>
  </cdr:relSizeAnchor>
  <cdr:relSizeAnchor xmlns:cdr="http://schemas.openxmlformats.org/drawingml/2006/chartDrawing">
    <cdr:from>
      <cdr:x>0.0612</cdr:x>
      <cdr:y>0.75236</cdr:y>
    </cdr:from>
    <cdr:to>
      <cdr:x>0.15738</cdr:x>
      <cdr:y>0.89509</cdr:y>
    </cdr:to>
    <cdr:sp macro="" textlink="">
      <cdr:nvSpPr>
        <cdr:cNvPr id="3" name="Oval 2">
          <a:extLst xmlns:a="http://schemas.openxmlformats.org/drawingml/2006/main">
            <a:ext uri="{FF2B5EF4-FFF2-40B4-BE49-F238E27FC236}">
              <a16:creationId xmlns:a16="http://schemas.microsoft.com/office/drawing/2014/main" id="{FDD98B8B-76E7-4988-A88E-2B5CED1E7B02}"/>
            </a:ext>
          </a:extLst>
        </cdr:cNvPr>
        <cdr:cNvSpPr/>
      </cdr:nvSpPr>
      <cdr:spPr>
        <a:xfrm xmlns:a="http://schemas.openxmlformats.org/drawingml/2006/main">
          <a:off x="355600" y="2527300"/>
          <a:ext cx="558800" cy="479425"/>
        </a:xfrm>
        <a:prstGeom xmlns:a="http://schemas.openxmlformats.org/drawingml/2006/main" prst="ellipse">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GB" sz="1800">
              <a:solidFill>
                <a:schemeClr val="accent1"/>
              </a:solidFill>
            </a:rPr>
            <a:t>B</a:t>
          </a:r>
        </a:p>
      </cdr:txBody>
    </cdr:sp>
  </cdr:relSizeAnchor>
  <cdr:relSizeAnchor xmlns:cdr="http://schemas.openxmlformats.org/drawingml/2006/chartDrawing">
    <cdr:from>
      <cdr:x>0.0612</cdr:x>
      <cdr:y>0.04631</cdr:y>
    </cdr:from>
    <cdr:to>
      <cdr:x>0.15082</cdr:x>
      <cdr:y>0.19093</cdr:y>
    </cdr:to>
    <cdr:sp macro="" textlink="">
      <cdr:nvSpPr>
        <cdr:cNvPr id="4" name="Oval 3">
          <a:extLst xmlns:a="http://schemas.openxmlformats.org/drawingml/2006/main">
            <a:ext uri="{FF2B5EF4-FFF2-40B4-BE49-F238E27FC236}">
              <a16:creationId xmlns:a16="http://schemas.microsoft.com/office/drawing/2014/main" id="{53A73FF8-AED4-43B9-AB2C-2A72B2707889}"/>
            </a:ext>
          </a:extLst>
        </cdr:cNvPr>
        <cdr:cNvSpPr/>
      </cdr:nvSpPr>
      <cdr:spPr>
        <a:xfrm xmlns:a="http://schemas.openxmlformats.org/drawingml/2006/main">
          <a:off x="355600" y="155575"/>
          <a:ext cx="520700" cy="485775"/>
        </a:xfrm>
        <a:prstGeom xmlns:a="http://schemas.openxmlformats.org/drawingml/2006/main" prst="ellipse">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GB" sz="1800">
              <a:solidFill>
                <a:schemeClr val="accent1"/>
              </a:solidFill>
            </a:rPr>
            <a:t>D</a:t>
          </a:r>
        </a:p>
      </cdr:txBody>
    </cdr:sp>
  </cdr:relSizeAnchor>
  <cdr:relSizeAnchor xmlns:cdr="http://schemas.openxmlformats.org/drawingml/2006/chartDrawing">
    <cdr:from>
      <cdr:x>0.87268</cdr:x>
      <cdr:y>0.75236</cdr:y>
    </cdr:from>
    <cdr:to>
      <cdr:x>0.9623</cdr:x>
      <cdr:y>0.89414</cdr:y>
    </cdr:to>
    <cdr:sp macro="" textlink="">
      <cdr:nvSpPr>
        <cdr:cNvPr id="5" name="Oval 4">
          <a:extLst xmlns:a="http://schemas.openxmlformats.org/drawingml/2006/main">
            <a:ext uri="{FF2B5EF4-FFF2-40B4-BE49-F238E27FC236}">
              <a16:creationId xmlns:a16="http://schemas.microsoft.com/office/drawing/2014/main" id="{FCB4CB4B-1FB1-46C6-84E9-D5D687943D23}"/>
            </a:ext>
          </a:extLst>
        </cdr:cNvPr>
        <cdr:cNvSpPr/>
      </cdr:nvSpPr>
      <cdr:spPr>
        <a:xfrm xmlns:a="http://schemas.openxmlformats.org/drawingml/2006/main">
          <a:off x="5070475" y="2527300"/>
          <a:ext cx="520700" cy="476250"/>
        </a:xfrm>
        <a:prstGeom xmlns:a="http://schemas.openxmlformats.org/drawingml/2006/main" prst="ellipse">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GB" sz="1800">
              <a:solidFill>
                <a:schemeClr val="accent1"/>
              </a:solidFill>
            </a:rPr>
            <a:t>C</a:t>
          </a:r>
        </a:p>
      </cdr:txBody>
    </cdr:sp>
  </cdr:relSizeAnchor>
</c:userShapes>
</file>

<file path=word/drawings/drawing3.xml><?xml version="1.0" encoding="utf-8"?>
<c:userShapes xmlns:c="http://schemas.openxmlformats.org/drawingml/2006/chart">
  <cdr:relSizeAnchor xmlns:cdr="http://schemas.openxmlformats.org/drawingml/2006/chartDrawing">
    <cdr:from>
      <cdr:x>0.88622</cdr:x>
      <cdr:y>0.04538</cdr:y>
    </cdr:from>
    <cdr:to>
      <cdr:x>0.96427</cdr:x>
      <cdr:y>0.17927</cdr:y>
    </cdr:to>
    <cdr:sp macro="" textlink="">
      <cdr:nvSpPr>
        <cdr:cNvPr id="2" name="Oval 1">
          <a:extLst xmlns:a="http://schemas.openxmlformats.org/drawingml/2006/main">
            <a:ext uri="{FF2B5EF4-FFF2-40B4-BE49-F238E27FC236}">
              <a16:creationId xmlns:a16="http://schemas.microsoft.com/office/drawing/2014/main" id="{00000000-0008-0000-0600-000004000000}"/>
            </a:ext>
          </a:extLst>
        </cdr:cNvPr>
        <cdr:cNvSpPr/>
      </cdr:nvSpPr>
      <cdr:spPr>
        <a:xfrm xmlns:a="http://schemas.openxmlformats.org/drawingml/2006/main">
          <a:off x="5984875" y="165100"/>
          <a:ext cx="527050" cy="487186"/>
        </a:xfrm>
        <a:prstGeom xmlns:a="http://schemas.openxmlformats.org/drawingml/2006/main" prst="ellipse">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GB" sz="1800">
              <a:solidFill>
                <a:schemeClr val="accent1"/>
              </a:solidFill>
            </a:rPr>
            <a:t>A</a:t>
          </a:r>
        </a:p>
      </cdr:txBody>
    </cdr:sp>
  </cdr:relSizeAnchor>
  <cdr:relSizeAnchor xmlns:cdr="http://schemas.openxmlformats.org/drawingml/2006/chartDrawing">
    <cdr:from>
      <cdr:x>0.06048</cdr:x>
      <cdr:y>0.71017</cdr:y>
    </cdr:from>
    <cdr:to>
      <cdr:x>0.13852</cdr:x>
      <cdr:y>0.84407</cdr:y>
    </cdr:to>
    <cdr:sp macro="" textlink="">
      <cdr:nvSpPr>
        <cdr:cNvPr id="3" name="Oval 2">
          <a:extLst xmlns:a="http://schemas.openxmlformats.org/drawingml/2006/main">
            <a:ext uri="{FF2B5EF4-FFF2-40B4-BE49-F238E27FC236}">
              <a16:creationId xmlns:a16="http://schemas.microsoft.com/office/drawing/2014/main" id="{00000000-0008-0000-0600-000004000000}"/>
            </a:ext>
          </a:extLst>
        </cdr:cNvPr>
        <cdr:cNvSpPr/>
      </cdr:nvSpPr>
      <cdr:spPr>
        <a:xfrm xmlns:a="http://schemas.openxmlformats.org/drawingml/2006/main">
          <a:off x="359470" y="2274184"/>
          <a:ext cx="463839" cy="428789"/>
        </a:xfrm>
        <a:prstGeom xmlns:a="http://schemas.openxmlformats.org/drawingml/2006/main" prst="ellipse">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GB" sz="1800">
              <a:solidFill>
                <a:schemeClr val="accent1"/>
              </a:solidFill>
            </a:rPr>
            <a:t>B</a:t>
          </a:r>
        </a:p>
      </cdr:txBody>
    </cdr:sp>
  </cdr:relSizeAnchor>
  <cdr:relSizeAnchor xmlns:cdr="http://schemas.openxmlformats.org/drawingml/2006/chartDrawing">
    <cdr:from>
      <cdr:x>0.88</cdr:x>
      <cdr:y>0.69566</cdr:y>
    </cdr:from>
    <cdr:to>
      <cdr:x>0.95805</cdr:x>
      <cdr:y>0.82955</cdr:y>
    </cdr:to>
    <cdr:sp macro="" textlink="">
      <cdr:nvSpPr>
        <cdr:cNvPr id="4" name="Oval 3">
          <a:extLst xmlns:a="http://schemas.openxmlformats.org/drawingml/2006/main">
            <a:ext uri="{FF2B5EF4-FFF2-40B4-BE49-F238E27FC236}">
              <a16:creationId xmlns:a16="http://schemas.microsoft.com/office/drawing/2014/main" id="{BDD31FD8-9078-610A-A7CF-E30D53482FED}"/>
            </a:ext>
          </a:extLst>
        </cdr:cNvPr>
        <cdr:cNvSpPr/>
      </cdr:nvSpPr>
      <cdr:spPr>
        <a:xfrm xmlns:a="http://schemas.openxmlformats.org/drawingml/2006/main">
          <a:off x="5230382" y="2227726"/>
          <a:ext cx="463898" cy="428757"/>
        </a:xfrm>
        <a:prstGeom xmlns:a="http://schemas.openxmlformats.org/drawingml/2006/main" prst="ellipse">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GB" sz="1800">
              <a:solidFill>
                <a:schemeClr val="accent1"/>
              </a:solidFill>
            </a:rPr>
            <a:t>C</a:t>
          </a:r>
        </a:p>
      </cdr:txBody>
    </cdr:sp>
  </cdr:relSizeAnchor>
  <cdr:relSizeAnchor xmlns:cdr="http://schemas.openxmlformats.org/drawingml/2006/chartDrawing">
    <cdr:from>
      <cdr:x>0.05689</cdr:x>
      <cdr:y>0.05061</cdr:y>
    </cdr:from>
    <cdr:to>
      <cdr:x>0.13493</cdr:x>
      <cdr:y>0.18451</cdr:y>
    </cdr:to>
    <cdr:sp macro="" textlink="">
      <cdr:nvSpPr>
        <cdr:cNvPr id="5" name="Oval 4">
          <a:extLst xmlns:a="http://schemas.openxmlformats.org/drawingml/2006/main">
            <a:ext uri="{FF2B5EF4-FFF2-40B4-BE49-F238E27FC236}">
              <a16:creationId xmlns:a16="http://schemas.microsoft.com/office/drawing/2014/main" id="{BDD31FD8-9078-610A-A7CF-E30D53482FED}"/>
            </a:ext>
          </a:extLst>
        </cdr:cNvPr>
        <cdr:cNvSpPr/>
      </cdr:nvSpPr>
      <cdr:spPr>
        <a:xfrm xmlns:a="http://schemas.openxmlformats.org/drawingml/2006/main">
          <a:off x="384175" y="184150"/>
          <a:ext cx="527050" cy="487186"/>
        </a:xfrm>
        <a:prstGeom xmlns:a="http://schemas.openxmlformats.org/drawingml/2006/main" prst="ellipse">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GB" sz="1800">
              <a:solidFill>
                <a:schemeClr val="accent1"/>
              </a:solidFill>
            </a:rPr>
            <a:t>D</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196</ap:Pages>
  <ap:Words>84626</ap:Words>
  <ap:Characters>465446</ap:Characters>
  <ap:DocSecurity>4</ap:DocSecurity>
  <ap:Lines>3878</ap:Lines>
  <ap:Paragraphs>1097</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548975</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2025-09-03T13:55:00.0000000Z</dcterms:created>
  <dcterms:modified xsi:type="dcterms:W3CDTF">2025-09-03T13:55:00.0000000Z</dcterms:modified>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0x01010027A34413584B794AB6D67AE85B649E7F</vt:lpwstr>
  </property>
  <property fmtid="{D5CDD505-2E9C-101B-9397-08002B2CF9AE}" pid="3" name="MediaServiceImageTags">
    <vt:lpwstr/>
  </property>
  <property fmtid="{D5CDD505-2E9C-101B-9397-08002B2CF9AE}" pid="4" name="cs_objectid">
    <vt:lpwstr>54314697</vt:lpwstr>
  </property>
</Properties>
</file>