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2BD0D87E" w14:textId="77777777"/>
    <w:p w:rsidR="007F5BD7" w:rsidP="007F5BD7" w:rsidRDefault="007F5BD7" w14:paraId="64474C03" w14:textId="5237367D">
      <w:pPr>
        <w:rPr>
          <w:szCs w:val="18"/>
        </w:rPr>
      </w:pPr>
      <w:r>
        <w:rPr>
          <w:szCs w:val="18"/>
        </w:rPr>
        <w:t>Geachte Voorzitter,</w:t>
      </w:r>
      <w:r w:rsidR="00F34F37">
        <w:rPr>
          <w:szCs w:val="18"/>
        </w:rPr>
        <w:t xml:space="preserve"> </w:t>
      </w:r>
    </w:p>
    <w:p w:rsidR="007F5BD7" w:rsidP="007F5BD7" w:rsidRDefault="007F5BD7" w14:paraId="1E3C094D" w14:textId="77777777">
      <w:pPr>
        <w:rPr>
          <w:szCs w:val="18"/>
        </w:rPr>
      </w:pPr>
    </w:p>
    <w:p w:rsidR="007F5BD7" w:rsidP="007F5BD7" w:rsidRDefault="007F5BD7" w14:paraId="003D8C45" w14:textId="0E216D45">
      <w:pPr>
        <w:rPr>
          <w:szCs w:val="18"/>
        </w:rPr>
      </w:pPr>
      <w:r>
        <w:rPr>
          <w:szCs w:val="18"/>
        </w:rPr>
        <w:t>Conform eerder gemaakte toezeggingen</w:t>
      </w:r>
      <w:r w:rsidR="00302190">
        <w:rPr>
          <w:rStyle w:val="Voetnootmarkering"/>
          <w:szCs w:val="18"/>
        </w:rPr>
        <w:footnoteReference w:id="1"/>
      </w:r>
      <w:r>
        <w:rPr>
          <w:szCs w:val="18"/>
        </w:rPr>
        <w:t xml:space="preserve"> ontvangt u hierbij </w:t>
      </w:r>
      <w:r w:rsidR="00401682">
        <w:rPr>
          <w:szCs w:val="18"/>
        </w:rPr>
        <w:t xml:space="preserve">het rapport </w:t>
      </w:r>
      <w:r>
        <w:rPr>
          <w:szCs w:val="18"/>
        </w:rPr>
        <w:t xml:space="preserve">Rijk aan gedragsinzichten: editie 2025. Deze rapportage geeft een impressie van hoe gedragskennis bij de ontwikkeling van beleid, uitvoering en toezicht werd meegewogen in de periode 2023-2025. De cases zijn thematisch geordend langs de thema’s Klimaat en omgeving, Gezondheid en weerbaarheid, Werken en ontwikkelen, en Financiën en consumentenzaken. Hiernaast geeft de rapportage ook voorbeelden van hulpmiddelen die Rijksambtenaren helpen om doenvermogen en gedragskennis mee te wegen in hun werk. </w:t>
      </w:r>
    </w:p>
    <w:p w:rsidR="007F5BD7" w:rsidP="007F5BD7" w:rsidRDefault="007F5BD7" w14:paraId="543AD682" w14:textId="77777777">
      <w:pPr>
        <w:rPr>
          <w:szCs w:val="18"/>
        </w:rPr>
      </w:pPr>
    </w:p>
    <w:p w:rsidR="007F5BD7" w:rsidP="007F5BD7" w:rsidRDefault="007F5BD7" w14:paraId="70440FD8" w14:textId="77777777">
      <w:pPr>
        <w:rPr>
          <w:szCs w:val="18"/>
        </w:rPr>
      </w:pPr>
      <w:r>
        <w:rPr>
          <w:szCs w:val="18"/>
        </w:rPr>
        <w:t>Het benutten van gedragswetenschappelijke kennis in het gehele beleidsproces is sinds 2014 regeringsbeleid.</w:t>
      </w:r>
      <w:r>
        <w:rPr>
          <w:szCs w:val="18"/>
          <w:vertAlign w:val="superscript"/>
        </w:rPr>
        <w:footnoteReference w:id="2"/>
      </w:r>
      <w:r>
        <w:rPr>
          <w:szCs w:val="18"/>
        </w:rPr>
        <w:t xml:space="preserve"> Het benutten van kennis over menselijke gedrag betekent dat beleid wordt gebaseerd op wat mensen daadwerkelijk willen, kunnen, ervaren en doen, in plaats van beleid te baseren op geïdealiseerde of modelmatige assumpties. Hierdoor is de overheid beter in staat beleid te maken dat aansluit bij de leefwereld van mensen en hun doenvermogen. Deze werkwijze vergroot de effectiviteit van beleidsmaatregelen en maakt uitvoering en handhaving efficiënter.</w:t>
      </w:r>
    </w:p>
    <w:p w:rsidR="007F5BD7" w:rsidP="007F5BD7" w:rsidRDefault="007F5BD7" w14:paraId="7E20B8CB" w14:textId="77777777">
      <w:pPr>
        <w:rPr>
          <w:szCs w:val="18"/>
        </w:rPr>
      </w:pPr>
    </w:p>
    <w:p w:rsidR="007F5BD7" w:rsidP="007F5BD7" w:rsidRDefault="007F5BD7" w14:paraId="485E302B" w14:textId="77777777">
      <w:pPr>
        <w:rPr>
          <w:szCs w:val="18"/>
        </w:rPr>
      </w:pPr>
      <w:r>
        <w:rPr>
          <w:szCs w:val="18"/>
        </w:rPr>
        <w:t>De afgelopen 10 jaar zijn stappen gezet om in de Rijksbrede werkprocessen van de overheid aandacht te vragen voor een realistisch perspectief op menselijk gedrag. Zo zijn gedragskennis, en het daaraan gerelateerde doenvermogen, onderdeel geworden van zoals het Beleidskompas, de Uitvoerings- en Handhavingstoets, de Invoeringstoets en de Handreiking Beleidsevaluaties. Maar we zijn er nog niet. Recent schreef de parlementaire enquêtecommissie Fraudebeleid en Dienstverlening dat wetten veel meer toegespitst moeten zijn op de praktijksituatie van mensen dan op een tekentafelwerkelijkheid.</w:t>
      </w:r>
      <w:r>
        <w:rPr>
          <w:szCs w:val="18"/>
          <w:vertAlign w:val="superscript"/>
        </w:rPr>
        <w:footnoteReference w:id="3"/>
      </w:r>
      <w:r>
        <w:rPr>
          <w:szCs w:val="18"/>
        </w:rPr>
        <w:t xml:space="preserve"> Ook de Staatscommissie rechtsstaat vond dat vereenvoudiging moet sporen met het </w:t>
      </w:r>
      <w:r>
        <w:rPr>
          <w:szCs w:val="18"/>
        </w:rPr>
        <w:lastRenderedPageBreak/>
        <w:t>doenvermogen van de burger.</w:t>
      </w:r>
      <w:r>
        <w:rPr>
          <w:szCs w:val="18"/>
          <w:vertAlign w:val="superscript"/>
        </w:rPr>
        <w:footnoteReference w:id="4"/>
      </w:r>
      <w:r>
        <w:rPr>
          <w:szCs w:val="18"/>
        </w:rPr>
        <w:t xml:space="preserve"> De agendabrief wetgevingskwaliteit kondigde aan dat de aandacht voor de kwaliteitseis doenvermogen wordt versterkt, mede door inzetten op het gebruik van gedragsinzichten en ervaringskennis.</w:t>
      </w:r>
      <w:r>
        <w:rPr>
          <w:szCs w:val="18"/>
          <w:vertAlign w:val="superscript"/>
        </w:rPr>
        <w:footnoteReference w:id="5"/>
      </w:r>
    </w:p>
    <w:p w:rsidR="007F5BD7" w:rsidP="007F5BD7" w:rsidRDefault="007F5BD7" w14:paraId="606AB52A" w14:textId="77777777">
      <w:pPr>
        <w:rPr>
          <w:szCs w:val="18"/>
        </w:rPr>
      </w:pPr>
    </w:p>
    <w:p w:rsidR="007F5BD7" w:rsidP="007F5BD7" w:rsidRDefault="007F5BD7" w14:paraId="78B4FA66" w14:textId="77777777">
      <w:pPr>
        <w:rPr>
          <w:szCs w:val="18"/>
        </w:rPr>
      </w:pPr>
      <w:r>
        <w:rPr>
          <w:szCs w:val="18"/>
        </w:rPr>
        <w:t>Op 20 augustus van dit jaar is de verkenning “Tien jaar na ‘Met kennis van gedrag beleid maken’ Hoe nu verder? van de Wetenschappelijke Raad voor het Regeringsbeleid (WWR) verschenen.</w:t>
      </w:r>
      <w:r>
        <w:rPr>
          <w:szCs w:val="18"/>
          <w:vertAlign w:val="superscript"/>
        </w:rPr>
        <w:footnoteReference w:id="6"/>
      </w:r>
      <w:r>
        <w:rPr>
          <w:szCs w:val="18"/>
        </w:rPr>
        <w:t xml:space="preserve"> In deze verkenning is de WRR kritisch over waar de overheid staat met het benutten van gedragswetenschappelijke kennis in het beleid. De WRR pleit voor een gelijkwaardige rol voor het gedragswetenschappelijke perspectief naast het financieel-economische en juridische perspectief. Beleid draait immers om mensen. De WRR stelt dat de toepassing van gedragswetenschappelijke kennis bij de Rijksoverheid zich momenteel veelal typeert door niet-verplicht en aan het einde van de beleidscyclus. Daarom pleit de WRR voor een meer structurele inbedding van het gedragswetenschappelijk perspectief met het accent op meer verplichtend en meer stroomopwaarts in de beleidscyclus. </w:t>
      </w:r>
    </w:p>
    <w:p w:rsidR="007F5BD7" w:rsidP="007F5BD7" w:rsidRDefault="007F5BD7" w14:paraId="51F71BB5" w14:textId="77777777">
      <w:pPr>
        <w:rPr>
          <w:szCs w:val="18"/>
        </w:rPr>
      </w:pPr>
    </w:p>
    <w:p w:rsidR="007F5BD7" w:rsidP="007F5BD7" w:rsidRDefault="007F5BD7" w14:paraId="0FEEC3F3" w14:textId="106B3AE0">
      <w:pPr>
        <w:rPr>
          <w:szCs w:val="18"/>
        </w:rPr>
      </w:pPr>
      <w:r>
        <w:rPr>
          <w:szCs w:val="18"/>
        </w:rPr>
        <w:t xml:space="preserve">De recente </w:t>
      </w:r>
      <w:r w:rsidRPr="00183E86" w:rsidR="00183E86">
        <w:rPr>
          <w:szCs w:val="18"/>
        </w:rPr>
        <w:t>Wetenschappelijk Onderzoek- en Datacentrum</w:t>
      </w:r>
      <w:r w:rsidR="00183E86">
        <w:rPr>
          <w:szCs w:val="18"/>
        </w:rPr>
        <w:t xml:space="preserve"> (</w:t>
      </w:r>
      <w:r>
        <w:rPr>
          <w:szCs w:val="18"/>
        </w:rPr>
        <w:t>WODC</w:t>
      </w:r>
      <w:r w:rsidR="00183E86">
        <w:rPr>
          <w:szCs w:val="18"/>
        </w:rPr>
        <w:t>)</w:t>
      </w:r>
      <w:r>
        <w:rPr>
          <w:szCs w:val="18"/>
        </w:rPr>
        <w:t xml:space="preserve">-evaluatie van de kwaliteitseis doenvermogen voegt hieraan toe dat er te winnen valt op het hebben van een plan en sturing op de toepassing van doenvermogen. Het Behavioural Insights Netwerk Nederland (BIN NL) zal in 2026 een reeks inspiratiesessies organiseren waarin overheidsorganisaties worden geholpen met het opstellen van een strategie voor het verder verankeren van gedragskennis in hun primaire processen. Uw Kamer wordt begin 2026 voorzien van een inhoudelijke reactie op de WODC-evaluatie. </w:t>
      </w:r>
    </w:p>
    <w:p w:rsidR="007F5BD7" w:rsidP="007F5BD7" w:rsidRDefault="007F5BD7" w14:paraId="55E008E8" w14:textId="77777777">
      <w:pPr>
        <w:rPr>
          <w:szCs w:val="18"/>
        </w:rPr>
      </w:pPr>
    </w:p>
    <w:p w:rsidR="007F5BD7" w:rsidP="007F5BD7" w:rsidRDefault="007F5BD7" w14:paraId="0EC29F00" w14:textId="77777777">
      <w:pPr>
        <w:rPr>
          <w:szCs w:val="18"/>
        </w:rPr>
      </w:pPr>
      <w:r>
        <w:rPr>
          <w:szCs w:val="18"/>
        </w:rPr>
        <w:t>De publicatie Rijk aan gedragsinzichten wordt gecoördineerd door BIN NL. BIN NL is binnen de Rijksoverheid het samenwerkingsverband voor de toepassing van gedragskennis in beleid, uitvoering, toezicht en communicatie. BIN NL faciliteert het onderling uitwisselen van kennis en ervaring en speelt daarnaast een ondersteunende en aanjagende rol. Het netwerk is ruim tien jaar geleden opgericht.</w:t>
      </w:r>
      <w:r>
        <w:rPr>
          <w:szCs w:val="18"/>
          <w:vertAlign w:val="superscript"/>
        </w:rPr>
        <w:footnoteReference w:id="7"/>
      </w:r>
    </w:p>
    <w:p w:rsidR="00D22441" w:rsidP="00810C93" w:rsidRDefault="00D22441" w14:paraId="76306F49" w14:textId="77777777"/>
    <w:p w:rsidR="00D22441" w:rsidP="00810C93" w:rsidRDefault="00D22441" w14:paraId="40A0A385" w14:textId="77777777"/>
    <w:p w:rsidR="00D22441" w:rsidP="00810C93" w:rsidRDefault="00D22441" w14:paraId="6DAE0F0A" w14:textId="77777777"/>
    <w:p w:rsidR="00D22441" w:rsidP="00810C93" w:rsidRDefault="00D22441" w14:paraId="61FA1C40" w14:textId="77777777"/>
    <w:p w:rsidRPr="005C65B5" w:rsidR="00591E4A" w:rsidP="007F510A" w:rsidRDefault="00591E4A" w14:paraId="531AA21C" w14:textId="77777777"/>
    <w:p w:rsidRPr="00591E4A" w:rsidR="00C90702" w:rsidP="007F510A" w:rsidRDefault="002F7788" w14:paraId="2B5A42A3" w14:textId="77777777">
      <w:pPr>
        <w:rPr>
          <w:szCs w:val="18"/>
        </w:rPr>
      </w:pPr>
      <w:r>
        <w:rPr>
          <w:szCs w:val="18"/>
        </w:rPr>
        <w:t>Vincent Karremans</w:t>
      </w:r>
    </w:p>
    <w:p w:rsidR="004425CC" w:rsidP="00810C93" w:rsidRDefault="002F7788" w14:paraId="67C1CA07" w14:textId="7A746A75">
      <w:r w:rsidRPr="005C65B5">
        <w:t>Minister van Economische Zaken</w:t>
      </w:r>
    </w:p>
    <w:sectPr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CED35" w14:textId="77777777" w:rsidR="00C95E32" w:rsidRDefault="00C95E32">
      <w:r>
        <w:separator/>
      </w:r>
    </w:p>
    <w:p w14:paraId="4CC4C2AD" w14:textId="77777777" w:rsidR="00C95E32" w:rsidRDefault="00C95E32"/>
  </w:endnote>
  <w:endnote w:type="continuationSeparator" w:id="0">
    <w:p w14:paraId="000CE07C" w14:textId="77777777" w:rsidR="00C95E32" w:rsidRDefault="00C95E32">
      <w:r>
        <w:continuationSeparator/>
      </w:r>
    </w:p>
    <w:p w14:paraId="090CB5A4" w14:textId="77777777" w:rsidR="00C95E32" w:rsidRDefault="00C95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6BF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4445F" w14:paraId="475D7806" w14:textId="77777777" w:rsidTr="00CA6A25">
      <w:trPr>
        <w:trHeight w:hRule="exact" w:val="240"/>
      </w:trPr>
      <w:tc>
        <w:tcPr>
          <w:tcW w:w="7601" w:type="dxa"/>
        </w:tcPr>
        <w:p w14:paraId="26F564B6" w14:textId="77777777" w:rsidR="00527BD4" w:rsidRDefault="00527BD4" w:rsidP="003F1F6B">
          <w:pPr>
            <w:pStyle w:val="Huisstijl-Rubricering"/>
          </w:pPr>
        </w:p>
      </w:tc>
      <w:tc>
        <w:tcPr>
          <w:tcW w:w="2156" w:type="dxa"/>
        </w:tcPr>
        <w:p w14:paraId="2F255C94" w14:textId="04711DAF" w:rsidR="00527BD4" w:rsidRPr="00645414" w:rsidRDefault="002F778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D435ED">
            <w:t>2</w:t>
          </w:r>
          <w:r w:rsidR="004425CC">
            <w:fldChar w:fldCharType="end"/>
          </w:r>
        </w:p>
      </w:tc>
    </w:tr>
  </w:tbl>
  <w:p w14:paraId="67D26B5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4445F" w14:paraId="40518A9F" w14:textId="77777777" w:rsidTr="00CA6A25">
      <w:trPr>
        <w:trHeight w:hRule="exact" w:val="240"/>
      </w:trPr>
      <w:tc>
        <w:tcPr>
          <w:tcW w:w="7601" w:type="dxa"/>
        </w:tcPr>
        <w:p w14:paraId="163B7644" w14:textId="77777777" w:rsidR="00527BD4" w:rsidRDefault="00527BD4" w:rsidP="008C356D">
          <w:pPr>
            <w:pStyle w:val="Huisstijl-Rubricering"/>
          </w:pPr>
        </w:p>
      </w:tc>
      <w:tc>
        <w:tcPr>
          <w:tcW w:w="2170" w:type="dxa"/>
        </w:tcPr>
        <w:p w14:paraId="0234D810" w14:textId="6FD49D57" w:rsidR="00527BD4" w:rsidRPr="00ED539E" w:rsidRDefault="002F778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D435ED">
            <w:t>2</w:t>
          </w:r>
          <w:r w:rsidR="00396A8F">
            <w:fldChar w:fldCharType="end"/>
          </w:r>
        </w:p>
      </w:tc>
    </w:tr>
  </w:tbl>
  <w:p w14:paraId="133FC112" w14:textId="77777777" w:rsidR="00527BD4" w:rsidRPr="00BC3B53" w:rsidRDefault="00527BD4" w:rsidP="008C356D">
    <w:pPr>
      <w:pStyle w:val="Voettekst"/>
      <w:spacing w:line="240" w:lineRule="auto"/>
      <w:rPr>
        <w:sz w:val="2"/>
        <w:szCs w:val="2"/>
      </w:rPr>
    </w:pPr>
  </w:p>
  <w:p w14:paraId="0FDE88B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8D15" w14:textId="77777777" w:rsidR="00C95E32" w:rsidRDefault="00C95E32">
      <w:r>
        <w:separator/>
      </w:r>
    </w:p>
    <w:p w14:paraId="0A823EB1" w14:textId="77777777" w:rsidR="00C95E32" w:rsidRDefault="00C95E32"/>
  </w:footnote>
  <w:footnote w:type="continuationSeparator" w:id="0">
    <w:p w14:paraId="741FD004" w14:textId="77777777" w:rsidR="00C95E32" w:rsidRDefault="00C95E32">
      <w:r>
        <w:continuationSeparator/>
      </w:r>
    </w:p>
    <w:p w14:paraId="037C16C7" w14:textId="77777777" w:rsidR="00C95E32" w:rsidRDefault="00C95E32"/>
  </w:footnote>
  <w:footnote w:id="1">
    <w:p w14:paraId="336997B4" w14:textId="37FB7D35" w:rsidR="00302190" w:rsidRPr="00F34F37" w:rsidRDefault="00302190">
      <w:pPr>
        <w:pStyle w:val="Voetnoottekst"/>
        <w:rPr>
          <w:szCs w:val="13"/>
        </w:rPr>
      </w:pPr>
      <w:r w:rsidRPr="00F34F37">
        <w:rPr>
          <w:rStyle w:val="Voetnootmarkering"/>
          <w:szCs w:val="13"/>
        </w:rPr>
        <w:footnoteRef/>
      </w:r>
      <w:r w:rsidRPr="00F34F37">
        <w:rPr>
          <w:szCs w:val="13"/>
        </w:rPr>
        <w:t xml:space="preserve"> Naar aanleiding van vragen van de PvdA Eerste Kamer fractie over de kabinetsreactie op het WRR-rapport ‘Weten is nog geen doen’. Kamerstukken I 2018-2019, 34 775, AS </w:t>
      </w:r>
    </w:p>
  </w:footnote>
  <w:footnote w:id="2">
    <w:p w14:paraId="5B5A79FF" w14:textId="77777777" w:rsidR="007F5BD7" w:rsidRPr="00F34F37" w:rsidRDefault="007F5BD7" w:rsidP="007F5BD7">
      <w:pPr>
        <w:pStyle w:val="Voetnoottekst"/>
        <w:rPr>
          <w:szCs w:val="13"/>
        </w:rPr>
      </w:pPr>
      <w:r w:rsidRPr="00F34F37">
        <w:rPr>
          <w:rStyle w:val="Voetnootmarkering"/>
          <w:b/>
          <w:i/>
          <w:szCs w:val="13"/>
        </w:rPr>
        <w:footnoteRef/>
      </w:r>
      <w:r w:rsidRPr="00F34F37">
        <w:rPr>
          <w:szCs w:val="13"/>
        </w:rPr>
        <w:t xml:space="preserve"> Kamerstukken II 2014-2015, 34 000 XIII, nr. 140.</w:t>
      </w:r>
    </w:p>
  </w:footnote>
  <w:footnote w:id="3">
    <w:p w14:paraId="390711EA" w14:textId="77777777" w:rsidR="007F5BD7" w:rsidRPr="00F34F37" w:rsidRDefault="007F5BD7" w:rsidP="007F5BD7">
      <w:pPr>
        <w:pStyle w:val="Voetnoottekst"/>
        <w:rPr>
          <w:szCs w:val="13"/>
        </w:rPr>
      </w:pPr>
      <w:r w:rsidRPr="00F34F37">
        <w:rPr>
          <w:rStyle w:val="Voetnootmarkering"/>
          <w:b/>
          <w:i/>
          <w:szCs w:val="13"/>
        </w:rPr>
        <w:footnoteRef/>
      </w:r>
      <w:r w:rsidRPr="00F34F37">
        <w:rPr>
          <w:szCs w:val="13"/>
        </w:rPr>
        <w:t xml:space="preserve"> Kamerstukken II 2023-2024, 35867, nr. 6.</w:t>
      </w:r>
    </w:p>
  </w:footnote>
  <w:footnote w:id="4">
    <w:p w14:paraId="5F471586" w14:textId="77777777" w:rsidR="007F5BD7" w:rsidRPr="00F34F37" w:rsidRDefault="007F5BD7" w:rsidP="007F5BD7">
      <w:pPr>
        <w:pStyle w:val="Voetnoottekst"/>
        <w:rPr>
          <w:szCs w:val="13"/>
        </w:rPr>
      </w:pPr>
      <w:r w:rsidRPr="00F34F37">
        <w:rPr>
          <w:rStyle w:val="Voetnootmarkering"/>
          <w:b/>
          <w:i/>
          <w:szCs w:val="13"/>
        </w:rPr>
        <w:footnoteRef/>
      </w:r>
      <w:r w:rsidRPr="00F34F37">
        <w:rPr>
          <w:szCs w:val="13"/>
        </w:rPr>
        <w:t xml:space="preserve"> Kamerstukken II 2023-2024, 29 279, nr. 869.</w:t>
      </w:r>
    </w:p>
  </w:footnote>
  <w:footnote w:id="5">
    <w:p w14:paraId="45119583" w14:textId="77777777" w:rsidR="007F5BD7" w:rsidRPr="00F34F37" w:rsidRDefault="007F5BD7" w:rsidP="007F5BD7">
      <w:pPr>
        <w:pStyle w:val="Voetnoottekst"/>
        <w:rPr>
          <w:szCs w:val="13"/>
        </w:rPr>
      </w:pPr>
      <w:r w:rsidRPr="00F34F37">
        <w:rPr>
          <w:rStyle w:val="Voetnootmarkering"/>
          <w:b/>
          <w:i/>
          <w:szCs w:val="13"/>
        </w:rPr>
        <w:footnoteRef/>
      </w:r>
      <w:r w:rsidRPr="00F34F37">
        <w:rPr>
          <w:szCs w:val="13"/>
        </w:rPr>
        <w:t xml:space="preserve"> Kamerstukken II 2024/25, 36600 VI, nr.151.</w:t>
      </w:r>
    </w:p>
  </w:footnote>
  <w:footnote w:id="6">
    <w:p w14:paraId="4EA1A8A4" w14:textId="77777777" w:rsidR="007F5BD7" w:rsidRPr="00F34F37" w:rsidRDefault="007F5BD7" w:rsidP="007F5BD7">
      <w:pPr>
        <w:pStyle w:val="Voetnoottekst"/>
        <w:rPr>
          <w:szCs w:val="13"/>
        </w:rPr>
      </w:pPr>
      <w:r w:rsidRPr="00F34F37">
        <w:rPr>
          <w:rStyle w:val="Voetnootmarkering"/>
          <w:b/>
          <w:i/>
          <w:szCs w:val="13"/>
        </w:rPr>
        <w:footnoteRef/>
      </w:r>
      <w:r w:rsidRPr="00F34F37">
        <w:rPr>
          <w:szCs w:val="13"/>
        </w:rPr>
        <w:t xml:space="preserve"> </w:t>
      </w:r>
      <w:hyperlink r:id="rId1">
        <w:r w:rsidRPr="00F34F37">
          <w:rPr>
            <w:rStyle w:val="Hyperlink"/>
            <w:color w:val="467886"/>
            <w:szCs w:val="13"/>
          </w:rPr>
          <w:t>Tien jaar na ‘Met kennis van gedrag beleid maken’ Hoe nu verder? | Verkenning | WRR</w:t>
        </w:r>
      </w:hyperlink>
    </w:p>
  </w:footnote>
  <w:footnote w:id="7">
    <w:p w14:paraId="2ACF848E" w14:textId="77777777" w:rsidR="007F5BD7" w:rsidRPr="00F34F37" w:rsidRDefault="007F5BD7" w:rsidP="007F5BD7">
      <w:pPr>
        <w:pStyle w:val="Voetnoottekst"/>
        <w:rPr>
          <w:szCs w:val="13"/>
        </w:rPr>
      </w:pPr>
      <w:r w:rsidRPr="00F34F37">
        <w:rPr>
          <w:rStyle w:val="Voetnootmarkering"/>
          <w:b/>
          <w:i/>
          <w:szCs w:val="13"/>
        </w:rPr>
        <w:footnoteRef/>
      </w:r>
      <w:r w:rsidRPr="00F34F37">
        <w:rPr>
          <w:szCs w:val="13"/>
        </w:rPr>
        <w:t xml:space="preserve"> Kamerstukken II 2014-2015, 34 000 XIII, nr.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4445F" w14:paraId="10939B40" w14:textId="77777777" w:rsidTr="00A50CF6">
      <w:tc>
        <w:tcPr>
          <w:tcW w:w="2156" w:type="dxa"/>
        </w:tcPr>
        <w:p w14:paraId="51FA7627" w14:textId="04DCB31F" w:rsidR="00527BD4" w:rsidRPr="005819CE" w:rsidRDefault="002F7788" w:rsidP="00A50CF6">
          <w:pPr>
            <w:pStyle w:val="Huisstijl-Adres"/>
            <w:rPr>
              <w:b/>
            </w:rPr>
          </w:pPr>
          <w:r>
            <w:rPr>
              <w:b/>
            </w:rPr>
            <w:t>Directoraat-generaal Economie en Digitalisering</w:t>
          </w:r>
          <w:r w:rsidRPr="005819CE">
            <w:rPr>
              <w:b/>
            </w:rPr>
            <w:br/>
          </w:r>
          <w:r>
            <w:t>Directie Algemene Economische Politiek</w:t>
          </w:r>
        </w:p>
      </w:tc>
    </w:tr>
    <w:tr w:rsidR="00B4445F" w14:paraId="63C2240B" w14:textId="77777777" w:rsidTr="00A50CF6">
      <w:trPr>
        <w:trHeight w:hRule="exact" w:val="200"/>
      </w:trPr>
      <w:tc>
        <w:tcPr>
          <w:tcW w:w="2156" w:type="dxa"/>
        </w:tcPr>
        <w:p w14:paraId="09B79B01" w14:textId="77777777" w:rsidR="00527BD4" w:rsidRPr="005819CE" w:rsidRDefault="00527BD4" w:rsidP="00A50CF6"/>
      </w:tc>
    </w:tr>
    <w:tr w:rsidR="00B4445F" w14:paraId="6300F2D2" w14:textId="77777777" w:rsidTr="00502512">
      <w:trPr>
        <w:trHeight w:hRule="exact" w:val="774"/>
      </w:trPr>
      <w:tc>
        <w:tcPr>
          <w:tcW w:w="2156" w:type="dxa"/>
        </w:tcPr>
        <w:p w14:paraId="29ED9A0E" w14:textId="77777777" w:rsidR="00527BD4" w:rsidRDefault="002F7788" w:rsidP="003A5290">
          <w:pPr>
            <w:pStyle w:val="Huisstijl-Kopje"/>
          </w:pPr>
          <w:r>
            <w:t>Ons kenmerk</w:t>
          </w:r>
        </w:p>
        <w:p w14:paraId="1B3BDFAF" w14:textId="427CCBF5" w:rsidR="00527BD4" w:rsidRPr="005819CE" w:rsidRDefault="002F7788" w:rsidP="004425CC">
          <w:pPr>
            <w:pStyle w:val="Huisstijl-Kopje"/>
          </w:pPr>
          <w:r>
            <w:rPr>
              <w:b w:val="0"/>
            </w:rPr>
            <w:t>DGED-AEP</w:t>
          </w:r>
          <w:r w:rsidRPr="00502512">
            <w:rPr>
              <w:b w:val="0"/>
            </w:rPr>
            <w:t xml:space="preserve"> / </w:t>
          </w:r>
          <w:r w:rsidR="00F34F37" w:rsidRPr="00F34F37">
            <w:rPr>
              <w:b w:val="0"/>
            </w:rPr>
            <w:t>102176406</w:t>
          </w:r>
        </w:p>
      </w:tc>
    </w:tr>
  </w:tbl>
  <w:p w14:paraId="36704F9C" w14:textId="77777777" w:rsidR="00527BD4" w:rsidRDefault="00527BD4" w:rsidP="008C356D">
    <w:pPr>
      <w:pStyle w:val="Koptekst"/>
      <w:rPr>
        <w:rFonts w:cs="Verdana-Bold"/>
        <w:b/>
        <w:bCs/>
        <w:smallCaps/>
        <w:szCs w:val="18"/>
      </w:rPr>
    </w:pPr>
  </w:p>
  <w:p w14:paraId="0DAAEE0A" w14:textId="77777777" w:rsidR="00527BD4" w:rsidRDefault="00527BD4" w:rsidP="008C356D"/>
  <w:p w14:paraId="717AAB5B" w14:textId="77777777" w:rsidR="00527BD4" w:rsidRPr="00740712" w:rsidRDefault="00527BD4" w:rsidP="008C356D"/>
  <w:p w14:paraId="0A0CA4F8" w14:textId="77777777" w:rsidR="00527BD4" w:rsidRPr="00217880" w:rsidRDefault="00527BD4" w:rsidP="008C356D">
    <w:pPr>
      <w:spacing w:line="0" w:lineRule="atLeast"/>
      <w:rPr>
        <w:sz w:val="2"/>
        <w:szCs w:val="2"/>
      </w:rPr>
    </w:pPr>
  </w:p>
  <w:p w14:paraId="22216895" w14:textId="77777777" w:rsidR="00527BD4" w:rsidRDefault="00527BD4" w:rsidP="004F44C2">
    <w:pPr>
      <w:pStyle w:val="Koptekst"/>
      <w:rPr>
        <w:rFonts w:cs="Verdana-Bold"/>
        <w:b/>
        <w:bCs/>
        <w:smallCaps/>
        <w:szCs w:val="18"/>
      </w:rPr>
    </w:pPr>
  </w:p>
  <w:p w14:paraId="76B5CF3A" w14:textId="77777777" w:rsidR="00527BD4" w:rsidRDefault="00527BD4" w:rsidP="004F44C2"/>
  <w:p w14:paraId="37DBDFA1" w14:textId="77777777" w:rsidR="00527BD4" w:rsidRPr="00740712" w:rsidRDefault="00527BD4" w:rsidP="004F44C2"/>
  <w:p w14:paraId="091EEB3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4445F" w14:paraId="03308B80" w14:textId="77777777" w:rsidTr="00751A6A">
      <w:trPr>
        <w:trHeight w:val="2636"/>
      </w:trPr>
      <w:tc>
        <w:tcPr>
          <w:tcW w:w="737" w:type="dxa"/>
        </w:tcPr>
        <w:p w14:paraId="0CA91198" w14:textId="77777777" w:rsidR="00527BD4" w:rsidRDefault="00527BD4" w:rsidP="00D0609E">
          <w:pPr>
            <w:framePr w:w="6340" w:h="2750" w:hRule="exact" w:hSpace="180" w:wrap="around" w:vAnchor="page" w:hAnchor="text" w:x="3873" w:y="-140"/>
            <w:spacing w:line="240" w:lineRule="auto"/>
          </w:pPr>
        </w:p>
      </w:tc>
      <w:tc>
        <w:tcPr>
          <w:tcW w:w="5156" w:type="dxa"/>
        </w:tcPr>
        <w:p w14:paraId="4D14B003" w14:textId="77777777" w:rsidR="00527BD4" w:rsidRDefault="002F778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2D4BA17" wp14:editId="55F3D102">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DB13AFB" w14:textId="77777777" w:rsidR="007269E3" w:rsidRDefault="007269E3" w:rsidP="00651CEE">
          <w:pPr>
            <w:framePr w:w="6340" w:h="2750" w:hRule="exact" w:hSpace="180" w:wrap="around" w:vAnchor="page" w:hAnchor="text" w:x="3873" w:y="-140"/>
            <w:spacing w:line="240" w:lineRule="auto"/>
          </w:pPr>
        </w:p>
      </w:tc>
    </w:tr>
  </w:tbl>
  <w:p w14:paraId="78645895" w14:textId="77777777" w:rsidR="00527BD4" w:rsidRDefault="00527BD4" w:rsidP="00D0609E">
    <w:pPr>
      <w:framePr w:w="6340" w:h="2750" w:hRule="exact" w:hSpace="180" w:wrap="around" w:vAnchor="page" w:hAnchor="text" w:x="3873" w:y="-140"/>
    </w:pPr>
  </w:p>
  <w:p w14:paraId="3CA736F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4445F" w14:paraId="3FA6B5E4" w14:textId="77777777" w:rsidTr="00A50CF6">
      <w:tc>
        <w:tcPr>
          <w:tcW w:w="2160" w:type="dxa"/>
        </w:tcPr>
        <w:p w14:paraId="75F5067C" w14:textId="77777777" w:rsidR="00527BD4" w:rsidRPr="005819CE" w:rsidRDefault="002F7788" w:rsidP="00A50CF6">
          <w:pPr>
            <w:pStyle w:val="Huisstijl-Adres"/>
            <w:rPr>
              <w:b/>
            </w:rPr>
          </w:pPr>
          <w:r>
            <w:rPr>
              <w:b/>
            </w:rPr>
            <w:t>Directoraat-generaal Economie en Digitalisering</w:t>
          </w:r>
          <w:r w:rsidRPr="005819CE">
            <w:rPr>
              <w:b/>
            </w:rPr>
            <w:br/>
          </w:r>
          <w:r>
            <w:t>Directie Algemene Economische Politiek</w:t>
          </w:r>
        </w:p>
        <w:p w14:paraId="5406B1F1" w14:textId="77777777" w:rsidR="00527BD4" w:rsidRPr="00BE5ED9" w:rsidRDefault="002F7788" w:rsidP="00A50CF6">
          <w:pPr>
            <w:pStyle w:val="Huisstijl-Adres"/>
          </w:pPr>
          <w:r>
            <w:rPr>
              <w:b/>
            </w:rPr>
            <w:t>Bezoekadres</w:t>
          </w:r>
          <w:r>
            <w:rPr>
              <w:b/>
            </w:rPr>
            <w:br/>
          </w:r>
          <w:r>
            <w:t>Bezuidenhoutseweg 73</w:t>
          </w:r>
          <w:r w:rsidRPr="005819CE">
            <w:br/>
          </w:r>
          <w:r>
            <w:t>2594 AC Den Haag</w:t>
          </w:r>
        </w:p>
        <w:p w14:paraId="1FE53DCC" w14:textId="77777777" w:rsidR="00EF495B" w:rsidRDefault="002F7788" w:rsidP="0098788A">
          <w:pPr>
            <w:pStyle w:val="Huisstijl-Adres"/>
          </w:pPr>
          <w:r>
            <w:rPr>
              <w:b/>
            </w:rPr>
            <w:t>Postadres</w:t>
          </w:r>
          <w:r>
            <w:rPr>
              <w:b/>
            </w:rPr>
            <w:br/>
          </w:r>
          <w:r>
            <w:t>Postbus 20401</w:t>
          </w:r>
          <w:r w:rsidRPr="005819CE">
            <w:br/>
            <w:t>2500 E</w:t>
          </w:r>
          <w:r>
            <w:t>K</w:t>
          </w:r>
          <w:r w:rsidRPr="005819CE">
            <w:t xml:space="preserve"> Den Haag</w:t>
          </w:r>
        </w:p>
        <w:p w14:paraId="38808D62" w14:textId="77777777" w:rsidR="00EF495B" w:rsidRPr="005B3814" w:rsidRDefault="002F7788" w:rsidP="0098788A">
          <w:pPr>
            <w:pStyle w:val="Huisstijl-Adres"/>
          </w:pPr>
          <w:r>
            <w:rPr>
              <w:b/>
            </w:rPr>
            <w:t>Overheidsidentificatienr</w:t>
          </w:r>
          <w:r>
            <w:rPr>
              <w:b/>
            </w:rPr>
            <w:br/>
          </w:r>
          <w:r w:rsidRPr="005B3814">
            <w:t>00000001003214369000</w:t>
          </w:r>
        </w:p>
        <w:p w14:paraId="403B57DE" w14:textId="6F425D98" w:rsidR="00527BD4" w:rsidRPr="00F34F37" w:rsidRDefault="002F778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B4445F" w14:paraId="0EBC9E45" w14:textId="77777777" w:rsidTr="00A50CF6">
      <w:trPr>
        <w:trHeight w:hRule="exact" w:val="200"/>
      </w:trPr>
      <w:tc>
        <w:tcPr>
          <w:tcW w:w="2160" w:type="dxa"/>
        </w:tcPr>
        <w:p w14:paraId="799CC849" w14:textId="77777777" w:rsidR="00527BD4" w:rsidRPr="005819CE" w:rsidRDefault="00527BD4" w:rsidP="00A50CF6"/>
      </w:tc>
    </w:tr>
    <w:tr w:rsidR="00B4445F" w14:paraId="6DA6880B" w14:textId="77777777" w:rsidTr="00A50CF6">
      <w:tc>
        <w:tcPr>
          <w:tcW w:w="2160" w:type="dxa"/>
        </w:tcPr>
        <w:p w14:paraId="75107961" w14:textId="77777777" w:rsidR="000C0163" w:rsidRPr="005819CE" w:rsidRDefault="002F7788" w:rsidP="000C0163">
          <w:pPr>
            <w:pStyle w:val="Huisstijl-Kopje"/>
          </w:pPr>
          <w:r>
            <w:t>Ons kenmerk</w:t>
          </w:r>
          <w:r w:rsidRPr="005819CE">
            <w:t xml:space="preserve"> </w:t>
          </w:r>
        </w:p>
        <w:p w14:paraId="1FC72BFB" w14:textId="77777777" w:rsidR="00527BD4" w:rsidRDefault="002F7788" w:rsidP="00F34F37">
          <w:pPr>
            <w:pStyle w:val="Huisstijl-Gegeven"/>
          </w:pPr>
          <w:r>
            <w:t>DGED-AEP</w:t>
          </w:r>
          <w:r w:rsidR="00926AE2">
            <w:t xml:space="preserve"> / </w:t>
          </w:r>
          <w:r w:rsidR="00F34F37" w:rsidRPr="00F34F37">
            <w:t>102176406</w:t>
          </w:r>
        </w:p>
        <w:p w14:paraId="6C5327A4" w14:textId="77777777" w:rsidR="00F34F37" w:rsidRDefault="00F34F37" w:rsidP="00F34F37">
          <w:pPr>
            <w:pStyle w:val="Huisstijl-Kopje"/>
          </w:pPr>
        </w:p>
        <w:p w14:paraId="799B837E" w14:textId="2C8E5B59" w:rsidR="00F34F37" w:rsidRPr="005819CE" w:rsidRDefault="00F34F37" w:rsidP="00F34F37">
          <w:pPr>
            <w:pStyle w:val="Huisstijl-Kopje"/>
          </w:pPr>
          <w:r>
            <w:t>Bijlage(n)</w:t>
          </w:r>
        </w:p>
        <w:p w14:paraId="78D710A5" w14:textId="4A106745" w:rsidR="00F34F37" w:rsidRPr="00F34F37" w:rsidRDefault="00F34F37" w:rsidP="00F34F37">
          <w:pPr>
            <w:pStyle w:val="Huisstijl-Gegeven"/>
          </w:pPr>
          <w:r w:rsidRPr="00F34F37">
            <w:t>1</w:t>
          </w:r>
        </w:p>
      </w:tc>
    </w:tr>
  </w:tbl>
  <w:p w14:paraId="28BE02D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4445F" w14:paraId="40CA5A68" w14:textId="77777777" w:rsidTr="007610AA">
      <w:trPr>
        <w:trHeight w:val="400"/>
      </w:trPr>
      <w:tc>
        <w:tcPr>
          <w:tcW w:w="7520" w:type="dxa"/>
          <w:gridSpan w:val="2"/>
        </w:tcPr>
        <w:p w14:paraId="1C7E9FEF" w14:textId="77777777" w:rsidR="00527BD4" w:rsidRPr="00BC3B53" w:rsidRDefault="002F7788" w:rsidP="00A50CF6">
          <w:pPr>
            <w:pStyle w:val="Huisstijl-Retouradres"/>
          </w:pPr>
          <w:r>
            <w:t>&gt; Retouradres Postbus 20401 2500 EK Den Haag</w:t>
          </w:r>
        </w:p>
      </w:tc>
    </w:tr>
    <w:tr w:rsidR="00B4445F" w14:paraId="16E0DB74" w14:textId="77777777" w:rsidTr="007610AA">
      <w:tc>
        <w:tcPr>
          <w:tcW w:w="7520" w:type="dxa"/>
          <w:gridSpan w:val="2"/>
        </w:tcPr>
        <w:p w14:paraId="2DFB25AB" w14:textId="77777777" w:rsidR="00527BD4" w:rsidRPr="00983E8F" w:rsidRDefault="00527BD4" w:rsidP="00A50CF6">
          <w:pPr>
            <w:pStyle w:val="Huisstijl-Rubricering"/>
          </w:pPr>
        </w:p>
      </w:tc>
    </w:tr>
    <w:tr w:rsidR="00B4445F" w14:paraId="56A6091D" w14:textId="77777777" w:rsidTr="007610AA">
      <w:trPr>
        <w:trHeight w:hRule="exact" w:val="2440"/>
      </w:trPr>
      <w:tc>
        <w:tcPr>
          <w:tcW w:w="7520" w:type="dxa"/>
          <w:gridSpan w:val="2"/>
        </w:tcPr>
        <w:p w14:paraId="4B4FABCF" w14:textId="77777777" w:rsidR="00527BD4" w:rsidRDefault="002F7788" w:rsidP="00A50CF6">
          <w:pPr>
            <w:pStyle w:val="Huisstijl-NAW"/>
          </w:pPr>
          <w:r>
            <w:t xml:space="preserve">De Voorzitter van de Tweede Kamer </w:t>
          </w:r>
        </w:p>
        <w:p w14:paraId="4A7F06A8" w14:textId="77777777" w:rsidR="00B4445F" w:rsidRDefault="002F7788">
          <w:pPr>
            <w:pStyle w:val="Huisstijl-NAW"/>
          </w:pPr>
          <w:r>
            <w:t xml:space="preserve">der Staten-Generaal </w:t>
          </w:r>
        </w:p>
        <w:p w14:paraId="062F2870" w14:textId="77777777" w:rsidR="00B4445F" w:rsidRDefault="002F7788">
          <w:pPr>
            <w:pStyle w:val="Huisstijl-NAW"/>
          </w:pPr>
          <w:r>
            <w:t xml:space="preserve">Prinses Irenestraat 6 </w:t>
          </w:r>
        </w:p>
        <w:p w14:paraId="5A2EF626" w14:textId="689F856B" w:rsidR="00B4445F" w:rsidRDefault="002F7788">
          <w:pPr>
            <w:pStyle w:val="Huisstijl-NAW"/>
          </w:pPr>
          <w:r>
            <w:t xml:space="preserve">2595 BD </w:t>
          </w:r>
          <w:r w:rsidR="00F34F37">
            <w:t xml:space="preserve"> </w:t>
          </w:r>
          <w:r>
            <w:t>DEN HAAG</w:t>
          </w:r>
        </w:p>
      </w:tc>
    </w:tr>
    <w:tr w:rsidR="00B4445F" w14:paraId="52388A81" w14:textId="77777777" w:rsidTr="007610AA">
      <w:trPr>
        <w:trHeight w:hRule="exact" w:val="400"/>
      </w:trPr>
      <w:tc>
        <w:tcPr>
          <w:tcW w:w="7520" w:type="dxa"/>
          <w:gridSpan w:val="2"/>
        </w:tcPr>
        <w:p w14:paraId="3AB87A4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4445F" w14:paraId="67763376" w14:textId="77777777" w:rsidTr="007610AA">
      <w:trPr>
        <w:trHeight w:val="240"/>
      </w:trPr>
      <w:tc>
        <w:tcPr>
          <w:tcW w:w="900" w:type="dxa"/>
        </w:tcPr>
        <w:p w14:paraId="5E2648FC" w14:textId="77777777" w:rsidR="00527BD4" w:rsidRPr="007709EF" w:rsidRDefault="002F7788" w:rsidP="00A50CF6">
          <w:pPr>
            <w:rPr>
              <w:szCs w:val="18"/>
            </w:rPr>
          </w:pPr>
          <w:r>
            <w:rPr>
              <w:szCs w:val="18"/>
            </w:rPr>
            <w:t>Datum</w:t>
          </w:r>
        </w:p>
      </w:tc>
      <w:tc>
        <w:tcPr>
          <w:tcW w:w="6620" w:type="dxa"/>
        </w:tcPr>
        <w:p w14:paraId="7DCAC861" w14:textId="7B19A11F" w:rsidR="00527BD4" w:rsidRPr="007709EF" w:rsidRDefault="00345EF0" w:rsidP="00A50CF6">
          <w:r>
            <w:t>6 november 2025</w:t>
          </w:r>
        </w:p>
      </w:tc>
    </w:tr>
    <w:tr w:rsidR="00B4445F" w14:paraId="73D8C40F" w14:textId="77777777" w:rsidTr="007610AA">
      <w:trPr>
        <w:trHeight w:val="240"/>
      </w:trPr>
      <w:tc>
        <w:tcPr>
          <w:tcW w:w="900" w:type="dxa"/>
        </w:tcPr>
        <w:p w14:paraId="3CA12A62" w14:textId="77777777" w:rsidR="00527BD4" w:rsidRPr="007709EF" w:rsidRDefault="002F7788" w:rsidP="00A50CF6">
          <w:pPr>
            <w:rPr>
              <w:szCs w:val="18"/>
            </w:rPr>
          </w:pPr>
          <w:r>
            <w:rPr>
              <w:szCs w:val="18"/>
            </w:rPr>
            <w:t>Betreft</w:t>
          </w:r>
        </w:p>
      </w:tc>
      <w:tc>
        <w:tcPr>
          <w:tcW w:w="6620" w:type="dxa"/>
        </w:tcPr>
        <w:p w14:paraId="0DE3B664" w14:textId="2AE3E4E5" w:rsidR="00527BD4" w:rsidRPr="007709EF" w:rsidRDefault="002F7788" w:rsidP="00A50CF6">
          <w:r>
            <w:t>Rijk aan gedragsinzichten: editie 2025</w:t>
          </w:r>
        </w:p>
      </w:tc>
    </w:tr>
  </w:tbl>
  <w:p w14:paraId="5DE67A5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6443D12">
      <w:start w:val="1"/>
      <w:numFmt w:val="bullet"/>
      <w:pStyle w:val="Lijstopsomteken"/>
      <w:lvlText w:val="•"/>
      <w:lvlJc w:val="left"/>
      <w:pPr>
        <w:tabs>
          <w:tab w:val="num" w:pos="227"/>
        </w:tabs>
        <w:ind w:left="227" w:hanging="227"/>
      </w:pPr>
      <w:rPr>
        <w:rFonts w:ascii="Verdana" w:hAnsi="Verdana" w:hint="default"/>
        <w:sz w:val="18"/>
        <w:szCs w:val="18"/>
      </w:rPr>
    </w:lvl>
    <w:lvl w:ilvl="1" w:tplc="4860E196" w:tentative="1">
      <w:start w:val="1"/>
      <w:numFmt w:val="bullet"/>
      <w:lvlText w:val="o"/>
      <w:lvlJc w:val="left"/>
      <w:pPr>
        <w:tabs>
          <w:tab w:val="num" w:pos="1440"/>
        </w:tabs>
        <w:ind w:left="1440" w:hanging="360"/>
      </w:pPr>
      <w:rPr>
        <w:rFonts w:ascii="Courier New" w:hAnsi="Courier New" w:cs="Courier New" w:hint="default"/>
      </w:rPr>
    </w:lvl>
    <w:lvl w:ilvl="2" w:tplc="E4F64738" w:tentative="1">
      <w:start w:val="1"/>
      <w:numFmt w:val="bullet"/>
      <w:lvlText w:val=""/>
      <w:lvlJc w:val="left"/>
      <w:pPr>
        <w:tabs>
          <w:tab w:val="num" w:pos="2160"/>
        </w:tabs>
        <w:ind w:left="2160" w:hanging="360"/>
      </w:pPr>
      <w:rPr>
        <w:rFonts w:ascii="Wingdings" w:hAnsi="Wingdings" w:hint="default"/>
      </w:rPr>
    </w:lvl>
    <w:lvl w:ilvl="3" w:tplc="9D32FB6E" w:tentative="1">
      <w:start w:val="1"/>
      <w:numFmt w:val="bullet"/>
      <w:lvlText w:val=""/>
      <w:lvlJc w:val="left"/>
      <w:pPr>
        <w:tabs>
          <w:tab w:val="num" w:pos="2880"/>
        </w:tabs>
        <w:ind w:left="2880" w:hanging="360"/>
      </w:pPr>
      <w:rPr>
        <w:rFonts w:ascii="Symbol" w:hAnsi="Symbol" w:hint="default"/>
      </w:rPr>
    </w:lvl>
    <w:lvl w:ilvl="4" w:tplc="41DC1CC6" w:tentative="1">
      <w:start w:val="1"/>
      <w:numFmt w:val="bullet"/>
      <w:lvlText w:val="o"/>
      <w:lvlJc w:val="left"/>
      <w:pPr>
        <w:tabs>
          <w:tab w:val="num" w:pos="3600"/>
        </w:tabs>
        <w:ind w:left="3600" w:hanging="360"/>
      </w:pPr>
      <w:rPr>
        <w:rFonts w:ascii="Courier New" w:hAnsi="Courier New" w:cs="Courier New" w:hint="default"/>
      </w:rPr>
    </w:lvl>
    <w:lvl w:ilvl="5" w:tplc="1CC631CC" w:tentative="1">
      <w:start w:val="1"/>
      <w:numFmt w:val="bullet"/>
      <w:lvlText w:val=""/>
      <w:lvlJc w:val="left"/>
      <w:pPr>
        <w:tabs>
          <w:tab w:val="num" w:pos="4320"/>
        </w:tabs>
        <w:ind w:left="4320" w:hanging="360"/>
      </w:pPr>
      <w:rPr>
        <w:rFonts w:ascii="Wingdings" w:hAnsi="Wingdings" w:hint="default"/>
      </w:rPr>
    </w:lvl>
    <w:lvl w:ilvl="6" w:tplc="BA0A8EE8" w:tentative="1">
      <w:start w:val="1"/>
      <w:numFmt w:val="bullet"/>
      <w:lvlText w:val=""/>
      <w:lvlJc w:val="left"/>
      <w:pPr>
        <w:tabs>
          <w:tab w:val="num" w:pos="5040"/>
        </w:tabs>
        <w:ind w:left="5040" w:hanging="360"/>
      </w:pPr>
      <w:rPr>
        <w:rFonts w:ascii="Symbol" w:hAnsi="Symbol" w:hint="default"/>
      </w:rPr>
    </w:lvl>
    <w:lvl w:ilvl="7" w:tplc="E0886A00" w:tentative="1">
      <w:start w:val="1"/>
      <w:numFmt w:val="bullet"/>
      <w:lvlText w:val="o"/>
      <w:lvlJc w:val="left"/>
      <w:pPr>
        <w:tabs>
          <w:tab w:val="num" w:pos="5760"/>
        </w:tabs>
        <w:ind w:left="5760" w:hanging="360"/>
      </w:pPr>
      <w:rPr>
        <w:rFonts w:ascii="Courier New" w:hAnsi="Courier New" w:cs="Courier New" w:hint="default"/>
      </w:rPr>
    </w:lvl>
    <w:lvl w:ilvl="8" w:tplc="12580C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5347E92">
      <w:start w:val="1"/>
      <w:numFmt w:val="bullet"/>
      <w:pStyle w:val="Lijstopsomteken2"/>
      <w:lvlText w:val="–"/>
      <w:lvlJc w:val="left"/>
      <w:pPr>
        <w:tabs>
          <w:tab w:val="num" w:pos="227"/>
        </w:tabs>
        <w:ind w:left="227" w:firstLine="0"/>
      </w:pPr>
      <w:rPr>
        <w:rFonts w:ascii="Verdana" w:hAnsi="Verdana" w:hint="default"/>
      </w:rPr>
    </w:lvl>
    <w:lvl w:ilvl="1" w:tplc="40AA364C" w:tentative="1">
      <w:start w:val="1"/>
      <w:numFmt w:val="bullet"/>
      <w:lvlText w:val="o"/>
      <w:lvlJc w:val="left"/>
      <w:pPr>
        <w:tabs>
          <w:tab w:val="num" w:pos="1440"/>
        </w:tabs>
        <w:ind w:left="1440" w:hanging="360"/>
      </w:pPr>
      <w:rPr>
        <w:rFonts w:ascii="Courier New" w:hAnsi="Courier New" w:cs="Courier New" w:hint="default"/>
      </w:rPr>
    </w:lvl>
    <w:lvl w:ilvl="2" w:tplc="76EC9796" w:tentative="1">
      <w:start w:val="1"/>
      <w:numFmt w:val="bullet"/>
      <w:lvlText w:val=""/>
      <w:lvlJc w:val="left"/>
      <w:pPr>
        <w:tabs>
          <w:tab w:val="num" w:pos="2160"/>
        </w:tabs>
        <w:ind w:left="2160" w:hanging="360"/>
      </w:pPr>
      <w:rPr>
        <w:rFonts w:ascii="Wingdings" w:hAnsi="Wingdings" w:hint="default"/>
      </w:rPr>
    </w:lvl>
    <w:lvl w:ilvl="3" w:tplc="C4044D24" w:tentative="1">
      <w:start w:val="1"/>
      <w:numFmt w:val="bullet"/>
      <w:lvlText w:val=""/>
      <w:lvlJc w:val="left"/>
      <w:pPr>
        <w:tabs>
          <w:tab w:val="num" w:pos="2880"/>
        </w:tabs>
        <w:ind w:left="2880" w:hanging="360"/>
      </w:pPr>
      <w:rPr>
        <w:rFonts w:ascii="Symbol" w:hAnsi="Symbol" w:hint="default"/>
      </w:rPr>
    </w:lvl>
    <w:lvl w:ilvl="4" w:tplc="BFDA85EC" w:tentative="1">
      <w:start w:val="1"/>
      <w:numFmt w:val="bullet"/>
      <w:lvlText w:val="o"/>
      <w:lvlJc w:val="left"/>
      <w:pPr>
        <w:tabs>
          <w:tab w:val="num" w:pos="3600"/>
        </w:tabs>
        <w:ind w:left="3600" w:hanging="360"/>
      </w:pPr>
      <w:rPr>
        <w:rFonts w:ascii="Courier New" w:hAnsi="Courier New" w:cs="Courier New" w:hint="default"/>
      </w:rPr>
    </w:lvl>
    <w:lvl w:ilvl="5" w:tplc="4A4E1C68" w:tentative="1">
      <w:start w:val="1"/>
      <w:numFmt w:val="bullet"/>
      <w:lvlText w:val=""/>
      <w:lvlJc w:val="left"/>
      <w:pPr>
        <w:tabs>
          <w:tab w:val="num" w:pos="4320"/>
        </w:tabs>
        <w:ind w:left="4320" w:hanging="360"/>
      </w:pPr>
      <w:rPr>
        <w:rFonts w:ascii="Wingdings" w:hAnsi="Wingdings" w:hint="default"/>
      </w:rPr>
    </w:lvl>
    <w:lvl w:ilvl="6" w:tplc="312CAA88" w:tentative="1">
      <w:start w:val="1"/>
      <w:numFmt w:val="bullet"/>
      <w:lvlText w:val=""/>
      <w:lvlJc w:val="left"/>
      <w:pPr>
        <w:tabs>
          <w:tab w:val="num" w:pos="5040"/>
        </w:tabs>
        <w:ind w:left="5040" w:hanging="360"/>
      </w:pPr>
      <w:rPr>
        <w:rFonts w:ascii="Symbol" w:hAnsi="Symbol" w:hint="default"/>
      </w:rPr>
    </w:lvl>
    <w:lvl w:ilvl="7" w:tplc="CFC67794" w:tentative="1">
      <w:start w:val="1"/>
      <w:numFmt w:val="bullet"/>
      <w:lvlText w:val="o"/>
      <w:lvlJc w:val="left"/>
      <w:pPr>
        <w:tabs>
          <w:tab w:val="num" w:pos="5760"/>
        </w:tabs>
        <w:ind w:left="5760" w:hanging="360"/>
      </w:pPr>
      <w:rPr>
        <w:rFonts w:ascii="Courier New" w:hAnsi="Courier New" w:cs="Courier New" w:hint="default"/>
      </w:rPr>
    </w:lvl>
    <w:lvl w:ilvl="8" w:tplc="EDCA082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29220457">
    <w:abstractNumId w:val="10"/>
  </w:num>
  <w:num w:numId="2" w16cid:durableId="1951231713">
    <w:abstractNumId w:val="7"/>
  </w:num>
  <w:num w:numId="3" w16cid:durableId="1380126593">
    <w:abstractNumId w:val="6"/>
  </w:num>
  <w:num w:numId="4" w16cid:durableId="1777172153">
    <w:abstractNumId w:val="5"/>
  </w:num>
  <w:num w:numId="5" w16cid:durableId="1961452476">
    <w:abstractNumId w:val="4"/>
  </w:num>
  <w:num w:numId="6" w16cid:durableId="1440296208">
    <w:abstractNumId w:val="8"/>
  </w:num>
  <w:num w:numId="7" w16cid:durableId="1216698939">
    <w:abstractNumId w:val="3"/>
  </w:num>
  <w:num w:numId="8" w16cid:durableId="895891643">
    <w:abstractNumId w:val="2"/>
  </w:num>
  <w:num w:numId="9" w16cid:durableId="1689941911">
    <w:abstractNumId w:val="1"/>
  </w:num>
  <w:num w:numId="10" w16cid:durableId="408231669">
    <w:abstractNumId w:val="0"/>
  </w:num>
  <w:num w:numId="11" w16cid:durableId="1079063640">
    <w:abstractNumId w:val="9"/>
  </w:num>
  <w:num w:numId="12" w16cid:durableId="611743070">
    <w:abstractNumId w:val="11"/>
  </w:num>
  <w:num w:numId="13" w16cid:durableId="227158635">
    <w:abstractNumId w:val="13"/>
  </w:num>
  <w:num w:numId="14" w16cid:durableId="79876490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5117"/>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76D81"/>
    <w:rsid w:val="00181BE4"/>
    <w:rsid w:val="00183E86"/>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7B4"/>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5512"/>
    <w:rsid w:val="002F5147"/>
    <w:rsid w:val="002F7788"/>
    <w:rsid w:val="002F7ABD"/>
    <w:rsid w:val="00302190"/>
    <w:rsid w:val="00312597"/>
    <w:rsid w:val="00327BA5"/>
    <w:rsid w:val="0033326F"/>
    <w:rsid w:val="00334154"/>
    <w:rsid w:val="003372C4"/>
    <w:rsid w:val="00340E41"/>
    <w:rsid w:val="00340ECA"/>
    <w:rsid w:val="00341FA0"/>
    <w:rsid w:val="00344F3D"/>
    <w:rsid w:val="00345299"/>
    <w:rsid w:val="00345EF0"/>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1682"/>
    <w:rsid w:val="00413D48"/>
    <w:rsid w:val="00441AC2"/>
    <w:rsid w:val="0044249B"/>
    <w:rsid w:val="004425CC"/>
    <w:rsid w:val="0045023C"/>
    <w:rsid w:val="00451A5B"/>
    <w:rsid w:val="00452BCD"/>
    <w:rsid w:val="00452CEA"/>
    <w:rsid w:val="00465B52"/>
    <w:rsid w:val="0046708E"/>
    <w:rsid w:val="00472A65"/>
    <w:rsid w:val="00474463"/>
    <w:rsid w:val="00474B75"/>
    <w:rsid w:val="00482F31"/>
    <w:rsid w:val="00483F0B"/>
    <w:rsid w:val="00496319"/>
    <w:rsid w:val="00497279"/>
    <w:rsid w:val="004A163B"/>
    <w:rsid w:val="004A670A"/>
    <w:rsid w:val="004A7E8E"/>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5571"/>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A6583"/>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1E2"/>
    <w:rsid w:val="007254A5"/>
    <w:rsid w:val="00725748"/>
    <w:rsid w:val="007269E3"/>
    <w:rsid w:val="00726F1B"/>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7F5BD7"/>
    <w:rsid w:val="00800CCA"/>
    <w:rsid w:val="00806120"/>
    <w:rsid w:val="00806F63"/>
    <w:rsid w:val="00810C93"/>
    <w:rsid w:val="00812028"/>
    <w:rsid w:val="00812DD8"/>
    <w:rsid w:val="00813082"/>
    <w:rsid w:val="00814D03"/>
    <w:rsid w:val="00820371"/>
    <w:rsid w:val="00821FC1"/>
    <w:rsid w:val="00823AE2"/>
    <w:rsid w:val="008314E7"/>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53CE"/>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6F97"/>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445F"/>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BF1F1F"/>
    <w:rsid w:val="00C04E7C"/>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5E32"/>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435ED"/>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4FF4"/>
    <w:rsid w:val="00E15881"/>
    <w:rsid w:val="00E16A8F"/>
    <w:rsid w:val="00E21DE3"/>
    <w:rsid w:val="00E273C5"/>
    <w:rsid w:val="00E307D1"/>
    <w:rsid w:val="00E3731D"/>
    <w:rsid w:val="00E51469"/>
    <w:rsid w:val="00E634E3"/>
    <w:rsid w:val="00E717C4"/>
    <w:rsid w:val="00E74853"/>
    <w:rsid w:val="00E77E18"/>
    <w:rsid w:val="00E77F89"/>
    <w:rsid w:val="00E80330"/>
    <w:rsid w:val="00E806C5"/>
    <w:rsid w:val="00E80E71"/>
    <w:rsid w:val="00E850D3"/>
    <w:rsid w:val="00E853D6"/>
    <w:rsid w:val="00E876B9"/>
    <w:rsid w:val="00EA61B7"/>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34F37"/>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3E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7F5BD7"/>
    <w:rPr>
      <w:vertAlign w:val="superscript"/>
    </w:rPr>
  </w:style>
  <w:style w:type="paragraph" w:styleId="Revisie">
    <w:name w:val="Revision"/>
    <w:hidden/>
    <w:uiPriority w:val="99"/>
    <w:semiHidden/>
    <w:rsid w:val="00401682"/>
    <w:rPr>
      <w:rFonts w:ascii="Verdana" w:hAnsi="Verdana"/>
      <w:sz w:val="18"/>
      <w:szCs w:val="24"/>
      <w:lang w:val="nl-NL" w:eastAsia="nl-NL"/>
    </w:rPr>
  </w:style>
  <w:style w:type="character" w:styleId="Verwijzingopmerking">
    <w:name w:val="annotation reference"/>
    <w:basedOn w:val="Standaardalinea-lettertype"/>
    <w:semiHidden/>
    <w:unhideWhenUsed/>
    <w:rsid w:val="00401682"/>
    <w:rPr>
      <w:sz w:val="16"/>
      <w:szCs w:val="16"/>
    </w:rPr>
  </w:style>
  <w:style w:type="paragraph" w:styleId="Tekstopmerking">
    <w:name w:val="annotation text"/>
    <w:basedOn w:val="Standaard"/>
    <w:link w:val="TekstopmerkingChar"/>
    <w:unhideWhenUsed/>
    <w:rsid w:val="00401682"/>
    <w:pPr>
      <w:spacing w:line="240" w:lineRule="auto"/>
    </w:pPr>
    <w:rPr>
      <w:sz w:val="20"/>
      <w:szCs w:val="20"/>
    </w:rPr>
  </w:style>
  <w:style w:type="character" w:customStyle="1" w:styleId="TekstopmerkingChar">
    <w:name w:val="Tekst opmerking Char"/>
    <w:basedOn w:val="Standaardalinea-lettertype"/>
    <w:link w:val="Tekstopmerking"/>
    <w:rsid w:val="0040168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01682"/>
    <w:rPr>
      <w:b/>
      <w:bCs/>
    </w:rPr>
  </w:style>
  <w:style w:type="character" w:customStyle="1" w:styleId="OnderwerpvanopmerkingChar">
    <w:name w:val="Onderwerp van opmerking Char"/>
    <w:basedOn w:val="TekstopmerkingChar"/>
    <w:link w:val="Onderwerpvanopmerking"/>
    <w:semiHidden/>
    <w:rsid w:val="0040168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4286">
      <w:bodyDiv w:val="1"/>
      <w:marLeft w:val="0"/>
      <w:marRight w:val="0"/>
      <w:marTop w:val="0"/>
      <w:marBottom w:val="0"/>
      <w:divBdr>
        <w:top w:val="none" w:sz="0" w:space="0" w:color="auto"/>
        <w:left w:val="none" w:sz="0" w:space="0" w:color="auto"/>
        <w:bottom w:val="none" w:sz="0" w:space="0" w:color="auto"/>
        <w:right w:val="none" w:sz="0" w:space="0" w:color="auto"/>
      </w:divBdr>
    </w:div>
    <w:div w:id="1055084194">
      <w:bodyDiv w:val="1"/>
      <w:marLeft w:val="0"/>
      <w:marRight w:val="0"/>
      <w:marTop w:val="0"/>
      <w:marBottom w:val="0"/>
      <w:divBdr>
        <w:top w:val="none" w:sz="0" w:space="0" w:color="auto"/>
        <w:left w:val="none" w:sz="0" w:space="0" w:color="auto"/>
        <w:bottom w:val="none" w:sz="0" w:space="0" w:color="auto"/>
        <w:right w:val="none" w:sz="0" w:space="0" w:color="auto"/>
      </w:divBdr>
    </w:div>
    <w:div w:id="1508665784">
      <w:bodyDiv w:val="1"/>
      <w:marLeft w:val="0"/>
      <w:marRight w:val="0"/>
      <w:marTop w:val="0"/>
      <w:marBottom w:val="0"/>
      <w:divBdr>
        <w:top w:val="none" w:sz="0" w:space="0" w:color="auto"/>
        <w:left w:val="none" w:sz="0" w:space="0" w:color="auto"/>
        <w:bottom w:val="none" w:sz="0" w:space="0" w:color="auto"/>
        <w:right w:val="none" w:sz="0" w:space="0" w:color="auto"/>
      </w:divBdr>
    </w:div>
    <w:div w:id="19648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pack://file%3a,,root,SECUREAPPSUPPORT,fileDatabase,files,251029%2520Aanbieding%2520publicatie%2520Rijk%2520aan%2520gedragsinzichten%2520brief%2520EK%2520en%2520TK_00000001.docx/customXml/item1.x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539</ap:Words>
  <ap:Characters>3377</ap:Characters>
  <ap:DocSecurity>0</ap:DocSecurity>
  <ap:Lines>28</ap:Lines>
  <ap:Paragraphs>7</ap:Paragraphs>
  <ap:ScaleCrop>false</ap:ScaleCrop>
  <ap:LinksUpToDate>false</ap:LinksUpToDate>
  <ap:CharactersWithSpaces>3909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2025-11-06T15:54:00.0000000Z</dcterms:created>
  <dcterms:modified xsi:type="dcterms:W3CDTF">2025-11-06T15:54:00.0000000Z</dcterms:modified>
  <dc:description>------------------------</dc:description>
  <dc:subject/>
  <keywords/>
  <version/>
  <category/>
</coreProperties>
</file>