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Pr="009C1446" w:rsidR="00CC02A6" w:rsidTr="00595336" w14:paraId="3536D234" w14:textId="77777777">
        <w:tc>
          <w:tcPr>
            <w:tcW w:w="4531" w:type="dxa"/>
          </w:tcPr>
          <w:p w:rsidRPr="00CC02A6" w:rsidR="00CC02A6" w:rsidRDefault="00CC02A6" w14:paraId="3964B6BA" w14:textId="3C27D229">
            <w:pPr>
              <w:rPr>
                <w:rFonts w:ascii="Verdana" w:hAnsi="Verdana"/>
                <w:b/>
                <w:bCs/>
                <w:sz w:val="18"/>
                <w:szCs w:val="18"/>
              </w:rPr>
            </w:pPr>
            <w:r w:rsidRPr="00CC02A6">
              <w:rPr>
                <w:rFonts w:ascii="Verdana" w:hAnsi="Verdana"/>
                <w:b/>
                <w:bCs/>
                <w:sz w:val="18"/>
                <w:szCs w:val="18"/>
              </w:rPr>
              <w:t>Beleidskeuzes uitgelegd</w:t>
            </w:r>
          </w:p>
        </w:tc>
        <w:tc>
          <w:tcPr>
            <w:tcW w:w="4531" w:type="dxa"/>
          </w:tcPr>
          <w:p w:rsidRPr="009C1446" w:rsidR="00CC02A6" w:rsidP="004E4270" w:rsidRDefault="00CC02A6" w14:paraId="67C2BF6E" w14:textId="77777777">
            <w:pPr>
              <w:rPr>
                <w:rFonts w:ascii="Verdana" w:hAnsi="Verdana"/>
                <w:sz w:val="18"/>
                <w:szCs w:val="18"/>
              </w:rPr>
            </w:pPr>
          </w:p>
        </w:tc>
      </w:tr>
      <w:tr w:rsidRPr="009C1446" w:rsidR="00595336" w:rsidTr="00595336" w14:paraId="3527F132" w14:textId="77777777">
        <w:tc>
          <w:tcPr>
            <w:tcW w:w="4531" w:type="dxa"/>
          </w:tcPr>
          <w:p w:rsidRPr="00CC02A6" w:rsidR="00595336" w:rsidP="00CC02A6" w:rsidRDefault="00CC02A6" w14:paraId="521D2992" w14:textId="55D6A1C6">
            <w:pPr>
              <w:rPr>
                <w:rFonts w:ascii="Verdana" w:hAnsi="Verdana"/>
                <w:b/>
                <w:bCs/>
                <w:sz w:val="18"/>
                <w:szCs w:val="18"/>
              </w:rPr>
            </w:pPr>
            <w:r w:rsidRPr="001C36BE">
              <w:rPr>
                <w:rFonts w:ascii="Verdana" w:hAnsi="Verdana"/>
                <w:b/>
                <w:bCs/>
                <w:sz w:val="18"/>
                <w:szCs w:val="18"/>
              </w:rPr>
              <w:t>1. Doel(en)</w:t>
            </w:r>
          </w:p>
        </w:tc>
        <w:tc>
          <w:tcPr>
            <w:tcW w:w="4531" w:type="dxa"/>
          </w:tcPr>
          <w:p w:rsidRPr="009C1446" w:rsidR="004E4270" w:rsidP="004E4270" w:rsidRDefault="004E4270" w14:paraId="43D09D1B" w14:textId="4484BE1A">
            <w:pPr>
              <w:rPr>
                <w:rFonts w:ascii="Verdana" w:hAnsi="Verdana"/>
                <w:sz w:val="18"/>
                <w:szCs w:val="18"/>
              </w:rPr>
            </w:pPr>
            <w:r w:rsidRPr="009C1446">
              <w:rPr>
                <w:rFonts w:ascii="Verdana" w:hAnsi="Verdana"/>
                <w:sz w:val="18"/>
                <w:szCs w:val="18"/>
              </w:rPr>
              <w:t>Het doel van de voorgestelde maatregelen is om kwetsbare huishoudens te</w:t>
            </w:r>
            <w:r w:rsidRPr="009C1446" w:rsidR="00315249">
              <w:rPr>
                <w:rFonts w:ascii="Verdana" w:hAnsi="Verdana"/>
                <w:sz w:val="18"/>
                <w:szCs w:val="18"/>
              </w:rPr>
              <w:t xml:space="preserve">gemoet te komen in </w:t>
            </w:r>
            <w:r w:rsidRPr="009C1446">
              <w:rPr>
                <w:rFonts w:ascii="Verdana" w:hAnsi="Verdana"/>
                <w:sz w:val="18"/>
                <w:szCs w:val="18"/>
              </w:rPr>
              <w:t>de stijging van de energierekening ten gevolge van ETS-2</w:t>
            </w:r>
            <w:r w:rsidRPr="009C1446" w:rsidR="00315249">
              <w:rPr>
                <w:rFonts w:ascii="Verdana" w:hAnsi="Verdana"/>
                <w:sz w:val="18"/>
                <w:szCs w:val="18"/>
              </w:rPr>
              <w:t>. Op dit moment zijn de middelen</w:t>
            </w:r>
            <w:r w:rsidR="00A33827">
              <w:rPr>
                <w:rFonts w:ascii="Verdana" w:hAnsi="Verdana"/>
                <w:sz w:val="18"/>
                <w:szCs w:val="18"/>
              </w:rPr>
              <w:t xml:space="preserve"> hoogstwaarschijnlijk</w:t>
            </w:r>
            <w:r w:rsidRPr="009C1446" w:rsidR="00315249">
              <w:rPr>
                <w:rFonts w:ascii="Verdana" w:hAnsi="Verdana"/>
                <w:sz w:val="18"/>
                <w:szCs w:val="18"/>
              </w:rPr>
              <w:t xml:space="preserve"> toereikend om het fonds</w:t>
            </w:r>
            <w:r w:rsidR="007E536D">
              <w:rPr>
                <w:rFonts w:ascii="Verdana" w:hAnsi="Verdana"/>
                <w:sz w:val="18"/>
                <w:szCs w:val="18"/>
              </w:rPr>
              <w:t xml:space="preserve"> </w:t>
            </w:r>
            <w:r w:rsidRPr="009C1446" w:rsidR="00315249">
              <w:rPr>
                <w:rFonts w:ascii="Verdana" w:hAnsi="Verdana"/>
                <w:sz w:val="18"/>
                <w:szCs w:val="18"/>
              </w:rPr>
              <w:t>3 jaar open te stellen.</w:t>
            </w:r>
          </w:p>
        </w:tc>
      </w:tr>
      <w:tr w:rsidRPr="009C1446" w:rsidR="00595336" w:rsidTr="00595336" w14:paraId="7D5B3BBC" w14:textId="77777777">
        <w:tc>
          <w:tcPr>
            <w:tcW w:w="4531" w:type="dxa"/>
          </w:tcPr>
          <w:p w:rsidRPr="00CC02A6" w:rsidR="00595336" w:rsidRDefault="00CC02A6" w14:paraId="585CE394" w14:textId="5CED27BB">
            <w:pPr>
              <w:rPr>
                <w:rFonts w:ascii="Verdana" w:hAnsi="Verdana"/>
                <w:b/>
                <w:bCs/>
                <w:sz w:val="18"/>
                <w:szCs w:val="18"/>
              </w:rPr>
            </w:pPr>
            <w:r w:rsidRPr="001C36BE">
              <w:rPr>
                <w:rFonts w:ascii="Verdana" w:hAnsi="Verdana"/>
                <w:b/>
                <w:bCs/>
                <w:sz w:val="18"/>
                <w:szCs w:val="18"/>
              </w:rPr>
              <w:t>2. Beleidsinstrument(en)</w:t>
            </w:r>
          </w:p>
        </w:tc>
        <w:tc>
          <w:tcPr>
            <w:tcW w:w="4531" w:type="dxa"/>
          </w:tcPr>
          <w:p w:rsidRPr="009C1446" w:rsidR="00595336" w:rsidRDefault="00D72F98" w14:paraId="2C0788F9" w14:textId="53B85749">
            <w:pPr>
              <w:rPr>
                <w:rFonts w:ascii="Verdana" w:hAnsi="Verdana"/>
                <w:sz w:val="18"/>
                <w:szCs w:val="18"/>
              </w:rPr>
            </w:pPr>
            <w:r w:rsidRPr="009C1446">
              <w:rPr>
                <w:rFonts w:ascii="Verdana" w:hAnsi="Verdana"/>
                <w:sz w:val="18"/>
                <w:szCs w:val="18"/>
              </w:rPr>
              <w:t>Het instrument dat hiervoor gekozen wordt</w:t>
            </w:r>
            <w:r w:rsidRPr="009C1446" w:rsidR="00906665">
              <w:rPr>
                <w:rFonts w:ascii="Verdana" w:hAnsi="Verdana"/>
                <w:sz w:val="18"/>
                <w:szCs w:val="18"/>
              </w:rPr>
              <w:t>,</w:t>
            </w:r>
            <w:r w:rsidRPr="009C1446">
              <w:rPr>
                <w:rFonts w:ascii="Verdana" w:hAnsi="Verdana"/>
                <w:sz w:val="18"/>
                <w:szCs w:val="18"/>
              </w:rPr>
              <w:t xml:space="preserve"> is </w:t>
            </w:r>
            <w:r w:rsidRPr="009C1446" w:rsidR="00906665">
              <w:rPr>
                <w:rFonts w:ascii="Verdana" w:hAnsi="Verdana"/>
                <w:sz w:val="18"/>
                <w:szCs w:val="18"/>
              </w:rPr>
              <w:t xml:space="preserve">een </w:t>
            </w:r>
            <w:r w:rsidRPr="009C1446">
              <w:rPr>
                <w:rFonts w:ascii="Verdana" w:hAnsi="Verdana"/>
                <w:sz w:val="18"/>
                <w:szCs w:val="18"/>
              </w:rPr>
              <w:t xml:space="preserve">publiek Energiefonds. </w:t>
            </w:r>
            <w:r w:rsidRPr="009C1446" w:rsidR="00906665">
              <w:rPr>
                <w:rFonts w:ascii="Verdana" w:hAnsi="Verdana"/>
                <w:sz w:val="18"/>
                <w:szCs w:val="18"/>
              </w:rPr>
              <w:t>Via dit fonds kunnen</w:t>
            </w:r>
            <w:r w:rsidRPr="009C1446">
              <w:rPr>
                <w:rFonts w:ascii="Verdana" w:hAnsi="Verdana"/>
                <w:sz w:val="18"/>
                <w:szCs w:val="18"/>
              </w:rPr>
              <w:t xml:space="preserve"> huishoudens die te maken hebben met een laag inkomen en een hoge energierekening voor een deel van de kosten</w:t>
            </w:r>
            <w:r w:rsidRPr="009C1446" w:rsidR="00906665">
              <w:rPr>
                <w:rFonts w:ascii="Verdana" w:hAnsi="Verdana"/>
                <w:sz w:val="18"/>
                <w:szCs w:val="18"/>
              </w:rPr>
              <w:t xml:space="preserve"> </w:t>
            </w:r>
            <w:r w:rsidRPr="009C1446" w:rsidR="00315249">
              <w:rPr>
                <w:rFonts w:ascii="Verdana" w:hAnsi="Verdana"/>
                <w:sz w:val="18"/>
                <w:szCs w:val="18"/>
              </w:rPr>
              <w:t xml:space="preserve">een tegemoetkoming </w:t>
            </w:r>
            <w:r w:rsidRPr="009C1446" w:rsidR="00906665">
              <w:rPr>
                <w:rFonts w:ascii="Verdana" w:hAnsi="Verdana"/>
                <w:sz w:val="18"/>
                <w:szCs w:val="18"/>
              </w:rPr>
              <w:t>krijgen</w:t>
            </w:r>
            <w:r w:rsidRPr="009C1446">
              <w:rPr>
                <w:rFonts w:ascii="Verdana" w:hAnsi="Verdana"/>
                <w:sz w:val="18"/>
                <w:szCs w:val="18"/>
              </w:rPr>
              <w:t>. Huishoudens dienen hiervoor een aanvraag te doen.</w:t>
            </w:r>
          </w:p>
          <w:p w:rsidRPr="009C1446" w:rsidR="00D72F98" w:rsidRDefault="00D72F98" w14:paraId="032AD579" w14:textId="77777777">
            <w:pPr>
              <w:rPr>
                <w:rFonts w:ascii="Verdana" w:hAnsi="Verdana"/>
                <w:sz w:val="18"/>
                <w:szCs w:val="18"/>
              </w:rPr>
            </w:pPr>
          </w:p>
          <w:p w:rsidRPr="009C1446" w:rsidR="00D72F98" w:rsidRDefault="00D72F98" w14:paraId="77D89609" w14:textId="77777777">
            <w:pPr>
              <w:rPr>
                <w:rFonts w:ascii="Verdana" w:hAnsi="Verdana"/>
                <w:sz w:val="18"/>
                <w:szCs w:val="18"/>
              </w:rPr>
            </w:pPr>
            <w:r w:rsidRPr="009C1446">
              <w:rPr>
                <w:rFonts w:ascii="Verdana" w:hAnsi="Verdana"/>
                <w:sz w:val="18"/>
                <w:szCs w:val="18"/>
              </w:rPr>
              <w:t xml:space="preserve">Er is </w:t>
            </w:r>
            <w:proofErr w:type="gramStart"/>
            <w:r w:rsidRPr="009C1446">
              <w:rPr>
                <w:rFonts w:ascii="Verdana" w:hAnsi="Verdana"/>
                <w:sz w:val="18"/>
                <w:szCs w:val="18"/>
              </w:rPr>
              <w:t>reeds</w:t>
            </w:r>
            <w:proofErr w:type="gramEnd"/>
            <w:r w:rsidRPr="009C1446">
              <w:rPr>
                <w:rFonts w:ascii="Verdana" w:hAnsi="Verdana"/>
                <w:sz w:val="18"/>
                <w:szCs w:val="18"/>
              </w:rPr>
              <w:t xml:space="preserve"> ervaring met </w:t>
            </w:r>
            <w:r w:rsidRPr="009C1446" w:rsidR="00906665">
              <w:rPr>
                <w:rFonts w:ascii="Verdana" w:hAnsi="Verdana"/>
                <w:sz w:val="18"/>
                <w:szCs w:val="18"/>
              </w:rPr>
              <w:t xml:space="preserve">een fonds als </w:t>
            </w:r>
            <w:r w:rsidRPr="009C1446" w:rsidR="00AB459A">
              <w:rPr>
                <w:rFonts w:ascii="Verdana" w:hAnsi="Verdana"/>
                <w:sz w:val="18"/>
                <w:szCs w:val="18"/>
              </w:rPr>
              <w:t xml:space="preserve">gericht </w:t>
            </w:r>
            <w:r w:rsidRPr="009C1446" w:rsidR="00906665">
              <w:rPr>
                <w:rFonts w:ascii="Verdana" w:hAnsi="Verdana"/>
                <w:sz w:val="18"/>
                <w:szCs w:val="18"/>
              </w:rPr>
              <w:t xml:space="preserve">beleidsinstrument voor </w:t>
            </w:r>
            <w:r w:rsidRPr="009C1446" w:rsidR="00315249">
              <w:rPr>
                <w:rFonts w:ascii="Verdana" w:hAnsi="Verdana"/>
                <w:sz w:val="18"/>
                <w:szCs w:val="18"/>
              </w:rPr>
              <w:t xml:space="preserve">een tegemoetkoming </w:t>
            </w:r>
            <w:r w:rsidRPr="009C1446" w:rsidR="00906665">
              <w:rPr>
                <w:rFonts w:ascii="Verdana" w:hAnsi="Verdana"/>
                <w:sz w:val="18"/>
                <w:szCs w:val="18"/>
              </w:rPr>
              <w:t>op de energierekening</w:t>
            </w:r>
            <w:r w:rsidRPr="009C1446" w:rsidR="00AB459A">
              <w:rPr>
                <w:rFonts w:ascii="Verdana" w:hAnsi="Verdana"/>
                <w:sz w:val="18"/>
                <w:szCs w:val="18"/>
              </w:rPr>
              <w:t>, namelijk</w:t>
            </w:r>
            <w:r w:rsidRPr="009C1446">
              <w:rPr>
                <w:rFonts w:ascii="Verdana" w:hAnsi="Verdana"/>
                <w:sz w:val="18"/>
                <w:szCs w:val="18"/>
              </w:rPr>
              <w:t xml:space="preserve"> het Tijdelijk Noodfonds Energie met subsidie van het rijk in 2023, 2024 en 2025 </w:t>
            </w:r>
            <w:r w:rsidRPr="009C1446" w:rsidR="00AB459A">
              <w:rPr>
                <w:rFonts w:ascii="Verdana" w:hAnsi="Verdana"/>
                <w:sz w:val="18"/>
                <w:szCs w:val="18"/>
              </w:rPr>
              <w:t xml:space="preserve">dat </w:t>
            </w:r>
            <w:r w:rsidRPr="009C1446">
              <w:rPr>
                <w:rFonts w:ascii="Verdana" w:hAnsi="Verdana"/>
                <w:sz w:val="18"/>
                <w:szCs w:val="18"/>
              </w:rPr>
              <w:t xml:space="preserve">huishoudens heeft ondersteund. </w:t>
            </w:r>
            <w:r w:rsidRPr="009C1446" w:rsidR="00906665">
              <w:rPr>
                <w:rFonts w:ascii="Verdana" w:hAnsi="Verdana"/>
                <w:sz w:val="18"/>
                <w:szCs w:val="18"/>
              </w:rPr>
              <w:t>Dit gebeurde in die jaren nog in een publiek- private constructie.</w:t>
            </w:r>
          </w:p>
          <w:p w:rsidRPr="009C1446" w:rsidR="00DE3B7E" w:rsidRDefault="00DE3B7E" w14:paraId="2055B9E2" w14:textId="77777777">
            <w:pPr>
              <w:rPr>
                <w:rFonts w:ascii="Verdana" w:hAnsi="Verdana"/>
                <w:sz w:val="18"/>
                <w:szCs w:val="18"/>
              </w:rPr>
            </w:pPr>
          </w:p>
          <w:p w:rsidRPr="009C1446" w:rsidR="00DE3B7E" w:rsidRDefault="00DE3B7E" w14:paraId="7E938B7D" w14:textId="4B27A184">
            <w:pPr>
              <w:rPr>
                <w:rFonts w:ascii="Verdana" w:hAnsi="Verdana"/>
                <w:sz w:val="18"/>
                <w:szCs w:val="18"/>
              </w:rPr>
            </w:pPr>
            <w:r w:rsidRPr="009C1446">
              <w:rPr>
                <w:rFonts w:ascii="Verdana" w:hAnsi="Verdana"/>
                <w:sz w:val="18"/>
                <w:szCs w:val="18"/>
              </w:rPr>
              <w:t>De overwogen alternatieven voor deze maatregel zijn óf minder gericht (energietoeslag, prijsplafond), of complex in de uitvoering (sociaal tarief).</w:t>
            </w:r>
          </w:p>
        </w:tc>
      </w:tr>
      <w:tr w:rsidRPr="009C1446" w:rsidR="00595336" w:rsidTr="00595336" w14:paraId="4FA7BC74" w14:textId="77777777">
        <w:tc>
          <w:tcPr>
            <w:tcW w:w="4531" w:type="dxa"/>
          </w:tcPr>
          <w:p w:rsidRPr="00CC02A6" w:rsidR="00595336" w:rsidRDefault="00CC02A6" w14:paraId="32FCA13A" w14:textId="148D1A6B">
            <w:pPr>
              <w:rPr>
                <w:rFonts w:ascii="Verdana" w:hAnsi="Verdana"/>
                <w:b/>
                <w:bCs/>
                <w:sz w:val="18"/>
                <w:szCs w:val="18"/>
              </w:rPr>
            </w:pPr>
            <w:r w:rsidRPr="001C36BE">
              <w:rPr>
                <w:rFonts w:ascii="Verdana" w:hAnsi="Verdana"/>
                <w:b/>
                <w:bCs/>
                <w:sz w:val="18"/>
                <w:szCs w:val="18"/>
              </w:rPr>
              <w:t>3. A. Financiële gevolgen voor het Rijk</w:t>
            </w:r>
          </w:p>
        </w:tc>
        <w:tc>
          <w:tcPr>
            <w:tcW w:w="4531" w:type="dxa"/>
          </w:tcPr>
          <w:p w:rsidRPr="009C1446" w:rsidR="00595336" w:rsidRDefault="00D72F98" w14:paraId="20C20E35" w14:textId="07ED5630">
            <w:pPr>
              <w:rPr>
                <w:rFonts w:ascii="Verdana" w:hAnsi="Verdana"/>
                <w:sz w:val="18"/>
                <w:szCs w:val="18"/>
              </w:rPr>
            </w:pPr>
            <w:r w:rsidRPr="009C1446">
              <w:rPr>
                <w:rFonts w:ascii="Verdana" w:hAnsi="Verdana"/>
                <w:sz w:val="18"/>
                <w:szCs w:val="18"/>
              </w:rPr>
              <w:t xml:space="preserve">Er wordt € </w:t>
            </w:r>
            <w:r w:rsidR="00FF20F2">
              <w:rPr>
                <w:rFonts w:ascii="Verdana" w:hAnsi="Verdana"/>
                <w:sz w:val="18"/>
                <w:szCs w:val="18"/>
              </w:rPr>
              <w:t>9</w:t>
            </w:r>
            <w:r w:rsidRPr="009C1446">
              <w:rPr>
                <w:rFonts w:ascii="Verdana" w:hAnsi="Verdana"/>
                <w:sz w:val="18"/>
                <w:szCs w:val="18"/>
              </w:rPr>
              <w:t xml:space="preserve">0 miljoen </w:t>
            </w:r>
            <w:r w:rsidRPr="009C1446" w:rsidR="00315249">
              <w:rPr>
                <w:rFonts w:ascii="Verdana" w:hAnsi="Verdana"/>
                <w:sz w:val="18"/>
                <w:szCs w:val="18"/>
              </w:rPr>
              <w:t xml:space="preserve">op </w:t>
            </w:r>
            <w:r w:rsidRPr="009C1446">
              <w:rPr>
                <w:rFonts w:ascii="Verdana" w:hAnsi="Verdana"/>
                <w:sz w:val="18"/>
                <w:szCs w:val="18"/>
              </w:rPr>
              <w:t xml:space="preserve">de </w:t>
            </w:r>
            <w:r w:rsidR="00296D55">
              <w:rPr>
                <w:rFonts w:ascii="Verdana" w:hAnsi="Verdana"/>
                <w:sz w:val="18"/>
                <w:szCs w:val="18"/>
              </w:rPr>
              <w:t>SZW-</w:t>
            </w:r>
            <w:proofErr w:type="gramStart"/>
            <w:r w:rsidRPr="009C1446">
              <w:rPr>
                <w:rFonts w:ascii="Verdana" w:hAnsi="Verdana"/>
                <w:sz w:val="18"/>
                <w:szCs w:val="18"/>
              </w:rPr>
              <w:t>begroting  vrijgemaakt</w:t>
            </w:r>
            <w:proofErr w:type="gramEnd"/>
            <w:r w:rsidRPr="009C1446">
              <w:rPr>
                <w:rFonts w:ascii="Verdana" w:hAnsi="Verdana"/>
                <w:sz w:val="18"/>
                <w:szCs w:val="18"/>
              </w:rPr>
              <w:t xml:space="preserve"> voor deze maatregel</w:t>
            </w:r>
            <w:r w:rsidRPr="009C1446" w:rsidR="00543EF6">
              <w:rPr>
                <w:rFonts w:ascii="Verdana" w:hAnsi="Verdana"/>
                <w:sz w:val="18"/>
                <w:szCs w:val="18"/>
              </w:rPr>
              <w:t>.</w:t>
            </w:r>
            <w:r w:rsidR="000F3297">
              <w:rPr>
                <w:rFonts w:ascii="Verdana" w:hAnsi="Verdana"/>
                <w:sz w:val="18"/>
                <w:szCs w:val="18"/>
              </w:rPr>
              <w:t xml:space="preserve"> </w:t>
            </w:r>
            <w:r w:rsidRPr="009C1446" w:rsidR="00906665">
              <w:rPr>
                <w:rFonts w:ascii="Verdana" w:hAnsi="Verdana"/>
                <w:sz w:val="18"/>
                <w:szCs w:val="18"/>
              </w:rPr>
              <w:t>Deze</w:t>
            </w:r>
            <w:r w:rsidRPr="009C1446">
              <w:rPr>
                <w:rFonts w:ascii="Verdana" w:hAnsi="Verdana"/>
                <w:sz w:val="18"/>
                <w:szCs w:val="18"/>
              </w:rPr>
              <w:t xml:space="preserve"> middelen </w:t>
            </w:r>
            <w:r w:rsidRPr="009C1446" w:rsidR="00906665">
              <w:rPr>
                <w:rFonts w:ascii="Verdana" w:hAnsi="Verdana"/>
                <w:sz w:val="18"/>
                <w:szCs w:val="18"/>
              </w:rPr>
              <w:t xml:space="preserve">dienen </w:t>
            </w:r>
            <w:r w:rsidRPr="009C1446" w:rsidR="005D7DAC">
              <w:rPr>
                <w:rFonts w:ascii="Verdana" w:hAnsi="Verdana"/>
                <w:sz w:val="18"/>
                <w:szCs w:val="18"/>
              </w:rPr>
              <w:t xml:space="preserve">grotendeels </w:t>
            </w:r>
            <w:r w:rsidRPr="009C1446">
              <w:rPr>
                <w:rFonts w:ascii="Verdana" w:hAnsi="Verdana"/>
                <w:sz w:val="18"/>
                <w:szCs w:val="18"/>
              </w:rPr>
              <w:t xml:space="preserve">ook als verplichte </w:t>
            </w:r>
            <w:r w:rsidRPr="009C1446" w:rsidR="00AB459A">
              <w:rPr>
                <w:rFonts w:ascii="Verdana" w:hAnsi="Verdana"/>
                <w:sz w:val="18"/>
                <w:szCs w:val="18"/>
              </w:rPr>
              <w:t xml:space="preserve">(25%) </w:t>
            </w:r>
            <w:r w:rsidRPr="009C1446">
              <w:rPr>
                <w:rFonts w:ascii="Verdana" w:hAnsi="Verdana"/>
                <w:sz w:val="18"/>
                <w:szCs w:val="18"/>
              </w:rPr>
              <w:t xml:space="preserve">cofinanciering voor een aanvraag uit het Europese </w:t>
            </w:r>
            <w:proofErr w:type="spellStart"/>
            <w:r w:rsidRPr="009C1446">
              <w:rPr>
                <w:rFonts w:ascii="Verdana" w:hAnsi="Verdana"/>
                <w:sz w:val="18"/>
                <w:szCs w:val="18"/>
              </w:rPr>
              <w:t>Social</w:t>
            </w:r>
            <w:proofErr w:type="spellEnd"/>
            <w:r w:rsidRPr="009C1446">
              <w:rPr>
                <w:rFonts w:ascii="Verdana" w:hAnsi="Verdana"/>
                <w:sz w:val="18"/>
                <w:szCs w:val="18"/>
              </w:rPr>
              <w:t xml:space="preserve"> </w:t>
            </w:r>
            <w:proofErr w:type="spellStart"/>
            <w:r w:rsidRPr="009C1446">
              <w:rPr>
                <w:rFonts w:ascii="Verdana" w:hAnsi="Verdana"/>
                <w:sz w:val="18"/>
                <w:szCs w:val="18"/>
              </w:rPr>
              <w:t>Climate</w:t>
            </w:r>
            <w:proofErr w:type="spellEnd"/>
            <w:r w:rsidRPr="009C1446">
              <w:rPr>
                <w:rFonts w:ascii="Verdana" w:hAnsi="Verdana"/>
                <w:sz w:val="18"/>
                <w:szCs w:val="18"/>
              </w:rPr>
              <w:t xml:space="preserve"> Fund. </w:t>
            </w:r>
            <w:r w:rsidRPr="009C1446" w:rsidR="00906665">
              <w:rPr>
                <w:rFonts w:ascii="Verdana" w:hAnsi="Verdana"/>
                <w:sz w:val="18"/>
                <w:szCs w:val="18"/>
              </w:rPr>
              <w:t xml:space="preserve">Goedkeuring van deze aanvraag </w:t>
            </w:r>
            <w:r w:rsidRPr="009C1446" w:rsidR="00AB459A">
              <w:rPr>
                <w:rFonts w:ascii="Verdana" w:hAnsi="Verdana"/>
                <w:sz w:val="18"/>
                <w:szCs w:val="18"/>
              </w:rPr>
              <w:t xml:space="preserve">door de Europese Commissie </w:t>
            </w:r>
            <w:r w:rsidRPr="009C1446" w:rsidR="00906665">
              <w:rPr>
                <w:rFonts w:ascii="Verdana" w:hAnsi="Verdana"/>
                <w:sz w:val="18"/>
                <w:szCs w:val="18"/>
              </w:rPr>
              <w:t xml:space="preserve">leidt er toe dat er vanuit dit </w:t>
            </w:r>
            <w:proofErr w:type="gramStart"/>
            <w:r w:rsidRPr="009C1446" w:rsidR="00906665">
              <w:rPr>
                <w:rFonts w:ascii="Verdana" w:hAnsi="Verdana"/>
                <w:sz w:val="18"/>
                <w:szCs w:val="18"/>
              </w:rPr>
              <w:t xml:space="preserve">fonds </w:t>
            </w:r>
            <w:r w:rsidRPr="009C1446">
              <w:rPr>
                <w:rFonts w:ascii="Verdana" w:hAnsi="Verdana"/>
                <w:sz w:val="18"/>
                <w:szCs w:val="18"/>
              </w:rPr>
              <w:t xml:space="preserve"> €</w:t>
            </w:r>
            <w:proofErr w:type="gramEnd"/>
            <w:r w:rsidRPr="009C1446">
              <w:rPr>
                <w:rFonts w:ascii="Verdana" w:hAnsi="Verdana"/>
                <w:sz w:val="18"/>
                <w:szCs w:val="18"/>
              </w:rPr>
              <w:t xml:space="preserve"> </w:t>
            </w:r>
            <w:r w:rsidR="00FF20F2">
              <w:rPr>
                <w:rFonts w:ascii="Verdana" w:hAnsi="Verdana"/>
                <w:sz w:val="18"/>
                <w:szCs w:val="18"/>
              </w:rPr>
              <w:t>249</w:t>
            </w:r>
            <w:r w:rsidRPr="009C1446">
              <w:rPr>
                <w:rFonts w:ascii="Verdana" w:hAnsi="Verdana"/>
                <w:sz w:val="18"/>
                <w:szCs w:val="18"/>
              </w:rPr>
              <w:t>,</w:t>
            </w:r>
            <w:r w:rsidR="00FF20F2">
              <w:rPr>
                <w:rFonts w:ascii="Verdana" w:hAnsi="Verdana"/>
                <w:sz w:val="18"/>
                <w:szCs w:val="18"/>
              </w:rPr>
              <w:t>7</w:t>
            </w:r>
            <w:r w:rsidRPr="009C1446">
              <w:rPr>
                <w:rFonts w:ascii="Verdana" w:hAnsi="Verdana"/>
                <w:sz w:val="18"/>
                <w:szCs w:val="18"/>
              </w:rPr>
              <w:t xml:space="preserve">5 miljoen vrijgemaakt </w:t>
            </w:r>
            <w:r w:rsidRPr="009C1446" w:rsidR="00906665">
              <w:rPr>
                <w:rFonts w:ascii="Verdana" w:hAnsi="Verdana"/>
                <w:sz w:val="18"/>
                <w:szCs w:val="18"/>
              </w:rPr>
              <w:t xml:space="preserve">wordt </w:t>
            </w:r>
            <w:r w:rsidRPr="009C1446">
              <w:rPr>
                <w:rFonts w:ascii="Verdana" w:hAnsi="Verdana"/>
                <w:sz w:val="18"/>
                <w:szCs w:val="18"/>
              </w:rPr>
              <w:t>voor het energiefonds.</w:t>
            </w:r>
            <w:r w:rsidRPr="009C1446" w:rsidR="00906665">
              <w:rPr>
                <w:rFonts w:ascii="Verdana" w:hAnsi="Verdana"/>
                <w:sz w:val="18"/>
                <w:szCs w:val="18"/>
              </w:rPr>
              <w:t xml:space="preserve"> </w:t>
            </w:r>
          </w:p>
        </w:tc>
      </w:tr>
      <w:tr w:rsidRPr="009C1446" w:rsidR="00595336" w:rsidTr="00595336" w14:paraId="7E008EAA" w14:textId="77777777">
        <w:tc>
          <w:tcPr>
            <w:tcW w:w="4531" w:type="dxa"/>
          </w:tcPr>
          <w:p w:rsidRPr="00CC02A6" w:rsidR="00595336" w:rsidRDefault="00CC02A6" w14:paraId="2E3CCE65" w14:textId="676DEEEA">
            <w:pPr>
              <w:rPr>
                <w:rFonts w:ascii="Verdana" w:hAnsi="Verdana"/>
                <w:b/>
                <w:bCs/>
                <w:sz w:val="18"/>
                <w:szCs w:val="18"/>
              </w:rPr>
            </w:pPr>
            <w:r w:rsidRPr="001C36BE">
              <w:rPr>
                <w:rFonts w:ascii="Verdana" w:hAnsi="Verdana"/>
                <w:b/>
                <w:bCs/>
                <w:sz w:val="18"/>
                <w:szCs w:val="18"/>
              </w:rPr>
              <w:t>3. B. Financiële gevolgen voor maatschappelijke sectoren</w:t>
            </w:r>
          </w:p>
        </w:tc>
        <w:tc>
          <w:tcPr>
            <w:tcW w:w="4531" w:type="dxa"/>
          </w:tcPr>
          <w:p w:rsidRPr="009C1446" w:rsidR="00595336" w:rsidRDefault="00D72F98" w14:paraId="6DC6C856" w14:textId="64539CF5">
            <w:pPr>
              <w:rPr>
                <w:rFonts w:ascii="Verdana" w:hAnsi="Verdana"/>
                <w:sz w:val="18"/>
                <w:szCs w:val="18"/>
              </w:rPr>
            </w:pPr>
            <w:r w:rsidRPr="009C1446">
              <w:rPr>
                <w:rFonts w:ascii="Verdana" w:hAnsi="Verdana"/>
                <w:sz w:val="18"/>
                <w:szCs w:val="18"/>
              </w:rPr>
              <w:t>NVT.</w:t>
            </w:r>
          </w:p>
        </w:tc>
      </w:tr>
      <w:tr w:rsidRPr="009C1446" w:rsidR="00595336" w:rsidTr="00595336" w14:paraId="0C652D60" w14:textId="77777777">
        <w:tc>
          <w:tcPr>
            <w:tcW w:w="4531" w:type="dxa"/>
          </w:tcPr>
          <w:p w:rsidRPr="00CC02A6" w:rsidR="00595336" w:rsidRDefault="00CC02A6" w14:paraId="138BAA40" w14:textId="4CF517C9">
            <w:pPr>
              <w:rPr>
                <w:rFonts w:ascii="Verdana" w:hAnsi="Verdana"/>
                <w:b/>
                <w:bCs/>
                <w:sz w:val="18"/>
                <w:szCs w:val="18"/>
              </w:rPr>
            </w:pPr>
            <w:r w:rsidRPr="001C36BE">
              <w:rPr>
                <w:rFonts w:ascii="Verdana" w:hAnsi="Verdana"/>
                <w:b/>
                <w:bCs/>
                <w:sz w:val="18"/>
                <w:szCs w:val="18"/>
              </w:rPr>
              <w:t>4. Nagestreefde doeltreffendheid</w:t>
            </w:r>
          </w:p>
        </w:tc>
        <w:tc>
          <w:tcPr>
            <w:tcW w:w="4531" w:type="dxa"/>
          </w:tcPr>
          <w:p w:rsidRPr="009C1446" w:rsidR="00F172FD" w:rsidP="00D72F98" w:rsidRDefault="00F172FD" w14:paraId="5C2A0405" w14:textId="44FD33DD">
            <w:pPr>
              <w:rPr>
                <w:rFonts w:ascii="Verdana" w:hAnsi="Verdana"/>
                <w:sz w:val="18"/>
                <w:szCs w:val="18"/>
              </w:rPr>
            </w:pPr>
            <w:bookmarkStart w:name="_Hlk213150239" w:id="0"/>
            <w:r w:rsidRPr="009C1446">
              <w:rPr>
                <w:rFonts w:ascii="Verdana" w:hAnsi="Verdana"/>
                <w:sz w:val="18"/>
                <w:szCs w:val="18"/>
              </w:rPr>
              <w:t>Het doel is om huishoudens gericht te</w:t>
            </w:r>
            <w:r w:rsidRPr="009C1446" w:rsidR="00315249">
              <w:rPr>
                <w:rFonts w:ascii="Verdana" w:hAnsi="Verdana"/>
                <w:sz w:val="18"/>
                <w:szCs w:val="18"/>
              </w:rPr>
              <w:t>gemoet te komen</w:t>
            </w:r>
            <w:r w:rsidRPr="009C1446" w:rsidR="00DE3B7E">
              <w:rPr>
                <w:rFonts w:ascii="Verdana" w:hAnsi="Verdana"/>
                <w:sz w:val="18"/>
                <w:szCs w:val="18"/>
              </w:rPr>
              <w:t xml:space="preserve"> </w:t>
            </w:r>
            <w:r w:rsidRPr="009C1446">
              <w:rPr>
                <w:rFonts w:ascii="Verdana" w:hAnsi="Verdana"/>
                <w:sz w:val="18"/>
                <w:szCs w:val="18"/>
              </w:rPr>
              <w:t>op basis van</w:t>
            </w:r>
            <w:r w:rsidRPr="009C1446" w:rsidR="00906665">
              <w:rPr>
                <w:rFonts w:ascii="Verdana" w:hAnsi="Verdana"/>
                <w:sz w:val="18"/>
                <w:szCs w:val="18"/>
              </w:rPr>
              <w:t xml:space="preserve"> zowel het absolute</w:t>
            </w:r>
            <w:r w:rsidRPr="009C1446">
              <w:rPr>
                <w:rFonts w:ascii="Verdana" w:hAnsi="Verdana"/>
                <w:sz w:val="18"/>
                <w:szCs w:val="18"/>
              </w:rPr>
              <w:t xml:space="preserve"> inkomen </w:t>
            </w:r>
            <w:r w:rsidRPr="009C1446" w:rsidR="00906665">
              <w:rPr>
                <w:rFonts w:ascii="Verdana" w:hAnsi="Verdana"/>
                <w:sz w:val="18"/>
                <w:szCs w:val="18"/>
              </w:rPr>
              <w:t>als de verhouding tussen het inkomen en het</w:t>
            </w:r>
            <w:r w:rsidRPr="009C1446">
              <w:rPr>
                <w:rFonts w:ascii="Verdana" w:hAnsi="Verdana"/>
                <w:sz w:val="18"/>
                <w:szCs w:val="18"/>
              </w:rPr>
              <w:t xml:space="preserve"> energieverbruik. </w:t>
            </w:r>
          </w:p>
          <w:bookmarkEnd w:id="0"/>
          <w:p w:rsidRPr="009C1446" w:rsidR="00F172FD" w:rsidP="00D72F98" w:rsidRDefault="00F172FD" w14:paraId="70F0DA48" w14:textId="77777777">
            <w:pPr>
              <w:rPr>
                <w:rFonts w:ascii="Verdana" w:hAnsi="Verdana"/>
                <w:sz w:val="18"/>
                <w:szCs w:val="18"/>
              </w:rPr>
            </w:pPr>
          </w:p>
          <w:p w:rsidR="00A6364F" w:rsidP="00D72F98" w:rsidRDefault="00DE3B7E" w14:paraId="38A09C9E" w14:textId="20492F44">
            <w:pPr>
              <w:rPr>
                <w:rFonts w:ascii="Verdana" w:hAnsi="Verdana"/>
                <w:sz w:val="18"/>
                <w:szCs w:val="18"/>
              </w:rPr>
            </w:pPr>
            <w:r w:rsidRPr="009C1446">
              <w:rPr>
                <w:rFonts w:ascii="Verdana" w:hAnsi="Verdana"/>
                <w:sz w:val="18"/>
                <w:szCs w:val="18"/>
              </w:rPr>
              <w:t xml:space="preserve">Daarnaast </w:t>
            </w:r>
            <w:r w:rsidR="00CD0C4A">
              <w:rPr>
                <w:rFonts w:ascii="Verdana" w:hAnsi="Verdana"/>
                <w:sz w:val="18"/>
                <w:szCs w:val="18"/>
              </w:rPr>
              <w:t>wordt bezien of</w:t>
            </w:r>
            <w:r w:rsidRPr="009C1446">
              <w:rPr>
                <w:rFonts w:ascii="Verdana" w:hAnsi="Verdana"/>
                <w:sz w:val="18"/>
                <w:szCs w:val="18"/>
              </w:rPr>
              <w:t xml:space="preserve"> de steun</w:t>
            </w:r>
            <w:r w:rsidRPr="009C1446" w:rsidR="00315249">
              <w:rPr>
                <w:rFonts w:ascii="Verdana" w:hAnsi="Verdana"/>
                <w:sz w:val="18"/>
                <w:szCs w:val="18"/>
              </w:rPr>
              <w:t xml:space="preserve"> </w:t>
            </w:r>
            <w:r w:rsidRPr="009C1446">
              <w:rPr>
                <w:rFonts w:ascii="Verdana" w:hAnsi="Verdana"/>
                <w:sz w:val="18"/>
                <w:szCs w:val="18"/>
              </w:rPr>
              <w:t>verrekenen</w:t>
            </w:r>
            <w:r w:rsidR="00CD0C4A">
              <w:rPr>
                <w:rFonts w:ascii="Verdana" w:hAnsi="Verdana"/>
                <w:sz w:val="18"/>
                <w:szCs w:val="18"/>
              </w:rPr>
              <w:t>d kan worden</w:t>
            </w:r>
            <w:r w:rsidRPr="009C1446">
              <w:rPr>
                <w:rFonts w:ascii="Verdana" w:hAnsi="Verdana"/>
                <w:sz w:val="18"/>
                <w:szCs w:val="18"/>
              </w:rPr>
              <w:t xml:space="preserve"> met de</w:t>
            </w:r>
            <w:r w:rsidRPr="009C1446" w:rsidR="00F172FD">
              <w:rPr>
                <w:rFonts w:ascii="Verdana" w:hAnsi="Verdana"/>
                <w:sz w:val="18"/>
                <w:szCs w:val="18"/>
              </w:rPr>
              <w:t xml:space="preserve"> energierekening van huishoudens, waardoor de middelen besteed worden aan de energierekening.</w:t>
            </w:r>
            <w:r w:rsidRPr="009C1446" w:rsidR="00AB459A">
              <w:rPr>
                <w:rFonts w:ascii="Verdana" w:hAnsi="Verdana"/>
                <w:sz w:val="18"/>
                <w:szCs w:val="18"/>
              </w:rPr>
              <w:t xml:space="preserve"> </w:t>
            </w:r>
            <w:r w:rsidRPr="009C1446" w:rsidR="00F172FD">
              <w:rPr>
                <w:rFonts w:ascii="Verdana" w:hAnsi="Verdana"/>
                <w:sz w:val="18"/>
                <w:szCs w:val="18"/>
              </w:rPr>
              <w:t xml:space="preserve">Er is </w:t>
            </w:r>
            <w:proofErr w:type="gramStart"/>
            <w:r w:rsidRPr="009C1446" w:rsidR="00F172FD">
              <w:rPr>
                <w:rFonts w:ascii="Verdana" w:hAnsi="Verdana"/>
                <w:sz w:val="18"/>
                <w:szCs w:val="18"/>
              </w:rPr>
              <w:t>reeds</w:t>
            </w:r>
            <w:proofErr w:type="gramEnd"/>
            <w:r w:rsidRPr="009C1446" w:rsidR="00F172FD">
              <w:rPr>
                <w:rFonts w:ascii="Verdana" w:hAnsi="Verdana"/>
                <w:sz w:val="18"/>
                <w:szCs w:val="18"/>
              </w:rPr>
              <w:t xml:space="preserve"> ervaring met deze werkwijze, </w:t>
            </w:r>
            <w:r w:rsidRPr="009C1446" w:rsidR="00AB459A">
              <w:rPr>
                <w:rFonts w:ascii="Verdana" w:hAnsi="Verdana"/>
                <w:sz w:val="18"/>
                <w:szCs w:val="18"/>
              </w:rPr>
              <w:t>tijdens de looptijd van</w:t>
            </w:r>
            <w:r w:rsidRPr="009C1446" w:rsidR="00F172FD">
              <w:rPr>
                <w:rFonts w:ascii="Verdana" w:hAnsi="Verdana"/>
                <w:sz w:val="18"/>
                <w:szCs w:val="18"/>
              </w:rPr>
              <w:t xml:space="preserve"> het Tijdelijk Noodfonds Energie </w:t>
            </w:r>
            <w:r w:rsidRPr="009C1446" w:rsidR="00AB459A">
              <w:rPr>
                <w:rFonts w:ascii="Verdana" w:hAnsi="Verdana"/>
                <w:sz w:val="18"/>
                <w:szCs w:val="18"/>
              </w:rPr>
              <w:t>in</w:t>
            </w:r>
            <w:r w:rsidRPr="009C1446" w:rsidR="00F172FD">
              <w:rPr>
                <w:rFonts w:ascii="Verdana" w:hAnsi="Verdana"/>
                <w:sz w:val="18"/>
                <w:szCs w:val="18"/>
              </w:rPr>
              <w:t xml:space="preserve"> 2023, 2024 en 2025.</w:t>
            </w:r>
            <w:r w:rsidRPr="009C1446">
              <w:rPr>
                <w:rFonts w:ascii="Verdana" w:hAnsi="Verdana"/>
                <w:sz w:val="18"/>
                <w:szCs w:val="18"/>
              </w:rPr>
              <w:t xml:space="preserve"> </w:t>
            </w:r>
            <w:r w:rsidR="00CD0C4A">
              <w:rPr>
                <w:rFonts w:ascii="Verdana" w:hAnsi="Verdana"/>
                <w:sz w:val="18"/>
                <w:szCs w:val="18"/>
              </w:rPr>
              <w:t>Alternatief is rechtstreekse uitbetaling aan huishoudens</w:t>
            </w:r>
            <w:r w:rsidR="00A6364F">
              <w:rPr>
                <w:rFonts w:ascii="Verdana" w:hAnsi="Verdana"/>
                <w:sz w:val="18"/>
                <w:szCs w:val="18"/>
              </w:rPr>
              <w:t>, waardoor huishoudens deze kunnen gebruiken voor het betalen van hun energierekening of andere noodzakelijke uitgaven.</w:t>
            </w:r>
          </w:p>
          <w:p w:rsidR="00A6364F" w:rsidP="00D72F98" w:rsidRDefault="00A6364F" w14:paraId="4E33E58A" w14:textId="77777777">
            <w:pPr>
              <w:rPr>
                <w:rFonts w:ascii="Verdana" w:hAnsi="Verdana"/>
                <w:sz w:val="18"/>
                <w:szCs w:val="18"/>
              </w:rPr>
            </w:pPr>
          </w:p>
          <w:p w:rsidRPr="009C1446" w:rsidR="00F172FD" w:rsidP="00D72F98" w:rsidRDefault="00DE3B7E" w14:paraId="3C5FAB10" w14:textId="07D0488C">
            <w:pPr>
              <w:rPr>
                <w:rFonts w:ascii="Verdana" w:hAnsi="Verdana"/>
                <w:sz w:val="18"/>
                <w:szCs w:val="18"/>
              </w:rPr>
            </w:pPr>
            <w:r w:rsidRPr="009C1446">
              <w:rPr>
                <w:rFonts w:ascii="Verdana" w:hAnsi="Verdana"/>
                <w:sz w:val="18"/>
                <w:szCs w:val="18"/>
              </w:rPr>
              <w:t>Hoewel de steun</w:t>
            </w:r>
            <w:r w:rsidR="00A6364F">
              <w:rPr>
                <w:rFonts w:ascii="Verdana" w:hAnsi="Verdana"/>
                <w:sz w:val="18"/>
                <w:szCs w:val="18"/>
              </w:rPr>
              <w:t xml:space="preserve"> van het Tijdelijk Noodfonds Energie</w:t>
            </w:r>
            <w:r w:rsidRPr="009C1446">
              <w:rPr>
                <w:rFonts w:ascii="Verdana" w:hAnsi="Verdana"/>
                <w:sz w:val="18"/>
                <w:szCs w:val="18"/>
              </w:rPr>
              <w:t xml:space="preserve"> gericht was, waren de beschikbare middelen niet toereikend om de gehele doelgroep tegemoet te komen. Het publieke energiefonds zal een kleinere doelgroep hanteren dan het Tijdelijk Noodfonds Energie de afgelopen drie jaar heeft gedaan.</w:t>
            </w:r>
            <w:r w:rsidRPr="009C1446" w:rsidR="008054E2">
              <w:rPr>
                <w:rFonts w:ascii="Verdana" w:hAnsi="Verdana"/>
                <w:sz w:val="18"/>
                <w:szCs w:val="18"/>
              </w:rPr>
              <w:t xml:space="preserve"> Dit draagt </w:t>
            </w:r>
            <w:r w:rsidRPr="009C1446" w:rsidR="008054E2">
              <w:rPr>
                <w:rFonts w:ascii="Verdana" w:hAnsi="Verdana"/>
                <w:sz w:val="18"/>
                <w:szCs w:val="18"/>
              </w:rPr>
              <w:lastRenderedPageBreak/>
              <w:t xml:space="preserve">bij aan de doeltreffendheid om huishoudens met de laagste inkomens te helpen. </w:t>
            </w:r>
          </w:p>
          <w:p w:rsidRPr="009C1446" w:rsidR="00AB459A" w:rsidP="00D72F98" w:rsidRDefault="00AB459A" w14:paraId="498FE94A" w14:textId="77777777">
            <w:pPr>
              <w:rPr>
                <w:rFonts w:ascii="Verdana" w:hAnsi="Verdana"/>
                <w:sz w:val="18"/>
                <w:szCs w:val="18"/>
              </w:rPr>
            </w:pPr>
          </w:p>
          <w:p w:rsidRPr="009C1446" w:rsidR="006F1395" w:rsidP="00AB459A" w:rsidRDefault="00AB459A" w14:paraId="0A85E6C0" w14:textId="40E3AC6E">
            <w:pPr>
              <w:rPr>
                <w:rFonts w:ascii="Verdana" w:hAnsi="Verdana"/>
                <w:sz w:val="18"/>
                <w:szCs w:val="18"/>
              </w:rPr>
            </w:pPr>
            <w:r w:rsidRPr="009C1446">
              <w:rPr>
                <w:rFonts w:ascii="Verdana" w:hAnsi="Verdana"/>
                <w:sz w:val="18"/>
                <w:szCs w:val="18"/>
              </w:rPr>
              <w:t xml:space="preserve">Deze </w:t>
            </w:r>
            <w:r w:rsidRPr="009C1446" w:rsidR="00315249">
              <w:rPr>
                <w:rFonts w:ascii="Verdana" w:hAnsi="Verdana"/>
                <w:sz w:val="18"/>
                <w:szCs w:val="18"/>
              </w:rPr>
              <w:t xml:space="preserve">tegemoetkoming </w:t>
            </w:r>
            <w:r w:rsidRPr="009C1446">
              <w:rPr>
                <w:rFonts w:ascii="Verdana" w:hAnsi="Verdana"/>
                <w:sz w:val="18"/>
                <w:szCs w:val="18"/>
              </w:rPr>
              <w:t xml:space="preserve">is tijdelijk van aard, en dient ter overbrugging tot </w:t>
            </w:r>
            <w:r w:rsidRPr="009C1446" w:rsidR="00DE3B7E">
              <w:rPr>
                <w:rFonts w:ascii="Verdana" w:hAnsi="Verdana"/>
                <w:sz w:val="18"/>
                <w:szCs w:val="18"/>
              </w:rPr>
              <w:t>meer</w:t>
            </w:r>
            <w:r w:rsidRPr="009C1446">
              <w:rPr>
                <w:rFonts w:ascii="Verdana" w:hAnsi="Verdana"/>
                <w:sz w:val="18"/>
                <w:szCs w:val="18"/>
              </w:rPr>
              <w:t xml:space="preserve"> woningen van kwetsbare huishoudens verduurzaamd en geïsoleerd zijn.  </w:t>
            </w:r>
          </w:p>
          <w:p w:rsidRPr="009C1446" w:rsidR="006F1395" w:rsidP="00AB459A" w:rsidRDefault="006F1395" w14:paraId="65AB66F2" w14:textId="3F8AF786">
            <w:pPr>
              <w:rPr>
                <w:rFonts w:ascii="Verdana" w:hAnsi="Verdana"/>
                <w:sz w:val="18"/>
                <w:szCs w:val="18"/>
              </w:rPr>
            </w:pPr>
            <w:r w:rsidRPr="009C1446">
              <w:rPr>
                <w:rFonts w:ascii="Verdana" w:hAnsi="Verdana"/>
                <w:sz w:val="18"/>
                <w:szCs w:val="18"/>
              </w:rPr>
              <w:t xml:space="preserve">NB: De verduurzaming van de gebouwde omgeving is niet binnen </w:t>
            </w:r>
            <w:r w:rsidR="00FF20F2">
              <w:rPr>
                <w:rFonts w:ascii="Verdana" w:hAnsi="Verdana"/>
                <w:sz w:val="18"/>
                <w:szCs w:val="18"/>
              </w:rPr>
              <w:t>3</w:t>
            </w:r>
            <w:r w:rsidRPr="009C1446" w:rsidR="00FF20F2">
              <w:rPr>
                <w:rFonts w:ascii="Verdana" w:hAnsi="Verdana"/>
                <w:sz w:val="18"/>
                <w:szCs w:val="18"/>
              </w:rPr>
              <w:t xml:space="preserve"> </w:t>
            </w:r>
            <w:r w:rsidRPr="009C1446">
              <w:rPr>
                <w:rFonts w:ascii="Verdana" w:hAnsi="Verdana"/>
                <w:sz w:val="18"/>
                <w:szCs w:val="18"/>
              </w:rPr>
              <w:t>jaar afgerond.</w:t>
            </w:r>
          </w:p>
          <w:p w:rsidRPr="009C1446" w:rsidR="00AB459A" w:rsidP="00D72F98" w:rsidRDefault="00AB459A" w14:paraId="71A8152D" w14:textId="77777777">
            <w:pPr>
              <w:rPr>
                <w:rFonts w:ascii="Verdana" w:hAnsi="Verdana"/>
                <w:sz w:val="18"/>
                <w:szCs w:val="18"/>
              </w:rPr>
            </w:pPr>
          </w:p>
          <w:p w:rsidRPr="009C1446" w:rsidR="00595336" w:rsidP="00F172FD" w:rsidRDefault="00595336" w14:paraId="700F0CA6" w14:textId="1EF5AAED">
            <w:pPr>
              <w:rPr>
                <w:rFonts w:ascii="Verdana" w:hAnsi="Verdana"/>
                <w:sz w:val="18"/>
                <w:szCs w:val="18"/>
              </w:rPr>
            </w:pPr>
          </w:p>
        </w:tc>
      </w:tr>
      <w:tr w:rsidRPr="009C1446" w:rsidR="00595336" w:rsidTr="00595336" w14:paraId="613FFF52" w14:textId="77777777">
        <w:tc>
          <w:tcPr>
            <w:tcW w:w="4531" w:type="dxa"/>
          </w:tcPr>
          <w:p w:rsidRPr="00CC02A6" w:rsidR="00595336" w:rsidRDefault="00CC02A6" w14:paraId="5423804F" w14:textId="3EA77B4B">
            <w:pPr>
              <w:rPr>
                <w:rFonts w:ascii="Verdana" w:hAnsi="Verdana"/>
                <w:b/>
                <w:bCs/>
                <w:sz w:val="18"/>
                <w:szCs w:val="18"/>
              </w:rPr>
            </w:pPr>
            <w:r w:rsidRPr="001C36BE">
              <w:rPr>
                <w:rFonts w:ascii="Verdana" w:hAnsi="Verdana"/>
                <w:b/>
                <w:bCs/>
                <w:sz w:val="18"/>
                <w:szCs w:val="18"/>
              </w:rPr>
              <w:lastRenderedPageBreak/>
              <w:t>5. Nagestreefde doelmatigheid</w:t>
            </w:r>
          </w:p>
        </w:tc>
        <w:tc>
          <w:tcPr>
            <w:tcW w:w="4531" w:type="dxa"/>
          </w:tcPr>
          <w:p w:rsidRPr="009C1446" w:rsidR="00DE3B7E" w:rsidP="00DE3B7E" w:rsidRDefault="00DE3B7E" w14:paraId="52EC3592" w14:textId="35F59C47">
            <w:pPr>
              <w:rPr>
                <w:rFonts w:ascii="Verdana" w:hAnsi="Verdana"/>
                <w:sz w:val="18"/>
                <w:szCs w:val="18"/>
              </w:rPr>
            </w:pPr>
            <w:r w:rsidRPr="00CD0C4A">
              <w:rPr>
                <w:rFonts w:ascii="Verdana" w:hAnsi="Verdana"/>
                <w:sz w:val="18"/>
                <w:szCs w:val="18"/>
              </w:rPr>
              <w:t xml:space="preserve">Door huishoudens tegemoet te komen op basis van inkomen én </w:t>
            </w:r>
            <w:r w:rsidRPr="00CD0C4A" w:rsidR="00CD0C4A">
              <w:rPr>
                <w:rFonts w:ascii="Verdana" w:hAnsi="Verdana"/>
                <w:sz w:val="18"/>
                <w:szCs w:val="18"/>
              </w:rPr>
              <w:t>de verhouding tussen het inkomen en de hoogte van de energierekening</w:t>
            </w:r>
            <w:r w:rsidRPr="00CD0C4A">
              <w:rPr>
                <w:rFonts w:ascii="Verdana" w:hAnsi="Verdana"/>
                <w:sz w:val="18"/>
                <w:szCs w:val="18"/>
              </w:rPr>
              <w:t xml:space="preserve"> </w:t>
            </w:r>
            <w:r w:rsidRPr="00CD0C4A" w:rsidR="005D7D5C">
              <w:rPr>
                <w:rFonts w:ascii="Verdana" w:hAnsi="Verdana"/>
                <w:sz w:val="18"/>
                <w:szCs w:val="18"/>
              </w:rPr>
              <w:t>komt de steun terecht bij huishoudens die dit het meest nodig hebben, namelijk huishoudens met een laag inkomen en hoge energiekosten.</w:t>
            </w:r>
            <w:r w:rsidRPr="009C1446">
              <w:rPr>
                <w:rFonts w:ascii="Verdana" w:hAnsi="Verdana"/>
                <w:sz w:val="18"/>
                <w:szCs w:val="18"/>
              </w:rPr>
              <w:t xml:space="preserve"> Dit komt de doelmatigheid van de steun ten goede komt.</w:t>
            </w:r>
          </w:p>
          <w:p w:rsidRPr="009C1446" w:rsidR="00DE3B7E" w:rsidP="00DE3B7E" w:rsidRDefault="00DE3B7E" w14:paraId="459D3FCA" w14:textId="77777777">
            <w:pPr>
              <w:rPr>
                <w:rFonts w:ascii="Verdana" w:hAnsi="Verdana"/>
                <w:sz w:val="18"/>
                <w:szCs w:val="18"/>
              </w:rPr>
            </w:pPr>
          </w:p>
          <w:p w:rsidRPr="009C1446" w:rsidR="004722D6" w:rsidRDefault="00F172FD" w14:paraId="53B57F89" w14:textId="3F684EAF">
            <w:pPr>
              <w:rPr>
                <w:rFonts w:ascii="Verdana" w:hAnsi="Verdana"/>
                <w:sz w:val="18"/>
                <w:szCs w:val="18"/>
              </w:rPr>
            </w:pPr>
            <w:r w:rsidRPr="009C1446">
              <w:rPr>
                <w:rFonts w:ascii="Verdana" w:hAnsi="Verdana"/>
                <w:sz w:val="18"/>
                <w:szCs w:val="18"/>
              </w:rPr>
              <w:t>Een deel van de middelen zal besteed moeten worden aan uitvoeringskosten van het energiefonds. Momenteel wordt uitgegaan van ongeveer</w:t>
            </w:r>
            <w:r w:rsidRPr="009C1446" w:rsidR="00DE3B7E">
              <w:rPr>
                <w:rFonts w:ascii="Verdana" w:hAnsi="Verdana"/>
                <w:sz w:val="18"/>
                <w:szCs w:val="18"/>
              </w:rPr>
              <w:t xml:space="preserve"> </w:t>
            </w:r>
            <w:r w:rsidRPr="00CD0C4A" w:rsidR="00DE3B7E">
              <w:rPr>
                <w:rFonts w:ascii="Verdana" w:hAnsi="Verdana"/>
                <w:sz w:val="18"/>
                <w:szCs w:val="18"/>
              </w:rPr>
              <w:t>€</w:t>
            </w:r>
            <w:r w:rsidRPr="00CD0C4A">
              <w:rPr>
                <w:rFonts w:ascii="Verdana" w:hAnsi="Verdana"/>
                <w:sz w:val="18"/>
                <w:szCs w:val="18"/>
              </w:rPr>
              <w:t xml:space="preserve"> </w:t>
            </w:r>
            <w:r w:rsidRPr="00CD0C4A" w:rsidR="005D7D5C">
              <w:rPr>
                <w:rFonts w:ascii="Verdana" w:hAnsi="Verdana"/>
                <w:sz w:val="18"/>
                <w:szCs w:val="18"/>
              </w:rPr>
              <w:t>10-</w:t>
            </w:r>
            <w:r w:rsidRPr="00CD0C4A">
              <w:rPr>
                <w:rFonts w:ascii="Verdana" w:hAnsi="Verdana"/>
                <w:sz w:val="18"/>
                <w:szCs w:val="18"/>
              </w:rPr>
              <w:t>15</w:t>
            </w:r>
            <w:r w:rsidRPr="009C1446">
              <w:rPr>
                <w:rFonts w:ascii="Verdana" w:hAnsi="Verdana"/>
                <w:sz w:val="18"/>
                <w:szCs w:val="18"/>
              </w:rPr>
              <w:t xml:space="preserve"> miljoen aan uitvoeringskosten per jaar. Dit betekent dat</w:t>
            </w:r>
            <w:r w:rsidRPr="009C1446" w:rsidR="00315249">
              <w:rPr>
                <w:rFonts w:ascii="Verdana" w:hAnsi="Verdana"/>
                <w:sz w:val="18"/>
                <w:szCs w:val="18"/>
              </w:rPr>
              <w:t xml:space="preserve"> er, uitgaande van een looptijd van </w:t>
            </w:r>
            <w:r w:rsidR="00FF20F2">
              <w:rPr>
                <w:rFonts w:ascii="Verdana" w:hAnsi="Verdana"/>
                <w:sz w:val="18"/>
                <w:szCs w:val="18"/>
              </w:rPr>
              <w:t>3</w:t>
            </w:r>
            <w:r w:rsidRPr="009C1446" w:rsidR="00FF20F2">
              <w:rPr>
                <w:rFonts w:ascii="Verdana" w:hAnsi="Verdana"/>
                <w:sz w:val="18"/>
                <w:szCs w:val="18"/>
              </w:rPr>
              <w:t xml:space="preserve"> </w:t>
            </w:r>
            <w:r w:rsidRPr="009C1446" w:rsidR="00315249">
              <w:rPr>
                <w:rFonts w:ascii="Verdana" w:hAnsi="Verdana"/>
                <w:sz w:val="18"/>
                <w:szCs w:val="18"/>
              </w:rPr>
              <w:t>jaar</w:t>
            </w:r>
            <w:r w:rsidRPr="009C1446">
              <w:rPr>
                <w:rFonts w:ascii="Verdana" w:hAnsi="Verdana"/>
                <w:sz w:val="18"/>
                <w:szCs w:val="18"/>
              </w:rPr>
              <w:t xml:space="preserve">, inclusief de middelen uit het SCF </w:t>
            </w:r>
            <w:r w:rsidR="00FF20F2">
              <w:rPr>
                <w:rFonts w:ascii="Verdana" w:hAnsi="Verdana"/>
                <w:sz w:val="18"/>
                <w:szCs w:val="18"/>
              </w:rPr>
              <w:t>ongeveer</w:t>
            </w:r>
            <w:r w:rsidRPr="009C1446" w:rsidR="00FF20F2">
              <w:rPr>
                <w:rFonts w:ascii="Verdana" w:hAnsi="Verdana"/>
                <w:sz w:val="18"/>
                <w:szCs w:val="18"/>
              </w:rPr>
              <w:t xml:space="preserve"> </w:t>
            </w:r>
            <w:r w:rsidRPr="009C1446">
              <w:rPr>
                <w:rFonts w:ascii="Verdana" w:hAnsi="Verdana"/>
                <w:sz w:val="18"/>
                <w:szCs w:val="18"/>
              </w:rPr>
              <w:t xml:space="preserve">€ </w:t>
            </w:r>
            <w:r w:rsidR="00FF20F2">
              <w:rPr>
                <w:rFonts w:ascii="Verdana" w:hAnsi="Verdana"/>
                <w:sz w:val="18"/>
                <w:szCs w:val="18"/>
              </w:rPr>
              <w:t>3</w:t>
            </w:r>
            <w:r w:rsidRPr="009C1446" w:rsidR="00FF20F2">
              <w:rPr>
                <w:rFonts w:ascii="Verdana" w:hAnsi="Verdana"/>
                <w:sz w:val="18"/>
                <w:szCs w:val="18"/>
              </w:rPr>
              <w:t xml:space="preserve">00 </w:t>
            </w:r>
            <w:r w:rsidRPr="009C1446">
              <w:rPr>
                <w:rFonts w:ascii="Verdana" w:hAnsi="Verdana"/>
                <w:sz w:val="18"/>
                <w:szCs w:val="18"/>
              </w:rPr>
              <w:t xml:space="preserve">miljoen ten goede kan komen aan huishoudens, en er </w:t>
            </w:r>
            <w:r w:rsidR="00A33827">
              <w:rPr>
                <w:rFonts w:ascii="Verdana" w:hAnsi="Verdana"/>
                <w:sz w:val="18"/>
                <w:szCs w:val="18"/>
              </w:rPr>
              <w:t xml:space="preserve">ongeveer </w:t>
            </w:r>
            <w:r w:rsidRPr="009C1446">
              <w:rPr>
                <w:rFonts w:ascii="Verdana" w:hAnsi="Verdana"/>
                <w:sz w:val="18"/>
                <w:szCs w:val="18"/>
              </w:rPr>
              <w:t xml:space="preserve">€ </w:t>
            </w:r>
            <w:r w:rsidR="00FF20F2">
              <w:rPr>
                <w:rFonts w:ascii="Verdana" w:hAnsi="Verdana"/>
                <w:sz w:val="18"/>
                <w:szCs w:val="18"/>
              </w:rPr>
              <w:t>4</w:t>
            </w:r>
            <w:r w:rsidRPr="009C1446" w:rsidR="00FF20F2">
              <w:rPr>
                <w:rFonts w:ascii="Verdana" w:hAnsi="Verdana"/>
                <w:sz w:val="18"/>
                <w:szCs w:val="18"/>
              </w:rPr>
              <w:t xml:space="preserve">0 </w:t>
            </w:r>
            <w:r w:rsidRPr="009C1446">
              <w:rPr>
                <w:rFonts w:ascii="Verdana" w:hAnsi="Verdana"/>
                <w:sz w:val="18"/>
                <w:szCs w:val="18"/>
              </w:rPr>
              <w:t xml:space="preserve">miljoen </w:t>
            </w:r>
            <w:r w:rsidRPr="009C1446" w:rsidR="00B94FC7">
              <w:rPr>
                <w:rFonts w:ascii="Verdana" w:hAnsi="Verdana"/>
                <w:sz w:val="18"/>
                <w:szCs w:val="18"/>
              </w:rPr>
              <w:t>aan</w:t>
            </w:r>
            <w:r w:rsidRPr="009C1446">
              <w:rPr>
                <w:rFonts w:ascii="Verdana" w:hAnsi="Verdana"/>
                <w:sz w:val="18"/>
                <w:szCs w:val="18"/>
              </w:rPr>
              <w:t xml:space="preserve"> uitvoeringskosten tegenover staan.</w:t>
            </w:r>
            <w:r w:rsidRPr="009C1446" w:rsidR="008054E2">
              <w:rPr>
                <w:rFonts w:ascii="Verdana" w:hAnsi="Verdana"/>
                <w:sz w:val="18"/>
                <w:szCs w:val="18"/>
              </w:rPr>
              <w:t xml:space="preserve"> </w:t>
            </w:r>
          </w:p>
          <w:p w:rsidRPr="009C1446" w:rsidR="00DE3B7E" w:rsidRDefault="004722D6" w14:paraId="70FE278B" w14:textId="107ABEE0">
            <w:pPr>
              <w:rPr>
                <w:rFonts w:ascii="Verdana" w:hAnsi="Verdana"/>
                <w:sz w:val="18"/>
                <w:szCs w:val="18"/>
              </w:rPr>
            </w:pPr>
            <w:r w:rsidRPr="009C1446">
              <w:rPr>
                <w:rFonts w:ascii="Verdana" w:hAnsi="Verdana"/>
                <w:sz w:val="18"/>
                <w:szCs w:val="18"/>
              </w:rPr>
              <w:t>Deze uitvoeringskosten zijn noodzakelijk om de steun gericht te kunnen bieden aan huishoudens met een laag inkomen én een hoge energierekening. Het is niet mogelijk om aan te sluiten bij een bestaande vorm van inkomensondersteuning, omdat de koppeling met een hoge energierekening niet kan worden gemaakt.</w:t>
            </w:r>
          </w:p>
        </w:tc>
      </w:tr>
      <w:tr w:rsidRPr="009C1446" w:rsidR="00595336" w:rsidTr="00595336" w14:paraId="14F4454D" w14:textId="77777777">
        <w:tc>
          <w:tcPr>
            <w:tcW w:w="4531" w:type="dxa"/>
          </w:tcPr>
          <w:p w:rsidRPr="00CC02A6" w:rsidR="00595336" w:rsidRDefault="00CC02A6" w14:paraId="4C06D852" w14:textId="689C8933">
            <w:pPr>
              <w:rPr>
                <w:rFonts w:ascii="Verdana" w:hAnsi="Verdana"/>
                <w:b/>
                <w:bCs/>
                <w:sz w:val="18"/>
                <w:szCs w:val="18"/>
              </w:rPr>
            </w:pPr>
            <w:r w:rsidRPr="001C36BE">
              <w:rPr>
                <w:rFonts w:ascii="Verdana" w:hAnsi="Verdana"/>
                <w:b/>
                <w:bCs/>
                <w:sz w:val="18"/>
                <w:szCs w:val="18"/>
              </w:rPr>
              <w:t>6. Evaluatieparagraaf</w:t>
            </w:r>
          </w:p>
        </w:tc>
        <w:tc>
          <w:tcPr>
            <w:tcW w:w="4531" w:type="dxa"/>
          </w:tcPr>
          <w:p w:rsidRPr="009C1446" w:rsidR="00595336" w:rsidRDefault="00B94FC7" w14:paraId="3DA5993B" w14:textId="2D7BDD5B">
            <w:pPr>
              <w:rPr>
                <w:rFonts w:ascii="Verdana" w:hAnsi="Verdana"/>
                <w:sz w:val="18"/>
                <w:szCs w:val="18"/>
              </w:rPr>
            </w:pPr>
            <w:r w:rsidRPr="009C1446">
              <w:rPr>
                <w:rFonts w:ascii="Verdana" w:hAnsi="Verdana"/>
                <w:sz w:val="18"/>
                <w:szCs w:val="18"/>
              </w:rPr>
              <w:t xml:space="preserve">Er zal jaarlijks geëvalueerd worden met de uitvoerder en mede-uitvoerders. </w:t>
            </w:r>
            <w:r w:rsidRPr="009C1446" w:rsidR="00ED03C6">
              <w:rPr>
                <w:rFonts w:ascii="Verdana" w:hAnsi="Verdana"/>
                <w:sz w:val="18"/>
                <w:szCs w:val="18"/>
              </w:rPr>
              <w:t xml:space="preserve">Ook is het energiefonds onderhevig aan de strenge verantwoordingslast van de Europese Commissie, aangezien het deels gefinancierd wordt met middelen uit het </w:t>
            </w:r>
            <w:proofErr w:type="spellStart"/>
            <w:r w:rsidRPr="009C1446" w:rsidR="00ED03C6">
              <w:rPr>
                <w:rFonts w:ascii="Verdana" w:hAnsi="Verdana"/>
                <w:sz w:val="18"/>
                <w:szCs w:val="18"/>
              </w:rPr>
              <w:t>Social</w:t>
            </w:r>
            <w:proofErr w:type="spellEnd"/>
            <w:r w:rsidRPr="009C1446" w:rsidR="00ED03C6">
              <w:rPr>
                <w:rFonts w:ascii="Verdana" w:hAnsi="Verdana"/>
                <w:sz w:val="18"/>
                <w:szCs w:val="18"/>
              </w:rPr>
              <w:t xml:space="preserve"> </w:t>
            </w:r>
            <w:proofErr w:type="spellStart"/>
            <w:r w:rsidRPr="009C1446" w:rsidR="00ED03C6">
              <w:rPr>
                <w:rFonts w:ascii="Verdana" w:hAnsi="Verdana"/>
                <w:sz w:val="18"/>
                <w:szCs w:val="18"/>
              </w:rPr>
              <w:t>Climate</w:t>
            </w:r>
            <w:proofErr w:type="spellEnd"/>
            <w:r w:rsidRPr="009C1446" w:rsidR="00ED03C6">
              <w:rPr>
                <w:rFonts w:ascii="Verdana" w:hAnsi="Verdana"/>
                <w:sz w:val="18"/>
                <w:szCs w:val="18"/>
              </w:rPr>
              <w:t xml:space="preserve"> Fund.</w:t>
            </w:r>
          </w:p>
        </w:tc>
      </w:tr>
    </w:tbl>
    <w:p w:rsidRPr="009C1446" w:rsidR="005B6D86" w:rsidRDefault="005B6D86" w14:paraId="1679399A" w14:textId="77777777">
      <w:pPr>
        <w:rPr>
          <w:rFonts w:ascii="Verdana" w:hAnsi="Verdana"/>
          <w:sz w:val="18"/>
          <w:szCs w:val="18"/>
        </w:rPr>
      </w:pPr>
    </w:p>
    <w:sectPr w:rsidRPr="009C1446" w:rsidR="005B6D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D035" w14:textId="77777777" w:rsidR="00450D0E" w:rsidRDefault="00450D0E" w:rsidP="00450D0E">
      <w:pPr>
        <w:spacing w:after="0" w:line="240" w:lineRule="auto"/>
      </w:pPr>
      <w:r>
        <w:separator/>
      </w:r>
    </w:p>
  </w:endnote>
  <w:endnote w:type="continuationSeparator" w:id="0">
    <w:p w14:paraId="2338DC3A" w14:textId="77777777" w:rsidR="00450D0E" w:rsidRDefault="00450D0E" w:rsidP="0045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6CEF" w14:textId="77777777" w:rsidR="00450D0E" w:rsidRDefault="00450D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2936" w14:textId="77777777" w:rsidR="00450D0E" w:rsidRDefault="00450D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75E1" w14:textId="77777777" w:rsidR="00450D0E" w:rsidRDefault="00450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1811" w14:textId="77777777" w:rsidR="00450D0E" w:rsidRDefault="00450D0E" w:rsidP="00450D0E">
      <w:pPr>
        <w:spacing w:after="0" w:line="240" w:lineRule="auto"/>
      </w:pPr>
      <w:r>
        <w:separator/>
      </w:r>
    </w:p>
  </w:footnote>
  <w:footnote w:type="continuationSeparator" w:id="0">
    <w:p w14:paraId="0A299E29" w14:textId="77777777" w:rsidR="00450D0E" w:rsidRDefault="00450D0E" w:rsidP="0045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ADF9" w14:textId="77777777" w:rsidR="00450D0E" w:rsidRDefault="00450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F755" w14:textId="77777777" w:rsidR="00450D0E" w:rsidRDefault="00450D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542E" w14:textId="77777777" w:rsidR="00450D0E" w:rsidRDefault="00450D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B9C"/>
    <w:multiLevelType w:val="hybridMultilevel"/>
    <w:tmpl w:val="42FAEB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66096F"/>
    <w:multiLevelType w:val="hybridMultilevel"/>
    <w:tmpl w:val="2FDEBC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8759656">
    <w:abstractNumId w:val="1"/>
  </w:num>
  <w:num w:numId="2" w16cid:durableId="136806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36"/>
    <w:rsid w:val="00002BD4"/>
    <w:rsid w:val="000964F4"/>
    <w:rsid w:val="000D6234"/>
    <w:rsid w:val="000F3297"/>
    <w:rsid w:val="001023DA"/>
    <w:rsid w:val="00296D55"/>
    <w:rsid w:val="00315249"/>
    <w:rsid w:val="00326809"/>
    <w:rsid w:val="00372664"/>
    <w:rsid w:val="00423613"/>
    <w:rsid w:val="00450D0E"/>
    <w:rsid w:val="004722D6"/>
    <w:rsid w:val="004A1DC3"/>
    <w:rsid w:val="004E4270"/>
    <w:rsid w:val="005243B8"/>
    <w:rsid w:val="00543EF6"/>
    <w:rsid w:val="005852AA"/>
    <w:rsid w:val="00595336"/>
    <w:rsid w:val="005B6D86"/>
    <w:rsid w:val="005D7D5C"/>
    <w:rsid w:val="005D7DAC"/>
    <w:rsid w:val="00690619"/>
    <w:rsid w:val="006927FE"/>
    <w:rsid w:val="006F1395"/>
    <w:rsid w:val="00723F50"/>
    <w:rsid w:val="00791166"/>
    <w:rsid w:val="007A2CB3"/>
    <w:rsid w:val="007E536D"/>
    <w:rsid w:val="008054E2"/>
    <w:rsid w:val="008465FF"/>
    <w:rsid w:val="0086618C"/>
    <w:rsid w:val="008D115D"/>
    <w:rsid w:val="00906665"/>
    <w:rsid w:val="00922F02"/>
    <w:rsid w:val="0093173E"/>
    <w:rsid w:val="00947AFF"/>
    <w:rsid w:val="0099690C"/>
    <w:rsid w:val="009C1446"/>
    <w:rsid w:val="00A33827"/>
    <w:rsid w:val="00A507D5"/>
    <w:rsid w:val="00A6364F"/>
    <w:rsid w:val="00A94B48"/>
    <w:rsid w:val="00AB459A"/>
    <w:rsid w:val="00B54E92"/>
    <w:rsid w:val="00B94FC7"/>
    <w:rsid w:val="00C7107F"/>
    <w:rsid w:val="00C83EB7"/>
    <w:rsid w:val="00CC02A6"/>
    <w:rsid w:val="00CD0C4A"/>
    <w:rsid w:val="00D6460E"/>
    <w:rsid w:val="00D72F98"/>
    <w:rsid w:val="00DE3B7E"/>
    <w:rsid w:val="00E13E79"/>
    <w:rsid w:val="00E35B26"/>
    <w:rsid w:val="00ED03C6"/>
    <w:rsid w:val="00F172FD"/>
    <w:rsid w:val="00F57425"/>
    <w:rsid w:val="00F77C2B"/>
    <w:rsid w:val="00F82BEC"/>
    <w:rsid w:val="00F83CA2"/>
    <w:rsid w:val="00FF20F2"/>
    <w:rsid w:val="00FF5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E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5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5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53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53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3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3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3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3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3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3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53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53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53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3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3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3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3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336"/>
    <w:rPr>
      <w:rFonts w:eastAsiaTheme="majorEastAsia" w:cstheme="majorBidi"/>
      <w:color w:val="272727" w:themeColor="text1" w:themeTint="D8"/>
    </w:rPr>
  </w:style>
  <w:style w:type="paragraph" w:styleId="Titel">
    <w:name w:val="Title"/>
    <w:basedOn w:val="Standaard"/>
    <w:next w:val="Standaard"/>
    <w:link w:val="TitelChar"/>
    <w:uiPriority w:val="10"/>
    <w:qFormat/>
    <w:rsid w:val="00595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3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3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3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3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336"/>
    <w:rPr>
      <w:i/>
      <w:iCs/>
      <w:color w:val="404040" w:themeColor="text1" w:themeTint="BF"/>
    </w:rPr>
  </w:style>
  <w:style w:type="paragraph" w:styleId="Lijstalinea">
    <w:name w:val="List Paragraph"/>
    <w:basedOn w:val="Standaard"/>
    <w:uiPriority w:val="34"/>
    <w:qFormat/>
    <w:rsid w:val="00595336"/>
    <w:pPr>
      <w:ind w:left="720"/>
      <w:contextualSpacing/>
    </w:pPr>
  </w:style>
  <w:style w:type="character" w:styleId="Intensievebenadrukking">
    <w:name w:val="Intense Emphasis"/>
    <w:basedOn w:val="Standaardalinea-lettertype"/>
    <w:uiPriority w:val="21"/>
    <w:qFormat/>
    <w:rsid w:val="00595336"/>
    <w:rPr>
      <w:i/>
      <w:iCs/>
      <w:color w:val="0F4761" w:themeColor="accent1" w:themeShade="BF"/>
    </w:rPr>
  </w:style>
  <w:style w:type="paragraph" w:styleId="Duidelijkcitaat">
    <w:name w:val="Intense Quote"/>
    <w:basedOn w:val="Standaard"/>
    <w:next w:val="Standaard"/>
    <w:link w:val="DuidelijkcitaatChar"/>
    <w:uiPriority w:val="30"/>
    <w:qFormat/>
    <w:rsid w:val="00595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336"/>
    <w:rPr>
      <w:i/>
      <w:iCs/>
      <w:color w:val="0F4761" w:themeColor="accent1" w:themeShade="BF"/>
    </w:rPr>
  </w:style>
  <w:style w:type="character" w:styleId="Intensieveverwijzing">
    <w:name w:val="Intense Reference"/>
    <w:basedOn w:val="Standaardalinea-lettertype"/>
    <w:uiPriority w:val="32"/>
    <w:qFormat/>
    <w:rsid w:val="00595336"/>
    <w:rPr>
      <w:b/>
      <w:bCs/>
      <w:smallCaps/>
      <w:color w:val="0F4761" w:themeColor="accent1" w:themeShade="BF"/>
      <w:spacing w:val="5"/>
    </w:rPr>
  </w:style>
  <w:style w:type="table" w:styleId="Tabelraster">
    <w:name w:val="Table Grid"/>
    <w:basedOn w:val="Standaardtabel"/>
    <w:uiPriority w:val="39"/>
    <w:rsid w:val="0059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243B8"/>
    <w:rPr>
      <w:sz w:val="16"/>
      <w:szCs w:val="16"/>
    </w:rPr>
  </w:style>
  <w:style w:type="paragraph" w:styleId="Tekstopmerking">
    <w:name w:val="annotation text"/>
    <w:basedOn w:val="Standaard"/>
    <w:link w:val="TekstopmerkingChar"/>
    <w:uiPriority w:val="99"/>
    <w:unhideWhenUsed/>
    <w:rsid w:val="005243B8"/>
    <w:pPr>
      <w:spacing w:line="240" w:lineRule="auto"/>
    </w:pPr>
    <w:rPr>
      <w:sz w:val="20"/>
      <w:szCs w:val="20"/>
    </w:rPr>
  </w:style>
  <w:style w:type="character" w:customStyle="1" w:styleId="TekstopmerkingChar">
    <w:name w:val="Tekst opmerking Char"/>
    <w:basedOn w:val="Standaardalinea-lettertype"/>
    <w:link w:val="Tekstopmerking"/>
    <w:uiPriority w:val="99"/>
    <w:rsid w:val="005243B8"/>
    <w:rPr>
      <w:sz w:val="20"/>
      <w:szCs w:val="20"/>
    </w:rPr>
  </w:style>
  <w:style w:type="paragraph" w:styleId="Onderwerpvanopmerking">
    <w:name w:val="annotation subject"/>
    <w:basedOn w:val="Tekstopmerking"/>
    <w:next w:val="Tekstopmerking"/>
    <w:link w:val="OnderwerpvanopmerkingChar"/>
    <w:uiPriority w:val="99"/>
    <w:semiHidden/>
    <w:unhideWhenUsed/>
    <w:rsid w:val="005243B8"/>
    <w:rPr>
      <w:b/>
      <w:bCs/>
    </w:rPr>
  </w:style>
  <w:style w:type="character" w:customStyle="1" w:styleId="OnderwerpvanopmerkingChar">
    <w:name w:val="Onderwerp van opmerking Char"/>
    <w:basedOn w:val="TekstopmerkingChar"/>
    <w:link w:val="Onderwerpvanopmerking"/>
    <w:uiPriority w:val="99"/>
    <w:semiHidden/>
    <w:rsid w:val="005243B8"/>
    <w:rPr>
      <w:b/>
      <w:bCs/>
      <w:sz w:val="20"/>
      <w:szCs w:val="20"/>
    </w:rPr>
  </w:style>
  <w:style w:type="paragraph" w:styleId="Revisie">
    <w:name w:val="Revision"/>
    <w:hidden/>
    <w:uiPriority w:val="99"/>
    <w:semiHidden/>
    <w:rsid w:val="00906665"/>
    <w:pPr>
      <w:spacing w:after="0" w:line="240" w:lineRule="auto"/>
    </w:pPr>
  </w:style>
  <w:style w:type="paragraph" w:styleId="Koptekst">
    <w:name w:val="header"/>
    <w:basedOn w:val="Standaard"/>
    <w:link w:val="KoptekstChar"/>
    <w:uiPriority w:val="99"/>
    <w:unhideWhenUsed/>
    <w:rsid w:val="00450D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0D0E"/>
  </w:style>
  <w:style w:type="paragraph" w:styleId="Voettekst">
    <w:name w:val="footer"/>
    <w:basedOn w:val="Standaard"/>
    <w:link w:val="VoettekstChar"/>
    <w:uiPriority w:val="99"/>
    <w:unhideWhenUsed/>
    <w:rsid w:val="00450D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630</ap:Words>
  <ap:Characters>3468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2025-11-07T13:28:00.0000000Z</dcterms:created>
  <dcterms:modified xsi:type="dcterms:W3CDTF">2025-11-07T13:28:00.0000000Z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2025-09-19T13:31:27Z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f5625b7c-dacb-4290-9450-bfa5faa244c4</vt:lpwstr>
  </property>
  <property fmtid="{D5CDD505-2E9C-101B-9397-08002B2CF9AE}" pid="8" name="MSIP_Label_f5339f15-c483-4670-87f9-f365ba551dce_ContentBits">
    <vt:lpwstr>0</vt:lpwstr>
  </property>
</Properties>
</file>