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2DCC" w:rsidR="00F54AFF" w:rsidP="0064352A" w:rsidRDefault="0064006A" w14:paraId="1C6A8B34" w14:textId="2A2F3964">
      <w:pPr>
        <w:pStyle w:val="Heading1"/>
        <w:numPr>
          <w:ilvl w:val="0"/>
          <w:numId w:val="0"/>
        </w:numPr>
        <w:spacing w:after="0" w:line="360" w:lineRule="auto"/>
        <w:rPr>
          <w:rFonts w:ascii="Verdana" w:hAnsi="Verdana"/>
          <w:sz w:val="18"/>
          <w:szCs w:val="18"/>
        </w:rPr>
      </w:pPr>
      <w:r>
        <w:rPr>
          <w:rFonts w:ascii="Verdana" w:hAnsi="Verdana"/>
          <w:b/>
          <w:sz w:val="18"/>
          <w:szCs w:val="18"/>
        </w:rPr>
        <w:t>F</w:t>
      </w:r>
      <w:r w:rsidRPr="0064352A" w:rsidR="00F54AFF">
        <w:rPr>
          <w:rFonts w:ascii="Verdana" w:hAnsi="Verdana"/>
          <w:b/>
          <w:sz w:val="18"/>
          <w:szCs w:val="18"/>
        </w:rPr>
        <w:t>iche</w:t>
      </w:r>
      <w:r>
        <w:rPr>
          <w:rFonts w:ascii="Verdana" w:hAnsi="Verdana"/>
          <w:b/>
          <w:sz w:val="18"/>
          <w:szCs w:val="18"/>
        </w:rPr>
        <w:t xml:space="preserve"> </w:t>
      </w:r>
      <w:r w:rsidR="00A005D7">
        <w:rPr>
          <w:rFonts w:ascii="Verdana" w:hAnsi="Verdana"/>
          <w:b/>
          <w:sz w:val="18"/>
          <w:szCs w:val="18"/>
        </w:rPr>
        <w:t>1</w:t>
      </w:r>
      <w:r>
        <w:rPr>
          <w:rFonts w:ascii="Verdana" w:hAnsi="Verdana"/>
          <w:b/>
          <w:sz w:val="18"/>
          <w:szCs w:val="18"/>
        </w:rPr>
        <w:t xml:space="preserve">: </w:t>
      </w:r>
      <w:r w:rsidR="002C7EB2">
        <w:rPr>
          <w:rFonts w:ascii="Verdana" w:hAnsi="Verdana"/>
          <w:b/>
          <w:sz w:val="18"/>
          <w:szCs w:val="18"/>
        </w:rPr>
        <w:t>Aanbeveling o</w:t>
      </w:r>
      <w:r w:rsidR="006F3C72">
        <w:rPr>
          <w:rFonts w:ascii="Verdana" w:hAnsi="Verdana"/>
          <w:b/>
          <w:sz w:val="18"/>
          <w:szCs w:val="18"/>
        </w:rPr>
        <w:t>ver het faciliteren van beleggingsrekeningen</w:t>
      </w:r>
    </w:p>
    <w:p w:rsidRPr="0064352A" w:rsidR="00F54AFF" w:rsidP="0064352A" w:rsidRDefault="00F54AFF" w14:paraId="3E6B150B" w14:textId="77777777">
      <w:pPr>
        <w:spacing w:line="360" w:lineRule="auto"/>
        <w:rPr>
          <w:rFonts w:ascii="Verdana" w:hAnsi="Verdana"/>
          <w:b/>
          <w:sz w:val="18"/>
          <w:szCs w:val="18"/>
          <w:u w:val="single"/>
        </w:rPr>
      </w:pPr>
    </w:p>
    <w:p w:rsidR="000D01B7" w:rsidP="000D01B7" w:rsidRDefault="00F54AFF" w14:paraId="2D1327F4" w14:textId="77777777">
      <w:pPr>
        <w:numPr>
          <w:ilvl w:val="0"/>
          <w:numId w:val="15"/>
        </w:numPr>
        <w:spacing w:line="360" w:lineRule="auto"/>
        <w:rPr>
          <w:rFonts w:ascii="Verdana" w:hAnsi="Verdana"/>
          <w:b/>
          <w:sz w:val="18"/>
          <w:szCs w:val="18"/>
        </w:rPr>
      </w:pPr>
      <w:r w:rsidRPr="0064352A">
        <w:rPr>
          <w:rFonts w:ascii="Verdana" w:hAnsi="Verdana"/>
          <w:b/>
          <w:sz w:val="18"/>
          <w:szCs w:val="18"/>
        </w:rPr>
        <w:t>Algemene gegevens</w:t>
      </w:r>
    </w:p>
    <w:p w:rsidRPr="000D01B7" w:rsidR="005D06E5" w:rsidP="005D06E5" w:rsidRDefault="005D06E5" w14:paraId="1E575609" w14:textId="77777777">
      <w:pPr>
        <w:spacing w:line="360" w:lineRule="auto"/>
        <w:ind w:left="360"/>
        <w:rPr>
          <w:rFonts w:ascii="Verdana" w:hAnsi="Verdana"/>
          <w:b/>
          <w:sz w:val="18"/>
          <w:szCs w:val="18"/>
        </w:rPr>
      </w:pPr>
    </w:p>
    <w:p w:rsidR="00F54AFF" w:rsidP="00EF5C95" w:rsidRDefault="00F54AFF" w14:paraId="52F09721" w14:textId="77777777">
      <w:pPr>
        <w:numPr>
          <w:ilvl w:val="0"/>
          <w:numId w:val="19"/>
        </w:numPr>
        <w:spacing w:line="360" w:lineRule="auto"/>
        <w:rPr>
          <w:rFonts w:ascii="Verdana" w:hAnsi="Verdana"/>
          <w:i/>
          <w:iCs/>
          <w:sz w:val="18"/>
          <w:szCs w:val="18"/>
        </w:rPr>
      </w:pPr>
      <w:r w:rsidRPr="00EF5C95">
        <w:rPr>
          <w:rFonts w:ascii="Verdana" w:hAnsi="Verdana"/>
          <w:i/>
          <w:iCs/>
          <w:sz w:val="18"/>
          <w:szCs w:val="18"/>
        </w:rPr>
        <w:t>Titel voorstel</w:t>
      </w:r>
    </w:p>
    <w:p w:rsidRPr="009E278C" w:rsidR="009E278C" w:rsidP="009E278C" w:rsidRDefault="009E278C" w14:paraId="3AE854E9" w14:textId="7B2ECB43">
      <w:pPr>
        <w:spacing w:line="360" w:lineRule="auto"/>
        <w:rPr>
          <w:rFonts w:ascii="Verdana" w:hAnsi="Verdana"/>
          <w:sz w:val="18"/>
          <w:szCs w:val="18"/>
        </w:rPr>
      </w:pPr>
      <w:r w:rsidRPr="009E278C">
        <w:rPr>
          <w:rFonts w:ascii="Verdana" w:hAnsi="Verdana"/>
          <w:sz w:val="18"/>
          <w:szCs w:val="18"/>
        </w:rPr>
        <w:t>Aanbeveling van de Commissie va</w:t>
      </w:r>
      <w:r>
        <w:rPr>
          <w:rFonts w:ascii="Verdana" w:hAnsi="Verdana"/>
          <w:sz w:val="18"/>
          <w:szCs w:val="18"/>
        </w:rPr>
        <w:t>n</w:t>
      </w:r>
      <w:r w:rsidRPr="009E278C" w:rsidR="006768D9">
        <w:rPr>
          <w:rFonts w:ascii="Verdana" w:hAnsi="Verdana"/>
          <w:sz w:val="18"/>
          <w:szCs w:val="18"/>
        </w:rPr>
        <w:t xml:space="preserve"> 30.9.2025</w:t>
      </w:r>
      <w:r w:rsidRPr="009E278C" w:rsidR="002C7EB2">
        <w:rPr>
          <w:rFonts w:ascii="Verdana" w:hAnsi="Verdana"/>
          <w:sz w:val="18"/>
          <w:szCs w:val="18"/>
        </w:rPr>
        <w:t xml:space="preserve"> </w:t>
      </w:r>
      <w:r w:rsidRPr="009E278C">
        <w:rPr>
          <w:rFonts w:ascii="Verdana" w:hAnsi="Verdana"/>
          <w:sz w:val="18"/>
          <w:szCs w:val="18"/>
        </w:rPr>
        <w:t>betreffende het verruimen van de beschikbaarheid van spaar- en beleggingsrekeningen met een vereenvoudigde en gunstige fiscale behandeling</w:t>
      </w:r>
    </w:p>
    <w:p w:rsidRPr="009E278C" w:rsidR="002C7EB2" w:rsidP="002C7EB2" w:rsidRDefault="002C7EB2" w14:paraId="36E6DAB2" w14:textId="77777777">
      <w:pPr>
        <w:spacing w:line="360" w:lineRule="auto"/>
        <w:rPr>
          <w:rFonts w:ascii="Verdana" w:hAnsi="Verdana"/>
          <w:i/>
          <w:iCs/>
          <w:sz w:val="18"/>
          <w:szCs w:val="18"/>
        </w:rPr>
      </w:pPr>
    </w:p>
    <w:p w:rsidR="00F54AFF" w:rsidP="00EF5C95" w:rsidRDefault="00F54AFF" w14:paraId="72E29E82" w14:textId="77777777">
      <w:pPr>
        <w:numPr>
          <w:ilvl w:val="0"/>
          <w:numId w:val="19"/>
        </w:numPr>
        <w:spacing w:line="360" w:lineRule="auto"/>
        <w:rPr>
          <w:rFonts w:ascii="Verdana" w:hAnsi="Verdana"/>
          <w:i/>
          <w:iCs/>
          <w:sz w:val="18"/>
          <w:szCs w:val="18"/>
        </w:rPr>
      </w:pPr>
      <w:r w:rsidRPr="00EF5C95">
        <w:rPr>
          <w:rFonts w:ascii="Verdana" w:hAnsi="Verdana"/>
          <w:i/>
          <w:iCs/>
          <w:sz w:val="18"/>
          <w:szCs w:val="18"/>
        </w:rPr>
        <w:t xml:space="preserve">Datum </w:t>
      </w:r>
      <w:r w:rsidRPr="00EF5C95" w:rsidR="00513C1E">
        <w:rPr>
          <w:rFonts w:ascii="Verdana" w:hAnsi="Verdana"/>
          <w:i/>
          <w:iCs/>
          <w:sz w:val="18"/>
          <w:szCs w:val="18"/>
        </w:rPr>
        <w:t xml:space="preserve">ontvangst </w:t>
      </w:r>
      <w:r w:rsidRPr="00EF5C95">
        <w:rPr>
          <w:rFonts w:ascii="Verdana" w:hAnsi="Verdana"/>
          <w:i/>
          <w:iCs/>
          <w:sz w:val="18"/>
          <w:szCs w:val="18"/>
        </w:rPr>
        <w:t>Commissiedocument</w:t>
      </w:r>
    </w:p>
    <w:p w:rsidRPr="002C7EB2" w:rsidR="002C7EB2" w:rsidP="002C7EB2" w:rsidRDefault="006768D9" w14:paraId="399483E1" w14:textId="0798FCA3">
      <w:pPr>
        <w:spacing w:line="360" w:lineRule="auto"/>
        <w:rPr>
          <w:rFonts w:ascii="Verdana" w:hAnsi="Verdana"/>
          <w:sz w:val="18"/>
          <w:szCs w:val="18"/>
        </w:rPr>
      </w:pPr>
      <w:r>
        <w:rPr>
          <w:rFonts w:ascii="Verdana" w:hAnsi="Verdana"/>
          <w:sz w:val="18"/>
          <w:szCs w:val="18"/>
        </w:rPr>
        <w:t>30 september 2025</w:t>
      </w:r>
    </w:p>
    <w:p w:rsidRPr="002C7EB2" w:rsidR="002C7EB2" w:rsidP="002C7EB2" w:rsidRDefault="002C7EB2" w14:paraId="78C38B84" w14:textId="77777777">
      <w:pPr>
        <w:spacing w:line="360" w:lineRule="auto"/>
        <w:rPr>
          <w:rFonts w:ascii="Verdana" w:hAnsi="Verdana"/>
          <w:sz w:val="18"/>
          <w:szCs w:val="18"/>
        </w:rPr>
      </w:pPr>
    </w:p>
    <w:p w:rsidR="00F54AFF" w:rsidP="00EF5C95" w:rsidRDefault="00F54AFF" w14:paraId="7AE7D30A" w14:textId="77777777">
      <w:pPr>
        <w:numPr>
          <w:ilvl w:val="0"/>
          <w:numId w:val="19"/>
        </w:numPr>
        <w:spacing w:line="360" w:lineRule="auto"/>
        <w:rPr>
          <w:rFonts w:ascii="Verdana" w:hAnsi="Verdana"/>
          <w:i/>
          <w:iCs/>
          <w:sz w:val="18"/>
          <w:szCs w:val="18"/>
        </w:rPr>
      </w:pPr>
      <w:r w:rsidRPr="00EF5C95">
        <w:rPr>
          <w:rFonts w:ascii="Verdana" w:hAnsi="Verdana"/>
          <w:i/>
          <w:iCs/>
          <w:sz w:val="18"/>
          <w:szCs w:val="18"/>
        </w:rPr>
        <w:t>Nr. Commissiedocument</w:t>
      </w:r>
    </w:p>
    <w:p w:rsidRPr="006768D9" w:rsidR="006768D9" w:rsidP="006768D9" w:rsidRDefault="006768D9" w14:paraId="3E8687AA" w14:textId="43E9C258">
      <w:pPr>
        <w:spacing w:line="360" w:lineRule="auto"/>
        <w:rPr>
          <w:rFonts w:ascii="Verdana" w:hAnsi="Verdana"/>
          <w:sz w:val="18"/>
          <w:szCs w:val="18"/>
        </w:rPr>
      </w:pPr>
      <w:r>
        <w:rPr>
          <w:rFonts w:ascii="Verdana" w:hAnsi="Verdana"/>
          <w:sz w:val="18"/>
          <w:szCs w:val="18"/>
        </w:rPr>
        <w:t>C</w:t>
      </w:r>
      <w:r w:rsidR="004E293B">
        <w:rPr>
          <w:rFonts w:ascii="Verdana" w:hAnsi="Verdana"/>
          <w:sz w:val="18"/>
          <w:szCs w:val="18"/>
        </w:rPr>
        <w:t>OM</w:t>
      </w:r>
      <w:r>
        <w:rPr>
          <w:rFonts w:ascii="Verdana" w:hAnsi="Verdana"/>
          <w:sz w:val="18"/>
          <w:szCs w:val="18"/>
        </w:rPr>
        <w:t xml:space="preserve">(2025) 6800 </w:t>
      </w:r>
    </w:p>
    <w:p w:rsidRPr="00EF5C95" w:rsidR="006768D9" w:rsidP="006768D9" w:rsidRDefault="006768D9" w14:paraId="706C52E0" w14:textId="77777777">
      <w:pPr>
        <w:spacing w:line="360" w:lineRule="auto"/>
        <w:rPr>
          <w:rFonts w:ascii="Verdana" w:hAnsi="Verdana"/>
          <w:i/>
          <w:iCs/>
          <w:sz w:val="18"/>
          <w:szCs w:val="18"/>
        </w:rPr>
      </w:pPr>
    </w:p>
    <w:p w:rsidR="00F54AFF" w:rsidP="00EF5C95" w:rsidRDefault="001D558D" w14:paraId="2A98238A" w14:textId="77777777">
      <w:pPr>
        <w:numPr>
          <w:ilvl w:val="0"/>
          <w:numId w:val="19"/>
        </w:numPr>
        <w:spacing w:line="360" w:lineRule="auto"/>
        <w:rPr>
          <w:rFonts w:ascii="Verdana" w:hAnsi="Verdana"/>
          <w:i/>
          <w:iCs/>
          <w:sz w:val="18"/>
          <w:szCs w:val="18"/>
        </w:rPr>
      </w:pPr>
      <w:r>
        <w:rPr>
          <w:rFonts w:ascii="Verdana" w:hAnsi="Verdana"/>
          <w:i/>
          <w:iCs/>
          <w:sz w:val="18"/>
          <w:szCs w:val="18"/>
        </w:rPr>
        <w:t>EUR</w:t>
      </w:r>
      <w:r w:rsidRPr="00EF5C95" w:rsidR="00F54AFF">
        <w:rPr>
          <w:rFonts w:ascii="Verdana" w:hAnsi="Verdana"/>
          <w:i/>
          <w:iCs/>
          <w:sz w:val="18"/>
          <w:szCs w:val="18"/>
        </w:rPr>
        <w:t>-</w:t>
      </w:r>
      <w:r>
        <w:rPr>
          <w:rFonts w:ascii="Verdana" w:hAnsi="Verdana"/>
          <w:i/>
          <w:iCs/>
          <w:sz w:val="18"/>
          <w:szCs w:val="18"/>
        </w:rPr>
        <w:t>L</w:t>
      </w:r>
      <w:r w:rsidRPr="00EF5C95" w:rsidR="00F54AFF">
        <w:rPr>
          <w:rFonts w:ascii="Verdana" w:hAnsi="Verdana"/>
          <w:i/>
          <w:iCs/>
          <w:sz w:val="18"/>
          <w:szCs w:val="18"/>
        </w:rPr>
        <w:t>ex</w:t>
      </w:r>
    </w:p>
    <w:p w:rsidR="006768D9" w:rsidP="006768D9" w:rsidRDefault="001A61BD" w14:paraId="2654735E" w14:textId="0D3CB427">
      <w:pPr>
        <w:spacing w:line="360" w:lineRule="auto"/>
        <w:rPr>
          <w:rFonts w:ascii="Verdana" w:hAnsi="Verdana"/>
          <w:sz w:val="18"/>
          <w:szCs w:val="18"/>
        </w:rPr>
      </w:pPr>
      <w:hyperlink w:history="1" r:id="rId13">
        <w:r w:rsidRPr="001A61BD">
          <w:rPr>
            <w:rStyle w:val="Hyperlink"/>
            <w:rFonts w:ascii="Verdana" w:hAnsi="Verdana"/>
            <w:sz w:val="18"/>
            <w:szCs w:val="18"/>
          </w:rPr>
          <w:t>https://eur-lex.europa.eu/legal-content/NL/TXT/</w:t>
        </w:r>
        <w:r w:rsidRPr="00DD54FE" w:rsidDel="001A61BD">
          <w:rPr>
            <w:rStyle w:val="Hyperlink"/>
            <w:rFonts w:ascii="Verdana" w:hAnsi="Verdana"/>
            <w:sz w:val="18"/>
            <w:szCs w:val="18"/>
          </w:rPr>
          <w:t>H</w:t>
        </w:r>
        <w:r w:rsidRPr="001A61BD" w:rsidDel="001A61BD">
          <w:rPr>
            <w:rStyle w:val="Hyperlink"/>
            <w:rFonts w:ascii="Verdana" w:hAnsi="Verdana"/>
            <w:sz w:val="18"/>
            <w:szCs w:val="18"/>
          </w:rPr>
          <w:t>TML/</w:t>
        </w:r>
        <w:r w:rsidRPr="001A61BD">
          <w:rPr>
            <w:rStyle w:val="Hyperlink"/>
            <w:rFonts w:ascii="Verdana" w:hAnsi="Verdana"/>
            <w:sz w:val="18"/>
            <w:szCs w:val="18"/>
          </w:rPr>
          <w:t>?uri=PI_COM:C(2025)6800</w:t>
        </w:r>
      </w:hyperlink>
      <w:r w:rsidR="005E0A6D">
        <w:rPr>
          <w:rFonts w:ascii="Verdana" w:hAnsi="Verdana"/>
          <w:sz w:val="18"/>
          <w:szCs w:val="18"/>
        </w:rPr>
        <w:t xml:space="preserve"> </w:t>
      </w:r>
    </w:p>
    <w:p w:rsidRPr="006768D9" w:rsidR="00E86FA2" w:rsidP="006768D9" w:rsidRDefault="00E86FA2" w14:paraId="68BD02D1" w14:textId="77777777">
      <w:pPr>
        <w:spacing w:line="360" w:lineRule="auto"/>
        <w:rPr>
          <w:rFonts w:ascii="Verdana" w:hAnsi="Verdana"/>
          <w:sz w:val="18"/>
          <w:szCs w:val="18"/>
        </w:rPr>
      </w:pPr>
    </w:p>
    <w:p w:rsidR="00EA4C91" w:rsidP="00EA4C91" w:rsidRDefault="00F54AFF" w14:paraId="2998372E" w14:textId="77777777">
      <w:pPr>
        <w:numPr>
          <w:ilvl w:val="0"/>
          <w:numId w:val="19"/>
        </w:numPr>
        <w:spacing w:line="360" w:lineRule="auto"/>
        <w:rPr>
          <w:rFonts w:ascii="Verdana" w:hAnsi="Verdana"/>
          <w:i/>
          <w:iCs/>
          <w:sz w:val="18"/>
          <w:szCs w:val="18"/>
          <w:lang w:val="fr-FR"/>
        </w:rPr>
      </w:pPr>
      <w:r w:rsidRPr="00EA4C91">
        <w:rPr>
          <w:rFonts w:ascii="Verdana" w:hAnsi="Verdana"/>
          <w:i/>
          <w:iCs/>
          <w:sz w:val="18"/>
          <w:szCs w:val="18"/>
          <w:lang w:val="fr-FR"/>
        </w:rPr>
        <w:t>Nr. impact assessment Commissie en Opinie</w:t>
      </w:r>
      <w:r w:rsidRPr="00EA4C91" w:rsidR="00FE7565">
        <w:rPr>
          <w:rFonts w:ascii="Verdana" w:hAnsi="Verdana"/>
          <w:i/>
          <w:iCs/>
          <w:sz w:val="18"/>
          <w:szCs w:val="18"/>
          <w:lang w:val="fr-FR"/>
        </w:rPr>
        <w:t xml:space="preserve"> </w:t>
      </w:r>
    </w:p>
    <w:p w:rsidRPr="006768D9" w:rsidR="006768D9" w:rsidP="006768D9" w:rsidRDefault="006768D9" w14:paraId="1B92E422" w14:textId="64EB226B">
      <w:pPr>
        <w:spacing w:line="360" w:lineRule="auto"/>
        <w:rPr>
          <w:rFonts w:ascii="Verdana" w:hAnsi="Verdana"/>
          <w:sz w:val="18"/>
          <w:szCs w:val="18"/>
          <w:lang w:val="fr-FR"/>
        </w:rPr>
      </w:pPr>
      <w:r>
        <w:rPr>
          <w:rFonts w:ascii="Verdana" w:hAnsi="Verdana"/>
          <w:sz w:val="18"/>
          <w:szCs w:val="18"/>
          <w:lang w:val="fr-FR"/>
        </w:rPr>
        <w:t>SWD(2025) 6800 final</w:t>
      </w:r>
    </w:p>
    <w:p w:rsidRPr="006768D9" w:rsidR="006768D9" w:rsidP="006768D9" w:rsidRDefault="006768D9" w14:paraId="71B281F6" w14:textId="77777777">
      <w:pPr>
        <w:spacing w:line="360" w:lineRule="auto"/>
        <w:rPr>
          <w:rFonts w:ascii="Verdana" w:hAnsi="Verdana"/>
          <w:sz w:val="18"/>
          <w:szCs w:val="18"/>
          <w:lang w:val="fr-FR"/>
        </w:rPr>
      </w:pPr>
    </w:p>
    <w:p w:rsidR="00F54AFF" w:rsidP="00EA4C91" w:rsidRDefault="00F54AFF" w14:paraId="4F89B594" w14:textId="77777777">
      <w:pPr>
        <w:numPr>
          <w:ilvl w:val="0"/>
          <w:numId w:val="19"/>
        </w:numPr>
        <w:spacing w:line="360" w:lineRule="auto"/>
        <w:rPr>
          <w:rFonts w:ascii="Verdana" w:hAnsi="Verdana"/>
          <w:i/>
          <w:iCs/>
          <w:sz w:val="18"/>
          <w:szCs w:val="18"/>
        </w:rPr>
      </w:pPr>
      <w:r w:rsidRPr="00EA4C91">
        <w:rPr>
          <w:rFonts w:ascii="Verdana" w:hAnsi="Verdana"/>
          <w:i/>
          <w:iCs/>
          <w:sz w:val="18"/>
          <w:szCs w:val="18"/>
        </w:rPr>
        <w:t>Behandelingstraject Raad</w:t>
      </w:r>
    </w:p>
    <w:p w:rsidR="002C7EB2" w:rsidP="002C7EB2" w:rsidRDefault="001C14EC" w14:paraId="4357481A" w14:textId="178C650C">
      <w:pPr>
        <w:spacing w:line="360" w:lineRule="auto"/>
        <w:rPr>
          <w:rFonts w:ascii="Verdana" w:hAnsi="Verdana"/>
          <w:sz w:val="18"/>
          <w:szCs w:val="18"/>
        </w:rPr>
      </w:pPr>
      <w:r>
        <w:rPr>
          <w:rFonts w:ascii="Verdana" w:hAnsi="Verdana"/>
          <w:sz w:val="18"/>
          <w:szCs w:val="18"/>
        </w:rPr>
        <w:t xml:space="preserve">N.v.t. door het karakter van de aanbeveling. Meest relevant in deze context is de Raad </w:t>
      </w:r>
      <w:r w:rsidR="00961C17">
        <w:rPr>
          <w:rFonts w:ascii="Verdana" w:hAnsi="Verdana"/>
          <w:sz w:val="18"/>
          <w:szCs w:val="18"/>
        </w:rPr>
        <w:t>Economische en Financiële zaken (Ecofin)</w:t>
      </w:r>
      <w:r w:rsidR="005D06E5">
        <w:rPr>
          <w:rFonts w:ascii="Verdana" w:hAnsi="Verdana"/>
          <w:sz w:val="18"/>
          <w:szCs w:val="18"/>
        </w:rPr>
        <w:t>.</w:t>
      </w:r>
    </w:p>
    <w:p w:rsidRPr="002C7EB2" w:rsidR="002C7EB2" w:rsidP="002C7EB2" w:rsidRDefault="002C7EB2" w14:paraId="7253C2EA" w14:textId="77777777">
      <w:pPr>
        <w:spacing w:line="360" w:lineRule="auto"/>
        <w:rPr>
          <w:rFonts w:ascii="Verdana" w:hAnsi="Verdana"/>
          <w:sz w:val="18"/>
          <w:szCs w:val="18"/>
        </w:rPr>
      </w:pPr>
    </w:p>
    <w:p w:rsidRPr="00EF5C95" w:rsidR="000D01B7" w:rsidP="00EF5C95" w:rsidRDefault="000D01B7" w14:paraId="7107CEBF" w14:textId="77777777">
      <w:pPr>
        <w:numPr>
          <w:ilvl w:val="0"/>
          <w:numId w:val="19"/>
        </w:numPr>
        <w:spacing w:line="360" w:lineRule="auto"/>
        <w:rPr>
          <w:rFonts w:ascii="Verdana" w:hAnsi="Verdana"/>
          <w:i/>
          <w:sz w:val="18"/>
          <w:szCs w:val="18"/>
        </w:rPr>
      </w:pPr>
      <w:r w:rsidRPr="00EF5C95">
        <w:rPr>
          <w:rFonts w:ascii="Verdana" w:hAnsi="Verdana"/>
          <w:i/>
          <w:sz w:val="18"/>
          <w:szCs w:val="18"/>
        </w:rPr>
        <w:t>Eerstverantwoordelijk ministerie</w:t>
      </w:r>
    </w:p>
    <w:p w:rsidR="00066C36" w:rsidP="00071F9B" w:rsidRDefault="002C7EB2" w14:paraId="53936960" w14:textId="121A9275">
      <w:pPr>
        <w:spacing w:line="360" w:lineRule="auto"/>
        <w:rPr>
          <w:rFonts w:ascii="Verdana" w:hAnsi="Verdana"/>
          <w:sz w:val="18"/>
          <w:szCs w:val="18"/>
        </w:rPr>
      </w:pPr>
      <w:r>
        <w:rPr>
          <w:rFonts w:ascii="Verdana" w:hAnsi="Verdana"/>
          <w:sz w:val="18"/>
          <w:szCs w:val="18"/>
        </w:rPr>
        <w:t>Ministerie van Financiën</w:t>
      </w:r>
    </w:p>
    <w:p w:rsidRPr="00066C36" w:rsidR="002C7EB2" w:rsidP="00071F9B" w:rsidRDefault="002C7EB2" w14:paraId="76422608" w14:textId="77777777">
      <w:pPr>
        <w:spacing w:line="360" w:lineRule="auto"/>
        <w:rPr>
          <w:rFonts w:ascii="Verdana" w:hAnsi="Verdana"/>
          <w:sz w:val="18"/>
          <w:szCs w:val="18"/>
        </w:rPr>
      </w:pPr>
    </w:p>
    <w:p w:rsidRPr="000D01B7" w:rsidR="00F54AFF" w:rsidP="000D01B7" w:rsidRDefault="008528D9" w14:paraId="593E689B" w14:textId="77777777">
      <w:pPr>
        <w:numPr>
          <w:ilvl w:val="0"/>
          <w:numId w:val="15"/>
        </w:numPr>
        <w:spacing w:line="360" w:lineRule="auto"/>
        <w:rPr>
          <w:rFonts w:ascii="Verdana" w:hAnsi="Verdana"/>
          <w:b/>
          <w:sz w:val="18"/>
          <w:szCs w:val="18"/>
        </w:rPr>
      </w:pPr>
      <w:r>
        <w:rPr>
          <w:rFonts w:ascii="Verdana" w:hAnsi="Verdana"/>
          <w:b/>
          <w:sz w:val="18"/>
          <w:szCs w:val="18"/>
        </w:rPr>
        <w:t>Essentie</w:t>
      </w:r>
      <w:r w:rsidR="000D01B7">
        <w:rPr>
          <w:rFonts w:ascii="Verdana" w:hAnsi="Verdana"/>
          <w:b/>
          <w:sz w:val="18"/>
          <w:szCs w:val="18"/>
        </w:rPr>
        <w:t xml:space="preserve"> voorstel</w:t>
      </w:r>
    </w:p>
    <w:p w:rsidR="009B637F" w:rsidP="00A71AB1" w:rsidRDefault="006F3C72" w14:paraId="53439D36" w14:textId="55E1B5F1">
      <w:pPr>
        <w:tabs>
          <w:tab w:val="left" w:pos="360"/>
          <w:tab w:val="left" w:pos="4500"/>
          <w:tab w:val="left" w:pos="5580"/>
        </w:tabs>
        <w:spacing w:line="360" w:lineRule="auto"/>
        <w:rPr>
          <w:rFonts w:ascii="Verdana" w:hAnsi="Verdana"/>
          <w:sz w:val="18"/>
          <w:szCs w:val="18"/>
        </w:rPr>
      </w:pPr>
      <w:r>
        <w:rPr>
          <w:rFonts w:ascii="Verdana" w:hAnsi="Verdana"/>
          <w:sz w:val="18"/>
          <w:szCs w:val="18"/>
        </w:rPr>
        <w:t>In dit voorstel doet de Europese Commissie (hierna: de Commissie) een aanbeveling</w:t>
      </w:r>
      <w:r w:rsidR="00317B28">
        <w:rPr>
          <w:rFonts w:ascii="Verdana" w:hAnsi="Verdana"/>
          <w:sz w:val="18"/>
          <w:szCs w:val="18"/>
        </w:rPr>
        <w:t xml:space="preserve"> (hierna: de aanbeveling)</w:t>
      </w:r>
      <w:r>
        <w:rPr>
          <w:rFonts w:ascii="Verdana" w:hAnsi="Verdana"/>
          <w:sz w:val="18"/>
          <w:szCs w:val="18"/>
        </w:rPr>
        <w:t xml:space="preserve"> aan de lidstaten van de Europese Unie (EU) om</w:t>
      </w:r>
      <w:r w:rsidR="00317B28">
        <w:rPr>
          <w:rFonts w:ascii="Verdana" w:hAnsi="Verdana"/>
          <w:sz w:val="18"/>
          <w:szCs w:val="18"/>
        </w:rPr>
        <w:t xml:space="preserve"> op nationaal niveau</w:t>
      </w:r>
      <w:r>
        <w:rPr>
          <w:rFonts w:ascii="Verdana" w:hAnsi="Verdana"/>
          <w:sz w:val="18"/>
          <w:szCs w:val="18"/>
        </w:rPr>
        <w:t xml:space="preserve"> kaders te creëren voor beleggingsrekeningen (</w:t>
      </w:r>
      <w:r>
        <w:rPr>
          <w:rFonts w:ascii="Verdana" w:hAnsi="Verdana"/>
          <w:i/>
          <w:iCs/>
          <w:sz w:val="18"/>
          <w:szCs w:val="18"/>
        </w:rPr>
        <w:t>savings and investment accounts</w:t>
      </w:r>
      <w:r>
        <w:rPr>
          <w:rFonts w:ascii="Verdana" w:hAnsi="Verdana"/>
          <w:sz w:val="18"/>
          <w:szCs w:val="18"/>
        </w:rPr>
        <w:t>).</w:t>
      </w:r>
      <w:r w:rsidR="003C541D">
        <w:rPr>
          <w:rStyle w:val="FootnoteReference"/>
          <w:rFonts w:ascii="Verdana" w:hAnsi="Verdana"/>
          <w:sz w:val="18"/>
          <w:szCs w:val="18"/>
        </w:rPr>
        <w:footnoteReference w:id="2"/>
      </w:r>
      <w:r w:rsidR="00A71AB1">
        <w:rPr>
          <w:rFonts w:ascii="Verdana" w:hAnsi="Verdana"/>
          <w:sz w:val="18"/>
          <w:szCs w:val="18"/>
        </w:rPr>
        <w:t xml:space="preserve"> Volgens de Commissie sparen </w:t>
      </w:r>
      <w:r w:rsidR="009B637F">
        <w:rPr>
          <w:rFonts w:ascii="Verdana" w:hAnsi="Verdana"/>
          <w:sz w:val="18"/>
          <w:szCs w:val="18"/>
        </w:rPr>
        <w:t xml:space="preserve">Europese huishoudens veel, maar </w:t>
      </w:r>
      <w:r w:rsidR="00A71AB1">
        <w:rPr>
          <w:rFonts w:ascii="Verdana" w:hAnsi="Verdana"/>
          <w:sz w:val="18"/>
          <w:szCs w:val="18"/>
        </w:rPr>
        <w:t xml:space="preserve">rendeert </w:t>
      </w:r>
      <w:r w:rsidR="009B637F">
        <w:rPr>
          <w:rFonts w:ascii="Verdana" w:hAnsi="Verdana"/>
          <w:sz w:val="18"/>
          <w:szCs w:val="18"/>
        </w:rPr>
        <w:t>hun spaargeld vaak niet optimaal</w:t>
      </w:r>
      <w:r w:rsidR="0032766B">
        <w:rPr>
          <w:rFonts w:ascii="Verdana" w:hAnsi="Verdana"/>
          <w:sz w:val="18"/>
          <w:szCs w:val="18"/>
        </w:rPr>
        <w:t>. Als zij verantwoord meer zouden beleggen, kan dit op lange termijn bijdragen aan betere vermogensopbouw.</w:t>
      </w:r>
      <w:r w:rsidR="009B637F">
        <w:rPr>
          <w:rFonts w:ascii="Verdana" w:hAnsi="Verdana"/>
          <w:sz w:val="18"/>
          <w:szCs w:val="18"/>
        </w:rPr>
        <w:t xml:space="preserve"> Daarnaast kan </w:t>
      </w:r>
      <w:r w:rsidR="001F7029">
        <w:rPr>
          <w:rFonts w:ascii="Verdana" w:hAnsi="Verdana"/>
          <w:sz w:val="18"/>
          <w:szCs w:val="18"/>
        </w:rPr>
        <w:t xml:space="preserve">het goed zijn voor de Europese economie als consumenten meer van hun spaargeld zouden beleggen. Dat komt </w:t>
      </w:r>
      <w:r w:rsidR="00E86FA2">
        <w:rPr>
          <w:rFonts w:ascii="Verdana" w:hAnsi="Verdana"/>
          <w:sz w:val="18"/>
          <w:szCs w:val="18"/>
        </w:rPr>
        <w:t>doordat</w:t>
      </w:r>
      <w:r w:rsidR="001F7029">
        <w:rPr>
          <w:rFonts w:ascii="Verdana" w:hAnsi="Verdana"/>
          <w:sz w:val="18"/>
          <w:szCs w:val="18"/>
        </w:rPr>
        <w:t xml:space="preserve"> retailbeleggers vaak de voorkeur hebben om ‘dichtbij huis’ te beleggen (een zogeheten </w:t>
      </w:r>
      <w:r w:rsidR="001F7029">
        <w:rPr>
          <w:rFonts w:ascii="Verdana" w:hAnsi="Verdana"/>
          <w:i/>
          <w:iCs/>
          <w:sz w:val="18"/>
          <w:szCs w:val="18"/>
        </w:rPr>
        <w:t>home bias</w:t>
      </w:r>
      <w:r w:rsidR="001F7029">
        <w:rPr>
          <w:rFonts w:ascii="Verdana" w:hAnsi="Verdana"/>
          <w:sz w:val="18"/>
          <w:szCs w:val="18"/>
        </w:rPr>
        <w:t>) in bedrijven die zij beter kennen</w:t>
      </w:r>
      <w:r w:rsidR="00747BD1">
        <w:rPr>
          <w:rFonts w:ascii="Verdana" w:hAnsi="Verdana"/>
          <w:sz w:val="18"/>
          <w:szCs w:val="18"/>
        </w:rPr>
        <w:t xml:space="preserve"> en kapitaalmarkten waar zij de taal en cultuur beter begrijpen. Consumenten die meer beleggen, </w:t>
      </w:r>
      <w:r w:rsidR="00747BD1">
        <w:rPr>
          <w:rFonts w:ascii="Verdana" w:hAnsi="Verdana"/>
          <w:sz w:val="18"/>
          <w:szCs w:val="18"/>
        </w:rPr>
        <w:lastRenderedPageBreak/>
        <w:t>werken zo aan eigen vermogensopbouw én dragen bij aan de financiering van Europese groei, innovatie en werkgelegenheid, aldus de Commissie.</w:t>
      </w:r>
      <w:r w:rsidR="00DC1332">
        <w:rPr>
          <w:rFonts w:ascii="Verdana" w:hAnsi="Verdana"/>
          <w:sz w:val="18"/>
          <w:szCs w:val="18"/>
        </w:rPr>
        <w:t xml:space="preserve"> </w:t>
      </w:r>
    </w:p>
    <w:p w:rsidR="00A71AB1" w:rsidP="009B637F" w:rsidRDefault="00A71AB1" w14:paraId="39ABE300" w14:textId="77777777">
      <w:pPr>
        <w:tabs>
          <w:tab w:val="left" w:pos="360"/>
          <w:tab w:val="left" w:pos="4500"/>
          <w:tab w:val="left" w:pos="5580"/>
        </w:tabs>
        <w:spacing w:line="360" w:lineRule="auto"/>
        <w:rPr>
          <w:rFonts w:ascii="Verdana" w:hAnsi="Verdana"/>
          <w:sz w:val="18"/>
          <w:szCs w:val="18"/>
        </w:rPr>
      </w:pPr>
    </w:p>
    <w:p w:rsidR="00A71AB1" w:rsidP="002F5666" w:rsidRDefault="00A71AB1" w14:paraId="2AA766ED" w14:textId="34B0191E">
      <w:pPr>
        <w:tabs>
          <w:tab w:val="left" w:pos="360"/>
          <w:tab w:val="left" w:pos="4500"/>
          <w:tab w:val="left" w:pos="5580"/>
        </w:tabs>
        <w:spacing w:line="360" w:lineRule="auto"/>
        <w:rPr>
          <w:rFonts w:ascii="Verdana" w:hAnsi="Verdana"/>
          <w:sz w:val="18"/>
          <w:szCs w:val="18"/>
        </w:rPr>
      </w:pPr>
      <w:bookmarkStart w:name="_Hlk210981570" w:id="0"/>
      <w:r>
        <w:rPr>
          <w:rFonts w:ascii="Verdana" w:hAnsi="Verdana"/>
          <w:sz w:val="18"/>
          <w:szCs w:val="18"/>
        </w:rPr>
        <w:t xml:space="preserve">Met </w:t>
      </w:r>
      <w:r w:rsidR="00C27940">
        <w:rPr>
          <w:rFonts w:ascii="Verdana" w:hAnsi="Verdana"/>
          <w:sz w:val="18"/>
          <w:szCs w:val="18"/>
        </w:rPr>
        <w:t xml:space="preserve">goed ontworpen, breed beschikbare </w:t>
      </w:r>
      <w:r>
        <w:rPr>
          <w:rFonts w:ascii="Verdana" w:hAnsi="Verdana"/>
          <w:sz w:val="18"/>
          <w:szCs w:val="18"/>
        </w:rPr>
        <w:t xml:space="preserve">beleggingsrekeningen </w:t>
      </w:r>
      <w:r w:rsidR="002C7589">
        <w:rPr>
          <w:rFonts w:ascii="Verdana" w:hAnsi="Verdana"/>
          <w:sz w:val="18"/>
          <w:szCs w:val="18"/>
        </w:rPr>
        <w:t xml:space="preserve">voor consumenten </w:t>
      </w:r>
      <w:r w:rsidR="00C27940">
        <w:rPr>
          <w:rFonts w:ascii="Verdana" w:hAnsi="Verdana"/>
          <w:sz w:val="18"/>
          <w:szCs w:val="18"/>
        </w:rPr>
        <w:t>kan de toegang tot kapitaalmarkten worden vergemakkelijkt en vermogensopbouw worden gestimuleerd</w:t>
      </w:r>
      <w:r w:rsidR="002F5666">
        <w:rPr>
          <w:rFonts w:ascii="Verdana" w:hAnsi="Verdana"/>
          <w:sz w:val="18"/>
          <w:szCs w:val="18"/>
        </w:rPr>
        <w:t xml:space="preserve">. </w:t>
      </w:r>
      <w:r w:rsidR="00C27940">
        <w:rPr>
          <w:rFonts w:ascii="Verdana" w:hAnsi="Verdana"/>
          <w:sz w:val="18"/>
          <w:szCs w:val="18"/>
        </w:rPr>
        <w:t xml:space="preserve">Dat is de conclusie van de Commissie op basis van onderzoek </w:t>
      </w:r>
      <w:r w:rsidR="002F5666">
        <w:rPr>
          <w:rFonts w:ascii="Verdana" w:hAnsi="Verdana"/>
          <w:sz w:val="18"/>
          <w:szCs w:val="18"/>
        </w:rPr>
        <w:t xml:space="preserve">naar </w:t>
      </w:r>
      <w:r w:rsidR="002F5666">
        <w:rPr>
          <w:rFonts w:ascii="Verdana" w:hAnsi="Verdana"/>
          <w:i/>
          <w:iCs/>
          <w:sz w:val="18"/>
          <w:szCs w:val="18"/>
        </w:rPr>
        <w:t>best practices</w:t>
      </w:r>
      <w:r w:rsidR="002F5666">
        <w:rPr>
          <w:rFonts w:ascii="Verdana" w:hAnsi="Verdana"/>
          <w:sz w:val="18"/>
          <w:szCs w:val="18"/>
        </w:rPr>
        <w:t xml:space="preserve"> </w:t>
      </w:r>
      <w:r w:rsidR="00B2616A">
        <w:rPr>
          <w:rFonts w:ascii="Verdana" w:hAnsi="Verdana"/>
          <w:sz w:val="18"/>
          <w:szCs w:val="18"/>
        </w:rPr>
        <w:t>van</w:t>
      </w:r>
      <w:r w:rsidR="002F5666">
        <w:rPr>
          <w:rFonts w:ascii="Verdana" w:hAnsi="Verdana"/>
          <w:sz w:val="18"/>
          <w:szCs w:val="18"/>
        </w:rPr>
        <w:t xml:space="preserve"> landen binnen en buiten de EU waar al dergelijke beleggingsrekeningen worden aangeboden.</w:t>
      </w:r>
      <w:r>
        <w:rPr>
          <w:rFonts w:ascii="Verdana" w:hAnsi="Verdana"/>
          <w:sz w:val="18"/>
          <w:szCs w:val="18"/>
        </w:rPr>
        <w:t xml:space="preserve"> De kern van de aanbeveling is dan ook dat lidstaten ‘kaders voor beleggingsrekeningen’ opzetten</w:t>
      </w:r>
      <w:r w:rsidR="00FD7C3A">
        <w:rPr>
          <w:rFonts w:ascii="Verdana" w:hAnsi="Verdana"/>
          <w:sz w:val="18"/>
          <w:szCs w:val="18"/>
        </w:rPr>
        <w:t xml:space="preserve"> die </w:t>
      </w:r>
      <w:r>
        <w:rPr>
          <w:rFonts w:ascii="Verdana" w:hAnsi="Verdana"/>
          <w:sz w:val="18"/>
          <w:szCs w:val="18"/>
        </w:rPr>
        <w:t xml:space="preserve">voldoen aan </w:t>
      </w:r>
      <w:r w:rsidR="00742629">
        <w:rPr>
          <w:rFonts w:ascii="Verdana" w:hAnsi="Verdana"/>
          <w:sz w:val="18"/>
          <w:szCs w:val="18"/>
        </w:rPr>
        <w:t xml:space="preserve">een zestal </w:t>
      </w:r>
      <w:r w:rsidR="00BB63F0">
        <w:rPr>
          <w:rFonts w:ascii="Verdana" w:hAnsi="Verdana"/>
          <w:sz w:val="18"/>
          <w:szCs w:val="18"/>
        </w:rPr>
        <w:t xml:space="preserve">– volgens de Commissie effectief bewezen </w:t>
      </w:r>
      <w:r w:rsidR="002F61AC">
        <w:rPr>
          <w:rFonts w:ascii="Verdana" w:hAnsi="Verdana"/>
          <w:sz w:val="18"/>
          <w:szCs w:val="18"/>
        </w:rPr>
        <w:t>–</w:t>
      </w:r>
      <w:r w:rsidR="00BB63F0">
        <w:rPr>
          <w:rFonts w:ascii="Verdana" w:hAnsi="Verdana"/>
          <w:sz w:val="18"/>
          <w:szCs w:val="18"/>
        </w:rPr>
        <w:t xml:space="preserve"> kenmerken</w:t>
      </w:r>
      <w:r w:rsidR="00742629">
        <w:rPr>
          <w:rFonts w:ascii="Verdana" w:hAnsi="Verdana"/>
          <w:sz w:val="18"/>
          <w:szCs w:val="18"/>
        </w:rPr>
        <w:t>.</w:t>
      </w:r>
    </w:p>
    <w:p w:rsidR="00742629" w:rsidP="002F5666" w:rsidRDefault="00742629" w14:paraId="7467481C" w14:textId="77777777">
      <w:pPr>
        <w:tabs>
          <w:tab w:val="left" w:pos="360"/>
          <w:tab w:val="left" w:pos="4500"/>
          <w:tab w:val="left" w:pos="5580"/>
        </w:tabs>
        <w:spacing w:line="360" w:lineRule="auto"/>
        <w:rPr>
          <w:rFonts w:ascii="Verdana" w:hAnsi="Verdana"/>
          <w:sz w:val="18"/>
          <w:szCs w:val="18"/>
        </w:rPr>
      </w:pPr>
    </w:p>
    <w:p w:rsidR="00A71AB1" w:rsidP="00742629" w:rsidRDefault="00742629" w14:paraId="04722A4D" w14:textId="332C90BA">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Ten eerste dient er een breed aanbod te zijn. </w:t>
      </w:r>
      <w:bookmarkEnd w:id="0"/>
      <w:r w:rsidR="00322599">
        <w:rPr>
          <w:rFonts w:ascii="Verdana" w:hAnsi="Verdana"/>
          <w:sz w:val="18"/>
          <w:szCs w:val="18"/>
        </w:rPr>
        <w:t xml:space="preserve">Het moet meerdere soorten aanbieders zijn toegestaan om de beleggingsrekeningen aan te bieden, waardoor consumenten keuzevrijheid hebben en </w:t>
      </w:r>
      <w:r w:rsidR="00B13C92">
        <w:rPr>
          <w:rFonts w:ascii="Verdana" w:hAnsi="Verdana"/>
          <w:sz w:val="18"/>
          <w:szCs w:val="18"/>
        </w:rPr>
        <w:t xml:space="preserve">toegang tot </w:t>
      </w:r>
      <w:r w:rsidR="00322599">
        <w:rPr>
          <w:rFonts w:ascii="Verdana" w:hAnsi="Verdana"/>
          <w:sz w:val="18"/>
          <w:szCs w:val="18"/>
        </w:rPr>
        <w:t>goede voorwaarden</w:t>
      </w:r>
      <w:r w:rsidR="00631747">
        <w:rPr>
          <w:rFonts w:ascii="Verdana" w:hAnsi="Verdana"/>
          <w:sz w:val="18"/>
          <w:szCs w:val="18"/>
        </w:rPr>
        <w:t>. Om concurrentie te bevorderen</w:t>
      </w:r>
      <w:r w:rsidR="00DC1332">
        <w:rPr>
          <w:rFonts w:ascii="Verdana" w:hAnsi="Verdana"/>
          <w:sz w:val="18"/>
          <w:szCs w:val="18"/>
        </w:rPr>
        <w:t>, en daarmee kosten laag te houden</w:t>
      </w:r>
      <w:r w:rsidR="00631747">
        <w:rPr>
          <w:rFonts w:ascii="Verdana" w:hAnsi="Verdana"/>
          <w:sz w:val="18"/>
          <w:szCs w:val="18"/>
        </w:rPr>
        <w:t xml:space="preserve">, </w:t>
      </w:r>
      <w:r w:rsidR="00F75842">
        <w:rPr>
          <w:rFonts w:ascii="Verdana" w:hAnsi="Verdana"/>
          <w:sz w:val="18"/>
          <w:szCs w:val="18"/>
        </w:rPr>
        <w:t xml:space="preserve">moeten </w:t>
      </w:r>
      <w:r w:rsidR="00631747">
        <w:rPr>
          <w:rFonts w:ascii="Verdana" w:hAnsi="Verdana"/>
          <w:sz w:val="18"/>
          <w:szCs w:val="18"/>
        </w:rPr>
        <w:t xml:space="preserve">lidstaten geen </w:t>
      </w:r>
      <w:r w:rsidR="003937A2">
        <w:rPr>
          <w:rFonts w:ascii="Verdana" w:hAnsi="Verdana"/>
          <w:sz w:val="18"/>
          <w:szCs w:val="18"/>
        </w:rPr>
        <w:t xml:space="preserve">additionele </w:t>
      </w:r>
      <w:r w:rsidR="00631747">
        <w:rPr>
          <w:rFonts w:ascii="Verdana" w:hAnsi="Verdana"/>
          <w:sz w:val="18"/>
          <w:szCs w:val="18"/>
        </w:rPr>
        <w:t>belemmeringen opwerpen tegen het vrij verkeer van diensten</w:t>
      </w:r>
      <w:r w:rsidR="005C5C2F">
        <w:rPr>
          <w:rFonts w:ascii="Verdana" w:hAnsi="Verdana"/>
          <w:sz w:val="18"/>
          <w:szCs w:val="18"/>
        </w:rPr>
        <w:t xml:space="preserve"> binnen de EU</w:t>
      </w:r>
      <w:r w:rsidR="002C7589">
        <w:rPr>
          <w:rFonts w:ascii="Verdana" w:hAnsi="Verdana"/>
          <w:sz w:val="18"/>
          <w:szCs w:val="18"/>
        </w:rPr>
        <w:t>, zodat aanbieders uit de ene lidstaat eenvoudig beleggingsrekeningen kunnen aanbieden in de andere lidstaat</w:t>
      </w:r>
      <w:r w:rsidR="00631747">
        <w:rPr>
          <w:rFonts w:ascii="Verdana" w:hAnsi="Verdana"/>
          <w:sz w:val="18"/>
          <w:szCs w:val="18"/>
        </w:rPr>
        <w:t xml:space="preserve">. </w:t>
      </w:r>
    </w:p>
    <w:p w:rsidR="00742629" w:rsidP="00742629" w:rsidRDefault="00742629" w14:paraId="2F57FC35" w14:textId="77777777">
      <w:pPr>
        <w:tabs>
          <w:tab w:val="left" w:pos="360"/>
          <w:tab w:val="left" w:pos="4500"/>
          <w:tab w:val="left" w:pos="5580"/>
        </w:tabs>
        <w:spacing w:line="360" w:lineRule="auto"/>
        <w:rPr>
          <w:rFonts w:ascii="Verdana" w:hAnsi="Verdana"/>
          <w:sz w:val="18"/>
          <w:szCs w:val="18"/>
        </w:rPr>
      </w:pPr>
    </w:p>
    <w:p w:rsidR="00B13C92" w:rsidP="00742629" w:rsidRDefault="00742629" w14:paraId="6A55FAA6" w14:textId="1B11DD6D">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Ten tweede moeten kosten eerlijk zijn en moeten de beleggingsportfolio’s van de beleggingsrekeningen overdraagbaar tussen aanbieders zijn. </w:t>
      </w:r>
      <w:r w:rsidRPr="004E238A" w:rsidR="004E238A">
        <w:rPr>
          <w:rFonts w:ascii="Verdana" w:hAnsi="Verdana"/>
          <w:sz w:val="18"/>
          <w:szCs w:val="18"/>
        </w:rPr>
        <w:t xml:space="preserve">De kosten voor het openen en aanhouden van beleggingsrekeningen </w:t>
      </w:r>
      <w:r w:rsidR="00F75842">
        <w:rPr>
          <w:rFonts w:ascii="Verdana" w:hAnsi="Verdana"/>
          <w:sz w:val="18"/>
          <w:szCs w:val="18"/>
        </w:rPr>
        <w:t>moeten</w:t>
      </w:r>
      <w:r w:rsidRPr="004E238A" w:rsidR="00F75842">
        <w:rPr>
          <w:rFonts w:ascii="Verdana" w:hAnsi="Verdana"/>
          <w:sz w:val="18"/>
          <w:szCs w:val="18"/>
        </w:rPr>
        <w:t xml:space="preserve"> </w:t>
      </w:r>
      <w:r w:rsidRPr="004E238A" w:rsidR="004E238A">
        <w:rPr>
          <w:rFonts w:ascii="Verdana" w:hAnsi="Verdana"/>
          <w:sz w:val="18"/>
          <w:szCs w:val="18"/>
        </w:rPr>
        <w:t>eerlijk, proportioneel en begrijpelijk zijn. Consumenten zouden hun beleggingsportfolio’s daarbij in één keer moeten kunnen overhevelen naar een andere aanbieder</w:t>
      </w:r>
      <w:r w:rsidRPr="004E238A" w:rsidR="009D0934">
        <w:rPr>
          <w:rFonts w:ascii="Verdana" w:hAnsi="Verdana"/>
          <w:sz w:val="18"/>
          <w:szCs w:val="18"/>
        </w:rPr>
        <w:t>, zonder dat dit leidt tot onredelijk hoge kosten of een belastingaanslag.</w:t>
      </w:r>
    </w:p>
    <w:p w:rsidR="00742629" w:rsidP="00742629" w:rsidRDefault="00742629" w14:paraId="5466C42D" w14:textId="77777777">
      <w:pPr>
        <w:tabs>
          <w:tab w:val="left" w:pos="360"/>
          <w:tab w:val="left" w:pos="4500"/>
          <w:tab w:val="left" w:pos="5580"/>
        </w:tabs>
        <w:spacing w:line="360" w:lineRule="auto"/>
        <w:rPr>
          <w:rFonts w:ascii="Verdana" w:hAnsi="Verdana"/>
          <w:sz w:val="18"/>
          <w:szCs w:val="18"/>
        </w:rPr>
      </w:pPr>
    </w:p>
    <w:p w:rsidR="00B2616A" w:rsidP="00742629" w:rsidRDefault="00742629" w14:paraId="317CBDD3" w14:textId="6D6909DA">
      <w:pPr>
        <w:tabs>
          <w:tab w:val="left" w:pos="360"/>
          <w:tab w:val="left" w:pos="4500"/>
          <w:tab w:val="left" w:pos="5580"/>
        </w:tabs>
        <w:spacing w:line="360" w:lineRule="auto"/>
        <w:rPr>
          <w:rFonts w:ascii="Verdana" w:hAnsi="Verdana"/>
          <w:sz w:val="18"/>
          <w:szCs w:val="18"/>
        </w:rPr>
      </w:pPr>
      <w:r>
        <w:rPr>
          <w:rFonts w:ascii="Verdana" w:hAnsi="Verdana"/>
          <w:sz w:val="18"/>
          <w:szCs w:val="18"/>
        </w:rPr>
        <w:t>Ten derde dienen c</w:t>
      </w:r>
      <w:r w:rsidR="009D0934">
        <w:rPr>
          <w:rFonts w:ascii="Verdana" w:hAnsi="Verdana"/>
          <w:sz w:val="18"/>
          <w:szCs w:val="18"/>
        </w:rPr>
        <w:t xml:space="preserve">onsumenten verschillende soorten activa op de beleggingsrekening </w:t>
      </w:r>
      <w:r w:rsidR="001B3683">
        <w:rPr>
          <w:rFonts w:ascii="Verdana" w:hAnsi="Verdana"/>
          <w:sz w:val="18"/>
          <w:szCs w:val="18"/>
        </w:rPr>
        <w:t>kunnen</w:t>
      </w:r>
      <w:r w:rsidR="009D0934">
        <w:rPr>
          <w:rFonts w:ascii="Verdana" w:hAnsi="Verdana"/>
          <w:sz w:val="18"/>
          <w:szCs w:val="18"/>
        </w:rPr>
        <w:t xml:space="preserve"> aan</w:t>
      </w:r>
      <w:r>
        <w:rPr>
          <w:rFonts w:ascii="Verdana" w:hAnsi="Verdana"/>
          <w:sz w:val="18"/>
          <w:szCs w:val="18"/>
        </w:rPr>
        <w:t xml:space="preserve"> te kunnen </w:t>
      </w:r>
      <w:r w:rsidR="009D0934">
        <w:rPr>
          <w:rFonts w:ascii="Verdana" w:hAnsi="Verdana"/>
          <w:sz w:val="18"/>
          <w:szCs w:val="18"/>
        </w:rPr>
        <w:t xml:space="preserve">houden, waaronder aandelen, obligaties en deelnemingen of aandelen in instellingen voor collectieve belegging in effecten (ICBE’s, ook wel UCITS, waaronder </w:t>
      </w:r>
      <w:r w:rsidR="009D0934">
        <w:rPr>
          <w:rFonts w:ascii="Verdana" w:hAnsi="Verdana"/>
          <w:i/>
          <w:iCs/>
          <w:sz w:val="18"/>
          <w:szCs w:val="18"/>
        </w:rPr>
        <w:t>exchange-traded funds</w:t>
      </w:r>
      <w:r w:rsidR="009D0934">
        <w:rPr>
          <w:rFonts w:ascii="Verdana" w:hAnsi="Verdana"/>
          <w:sz w:val="18"/>
          <w:szCs w:val="18"/>
        </w:rPr>
        <w:t xml:space="preserve"> (ETF’s)</w:t>
      </w:r>
      <w:r w:rsidR="001B3683">
        <w:rPr>
          <w:rFonts w:ascii="Verdana" w:hAnsi="Verdana"/>
          <w:sz w:val="18"/>
          <w:szCs w:val="18"/>
        </w:rPr>
        <w:t>)</w:t>
      </w:r>
      <w:r w:rsidR="009D0934">
        <w:rPr>
          <w:rFonts w:ascii="Verdana" w:hAnsi="Verdana"/>
          <w:sz w:val="18"/>
          <w:szCs w:val="18"/>
        </w:rPr>
        <w:t xml:space="preserve">. </w:t>
      </w:r>
      <w:r w:rsidR="00D27E6E">
        <w:rPr>
          <w:rFonts w:ascii="Verdana" w:hAnsi="Verdana"/>
          <w:sz w:val="18"/>
          <w:szCs w:val="18"/>
        </w:rPr>
        <w:t>Zeer</w:t>
      </w:r>
      <w:r w:rsidR="00DC1332">
        <w:rPr>
          <w:rFonts w:ascii="Verdana" w:hAnsi="Verdana"/>
          <w:sz w:val="18"/>
          <w:szCs w:val="18"/>
        </w:rPr>
        <w:t xml:space="preserve"> </w:t>
      </w:r>
      <w:r w:rsidR="002F61AC">
        <w:rPr>
          <w:rFonts w:ascii="Verdana" w:hAnsi="Verdana"/>
          <w:sz w:val="18"/>
          <w:szCs w:val="18"/>
        </w:rPr>
        <w:t>risicovolle</w:t>
      </w:r>
      <w:r w:rsidR="00D27E6E">
        <w:rPr>
          <w:rFonts w:ascii="Verdana" w:hAnsi="Verdana"/>
          <w:sz w:val="18"/>
          <w:szCs w:val="18"/>
        </w:rPr>
        <w:t xml:space="preserve"> of complexe</w:t>
      </w:r>
      <w:r w:rsidR="009D0934">
        <w:rPr>
          <w:rFonts w:ascii="Verdana" w:hAnsi="Verdana"/>
          <w:sz w:val="18"/>
          <w:szCs w:val="18"/>
        </w:rPr>
        <w:t xml:space="preserve"> producten zoals crypto’s of derivaten</w:t>
      </w:r>
      <w:r w:rsidR="00B2616A">
        <w:rPr>
          <w:rFonts w:ascii="Verdana" w:hAnsi="Verdana"/>
          <w:sz w:val="18"/>
          <w:szCs w:val="18"/>
        </w:rPr>
        <w:t>,</w:t>
      </w:r>
      <w:r w:rsidR="009D0934">
        <w:rPr>
          <w:rFonts w:ascii="Verdana" w:hAnsi="Verdana"/>
          <w:sz w:val="18"/>
          <w:szCs w:val="18"/>
        </w:rPr>
        <w:t xml:space="preserve"> </w:t>
      </w:r>
      <w:r w:rsidR="00DB232D">
        <w:rPr>
          <w:rFonts w:ascii="Verdana" w:hAnsi="Verdana"/>
          <w:sz w:val="18"/>
          <w:szCs w:val="18"/>
        </w:rPr>
        <w:t>die geen investering</w:t>
      </w:r>
      <w:r w:rsidR="001B3683">
        <w:rPr>
          <w:rFonts w:ascii="Verdana" w:hAnsi="Verdana"/>
          <w:sz w:val="18"/>
          <w:szCs w:val="18"/>
        </w:rPr>
        <w:t xml:space="preserve"> </w:t>
      </w:r>
      <w:r w:rsidR="002C7589">
        <w:rPr>
          <w:rFonts w:ascii="Verdana" w:hAnsi="Verdana"/>
          <w:sz w:val="18"/>
          <w:szCs w:val="18"/>
        </w:rPr>
        <w:t xml:space="preserve">vertegenwoordigen </w:t>
      </w:r>
      <w:r w:rsidR="00DB232D">
        <w:rPr>
          <w:rFonts w:ascii="Verdana" w:hAnsi="Verdana"/>
          <w:sz w:val="18"/>
          <w:szCs w:val="18"/>
        </w:rPr>
        <w:t>in de reële economie, moeten worden uitgesloten.</w:t>
      </w:r>
      <w:r w:rsidR="00B2616A">
        <w:rPr>
          <w:rFonts w:ascii="Verdana" w:hAnsi="Verdana"/>
          <w:sz w:val="18"/>
          <w:szCs w:val="18"/>
        </w:rPr>
        <w:t xml:space="preserve"> </w:t>
      </w:r>
      <w:r w:rsidR="005C5C2F">
        <w:rPr>
          <w:rFonts w:ascii="Verdana" w:hAnsi="Verdana"/>
          <w:sz w:val="18"/>
          <w:szCs w:val="18"/>
        </w:rPr>
        <w:t>De Commissie beveelt ook aan om a</w:t>
      </w:r>
      <w:r w:rsidR="00B2616A">
        <w:rPr>
          <w:rFonts w:ascii="Verdana" w:hAnsi="Verdana"/>
          <w:sz w:val="18"/>
          <w:szCs w:val="18"/>
        </w:rPr>
        <w:t>anbieders aan</w:t>
      </w:r>
      <w:r w:rsidR="005C5C2F">
        <w:rPr>
          <w:rFonts w:ascii="Verdana" w:hAnsi="Verdana"/>
          <w:sz w:val="18"/>
          <w:szCs w:val="18"/>
        </w:rPr>
        <w:t xml:space="preserve"> te moedigen </w:t>
      </w:r>
      <w:r w:rsidR="00B2616A">
        <w:rPr>
          <w:rFonts w:ascii="Verdana" w:hAnsi="Verdana"/>
          <w:sz w:val="18"/>
          <w:szCs w:val="18"/>
        </w:rPr>
        <w:t>om beleggingsproducten aan te bieden met een sterke focus op de EU, zodat consumenten kunnen bijdragen aan strategische EU-prioriteiten en de veiligheid en defensie van de EU</w:t>
      </w:r>
      <w:r w:rsidR="00E86FA2">
        <w:rPr>
          <w:rFonts w:ascii="Verdana" w:hAnsi="Verdana"/>
          <w:sz w:val="18"/>
          <w:szCs w:val="18"/>
        </w:rPr>
        <w:t>.</w:t>
      </w:r>
    </w:p>
    <w:p w:rsidR="00742629" w:rsidP="00742629" w:rsidRDefault="00742629" w14:paraId="0A01FB4A" w14:textId="77777777">
      <w:pPr>
        <w:tabs>
          <w:tab w:val="left" w:pos="360"/>
          <w:tab w:val="left" w:pos="4500"/>
          <w:tab w:val="left" w:pos="5580"/>
        </w:tabs>
        <w:spacing w:line="360" w:lineRule="auto"/>
        <w:rPr>
          <w:rFonts w:ascii="Verdana" w:hAnsi="Verdana"/>
          <w:sz w:val="18"/>
          <w:szCs w:val="18"/>
        </w:rPr>
      </w:pPr>
    </w:p>
    <w:p w:rsidR="00DB232D" w:rsidP="00742629" w:rsidRDefault="00742629" w14:paraId="4B1261A8" w14:textId="1612D1CB">
      <w:pPr>
        <w:tabs>
          <w:tab w:val="left" w:pos="360"/>
          <w:tab w:val="left" w:pos="4500"/>
          <w:tab w:val="left" w:pos="5580"/>
        </w:tabs>
        <w:spacing w:line="360" w:lineRule="auto"/>
        <w:rPr>
          <w:rFonts w:ascii="Verdana" w:hAnsi="Verdana"/>
          <w:sz w:val="18"/>
          <w:szCs w:val="18"/>
        </w:rPr>
      </w:pPr>
      <w:r>
        <w:rPr>
          <w:rFonts w:ascii="Verdana" w:hAnsi="Verdana"/>
          <w:sz w:val="18"/>
          <w:szCs w:val="18"/>
        </w:rPr>
        <w:t>Ten vierde dienen de beleggingsrekeningen gebruiksvriendelijk te zijn.</w:t>
      </w:r>
      <w:r w:rsidRPr="00F231BB" w:rsidR="00DB232D">
        <w:rPr>
          <w:rFonts w:ascii="Verdana" w:hAnsi="Verdana"/>
          <w:sz w:val="18"/>
          <w:szCs w:val="18"/>
        </w:rPr>
        <w:t xml:space="preserve"> </w:t>
      </w:r>
      <w:r w:rsidRPr="00F231BB" w:rsidR="00F231BB">
        <w:rPr>
          <w:rFonts w:ascii="Verdana" w:hAnsi="Verdana"/>
          <w:sz w:val="18"/>
          <w:szCs w:val="18"/>
        </w:rPr>
        <w:t xml:space="preserve">Lidstaten zouden aanbieders moeten aansporen om de beleggingsrekeningen simpel, betrouwbaar en makkelijk toegankelijk voor consumenten te maken, </w:t>
      </w:r>
      <w:r w:rsidRPr="00F231BB" w:rsidR="00DB232D">
        <w:rPr>
          <w:rFonts w:ascii="Verdana" w:hAnsi="Verdana"/>
          <w:sz w:val="18"/>
          <w:szCs w:val="18"/>
        </w:rPr>
        <w:t>onder meer door een gebruiksvriendelijke digitale omgeving en een goede klantenservice.</w:t>
      </w:r>
    </w:p>
    <w:p w:rsidR="00742629" w:rsidP="00742629" w:rsidRDefault="00742629" w14:paraId="6EB3FDDA" w14:textId="77777777">
      <w:pPr>
        <w:tabs>
          <w:tab w:val="left" w:pos="360"/>
          <w:tab w:val="left" w:pos="4500"/>
          <w:tab w:val="left" w:pos="5580"/>
        </w:tabs>
        <w:spacing w:line="360" w:lineRule="auto"/>
        <w:rPr>
          <w:rFonts w:ascii="Verdana" w:hAnsi="Verdana"/>
          <w:sz w:val="18"/>
          <w:szCs w:val="18"/>
        </w:rPr>
      </w:pPr>
    </w:p>
    <w:p w:rsidR="00DB232D" w:rsidP="00742629" w:rsidRDefault="00742629" w14:paraId="5597F4D8" w14:textId="5ECC65CB">
      <w:pPr>
        <w:tabs>
          <w:tab w:val="left" w:pos="360"/>
          <w:tab w:val="left" w:pos="4500"/>
          <w:tab w:val="left" w:pos="5580"/>
        </w:tabs>
        <w:spacing w:line="360" w:lineRule="auto"/>
        <w:rPr>
          <w:rFonts w:ascii="Verdana" w:hAnsi="Verdana"/>
          <w:sz w:val="18"/>
          <w:szCs w:val="18"/>
        </w:rPr>
      </w:pPr>
      <w:r>
        <w:rPr>
          <w:rFonts w:ascii="Verdana" w:hAnsi="Verdana"/>
          <w:sz w:val="18"/>
          <w:szCs w:val="18"/>
        </w:rPr>
        <w:t>Ten vijfde raadt d</w:t>
      </w:r>
      <w:r w:rsidR="00231CED">
        <w:rPr>
          <w:rFonts w:ascii="Verdana" w:hAnsi="Verdana"/>
          <w:sz w:val="18"/>
          <w:szCs w:val="18"/>
        </w:rPr>
        <w:t xml:space="preserve">e Commissie aan </w:t>
      </w:r>
      <w:r w:rsidRPr="00D6254E" w:rsidR="00231CED">
        <w:rPr>
          <w:rFonts w:ascii="Verdana" w:hAnsi="Verdana"/>
          <w:sz w:val="18"/>
          <w:szCs w:val="18"/>
        </w:rPr>
        <w:t xml:space="preserve">het fiscale proces zo gebruiksvriendelijk, eenvoudig en geautomatiseerd mogelijk in te richten. Daarbij zouden financiële instellingen de relevante gegevens rechtstreeks </w:t>
      </w:r>
      <w:r w:rsidR="00F03534">
        <w:rPr>
          <w:rFonts w:ascii="Verdana" w:hAnsi="Verdana"/>
          <w:sz w:val="18"/>
          <w:szCs w:val="18"/>
        </w:rPr>
        <w:t xml:space="preserve">doorgeven aan de nationale </w:t>
      </w:r>
      <w:r w:rsidR="00D5695C">
        <w:rPr>
          <w:rFonts w:ascii="Verdana" w:hAnsi="Verdana"/>
          <w:sz w:val="18"/>
          <w:szCs w:val="18"/>
        </w:rPr>
        <w:t>b</w:t>
      </w:r>
      <w:r w:rsidR="00F03534">
        <w:rPr>
          <w:rFonts w:ascii="Verdana" w:hAnsi="Verdana"/>
          <w:sz w:val="18"/>
          <w:szCs w:val="18"/>
        </w:rPr>
        <w:t>elastingdienst</w:t>
      </w:r>
      <w:r w:rsidRPr="00D6254E" w:rsidR="00F03534">
        <w:rPr>
          <w:rFonts w:ascii="Verdana" w:hAnsi="Verdana"/>
          <w:sz w:val="18"/>
          <w:szCs w:val="18"/>
        </w:rPr>
        <w:t xml:space="preserve"> </w:t>
      </w:r>
      <w:r w:rsidRPr="00D6254E" w:rsidR="00231CED">
        <w:rPr>
          <w:rFonts w:ascii="Verdana" w:hAnsi="Verdana"/>
          <w:sz w:val="18"/>
          <w:szCs w:val="18"/>
        </w:rPr>
        <w:t xml:space="preserve">en, waar </w:t>
      </w:r>
      <w:r w:rsidR="00231CED">
        <w:rPr>
          <w:rFonts w:ascii="Verdana" w:hAnsi="Verdana"/>
          <w:sz w:val="18"/>
          <w:szCs w:val="18"/>
        </w:rPr>
        <w:t>relevant</w:t>
      </w:r>
      <w:r w:rsidRPr="00D6254E" w:rsidR="00231CED">
        <w:rPr>
          <w:rFonts w:ascii="Verdana" w:hAnsi="Verdana"/>
          <w:sz w:val="18"/>
          <w:szCs w:val="18"/>
        </w:rPr>
        <w:t>, direct de verschuldigde belasting afdragen.</w:t>
      </w:r>
    </w:p>
    <w:p w:rsidR="00742629" w:rsidP="00742629" w:rsidRDefault="00742629" w14:paraId="40CA7D83" w14:textId="77777777">
      <w:pPr>
        <w:tabs>
          <w:tab w:val="left" w:pos="360"/>
          <w:tab w:val="left" w:pos="4500"/>
          <w:tab w:val="left" w:pos="5580"/>
        </w:tabs>
        <w:spacing w:line="360" w:lineRule="auto"/>
        <w:rPr>
          <w:rFonts w:ascii="Verdana" w:hAnsi="Verdana"/>
          <w:sz w:val="18"/>
          <w:szCs w:val="18"/>
        </w:rPr>
      </w:pPr>
    </w:p>
    <w:p w:rsidR="006D1FF2" w:rsidP="007E1F3A" w:rsidRDefault="00742629" w14:paraId="4B9B42BC" w14:textId="1297D119">
      <w:pPr>
        <w:tabs>
          <w:tab w:val="left" w:pos="360"/>
          <w:tab w:val="left" w:pos="4500"/>
          <w:tab w:val="left" w:pos="5580"/>
        </w:tabs>
        <w:spacing w:line="360" w:lineRule="auto"/>
      </w:pPr>
      <w:r>
        <w:rPr>
          <w:rFonts w:ascii="Verdana" w:hAnsi="Verdana"/>
          <w:sz w:val="18"/>
          <w:szCs w:val="18"/>
        </w:rPr>
        <w:lastRenderedPageBreak/>
        <w:t>Ten zesde zouden b</w:t>
      </w:r>
      <w:r w:rsidR="00231CED">
        <w:rPr>
          <w:rFonts w:ascii="Verdana" w:hAnsi="Verdana"/>
          <w:sz w:val="18"/>
          <w:szCs w:val="18"/>
        </w:rPr>
        <w:t>eleggingsrekeningen moeten profiteren van ‘de meest gunstige fiscale behandeling’ beschikbaar in een lidstaat. De aanbeveling noemt als mogelijkheden (niet uitputtend)</w:t>
      </w:r>
      <w:r w:rsidR="001B3683">
        <w:rPr>
          <w:rFonts w:ascii="Verdana" w:hAnsi="Verdana"/>
          <w:sz w:val="18"/>
          <w:szCs w:val="18"/>
        </w:rPr>
        <w:t>: (i)</w:t>
      </w:r>
      <w:r w:rsidR="00231CED">
        <w:rPr>
          <w:rFonts w:ascii="Verdana" w:hAnsi="Verdana"/>
          <w:sz w:val="18"/>
          <w:szCs w:val="18"/>
        </w:rPr>
        <w:t xml:space="preserve"> </w:t>
      </w:r>
      <w:r w:rsidRPr="00D6254E" w:rsidR="00231CED">
        <w:rPr>
          <w:rFonts w:ascii="Verdana" w:hAnsi="Verdana"/>
          <w:sz w:val="18"/>
          <w:szCs w:val="18"/>
        </w:rPr>
        <w:t xml:space="preserve">een aftrek van de inleg van het belastbaar inkomen, </w:t>
      </w:r>
      <w:r w:rsidR="001B3683">
        <w:rPr>
          <w:rFonts w:ascii="Verdana" w:hAnsi="Verdana"/>
          <w:sz w:val="18"/>
          <w:szCs w:val="18"/>
        </w:rPr>
        <w:t xml:space="preserve">(ii) </w:t>
      </w:r>
      <w:r w:rsidRPr="00D6254E" w:rsidR="00231CED">
        <w:rPr>
          <w:rFonts w:ascii="Verdana" w:hAnsi="Verdana"/>
          <w:sz w:val="18"/>
          <w:szCs w:val="18"/>
        </w:rPr>
        <w:t xml:space="preserve">een vrijstelling voor inkomsten die binnen de beleggingsrekening worden gegenereerd, </w:t>
      </w:r>
      <w:r w:rsidR="001B3683">
        <w:rPr>
          <w:rFonts w:ascii="Verdana" w:hAnsi="Verdana"/>
          <w:sz w:val="18"/>
          <w:szCs w:val="18"/>
        </w:rPr>
        <w:t xml:space="preserve">(iii) </w:t>
      </w:r>
      <w:r w:rsidRPr="00D6254E" w:rsidR="00231CED">
        <w:rPr>
          <w:rFonts w:ascii="Verdana" w:hAnsi="Verdana"/>
          <w:sz w:val="18"/>
          <w:szCs w:val="18"/>
        </w:rPr>
        <w:t>uitstel van belastingheffing tot het moment van opname, of</w:t>
      </w:r>
      <w:r w:rsidR="001B3683">
        <w:rPr>
          <w:rFonts w:ascii="Verdana" w:hAnsi="Verdana"/>
          <w:sz w:val="18"/>
          <w:szCs w:val="18"/>
        </w:rPr>
        <w:t xml:space="preserve"> (iv)</w:t>
      </w:r>
      <w:r w:rsidRPr="00D6254E" w:rsidR="00231CED">
        <w:rPr>
          <w:rFonts w:ascii="Verdana" w:hAnsi="Verdana"/>
          <w:sz w:val="18"/>
          <w:szCs w:val="18"/>
        </w:rPr>
        <w:t xml:space="preserve"> de toepassing van een uniform tarief.</w:t>
      </w:r>
      <w:r w:rsidR="00231CED">
        <w:rPr>
          <w:rFonts w:ascii="Verdana" w:hAnsi="Verdana"/>
          <w:sz w:val="18"/>
          <w:szCs w:val="18"/>
        </w:rPr>
        <w:t xml:space="preserve"> Volgens de Commissie</w:t>
      </w:r>
      <w:r w:rsidR="001B3683">
        <w:rPr>
          <w:rFonts w:ascii="Verdana" w:hAnsi="Verdana"/>
          <w:sz w:val="18"/>
          <w:szCs w:val="18"/>
        </w:rPr>
        <w:t xml:space="preserve"> zijn</w:t>
      </w:r>
      <w:r w:rsidR="00231CED">
        <w:rPr>
          <w:rFonts w:ascii="Verdana" w:hAnsi="Verdana"/>
          <w:sz w:val="18"/>
          <w:szCs w:val="18"/>
        </w:rPr>
        <w:t xml:space="preserve"> een simpele en voordelige fiscale behandeling </w:t>
      </w:r>
      <w:r w:rsidR="001B3683">
        <w:rPr>
          <w:rFonts w:ascii="Verdana" w:hAnsi="Verdana"/>
          <w:sz w:val="18"/>
          <w:szCs w:val="18"/>
        </w:rPr>
        <w:t xml:space="preserve">kernelementen </w:t>
      </w:r>
      <w:r w:rsidR="00231CED">
        <w:rPr>
          <w:rFonts w:ascii="Verdana" w:hAnsi="Verdana"/>
          <w:sz w:val="18"/>
          <w:szCs w:val="18"/>
        </w:rPr>
        <w:t xml:space="preserve">van bewezen succesvolle beleggingsrekeningen binnen en buiten de EU. </w:t>
      </w:r>
    </w:p>
    <w:p w:rsidR="006D1FF2" w:rsidP="0064352A" w:rsidRDefault="006D1FF2" w14:paraId="49365F21" w14:textId="77777777">
      <w:pPr>
        <w:tabs>
          <w:tab w:val="left" w:pos="360"/>
          <w:tab w:val="left" w:pos="4500"/>
          <w:tab w:val="left" w:pos="5580"/>
        </w:tabs>
        <w:spacing w:line="360" w:lineRule="auto"/>
        <w:rPr>
          <w:rFonts w:ascii="Verdana" w:hAnsi="Verdana"/>
          <w:sz w:val="18"/>
          <w:szCs w:val="18"/>
        </w:rPr>
      </w:pPr>
    </w:p>
    <w:p w:rsidRPr="0064352A" w:rsidR="008528D9" w:rsidP="008528D9" w:rsidRDefault="008528D9" w14:paraId="11CA6E80" w14:textId="6125F863">
      <w:pPr>
        <w:numPr>
          <w:ilvl w:val="0"/>
          <w:numId w:val="15"/>
        </w:numPr>
        <w:tabs>
          <w:tab w:val="left" w:pos="360"/>
        </w:tabs>
        <w:spacing w:line="360" w:lineRule="auto"/>
        <w:rPr>
          <w:rFonts w:ascii="Verdana" w:hAnsi="Verdana"/>
          <w:b/>
          <w:sz w:val="18"/>
          <w:szCs w:val="18"/>
        </w:rPr>
      </w:pPr>
      <w:r w:rsidRPr="0064352A">
        <w:rPr>
          <w:rFonts w:ascii="Verdana" w:hAnsi="Verdana"/>
          <w:b/>
          <w:sz w:val="18"/>
          <w:szCs w:val="18"/>
        </w:rPr>
        <w:t>Nederla</w:t>
      </w:r>
      <w:r>
        <w:rPr>
          <w:rFonts w:ascii="Verdana" w:hAnsi="Verdana"/>
          <w:b/>
          <w:sz w:val="18"/>
          <w:szCs w:val="18"/>
        </w:rPr>
        <w:t xml:space="preserve">ndse positie ten aanzien van </w:t>
      </w:r>
      <w:r w:rsidR="005E0A6D">
        <w:rPr>
          <w:rFonts w:ascii="Verdana" w:hAnsi="Verdana"/>
          <w:b/>
          <w:sz w:val="18"/>
          <w:szCs w:val="18"/>
        </w:rPr>
        <w:t>de aanbeveling</w:t>
      </w:r>
    </w:p>
    <w:p w:rsidR="00FD0CBD" w:rsidP="00FD0CBD" w:rsidRDefault="00FD0CBD" w14:paraId="1DFDEED5" w14:textId="77777777">
      <w:pPr>
        <w:numPr>
          <w:ilvl w:val="0"/>
          <w:numId w:val="21"/>
        </w:numPr>
        <w:spacing w:line="360" w:lineRule="auto"/>
        <w:rPr>
          <w:rFonts w:ascii="Verdana" w:hAnsi="Verdana"/>
          <w:i/>
          <w:sz w:val="18"/>
          <w:szCs w:val="18"/>
        </w:rPr>
      </w:pPr>
      <w:r w:rsidRPr="00FD0CBD">
        <w:rPr>
          <w:rFonts w:ascii="Verdana" w:hAnsi="Verdana"/>
          <w:i/>
          <w:sz w:val="18"/>
          <w:szCs w:val="18"/>
        </w:rPr>
        <w:t>Essentie Nederlands beleid op dit terrein</w:t>
      </w:r>
    </w:p>
    <w:p w:rsidR="00F91F27" w:rsidP="00D6254E" w:rsidRDefault="006A4AC3" w14:paraId="751A4FA9" w14:textId="12A51C7A">
      <w:pPr>
        <w:spacing w:line="360" w:lineRule="auto"/>
        <w:rPr>
          <w:rFonts w:ascii="Verdana" w:hAnsi="Verdana"/>
          <w:iCs/>
          <w:sz w:val="18"/>
          <w:szCs w:val="18"/>
        </w:rPr>
      </w:pPr>
      <w:r>
        <w:rPr>
          <w:rFonts w:ascii="Verdana" w:hAnsi="Verdana"/>
          <w:iCs/>
          <w:sz w:val="18"/>
          <w:szCs w:val="18"/>
        </w:rPr>
        <w:t xml:space="preserve">In de kamerbrief </w:t>
      </w:r>
      <w:r w:rsidR="00F75842">
        <w:rPr>
          <w:rFonts w:ascii="Verdana" w:hAnsi="Verdana"/>
          <w:iCs/>
          <w:sz w:val="18"/>
          <w:szCs w:val="18"/>
        </w:rPr>
        <w:t>k</w:t>
      </w:r>
      <w:r>
        <w:rPr>
          <w:rFonts w:ascii="Verdana" w:hAnsi="Verdana"/>
          <w:iCs/>
          <w:sz w:val="18"/>
          <w:szCs w:val="18"/>
        </w:rPr>
        <w:t xml:space="preserve">abinetsinzet </w:t>
      </w:r>
      <w:r w:rsidR="00F75842">
        <w:rPr>
          <w:rFonts w:ascii="Verdana" w:hAnsi="Verdana"/>
          <w:iCs/>
          <w:sz w:val="18"/>
          <w:szCs w:val="18"/>
        </w:rPr>
        <w:t>k</w:t>
      </w:r>
      <w:r>
        <w:rPr>
          <w:rFonts w:ascii="Verdana" w:hAnsi="Verdana"/>
          <w:iCs/>
          <w:sz w:val="18"/>
          <w:szCs w:val="18"/>
        </w:rPr>
        <w:t xml:space="preserve">apitaalmarktunie van 17 maart 2025 heeft het kabinet zich positief uitgesproken over mogelijkheden om consumenten die </w:t>
      </w:r>
      <w:r w:rsidR="000C71D2">
        <w:rPr>
          <w:rFonts w:ascii="Verdana" w:hAnsi="Verdana"/>
          <w:iCs/>
          <w:sz w:val="18"/>
          <w:szCs w:val="18"/>
        </w:rPr>
        <w:t xml:space="preserve">veel sparen en verantwoord meer zouden kunnen beleggen, aan te moedigen om te </w:t>
      </w:r>
      <w:r w:rsidR="005C5C2F">
        <w:rPr>
          <w:rFonts w:ascii="Verdana" w:hAnsi="Verdana"/>
          <w:iCs/>
          <w:sz w:val="18"/>
          <w:szCs w:val="18"/>
        </w:rPr>
        <w:t>(</w:t>
      </w:r>
      <w:r w:rsidR="000C71D2">
        <w:rPr>
          <w:rFonts w:ascii="Verdana" w:hAnsi="Verdana"/>
          <w:iCs/>
          <w:sz w:val="18"/>
          <w:szCs w:val="18"/>
        </w:rPr>
        <w:t>beginnen met</w:t>
      </w:r>
      <w:r w:rsidR="000D14EA">
        <w:rPr>
          <w:rFonts w:ascii="Verdana" w:hAnsi="Verdana"/>
          <w:iCs/>
          <w:sz w:val="18"/>
          <w:szCs w:val="18"/>
        </w:rPr>
        <w:t>)</w:t>
      </w:r>
      <w:r w:rsidR="000C71D2">
        <w:rPr>
          <w:rFonts w:ascii="Verdana" w:hAnsi="Verdana"/>
          <w:iCs/>
          <w:sz w:val="18"/>
          <w:szCs w:val="18"/>
        </w:rPr>
        <w:t xml:space="preserve"> beleggen.</w:t>
      </w:r>
      <w:r w:rsidR="00F10BF5">
        <w:rPr>
          <w:rStyle w:val="FootnoteReference"/>
          <w:rFonts w:ascii="Verdana" w:hAnsi="Verdana"/>
          <w:iCs/>
          <w:sz w:val="18"/>
          <w:szCs w:val="18"/>
        </w:rPr>
        <w:footnoteReference w:id="3"/>
      </w:r>
      <w:r w:rsidR="000C71D2">
        <w:rPr>
          <w:rFonts w:ascii="Verdana" w:hAnsi="Verdana"/>
          <w:iCs/>
          <w:sz w:val="18"/>
          <w:szCs w:val="18"/>
        </w:rPr>
        <w:t xml:space="preserve"> Uit onderzoek blijkt dat bijna de helft van de </w:t>
      </w:r>
      <w:r w:rsidR="005C5C2F">
        <w:rPr>
          <w:rFonts w:ascii="Verdana" w:hAnsi="Verdana"/>
          <w:iCs/>
          <w:sz w:val="18"/>
          <w:szCs w:val="18"/>
        </w:rPr>
        <w:t xml:space="preserve">Nederlandse </w:t>
      </w:r>
      <w:r w:rsidR="000C71D2">
        <w:rPr>
          <w:rFonts w:ascii="Verdana" w:hAnsi="Verdana"/>
          <w:iCs/>
          <w:sz w:val="18"/>
          <w:szCs w:val="18"/>
        </w:rPr>
        <w:t>huishoudens daarvoor voldoende vermogen heeft.</w:t>
      </w:r>
      <w:r w:rsidR="000C71D2">
        <w:rPr>
          <w:rStyle w:val="FootnoteReference"/>
          <w:rFonts w:ascii="Verdana" w:hAnsi="Verdana"/>
          <w:iCs/>
          <w:sz w:val="18"/>
          <w:szCs w:val="18"/>
        </w:rPr>
        <w:footnoteReference w:id="4"/>
      </w:r>
      <w:r w:rsidR="000D14EA">
        <w:rPr>
          <w:rFonts w:ascii="Verdana" w:hAnsi="Verdana"/>
          <w:iCs/>
          <w:sz w:val="18"/>
          <w:szCs w:val="18"/>
        </w:rPr>
        <w:t xml:space="preserve"> </w:t>
      </w:r>
      <w:r w:rsidR="00F03534">
        <w:rPr>
          <w:rFonts w:ascii="Verdana" w:hAnsi="Verdana"/>
          <w:iCs/>
          <w:sz w:val="18"/>
          <w:szCs w:val="18"/>
        </w:rPr>
        <w:t>Het kabinet deelt de analyse van de Commissie dat wanneer deze huishoudens</w:t>
      </w:r>
      <w:r w:rsidR="000D14EA">
        <w:rPr>
          <w:rFonts w:ascii="Verdana" w:hAnsi="Verdana"/>
          <w:iCs/>
          <w:sz w:val="18"/>
          <w:szCs w:val="18"/>
        </w:rPr>
        <w:t xml:space="preserve"> (meer)</w:t>
      </w:r>
      <w:r w:rsidR="00F03534">
        <w:rPr>
          <w:rFonts w:ascii="Verdana" w:hAnsi="Verdana"/>
          <w:iCs/>
          <w:sz w:val="18"/>
          <w:szCs w:val="18"/>
        </w:rPr>
        <w:t xml:space="preserve"> </w:t>
      </w:r>
      <w:r w:rsidR="00C1704F">
        <w:rPr>
          <w:rFonts w:ascii="Verdana" w:hAnsi="Verdana"/>
          <w:iCs/>
          <w:sz w:val="18"/>
          <w:szCs w:val="18"/>
        </w:rPr>
        <w:t xml:space="preserve">zouden </w:t>
      </w:r>
      <w:r w:rsidR="00F03534">
        <w:rPr>
          <w:rFonts w:ascii="Verdana" w:hAnsi="Verdana"/>
          <w:iCs/>
          <w:sz w:val="18"/>
          <w:szCs w:val="18"/>
        </w:rPr>
        <w:t xml:space="preserve">gaan </w:t>
      </w:r>
      <w:r w:rsidR="00C1704F">
        <w:rPr>
          <w:rFonts w:ascii="Verdana" w:hAnsi="Verdana"/>
          <w:iCs/>
          <w:sz w:val="18"/>
          <w:szCs w:val="18"/>
        </w:rPr>
        <w:t>beleggen</w:t>
      </w:r>
      <w:r w:rsidR="00F03534">
        <w:rPr>
          <w:rFonts w:ascii="Verdana" w:hAnsi="Verdana"/>
          <w:iCs/>
          <w:sz w:val="18"/>
          <w:szCs w:val="18"/>
        </w:rPr>
        <w:t xml:space="preserve">, dat </w:t>
      </w:r>
      <w:r w:rsidR="00C1704F">
        <w:rPr>
          <w:rFonts w:ascii="Verdana" w:hAnsi="Verdana"/>
          <w:iCs/>
          <w:sz w:val="18"/>
          <w:szCs w:val="18"/>
        </w:rPr>
        <w:t>op de langere termijn, weliswaar tegen risico, een hoger rendement</w:t>
      </w:r>
      <w:r w:rsidR="00F03534">
        <w:rPr>
          <w:rFonts w:ascii="Verdana" w:hAnsi="Verdana"/>
          <w:iCs/>
          <w:sz w:val="18"/>
          <w:szCs w:val="18"/>
        </w:rPr>
        <w:t xml:space="preserve"> </w:t>
      </w:r>
      <w:r w:rsidR="002F61AC">
        <w:rPr>
          <w:rFonts w:ascii="Verdana" w:hAnsi="Verdana"/>
          <w:iCs/>
          <w:sz w:val="18"/>
          <w:szCs w:val="18"/>
        </w:rPr>
        <w:t>oplevert</w:t>
      </w:r>
      <w:r w:rsidR="00C1704F">
        <w:rPr>
          <w:rFonts w:ascii="Verdana" w:hAnsi="Verdana"/>
          <w:iCs/>
          <w:sz w:val="18"/>
          <w:szCs w:val="18"/>
        </w:rPr>
        <w:t xml:space="preserve">. </w:t>
      </w:r>
      <w:r w:rsidR="00876BB0">
        <w:rPr>
          <w:rFonts w:ascii="Verdana" w:hAnsi="Verdana"/>
          <w:sz w:val="18"/>
          <w:szCs w:val="18"/>
        </w:rPr>
        <w:t>Gezamenlijk houden Europeanen zo’n 11,5 biljoen euro aan in cash en op spaarrekeningen.</w:t>
      </w:r>
      <w:r w:rsidR="00876BB0">
        <w:rPr>
          <w:rStyle w:val="FootnoteReference"/>
          <w:rFonts w:ascii="Verdana" w:hAnsi="Verdana"/>
          <w:sz w:val="18"/>
          <w:szCs w:val="18"/>
        </w:rPr>
        <w:footnoteReference w:id="5"/>
      </w:r>
      <w:r w:rsidR="00876BB0">
        <w:rPr>
          <w:rFonts w:ascii="Verdana" w:hAnsi="Verdana"/>
          <w:sz w:val="18"/>
          <w:szCs w:val="18"/>
        </w:rPr>
        <w:t xml:space="preserve"> </w:t>
      </w:r>
      <w:r w:rsidR="00876BB0">
        <w:rPr>
          <w:rFonts w:ascii="Verdana" w:hAnsi="Verdana"/>
          <w:iCs/>
          <w:sz w:val="18"/>
          <w:szCs w:val="18"/>
        </w:rPr>
        <w:t>Meer hiervan beleggen</w:t>
      </w:r>
      <w:r w:rsidR="00C6451D">
        <w:rPr>
          <w:rFonts w:ascii="Verdana" w:hAnsi="Verdana"/>
          <w:iCs/>
          <w:sz w:val="18"/>
          <w:szCs w:val="18"/>
        </w:rPr>
        <w:t>, onder voorbehoud dat dit verantwoord gebeurt en huishoudens voldoende liquide buffers aanhouden,</w:t>
      </w:r>
      <w:r w:rsidR="000C71D2">
        <w:rPr>
          <w:rFonts w:ascii="Verdana" w:hAnsi="Verdana"/>
          <w:iCs/>
          <w:sz w:val="18"/>
          <w:szCs w:val="18"/>
        </w:rPr>
        <w:t xml:space="preserve"> is</w:t>
      </w:r>
      <w:r w:rsidR="00C6451D">
        <w:rPr>
          <w:rFonts w:ascii="Verdana" w:hAnsi="Verdana"/>
          <w:iCs/>
          <w:sz w:val="18"/>
          <w:szCs w:val="18"/>
        </w:rPr>
        <w:t xml:space="preserve"> op lange termijn </w:t>
      </w:r>
      <w:r w:rsidR="000C71D2">
        <w:rPr>
          <w:rFonts w:ascii="Verdana" w:hAnsi="Verdana"/>
          <w:iCs/>
          <w:sz w:val="18"/>
          <w:szCs w:val="18"/>
        </w:rPr>
        <w:t xml:space="preserve">niet alleen voordelig voor </w:t>
      </w:r>
      <w:r w:rsidR="00F03534">
        <w:rPr>
          <w:rFonts w:ascii="Verdana" w:hAnsi="Verdana"/>
          <w:iCs/>
          <w:sz w:val="18"/>
          <w:szCs w:val="18"/>
        </w:rPr>
        <w:t xml:space="preserve">deze huishoudens </w:t>
      </w:r>
      <w:r w:rsidR="000C71D2">
        <w:rPr>
          <w:rFonts w:ascii="Verdana" w:hAnsi="Verdana"/>
          <w:iCs/>
          <w:sz w:val="18"/>
          <w:szCs w:val="18"/>
        </w:rPr>
        <w:t>zelf</w:t>
      </w:r>
      <w:r w:rsidR="00F03534">
        <w:rPr>
          <w:rFonts w:ascii="Verdana" w:hAnsi="Verdana"/>
          <w:iCs/>
          <w:sz w:val="18"/>
          <w:szCs w:val="18"/>
        </w:rPr>
        <w:t xml:space="preserve">. </w:t>
      </w:r>
      <w:r w:rsidRPr="005B6574" w:rsidR="005B6574">
        <w:rPr>
          <w:rFonts w:ascii="Verdana" w:hAnsi="Verdana"/>
          <w:iCs/>
          <w:sz w:val="18"/>
          <w:szCs w:val="18"/>
        </w:rPr>
        <w:t>Dit</w:t>
      </w:r>
      <w:r w:rsidR="00F03534">
        <w:rPr>
          <w:rFonts w:ascii="Verdana" w:hAnsi="Verdana"/>
          <w:iCs/>
          <w:sz w:val="18"/>
          <w:szCs w:val="18"/>
        </w:rPr>
        <w:t xml:space="preserve"> geld kan </w:t>
      </w:r>
      <w:r w:rsidRPr="005B6574" w:rsidR="005B6574">
        <w:rPr>
          <w:rFonts w:ascii="Verdana" w:hAnsi="Verdana"/>
          <w:iCs/>
          <w:sz w:val="18"/>
          <w:szCs w:val="18"/>
        </w:rPr>
        <w:t>(deels) in</w:t>
      </w:r>
      <w:r w:rsidR="000C71D2">
        <w:rPr>
          <w:rFonts w:ascii="Verdana" w:hAnsi="Verdana"/>
          <w:iCs/>
          <w:sz w:val="18"/>
          <w:szCs w:val="18"/>
        </w:rPr>
        <w:t xml:space="preserve"> het Europese bedrijfsleven en voor de EU van belang zijnde strategische sectoren</w:t>
      </w:r>
      <w:r w:rsidRPr="005B6574" w:rsidR="005B6574">
        <w:rPr>
          <w:rFonts w:ascii="Verdana" w:hAnsi="Verdana"/>
          <w:iCs/>
          <w:sz w:val="18"/>
          <w:szCs w:val="18"/>
        </w:rPr>
        <w:t xml:space="preserve"> worden geïnvesteerd, waardoor bedrijven sneller kunnen groeien en innoveren, en waardoor </w:t>
      </w:r>
      <w:r w:rsidR="00AC3740">
        <w:rPr>
          <w:rFonts w:ascii="Verdana" w:hAnsi="Verdana"/>
          <w:iCs/>
          <w:sz w:val="18"/>
          <w:szCs w:val="18"/>
        </w:rPr>
        <w:t>de EU</w:t>
      </w:r>
      <w:r w:rsidRPr="005B6574" w:rsidR="00AC3740">
        <w:rPr>
          <w:rFonts w:ascii="Verdana" w:hAnsi="Verdana"/>
          <w:iCs/>
          <w:sz w:val="18"/>
          <w:szCs w:val="18"/>
        </w:rPr>
        <w:t xml:space="preserve"> </w:t>
      </w:r>
      <w:r w:rsidRPr="005B6574" w:rsidR="005B6574">
        <w:rPr>
          <w:rFonts w:ascii="Verdana" w:hAnsi="Verdana"/>
          <w:iCs/>
          <w:sz w:val="18"/>
          <w:szCs w:val="18"/>
        </w:rPr>
        <w:t>een aantrekkelijker vestigingsklimaat krijgt</w:t>
      </w:r>
      <w:r w:rsidR="000C71D2">
        <w:rPr>
          <w:rFonts w:ascii="Verdana" w:hAnsi="Verdana"/>
          <w:iCs/>
          <w:sz w:val="18"/>
          <w:szCs w:val="18"/>
        </w:rPr>
        <w:t>.</w:t>
      </w:r>
      <w:r w:rsidR="00C1704F">
        <w:rPr>
          <w:rFonts w:ascii="Verdana" w:hAnsi="Verdana"/>
          <w:iCs/>
          <w:sz w:val="18"/>
          <w:szCs w:val="18"/>
        </w:rPr>
        <w:t xml:space="preserve"> Dit leidt tot een verdere versterking van de Europese kapitaalmarktunie.</w:t>
      </w:r>
      <w:r w:rsidR="000C71D2">
        <w:rPr>
          <w:rFonts w:ascii="Verdana" w:hAnsi="Verdana"/>
          <w:iCs/>
          <w:sz w:val="18"/>
          <w:szCs w:val="18"/>
        </w:rPr>
        <w:t xml:space="preserve"> </w:t>
      </w:r>
      <w:r w:rsidR="008C1CE4">
        <w:rPr>
          <w:rFonts w:ascii="Verdana" w:hAnsi="Verdana"/>
          <w:iCs/>
          <w:sz w:val="18"/>
          <w:szCs w:val="18"/>
        </w:rPr>
        <w:t xml:space="preserve">Het kabinet heeft zich in de </w:t>
      </w:r>
      <w:r w:rsidR="00F75842">
        <w:rPr>
          <w:rFonts w:ascii="Verdana" w:hAnsi="Verdana"/>
          <w:iCs/>
          <w:sz w:val="18"/>
          <w:szCs w:val="18"/>
        </w:rPr>
        <w:t>k</w:t>
      </w:r>
      <w:r w:rsidR="008C1CE4">
        <w:rPr>
          <w:rFonts w:ascii="Verdana" w:hAnsi="Verdana"/>
          <w:iCs/>
          <w:sz w:val="18"/>
          <w:szCs w:val="18"/>
        </w:rPr>
        <w:t>abinetsinzet</w:t>
      </w:r>
      <w:r w:rsidR="000C71D2">
        <w:rPr>
          <w:rFonts w:ascii="Verdana" w:hAnsi="Verdana"/>
          <w:iCs/>
          <w:sz w:val="18"/>
          <w:szCs w:val="18"/>
        </w:rPr>
        <w:t xml:space="preserve"> </w:t>
      </w:r>
      <w:r w:rsidR="00F10BF5">
        <w:rPr>
          <w:rFonts w:ascii="Verdana" w:hAnsi="Verdana"/>
          <w:iCs/>
          <w:sz w:val="18"/>
          <w:szCs w:val="18"/>
        </w:rPr>
        <w:t xml:space="preserve">daarom </w:t>
      </w:r>
      <w:r w:rsidR="000C71D2">
        <w:rPr>
          <w:rFonts w:ascii="Verdana" w:hAnsi="Verdana"/>
          <w:iCs/>
          <w:sz w:val="18"/>
          <w:szCs w:val="18"/>
        </w:rPr>
        <w:t xml:space="preserve">uitgesproken </w:t>
      </w:r>
      <w:r w:rsidR="008C1CE4">
        <w:rPr>
          <w:rFonts w:ascii="Verdana" w:hAnsi="Verdana"/>
          <w:iCs/>
          <w:sz w:val="18"/>
          <w:szCs w:val="18"/>
        </w:rPr>
        <w:t>voor de ontwikkeling van een raamwerk voor een</w:t>
      </w:r>
      <w:r w:rsidR="000C71D2">
        <w:rPr>
          <w:rFonts w:ascii="Verdana" w:hAnsi="Verdana"/>
          <w:iCs/>
          <w:sz w:val="18"/>
          <w:szCs w:val="18"/>
        </w:rPr>
        <w:t xml:space="preserve"> EU-beleggingsrekening </w:t>
      </w:r>
      <w:r w:rsidR="008C1CE4">
        <w:rPr>
          <w:rFonts w:ascii="Verdana" w:hAnsi="Verdana"/>
          <w:iCs/>
          <w:sz w:val="18"/>
          <w:szCs w:val="18"/>
        </w:rPr>
        <w:t xml:space="preserve">waarop lidstaten fiscale prikkels kunnen toepassen </w:t>
      </w:r>
      <w:r w:rsidR="000C71D2">
        <w:rPr>
          <w:rFonts w:ascii="Verdana" w:hAnsi="Verdana"/>
          <w:iCs/>
          <w:sz w:val="18"/>
          <w:szCs w:val="18"/>
        </w:rPr>
        <w:t xml:space="preserve">om </w:t>
      </w:r>
      <w:r w:rsidR="008C1CE4">
        <w:rPr>
          <w:rFonts w:ascii="Verdana" w:hAnsi="Verdana"/>
          <w:iCs/>
          <w:sz w:val="18"/>
          <w:szCs w:val="18"/>
        </w:rPr>
        <w:t>consumenten</w:t>
      </w:r>
      <w:r w:rsidR="000C71D2">
        <w:rPr>
          <w:rFonts w:ascii="Verdana" w:hAnsi="Verdana"/>
          <w:iCs/>
          <w:sz w:val="18"/>
          <w:szCs w:val="18"/>
        </w:rPr>
        <w:t xml:space="preserve"> te stimuleren meer in de EU te gaan beleggen.</w:t>
      </w:r>
      <w:r w:rsidR="005F401E">
        <w:rPr>
          <w:rFonts w:ascii="Verdana" w:hAnsi="Verdana"/>
          <w:iCs/>
          <w:sz w:val="18"/>
          <w:szCs w:val="18"/>
        </w:rPr>
        <w:t xml:space="preserve"> </w:t>
      </w:r>
      <w:r w:rsidR="00524896">
        <w:rPr>
          <w:rFonts w:ascii="Verdana" w:hAnsi="Verdana"/>
          <w:iCs/>
          <w:sz w:val="18"/>
          <w:szCs w:val="18"/>
        </w:rPr>
        <w:t>Meer belegg</w:t>
      </w:r>
      <w:r w:rsidR="00B722FA">
        <w:rPr>
          <w:rFonts w:ascii="Verdana" w:hAnsi="Verdana"/>
          <w:iCs/>
          <w:sz w:val="18"/>
          <w:szCs w:val="18"/>
        </w:rPr>
        <w:t>en</w:t>
      </w:r>
      <w:r w:rsidR="00524896">
        <w:rPr>
          <w:rFonts w:ascii="Verdana" w:hAnsi="Verdana"/>
          <w:iCs/>
          <w:sz w:val="18"/>
          <w:szCs w:val="18"/>
        </w:rPr>
        <w:t xml:space="preserve"> in de EU kom</w:t>
      </w:r>
      <w:r w:rsidR="00B722FA">
        <w:rPr>
          <w:rFonts w:ascii="Verdana" w:hAnsi="Verdana"/>
          <w:iCs/>
          <w:sz w:val="18"/>
          <w:szCs w:val="18"/>
        </w:rPr>
        <w:t>t ook</w:t>
      </w:r>
      <w:r w:rsidR="00524896">
        <w:rPr>
          <w:rFonts w:ascii="Verdana" w:hAnsi="Verdana"/>
          <w:iCs/>
          <w:sz w:val="18"/>
          <w:szCs w:val="18"/>
        </w:rPr>
        <w:t xml:space="preserve"> de Nederlandse economie ten goede. De Nederlandse kapitaalmarkt is goed ontwikkeld, waardoor het stimuleren van meer kapitaal op de Europese kapitaalmarkten </w:t>
      </w:r>
      <w:r w:rsidR="00B722FA">
        <w:rPr>
          <w:rFonts w:ascii="Verdana" w:hAnsi="Verdana"/>
          <w:iCs/>
          <w:sz w:val="18"/>
          <w:szCs w:val="18"/>
        </w:rPr>
        <w:t xml:space="preserve">ook </w:t>
      </w:r>
      <w:r w:rsidR="00524896">
        <w:rPr>
          <w:rFonts w:ascii="Verdana" w:hAnsi="Verdana"/>
          <w:iCs/>
          <w:sz w:val="18"/>
          <w:szCs w:val="18"/>
        </w:rPr>
        <w:t>goed voor Nederland is.</w:t>
      </w:r>
    </w:p>
    <w:p w:rsidR="000C71D2" w:rsidP="00D6254E" w:rsidRDefault="000C71D2" w14:paraId="786C9DAD" w14:textId="77777777">
      <w:pPr>
        <w:spacing w:line="360" w:lineRule="auto"/>
        <w:rPr>
          <w:rFonts w:ascii="Verdana" w:hAnsi="Verdana"/>
          <w:iCs/>
          <w:sz w:val="18"/>
          <w:szCs w:val="18"/>
        </w:rPr>
      </w:pPr>
    </w:p>
    <w:p w:rsidR="008C1CE4" w:rsidP="00AF68EC" w:rsidRDefault="000C71D2" w14:paraId="166E659B" w14:textId="232DCDBA">
      <w:pPr>
        <w:spacing w:line="360" w:lineRule="auto"/>
        <w:rPr>
          <w:rFonts w:ascii="Verdana" w:hAnsi="Verdana"/>
          <w:iCs/>
          <w:sz w:val="18"/>
          <w:szCs w:val="18"/>
        </w:rPr>
      </w:pPr>
      <w:r>
        <w:rPr>
          <w:rFonts w:ascii="Verdana" w:hAnsi="Verdana"/>
          <w:iCs/>
          <w:sz w:val="18"/>
          <w:szCs w:val="18"/>
        </w:rPr>
        <w:t>Naast voornoemde</w:t>
      </w:r>
      <w:r w:rsidR="00F10BF5">
        <w:rPr>
          <w:rFonts w:ascii="Verdana" w:hAnsi="Verdana"/>
          <w:iCs/>
          <w:sz w:val="18"/>
          <w:szCs w:val="18"/>
        </w:rPr>
        <w:t xml:space="preserve"> kamerbrief, heeft Nederland op 5 juni 2025 in een kopgroep van deelnemende </w:t>
      </w:r>
      <w:r w:rsidR="00375EAE">
        <w:rPr>
          <w:rFonts w:ascii="Verdana" w:hAnsi="Verdana"/>
          <w:iCs/>
          <w:sz w:val="18"/>
          <w:szCs w:val="18"/>
        </w:rPr>
        <w:t>lidstaten</w:t>
      </w:r>
      <w:r w:rsidR="00F10BF5">
        <w:rPr>
          <w:rFonts w:ascii="Verdana" w:hAnsi="Verdana"/>
          <w:iCs/>
          <w:sz w:val="18"/>
          <w:szCs w:val="18"/>
        </w:rPr>
        <w:t xml:space="preserve"> een intentieverklaring getekend voor de lancering van </w:t>
      </w:r>
      <w:r w:rsidRPr="006C72AB" w:rsidR="00F10BF5">
        <w:rPr>
          <w:rFonts w:ascii="Verdana" w:hAnsi="Verdana"/>
          <w:i/>
          <w:sz w:val="18"/>
          <w:szCs w:val="18"/>
        </w:rPr>
        <w:t>Finance Europe</w:t>
      </w:r>
      <w:r w:rsidR="00F10BF5">
        <w:rPr>
          <w:rFonts w:ascii="Verdana" w:hAnsi="Verdana"/>
          <w:iCs/>
          <w:sz w:val="18"/>
          <w:szCs w:val="18"/>
        </w:rPr>
        <w:t xml:space="preserve">: een Europees beleggingslabel </w:t>
      </w:r>
      <w:r w:rsidR="00AF68EC">
        <w:rPr>
          <w:rFonts w:ascii="Verdana" w:hAnsi="Verdana"/>
          <w:iCs/>
          <w:sz w:val="18"/>
          <w:szCs w:val="18"/>
        </w:rPr>
        <w:t>voor beleggingsrekeningen en -producten die (i) voor minsten</w:t>
      </w:r>
      <w:r w:rsidR="00F75842">
        <w:rPr>
          <w:rFonts w:ascii="Verdana" w:hAnsi="Verdana"/>
          <w:iCs/>
          <w:sz w:val="18"/>
          <w:szCs w:val="18"/>
        </w:rPr>
        <w:t>s</w:t>
      </w:r>
      <w:r w:rsidR="00AF68EC">
        <w:rPr>
          <w:rFonts w:ascii="Verdana" w:hAnsi="Verdana"/>
          <w:iCs/>
          <w:sz w:val="18"/>
          <w:szCs w:val="18"/>
        </w:rPr>
        <w:t xml:space="preserve"> 70% in de Europese Economische Ruimte (EER) beleggen en (ii) ontworpen zijn om langdurig aan te houden.</w:t>
      </w:r>
      <w:r w:rsidRPr="006C72AB" w:rsidR="003B7638">
        <w:rPr>
          <w:rStyle w:val="FootnoteReference"/>
          <w:rFonts w:ascii="Verdana" w:hAnsi="Verdana"/>
          <w:iCs/>
          <w:sz w:val="18"/>
          <w:szCs w:val="18"/>
        </w:rPr>
        <w:footnoteReference w:id="6"/>
      </w:r>
      <w:r w:rsidRPr="00716274" w:rsidR="00207F15">
        <w:rPr>
          <w:rFonts w:ascii="Verdana" w:hAnsi="Verdana"/>
          <w:iCs/>
          <w:sz w:val="18"/>
          <w:szCs w:val="18"/>
        </w:rPr>
        <w:t xml:space="preserve"> </w:t>
      </w:r>
      <w:r w:rsidR="002F61AC">
        <w:rPr>
          <w:rFonts w:ascii="Verdana" w:hAnsi="Verdana"/>
          <w:iCs/>
          <w:sz w:val="18"/>
          <w:szCs w:val="18"/>
        </w:rPr>
        <w:t xml:space="preserve">Het label moet consumenten meer </w:t>
      </w:r>
      <w:r w:rsidR="005555B0">
        <w:rPr>
          <w:rFonts w:ascii="Verdana" w:hAnsi="Verdana"/>
          <w:iCs/>
          <w:sz w:val="18"/>
          <w:szCs w:val="18"/>
        </w:rPr>
        <w:t xml:space="preserve">en duidelijke </w:t>
      </w:r>
      <w:r w:rsidR="002F61AC">
        <w:rPr>
          <w:rFonts w:ascii="Verdana" w:hAnsi="Verdana"/>
          <w:iCs/>
          <w:sz w:val="18"/>
          <w:szCs w:val="18"/>
        </w:rPr>
        <w:t xml:space="preserve">mogelijkheden geven om te beleggen in de Europese economie om zodoende het rendement op hun vermogen te vergroten. </w:t>
      </w:r>
    </w:p>
    <w:p w:rsidR="008C1CE4" w:rsidP="00AF68EC" w:rsidRDefault="008C1CE4" w14:paraId="579A7CE1" w14:textId="77777777">
      <w:pPr>
        <w:spacing w:line="360" w:lineRule="auto"/>
        <w:rPr>
          <w:rFonts w:ascii="Verdana" w:hAnsi="Verdana"/>
          <w:iCs/>
          <w:sz w:val="18"/>
          <w:szCs w:val="18"/>
        </w:rPr>
      </w:pPr>
    </w:p>
    <w:p w:rsidRPr="00E86FA2" w:rsidR="00E86FA2" w:rsidP="00E86FA2" w:rsidRDefault="00E86FA2" w14:paraId="58E46166" w14:textId="7294B002">
      <w:pPr>
        <w:tabs>
          <w:tab w:val="left" w:pos="360"/>
          <w:tab w:val="left" w:pos="4500"/>
          <w:tab w:val="left" w:pos="5580"/>
        </w:tabs>
        <w:spacing w:line="360" w:lineRule="auto"/>
        <w:rPr>
          <w:rFonts w:ascii="Verdana" w:hAnsi="Verdana"/>
          <w:iCs/>
          <w:sz w:val="18"/>
          <w:szCs w:val="18"/>
          <w:vertAlign w:val="superscript"/>
        </w:rPr>
      </w:pPr>
      <w:r>
        <w:rPr>
          <w:rFonts w:ascii="Verdana" w:hAnsi="Verdana"/>
          <w:iCs/>
          <w:sz w:val="18"/>
          <w:szCs w:val="18"/>
        </w:rPr>
        <w:t xml:space="preserve">Ten aanzien van fiscale prikkels heeft het kabinet in de </w:t>
      </w:r>
      <w:r w:rsidR="00F75842">
        <w:rPr>
          <w:rFonts w:ascii="Verdana" w:hAnsi="Verdana"/>
          <w:iCs/>
          <w:sz w:val="18"/>
          <w:szCs w:val="18"/>
        </w:rPr>
        <w:t>k</w:t>
      </w:r>
      <w:r>
        <w:rPr>
          <w:rFonts w:ascii="Verdana" w:hAnsi="Verdana"/>
          <w:iCs/>
          <w:sz w:val="18"/>
          <w:szCs w:val="18"/>
        </w:rPr>
        <w:t>abinetsinzet toegezegd te bezien of in Nederland additionele fiscale prikkels kunnen worden ingericht wanneer het raamwerk voor de EU-beleggingsrekening vorm gekregen heeft.</w:t>
      </w:r>
      <w:r>
        <w:rPr>
          <w:rStyle w:val="FootnoteReference"/>
          <w:rFonts w:ascii="Verdana" w:hAnsi="Verdana"/>
          <w:iCs/>
          <w:sz w:val="18"/>
          <w:szCs w:val="18"/>
        </w:rPr>
        <w:footnoteReference w:id="7"/>
      </w:r>
      <w:r>
        <w:rPr>
          <w:rFonts w:ascii="Verdana" w:hAnsi="Verdana"/>
          <w:iCs/>
          <w:sz w:val="18"/>
          <w:szCs w:val="18"/>
        </w:rPr>
        <w:t xml:space="preserve"> Daarnaast heeft Nederland via de intentieverklaring voor de lancering van </w:t>
      </w:r>
      <w:r w:rsidRPr="006C72AB">
        <w:rPr>
          <w:rFonts w:ascii="Verdana" w:hAnsi="Verdana"/>
          <w:i/>
          <w:sz w:val="18"/>
          <w:szCs w:val="18"/>
        </w:rPr>
        <w:t>Finance Europe</w:t>
      </w:r>
      <w:r>
        <w:rPr>
          <w:rFonts w:ascii="Verdana" w:hAnsi="Verdana"/>
          <w:iCs/>
          <w:sz w:val="18"/>
          <w:szCs w:val="18"/>
        </w:rPr>
        <w:t xml:space="preserve"> ermee ingestemd te zullen verkennen of </w:t>
      </w:r>
      <w:r w:rsidRPr="006C72AB">
        <w:rPr>
          <w:rFonts w:ascii="Verdana" w:hAnsi="Verdana"/>
          <w:i/>
          <w:sz w:val="18"/>
          <w:szCs w:val="18"/>
        </w:rPr>
        <w:t>Finance Europe</w:t>
      </w:r>
      <w:r>
        <w:rPr>
          <w:rFonts w:ascii="Verdana" w:hAnsi="Verdana"/>
          <w:iCs/>
          <w:sz w:val="18"/>
          <w:szCs w:val="18"/>
        </w:rPr>
        <w:t xml:space="preserve"> fiscaal gunstig kan worden behandeld.</w:t>
      </w:r>
      <w:r w:rsidRPr="00E061BB">
        <w:rPr>
          <w:rFonts w:ascii="Verdana" w:hAnsi="Verdana"/>
          <w:sz w:val="18"/>
          <w:szCs w:val="18"/>
        </w:rPr>
        <w:t xml:space="preserve"> </w:t>
      </w:r>
      <w:r w:rsidRPr="001B50E9">
        <w:rPr>
          <w:rFonts w:ascii="Verdana" w:hAnsi="Verdana"/>
          <w:sz w:val="18"/>
          <w:szCs w:val="18"/>
        </w:rPr>
        <w:t xml:space="preserve">Hierbij kan gedacht worden om </w:t>
      </w:r>
      <w:r w:rsidR="00961C17">
        <w:rPr>
          <w:rFonts w:ascii="Verdana" w:hAnsi="Verdana"/>
          <w:sz w:val="18"/>
          <w:szCs w:val="18"/>
        </w:rPr>
        <w:t xml:space="preserve">eventuele stimulering </w:t>
      </w:r>
      <w:r w:rsidRPr="001B50E9">
        <w:rPr>
          <w:rFonts w:ascii="Verdana" w:hAnsi="Verdana"/>
          <w:sz w:val="18"/>
          <w:szCs w:val="18"/>
        </w:rPr>
        <w:t xml:space="preserve">specifiek te richten op bedrijven in voor </w:t>
      </w:r>
      <w:r w:rsidR="00961C17">
        <w:rPr>
          <w:rFonts w:ascii="Verdana" w:hAnsi="Verdana"/>
          <w:sz w:val="18"/>
          <w:szCs w:val="18"/>
        </w:rPr>
        <w:t xml:space="preserve">het </w:t>
      </w:r>
      <w:r w:rsidRPr="001B50E9">
        <w:rPr>
          <w:rFonts w:ascii="Verdana" w:hAnsi="Verdana"/>
          <w:sz w:val="18"/>
          <w:szCs w:val="18"/>
        </w:rPr>
        <w:t>EU</w:t>
      </w:r>
      <w:r>
        <w:rPr>
          <w:rFonts w:ascii="Verdana" w:hAnsi="Verdana"/>
          <w:sz w:val="18"/>
          <w:szCs w:val="18"/>
        </w:rPr>
        <w:t>-</w:t>
      </w:r>
      <w:r w:rsidRPr="001B50E9">
        <w:rPr>
          <w:rFonts w:ascii="Verdana" w:hAnsi="Verdana"/>
          <w:sz w:val="18"/>
          <w:szCs w:val="18"/>
        </w:rPr>
        <w:t>concurrentievermogen strategische sectoren</w:t>
      </w:r>
      <w:r w:rsidRPr="00D05BA5">
        <w:rPr>
          <w:rFonts w:ascii="Verdana" w:hAnsi="Verdana"/>
          <w:sz w:val="18"/>
          <w:szCs w:val="18"/>
        </w:rPr>
        <w:t xml:space="preserve">. Nieuwe of bestaande fiscale regelingen – zoals de voorgestelde </w:t>
      </w:r>
      <w:r w:rsidR="00961C17">
        <w:rPr>
          <w:rFonts w:ascii="Verdana" w:hAnsi="Verdana"/>
          <w:sz w:val="18"/>
          <w:szCs w:val="18"/>
        </w:rPr>
        <w:t>stimulering</w:t>
      </w:r>
      <w:r w:rsidRPr="00D05BA5">
        <w:rPr>
          <w:rFonts w:ascii="Verdana" w:hAnsi="Verdana"/>
          <w:sz w:val="18"/>
          <w:szCs w:val="18"/>
        </w:rPr>
        <w:t xml:space="preserve"> – worden daarbij getoetst op doeltreffendheid en doelmatigheid.</w:t>
      </w:r>
      <w:r w:rsidRPr="00A9174B">
        <w:rPr>
          <w:rFonts w:ascii="Verdana" w:hAnsi="Verdana"/>
          <w:sz w:val="18"/>
          <w:szCs w:val="18"/>
        </w:rPr>
        <w:t xml:space="preserve"> </w:t>
      </w:r>
      <w:r>
        <w:rPr>
          <w:rFonts w:ascii="Verdana" w:hAnsi="Verdana"/>
          <w:sz w:val="18"/>
          <w:szCs w:val="18"/>
        </w:rPr>
        <w:t>Dit wordt onderzocht wanneer</w:t>
      </w:r>
      <w:r w:rsidRPr="00D05BA5">
        <w:rPr>
          <w:rFonts w:ascii="Verdana" w:hAnsi="Verdana"/>
          <w:sz w:val="18"/>
          <w:szCs w:val="18"/>
        </w:rPr>
        <w:t xml:space="preserve"> het nieuwe box 3-stelsel in werking is getreden.</w:t>
      </w:r>
      <w:r>
        <w:rPr>
          <w:rFonts w:ascii="Verdana" w:hAnsi="Verdana"/>
          <w:sz w:val="18"/>
          <w:szCs w:val="18"/>
        </w:rPr>
        <w:t xml:space="preserve"> Tot dan heeft de herziening van het stelsel prioriteit. </w:t>
      </w:r>
    </w:p>
    <w:p w:rsidR="00375EAE" w:rsidP="00AF68EC" w:rsidRDefault="00375EAE" w14:paraId="376B3709" w14:textId="77777777">
      <w:pPr>
        <w:spacing w:line="360" w:lineRule="auto"/>
        <w:rPr>
          <w:rFonts w:ascii="Verdana" w:hAnsi="Verdana"/>
          <w:iCs/>
          <w:sz w:val="18"/>
          <w:szCs w:val="18"/>
        </w:rPr>
      </w:pPr>
    </w:p>
    <w:p w:rsidRPr="007E1F3A" w:rsidR="00156FB4" w:rsidP="00E86FA2" w:rsidRDefault="00E86FA2" w14:paraId="254178F7" w14:textId="676B3B93">
      <w:pPr>
        <w:tabs>
          <w:tab w:val="left" w:pos="360"/>
          <w:tab w:val="left" w:pos="4500"/>
          <w:tab w:val="left" w:pos="5580"/>
        </w:tabs>
        <w:spacing w:line="360" w:lineRule="auto"/>
        <w:rPr>
          <w:rFonts w:ascii="Verdana" w:hAnsi="Verdana"/>
          <w:sz w:val="16"/>
          <w:szCs w:val="16"/>
        </w:rPr>
      </w:pPr>
      <w:r>
        <w:rPr>
          <w:rFonts w:ascii="Verdana" w:hAnsi="Verdana"/>
          <w:iCs/>
          <w:sz w:val="18"/>
          <w:szCs w:val="18"/>
        </w:rPr>
        <w:t>Tot slot</w:t>
      </w:r>
      <w:r w:rsidR="007D0F2E">
        <w:rPr>
          <w:rFonts w:ascii="Verdana" w:hAnsi="Verdana"/>
          <w:iCs/>
          <w:sz w:val="18"/>
          <w:szCs w:val="18"/>
        </w:rPr>
        <w:t xml:space="preserve"> </w:t>
      </w:r>
      <w:r>
        <w:rPr>
          <w:rFonts w:ascii="Verdana" w:hAnsi="Verdana"/>
          <w:iCs/>
          <w:sz w:val="18"/>
          <w:szCs w:val="18"/>
        </w:rPr>
        <w:t xml:space="preserve">streeft </w:t>
      </w:r>
      <w:r w:rsidR="00F75842">
        <w:rPr>
          <w:rFonts w:ascii="Verdana" w:hAnsi="Verdana"/>
          <w:sz w:val="18"/>
          <w:szCs w:val="18"/>
        </w:rPr>
        <w:t>het kabinet</w:t>
      </w:r>
      <w:r w:rsidRPr="00D05BA5" w:rsidR="00F75842">
        <w:rPr>
          <w:rFonts w:ascii="Verdana" w:hAnsi="Verdana"/>
          <w:sz w:val="18"/>
          <w:szCs w:val="18"/>
        </w:rPr>
        <w:t xml:space="preserve"> </w:t>
      </w:r>
      <w:r w:rsidRPr="00D05BA5">
        <w:rPr>
          <w:rFonts w:ascii="Verdana" w:hAnsi="Verdana"/>
          <w:sz w:val="18"/>
          <w:szCs w:val="18"/>
        </w:rPr>
        <w:t>naar een eenvoudig en sterk geautomatiseerd aangifteproces. Het vooraf invullen van de aangifte inkomstenbelasting, mede mogelijk dankzij de renseigneringsverplichting</w:t>
      </w:r>
      <w:r w:rsidR="006B14C2">
        <w:rPr>
          <w:rStyle w:val="FootnoteReference"/>
          <w:rFonts w:ascii="Verdana" w:hAnsi="Verdana"/>
          <w:sz w:val="18"/>
          <w:szCs w:val="18"/>
        </w:rPr>
        <w:footnoteReference w:id="8"/>
      </w:r>
      <w:r w:rsidR="006B14C2">
        <w:rPr>
          <w:rFonts w:ascii="Verdana" w:hAnsi="Verdana"/>
          <w:sz w:val="18"/>
          <w:szCs w:val="18"/>
        </w:rPr>
        <w:t xml:space="preserve"> </w:t>
      </w:r>
      <w:r w:rsidRPr="00D05BA5">
        <w:rPr>
          <w:rFonts w:ascii="Verdana" w:hAnsi="Verdana"/>
          <w:sz w:val="18"/>
          <w:szCs w:val="18"/>
        </w:rPr>
        <w:t>van werkgevers, banken en verzekeraars, is een voorbeeld dat dit doel dient.</w:t>
      </w:r>
    </w:p>
    <w:p w:rsidRPr="00E86FA2" w:rsidR="00E86FA2" w:rsidP="00E86FA2" w:rsidRDefault="00E86FA2" w14:paraId="738538AE" w14:textId="77777777">
      <w:pPr>
        <w:tabs>
          <w:tab w:val="left" w:pos="360"/>
          <w:tab w:val="left" w:pos="4500"/>
          <w:tab w:val="left" w:pos="5580"/>
        </w:tabs>
        <w:spacing w:line="360" w:lineRule="auto"/>
        <w:rPr>
          <w:rFonts w:ascii="Verdana" w:hAnsi="Verdana"/>
          <w:sz w:val="18"/>
          <w:szCs w:val="18"/>
        </w:rPr>
      </w:pPr>
    </w:p>
    <w:p w:rsidRPr="006768D9" w:rsidR="00AF68EC" w:rsidP="00AF68EC" w:rsidRDefault="00FD0CBD" w14:paraId="272611F6" w14:textId="0536C278">
      <w:pPr>
        <w:numPr>
          <w:ilvl w:val="0"/>
          <w:numId w:val="21"/>
        </w:numPr>
        <w:spacing w:line="360" w:lineRule="auto"/>
        <w:rPr>
          <w:rFonts w:ascii="Verdana" w:hAnsi="Verdana"/>
          <w:i/>
          <w:sz w:val="18"/>
          <w:szCs w:val="18"/>
        </w:rPr>
      </w:pPr>
      <w:r w:rsidRPr="00FD0CBD">
        <w:rPr>
          <w:rFonts w:ascii="Verdana" w:hAnsi="Verdana"/>
          <w:i/>
          <w:sz w:val="18"/>
          <w:szCs w:val="18"/>
        </w:rPr>
        <w:t>Beoordeling + inzet ten aanzien van dit voorstel</w:t>
      </w:r>
    </w:p>
    <w:p w:rsidR="00467B18" w:rsidP="00AF68EC" w:rsidRDefault="00532D91" w14:paraId="709FC7E6" w14:textId="66C5A07B">
      <w:pPr>
        <w:spacing w:line="360" w:lineRule="auto"/>
        <w:rPr>
          <w:rFonts w:ascii="Verdana" w:hAnsi="Verdana"/>
          <w:iCs/>
          <w:sz w:val="18"/>
          <w:szCs w:val="18"/>
        </w:rPr>
      </w:pPr>
      <w:r>
        <w:rPr>
          <w:rFonts w:ascii="Verdana" w:hAnsi="Verdana"/>
          <w:iCs/>
          <w:sz w:val="18"/>
          <w:szCs w:val="18"/>
        </w:rPr>
        <w:t xml:space="preserve">Conform de vastgestelde inzet staat het kabinet positief tegenover het streven en methoden om de participatie van retailbeleggers te </w:t>
      </w:r>
      <w:r w:rsidR="00375EAE">
        <w:rPr>
          <w:rFonts w:ascii="Verdana" w:hAnsi="Verdana"/>
          <w:iCs/>
          <w:sz w:val="18"/>
          <w:szCs w:val="18"/>
        </w:rPr>
        <w:t>vergroten</w:t>
      </w:r>
      <w:r w:rsidR="003750E3">
        <w:rPr>
          <w:rFonts w:ascii="Verdana" w:hAnsi="Verdana"/>
          <w:iCs/>
          <w:sz w:val="18"/>
          <w:szCs w:val="18"/>
        </w:rPr>
        <w:t xml:space="preserve">. Hieronder valt ook </w:t>
      </w:r>
      <w:r>
        <w:rPr>
          <w:rFonts w:ascii="Verdana" w:hAnsi="Verdana"/>
          <w:iCs/>
          <w:sz w:val="18"/>
          <w:szCs w:val="18"/>
        </w:rPr>
        <w:t xml:space="preserve">de </w:t>
      </w:r>
      <w:r w:rsidR="00673D3F">
        <w:rPr>
          <w:rFonts w:ascii="Verdana" w:hAnsi="Verdana"/>
          <w:iCs/>
          <w:sz w:val="18"/>
          <w:szCs w:val="18"/>
        </w:rPr>
        <w:t xml:space="preserve">ontwikkeling </w:t>
      </w:r>
      <w:r>
        <w:rPr>
          <w:rFonts w:ascii="Verdana" w:hAnsi="Verdana"/>
          <w:iCs/>
          <w:sz w:val="18"/>
          <w:szCs w:val="18"/>
        </w:rPr>
        <w:t xml:space="preserve">van een </w:t>
      </w:r>
      <w:r w:rsidR="00673D3F">
        <w:rPr>
          <w:rFonts w:ascii="Verdana" w:hAnsi="Verdana"/>
          <w:iCs/>
          <w:sz w:val="18"/>
          <w:szCs w:val="18"/>
        </w:rPr>
        <w:t xml:space="preserve">raamwerk voor een </w:t>
      </w:r>
      <w:r>
        <w:rPr>
          <w:rFonts w:ascii="Verdana" w:hAnsi="Verdana"/>
          <w:iCs/>
          <w:sz w:val="18"/>
          <w:szCs w:val="18"/>
        </w:rPr>
        <w:t>(EU-)beleggingsrekening.</w:t>
      </w:r>
      <w:r w:rsidR="00467B18">
        <w:rPr>
          <w:rFonts w:ascii="Verdana" w:hAnsi="Verdana"/>
          <w:iCs/>
          <w:sz w:val="18"/>
          <w:szCs w:val="18"/>
        </w:rPr>
        <w:t xml:space="preserve"> </w:t>
      </w:r>
      <w:r w:rsidR="00673D3F">
        <w:rPr>
          <w:rFonts w:ascii="Verdana" w:hAnsi="Verdana"/>
          <w:iCs/>
          <w:sz w:val="18"/>
          <w:szCs w:val="18"/>
        </w:rPr>
        <w:t xml:space="preserve">Met </w:t>
      </w:r>
      <w:r w:rsidR="009B74DE">
        <w:rPr>
          <w:rFonts w:ascii="Verdana" w:hAnsi="Verdana"/>
          <w:iCs/>
          <w:sz w:val="18"/>
          <w:szCs w:val="18"/>
        </w:rPr>
        <w:t>de</w:t>
      </w:r>
      <w:r w:rsidR="00673D3F">
        <w:rPr>
          <w:rFonts w:ascii="Verdana" w:hAnsi="Verdana"/>
          <w:iCs/>
          <w:sz w:val="18"/>
          <w:szCs w:val="18"/>
        </w:rPr>
        <w:t xml:space="preserve"> aanbeveling heeft dat raamwerk vorm gekregen, zodat de lidstaten daarmee aan de slag kunnen. Hieronder beoordeelt het kabinet eerst de niet-fiscale en vervolgens de fiscale kenmerken van </w:t>
      </w:r>
      <w:r w:rsidR="00A706F8">
        <w:rPr>
          <w:rFonts w:ascii="Verdana" w:hAnsi="Verdana"/>
          <w:iCs/>
          <w:sz w:val="18"/>
          <w:szCs w:val="18"/>
        </w:rPr>
        <w:t>het</w:t>
      </w:r>
      <w:r w:rsidR="00673D3F">
        <w:rPr>
          <w:rFonts w:ascii="Verdana" w:hAnsi="Verdana"/>
          <w:iCs/>
          <w:sz w:val="18"/>
          <w:szCs w:val="18"/>
        </w:rPr>
        <w:t xml:space="preserve"> raamwerk. Hierbij </w:t>
      </w:r>
      <w:r w:rsidR="006C1E82">
        <w:rPr>
          <w:rFonts w:ascii="Verdana" w:hAnsi="Verdana"/>
          <w:iCs/>
          <w:sz w:val="18"/>
          <w:szCs w:val="18"/>
        </w:rPr>
        <w:t xml:space="preserve">wordt ook ingegaan </w:t>
      </w:r>
      <w:r w:rsidR="00673D3F">
        <w:rPr>
          <w:rFonts w:ascii="Verdana" w:hAnsi="Verdana"/>
          <w:iCs/>
          <w:sz w:val="18"/>
          <w:szCs w:val="18"/>
        </w:rPr>
        <w:t xml:space="preserve">op de vervolgstappen en wanneer die kunnen worden verwacht. </w:t>
      </w:r>
    </w:p>
    <w:p w:rsidR="00467B18" w:rsidP="00AF68EC" w:rsidRDefault="00467B18" w14:paraId="7147B7CA" w14:textId="5CED182B">
      <w:pPr>
        <w:spacing w:line="360" w:lineRule="auto"/>
        <w:rPr>
          <w:rFonts w:ascii="Verdana" w:hAnsi="Verdana"/>
          <w:iCs/>
          <w:sz w:val="18"/>
          <w:szCs w:val="18"/>
        </w:rPr>
      </w:pPr>
    </w:p>
    <w:p w:rsidR="00E13314" w:rsidP="00BA3150" w:rsidRDefault="00673D3F" w14:paraId="066D3F26" w14:textId="77777777">
      <w:pPr>
        <w:spacing w:line="360" w:lineRule="auto"/>
        <w:rPr>
          <w:rFonts w:ascii="Verdana" w:hAnsi="Verdana"/>
          <w:iCs/>
          <w:sz w:val="18"/>
          <w:szCs w:val="18"/>
        </w:rPr>
      </w:pPr>
      <w:r>
        <w:rPr>
          <w:rFonts w:ascii="Verdana" w:hAnsi="Verdana"/>
          <w:iCs/>
          <w:sz w:val="18"/>
          <w:szCs w:val="18"/>
        </w:rPr>
        <w:t xml:space="preserve">Het kabinet </w:t>
      </w:r>
      <w:r w:rsidR="00B722FA">
        <w:rPr>
          <w:rFonts w:ascii="Verdana" w:hAnsi="Verdana"/>
          <w:iCs/>
          <w:sz w:val="18"/>
          <w:szCs w:val="18"/>
        </w:rPr>
        <w:t>is positief</w:t>
      </w:r>
      <w:r>
        <w:rPr>
          <w:rFonts w:ascii="Verdana" w:hAnsi="Verdana"/>
          <w:iCs/>
          <w:sz w:val="18"/>
          <w:szCs w:val="18"/>
        </w:rPr>
        <w:t xml:space="preserve"> </w:t>
      </w:r>
      <w:r w:rsidR="00B722FA">
        <w:rPr>
          <w:rFonts w:ascii="Verdana" w:hAnsi="Verdana"/>
          <w:iCs/>
          <w:sz w:val="18"/>
          <w:szCs w:val="18"/>
        </w:rPr>
        <w:t xml:space="preserve">over </w:t>
      </w:r>
      <w:r>
        <w:rPr>
          <w:rFonts w:ascii="Verdana" w:hAnsi="Verdana"/>
          <w:iCs/>
          <w:sz w:val="18"/>
          <w:szCs w:val="18"/>
        </w:rPr>
        <w:t xml:space="preserve">de </w:t>
      </w:r>
      <w:r w:rsidRPr="006C72AB">
        <w:rPr>
          <w:rFonts w:ascii="Verdana" w:hAnsi="Verdana"/>
          <w:iCs/>
          <w:sz w:val="18"/>
          <w:szCs w:val="18"/>
        </w:rPr>
        <w:t>niet-fiscale kenmerken</w:t>
      </w:r>
      <w:r>
        <w:rPr>
          <w:rFonts w:ascii="Verdana" w:hAnsi="Verdana"/>
          <w:iCs/>
          <w:sz w:val="18"/>
          <w:szCs w:val="18"/>
        </w:rPr>
        <w:t xml:space="preserve"> van de beleggingsrekening zoals aanbevolen door de Commissie.</w:t>
      </w:r>
      <w:r w:rsidR="003937A2">
        <w:rPr>
          <w:rFonts w:ascii="Verdana" w:hAnsi="Verdana"/>
          <w:iCs/>
          <w:sz w:val="18"/>
          <w:szCs w:val="18"/>
        </w:rPr>
        <w:t xml:space="preserve"> Zo is een breed aanbod met veel keuzemogelijkheden onder goede voorwaarden logischerwijs in het </w:t>
      </w:r>
      <w:r w:rsidR="00DB58E4">
        <w:rPr>
          <w:rFonts w:ascii="Verdana" w:hAnsi="Verdana"/>
          <w:iCs/>
          <w:sz w:val="18"/>
          <w:szCs w:val="18"/>
        </w:rPr>
        <w:t xml:space="preserve">duidelijke </w:t>
      </w:r>
      <w:r w:rsidR="003937A2">
        <w:rPr>
          <w:rFonts w:ascii="Verdana" w:hAnsi="Verdana"/>
          <w:iCs/>
          <w:sz w:val="18"/>
          <w:szCs w:val="18"/>
        </w:rPr>
        <w:t>belang van de consument. Ook acht het kabinet het</w:t>
      </w:r>
      <w:r w:rsidRPr="005B6574" w:rsidR="003937A2">
        <w:rPr>
          <w:rFonts w:ascii="Verdana" w:hAnsi="Verdana"/>
          <w:iCs/>
          <w:sz w:val="18"/>
          <w:szCs w:val="18"/>
        </w:rPr>
        <w:t xml:space="preserve"> </w:t>
      </w:r>
      <w:r w:rsidR="005B6574">
        <w:rPr>
          <w:rFonts w:ascii="Verdana" w:hAnsi="Verdana"/>
          <w:iCs/>
          <w:sz w:val="18"/>
          <w:szCs w:val="18"/>
        </w:rPr>
        <w:t>in beginsel</w:t>
      </w:r>
      <w:r w:rsidR="003937A2">
        <w:rPr>
          <w:rFonts w:ascii="Verdana" w:hAnsi="Verdana"/>
          <w:iCs/>
          <w:sz w:val="18"/>
          <w:szCs w:val="18"/>
        </w:rPr>
        <w:t xml:space="preserve"> van belang dat lidstaten geen additionele, nationale belemmeringen opwerpen tegen het vrije verkeer van diensten die </w:t>
      </w:r>
      <w:r w:rsidR="00DB58E4">
        <w:rPr>
          <w:rFonts w:ascii="Verdana" w:hAnsi="Verdana"/>
          <w:iCs/>
          <w:sz w:val="18"/>
          <w:szCs w:val="18"/>
        </w:rPr>
        <w:t>niet volgen uit Europese wetgeving</w:t>
      </w:r>
      <w:r w:rsidR="00144ACC">
        <w:rPr>
          <w:rFonts w:ascii="Verdana" w:hAnsi="Verdana"/>
          <w:iCs/>
          <w:sz w:val="18"/>
          <w:szCs w:val="18"/>
        </w:rPr>
        <w:t xml:space="preserve">. Onder meer vanwege het consumentenbelang valt de noodzaak van dergelijke nationale regels echter niet geheel uit te sluiten. </w:t>
      </w:r>
      <w:r w:rsidR="00DB58E4">
        <w:rPr>
          <w:rFonts w:ascii="Verdana" w:hAnsi="Verdana"/>
          <w:iCs/>
          <w:sz w:val="18"/>
          <w:szCs w:val="18"/>
        </w:rPr>
        <w:t>Lage</w:t>
      </w:r>
      <w:r w:rsidR="005B6574">
        <w:rPr>
          <w:rFonts w:ascii="Verdana" w:hAnsi="Verdana"/>
          <w:iCs/>
          <w:sz w:val="18"/>
          <w:szCs w:val="18"/>
        </w:rPr>
        <w:t>,</w:t>
      </w:r>
      <w:r w:rsidR="00DB58E4">
        <w:rPr>
          <w:rFonts w:ascii="Verdana" w:hAnsi="Verdana"/>
          <w:iCs/>
          <w:sz w:val="18"/>
          <w:szCs w:val="18"/>
        </w:rPr>
        <w:t xml:space="preserve"> transparante kosten</w:t>
      </w:r>
      <w:r w:rsidR="005B6574">
        <w:rPr>
          <w:rFonts w:ascii="Verdana" w:hAnsi="Verdana"/>
          <w:iCs/>
          <w:sz w:val="18"/>
          <w:szCs w:val="18"/>
        </w:rPr>
        <w:t xml:space="preserve"> en kostenefficiëntie</w:t>
      </w:r>
      <w:r w:rsidR="00DB58E4">
        <w:rPr>
          <w:rFonts w:ascii="Verdana" w:hAnsi="Verdana"/>
          <w:iCs/>
          <w:sz w:val="18"/>
          <w:szCs w:val="18"/>
        </w:rPr>
        <w:t xml:space="preserve"> zijn volgens het kabinet daarnaast belangrijk om consumenten ertoe aan te zetten verantwoord te beginnen met beleggen (waarbij geldt dat Nederland al vooroploopt ten opzichte van de rest van de EU).</w:t>
      </w:r>
      <w:r w:rsidR="005555B0">
        <w:rPr>
          <w:rStyle w:val="FootnoteReference"/>
          <w:rFonts w:ascii="Verdana" w:hAnsi="Verdana"/>
          <w:iCs/>
          <w:sz w:val="18"/>
          <w:szCs w:val="18"/>
        </w:rPr>
        <w:footnoteReference w:id="9"/>
      </w:r>
      <w:r w:rsidR="009B74DE">
        <w:rPr>
          <w:rFonts w:ascii="Verdana" w:hAnsi="Verdana"/>
          <w:iCs/>
          <w:sz w:val="18"/>
          <w:szCs w:val="18"/>
        </w:rPr>
        <w:t xml:space="preserve"> Daarnaast lijkt p</w:t>
      </w:r>
      <w:r>
        <w:rPr>
          <w:rFonts w:ascii="Verdana" w:hAnsi="Verdana"/>
          <w:iCs/>
          <w:sz w:val="18"/>
          <w:szCs w:val="18"/>
        </w:rPr>
        <w:t xml:space="preserve">ortfolio-overdraagbaarheid goed voor de concurrentie tussen aanbieders, is de uitsluiting van complexe </w:t>
      </w:r>
      <w:r w:rsidR="00B674E1">
        <w:rPr>
          <w:rFonts w:ascii="Verdana" w:hAnsi="Verdana"/>
          <w:iCs/>
          <w:sz w:val="18"/>
          <w:szCs w:val="18"/>
        </w:rPr>
        <w:t xml:space="preserve">en </w:t>
      </w:r>
      <w:r w:rsidR="003937A2">
        <w:rPr>
          <w:rFonts w:ascii="Verdana" w:hAnsi="Verdana"/>
          <w:iCs/>
          <w:sz w:val="18"/>
          <w:szCs w:val="18"/>
        </w:rPr>
        <w:t>risicovolle</w:t>
      </w:r>
      <w:r w:rsidR="00B674E1">
        <w:rPr>
          <w:rFonts w:ascii="Verdana" w:hAnsi="Verdana"/>
          <w:iCs/>
          <w:sz w:val="18"/>
          <w:szCs w:val="18"/>
        </w:rPr>
        <w:t xml:space="preserve"> </w:t>
      </w:r>
      <w:r>
        <w:rPr>
          <w:rFonts w:ascii="Verdana" w:hAnsi="Verdana"/>
          <w:iCs/>
          <w:sz w:val="18"/>
          <w:szCs w:val="18"/>
        </w:rPr>
        <w:t xml:space="preserve">producten die geen investering in de reële economie vertegenwoordigen in beginsel </w:t>
      </w:r>
      <w:r>
        <w:rPr>
          <w:rFonts w:ascii="Verdana" w:hAnsi="Verdana"/>
          <w:iCs/>
          <w:sz w:val="18"/>
          <w:szCs w:val="18"/>
        </w:rPr>
        <w:lastRenderedPageBreak/>
        <w:t xml:space="preserve">positief en is het vanzelfsprekend dat een gebruiksvriendelijke (digitale) omgeving fijn is voor de consument en naar verwachting zal leiden tot vergrote retailparticipatie. </w:t>
      </w:r>
    </w:p>
    <w:p w:rsidR="005D06E5" w:rsidP="00BA3150" w:rsidRDefault="005D06E5" w14:paraId="18366F77" w14:textId="77777777">
      <w:pPr>
        <w:spacing w:line="360" w:lineRule="auto"/>
        <w:rPr>
          <w:rFonts w:ascii="Verdana" w:hAnsi="Verdana"/>
          <w:iCs/>
          <w:sz w:val="18"/>
          <w:szCs w:val="18"/>
        </w:rPr>
      </w:pPr>
    </w:p>
    <w:p w:rsidR="003D0115" w:rsidP="00BA3150" w:rsidRDefault="006C1E82" w14:paraId="4F2DAF92" w14:textId="1B46CE83">
      <w:pPr>
        <w:spacing w:line="360" w:lineRule="auto"/>
        <w:rPr>
          <w:rFonts w:ascii="Verdana" w:hAnsi="Verdana"/>
          <w:iCs/>
          <w:sz w:val="18"/>
          <w:szCs w:val="18"/>
        </w:rPr>
      </w:pPr>
      <w:r>
        <w:rPr>
          <w:rFonts w:ascii="Verdana" w:hAnsi="Verdana"/>
          <w:iCs/>
          <w:sz w:val="18"/>
          <w:szCs w:val="18"/>
        </w:rPr>
        <w:t xml:space="preserve">Ook acht het kabinet het wenselijk dat consumenten voldoende en </w:t>
      </w:r>
      <w:r w:rsidR="003750E3">
        <w:rPr>
          <w:rFonts w:ascii="Verdana" w:hAnsi="Verdana"/>
          <w:iCs/>
          <w:sz w:val="18"/>
          <w:szCs w:val="18"/>
        </w:rPr>
        <w:t xml:space="preserve">simpele </w:t>
      </w:r>
      <w:r>
        <w:rPr>
          <w:rFonts w:ascii="Verdana" w:hAnsi="Verdana"/>
          <w:iCs/>
          <w:sz w:val="18"/>
          <w:szCs w:val="18"/>
        </w:rPr>
        <w:t>mogelijkheden krijgen om met hun beleggingen te investeren in het Europese bedrijfsleven en bij te dragen aan strategische EU-prioriteiten</w:t>
      </w:r>
      <w:r w:rsidRPr="005B6574">
        <w:rPr>
          <w:rFonts w:ascii="Verdana" w:hAnsi="Verdana"/>
          <w:iCs/>
          <w:sz w:val="18"/>
          <w:szCs w:val="18"/>
        </w:rPr>
        <w:t>.</w:t>
      </w:r>
      <w:r w:rsidRPr="005B6574" w:rsidR="000F5774">
        <w:rPr>
          <w:rFonts w:ascii="Verdana" w:hAnsi="Verdana"/>
          <w:iCs/>
          <w:sz w:val="18"/>
          <w:szCs w:val="18"/>
        </w:rPr>
        <w:t xml:space="preserve"> Daarbij dient rekening te worden gehouden met een voor de consument juiste balans tussen risico, rendement en kosten. Een gebrek aan diversificatie door een te grote concentratie in bepaalde sectoren of landen kan namelijk tot een hoger risico leiden voor consumenten</w:t>
      </w:r>
      <w:r w:rsidR="00E232AF">
        <w:rPr>
          <w:rFonts w:ascii="Verdana" w:hAnsi="Verdana"/>
          <w:iCs/>
          <w:sz w:val="18"/>
          <w:szCs w:val="18"/>
        </w:rPr>
        <w:t xml:space="preserve"> en een gebrek aan concurrentie</w:t>
      </w:r>
      <w:r w:rsidRPr="005B6574" w:rsidR="000F5774">
        <w:rPr>
          <w:rFonts w:ascii="Verdana" w:hAnsi="Verdana"/>
          <w:iCs/>
          <w:sz w:val="18"/>
          <w:szCs w:val="18"/>
        </w:rPr>
        <w:t>.</w:t>
      </w:r>
      <w:r w:rsidRPr="005B6574" w:rsidR="00597C02">
        <w:rPr>
          <w:rFonts w:ascii="Verdana" w:hAnsi="Verdana"/>
          <w:iCs/>
          <w:sz w:val="18"/>
          <w:szCs w:val="18"/>
        </w:rPr>
        <w:t xml:space="preserve"> Daarnaast acht het kabinet het van belang dat het aantrekkelijk maken van beleggen</w:t>
      </w:r>
      <w:r w:rsidR="00597C02">
        <w:rPr>
          <w:rFonts w:ascii="Verdana" w:hAnsi="Verdana"/>
          <w:iCs/>
          <w:sz w:val="18"/>
          <w:szCs w:val="18"/>
        </w:rPr>
        <w:t xml:space="preserve"> middels een dergelijke beleggingsrekening er niet voor zorgt dat consumenten die onvoldoende spaarbuffer hebben</w:t>
      </w:r>
      <w:r w:rsidR="00F71435">
        <w:rPr>
          <w:rFonts w:ascii="Verdana" w:hAnsi="Verdana"/>
          <w:iCs/>
          <w:sz w:val="18"/>
          <w:szCs w:val="18"/>
        </w:rPr>
        <w:t>,</w:t>
      </w:r>
      <w:r w:rsidR="00597C02">
        <w:rPr>
          <w:rFonts w:ascii="Verdana" w:hAnsi="Verdana"/>
          <w:iCs/>
          <w:sz w:val="18"/>
          <w:szCs w:val="18"/>
        </w:rPr>
        <w:t xml:space="preserve"> gaan beleggen. </w:t>
      </w:r>
      <w:r w:rsidR="00C9327F">
        <w:rPr>
          <w:rFonts w:ascii="Verdana" w:hAnsi="Verdana"/>
          <w:iCs/>
          <w:sz w:val="18"/>
          <w:szCs w:val="18"/>
        </w:rPr>
        <w:t>Het kabinet kijkt naar financiële educatie om consumenten een bewuste keuze te laten maken, die past binnen hun vermogenspositie.</w:t>
      </w:r>
      <w:r w:rsidR="000F5774">
        <w:rPr>
          <w:rFonts w:ascii="Verdana" w:hAnsi="Verdana"/>
          <w:iCs/>
          <w:sz w:val="18"/>
          <w:szCs w:val="18"/>
        </w:rPr>
        <w:t xml:space="preserve"> </w:t>
      </w:r>
      <w:r w:rsidR="00AE796D">
        <w:rPr>
          <w:rFonts w:ascii="Verdana" w:hAnsi="Verdana"/>
          <w:iCs/>
          <w:sz w:val="18"/>
          <w:szCs w:val="18"/>
        </w:rPr>
        <w:t xml:space="preserve">Wel dient opgemerkt te worden dat, aangezien dit voorstel niet ver af staat van de huidige Nederlandse praktijk, het op zichzelf niet direct tot een andere beleggingscultuur zal leiden. Daarvoor dienen consumenten middels additionele prikkels bewogen te worden om te gaan beleggen. Deze kunnen zien op onder meer financiële educatie, maar ook op mogelijke fiscale voordelen. </w:t>
      </w:r>
    </w:p>
    <w:p w:rsidR="00B722FA" w:rsidP="00BA3150" w:rsidRDefault="00B722FA" w14:paraId="4495C9A2" w14:textId="77777777">
      <w:pPr>
        <w:spacing w:line="360" w:lineRule="auto"/>
        <w:rPr>
          <w:rFonts w:ascii="Verdana" w:hAnsi="Verdana"/>
          <w:iCs/>
          <w:sz w:val="18"/>
          <w:szCs w:val="18"/>
        </w:rPr>
      </w:pPr>
    </w:p>
    <w:p w:rsidR="00E86FA2" w:rsidP="00E86FA2" w:rsidRDefault="00E86FA2" w14:paraId="02B3C7B0" w14:textId="2B05E261">
      <w:pPr>
        <w:spacing w:line="360" w:lineRule="auto"/>
        <w:rPr>
          <w:rFonts w:ascii="Verdana" w:hAnsi="Verdana"/>
          <w:iCs/>
          <w:sz w:val="18"/>
          <w:szCs w:val="18"/>
        </w:rPr>
      </w:pPr>
      <w:r w:rsidRPr="004A285B">
        <w:rPr>
          <w:rFonts w:ascii="Verdana" w:hAnsi="Verdana"/>
          <w:iCs/>
          <w:sz w:val="18"/>
          <w:szCs w:val="18"/>
        </w:rPr>
        <w:t>Wat betreft de</w:t>
      </w:r>
      <w:r w:rsidRPr="003B2424">
        <w:rPr>
          <w:rFonts w:ascii="Verdana" w:hAnsi="Verdana"/>
          <w:b/>
          <w:bCs/>
          <w:iCs/>
          <w:sz w:val="18"/>
          <w:szCs w:val="18"/>
        </w:rPr>
        <w:t xml:space="preserve"> </w:t>
      </w:r>
      <w:r w:rsidRPr="006C72AB">
        <w:rPr>
          <w:rFonts w:ascii="Verdana" w:hAnsi="Verdana"/>
          <w:iCs/>
          <w:sz w:val="18"/>
          <w:szCs w:val="18"/>
        </w:rPr>
        <w:t>fiscale kenmerken</w:t>
      </w:r>
      <w:r>
        <w:rPr>
          <w:rFonts w:ascii="Verdana" w:hAnsi="Verdana"/>
          <w:b/>
          <w:bCs/>
          <w:iCs/>
          <w:sz w:val="18"/>
          <w:szCs w:val="18"/>
        </w:rPr>
        <w:t xml:space="preserve"> </w:t>
      </w:r>
      <w:r w:rsidRPr="003B2424">
        <w:rPr>
          <w:rFonts w:ascii="Verdana" w:hAnsi="Verdana"/>
          <w:iCs/>
          <w:sz w:val="18"/>
          <w:szCs w:val="18"/>
        </w:rPr>
        <w:t>is</w:t>
      </w:r>
      <w:r>
        <w:rPr>
          <w:rFonts w:ascii="Verdana" w:hAnsi="Verdana"/>
          <w:iCs/>
          <w:sz w:val="18"/>
          <w:szCs w:val="18"/>
        </w:rPr>
        <w:t xml:space="preserve"> h</w:t>
      </w:r>
      <w:r w:rsidRPr="00A9174B">
        <w:rPr>
          <w:rFonts w:ascii="Verdana" w:hAnsi="Verdana"/>
          <w:iCs/>
          <w:sz w:val="18"/>
          <w:szCs w:val="18"/>
        </w:rPr>
        <w:t xml:space="preserve">et kabinet </w:t>
      </w:r>
      <w:r>
        <w:rPr>
          <w:rFonts w:ascii="Verdana" w:hAnsi="Verdana"/>
          <w:iCs/>
          <w:sz w:val="18"/>
          <w:szCs w:val="18"/>
        </w:rPr>
        <w:t>voorstander van</w:t>
      </w:r>
      <w:r w:rsidRPr="00A9174B">
        <w:rPr>
          <w:rFonts w:ascii="Verdana" w:hAnsi="Verdana"/>
          <w:iCs/>
          <w:sz w:val="18"/>
          <w:szCs w:val="18"/>
        </w:rPr>
        <w:t xml:space="preserve"> simpele en geautomatiseerde fiscale processen. Voor Nederlandse beleggers wordt de aangifte al grotendeels vooraf ingevuld dankzij de renseigneringsplicht van</w:t>
      </w:r>
      <w:r>
        <w:rPr>
          <w:rFonts w:ascii="Verdana" w:hAnsi="Verdana"/>
          <w:iCs/>
          <w:sz w:val="18"/>
          <w:szCs w:val="18"/>
        </w:rPr>
        <w:t xml:space="preserve"> geregistreerde</w:t>
      </w:r>
      <w:r w:rsidRPr="00A9174B">
        <w:rPr>
          <w:rFonts w:ascii="Verdana" w:hAnsi="Verdana"/>
          <w:iCs/>
          <w:sz w:val="18"/>
          <w:szCs w:val="18"/>
        </w:rPr>
        <w:t xml:space="preserve"> financiële instellingen. </w:t>
      </w:r>
      <w:r>
        <w:rPr>
          <w:rFonts w:ascii="Verdana" w:hAnsi="Verdana"/>
          <w:iCs/>
          <w:sz w:val="18"/>
          <w:szCs w:val="18"/>
        </w:rPr>
        <w:t>Buitenlandse instellingen kunnen zich al regist</w:t>
      </w:r>
      <w:r w:rsidR="00E232AF">
        <w:rPr>
          <w:rFonts w:ascii="Verdana" w:hAnsi="Verdana"/>
          <w:iCs/>
          <w:sz w:val="18"/>
          <w:szCs w:val="18"/>
        </w:rPr>
        <w:t>r</w:t>
      </w:r>
      <w:r>
        <w:rPr>
          <w:rFonts w:ascii="Verdana" w:hAnsi="Verdana"/>
          <w:iCs/>
          <w:sz w:val="18"/>
          <w:szCs w:val="18"/>
        </w:rPr>
        <w:t>eren, maar in de praktijk gebeurt dit zelden. Hierdoor kunnen deze gegevens veelal niet gebruikt worden bij de vooraf ingevulde aangifte.</w:t>
      </w:r>
      <w:r w:rsidDel="00A9174B">
        <w:rPr>
          <w:rFonts w:ascii="Verdana" w:hAnsi="Verdana"/>
          <w:iCs/>
          <w:sz w:val="18"/>
          <w:szCs w:val="18"/>
        </w:rPr>
        <w:t xml:space="preserve"> </w:t>
      </w:r>
    </w:p>
    <w:p w:rsidR="00E86FA2" w:rsidP="00E86FA2" w:rsidRDefault="00E86FA2" w14:paraId="46006E26" w14:textId="77777777">
      <w:pPr>
        <w:spacing w:line="360" w:lineRule="auto"/>
        <w:rPr>
          <w:rFonts w:ascii="Verdana" w:hAnsi="Verdana"/>
          <w:iCs/>
          <w:sz w:val="18"/>
          <w:szCs w:val="18"/>
        </w:rPr>
      </w:pPr>
    </w:p>
    <w:p w:rsidR="00E86FA2" w:rsidP="00E86FA2" w:rsidRDefault="00E86FA2" w14:paraId="198E7F07" w14:textId="287C4A14">
      <w:pPr>
        <w:spacing w:line="360" w:lineRule="auto"/>
        <w:rPr>
          <w:rFonts w:ascii="Verdana" w:hAnsi="Verdana"/>
          <w:iCs/>
          <w:sz w:val="18"/>
          <w:szCs w:val="18"/>
        </w:rPr>
      </w:pPr>
      <w:r w:rsidRPr="00A9174B">
        <w:rPr>
          <w:rFonts w:ascii="Verdana" w:hAnsi="Verdana"/>
          <w:iCs/>
          <w:sz w:val="18"/>
          <w:szCs w:val="18"/>
        </w:rPr>
        <w:t>Lijfrenteproducten in box 1 bieden</w:t>
      </w:r>
      <w:r>
        <w:rPr>
          <w:rFonts w:ascii="Verdana" w:hAnsi="Verdana"/>
          <w:iCs/>
          <w:sz w:val="18"/>
          <w:szCs w:val="18"/>
        </w:rPr>
        <w:t xml:space="preserve"> nu al</w:t>
      </w:r>
      <w:r w:rsidRPr="00A9174B">
        <w:rPr>
          <w:rFonts w:ascii="Verdana" w:hAnsi="Verdana"/>
          <w:iCs/>
          <w:sz w:val="18"/>
          <w:szCs w:val="18"/>
        </w:rPr>
        <w:t xml:space="preserve"> fiscale aftrek om sparen</w:t>
      </w:r>
      <w:r>
        <w:rPr>
          <w:rFonts w:ascii="Verdana" w:hAnsi="Verdana"/>
          <w:iCs/>
          <w:sz w:val="18"/>
          <w:szCs w:val="18"/>
        </w:rPr>
        <w:t xml:space="preserve"> en beleggen</w:t>
      </w:r>
      <w:r w:rsidRPr="00A9174B">
        <w:rPr>
          <w:rFonts w:ascii="Verdana" w:hAnsi="Verdana"/>
          <w:iCs/>
          <w:sz w:val="18"/>
          <w:szCs w:val="18"/>
        </w:rPr>
        <w:t xml:space="preserve"> voor </w:t>
      </w:r>
      <w:r>
        <w:rPr>
          <w:rFonts w:ascii="Verdana" w:hAnsi="Verdana"/>
          <w:iCs/>
          <w:sz w:val="18"/>
          <w:szCs w:val="18"/>
        </w:rPr>
        <w:t>oudedagsvoorzieningen</w:t>
      </w:r>
      <w:r w:rsidRPr="00A9174B">
        <w:rPr>
          <w:rFonts w:ascii="Verdana" w:hAnsi="Verdana"/>
          <w:iCs/>
          <w:sz w:val="18"/>
          <w:szCs w:val="18"/>
        </w:rPr>
        <w:t xml:space="preserve"> te stimuleren, terwijl de beleggingsrekening </w:t>
      </w:r>
      <w:r>
        <w:rPr>
          <w:rFonts w:ascii="Verdana" w:hAnsi="Verdana"/>
          <w:iCs/>
          <w:sz w:val="18"/>
          <w:szCs w:val="18"/>
        </w:rPr>
        <w:t>ziet op vermogensopbouw</w:t>
      </w:r>
      <w:r w:rsidRPr="00A9174B">
        <w:rPr>
          <w:rFonts w:ascii="Verdana" w:hAnsi="Verdana"/>
          <w:iCs/>
          <w:sz w:val="18"/>
          <w:szCs w:val="18"/>
        </w:rPr>
        <w:t xml:space="preserve"> en</w:t>
      </w:r>
      <w:r>
        <w:rPr>
          <w:rFonts w:ascii="Verdana" w:hAnsi="Verdana"/>
          <w:iCs/>
          <w:sz w:val="18"/>
          <w:szCs w:val="18"/>
        </w:rPr>
        <w:t xml:space="preserve"> daarmee</w:t>
      </w:r>
      <w:r w:rsidRPr="00A9174B">
        <w:rPr>
          <w:rFonts w:ascii="Verdana" w:hAnsi="Verdana"/>
          <w:iCs/>
          <w:sz w:val="18"/>
          <w:szCs w:val="18"/>
        </w:rPr>
        <w:t xml:space="preserve"> past in box 3.</w:t>
      </w:r>
      <w:r>
        <w:rPr>
          <w:rFonts w:ascii="Verdana" w:hAnsi="Verdana"/>
          <w:iCs/>
          <w:sz w:val="18"/>
          <w:szCs w:val="18"/>
        </w:rPr>
        <w:t xml:space="preserve"> </w:t>
      </w:r>
      <w:r w:rsidRPr="001916DB">
        <w:rPr>
          <w:rFonts w:ascii="Verdana" w:hAnsi="Verdana"/>
          <w:iCs/>
          <w:sz w:val="18"/>
          <w:szCs w:val="18"/>
        </w:rPr>
        <w:t xml:space="preserve">Het kabinet </w:t>
      </w:r>
      <w:r>
        <w:rPr>
          <w:rFonts w:ascii="Verdana" w:hAnsi="Verdana"/>
          <w:iCs/>
          <w:sz w:val="18"/>
          <w:szCs w:val="18"/>
        </w:rPr>
        <w:t>denkt</w:t>
      </w:r>
      <w:r w:rsidRPr="001916DB">
        <w:rPr>
          <w:rFonts w:ascii="Verdana" w:hAnsi="Verdana"/>
          <w:iCs/>
          <w:sz w:val="18"/>
          <w:szCs w:val="18"/>
        </w:rPr>
        <w:t xml:space="preserve"> dat fiscale </w:t>
      </w:r>
      <w:r w:rsidR="00961C17">
        <w:rPr>
          <w:rFonts w:ascii="Verdana" w:hAnsi="Verdana"/>
          <w:iCs/>
          <w:sz w:val="18"/>
          <w:szCs w:val="18"/>
        </w:rPr>
        <w:t>stimulering</w:t>
      </w:r>
      <w:r w:rsidRPr="001916DB">
        <w:rPr>
          <w:rFonts w:ascii="Verdana" w:hAnsi="Verdana"/>
          <w:iCs/>
          <w:sz w:val="18"/>
          <w:szCs w:val="18"/>
        </w:rPr>
        <w:t xml:space="preserve"> in box 3 het gebruik van een</w:t>
      </w:r>
      <w:r>
        <w:rPr>
          <w:rFonts w:ascii="Verdana" w:hAnsi="Verdana"/>
          <w:iCs/>
          <w:sz w:val="18"/>
          <w:szCs w:val="18"/>
        </w:rPr>
        <w:t xml:space="preserve"> </w:t>
      </w:r>
      <w:r w:rsidRPr="001916DB">
        <w:rPr>
          <w:rFonts w:ascii="Verdana" w:hAnsi="Verdana"/>
          <w:iCs/>
          <w:sz w:val="18"/>
          <w:szCs w:val="18"/>
        </w:rPr>
        <w:t xml:space="preserve">beleggingsrekening kan vergroten. Daarbij acht het kabinet het van belang dat de </w:t>
      </w:r>
      <w:r w:rsidR="00961C17">
        <w:rPr>
          <w:rFonts w:ascii="Verdana" w:hAnsi="Verdana"/>
          <w:iCs/>
          <w:sz w:val="18"/>
          <w:szCs w:val="18"/>
        </w:rPr>
        <w:t xml:space="preserve">stimulering </w:t>
      </w:r>
      <w:r w:rsidRPr="001916DB">
        <w:rPr>
          <w:rFonts w:ascii="Verdana" w:hAnsi="Verdana"/>
          <w:iCs/>
          <w:sz w:val="18"/>
          <w:szCs w:val="18"/>
        </w:rPr>
        <w:t>niet alleen vermogensopbouw ondersteunt, maar tevens een beleidsdoel dient door investeringen in Nederlandse en Europese bedrijven in strategische sectoren te stimuleren.</w:t>
      </w:r>
      <w:r>
        <w:rPr>
          <w:rFonts w:ascii="Verdana" w:hAnsi="Verdana"/>
          <w:iCs/>
          <w:sz w:val="18"/>
          <w:szCs w:val="18"/>
        </w:rPr>
        <w:t xml:space="preserve"> </w:t>
      </w:r>
      <w:r w:rsidRPr="00A9174B">
        <w:rPr>
          <w:rFonts w:ascii="Verdana" w:hAnsi="Verdana"/>
          <w:iCs/>
          <w:sz w:val="18"/>
          <w:szCs w:val="18"/>
        </w:rPr>
        <w:t xml:space="preserve">Het kabinet acht het onwenselijk om tegelijkertijd met de behandeling van het wetsvoorstel </w:t>
      </w:r>
      <w:r w:rsidRPr="00394F2F">
        <w:rPr>
          <w:rFonts w:ascii="Verdana" w:hAnsi="Verdana"/>
          <w:iCs/>
          <w:sz w:val="18"/>
          <w:szCs w:val="18"/>
        </w:rPr>
        <w:t>Wet werkelijk rendement box 3</w:t>
      </w:r>
      <w:r w:rsidRPr="00A9174B">
        <w:rPr>
          <w:rFonts w:ascii="Verdana" w:hAnsi="Verdana"/>
          <w:iCs/>
          <w:sz w:val="18"/>
          <w:szCs w:val="18"/>
        </w:rPr>
        <w:t xml:space="preserve"> een fiscale regeling voor de beleggingsrekening in box 3 te behandelen. Daarom wil het kabinet eerst de inwerkingtreding van de Wet werkelijk rendement box 3 afwachten</w:t>
      </w:r>
      <w:r>
        <w:rPr>
          <w:rFonts w:ascii="Verdana" w:hAnsi="Verdana"/>
          <w:iCs/>
          <w:sz w:val="18"/>
          <w:szCs w:val="18"/>
        </w:rPr>
        <w:t xml:space="preserve">. </w:t>
      </w:r>
      <w:r w:rsidRPr="00A9174B">
        <w:rPr>
          <w:rFonts w:ascii="Verdana" w:hAnsi="Verdana"/>
          <w:iCs/>
          <w:sz w:val="18"/>
          <w:szCs w:val="18"/>
        </w:rPr>
        <w:t xml:space="preserve">Daarna kan worden verkend of en op welke wijze het mogelijk is om fiscale </w:t>
      </w:r>
      <w:r w:rsidR="00961C17">
        <w:rPr>
          <w:rFonts w:ascii="Verdana" w:hAnsi="Verdana"/>
          <w:iCs/>
          <w:sz w:val="18"/>
          <w:szCs w:val="18"/>
        </w:rPr>
        <w:t>stimulering</w:t>
      </w:r>
      <w:r w:rsidRPr="00A9174B">
        <w:rPr>
          <w:rFonts w:ascii="Verdana" w:hAnsi="Verdana"/>
          <w:iCs/>
          <w:sz w:val="18"/>
          <w:szCs w:val="18"/>
        </w:rPr>
        <w:t xml:space="preserve"> van de beleggingsrekening doeltreffend en doelmatig te realiseren.</w:t>
      </w:r>
    </w:p>
    <w:p w:rsidRPr="00CF070D" w:rsidR="00CF070D" w:rsidP="00CF070D" w:rsidRDefault="00CF070D" w14:paraId="57924071" w14:textId="77777777">
      <w:pPr>
        <w:spacing w:line="360" w:lineRule="auto"/>
        <w:rPr>
          <w:rFonts w:ascii="Verdana" w:hAnsi="Verdana"/>
          <w:iCs/>
          <w:sz w:val="18"/>
          <w:szCs w:val="18"/>
        </w:rPr>
      </w:pPr>
    </w:p>
    <w:p w:rsidR="00FD0CBD" w:rsidP="00FD0CBD" w:rsidRDefault="009B3EED" w14:paraId="3200DAD1" w14:textId="0FD6F769">
      <w:pPr>
        <w:numPr>
          <w:ilvl w:val="0"/>
          <w:numId w:val="21"/>
        </w:numPr>
        <w:spacing w:line="360" w:lineRule="auto"/>
        <w:rPr>
          <w:rFonts w:ascii="Verdana" w:hAnsi="Verdana"/>
          <w:i/>
          <w:sz w:val="18"/>
          <w:szCs w:val="18"/>
        </w:rPr>
      </w:pPr>
      <w:r>
        <w:rPr>
          <w:rFonts w:ascii="Verdana" w:hAnsi="Verdana"/>
          <w:i/>
          <w:sz w:val="18"/>
          <w:szCs w:val="18"/>
        </w:rPr>
        <w:t xml:space="preserve">Eerste inschatting van </w:t>
      </w:r>
      <w:r w:rsidR="00144ACC">
        <w:rPr>
          <w:rFonts w:ascii="Verdana" w:hAnsi="Verdana"/>
          <w:i/>
          <w:sz w:val="18"/>
          <w:szCs w:val="18"/>
        </w:rPr>
        <w:t xml:space="preserve">het </w:t>
      </w:r>
      <w:r>
        <w:rPr>
          <w:rFonts w:ascii="Verdana" w:hAnsi="Verdana"/>
          <w:i/>
          <w:sz w:val="18"/>
          <w:szCs w:val="18"/>
        </w:rPr>
        <w:t>k</w:t>
      </w:r>
      <w:r w:rsidR="00FD0CBD">
        <w:rPr>
          <w:rFonts w:ascii="Verdana" w:hAnsi="Verdana"/>
          <w:i/>
          <w:sz w:val="18"/>
          <w:szCs w:val="18"/>
        </w:rPr>
        <w:t>rachtenveld</w:t>
      </w:r>
    </w:p>
    <w:p w:rsidR="00C052C2" w:rsidP="00C052C2" w:rsidRDefault="00C052C2" w14:paraId="3C49FE5F" w14:textId="60174FDD">
      <w:pPr>
        <w:spacing w:line="360" w:lineRule="auto"/>
        <w:rPr>
          <w:rFonts w:ascii="Verdana" w:hAnsi="Verdana"/>
          <w:iCs/>
          <w:sz w:val="18"/>
          <w:szCs w:val="18"/>
        </w:rPr>
      </w:pPr>
      <w:r>
        <w:rPr>
          <w:rFonts w:ascii="Verdana" w:hAnsi="Verdana"/>
          <w:iCs/>
          <w:sz w:val="18"/>
          <w:szCs w:val="18"/>
        </w:rPr>
        <w:t xml:space="preserve">Het raamwerk voor </w:t>
      </w:r>
      <w:r w:rsidR="00DB58E4">
        <w:rPr>
          <w:rFonts w:ascii="Verdana" w:hAnsi="Verdana"/>
          <w:iCs/>
          <w:sz w:val="18"/>
          <w:szCs w:val="18"/>
        </w:rPr>
        <w:t xml:space="preserve">de </w:t>
      </w:r>
      <w:r>
        <w:rPr>
          <w:rFonts w:ascii="Verdana" w:hAnsi="Verdana"/>
          <w:iCs/>
          <w:sz w:val="18"/>
          <w:szCs w:val="18"/>
        </w:rPr>
        <w:t xml:space="preserve">beleggingsrekening betreft een aanbeveling. Lidstaten zijn daarom niet verplicht het raamwerk op nationaal niveau toe te passen en kunnen ervoor kiezen om de aanbeveling deels of niet op te volgen. De houding van lidstaten ten aanzien van deze aanbeveling zal de komende tijd duidelijker worden wanneer de aanbeveling leidt tot eventuele wijzigingen in </w:t>
      </w:r>
      <w:r>
        <w:rPr>
          <w:rFonts w:ascii="Verdana" w:hAnsi="Verdana"/>
          <w:iCs/>
          <w:sz w:val="18"/>
          <w:szCs w:val="18"/>
        </w:rPr>
        <w:lastRenderedPageBreak/>
        <w:t xml:space="preserve">nationaal beleid. Daarnaast monitort de Commissie de </w:t>
      </w:r>
      <w:r w:rsidR="00FC6F13">
        <w:rPr>
          <w:rFonts w:ascii="Verdana" w:hAnsi="Verdana"/>
          <w:iCs/>
          <w:sz w:val="18"/>
          <w:szCs w:val="18"/>
        </w:rPr>
        <w:t xml:space="preserve">stand van de Europese kapitaalmarkt in frequente </w:t>
      </w:r>
      <w:r>
        <w:rPr>
          <w:rFonts w:ascii="Verdana" w:hAnsi="Verdana"/>
          <w:iCs/>
          <w:sz w:val="18"/>
          <w:szCs w:val="18"/>
        </w:rPr>
        <w:t>monitoringsrapporten</w:t>
      </w:r>
      <w:r w:rsidR="00FC6F13">
        <w:rPr>
          <w:rFonts w:ascii="Verdana" w:hAnsi="Verdana"/>
          <w:iCs/>
          <w:sz w:val="18"/>
          <w:szCs w:val="18"/>
        </w:rPr>
        <w:t xml:space="preserve"> waarvan dit voorstel in 2027 voor het eerst onderdeel is. </w:t>
      </w:r>
      <w:r>
        <w:rPr>
          <w:rFonts w:ascii="Verdana" w:hAnsi="Verdana"/>
          <w:iCs/>
          <w:sz w:val="18"/>
          <w:szCs w:val="18"/>
        </w:rPr>
        <w:t xml:space="preserve"> </w:t>
      </w:r>
    </w:p>
    <w:p w:rsidRPr="0064352A" w:rsidR="008528D9" w:rsidP="0064352A" w:rsidRDefault="008528D9" w14:paraId="65D75153" w14:textId="77777777">
      <w:pPr>
        <w:tabs>
          <w:tab w:val="left" w:pos="360"/>
          <w:tab w:val="left" w:pos="4500"/>
          <w:tab w:val="left" w:pos="5580"/>
        </w:tabs>
        <w:spacing w:line="360" w:lineRule="auto"/>
        <w:rPr>
          <w:rFonts w:ascii="Verdana" w:hAnsi="Verdana"/>
          <w:sz w:val="18"/>
          <w:szCs w:val="18"/>
        </w:rPr>
      </w:pPr>
    </w:p>
    <w:p w:rsidR="00F54AFF" w:rsidP="000D01B7" w:rsidRDefault="00FD0CBD" w14:paraId="1057CF59" w14:textId="77777777">
      <w:pPr>
        <w:numPr>
          <w:ilvl w:val="0"/>
          <w:numId w:val="15"/>
        </w:numPr>
        <w:spacing w:line="360" w:lineRule="auto"/>
        <w:rPr>
          <w:rFonts w:ascii="Verdana" w:hAnsi="Verdana"/>
          <w:b/>
          <w:sz w:val="18"/>
          <w:szCs w:val="18"/>
        </w:rPr>
      </w:pPr>
      <w:r>
        <w:rPr>
          <w:rFonts w:ascii="Verdana" w:hAnsi="Verdana"/>
          <w:b/>
          <w:sz w:val="18"/>
          <w:szCs w:val="18"/>
        </w:rPr>
        <w:t>G</w:t>
      </w:r>
      <w:r w:rsidR="008528D9">
        <w:rPr>
          <w:rFonts w:ascii="Verdana" w:hAnsi="Verdana"/>
          <w:b/>
          <w:sz w:val="18"/>
          <w:szCs w:val="18"/>
        </w:rPr>
        <w:t>rondhouding ten aanzien van</w:t>
      </w:r>
      <w:r w:rsidR="00A57FAE">
        <w:rPr>
          <w:rFonts w:ascii="Verdana" w:hAnsi="Verdana"/>
          <w:b/>
          <w:sz w:val="18"/>
          <w:szCs w:val="18"/>
        </w:rPr>
        <w:t xml:space="preserve"> bevoegdheid,</w:t>
      </w:r>
      <w:r w:rsidR="008528D9">
        <w:rPr>
          <w:rFonts w:ascii="Verdana" w:hAnsi="Verdana"/>
          <w:b/>
          <w:sz w:val="18"/>
          <w:szCs w:val="18"/>
        </w:rPr>
        <w:t xml:space="preserve"> subsidiariteit,</w:t>
      </w:r>
      <w:r w:rsidRPr="0064352A" w:rsidR="00F54AFF">
        <w:rPr>
          <w:rFonts w:ascii="Verdana" w:hAnsi="Verdana"/>
          <w:b/>
          <w:sz w:val="18"/>
          <w:szCs w:val="18"/>
        </w:rPr>
        <w:t xml:space="preserve"> proportionaliteit</w:t>
      </w:r>
      <w:r w:rsidR="008528D9">
        <w:rPr>
          <w:rFonts w:ascii="Verdana" w:hAnsi="Verdana"/>
          <w:b/>
          <w:sz w:val="18"/>
          <w:szCs w:val="18"/>
        </w:rPr>
        <w:t>,</w:t>
      </w:r>
      <w:r w:rsidRPr="0064352A" w:rsidR="00FB216B">
        <w:rPr>
          <w:rFonts w:ascii="Verdana" w:hAnsi="Verdana"/>
          <w:b/>
          <w:sz w:val="18"/>
          <w:szCs w:val="18"/>
        </w:rPr>
        <w:t xml:space="preserve"> financiële gevolgen </w:t>
      </w:r>
      <w:r w:rsidR="008528D9">
        <w:rPr>
          <w:rFonts w:ascii="Verdana" w:hAnsi="Verdana"/>
          <w:b/>
          <w:sz w:val="18"/>
          <w:szCs w:val="18"/>
        </w:rPr>
        <w:t>en</w:t>
      </w:r>
      <w:r w:rsidR="0020223E">
        <w:rPr>
          <w:rFonts w:ascii="Verdana" w:hAnsi="Verdana"/>
          <w:b/>
          <w:sz w:val="18"/>
          <w:szCs w:val="18"/>
        </w:rPr>
        <w:t xml:space="preserve"> gevolgen</w:t>
      </w:r>
      <w:r w:rsidR="00786711">
        <w:rPr>
          <w:rFonts w:ascii="Verdana" w:hAnsi="Verdana"/>
          <w:b/>
          <w:sz w:val="18"/>
          <w:szCs w:val="18"/>
        </w:rPr>
        <w:t xml:space="preserve"> </w:t>
      </w:r>
      <w:r w:rsidR="00A21B6F">
        <w:rPr>
          <w:rFonts w:ascii="Verdana" w:hAnsi="Verdana"/>
          <w:b/>
          <w:sz w:val="18"/>
          <w:szCs w:val="18"/>
        </w:rPr>
        <w:t xml:space="preserve">voor </w:t>
      </w:r>
      <w:r w:rsidRPr="0064352A" w:rsidR="003E6E9E">
        <w:rPr>
          <w:rFonts w:ascii="Verdana" w:hAnsi="Verdana"/>
          <w:b/>
          <w:sz w:val="18"/>
          <w:szCs w:val="18"/>
        </w:rPr>
        <w:t>regeldruk</w:t>
      </w:r>
      <w:r w:rsidR="00A21B6F">
        <w:rPr>
          <w:rFonts w:ascii="Verdana" w:hAnsi="Verdana"/>
          <w:b/>
          <w:sz w:val="18"/>
          <w:szCs w:val="18"/>
        </w:rPr>
        <w:t>, concurrentiekracht en geopolitieke aspecten</w:t>
      </w:r>
      <w:r w:rsidR="00786711">
        <w:rPr>
          <w:rFonts w:ascii="Verdana" w:hAnsi="Verdana"/>
          <w:b/>
          <w:sz w:val="18"/>
          <w:szCs w:val="18"/>
        </w:rPr>
        <w:t xml:space="preserve"> </w:t>
      </w:r>
    </w:p>
    <w:p w:rsidR="00D05715" w:rsidP="00D05715" w:rsidRDefault="00D05715" w14:paraId="1A0E9962" w14:textId="77777777">
      <w:pPr>
        <w:spacing w:line="360" w:lineRule="auto"/>
        <w:ind w:left="360"/>
        <w:rPr>
          <w:rFonts w:ascii="Verdana" w:hAnsi="Verdana"/>
          <w:b/>
          <w:sz w:val="18"/>
          <w:szCs w:val="18"/>
        </w:rPr>
      </w:pPr>
    </w:p>
    <w:p w:rsidR="00FD0CBD" w:rsidP="00FD0CBD" w:rsidRDefault="00FD0CBD" w14:paraId="13BA35EB" w14:textId="77777777">
      <w:pPr>
        <w:numPr>
          <w:ilvl w:val="0"/>
          <w:numId w:val="22"/>
        </w:numPr>
        <w:spacing w:line="360" w:lineRule="auto"/>
        <w:rPr>
          <w:rFonts w:ascii="Verdana" w:hAnsi="Verdana"/>
          <w:i/>
          <w:sz w:val="18"/>
          <w:szCs w:val="18"/>
        </w:rPr>
      </w:pPr>
      <w:r w:rsidRPr="009B3EED">
        <w:rPr>
          <w:rFonts w:ascii="Verdana" w:hAnsi="Verdana"/>
          <w:i/>
          <w:sz w:val="18"/>
          <w:szCs w:val="18"/>
        </w:rPr>
        <w:t>Bevoegdheid</w:t>
      </w:r>
    </w:p>
    <w:p w:rsidRPr="00E86FA2" w:rsidR="00E86FA2" w:rsidP="00E86FA2" w:rsidRDefault="00D27E6E" w14:paraId="75394068" w14:textId="7F8C867D">
      <w:pPr>
        <w:spacing w:line="360" w:lineRule="auto"/>
        <w:rPr>
          <w:rFonts w:ascii="Verdana" w:hAnsi="Verdana"/>
          <w:iCs/>
          <w:sz w:val="18"/>
          <w:szCs w:val="18"/>
        </w:rPr>
      </w:pPr>
      <w:r>
        <w:rPr>
          <w:rFonts w:ascii="Verdana" w:hAnsi="Verdana"/>
          <w:iCs/>
          <w:sz w:val="18"/>
          <w:szCs w:val="18"/>
        </w:rPr>
        <w:t>De grondhouding</w:t>
      </w:r>
      <w:r w:rsidRPr="00E86FA2" w:rsidR="00E86FA2">
        <w:rPr>
          <w:rFonts w:ascii="Verdana" w:hAnsi="Verdana"/>
          <w:iCs/>
          <w:sz w:val="18"/>
          <w:szCs w:val="18"/>
        </w:rPr>
        <w:t xml:space="preserve"> van het kabinet ten aanzien van de bevoegdheid van de aanbeveling is deels positief, deels negatief. Op grond van artikel 292 VWEU is de Commissie bevoegd om aanbevelingen vast te stellen op de gebieden waarvoor de EU bevoegd is. De aanbeveling heeft betrekking op het </w:t>
      </w:r>
      <w:r>
        <w:rPr>
          <w:rFonts w:ascii="Verdana" w:hAnsi="Verdana"/>
          <w:iCs/>
          <w:sz w:val="18"/>
          <w:szCs w:val="18"/>
        </w:rPr>
        <w:t>verbeteren van toegang voor EU</w:t>
      </w:r>
      <w:r w:rsidR="00426D49">
        <w:rPr>
          <w:rFonts w:ascii="Verdana" w:hAnsi="Verdana"/>
          <w:iCs/>
          <w:sz w:val="18"/>
          <w:szCs w:val="18"/>
        </w:rPr>
        <w:t>-</w:t>
      </w:r>
      <w:r>
        <w:rPr>
          <w:rFonts w:ascii="Verdana" w:hAnsi="Verdana"/>
          <w:iCs/>
          <w:sz w:val="18"/>
          <w:szCs w:val="18"/>
        </w:rPr>
        <w:t>burgers tot b</w:t>
      </w:r>
      <w:r w:rsidRPr="000C2538">
        <w:rPr>
          <w:rFonts w:ascii="Verdana" w:hAnsi="Verdana"/>
          <w:iCs/>
          <w:sz w:val="18"/>
          <w:szCs w:val="18"/>
        </w:rPr>
        <w:t xml:space="preserve">eleggingen op kapitaalmarkten </w:t>
      </w:r>
      <w:r>
        <w:rPr>
          <w:rFonts w:ascii="Verdana" w:hAnsi="Verdana"/>
          <w:iCs/>
          <w:sz w:val="18"/>
          <w:szCs w:val="18"/>
        </w:rPr>
        <w:t>en daarmee</w:t>
      </w:r>
      <w:r w:rsidRPr="00E86FA2">
        <w:rPr>
          <w:rFonts w:ascii="Verdana" w:hAnsi="Verdana"/>
          <w:iCs/>
          <w:sz w:val="18"/>
          <w:szCs w:val="18"/>
        </w:rPr>
        <w:t xml:space="preserve"> </w:t>
      </w:r>
      <w:r w:rsidRPr="00E86FA2" w:rsidR="00E86FA2">
        <w:rPr>
          <w:rFonts w:ascii="Verdana" w:hAnsi="Verdana"/>
          <w:iCs/>
          <w:sz w:val="18"/>
          <w:szCs w:val="18"/>
        </w:rPr>
        <w:t xml:space="preserve">het vrij verkeer van diensten en kapitaal. Dit zijn fundamentele onderdelen van de interne markt, op welk gebied de EU gedeelde bevoegdheid heeft met de lidstaten op grond van artikel 4, lid 2, onder a, VWEU. Daarnaast worden er aanbevelingen gedaan op het gebied van consumentenbescherming, wat op grond van artikel 4, lid 2, onder f, VWEU, eveneens een gedeelde bevoegdheid betreft van de EU en de lidstaten. </w:t>
      </w:r>
      <w:r w:rsidR="00925C85">
        <w:rPr>
          <w:rFonts w:ascii="Verdana" w:hAnsi="Verdana"/>
          <w:iCs/>
          <w:sz w:val="18"/>
          <w:szCs w:val="18"/>
        </w:rPr>
        <w:t xml:space="preserve">De grondhouding van het kabinet ten aanzien van de bevoegdheid van de Commissie om aanbevelingen te doen op deze beide onderwerpen is positief. </w:t>
      </w:r>
      <w:r w:rsidRPr="00E86FA2" w:rsidR="00E86FA2">
        <w:rPr>
          <w:rFonts w:ascii="Verdana" w:hAnsi="Verdana"/>
          <w:iCs/>
          <w:sz w:val="18"/>
          <w:szCs w:val="18"/>
        </w:rPr>
        <w:t>Voor zover de aanbeveling betrekking heeft op directe belastingen, zoals de inkomstenbelasting, betreft dit echter een nationale bevoegdheid</w:t>
      </w:r>
      <w:r w:rsidR="00925C85">
        <w:rPr>
          <w:rFonts w:ascii="Verdana" w:hAnsi="Verdana"/>
          <w:iCs/>
          <w:sz w:val="18"/>
          <w:szCs w:val="18"/>
        </w:rPr>
        <w:t xml:space="preserve">. </w:t>
      </w:r>
      <w:r w:rsidR="001D05C2">
        <w:rPr>
          <w:rFonts w:ascii="Verdana" w:hAnsi="Verdana"/>
          <w:iCs/>
          <w:sz w:val="18"/>
          <w:szCs w:val="18"/>
        </w:rPr>
        <w:t>Op dit onderwerp</w:t>
      </w:r>
      <w:r w:rsidR="00925C85">
        <w:rPr>
          <w:rFonts w:ascii="Verdana" w:hAnsi="Verdana"/>
          <w:iCs/>
          <w:sz w:val="18"/>
          <w:szCs w:val="18"/>
        </w:rPr>
        <w:t xml:space="preserve"> is de grondhouding van </w:t>
      </w:r>
      <w:r w:rsidR="001D05C2">
        <w:rPr>
          <w:rFonts w:ascii="Verdana" w:hAnsi="Verdana"/>
          <w:iCs/>
          <w:sz w:val="18"/>
          <w:szCs w:val="18"/>
        </w:rPr>
        <w:t>h</w:t>
      </w:r>
      <w:r w:rsidR="00925C85">
        <w:rPr>
          <w:rFonts w:ascii="Verdana" w:hAnsi="Verdana"/>
          <w:iCs/>
          <w:sz w:val="18"/>
          <w:szCs w:val="18"/>
        </w:rPr>
        <w:t>et kabinet ten aanzien van de bevoegdheid van de Commissie dus negatief</w:t>
      </w:r>
      <w:r w:rsidRPr="00E86FA2" w:rsidR="00E86FA2">
        <w:rPr>
          <w:rFonts w:ascii="Verdana" w:hAnsi="Verdana"/>
          <w:iCs/>
          <w:sz w:val="18"/>
          <w:szCs w:val="18"/>
        </w:rPr>
        <w:t xml:space="preserve">. De EU is slechts bevoegd indien maatregelen op dit terrein rechtstreeks van invloed zijn op de instelling of de werking van de interne markt. De in de aanbeveling genoemde vormen van fiscale </w:t>
      </w:r>
      <w:r w:rsidR="00961C17">
        <w:rPr>
          <w:rFonts w:ascii="Verdana" w:hAnsi="Verdana"/>
          <w:iCs/>
          <w:sz w:val="18"/>
          <w:szCs w:val="18"/>
        </w:rPr>
        <w:t>stimulering</w:t>
      </w:r>
      <w:r w:rsidRPr="00E86FA2" w:rsidR="00E86FA2">
        <w:rPr>
          <w:rFonts w:ascii="Verdana" w:hAnsi="Verdana"/>
          <w:iCs/>
          <w:sz w:val="18"/>
          <w:szCs w:val="18"/>
        </w:rPr>
        <w:t xml:space="preserve"> hebben, naar het oordeel van het kabinet, </w:t>
      </w:r>
      <w:r w:rsidR="0026333C">
        <w:rPr>
          <w:rFonts w:ascii="Verdana" w:hAnsi="Verdana"/>
          <w:iCs/>
          <w:sz w:val="18"/>
          <w:szCs w:val="18"/>
        </w:rPr>
        <w:t xml:space="preserve">waarschijnlijk </w:t>
      </w:r>
      <w:r w:rsidRPr="00E86FA2" w:rsidR="00E86FA2">
        <w:rPr>
          <w:rFonts w:ascii="Verdana" w:hAnsi="Verdana"/>
          <w:iCs/>
          <w:sz w:val="18"/>
          <w:szCs w:val="18"/>
        </w:rPr>
        <w:t xml:space="preserve">geen zodanige rechtstreekse invloed en vallen derhalve buiten de bevoegdheid van de EU. Eventueel optreden van de Commissie op dit punt </w:t>
      </w:r>
      <w:r w:rsidR="0026333C">
        <w:rPr>
          <w:rFonts w:ascii="Verdana" w:hAnsi="Verdana"/>
          <w:iCs/>
          <w:sz w:val="18"/>
          <w:szCs w:val="18"/>
        </w:rPr>
        <w:t xml:space="preserve">staat op gespannen voet </w:t>
      </w:r>
      <w:r w:rsidRPr="00E86FA2" w:rsidR="00E86FA2">
        <w:rPr>
          <w:rFonts w:ascii="Verdana" w:hAnsi="Verdana"/>
          <w:iCs/>
          <w:sz w:val="18"/>
          <w:szCs w:val="18"/>
        </w:rPr>
        <w:t xml:space="preserve">met het attributiebeginsel, artikel 5, lid 1, </w:t>
      </w:r>
      <w:r w:rsidR="001530BA">
        <w:rPr>
          <w:rFonts w:ascii="Verdana" w:hAnsi="Verdana"/>
          <w:iCs/>
          <w:sz w:val="18"/>
          <w:szCs w:val="18"/>
        </w:rPr>
        <w:t>VEU</w:t>
      </w:r>
      <w:r w:rsidRPr="00E86FA2" w:rsidR="00E86FA2">
        <w:rPr>
          <w:rFonts w:ascii="Verdana" w:hAnsi="Verdana"/>
          <w:iCs/>
          <w:sz w:val="18"/>
          <w:szCs w:val="18"/>
        </w:rPr>
        <w:t>.</w:t>
      </w:r>
      <w:r w:rsidR="0026333C">
        <w:rPr>
          <w:rFonts w:ascii="Verdana" w:hAnsi="Verdana"/>
          <w:iCs/>
          <w:sz w:val="18"/>
          <w:szCs w:val="18"/>
        </w:rPr>
        <w:t xml:space="preserve"> </w:t>
      </w:r>
    </w:p>
    <w:p w:rsidRPr="009B3EED" w:rsidR="00E86FA2" w:rsidP="00E86FA2" w:rsidRDefault="00E86FA2" w14:paraId="59E8658D" w14:textId="77777777">
      <w:pPr>
        <w:spacing w:line="360" w:lineRule="auto"/>
        <w:rPr>
          <w:rFonts w:ascii="Verdana" w:hAnsi="Verdana"/>
          <w:i/>
          <w:sz w:val="18"/>
          <w:szCs w:val="18"/>
        </w:rPr>
      </w:pPr>
    </w:p>
    <w:p w:rsidR="00FD0CBD" w:rsidP="00FD0CBD" w:rsidRDefault="00FD0CBD" w14:paraId="69B32EC4" w14:textId="77777777">
      <w:pPr>
        <w:numPr>
          <w:ilvl w:val="0"/>
          <w:numId w:val="22"/>
        </w:numPr>
        <w:spacing w:line="360" w:lineRule="auto"/>
        <w:rPr>
          <w:rFonts w:ascii="Verdana" w:hAnsi="Verdana"/>
          <w:i/>
          <w:sz w:val="18"/>
          <w:szCs w:val="18"/>
        </w:rPr>
      </w:pPr>
      <w:r w:rsidRPr="009B3EED">
        <w:rPr>
          <w:rFonts w:ascii="Verdana" w:hAnsi="Verdana"/>
          <w:i/>
          <w:sz w:val="18"/>
          <w:szCs w:val="18"/>
        </w:rPr>
        <w:t>Subsidiar</w:t>
      </w:r>
      <w:r w:rsidRPr="009B3EED" w:rsidR="006810FB">
        <w:rPr>
          <w:rFonts w:ascii="Verdana" w:hAnsi="Verdana"/>
          <w:i/>
          <w:sz w:val="18"/>
          <w:szCs w:val="18"/>
        </w:rPr>
        <w:t>it</w:t>
      </w:r>
      <w:r w:rsidRPr="009B3EED">
        <w:rPr>
          <w:rFonts w:ascii="Verdana" w:hAnsi="Verdana"/>
          <w:i/>
          <w:sz w:val="18"/>
          <w:szCs w:val="18"/>
        </w:rPr>
        <w:t>eit</w:t>
      </w:r>
    </w:p>
    <w:p w:rsidR="00D27E6E" w:rsidP="00D27E6E" w:rsidRDefault="00D27E6E" w14:paraId="2A1D45E5" w14:textId="53E50188">
      <w:pPr>
        <w:spacing w:line="360" w:lineRule="auto"/>
        <w:rPr>
          <w:rFonts w:ascii="Verdana" w:hAnsi="Verdana"/>
          <w:iCs/>
          <w:sz w:val="18"/>
          <w:szCs w:val="18"/>
        </w:rPr>
      </w:pPr>
      <w:r>
        <w:rPr>
          <w:rFonts w:ascii="Verdana" w:hAnsi="Verdana"/>
          <w:iCs/>
          <w:sz w:val="18"/>
          <w:szCs w:val="18"/>
        </w:rPr>
        <w:t>De grondhouding</w:t>
      </w:r>
      <w:r w:rsidRPr="00E86FA2" w:rsidR="00E86FA2">
        <w:rPr>
          <w:rFonts w:ascii="Verdana" w:hAnsi="Verdana"/>
          <w:iCs/>
          <w:sz w:val="18"/>
          <w:szCs w:val="18"/>
        </w:rPr>
        <w:t xml:space="preserve"> ten aanzien van de subsidiariteit is positief. Op grond van artikel 292 VWEU is de Commissie bevoegd om aanbevelingen vast te stellen op gebieden waarvoor de EU bevoegd is. </w:t>
      </w:r>
      <w:r>
        <w:rPr>
          <w:rFonts w:ascii="Verdana" w:hAnsi="Verdana"/>
          <w:iCs/>
          <w:sz w:val="18"/>
          <w:szCs w:val="18"/>
        </w:rPr>
        <w:t>Het doel van de aanbeveling is consumenten in de EU ertoe aan te zetten verantwoord meer te gaan beleggen om zo meer rendement op vermogen te verdienen.</w:t>
      </w:r>
      <w:r w:rsidR="00FC0ADA">
        <w:rPr>
          <w:rFonts w:ascii="Verdana" w:hAnsi="Verdana"/>
          <w:iCs/>
          <w:sz w:val="18"/>
          <w:szCs w:val="18"/>
        </w:rPr>
        <w:t xml:space="preserve"> </w:t>
      </w:r>
      <w:r w:rsidRPr="00956F92">
        <w:rPr>
          <w:rFonts w:ascii="Verdana" w:hAnsi="Verdana"/>
          <w:iCs/>
          <w:sz w:val="18"/>
          <w:szCs w:val="18"/>
        </w:rPr>
        <w:t xml:space="preserve">De mededeling geeft hier invulling aan door </w:t>
      </w:r>
      <w:r>
        <w:rPr>
          <w:rFonts w:ascii="Verdana" w:hAnsi="Verdana"/>
          <w:iCs/>
          <w:sz w:val="18"/>
          <w:szCs w:val="18"/>
        </w:rPr>
        <w:t>een raamwerk voor spaar</w:t>
      </w:r>
      <w:r w:rsidR="00FC0ADA">
        <w:rPr>
          <w:rFonts w:ascii="Verdana" w:hAnsi="Verdana"/>
          <w:iCs/>
          <w:sz w:val="18"/>
          <w:szCs w:val="18"/>
        </w:rPr>
        <w:t>-</w:t>
      </w:r>
      <w:r>
        <w:rPr>
          <w:rFonts w:ascii="Verdana" w:hAnsi="Verdana"/>
          <w:iCs/>
          <w:sz w:val="18"/>
          <w:szCs w:val="18"/>
        </w:rPr>
        <w:t xml:space="preserve"> en beleggingsrekeningen vast te stellen en lidstaten aan te bevelen dit raamwerk te implementeren of het raamwerk te gebruiken voor verbetering van reeds bestaande nationale r</w:t>
      </w:r>
      <w:r w:rsidRPr="00692A01">
        <w:rPr>
          <w:rFonts w:ascii="Verdana" w:hAnsi="Verdana"/>
          <w:iCs/>
          <w:sz w:val="18"/>
          <w:szCs w:val="18"/>
        </w:rPr>
        <w:t>aamwerken</w:t>
      </w:r>
      <w:r>
        <w:rPr>
          <w:rFonts w:ascii="Verdana" w:hAnsi="Verdana"/>
          <w:iCs/>
          <w:sz w:val="18"/>
          <w:szCs w:val="18"/>
        </w:rPr>
        <w:t xml:space="preserve">. </w:t>
      </w:r>
      <w:r w:rsidRPr="00956F92">
        <w:rPr>
          <w:rFonts w:ascii="Verdana" w:hAnsi="Verdana"/>
          <w:iCs/>
          <w:sz w:val="18"/>
          <w:szCs w:val="18"/>
        </w:rPr>
        <w:t xml:space="preserve">Gezien het grensoverschrijdend karakter van </w:t>
      </w:r>
      <w:r w:rsidR="00E232AF">
        <w:rPr>
          <w:rFonts w:ascii="Verdana" w:hAnsi="Verdana"/>
          <w:iCs/>
          <w:sz w:val="18"/>
          <w:szCs w:val="18"/>
        </w:rPr>
        <w:t>vrij verkeer van kapitaal en diensten</w:t>
      </w:r>
      <w:r w:rsidRPr="00956F92">
        <w:rPr>
          <w:rFonts w:ascii="Verdana" w:hAnsi="Verdana"/>
          <w:iCs/>
          <w:sz w:val="18"/>
          <w:szCs w:val="18"/>
        </w:rPr>
        <w:t>, kan dit onvoldoende door lidstaten op centraal, regionaal of lokaal niveau worden verwezenlijkt, daarom is een EU-aanpak nodig.</w:t>
      </w:r>
    </w:p>
    <w:p w:rsidR="00D27E6E" w:rsidP="00D27E6E" w:rsidRDefault="00D27E6E" w14:paraId="400F3297" w14:textId="77777777">
      <w:pPr>
        <w:spacing w:line="360" w:lineRule="auto"/>
        <w:rPr>
          <w:rFonts w:ascii="Verdana" w:hAnsi="Verdana"/>
          <w:iCs/>
          <w:sz w:val="18"/>
          <w:szCs w:val="18"/>
        </w:rPr>
      </w:pPr>
    </w:p>
    <w:p w:rsidR="007C2EF8" w:rsidP="007C2EF8" w:rsidRDefault="00D27E6E" w14:paraId="5FF8BBD5" w14:textId="08043121">
      <w:pPr>
        <w:spacing w:line="360" w:lineRule="auto"/>
        <w:rPr>
          <w:rFonts w:ascii="Verdana" w:hAnsi="Verdana"/>
          <w:iCs/>
          <w:sz w:val="18"/>
          <w:szCs w:val="18"/>
        </w:rPr>
      </w:pPr>
      <w:r>
        <w:rPr>
          <w:rFonts w:ascii="Verdana" w:hAnsi="Verdana"/>
          <w:iCs/>
          <w:sz w:val="18"/>
          <w:szCs w:val="18"/>
        </w:rPr>
        <w:t>De aanbeveling</w:t>
      </w:r>
      <w:r w:rsidRPr="00E86FA2" w:rsidR="00E86FA2">
        <w:rPr>
          <w:rFonts w:ascii="Verdana" w:hAnsi="Verdana"/>
          <w:iCs/>
          <w:sz w:val="18"/>
          <w:szCs w:val="18"/>
        </w:rPr>
        <w:t xml:space="preserve"> geeft handvat</w:t>
      </w:r>
      <w:r w:rsidR="00440933">
        <w:rPr>
          <w:rFonts w:ascii="Verdana" w:hAnsi="Verdana"/>
          <w:iCs/>
          <w:sz w:val="18"/>
          <w:szCs w:val="18"/>
        </w:rPr>
        <w:t>t</w:t>
      </w:r>
      <w:r w:rsidRPr="00E86FA2" w:rsidR="00E86FA2">
        <w:rPr>
          <w:rFonts w:ascii="Verdana" w:hAnsi="Verdana"/>
          <w:iCs/>
          <w:sz w:val="18"/>
          <w:szCs w:val="18"/>
        </w:rPr>
        <w:t xml:space="preserve">en aan de lidstaten om op nationaal niveau </w:t>
      </w:r>
      <w:r w:rsidR="000D14EA">
        <w:rPr>
          <w:rFonts w:ascii="Verdana" w:hAnsi="Verdana"/>
          <w:iCs/>
          <w:sz w:val="18"/>
          <w:szCs w:val="18"/>
        </w:rPr>
        <w:t xml:space="preserve">(waar mogelijk uniforme) </w:t>
      </w:r>
      <w:r w:rsidRPr="00E86FA2" w:rsidR="00E86FA2">
        <w:rPr>
          <w:rFonts w:ascii="Verdana" w:hAnsi="Verdana"/>
          <w:iCs/>
          <w:sz w:val="18"/>
          <w:szCs w:val="18"/>
        </w:rPr>
        <w:t>beleggingsrekeningen te faciliteren en kan zo een goede aanvulling dan wel katalysator vormen voor nationaal beleid.</w:t>
      </w:r>
      <w:r w:rsidR="001D05C2">
        <w:rPr>
          <w:rFonts w:ascii="Verdana" w:hAnsi="Verdana"/>
          <w:iCs/>
          <w:sz w:val="18"/>
          <w:szCs w:val="18"/>
        </w:rPr>
        <w:t xml:space="preserve"> </w:t>
      </w:r>
      <w:r w:rsidR="00B107A1">
        <w:rPr>
          <w:rFonts w:ascii="Verdana" w:hAnsi="Verdana"/>
          <w:iCs/>
          <w:sz w:val="18"/>
          <w:szCs w:val="18"/>
        </w:rPr>
        <w:t>Het uniformiseren</w:t>
      </w:r>
      <w:r w:rsidR="001D05C2">
        <w:rPr>
          <w:rFonts w:ascii="Verdana" w:hAnsi="Verdana"/>
          <w:iCs/>
          <w:sz w:val="18"/>
          <w:szCs w:val="18"/>
        </w:rPr>
        <w:t xml:space="preserve"> van (aspecten van) beleggingsrekeningen biedt schaalvoordelen</w:t>
      </w:r>
      <w:r w:rsidR="000645CD">
        <w:rPr>
          <w:rFonts w:ascii="Verdana" w:hAnsi="Verdana"/>
          <w:iCs/>
          <w:sz w:val="18"/>
          <w:szCs w:val="18"/>
        </w:rPr>
        <w:t xml:space="preserve">, omdat aanbieders minder rekening hoeven te houden met nationale verschillen. </w:t>
      </w:r>
      <w:r>
        <w:rPr>
          <w:rFonts w:ascii="Verdana" w:hAnsi="Verdana"/>
          <w:iCs/>
          <w:sz w:val="18"/>
          <w:szCs w:val="18"/>
        </w:rPr>
        <w:lastRenderedPageBreak/>
        <w:t>Om die reden is optreden op EU</w:t>
      </w:r>
      <w:r w:rsidR="00426D49">
        <w:rPr>
          <w:rFonts w:ascii="Verdana" w:hAnsi="Verdana"/>
          <w:iCs/>
          <w:sz w:val="18"/>
          <w:szCs w:val="18"/>
        </w:rPr>
        <w:t>-</w:t>
      </w:r>
      <w:r>
        <w:rPr>
          <w:rFonts w:ascii="Verdana" w:hAnsi="Verdana"/>
          <w:iCs/>
          <w:sz w:val="18"/>
          <w:szCs w:val="18"/>
        </w:rPr>
        <w:t>niveau gerechtvaardigd.</w:t>
      </w:r>
      <w:r w:rsidRPr="00E86FA2">
        <w:rPr>
          <w:rFonts w:ascii="Verdana" w:hAnsi="Verdana"/>
          <w:iCs/>
          <w:sz w:val="18"/>
          <w:szCs w:val="18"/>
        </w:rPr>
        <w:t xml:space="preserve"> </w:t>
      </w:r>
      <w:r w:rsidRPr="00E86FA2" w:rsidR="00E86FA2">
        <w:rPr>
          <w:rFonts w:ascii="Verdana" w:hAnsi="Verdana"/>
          <w:iCs/>
          <w:sz w:val="18"/>
          <w:szCs w:val="18"/>
        </w:rPr>
        <w:t xml:space="preserve">Ten aanzien van de fiscale </w:t>
      </w:r>
      <w:r w:rsidR="00961C17">
        <w:rPr>
          <w:rFonts w:ascii="Verdana" w:hAnsi="Verdana"/>
          <w:iCs/>
          <w:sz w:val="18"/>
          <w:szCs w:val="18"/>
        </w:rPr>
        <w:t>stimulering</w:t>
      </w:r>
      <w:r w:rsidRPr="00E86FA2" w:rsidR="00E86FA2">
        <w:rPr>
          <w:rFonts w:ascii="Verdana" w:hAnsi="Verdana"/>
          <w:iCs/>
          <w:sz w:val="18"/>
          <w:szCs w:val="18"/>
        </w:rPr>
        <w:t xml:space="preserve"> is de subsidiariteitsvraag niet van toepassing, gegeven de exclusieve bevoegdheid van de lidstaten hierop.</w:t>
      </w:r>
    </w:p>
    <w:p w:rsidRPr="009B3EED" w:rsidR="00E86FA2" w:rsidP="007C2EF8" w:rsidRDefault="00E86FA2" w14:paraId="5C534739" w14:textId="77777777">
      <w:pPr>
        <w:spacing w:line="360" w:lineRule="auto"/>
        <w:rPr>
          <w:rFonts w:ascii="Verdana" w:hAnsi="Verdana"/>
          <w:i/>
          <w:sz w:val="18"/>
          <w:szCs w:val="18"/>
        </w:rPr>
      </w:pPr>
    </w:p>
    <w:p w:rsidR="00FD0CBD" w:rsidP="00FD0CBD" w:rsidRDefault="00FD0CBD" w14:paraId="1A161076" w14:textId="7803DA6D">
      <w:pPr>
        <w:numPr>
          <w:ilvl w:val="0"/>
          <w:numId w:val="22"/>
        </w:numPr>
        <w:spacing w:line="360" w:lineRule="auto"/>
        <w:rPr>
          <w:rFonts w:ascii="Verdana" w:hAnsi="Verdana"/>
          <w:i/>
          <w:sz w:val="18"/>
          <w:szCs w:val="18"/>
        </w:rPr>
      </w:pPr>
      <w:r w:rsidRPr="009B3EED">
        <w:rPr>
          <w:rFonts w:ascii="Verdana" w:hAnsi="Verdana"/>
          <w:i/>
          <w:sz w:val="18"/>
          <w:szCs w:val="18"/>
        </w:rPr>
        <w:t>Proportionaliteit</w:t>
      </w:r>
      <w:r w:rsidR="007F1CCC">
        <w:rPr>
          <w:rFonts w:ascii="Verdana" w:hAnsi="Verdana"/>
          <w:i/>
          <w:sz w:val="18"/>
          <w:szCs w:val="18"/>
        </w:rPr>
        <w:t xml:space="preserve"> </w:t>
      </w:r>
    </w:p>
    <w:p w:rsidR="00C7313B" w:rsidP="00AE5EF4" w:rsidRDefault="00FC0ADA" w14:paraId="5DFDFB5A" w14:textId="7A92BDFA">
      <w:pPr>
        <w:spacing w:line="360" w:lineRule="auto"/>
        <w:rPr>
          <w:rFonts w:ascii="Verdana" w:hAnsi="Verdana"/>
          <w:iCs/>
          <w:sz w:val="18"/>
          <w:szCs w:val="18"/>
        </w:rPr>
      </w:pPr>
      <w:r>
        <w:rPr>
          <w:rFonts w:ascii="Verdana" w:hAnsi="Verdana"/>
          <w:iCs/>
          <w:sz w:val="18"/>
          <w:szCs w:val="18"/>
        </w:rPr>
        <w:t>De grondhouding</w:t>
      </w:r>
      <w:r w:rsidR="00CA1CE8">
        <w:rPr>
          <w:rFonts w:ascii="Verdana" w:hAnsi="Verdana"/>
          <w:iCs/>
          <w:sz w:val="18"/>
          <w:szCs w:val="18"/>
        </w:rPr>
        <w:t xml:space="preserve"> van het kabinet ten aanzien van de proportionaliteit is positief. Het doel van de aanbeveling is consumenten</w:t>
      </w:r>
      <w:r>
        <w:rPr>
          <w:rFonts w:ascii="Verdana" w:hAnsi="Verdana"/>
          <w:iCs/>
          <w:sz w:val="18"/>
          <w:szCs w:val="18"/>
        </w:rPr>
        <w:t xml:space="preserve"> in de EU</w:t>
      </w:r>
      <w:r w:rsidR="00CA1CE8">
        <w:rPr>
          <w:rFonts w:ascii="Verdana" w:hAnsi="Verdana"/>
          <w:iCs/>
          <w:sz w:val="18"/>
          <w:szCs w:val="18"/>
        </w:rPr>
        <w:t xml:space="preserve"> ertoe aan te zetten verantwoord meer te gaan beleggen om zo meer rendement op vermogen te verdienen. De aanbeveling is geschikt om deze doelstelling te halen, omdat – wanneer overgenomen door lidstaten – beleggingsrekeningen met de kenmerken zoals geformuleerd door de Commissie naar verwachting zullen helpen om consumenten de stap te laten zetten om te (beginnen met) beleggen. De aanbeveling gaat bovendien niet verder dan noodzakelijk</w:t>
      </w:r>
      <w:r w:rsidR="00E232AF">
        <w:rPr>
          <w:rFonts w:ascii="Verdana" w:hAnsi="Verdana"/>
          <w:iCs/>
          <w:sz w:val="18"/>
          <w:szCs w:val="18"/>
        </w:rPr>
        <w:t>,</w:t>
      </w:r>
      <w:r w:rsidR="00CA1CE8">
        <w:rPr>
          <w:rFonts w:ascii="Verdana" w:hAnsi="Verdana"/>
          <w:iCs/>
          <w:sz w:val="18"/>
          <w:szCs w:val="18"/>
        </w:rPr>
        <w:t xml:space="preserve"> </w:t>
      </w:r>
      <w:r>
        <w:rPr>
          <w:rFonts w:ascii="Verdana" w:hAnsi="Verdana"/>
          <w:iCs/>
          <w:sz w:val="18"/>
          <w:szCs w:val="18"/>
        </w:rPr>
        <w:t>omdat het voorgestelde raamwerk is gericht op het op nationaal niveau faciliteren van (waar mogelijk uniforme) beleggingsrekeningen en zo een goede aanvulling dan wel katalysator kan vormen voor nationaal beleid. Daarnaast is het overnemen van het raamwerk facultatief en laat het voorstel hiermee voldoende ruimte aan de lidstaten</w:t>
      </w:r>
      <w:r w:rsidR="00CA1CE8">
        <w:rPr>
          <w:rFonts w:ascii="Verdana" w:hAnsi="Verdana"/>
          <w:iCs/>
          <w:sz w:val="18"/>
          <w:szCs w:val="18"/>
        </w:rPr>
        <w:t>.</w:t>
      </w:r>
    </w:p>
    <w:p w:rsidRPr="00CA1CE8" w:rsidR="00CA1CE8" w:rsidP="00AE5EF4" w:rsidRDefault="00CA1CE8" w14:paraId="5D9ADAEE" w14:textId="77777777">
      <w:pPr>
        <w:spacing w:line="360" w:lineRule="auto"/>
        <w:rPr>
          <w:rFonts w:ascii="Verdana" w:hAnsi="Verdana"/>
          <w:iCs/>
          <w:sz w:val="18"/>
          <w:szCs w:val="18"/>
        </w:rPr>
      </w:pPr>
    </w:p>
    <w:p w:rsidR="00DD6412" w:rsidP="00DB58E4" w:rsidRDefault="00FD0CBD" w14:paraId="3D2770A0" w14:textId="38BFB6DA">
      <w:pPr>
        <w:numPr>
          <w:ilvl w:val="0"/>
          <w:numId w:val="22"/>
        </w:numPr>
        <w:spacing w:line="360" w:lineRule="auto"/>
        <w:rPr>
          <w:rFonts w:ascii="Verdana" w:hAnsi="Verdana"/>
          <w:i/>
          <w:sz w:val="18"/>
          <w:szCs w:val="18"/>
        </w:rPr>
      </w:pPr>
      <w:r w:rsidRPr="009B3EED">
        <w:rPr>
          <w:rFonts w:ascii="Verdana" w:hAnsi="Verdana"/>
          <w:i/>
          <w:sz w:val="18"/>
          <w:szCs w:val="18"/>
        </w:rPr>
        <w:t>Financië</w:t>
      </w:r>
      <w:r w:rsidRPr="009B3EED" w:rsidR="006810FB">
        <w:rPr>
          <w:rFonts w:ascii="Verdana" w:hAnsi="Verdana"/>
          <w:i/>
          <w:sz w:val="18"/>
          <w:szCs w:val="18"/>
        </w:rPr>
        <w:t>le gevolgen</w:t>
      </w:r>
    </w:p>
    <w:p w:rsidRPr="007B4D53" w:rsidR="007B4D53" w:rsidP="007B4D53" w:rsidRDefault="007B4D53" w14:paraId="1A7F0CE1" w14:textId="5FCCC110">
      <w:pPr>
        <w:spacing w:line="360" w:lineRule="auto"/>
        <w:rPr>
          <w:rFonts w:ascii="Verdana" w:hAnsi="Verdana"/>
          <w:iCs/>
          <w:sz w:val="18"/>
          <w:szCs w:val="18"/>
        </w:rPr>
      </w:pPr>
      <w:r w:rsidRPr="007B4D53">
        <w:rPr>
          <w:rFonts w:ascii="Verdana" w:hAnsi="Verdana"/>
          <w:iCs/>
          <w:sz w:val="18"/>
          <w:szCs w:val="18"/>
        </w:rPr>
        <w:t>Er zijn geen directe financiële gevolgen voor de Staat die voortkomen uit deze aanbeveling. Wel kunnen er financiële gevolgen zijn bij de invoering van een fiscaal voordeel, maar zoals eerder gezegd zal het kabinet hier pas naar kijken wanneer de wetsbehandeling van de Wet werkelijk rendement box 3 is afgerond en deze in werking is getreden.</w:t>
      </w:r>
    </w:p>
    <w:p w:rsidRPr="007B4D53" w:rsidR="007B4D53" w:rsidP="007B4D53" w:rsidRDefault="007B4D53" w14:paraId="70306F74" w14:textId="77777777">
      <w:pPr>
        <w:spacing w:line="360" w:lineRule="auto"/>
        <w:rPr>
          <w:rFonts w:ascii="Verdana" w:hAnsi="Verdana"/>
          <w:i/>
          <w:sz w:val="18"/>
          <w:szCs w:val="18"/>
        </w:rPr>
      </w:pPr>
    </w:p>
    <w:p w:rsidR="006810FB" w:rsidP="00FD0CBD" w:rsidRDefault="006810FB" w14:paraId="3169D6BF" w14:textId="77777777">
      <w:pPr>
        <w:numPr>
          <w:ilvl w:val="0"/>
          <w:numId w:val="22"/>
        </w:numPr>
        <w:spacing w:line="360" w:lineRule="auto"/>
        <w:rPr>
          <w:rFonts w:ascii="Verdana" w:hAnsi="Verdana"/>
          <w:i/>
          <w:sz w:val="18"/>
          <w:szCs w:val="18"/>
        </w:rPr>
      </w:pPr>
      <w:r w:rsidRPr="009B3EED">
        <w:rPr>
          <w:rFonts w:ascii="Verdana" w:hAnsi="Verdana"/>
          <w:i/>
          <w:sz w:val="18"/>
          <w:szCs w:val="18"/>
        </w:rPr>
        <w:t>Gevolgen voor regeldruk</w:t>
      </w:r>
      <w:r w:rsidR="00DB2696">
        <w:rPr>
          <w:rFonts w:ascii="Verdana" w:hAnsi="Verdana"/>
          <w:i/>
          <w:sz w:val="18"/>
          <w:szCs w:val="18"/>
        </w:rPr>
        <w:t>,</w:t>
      </w:r>
      <w:r w:rsidR="00881F26">
        <w:rPr>
          <w:rFonts w:ascii="Verdana" w:hAnsi="Verdana"/>
          <w:i/>
          <w:sz w:val="18"/>
          <w:szCs w:val="18"/>
        </w:rPr>
        <w:t xml:space="preserve"> concurrentiekracht</w:t>
      </w:r>
      <w:r w:rsidR="00A21B6F">
        <w:rPr>
          <w:rFonts w:ascii="Verdana" w:hAnsi="Verdana"/>
          <w:i/>
          <w:sz w:val="18"/>
          <w:szCs w:val="18"/>
        </w:rPr>
        <w:t xml:space="preserve"> en geopolitieke aspecten</w:t>
      </w:r>
    </w:p>
    <w:p w:rsidRPr="00570AF7" w:rsidR="00570AF7" w:rsidP="00570AF7" w:rsidRDefault="00CA1CE8" w14:paraId="79452C57" w14:textId="6419E566">
      <w:pPr>
        <w:spacing w:line="360" w:lineRule="auto"/>
        <w:rPr>
          <w:rFonts w:ascii="Verdana" w:hAnsi="Verdana"/>
          <w:sz w:val="18"/>
          <w:szCs w:val="18"/>
        </w:rPr>
      </w:pPr>
      <w:r>
        <w:rPr>
          <w:rFonts w:ascii="Verdana" w:hAnsi="Verdana"/>
          <w:sz w:val="18"/>
          <w:szCs w:val="18"/>
        </w:rPr>
        <w:t>Aangezien</w:t>
      </w:r>
      <w:r w:rsidRPr="00570AF7" w:rsidR="00570AF7">
        <w:rPr>
          <w:rFonts w:ascii="Verdana" w:hAnsi="Verdana"/>
          <w:sz w:val="18"/>
          <w:szCs w:val="18"/>
        </w:rPr>
        <w:t xml:space="preserve"> het voorstel een aanbeveling betreft en de inhoud van het voorstel grotendeels overeenkomt met bestaande Nederlandse wet- en regelgeving geldt dat directe gevolgen voor de regeldruk als gevolg van dit voorstel</w:t>
      </w:r>
      <w:r w:rsidR="000F1411">
        <w:rPr>
          <w:rFonts w:ascii="Verdana" w:hAnsi="Verdana"/>
          <w:sz w:val="18"/>
          <w:szCs w:val="18"/>
        </w:rPr>
        <w:t xml:space="preserve"> op korte termijn</w:t>
      </w:r>
      <w:r w:rsidRPr="00570AF7" w:rsidR="00570AF7">
        <w:rPr>
          <w:rFonts w:ascii="Verdana" w:hAnsi="Verdana"/>
          <w:sz w:val="18"/>
          <w:szCs w:val="18"/>
        </w:rPr>
        <w:t xml:space="preserve"> neutraal zullen zijn.</w:t>
      </w:r>
      <w:r w:rsidR="000F1411">
        <w:rPr>
          <w:rFonts w:ascii="Verdana" w:hAnsi="Verdana"/>
          <w:sz w:val="18"/>
          <w:szCs w:val="18"/>
        </w:rPr>
        <w:t xml:space="preserve"> </w:t>
      </w:r>
      <w:r w:rsidR="00944307">
        <w:rPr>
          <w:rFonts w:ascii="Verdana" w:hAnsi="Verdana"/>
          <w:sz w:val="18"/>
          <w:szCs w:val="18"/>
        </w:rPr>
        <w:t>Eventuele</w:t>
      </w:r>
      <w:r w:rsidR="000F1411">
        <w:rPr>
          <w:rFonts w:ascii="Verdana" w:hAnsi="Verdana"/>
          <w:sz w:val="18"/>
          <w:szCs w:val="18"/>
        </w:rPr>
        <w:t xml:space="preserve"> fiscale </w:t>
      </w:r>
      <w:r w:rsidR="00961C17">
        <w:rPr>
          <w:rFonts w:ascii="Verdana" w:hAnsi="Verdana"/>
          <w:sz w:val="18"/>
          <w:szCs w:val="18"/>
        </w:rPr>
        <w:t>stimulering</w:t>
      </w:r>
      <w:r w:rsidR="000F1411">
        <w:rPr>
          <w:rFonts w:ascii="Verdana" w:hAnsi="Verdana"/>
          <w:sz w:val="18"/>
          <w:szCs w:val="18"/>
        </w:rPr>
        <w:t xml:space="preserve"> </w:t>
      </w:r>
      <w:r w:rsidR="00944307">
        <w:rPr>
          <w:rFonts w:ascii="Verdana" w:hAnsi="Verdana"/>
          <w:sz w:val="18"/>
          <w:szCs w:val="18"/>
        </w:rPr>
        <w:t xml:space="preserve">zou </w:t>
      </w:r>
      <w:r w:rsidR="000F1411">
        <w:rPr>
          <w:rFonts w:ascii="Verdana" w:hAnsi="Verdana"/>
          <w:sz w:val="18"/>
          <w:szCs w:val="18"/>
        </w:rPr>
        <w:t>– afhankelijk van het type</w:t>
      </w:r>
      <w:r w:rsidR="00961C17">
        <w:rPr>
          <w:rFonts w:ascii="Verdana" w:hAnsi="Verdana"/>
          <w:sz w:val="18"/>
          <w:szCs w:val="18"/>
        </w:rPr>
        <w:t xml:space="preserve"> </w:t>
      </w:r>
      <w:r w:rsidR="000F1411">
        <w:rPr>
          <w:rFonts w:ascii="Verdana" w:hAnsi="Verdana"/>
          <w:sz w:val="18"/>
          <w:szCs w:val="18"/>
        </w:rPr>
        <w:t xml:space="preserve">– de regeldruk voor aanbieders van spaar- en beleggingsrekeningen kunnen verhogen, bijvoorbeeld wanneer </w:t>
      </w:r>
      <w:r w:rsidR="00000903">
        <w:rPr>
          <w:rFonts w:ascii="Verdana" w:hAnsi="Verdana"/>
          <w:sz w:val="18"/>
          <w:szCs w:val="18"/>
        </w:rPr>
        <w:t xml:space="preserve">additionele eisen worden gesteld aan een fiscaal </w:t>
      </w:r>
      <w:r w:rsidR="00961C17">
        <w:rPr>
          <w:rFonts w:ascii="Verdana" w:hAnsi="Verdana"/>
          <w:sz w:val="18"/>
          <w:szCs w:val="18"/>
        </w:rPr>
        <w:t>gestimuleerde</w:t>
      </w:r>
      <w:r w:rsidR="00000903">
        <w:rPr>
          <w:rFonts w:ascii="Verdana" w:hAnsi="Verdana"/>
          <w:sz w:val="18"/>
          <w:szCs w:val="18"/>
        </w:rPr>
        <w:t xml:space="preserve"> beleggingsrekening ten opzichte van de huidige praktijk</w:t>
      </w:r>
      <w:r w:rsidR="000F1411">
        <w:rPr>
          <w:rFonts w:ascii="Verdana" w:hAnsi="Verdana"/>
          <w:sz w:val="18"/>
          <w:szCs w:val="18"/>
        </w:rPr>
        <w:t>. Dit effect is echter afhankelijk van de toepassing van een fiscale stimulans</w:t>
      </w:r>
      <w:r w:rsidR="00944307">
        <w:rPr>
          <w:rFonts w:ascii="Verdana" w:hAnsi="Verdana"/>
          <w:sz w:val="18"/>
          <w:szCs w:val="18"/>
        </w:rPr>
        <w:t xml:space="preserve">. </w:t>
      </w:r>
      <w:r w:rsidR="00944307">
        <w:rPr>
          <w:rFonts w:ascii="Verdana" w:hAnsi="Verdana"/>
          <w:iCs/>
          <w:sz w:val="18"/>
          <w:szCs w:val="18"/>
        </w:rPr>
        <w:t xml:space="preserve">Het </w:t>
      </w:r>
      <w:r w:rsidR="00E232AF">
        <w:rPr>
          <w:rFonts w:ascii="Verdana" w:hAnsi="Verdana"/>
          <w:iCs/>
          <w:sz w:val="18"/>
          <w:szCs w:val="18"/>
        </w:rPr>
        <w:t>k</w:t>
      </w:r>
      <w:r w:rsidR="00944307">
        <w:rPr>
          <w:rFonts w:ascii="Verdana" w:hAnsi="Verdana"/>
          <w:iCs/>
          <w:sz w:val="18"/>
          <w:szCs w:val="18"/>
        </w:rPr>
        <w:t xml:space="preserve">abinet zegt daarbij toe eerst de behandeling en inwerkingtreding van de </w:t>
      </w:r>
      <w:r w:rsidRPr="006E6706" w:rsidR="00944307">
        <w:rPr>
          <w:rFonts w:ascii="Verdana" w:hAnsi="Verdana"/>
          <w:iCs/>
          <w:sz w:val="18"/>
          <w:szCs w:val="18"/>
        </w:rPr>
        <w:t>Wet werkelijk rendement box 3</w:t>
      </w:r>
      <w:r w:rsidR="00944307">
        <w:rPr>
          <w:rFonts w:ascii="Verdana" w:hAnsi="Verdana"/>
          <w:iCs/>
          <w:sz w:val="18"/>
          <w:szCs w:val="18"/>
        </w:rPr>
        <w:t xml:space="preserve"> willen afwachten. </w:t>
      </w:r>
    </w:p>
    <w:p w:rsidR="00570AF7" w:rsidP="00371A2E" w:rsidRDefault="00570AF7" w14:paraId="60996F06" w14:textId="77777777">
      <w:pPr>
        <w:spacing w:line="360" w:lineRule="auto"/>
        <w:rPr>
          <w:rFonts w:ascii="Verdana" w:hAnsi="Verdana"/>
          <w:sz w:val="18"/>
          <w:szCs w:val="18"/>
        </w:rPr>
      </w:pPr>
    </w:p>
    <w:p w:rsidRPr="00965693" w:rsidR="00965693" w:rsidP="00D17F7D" w:rsidRDefault="00371A2E" w14:paraId="450D6ED4" w14:textId="72FBAD5E">
      <w:pPr>
        <w:spacing w:line="360" w:lineRule="auto"/>
        <w:rPr>
          <w:rFonts w:ascii="Verdana" w:hAnsi="Verdana"/>
          <w:sz w:val="18"/>
          <w:szCs w:val="18"/>
        </w:rPr>
      </w:pPr>
      <w:r>
        <w:rPr>
          <w:rFonts w:ascii="Verdana" w:hAnsi="Verdana"/>
          <w:sz w:val="18"/>
          <w:szCs w:val="18"/>
        </w:rPr>
        <w:t>Middels deze aanbeveling waarin de Commissie een Europees raamwerk voor Europese spaar- en beleggingsrekeningen uiteenzet</w:t>
      </w:r>
      <w:r w:rsidRPr="00371A2E">
        <w:rPr>
          <w:rFonts w:ascii="Verdana" w:hAnsi="Verdana"/>
          <w:sz w:val="18"/>
          <w:szCs w:val="18"/>
        </w:rPr>
        <w:t xml:space="preserve"> beoogt de Commissie huishoudens te stimuleren meer te investeren in plaats van spaargeld passief aan te houden. </w:t>
      </w:r>
      <w:r w:rsidR="00C359BE">
        <w:rPr>
          <w:rFonts w:ascii="Verdana" w:hAnsi="Verdana"/>
          <w:sz w:val="18"/>
          <w:szCs w:val="18"/>
        </w:rPr>
        <w:t xml:space="preserve">Gezamenlijk houden Europeanen zo’n </w:t>
      </w:r>
      <w:r w:rsidR="00272B22">
        <w:rPr>
          <w:rFonts w:ascii="Verdana" w:hAnsi="Verdana"/>
          <w:sz w:val="18"/>
          <w:szCs w:val="18"/>
        </w:rPr>
        <w:t>11,5</w:t>
      </w:r>
      <w:r w:rsidR="00C359BE">
        <w:rPr>
          <w:rFonts w:ascii="Verdana" w:hAnsi="Verdana"/>
          <w:sz w:val="18"/>
          <w:szCs w:val="18"/>
        </w:rPr>
        <w:t xml:space="preserve"> biljoen euro aan in cash en op spaarrekeningen</w:t>
      </w:r>
      <w:r w:rsidR="00CA1CE8">
        <w:rPr>
          <w:rFonts w:ascii="Verdana" w:hAnsi="Verdana"/>
          <w:sz w:val="18"/>
          <w:szCs w:val="18"/>
        </w:rPr>
        <w:t>.</w:t>
      </w:r>
      <w:r w:rsidR="00C359BE">
        <w:rPr>
          <w:rFonts w:ascii="Verdana" w:hAnsi="Verdana"/>
          <w:sz w:val="18"/>
          <w:szCs w:val="18"/>
        </w:rPr>
        <w:t xml:space="preserve"> Wanneer huishoudens</w:t>
      </w:r>
      <w:r w:rsidR="000F1411">
        <w:rPr>
          <w:rFonts w:ascii="Verdana" w:hAnsi="Verdana"/>
          <w:sz w:val="18"/>
          <w:szCs w:val="18"/>
        </w:rPr>
        <w:t xml:space="preserve"> dit kapitaal aanwenden</w:t>
      </w:r>
      <w:r w:rsidR="00153C80">
        <w:rPr>
          <w:rFonts w:ascii="Verdana" w:hAnsi="Verdana"/>
          <w:sz w:val="18"/>
          <w:szCs w:val="18"/>
        </w:rPr>
        <w:t xml:space="preserve"> door meer in de EU te investeren kan de productiviteit in de EU worden verhoogd.</w:t>
      </w:r>
      <w:r w:rsidR="00C359BE">
        <w:rPr>
          <w:rFonts w:ascii="Verdana" w:hAnsi="Verdana"/>
          <w:sz w:val="18"/>
          <w:szCs w:val="18"/>
        </w:rPr>
        <w:t xml:space="preserve"> </w:t>
      </w:r>
      <w:r w:rsidR="00153C80">
        <w:rPr>
          <w:rFonts w:ascii="Verdana" w:hAnsi="Verdana"/>
          <w:sz w:val="18"/>
          <w:szCs w:val="18"/>
        </w:rPr>
        <w:t>Hiermee kan de toegang tot financiering voor strategische technologieën worden vergemakkelijkt, hetgeen bijdraagt aan de productiviteitsgroei, concurrentiekracht en geopolitieke weerbaarheid van Nederland en Europa</w:t>
      </w:r>
      <w:r w:rsidR="009A5977">
        <w:rPr>
          <w:rFonts w:ascii="Verdana" w:hAnsi="Verdana"/>
          <w:sz w:val="18"/>
          <w:szCs w:val="18"/>
        </w:rPr>
        <w:t>.</w:t>
      </w:r>
      <w:r w:rsidR="00AA7936">
        <w:rPr>
          <w:rFonts w:ascii="Verdana" w:hAnsi="Verdana"/>
          <w:sz w:val="18"/>
          <w:szCs w:val="18"/>
        </w:rPr>
        <w:t xml:space="preserve"> </w:t>
      </w:r>
    </w:p>
    <w:sectPr w:rsidRPr="00965693" w:rsidR="00965693" w:rsidSect="00862967">
      <w:footerReference w:type="even" r:id="rId14"/>
      <w:footerReference w:type="default" r:id="rId15"/>
      <w:footerReference w:type="first" r:id="rId16"/>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A69C0" w14:textId="77777777" w:rsidR="009B1BB2" w:rsidRDefault="009B1BB2">
      <w:r>
        <w:separator/>
      </w:r>
    </w:p>
  </w:endnote>
  <w:endnote w:type="continuationSeparator" w:id="0">
    <w:p w14:paraId="25A0A782" w14:textId="77777777" w:rsidR="009B1BB2" w:rsidRDefault="009B1BB2">
      <w:r>
        <w:continuationSeparator/>
      </w:r>
    </w:p>
  </w:endnote>
  <w:endnote w:type="continuationNotice" w:id="1">
    <w:p w14:paraId="7E4B26D7" w14:textId="77777777" w:rsidR="009B1BB2" w:rsidRDefault="009B1B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8A98" w14:textId="253CCC5C" w:rsidR="00F54AFF" w:rsidRDefault="005E0A6D">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28789A53" wp14:editId="78E25854">
              <wp:simplePos x="635" y="635"/>
              <wp:positionH relativeFrom="page">
                <wp:align>left</wp:align>
              </wp:positionH>
              <wp:positionV relativeFrom="page">
                <wp:align>bottom</wp:align>
              </wp:positionV>
              <wp:extent cx="986155" cy="368300"/>
              <wp:effectExtent l="0" t="0" r="4445" b="0"/>
              <wp:wrapNone/>
              <wp:docPr id="100470714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6437DBF1" w14:textId="4DFDA87B" w:rsidR="005E0A6D" w:rsidRPr="005E0A6D" w:rsidRDefault="005E0A6D" w:rsidP="005E0A6D">
                          <w:pPr>
                            <w:rPr>
                              <w:rFonts w:ascii="Calibri" w:eastAsia="Calibri" w:hAnsi="Calibri" w:cs="Calibri"/>
                              <w:noProof/>
                              <w:color w:val="000000"/>
                              <w:sz w:val="20"/>
                            </w:rPr>
                          </w:pPr>
                          <w:r w:rsidRPr="005E0A6D">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789A53"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6437DBF1" w14:textId="4DFDA87B" w:rsidR="005E0A6D" w:rsidRPr="005E0A6D" w:rsidRDefault="005E0A6D" w:rsidP="005E0A6D">
                    <w:pPr>
                      <w:rPr>
                        <w:rFonts w:ascii="Calibri" w:eastAsia="Calibri" w:hAnsi="Calibri" w:cs="Calibri"/>
                        <w:noProof/>
                        <w:color w:val="000000"/>
                        <w:sz w:val="20"/>
                      </w:rPr>
                    </w:pPr>
                    <w:r w:rsidRPr="005E0A6D">
                      <w:rPr>
                        <w:rFonts w:ascii="Calibri" w:eastAsia="Calibri" w:hAnsi="Calibri" w:cs="Calibri"/>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47AB9E7E"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EC03" w14:textId="68EEC2A0" w:rsidR="00F54AFF" w:rsidRDefault="005E0A6D">
    <w:pPr>
      <w:pStyle w:val="Footer"/>
    </w:pPr>
    <w:r>
      <w:rPr>
        <w:noProof/>
      </w:rPr>
      <mc:AlternateContent>
        <mc:Choice Requires="wps">
          <w:drawing>
            <wp:anchor distT="0" distB="0" distL="0" distR="0" simplePos="0" relativeHeight="251658242" behindDoc="0" locked="0" layoutInCell="1" allowOverlap="1" wp14:anchorId="2AAD62DF" wp14:editId="36D2BDEC">
              <wp:simplePos x="635" y="635"/>
              <wp:positionH relativeFrom="page">
                <wp:align>left</wp:align>
              </wp:positionH>
              <wp:positionV relativeFrom="page">
                <wp:align>bottom</wp:align>
              </wp:positionV>
              <wp:extent cx="986155" cy="368300"/>
              <wp:effectExtent l="0" t="0" r="4445" b="0"/>
              <wp:wrapNone/>
              <wp:docPr id="98550672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F3921FE" w14:textId="32171029" w:rsidR="005E0A6D" w:rsidRPr="005E0A6D" w:rsidRDefault="005E0A6D" w:rsidP="005E0A6D">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AD62DF"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7F3921FE" w14:textId="32171029" w:rsidR="005E0A6D" w:rsidRPr="005E0A6D" w:rsidRDefault="005E0A6D" w:rsidP="005E0A6D">
                    <w:pPr>
                      <w:rPr>
                        <w:rFonts w:ascii="Calibri" w:eastAsia="Calibri" w:hAnsi="Calibri" w:cs="Calibri"/>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3CAF" w14:textId="36456EB0" w:rsidR="005E0A6D" w:rsidRDefault="005E0A6D">
    <w:pPr>
      <w:pStyle w:val="Footer"/>
    </w:pPr>
    <w:r>
      <w:rPr>
        <w:noProof/>
      </w:rPr>
      <mc:AlternateContent>
        <mc:Choice Requires="wps">
          <w:drawing>
            <wp:anchor distT="0" distB="0" distL="0" distR="0" simplePos="0" relativeHeight="251658240" behindDoc="0" locked="0" layoutInCell="1" allowOverlap="1" wp14:anchorId="20B4193A" wp14:editId="45F38B80">
              <wp:simplePos x="635" y="635"/>
              <wp:positionH relativeFrom="page">
                <wp:align>left</wp:align>
              </wp:positionH>
              <wp:positionV relativeFrom="page">
                <wp:align>bottom</wp:align>
              </wp:positionV>
              <wp:extent cx="986155" cy="368300"/>
              <wp:effectExtent l="0" t="0" r="4445" b="0"/>
              <wp:wrapNone/>
              <wp:docPr id="53298750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3505575" w14:textId="0BEB2719" w:rsidR="005E0A6D" w:rsidRPr="005E0A6D" w:rsidRDefault="005E0A6D" w:rsidP="005E0A6D">
                          <w:pPr>
                            <w:rPr>
                              <w:rFonts w:ascii="Calibri" w:eastAsia="Calibri" w:hAnsi="Calibri" w:cs="Calibri"/>
                              <w:noProof/>
                              <w:color w:val="000000"/>
                              <w:sz w:val="20"/>
                            </w:rPr>
                          </w:pPr>
                          <w:r w:rsidRPr="005E0A6D">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B4193A"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13505575" w14:textId="0BEB2719" w:rsidR="005E0A6D" w:rsidRPr="005E0A6D" w:rsidRDefault="005E0A6D" w:rsidP="005E0A6D">
                    <w:pPr>
                      <w:rPr>
                        <w:rFonts w:ascii="Calibri" w:eastAsia="Calibri" w:hAnsi="Calibri" w:cs="Calibri"/>
                        <w:noProof/>
                        <w:color w:val="000000"/>
                        <w:sz w:val="20"/>
                      </w:rPr>
                    </w:pPr>
                    <w:r w:rsidRPr="005E0A6D">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D074A" w14:textId="77777777" w:rsidR="009B1BB2" w:rsidRDefault="009B1BB2">
      <w:r>
        <w:separator/>
      </w:r>
    </w:p>
  </w:footnote>
  <w:footnote w:type="continuationSeparator" w:id="0">
    <w:p w14:paraId="4BDDD663" w14:textId="77777777" w:rsidR="009B1BB2" w:rsidRDefault="009B1BB2">
      <w:r>
        <w:continuationSeparator/>
      </w:r>
    </w:p>
  </w:footnote>
  <w:footnote w:type="continuationNotice" w:id="1">
    <w:p w14:paraId="12E0A3B1" w14:textId="77777777" w:rsidR="009B1BB2" w:rsidRDefault="009B1BB2">
      <w:pPr>
        <w:spacing w:line="240" w:lineRule="auto"/>
      </w:pPr>
    </w:p>
  </w:footnote>
  <w:footnote w:id="2">
    <w:p w14:paraId="298EAAA2" w14:textId="66E7483B" w:rsidR="003C541D" w:rsidRPr="00742629" w:rsidRDefault="003C541D" w:rsidP="008C632B">
      <w:pPr>
        <w:pStyle w:val="FootnoteText"/>
        <w:spacing w:line="240" w:lineRule="auto"/>
        <w:rPr>
          <w:rFonts w:ascii="Verdana" w:hAnsi="Verdana"/>
          <w:sz w:val="16"/>
          <w:szCs w:val="16"/>
        </w:rPr>
      </w:pPr>
      <w:r w:rsidRPr="00742629">
        <w:rPr>
          <w:rStyle w:val="FootnoteReference"/>
          <w:rFonts w:ascii="Verdana" w:hAnsi="Verdana"/>
          <w:sz w:val="16"/>
          <w:szCs w:val="16"/>
        </w:rPr>
        <w:footnoteRef/>
      </w:r>
      <w:r w:rsidRPr="00742629">
        <w:rPr>
          <w:rFonts w:ascii="Verdana" w:hAnsi="Verdana"/>
          <w:sz w:val="16"/>
          <w:szCs w:val="16"/>
        </w:rPr>
        <w:t xml:space="preserve"> </w:t>
      </w:r>
      <w:r w:rsidR="00A71AB1" w:rsidRPr="00742629">
        <w:rPr>
          <w:rFonts w:ascii="Verdana" w:hAnsi="Verdana"/>
          <w:sz w:val="16"/>
          <w:szCs w:val="16"/>
        </w:rPr>
        <w:t xml:space="preserve">Het </w:t>
      </w:r>
      <w:r w:rsidRPr="00742629">
        <w:rPr>
          <w:rFonts w:ascii="Verdana" w:hAnsi="Verdana"/>
          <w:sz w:val="16"/>
          <w:szCs w:val="16"/>
        </w:rPr>
        <w:t>gebruik van de term ‘</w:t>
      </w:r>
      <w:r w:rsidRPr="00742629">
        <w:rPr>
          <w:rFonts w:ascii="Verdana" w:hAnsi="Verdana"/>
          <w:i/>
          <w:sz w:val="16"/>
          <w:szCs w:val="16"/>
        </w:rPr>
        <w:t>savings and investment accounts</w:t>
      </w:r>
      <w:r w:rsidRPr="00742629">
        <w:rPr>
          <w:rFonts w:ascii="Verdana" w:hAnsi="Verdana"/>
          <w:sz w:val="16"/>
          <w:szCs w:val="16"/>
        </w:rPr>
        <w:t>’ kan leiden tot de onjuiste opvatting dat het hier</w:t>
      </w:r>
      <w:r w:rsidR="00AF68EC" w:rsidRPr="00742629">
        <w:rPr>
          <w:rFonts w:ascii="Verdana" w:hAnsi="Verdana"/>
          <w:sz w:val="16"/>
          <w:szCs w:val="16"/>
        </w:rPr>
        <w:t xml:space="preserve"> niet alleen gaat om een beleggingsrekening, maar ook om een spaarrekening. </w:t>
      </w:r>
      <w:r w:rsidRPr="00742629">
        <w:rPr>
          <w:rFonts w:ascii="Verdana" w:hAnsi="Verdana"/>
          <w:sz w:val="16"/>
          <w:szCs w:val="16"/>
        </w:rPr>
        <w:t>Dat is niet het geval. ‘</w:t>
      </w:r>
      <w:r w:rsidRPr="00742629">
        <w:rPr>
          <w:rFonts w:ascii="Verdana" w:hAnsi="Verdana"/>
          <w:i/>
          <w:sz w:val="16"/>
          <w:szCs w:val="16"/>
        </w:rPr>
        <w:t>Savings</w:t>
      </w:r>
      <w:r w:rsidRPr="00742629">
        <w:rPr>
          <w:rFonts w:ascii="Verdana" w:hAnsi="Verdana"/>
          <w:sz w:val="16"/>
          <w:szCs w:val="16"/>
        </w:rPr>
        <w:t xml:space="preserve">’ duidt hier het verschil tussen de maandelijkse inkomsten en uitgaven. </w:t>
      </w:r>
      <w:r w:rsidR="002C7589" w:rsidRPr="00742629">
        <w:rPr>
          <w:rFonts w:ascii="Verdana" w:hAnsi="Verdana"/>
          <w:sz w:val="16"/>
          <w:szCs w:val="16"/>
        </w:rPr>
        <w:t xml:space="preserve">Dat kan </w:t>
      </w:r>
      <w:r w:rsidRPr="00742629">
        <w:rPr>
          <w:rFonts w:ascii="Verdana" w:hAnsi="Verdana"/>
          <w:sz w:val="16"/>
          <w:szCs w:val="16"/>
        </w:rPr>
        <w:t xml:space="preserve">worden gespaard op een deposito-spaarrekening, maar </w:t>
      </w:r>
      <w:r w:rsidR="002C7589" w:rsidRPr="00742629">
        <w:rPr>
          <w:rFonts w:ascii="Verdana" w:hAnsi="Verdana"/>
          <w:sz w:val="16"/>
          <w:szCs w:val="16"/>
        </w:rPr>
        <w:t xml:space="preserve">kan </w:t>
      </w:r>
      <w:r w:rsidRPr="00742629">
        <w:rPr>
          <w:rFonts w:ascii="Verdana" w:hAnsi="Verdana"/>
          <w:sz w:val="16"/>
          <w:szCs w:val="16"/>
        </w:rPr>
        <w:t>eveneens worden geïnvesteerd. Het doel van de aanbeveling is expliciet niet om sparen en spaarrekeningen aan te moedigen en te</w:t>
      </w:r>
      <w:r w:rsidR="00961C17" w:rsidRPr="00742629">
        <w:rPr>
          <w:rFonts w:ascii="Verdana" w:hAnsi="Verdana"/>
          <w:sz w:val="16"/>
          <w:szCs w:val="16"/>
        </w:rPr>
        <w:t xml:space="preserve"> faciliteren</w:t>
      </w:r>
      <w:r w:rsidRPr="00742629">
        <w:rPr>
          <w:rFonts w:ascii="Verdana" w:hAnsi="Verdana"/>
          <w:sz w:val="16"/>
          <w:szCs w:val="16"/>
        </w:rPr>
        <w:t>, maar beleggen en beleggingsrekeningen.</w:t>
      </w:r>
    </w:p>
  </w:footnote>
  <w:footnote w:id="3">
    <w:p w14:paraId="44CA7876" w14:textId="38C21D98" w:rsidR="00F10BF5" w:rsidRPr="006C72AB" w:rsidRDefault="00F10BF5" w:rsidP="008C632B">
      <w:pPr>
        <w:pStyle w:val="FootnoteText"/>
        <w:spacing w:line="240" w:lineRule="auto"/>
        <w:rPr>
          <w:rFonts w:ascii="Verdana" w:hAnsi="Verdana"/>
          <w:sz w:val="16"/>
          <w:szCs w:val="16"/>
        </w:rPr>
      </w:pPr>
      <w:r w:rsidRPr="006C72AB">
        <w:rPr>
          <w:rStyle w:val="FootnoteReference"/>
          <w:rFonts w:ascii="Verdana" w:hAnsi="Verdana"/>
          <w:sz w:val="16"/>
          <w:szCs w:val="16"/>
        </w:rPr>
        <w:footnoteRef/>
      </w:r>
      <w:r w:rsidRPr="006C72AB">
        <w:rPr>
          <w:rFonts w:ascii="Verdana" w:hAnsi="Verdana"/>
          <w:sz w:val="16"/>
          <w:szCs w:val="16"/>
        </w:rPr>
        <w:t xml:space="preserve"> </w:t>
      </w:r>
      <w:r w:rsidR="00CD3CD6" w:rsidRPr="006C72AB">
        <w:rPr>
          <w:rFonts w:ascii="Verdana" w:hAnsi="Verdana"/>
          <w:sz w:val="16"/>
          <w:szCs w:val="16"/>
        </w:rPr>
        <w:t>Te vinden via: https://open.overheid.nl/documenten/b8136a9b-c24a-4d93-9366-4e502753080b/file.</w:t>
      </w:r>
    </w:p>
  </w:footnote>
  <w:footnote w:id="4">
    <w:p w14:paraId="78CA8723" w14:textId="067C9912" w:rsidR="000C71D2" w:rsidRPr="006C72AB" w:rsidRDefault="000C71D2" w:rsidP="008C632B">
      <w:pPr>
        <w:pStyle w:val="FootnoteText"/>
        <w:spacing w:line="240" w:lineRule="auto"/>
        <w:rPr>
          <w:rFonts w:ascii="Verdana" w:hAnsi="Verdana"/>
          <w:sz w:val="16"/>
          <w:szCs w:val="16"/>
        </w:rPr>
      </w:pPr>
      <w:r w:rsidRPr="006C72AB">
        <w:rPr>
          <w:rStyle w:val="FootnoteReference"/>
          <w:rFonts w:ascii="Verdana" w:hAnsi="Verdana"/>
          <w:sz w:val="16"/>
          <w:szCs w:val="16"/>
        </w:rPr>
        <w:footnoteRef/>
      </w:r>
      <w:r w:rsidRPr="006C72AB">
        <w:rPr>
          <w:rFonts w:ascii="Verdana" w:hAnsi="Verdana"/>
          <w:sz w:val="16"/>
          <w:szCs w:val="16"/>
        </w:rPr>
        <w:t xml:space="preserve"> </w:t>
      </w:r>
      <w:r w:rsidR="00CD3CD6" w:rsidRPr="006C72AB">
        <w:rPr>
          <w:rFonts w:ascii="Verdana" w:hAnsi="Verdana"/>
          <w:i/>
          <w:sz w:val="16"/>
          <w:szCs w:val="16"/>
        </w:rPr>
        <w:t>Comparing Wealth Effects of Savings and Index Investment</w:t>
      </w:r>
      <w:r w:rsidR="00CD3CD6" w:rsidRPr="006C72AB">
        <w:rPr>
          <w:rFonts w:ascii="Verdana" w:hAnsi="Verdana"/>
          <w:sz w:val="16"/>
          <w:szCs w:val="16"/>
        </w:rPr>
        <w:t xml:space="preserve">, een </w:t>
      </w:r>
      <w:r w:rsidR="00CD3CD6" w:rsidRPr="006C72AB">
        <w:rPr>
          <w:rFonts w:ascii="Verdana" w:hAnsi="Verdana"/>
          <w:i/>
          <w:sz w:val="16"/>
          <w:szCs w:val="16"/>
        </w:rPr>
        <w:t>occasional paper</w:t>
      </w:r>
      <w:r w:rsidR="00CD3CD6" w:rsidRPr="006C72AB">
        <w:rPr>
          <w:rFonts w:ascii="Verdana" w:hAnsi="Verdana"/>
          <w:sz w:val="16"/>
          <w:szCs w:val="16"/>
        </w:rPr>
        <w:t xml:space="preserve"> van de Autoriteit Financiële Markten van maart 2022. Te vinden via: https://www.afm.nl/nl-nl/sector/actueel/2022/maart/meer-nederlanders-beleggen-sparen.</w:t>
      </w:r>
    </w:p>
  </w:footnote>
  <w:footnote w:id="5">
    <w:p w14:paraId="54481286" w14:textId="598D9B3E" w:rsidR="00876BB0" w:rsidRPr="006C72AB" w:rsidRDefault="00876BB0" w:rsidP="00876BB0">
      <w:pPr>
        <w:pStyle w:val="FootnoteText"/>
        <w:spacing w:line="240" w:lineRule="auto"/>
        <w:rPr>
          <w:rFonts w:ascii="Verdana" w:hAnsi="Verdana"/>
          <w:sz w:val="16"/>
          <w:szCs w:val="16"/>
        </w:rPr>
      </w:pPr>
      <w:r w:rsidRPr="006C72AB">
        <w:rPr>
          <w:rStyle w:val="FootnoteReference"/>
          <w:rFonts w:ascii="Verdana" w:hAnsi="Verdana"/>
          <w:sz w:val="16"/>
          <w:szCs w:val="16"/>
        </w:rPr>
        <w:footnoteRef/>
      </w:r>
      <w:r w:rsidRPr="006C72AB">
        <w:rPr>
          <w:rFonts w:ascii="Verdana" w:hAnsi="Verdana"/>
          <w:sz w:val="16"/>
          <w:szCs w:val="16"/>
          <w:lang w:val="en-GB"/>
        </w:rPr>
        <w:t xml:space="preserve"> </w:t>
      </w:r>
      <w:r w:rsidRPr="006C72AB">
        <w:rPr>
          <w:rFonts w:ascii="Verdana" w:hAnsi="Verdana"/>
          <w:i/>
          <w:sz w:val="16"/>
          <w:szCs w:val="16"/>
          <w:lang w:val="en-US"/>
        </w:rPr>
        <w:t xml:space="preserve">Follow the money: channelling savings into investment and innovation in Europe, </w:t>
      </w:r>
      <w:r w:rsidRPr="006C72AB">
        <w:rPr>
          <w:rFonts w:ascii="Verdana" w:hAnsi="Verdana"/>
          <w:sz w:val="16"/>
          <w:szCs w:val="16"/>
          <w:lang w:val="en-US"/>
        </w:rPr>
        <w:t xml:space="preserve">speech van Christina Lagarde, President van de ECB van november 2024. </w:t>
      </w:r>
      <w:r w:rsidRPr="006C72AB">
        <w:rPr>
          <w:rFonts w:ascii="Verdana" w:hAnsi="Verdana"/>
          <w:sz w:val="16"/>
          <w:szCs w:val="16"/>
        </w:rPr>
        <w:t>Te vinden via: https://www.ecb.europa.eu/press/key/date/2024/html/ecb.sp241122~fb84170883.nl.html</w:t>
      </w:r>
      <w:r w:rsidR="00AC3740" w:rsidRPr="006C72AB">
        <w:rPr>
          <w:rFonts w:ascii="Verdana" w:hAnsi="Verdana"/>
          <w:sz w:val="16"/>
          <w:szCs w:val="16"/>
        </w:rPr>
        <w:t xml:space="preserve"> </w:t>
      </w:r>
    </w:p>
  </w:footnote>
  <w:footnote w:id="6">
    <w:p w14:paraId="5D1D6974" w14:textId="5E779C10" w:rsidR="003B7638" w:rsidRPr="006C72AB" w:rsidRDefault="003B7638" w:rsidP="008C632B">
      <w:pPr>
        <w:pStyle w:val="FootnoteText"/>
        <w:spacing w:line="240" w:lineRule="auto"/>
        <w:rPr>
          <w:rFonts w:ascii="Verdana" w:hAnsi="Verdana"/>
          <w:sz w:val="16"/>
          <w:szCs w:val="16"/>
        </w:rPr>
      </w:pPr>
      <w:r w:rsidRPr="006C72AB">
        <w:rPr>
          <w:rStyle w:val="FootnoteReference"/>
          <w:rFonts w:ascii="Verdana" w:hAnsi="Verdana"/>
          <w:sz w:val="16"/>
          <w:szCs w:val="16"/>
        </w:rPr>
        <w:footnoteRef/>
      </w:r>
      <w:r w:rsidR="00CD3CD6" w:rsidRPr="006C72AB">
        <w:rPr>
          <w:rFonts w:ascii="Verdana" w:hAnsi="Verdana"/>
          <w:sz w:val="16"/>
          <w:szCs w:val="16"/>
        </w:rPr>
        <w:t xml:space="preserve"> Het verslag van de ondertekening op 5 juni 2025 en de intentieverklaring zelf te vinden via: https://www.rijksoverheid.nl/documenten/kamerstukken/2025/06/06/aanbieding-geannoteerde-agenda-eurogroep-en-ecofinraad-juni-2025.</w:t>
      </w:r>
    </w:p>
  </w:footnote>
  <w:footnote w:id="7">
    <w:p w14:paraId="3BBC0C86" w14:textId="728F4BE0" w:rsidR="00E86FA2" w:rsidRPr="0091587A" w:rsidRDefault="00961C17" w:rsidP="0091587A">
      <w:pPr>
        <w:pStyle w:val="NoSpacing"/>
        <w:rPr>
          <w:rFonts w:ascii="Verdana" w:hAnsi="Verdana"/>
          <w:sz w:val="16"/>
          <w:szCs w:val="16"/>
        </w:rPr>
      </w:pPr>
      <w:r w:rsidRPr="0091587A">
        <w:rPr>
          <w:rStyle w:val="FootnoteReference"/>
          <w:rFonts w:ascii="Verdana" w:hAnsi="Verdana"/>
          <w:sz w:val="16"/>
          <w:szCs w:val="16"/>
        </w:rPr>
        <w:footnoteRef/>
      </w:r>
      <w:r w:rsidRPr="0091587A">
        <w:rPr>
          <w:rFonts w:ascii="Verdana" w:hAnsi="Verdana"/>
          <w:sz w:val="16"/>
          <w:szCs w:val="16"/>
        </w:rPr>
        <w:t xml:space="preserve"> Nederland stimuleert sparen en beleggen voor de oudedagsvoorziening via de fiscaliteit. Bijvoorbeeld via de omkeerregel en de premieaftrek in box 1 onder voorwaarden voor derde pijler oudedagsvoorzieningen. Sinds de inwerkingtreding van de Wet toekomst pensioenen is de fiscale ruimte hiervoor toegenomen.</w:t>
      </w:r>
    </w:p>
  </w:footnote>
  <w:footnote w:id="8">
    <w:p w14:paraId="652B2FA1" w14:textId="5CDB5493" w:rsidR="006B14C2" w:rsidRPr="0091587A" w:rsidRDefault="006B14C2" w:rsidP="0091587A">
      <w:pPr>
        <w:pStyle w:val="NoSpacing"/>
        <w:rPr>
          <w:rFonts w:ascii="Verdana" w:hAnsi="Verdana"/>
          <w:sz w:val="16"/>
          <w:szCs w:val="16"/>
        </w:rPr>
      </w:pPr>
      <w:r w:rsidRPr="0091587A">
        <w:rPr>
          <w:rStyle w:val="FootnoteReference"/>
          <w:rFonts w:ascii="Verdana" w:hAnsi="Verdana"/>
          <w:sz w:val="16"/>
          <w:szCs w:val="16"/>
        </w:rPr>
        <w:footnoteRef/>
      </w:r>
      <w:r w:rsidRPr="0091587A">
        <w:rPr>
          <w:rStyle w:val="FootnoteReference"/>
          <w:rFonts w:ascii="Verdana" w:hAnsi="Verdana"/>
          <w:sz w:val="16"/>
          <w:szCs w:val="16"/>
        </w:rPr>
        <w:t xml:space="preserve"> </w:t>
      </w:r>
      <w:r w:rsidRPr="0091587A">
        <w:rPr>
          <w:rFonts w:ascii="Verdana" w:hAnsi="Verdana"/>
          <w:sz w:val="16"/>
          <w:szCs w:val="16"/>
        </w:rPr>
        <w:t>De verplichting om fiscaal relevante informatie over particuliere belastingbetalers te verstrekken aan de Belastingdienst.</w:t>
      </w:r>
    </w:p>
  </w:footnote>
  <w:footnote w:id="9">
    <w:p w14:paraId="3E020901" w14:textId="77777777" w:rsidR="00FB216B" w:rsidRPr="0091587A" w:rsidRDefault="005555B0" w:rsidP="0091587A">
      <w:pPr>
        <w:pStyle w:val="NoSpacing"/>
        <w:rPr>
          <w:rFonts w:ascii="Verdana" w:hAnsi="Verdana"/>
          <w:sz w:val="16"/>
          <w:szCs w:val="16"/>
        </w:rPr>
      </w:pPr>
      <w:r w:rsidRPr="0091587A">
        <w:rPr>
          <w:rStyle w:val="FootnoteReference"/>
          <w:rFonts w:ascii="Verdana" w:hAnsi="Verdana"/>
          <w:sz w:val="16"/>
          <w:szCs w:val="16"/>
        </w:rPr>
        <w:footnoteRef/>
      </w:r>
      <w:r w:rsidRPr="0091587A">
        <w:rPr>
          <w:rFonts w:ascii="Verdana" w:hAnsi="Verdana"/>
          <w:sz w:val="16"/>
          <w:szCs w:val="16"/>
        </w:rPr>
        <w:t xml:space="preserve"> Uit herhaald onderzoek blijkt dat de totale kosten bij Nederlandse beleggingsfondsen over het algemeen de laagste zijn wanneer vergeleken met de rest van de EU, zie bijvoorbeeld het rapport </w:t>
      </w:r>
      <w:r w:rsidRPr="0091587A">
        <w:rPr>
          <w:rFonts w:ascii="Verdana" w:hAnsi="Verdana"/>
          <w:i/>
          <w:sz w:val="16"/>
          <w:szCs w:val="16"/>
        </w:rPr>
        <w:t>Costs and Performance of EU Retail Investment Products 2024</w:t>
      </w:r>
      <w:r w:rsidRPr="0091587A">
        <w:rPr>
          <w:rFonts w:ascii="Verdana" w:hAnsi="Verdana"/>
          <w:sz w:val="16"/>
          <w:szCs w:val="16"/>
        </w:rPr>
        <w:t xml:space="preserve"> van de Europese Autoriteit voor effecten en markten, ESMA.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A9E7B6C"/>
    <w:multiLevelType w:val="hybridMultilevel"/>
    <w:tmpl w:val="69126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65A3B48"/>
    <w:multiLevelType w:val="hybridMultilevel"/>
    <w:tmpl w:val="F03E130E"/>
    <w:lvl w:ilvl="0" w:tplc="3DAEAC38">
      <w:start w:val="1"/>
      <w:numFmt w:val="decimal"/>
      <w:lvlText w:val="%1."/>
      <w:lvlJc w:val="left"/>
      <w:pPr>
        <w:ind w:left="1080" w:hanging="360"/>
      </w:pPr>
    </w:lvl>
    <w:lvl w:ilvl="1" w:tplc="6958EE76">
      <w:start w:val="1"/>
      <w:numFmt w:val="decimal"/>
      <w:lvlText w:val="%2."/>
      <w:lvlJc w:val="left"/>
      <w:pPr>
        <w:ind w:left="1080" w:hanging="360"/>
      </w:pPr>
    </w:lvl>
    <w:lvl w:ilvl="2" w:tplc="D4FEA118">
      <w:start w:val="1"/>
      <w:numFmt w:val="decimal"/>
      <w:lvlText w:val="%3."/>
      <w:lvlJc w:val="left"/>
      <w:pPr>
        <w:ind w:left="1080" w:hanging="360"/>
      </w:pPr>
    </w:lvl>
    <w:lvl w:ilvl="3" w:tplc="8C60A3F8">
      <w:start w:val="1"/>
      <w:numFmt w:val="decimal"/>
      <w:lvlText w:val="%4."/>
      <w:lvlJc w:val="left"/>
      <w:pPr>
        <w:ind w:left="1080" w:hanging="360"/>
      </w:pPr>
    </w:lvl>
    <w:lvl w:ilvl="4" w:tplc="F97EEFD0">
      <w:start w:val="1"/>
      <w:numFmt w:val="decimal"/>
      <w:lvlText w:val="%5."/>
      <w:lvlJc w:val="left"/>
      <w:pPr>
        <w:ind w:left="1080" w:hanging="360"/>
      </w:pPr>
    </w:lvl>
    <w:lvl w:ilvl="5" w:tplc="978E9C7C">
      <w:start w:val="1"/>
      <w:numFmt w:val="decimal"/>
      <w:lvlText w:val="%6."/>
      <w:lvlJc w:val="left"/>
      <w:pPr>
        <w:ind w:left="1080" w:hanging="360"/>
      </w:pPr>
    </w:lvl>
    <w:lvl w:ilvl="6" w:tplc="E58E1D4C">
      <w:start w:val="1"/>
      <w:numFmt w:val="decimal"/>
      <w:lvlText w:val="%7."/>
      <w:lvlJc w:val="left"/>
      <w:pPr>
        <w:ind w:left="1080" w:hanging="360"/>
      </w:pPr>
    </w:lvl>
    <w:lvl w:ilvl="7" w:tplc="47D4E3C2">
      <w:start w:val="1"/>
      <w:numFmt w:val="decimal"/>
      <w:lvlText w:val="%8."/>
      <w:lvlJc w:val="left"/>
      <w:pPr>
        <w:ind w:left="1080" w:hanging="360"/>
      </w:pPr>
    </w:lvl>
    <w:lvl w:ilvl="8" w:tplc="320EC4DA">
      <w:start w:val="1"/>
      <w:numFmt w:val="decimal"/>
      <w:lvlText w:val="%9."/>
      <w:lvlJc w:val="left"/>
      <w:pPr>
        <w:ind w:left="1080" w:hanging="360"/>
      </w:pPr>
    </w:lvl>
  </w:abstractNum>
  <w:abstractNum w:abstractNumId="6"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D3465FF"/>
    <w:multiLevelType w:val="multilevel"/>
    <w:tmpl w:val="6950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47B108A6"/>
    <w:multiLevelType w:val="hybridMultilevel"/>
    <w:tmpl w:val="0BDEAF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CA90E70"/>
    <w:multiLevelType w:val="hybridMultilevel"/>
    <w:tmpl w:val="040C9C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96C14E4"/>
    <w:multiLevelType w:val="hybridMultilevel"/>
    <w:tmpl w:val="4E36D4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0E84599"/>
    <w:multiLevelType w:val="hybridMultilevel"/>
    <w:tmpl w:val="6E16DEE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26442A4"/>
    <w:multiLevelType w:val="hybridMultilevel"/>
    <w:tmpl w:val="A51C99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55555404">
    <w:abstractNumId w:val="0"/>
  </w:num>
  <w:num w:numId="2" w16cid:durableId="137915439">
    <w:abstractNumId w:val="11"/>
  </w:num>
  <w:num w:numId="3" w16cid:durableId="331880888">
    <w:abstractNumId w:val="2"/>
  </w:num>
  <w:num w:numId="4" w16cid:durableId="1438061136">
    <w:abstractNumId w:val="28"/>
  </w:num>
  <w:num w:numId="5" w16cid:durableId="902182720">
    <w:abstractNumId w:val="19"/>
  </w:num>
  <w:num w:numId="6" w16cid:durableId="1356347712">
    <w:abstractNumId w:val="17"/>
  </w:num>
  <w:num w:numId="7" w16cid:durableId="74058034">
    <w:abstractNumId w:val="7"/>
  </w:num>
  <w:num w:numId="8" w16cid:durableId="1954707485">
    <w:abstractNumId w:val="20"/>
  </w:num>
  <w:num w:numId="9" w16cid:durableId="966931721">
    <w:abstractNumId w:val="9"/>
  </w:num>
  <w:num w:numId="10" w16cid:durableId="1199974751">
    <w:abstractNumId w:val="3"/>
  </w:num>
  <w:num w:numId="11" w16cid:durableId="1499466207">
    <w:abstractNumId w:val="6"/>
  </w:num>
  <w:num w:numId="12" w16cid:durableId="1468013642">
    <w:abstractNumId w:val="10"/>
  </w:num>
  <w:num w:numId="13" w16cid:durableId="1840390405">
    <w:abstractNumId w:val="25"/>
  </w:num>
  <w:num w:numId="14" w16cid:durableId="2087799587">
    <w:abstractNumId w:val="27"/>
  </w:num>
  <w:num w:numId="15" w16cid:durableId="1047799751">
    <w:abstractNumId w:val="16"/>
  </w:num>
  <w:num w:numId="16" w16cid:durableId="771359128">
    <w:abstractNumId w:val="24"/>
  </w:num>
  <w:num w:numId="17" w16cid:durableId="1562405466">
    <w:abstractNumId w:val="14"/>
  </w:num>
  <w:num w:numId="18" w16cid:durableId="1519932689">
    <w:abstractNumId w:val="4"/>
  </w:num>
  <w:num w:numId="19" w16cid:durableId="1151099637">
    <w:abstractNumId w:val="26"/>
  </w:num>
  <w:num w:numId="20" w16cid:durableId="789737878">
    <w:abstractNumId w:val="29"/>
  </w:num>
  <w:num w:numId="21" w16cid:durableId="1414473808">
    <w:abstractNumId w:val="18"/>
  </w:num>
  <w:num w:numId="22" w16cid:durableId="881555062">
    <w:abstractNumId w:val="13"/>
  </w:num>
  <w:num w:numId="23" w16cid:durableId="26613356">
    <w:abstractNumId w:val="23"/>
  </w:num>
  <w:num w:numId="24" w16cid:durableId="781077297">
    <w:abstractNumId w:val="15"/>
  </w:num>
  <w:num w:numId="25" w16cid:durableId="1315333067">
    <w:abstractNumId w:val="22"/>
  </w:num>
  <w:num w:numId="26" w16cid:durableId="1631595308">
    <w:abstractNumId w:val="21"/>
  </w:num>
  <w:num w:numId="27" w16cid:durableId="1933316817">
    <w:abstractNumId w:val="1"/>
  </w:num>
  <w:num w:numId="28" w16cid:durableId="1412849351">
    <w:abstractNumId w:val="12"/>
  </w:num>
  <w:num w:numId="29" w16cid:durableId="1080638168">
    <w:abstractNumId w:val="5"/>
  </w:num>
  <w:num w:numId="30" w16cid:durableId="525605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903"/>
    <w:rsid w:val="00003879"/>
    <w:rsid w:val="00012021"/>
    <w:rsid w:val="0001467F"/>
    <w:rsid w:val="00016B4C"/>
    <w:rsid w:val="00031F89"/>
    <w:rsid w:val="00032E2B"/>
    <w:rsid w:val="00035C51"/>
    <w:rsid w:val="000368D9"/>
    <w:rsid w:val="0005378C"/>
    <w:rsid w:val="000645CD"/>
    <w:rsid w:val="00066C36"/>
    <w:rsid w:val="00071F9B"/>
    <w:rsid w:val="00082216"/>
    <w:rsid w:val="000836CC"/>
    <w:rsid w:val="00093475"/>
    <w:rsid w:val="000A42D6"/>
    <w:rsid w:val="000C5F69"/>
    <w:rsid w:val="000C71D2"/>
    <w:rsid w:val="000D01B7"/>
    <w:rsid w:val="000D14EA"/>
    <w:rsid w:val="000F1411"/>
    <w:rsid w:val="000F3B96"/>
    <w:rsid w:val="000F5774"/>
    <w:rsid w:val="000F7CE8"/>
    <w:rsid w:val="001023D1"/>
    <w:rsid w:val="00112B14"/>
    <w:rsid w:val="00113320"/>
    <w:rsid w:val="00113A68"/>
    <w:rsid w:val="00113DF4"/>
    <w:rsid w:val="00115B53"/>
    <w:rsid w:val="00121A9D"/>
    <w:rsid w:val="0012782F"/>
    <w:rsid w:val="00144ACC"/>
    <w:rsid w:val="001530BA"/>
    <w:rsid w:val="00153C80"/>
    <w:rsid w:val="00156FB4"/>
    <w:rsid w:val="00164D1E"/>
    <w:rsid w:val="00166D20"/>
    <w:rsid w:val="0017031A"/>
    <w:rsid w:val="00176A68"/>
    <w:rsid w:val="00181C92"/>
    <w:rsid w:val="00187865"/>
    <w:rsid w:val="001920B5"/>
    <w:rsid w:val="001A61BD"/>
    <w:rsid w:val="001A6D9A"/>
    <w:rsid w:val="001B3626"/>
    <w:rsid w:val="001B3683"/>
    <w:rsid w:val="001C14EC"/>
    <w:rsid w:val="001C2352"/>
    <w:rsid w:val="001D05C2"/>
    <w:rsid w:val="001D547D"/>
    <w:rsid w:val="001D558D"/>
    <w:rsid w:val="001E24C5"/>
    <w:rsid w:val="001E796B"/>
    <w:rsid w:val="001F7029"/>
    <w:rsid w:val="0020223E"/>
    <w:rsid w:val="00207F15"/>
    <w:rsid w:val="00213971"/>
    <w:rsid w:val="00222506"/>
    <w:rsid w:val="00227B69"/>
    <w:rsid w:val="00231CED"/>
    <w:rsid w:val="0024063A"/>
    <w:rsid w:val="00241278"/>
    <w:rsid w:val="00242C11"/>
    <w:rsid w:val="00244281"/>
    <w:rsid w:val="00246C8B"/>
    <w:rsid w:val="00251118"/>
    <w:rsid w:val="00255884"/>
    <w:rsid w:val="002558D5"/>
    <w:rsid w:val="0026333C"/>
    <w:rsid w:val="00263B88"/>
    <w:rsid w:val="0027288F"/>
    <w:rsid w:val="00272B22"/>
    <w:rsid w:val="00273166"/>
    <w:rsid w:val="00275415"/>
    <w:rsid w:val="00282873"/>
    <w:rsid w:val="00285CDA"/>
    <w:rsid w:val="00285DF6"/>
    <w:rsid w:val="00287A49"/>
    <w:rsid w:val="002918F8"/>
    <w:rsid w:val="002B02D0"/>
    <w:rsid w:val="002B20E7"/>
    <w:rsid w:val="002C1107"/>
    <w:rsid w:val="002C7589"/>
    <w:rsid w:val="002C7EB2"/>
    <w:rsid w:val="002D136B"/>
    <w:rsid w:val="002D1377"/>
    <w:rsid w:val="002D395F"/>
    <w:rsid w:val="002E3993"/>
    <w:rsid w:val="002F1ADC"/>
    <w:rsid w:val="002F5666"/>
    <w:rsid w:val="002F61AC"/>
    <w:rsid w:val="002F628A"/>
    <w:rsid w:val="003128CD"/>
    <w:rsid w:val="00317B28"/>
    <w:rsid w:val="00322599"/>
    <w:rsid w:val="0032766B"/>
    <w:rsid w:val="003335EC"/>
    <w:rsid w:val="003424EC"/>
    <w:rsid w:val="003442AC"/>
    <w:rsid w:val="00345971"/>
    <w:rsid w:val="00347E36"/>
    <w:rsid w:val="00352C8B"/>
    <w:rsid w:val="00353AB6"/>
    <w:rsid w:val="00355391"/>
    <w:rsid w:val="00365440"/>
    <w:rsid w:val="0037158E"/>
    <w:rsid w:val="00371A2E"/>
    <w:rsid w:val="003750E3"/>
    <w:rsid w:val="00375EAE"/>
    <w:rsid w:val="00380C47"/>
    <w:rsid w:val="00382DA1"/>
    <w:rsid w:val="0038439C"/>
    <w:rsid w:val="00385C19"/>
    <w:rsid w:val="003937A2"/>
    <w:rsid w:val="003A0D3C"/>
    <w:rsid w:val="003B7638"/>
    <w:rsid w:val="003C4F9C"/>
    <w:rsid w:val="003C541D"/>
    <w:rsid w:val="003D0115"/>
    <w:rsid w:val="003D0CBD"/>
    <w:rsid w:val="003D7F1A"/>
    <w:rsid w:val="003E4DF6"/>
    <w:rsid w:val="003E6E9E"/>
    <w:rsid w:val="003F4F8A"/>
    <w:rsid w:val="00406953"/>
    <w:rsid w:val="00412F28"/>
    <w:rsid w:val="00421376"/>
    <w:rsid w:val="00423FD7"/>
    <w:rsid w:val="004248AD"/>
    <w:rsid w:val="00426D49"/>
    <w:rsid w:val="004278A4"/>
    <w:rsid w:val="00440933"/>
    <w:rsid w:val="0045454F"/>
    <w:rsid w:val="004560C9"/>
    <w:rsid w:val="00463467"/>
    <w:rsid w:val="00467B18"/>
    <w:rsid w:val="00486A3F"/>
    <w:rsid w:val="00487A1F"/>
    <w:rsid w:val="004B1ED2"/>
    <w:rsid w:val="004B22FC"/>
    <w:rsid w:val="004B6F82"/>
    <w:rsid w:val="004C7412"/>
    <w:rsid w:val="004D1661"/>
    <w:rsid w:val="004D27FB"/>
    <w:rsid w:val="004D7C63"/>
    <w:rsid w:val="004E238A"/>
    <w:rsid w:val="004E293B"/>
    <w:rsid w:val="004E737E"/>
    <w:rsid w:val="004F678F"/>
    <w:rsid w:val="00513C1E"/>
    <w:rsid w:val="00514BC1"/>
    <w:rsid w:val="0052261F"/>
    <w:rsid w:val="00524896"/>
    <w:rsid w:val="005263B1"/>
    <w:rsid w:val="00532D91"/>
    <w:rsid w:val="00547839"/>
    <w:rsid w:val="00550480"/>
    <w:rsid w:val="00552403"/>
    <w:rsid w:val="005555B0"/>
    <w:rsid w:val="00561A45"/>
    <w:rsid w:val="00567274"/>
    <w:rsid w:val="00570AF7"/>
    <w:rsid w:val="005721B4"/>
    <w:rsid w:val="00574076"/>
    <w:rsid w:val="00577DD7"/>
    <w:rsid w:val="00587D3E"/>
    <w:rsid w:val="00597C02"/>
    <w:rsid w:val="005A100C"/>
    <w:rsid w:val="005A12F2"/>
    <w:rsid w:val="005A1CFB"/>
    <w:rsid w:val="005A283F"/>
    <w:rsid w:val="005A4D45"/>
    <w:rsid w:val="005A798A"/>
    <w:rsid w:val="005B16C9"/>
    <w:rsid w:val="005B6574"/>
    <w:rsid w:val="005C0BE7"/>
    <w:rsid w:val="005C1C11"/>
    <w:rsid w:val="005C5C2F"/>
    <w:rsid w:val="005D06E5"/>
    <w:rsid w:val="005E0A6D"/>
    <w:rsid w:val="005F401E"/>
    <w:rsid w:val="005F5C84"/>
    <w:rsid w:val="005F6857"/>
    <w:rsid w:val="00601758"/>
    <w:rsid w:val="006171CF"/>
    <w:rsid w:val="006259E4"/>
    <w:rsid w:val="00631747"/>
    <w:rsid w:val="00634EB3"/>
    <w:rsid w:val="0064006A"/>
    <w:rsid w:val="0064352A"/>
    <w:rsid w:val="00653EFE"/>
    <w:rsid w:val="0066733A"/>
    <w:rsid w:val="00673D3F"/>
    <w:rsid w:val="006768D9"/>
    <w:rsid w:val="006810FB"/>
    <w:rsid w:val="0068323C"/>
    <w:rsid w:val="00683E89"/>
    <w:rsid w:val="006A1AE0"/>
    <w:rsid w:val="006A40A1"/>
    <w:rsid w:val="006A4AC3"/>
    <w:rsid w:val="006A78C6"/>
    <w:rsid w:val="006B14C2"/>
    <w:rsid w:val="006C1E82"/>
    <w:rsid w:val="006C4978"/>
    <w:rsid w:val="006C72AB"/>
    <w:rsid w:val="006D0A12"/>
    <w:rsid w:val="006D1FF2"/>
    <w:rsid w:val="006E5015"/>
    <w:rsid w:val="006E6706"/>
    <w:rsid w:val="006E7C5E"/>
    <w:rsid w:val="006E7CE3"/>
    <w:rsid w:val="006F3812"/>
    <w:rsid w:val="006F3C72"/>
    <w:rsid w:val="006F7EE9"/>
    <w:rsid w:val="00701C62"/>
    <w:rsid w:val="00716274"/>
    <w:rsid w:val="00727BE2"/>
    <w:rsid w:val="007329C2"/>
    <w:rsid w:val="0073535F"/>
    <w:rsid w:val="00742156"/>
    <w:rsid w:val="00742629"/>
    <w:rsid w:val="00742D26"/>
    <w:rsid w:val="0074401E"/>
    <w:rsid w:val="00747BD1"/>
    <w:rsid w:val="00754B5B"/>
    <w:rsid w:val="00786711"/>
    <w:rsid w:val="007A1034"/>
    <w:rsid w:val="007A526E"/>
    <w:rsid w:val="007A6B52"/>
    <w:rsid w:val="007B404C"/>
    <w:rsid w:val="007B4D53"/>
    <w:rsid w:val="007B666C"/>
    <w:rsid w:val="007C06C2"/>
    <w:rsid w:val="007C2EF8"/>
    <w:rsid w:val="007D0F2E"/>
    <w:rsid w:val="007D3EF0"/>
    <w:rsid w:val="007E1F3A"/>
    <w:rsid w:val="007E2892"/>
    <w:rsid w:val="007F1CCC"/>
    <w:rsid w:val="007F275A"/>
    <w:rsid w:val="008155CC"/>
    <w:rsid w:val="00842974"/>
    <w:rsid w:val="00847822"/>
    <w:rsid w:val="008528D9"/>
    <w:rsid w:val="00854BF6"/>
    <w:rsid w:val="00862967"/>
    <w:rsid w:val="00865389"/>
    <w:rsid w:val="00867D4E"/>
    <w:rsid w:val="00876BB0"/>
    <w:rsid w:val="00881729"/>
    <w:rsid w:val="00881F26"/>
    <w:rsid w:val="0088598A"/>
    <w:rsid w:val="008A4002"/>
    <w:rsid w:val="008B499F"/>
    <w:rsid w:val="008C1CE4"/>
    <w:rsid w:val="008C632B"/>
    <w:rsid w:val="008D2DE3"/>
    <w:rsid w:val="008D3962"/>
    <w:rsid w:val="008D52EB"/>
    <w:rsid w:val="008D6230"/>
    <w:rsid w:val="008D6F4B"/>
    <w:rsid w:val="008E38E5"/>
    <w:rsid w:val="008E6D0D"/>
    <w:rsid w:val="008E7297"/>
    <w:rsid w:val="008F3689"/>
    <w:rsid w:val="00902B86"/>
    <w:rsid w:val="00904527"/>
    <w:rsid w:val="00905032"/>
    <w:rsid w:val="0091587A"/>
    <w:rsid w:val="00925C85"/>
    <w:rsid w:val="00935E61"/>
    <w:rsid w:val="00944307"/>
    <w:rsid w:val="00944AF8"/>
    <w:rsid w:val="00950D39"/>
    <w:rsid w:val="00954C75"/>
    <w:rsid w:val="00961C17"/>
    <w:rsid w:val="0096543C"/>
    <w:rsid w:val="00965623"/>
    <w:rsid w:val="00965693"/>
    <w:rsid w:val="00971828"/>
    <w:rsid w:val="009817ED"/>
    <w:rsid w:val="00986C8F"/>
    <w:rsid w:val="009A5977"/>
    <w:rsid w:val="009A5F11"/>
    <w:rsid w:val="009A722E"/>
    <w:rsid w:val="009B1BB2"/>
    <w:rsid w:val="009B3EED"/>
    <w:rsid w:val="009B637F"/>
    <w:rsid w:val="009B7014"/>
    <w:rsid w:val="009B74DE"/>
    <w:rsid w:val="009C06CB"/>
    <w:rsid w:val="009D0934"/>
    <w:rsid w:val="009D2A6D"/>
    <w:rsid w:val="009D6BD5"/>
    <w:rsid w:val="009E278C"/>
    <w:rsid w:val="009E29E8"/>
    <w:rsid w:val="009F7911"/>
    <w:rsid w:val="00A005D7"/>
    <w:rsid w:val="00A02D35"/>
    <w:rsid w:val="00A10605"/>
    <w:rsid w:val="00A12551"/>
    <w:rsid w:val="00A21B6F"/>
    <w:rsid w:val="00A23890"/>
    <w:rsid w:val="00A26B0A"/>
    <w:rsid w:val="00A3240B"/>
    <w:rsid w:val="00A444B9"/>
    <w:rsid w:val="00A4507F"/>
    <w:rsid w:val="00A4642B"/>
    <w:rsid w:val="00A53746"/>
    <w:rsid w:val="00A57FAE"/>
    <w:rsid w:val="00A60BD5"/>
    <w:rsid w:val="00A706F8"/>
    <w:rsid w:val="00A71AB1"/>
    <w:rsid w:val="00A7562F"/>
    <w:rsid w:val="00A76194"/>
    <w:rsid w:val="00A763C6"/>
    <w:rsid w:val="00AA7936"/>
    <w:rsid w:val="00AC3740"/>
    <w:rsid w:val="00AC49B7"/>
    <w:rsid w:val="00AC6FF8"/>
    <w:rsid w:val="00AD3840"/>
    <w:rsid w:val="00AD4E3C"/>
    <w:rsid w:val="00AE077D"/>
    <w:rsid w:val="00AE5EF4"/>
    <w:rsid w:val="00AE796D"/>
    <w:rsid w:val="00AF6781"/>
    <w:rsid w:val="00AF68EC"/>
    <w:rsid w:val="00AF72A3"/>
    <w:rsid w:val="00B107A1"/>
    <w:rsid w:val="00B13C92"/>
    <w:rsid w:val="00B15A2F"/>
    <w:rsid w:val="00B15DBC"/>
    <w:rsid w:val="00B16137"/>
    <w:rsid w:val="00B1635A"/>
    <w:rsid w:val="00B220C6"/>
    <w:rsid w:val="00B24C01"/>
    <w:rsid w:val="00B2616A"/>
    <w:rsid w:val="00B55AC8"/>
    <w:rsid w:val="00B674E1"/>
    <w:rsid w:val="00B722FA"/>
    <w:rsid w:val="00B72885"/>
    <w:rsid w:val="00B7564A"/>
    <w:rsid w:val="00B76E6F"/>
    <w:rsid w:val="00B93153"/>
    <w:rsid w:val="00BA3150"/>
    <w:rsid w:val="00BA3B51"/>
    <w:rsid w:val="00BB63F0"/>
    <w:rsid w:val="00BD44BB"/>
    <w:rsid w:val="00BE085A"/>
    <w:rsid w:val="00BE599D"/>
    <w:rsid w:val="00BF0041"/>
    <w:rsid w:val="00C052C2"/>
    <w:rsid w:val="00C06E80"/>
    <w:rsid w:val="00C1155D"/>
    <w:rsid w:val="00C147A3"/>
    <w:rsid w:val="00C16EE4"/>
    <w:rsid w:val="00C1704F"/>
    <w:rsid w:val="00C27940"/>
    <w:rsid w:val="00C359BE"/>
    <w:rsid w:val="00C44245"/>
    <w:rsid w:val="00C6451D"/>
    <w:rsid w:val="00C72D39"/>
    <w:rsid w:val="00C7313B"/>
    <w:rsid w:val="00C9327F"/>
    <w:rsid w:val="00C95DB1"/>
    <w:rsid w:val="00CA1CE8"/>
    <w:rsid w:val="00CA51E3"/>
    <w:rsid w:val="00CA63AF"/>
    <w:rsid w:val="00CD3CD6"/>
    <w:rsid w:val="00CD7015"/>
    <w:rsid w:val="00CE59B1"/>
    <w:rsid w:val="00CF063B"/>
    <w:rsid w:val="00CF070D"/>
    <w:rsid w:val="00CF34A2"/>
    <w:rsid w:val="00D00A1C"/>
    <w:rsid w:val="00D05715"/>
    <w:rsid w:val="00D16DF6"/>
    <w:rsid w:val="00D17F7D"/>
    <w:rsid w:val="00D244E0"/>
    <w:rsid w:val="00D27E6E"/>
    <w:rsid w:val="00D45863"/>
    <w:rsid w:val="00D46A55"/>
    <w:rsid w:val="00D478CE"/>
    <w:rsid w:val="00D519DF"/>
    <w:rsid w:val="00D5695C"/>
    <w:rsid w:val="00D6254E"/>
    <w:rsid w:val="00D66562"/>
    <w:rsid w:val="00D71C0C"/>
    <w:rsid w:val="00D80073"/>
    <w:rsid w:val="00DB232D"/>
    <w:rsid w:val="00DB2696"/>
    <w:rsid w:val="00DB4623"/>
    <w:rsid w:val="00DB58E4"/>
    <w:rsid w:val="00DB7A6A"/>
    <w:rsid w:val="00DC0025"/>
    <w:rsid w:val="00DC1332"/>
    <w:rsid w:val="00DC6F05"/>
    <w:rsid w:val="00DD06C0"/>
    <w:rsid w:val="00DD6412"/>
    <w:rsid w:val="00DD7775"/>
    <w:rsid w:val="00DE60F7"/>
    <w:rsid w:val="00DF17DF"/>
    <w:rsid w:val="00DF455A"/>
    <w:rsid w:val="00DF47D6"/>
    <w:rsid w:val="00E12DCC"/>
    <w:rsid w:val="00E13314"/>
    <w:rsid w:val="00E15D75"/>
    <w:rsid w:val="00E232AF"/>
    <w:rsid w:val="00E320A8"/>
    <w:rsid w:val="00E4524A"/>
    <w:rsid w:val="00E55BEE"/>
    <w:rsid w:val="00E62B06"/>
    <w:rsid w:val="00E71D18"/>
    <w:rsid w:val="00E86FA2"/>
    <w:rsid w:val="00E91A32"/>
    <w:rsid w:val="00E93C2D"/>
    <w:rsid w:val="00E97EE4"/>
    <w:rsid w:val="00EA261B"/>
    <w:rsid w:val="00EA4C91"/>
    <w:rsid w:val="00EB5228"/>
    <w:rsid w:val="00EC659C"/>
    <w:rsid w:val="00ED75E7"/>
    <w:rsid w:val="00EE2E23"/>
    <w:rsid w:val="00EF5C95"/>
    <w:rsid w:val="00F017B9"/>
    <w:rsid w:val="00F03534"/>
    <w:rsid w:val="00F041F1"/>
    <w:rsid w:val="00F10BF5"/>
    <w:rsid w:val="00F13AD4"/>
    <w:rsid w:val="00F231BB"/>
    <w:rsid w:val="00F31290"/>
    <w:rsid w:val="00F33338"/>
    <w:rsid w:val="00F42530"/>
    <w:rsid w:val="00F5292E"/>
    <w:rsid w:val="00F54AFF"/>
    <w:rsid w:val="00F63525"/>
    <w:rsid w:val="00F640A5"/>
    <w:rsid w:val="00F71435"/>
    <w:rsid w:val="00F75842"/>
    <w:rsid w:val="00F84C9A"/>
    <w:rsid w:val="00F91E50"/>
    <w:rsid w:val="00F91F27"/>
    <w:rsid w:val="00FA49BE"/>
    <w:rsid w:val="00FA774A"/>
    <w:rsid w:val="00FA7D8A"/>
    <w:rsid w:val="00FB216B"/>
    <w:rsid w:val="00FC0ADA"/>
    <w:rsid w:val="00FC6F13"/>
    <w:rsid w:val="00FD0CBD"/>
    <w:rsid w:val="00FD7C3A"/>
    <w:rsid w:val="00FE756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58CBB"/>
  <w15:chartTrackingRefBased/>
  <w15:docId w15:val="{F5AD48F3-B1CB-4C19-86FA-768C1774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character" w:styleId="UnresolvedMention">
    <w:name w:val="Unresolved Mention"/>
    <w:basedOn w:val="DefaultParagraphFont"/>
    <w:uiPriority w:val="99"/>
    <w:semiHidden/>
    <w:unhideWhenUsed/>
    <w:rsid w:val="0088598A"/>
    <w:rPr>
      <w:color w:val="605E5C"/>
      <w:shd w:val="clear" w:color="auto" w:fill="E1DFDD"/>
    </w:rPr>
  </w:style>
  <w:style w:type="paragraph" w:styleId="Revision">
    <w:name w:val="Revision"/>
    <w:hidden/>
    <w:uiPriority w:val="99"/>
    <w:semiHidden/>
    <w:rsid w:val="007F275A"/>
    <w:rPr>
      <w:sz w:val="22"/>
      <w:lang w:eastAsia="zh-CN"/>
    </w:rPr>
  </w:style>
  <w:style w:type="paragraph" w:styleId="NoSpacing">
    <w:name w:val="No Spacing"/>
    <w:uiPriority w:val="1"/>
    <w:qFormat/>
    <w:rsid w:val="0091587A"/>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7126">
      <w:bodyDiv w:val="1"/>
      <w:marLeft w:val="0"/>
      <w:marRight w:val="0"/>
      <w:marTop w:val="0"/>
      <w:marBottom w:val="0"/>
      <w:divBdr>
        <w:top w:val="none" w:sz="0" w:space="0" w:color="auto"/>
        <w:left w:val="none" w:sz="0" w:space="0" w:color="auto"/>
        <w:bottom w:val="none" w:sz="0" w:space="0" w:color="auto"/>
        <w:right w:val="none" w:sz="0" w:space="0" w:color="auto"/>
      </w:divBdr>
    </w:div>
    <w:div w:id="217478641">
      <w:bodyDiv w:val="1"/>
      <w:marLeft w:val="0"/>
      <w:marRight w:val="0"/>
      <w:marTop w:val="0"/>
      <w:marBottom w:val="0"/>
      <w:divBdr>
        <w:top w:val="none" w:sz="0" w:space="0" w:color="auto"/>
        <w:left w:val="none" w:sz="0" w:space="0" w:color="auto"/>
        <w:bottom w:val="none" w:sz="0" w:space="0" w:color="auto"/>
        <w:right w:val="none" w:sz="0" w:space="0" w:color="auto"/>
      </w:divBdr>
    </w:div>
    <w:div w:id="224687391">
      <w:bodyDiv w:val="1"/>
      <w:marLeft w:val="0"/>
      <w:marRight w:val="0"/>
      <w:marTop w:val="0"/>
      <w:marBottom w:val="0"/>
      <w:divBdr>
        <w:top w:val="none" w:sz="0" w:space="0" w:color="auto"/>
        <w:left w:val="none" w:sz="0" w:space="0" w:color="auto"/>
        <w:bottom w:val="none" w:sz="0" w:space="0" w:color="auto"/>
        <w:right w:val="none" w:sz="0" w:space="0" w:color="auto"/>
      </w:divBdr>
    </w:div>
    <w:div w:id="273249774">
      <w:bodyDiv w:val="1"/>
      <w:marLeft w:val="0"/>
      <w:marRight w:val="0"/>
      <w:marTop w:val="0"/>
      <w:marBottom w:val="0"/>
      <w:divBdr>
        <w:top w:val="none" w:sz="0" w:space="0" w:color="auto"/>
        <w:left w:val="none" w:sz="0" w:space="0" w:color="auto"/>
        <w:bottom w:val="none" w:sz="0" w:space="0" w:color="auto"/>
        <w:right w:val="none" w:sz="0" w:space="0" w:color="auto"/>
      </w:divBdr>
    </w:div>
    <w:div w:id="467935104">
      <w:bodyDiv w:val="1"/>
      <w:marLeft w:val="0"/>
      <w:marRight w:val="0"/>
      <w:marTop w:val="0"/>
      <w:marBottom w:val="0"/>
      <w:divBdr>
        <w:top w:val="none" w:sz="0" w:space="0" w:color="auto"/>
        <w:left w:val="none" w:sz="0" w:space="0" w:color="auto"/>
        <w:bottom w:val="none" w:sz="0" w:space="0" w:color="auto"/>
        <w:right w:val="none" w:sz="0" w:space="0" w:color="auto"/>
      </w:divBdr>
    </w:div>
    <w:div w:id="553735175">
      <w:bodyDiv w:val="1"/>
      <w:marLeft w:val="0"/>
      <w:marRight w:val="0"/>
      <w:marTop w:val="0"/>
      <w:marBottom w:val="0"/>
      <w:divBdr>
        <w:top w:val="none" w:sz="0" w:space="0" w:color="auto"/>
        <w:left w:val="none" w:sz="0" w:space="0" w:color="auto"/>
        <w:bottom w:val="none" w:sz="0" w:space="0" w:color="auto"/>
        <w:right w:val="none" w:sz="0" w:space="0" w:color="auto"/>
      </w:divBdr>
    </w:div>
    <w:div w:id="609164591">
      <w:bodyDiv w:val="1"/>
      <w:marLeft w:val="0"/>
      <w:marRight w:val="0"/>
      <w:marTop w:val="0"/>
      <w:marBottom w:val="0"/>
      <w:divBdr>
        <w:top w:val="none" w:sz="0" w:space="0" w:color="auto"/>
        <w:left w:val="none" w:sz="0" w:space="0" w:color="auto"/>
        <w:bottom w:val="none" w:sz="0" w:space="0" w:color="auto"/>
        <w:right w:val="none" w:sz="0" w:space="0" w:color="auto"/>
      </w:divBdr>
    </w:div>
    <w:div w:id="674961194">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886333976">
      <w:bodyDiv w:val="1"/>
      <w:marLeft w:val="0"/>
      <w:marRight w:val="0"/>
      <w:marTop w:val="0"/>
      <w:marBottom w:val="0"/>
      <w:divBdr>
        <w:top w:val="none" w:sz="0" w:space="0" w:color="auto"/>
        <w:left w:val="none" w:sz="0" w:space="0" w:color="auto"/>
        <w:bottom w:val="none" w:sz="0" w:space="0" w:color="auto"/>
        <w:right w:val="none" w:sz="0" w:space="0" w:color="auto"/>
      </w:divBdr>
    </w:div>
    <w:div w:id="931351304">
      <w:bodyDiv w:val="1"/>
      <w:marLeft w:val="0"/>
      <w:marRight w:val="0"/>
      <w:marTop w:val="0"/>
      <w:marBottom w:val="0"/>
      <w:divBdr>
        <w:top w:val="none" w:sz="0" w:space="0" w:color="auto"/>
        <w:left w:val="none" w:sz="0" w:space="0" w:color="auto"/>
        <w:bottom w:val="none" w:sz="0" w:space="0" w:color="auto"/>
        <w:right w:val="none" w:sz="0" w:space="0" w:color="auto"/>
      </w:divBdr>
    </w:div>
    <w:div w:id="932250166">
      <w:bodyDiv w:val="1"/>
      <w:marLeft w:val="0"/>
      <w:marRight w:val="0"/>
      <w:marTop w:val="0"/>
      <w:marBottom w:val="0"/>
      <w:divBdr>
        <w:top w:val="none" w:sz="0" w:space="0" w:color="auto"/>
        <w:left w:val="none" w:sz="0" w:space="0" w:color="auto"/>
        <w:bottom w:val="none" w:sz="0" w:space="0" w:color="auto"/>
        <w:right w:val="none" w:sz="0" w:space="0" w:color="auto"/>
      </w:divBdr>
    </w:div>
    <w:div w:id="939415375">
      <w:bodyDiv w:val="1"/>
      <w:marLeft w:val="0"/>
      <w:marRight w:val="0"/>
      <w:marTop w:val="0"/>
      <w:marBottom w:val="0"/>
      <w:divBdr>
        <w:top w:val="none" w:sz="0" w:space="0" w:color="auto"/>
        <w:left w:val="none" w:sz="0" w:space="0" w:color="auto"/>
        <w:bottom w:val="none" w:sz="0" w:space="0" w:color="auto"/>
        <w:right w:val="none" w:sz="0" w:space="0" w:color="auto"/>
      </w:divBdr>
    </w:div>
    <w:div w:id="1153250952">
      <w:bodyDiv w:val="1"/>
      <w:marLeft w:val="0"/>
      <w:marRight w:val="0"/>
      <w:marTop w:val="0"/>
      <w:marBottom w:val="0"/>
      <w:divBdr>
        <w:top w:val="none" w:sz="0" w:space="0" w:color="auto"/>
        <w:left w:val="none" w:sz="0" w:space="0" w:color="auto"/>
        <w:bottom w:val="none" w:sz="0" w:space="0" w:color="auto"/>
        <w:right w:val="none" w:sz="0" w:space="0" w:color="auto"/>
      </w:divBdr>
    </w:div>
    <w:div w:id="1284462163">
      <w:bodyDiv w:val="1"/>
      <w:marLeft w:val="0"/>
      <w:marRight w:val="0"/>
      <w:marTop w:val="0"/>
      <w:marBottom w:val="0"/>
      <w:divBdr>
        <w:top w:val="none" w:sz="0" w:space="0" w:color="auto"/>
        <w:left w:val="none" w:sz="0" w:space="0" w:color="auto"/>
        <w:bottom w:val="none" w:sz="0" w:space="0" w:color="auto"/>
        <w:right w:val="none" w:sz="0" w:space="0" w:color="auto"/>
      </w:divBdr>
    </w:div>
    <w:div w:id="1359625624">
      <w:bodyDiv w:val="1"/>
      <w:marLeft w:val="0"/>
      <w:marRight w:val="0"/>
      <w:marTop w:val="0"/>
      <w:marBottom w:val="0"/>
      <w:divBdr>
        <w:top w:val="none" w:sz="0" w:space="0" w:color="auto"/>
        <w:left w:val="none" w:sz="0" w:space="0" w:color="auto"/>
        <w:bottom w:val="none" w:sz="0" w:space="0" w:color="auto"/>
        <w:right w:val="none" w:sz="0" w:space="0" w:color="auto"/>
      </w:divBdr>
    </w:div>
    <w:div w:id="1479344922">
      <w:bodyDiv w:val="1"/>
      <w:marLeft w:val="0"/>
      <w:marRight w:val="0"/>
      <w:marTop w:val="0"/>
      <w:marBottom w:val="0"/>
      <w:divBdr>
        <w:top w:val="none" w:sz="0" w:space="0" w:color="auto"/>
        <w:left w:val="none" w:sz="0" w:space="0" w:color="auto"/>
        <w:bottom w:val="none" w:sz="0" w:space="0" w:color="auto"/>
        <w:right w:val="none" w:sz="0" w:space="0" w:color="auto"/>
      </w:divBdr>
    </w:div>
    <w:div w:id="1555043998">
      <w:bodyDiv w:val="1"/>
      <w:marLeft w:val="0"/>
      <w:marRight w:val="0"/>
      <w:marTop w:val="0"/>
      <w:marBottom w:val="0"/>
      <w:divBdr>
        <w:top w:val="none" w:sz="0" w:space="0" w:color="auto"/>
        <w:left w:val="none" w:sz="0" w:space="0" w:color="auto"/>
        <w:bottom w:val="none" w:sz="0" w:space="0" w:color="auto"/>
        <w:right w:val="none" w:sz="0" w:space="0" w:color="auto"/>
      </w:divBdr>
    </w:div>
    <w:div w:id="1720202352">
      <w:bodyDiv w:val="1"/>
      <w:marLeft w:val="0"/>
      <w:marRight w:val="0"/>
      <w:marTop w:val="0"/>
      <w:marBottom w:val="0"/>
      <w:divBdr>
        <w:top w:val="none" w:sz="0" w:space="0" w:color="auto"/>
        <w:left w:val="none" w:sz="0" w:space="0" w:color="auto"/>
        <w:bottom w:val="none" w:sz="0" w:space="0" w:color="auto"/>
        <w:right w:val="none" w:sz="0" w:space="0" w:color="auto"/>
      </w:divBdr>
    </w:div>
    <w:div w:id="1772118296">
      <w:bodyDiv w:val="1"/>
      <w:marLeft w:val="0"/>
      <w:marRight w:val="0"/>
      <w:marTop w:val="0"/>
      <w:marBottom w:val="0"/>
      <w:divBdr>
        <w:top w:val="none" w:sz="0" w:space="0" w:color="auto"/>
        <w:left w:val="none" w:sz="0" w:space="0" w:color="auto"/>
        <w:bottom w:val="none" w:sz="0" w:space="0" w:color="auto"/>
        <w:right w:val="none" w:sz="0" w:space="0" w:color="auto"/>
      </w:divBdr>
    </w:div>
    <w:div w:id="1813868879">
      <w:bodyDiv w:val="1"/>
      <w:marLeft w:val="0"/>
      <w:marRight w:val="0"/>
      <w:marTop w:val="0"/>
      <w:marBottom w:val="0"/>
      <w:divBdr>
        <w:top w:val="none" w:sz="0" w:space="0" w:color="auto"/>
        <w:left w:val="none" w:sz="0" w:space="0" w:color="auto"/>
        <w:bottom w:val="none" w:sz="0" w:space="0" w:color="auto"/>
        <w:right w:val="none" w:sz="0" w:space="0" w:color="auto"/>
      </w:divBdr>
    </w:div>
    <w:div w:id="1907715444">
      <w:bodyDiv w:val="1"/>
      <w:marLeft w:val="0"/>
      <w:marRight w:val="0"/>
      <w:marTop w:val="0"/>
      <w:marBottom w:val="0"/>
      <w:divBdr>
        <w:top w:val="none" w:sz="0" w:space="0" w:color="auto"/>
        <w:left w:val="none" w:sz="0" w:space="0" w:color="auto"/>
        <w:bottom w:val="none" w:sz="0" w:space="0" w:color="auto"/>
        <w:right w:val="none" w:sz="0" w:space="0" w:color="auto"/>
      </w:divBdr>
    </w:div>
    <w:div w:id="1941332855">
      <w:bodyDiv w:val="1"/>
      <w:marLeft w:val="0"/>
      <w:marRight w:val="0"/>
      <w:marTop w:val="0"/>
      <w:marBottom w:val="0"/>
      <w:divBdr>
        <w:top w:val="none" w:sz="0" w:space="0" w:color="auto"/>
        <w:left w:val="none" w:sz="0" w:space="0" w:color="auto"/>
        <w:bottom w:val="none" w:sz="0" w:space="0" w:color="auto"/>
        <w:right w:val="none" w:sz="0" w:space="0" w:color="auto"/>
      </w:divBdr>
    </w:div>
    <w:div w:id="198562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PI_COM:C(2025)6800"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2745</ap:Words>
  <ap:Characters>16812</ap:Characters>
  <ap:DocSecurity>0</ap:DocSecurity>
  <ap:Lines>140</ap:Lines>
  <ap:Paragraphs>39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19518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2017-08-24T08:07:00.0000000Z</lastPrinted>
  <dcterms:created xsi:type="dcterms:W3CDTF">2025-11-06T14:08:00.0000000Z</dcterms:created>
  <dcterms:modified xsi:type="dcterms:W3CDTF">2025-11-07T08:23:00.0000000Z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MSIP_Label_b2aa6e22-2c82-48c6-bf24-1790f4b9c128_Enabled">
    <vt:lpwstr>true</vt:lpwstr>
  </property>
  <property fmtid="{D5CDD505-2E9C-101B-9397-08002B2CF9AE}" pid="12" name="MSIP_Label_b2aa6e22-2c82-48c6-bf24-1790f4b9c128_SetDate">
    <vt:lpwstr>2025-09-25T14:57:11Z</vt:lpwstr>
  </property>
  <property fmtid="{D5CDD505-2E9C-101B-9397-08002B2CF9AE}" pid="13" name="MSIP_Label_b2aa6e22-2c82-48c6-bf24-1790f4b9c128_Method">
    <vt:lpwstr>Standard</vt:lpwstr>
  </property>
  <property fmtid="{D5CDD505-2E9C-101B-9397-08002B2CF9AE}" pid="14" name="MSIP_Label_b2aa6e22-2c82-48c6-bf24-1790f4b9c128_Name">
    <vt:lpwstr>FIN-DGFZ-Rijksoverheid</vt:lpwstr>
  </property>
  <property fmtid="{D5CDD505-2E9C-101B-9397-08002B2CF9AE}" pid="15" name="MSIP_Label_b2aa6e22-2c82-48c6-bf24-1790f4b9c128_SiteId">
    <vt:lpwstr>84712536-f524-40a0-913b-5d25ba502732</vt:lpwstr>
  </property>
  <property fmtid="{D5CDD505-2E9C-101B-9397-08002B2CF9AE}" pid="16" name="MSIP_Label_b2aa6e22-2c82-48c6-bf24-1790f4b9c128_ActionId">
    <vt:lpwstr>e9b9a427-43ce-4691-8445-a227e4d145ff</vt:lpwstr>
  </property>
  <property fmtid="{D5CDD505-2E9C-101B-9397-08002B2CF9AE}" pid="17" name="MSIP_Label_b2aa6e22-2c82-48c6-bf24-1790f4b9c128_ContentBits">
    <vt:lpwstr>0</vt:lpwstr>
  </property>
  <property fmtid="{D5CDD505-2E9C-101B-9397-08002B2CF9AE}" pid="18" name="MSIP_Label_b2aa6e22-2c82-48c6-bf24-1790f4b9c128_Tag">
    <vt:lpwstr>10, 3, 0, 1</vt:lpwstr>
  </property>
  <property fmtid="{D5CDD505-2E9C-101B-9397-08002B2CF9AE}" pid="19" name="ContentTypeId">
    <vt:lpwstr>0x0101009C7CE436063D44E9BE7DC0259EF7C32F006EB9F9836A634AE58B6169785FD3936F00EC4ABB6A373EEC4B8476FB85D9BD4979</vt:lpwstr>
  </property>
  <property fmtid="{D5CDD505-2E9C-101B-9397-08002B2CF9AE}" pid="20" name="ClassificationContentMarkingFooterShapeIds">
    <vt:lpwstr>1fc4be73,3be29d4a,3abda3a2</vt:lpwstr>
  </property>
  <property fmtid="{D5CDD505-2E9C-101B-9397-08002B2CF9AE}" pid="21" name="ClassificationContentMarkingFooterFontProps">
    <vt:lpwstr>#000000,10,Calibri</vt:lpwstr>
  </property>
  <property fmtid="{D5CDD505-2E9C-101B-9397-08002B2CF9AE}" pid="22" name="ClassificationContentMarkingFooterText">
    <vt:lpwstr>Intern gebruik</vt:lpwstr>
  </property>
  <property fmtid="{D5CDD505-2E9C-101B-9397-08002B2CF9AE}" pid="23" name="BZForumOrganisation">
    <vt:lpwstr>2;#Not applicable|0049e722-bfb1-4a3f-9d08-af7366a9af40</vt:lpwstr>
  </property>
  <property fmtid="{D5CDD505-2E9C-101B-9397-08002B2CF9AE}" pid="24" name="BZTheme">
    <vt:lpwstr>150;#Organization and management general|0de1cc90-a8d1-4553-a3b7-516b6498b343</vt:lpwstr>
  </property>
  <property fmtid="{D5CDD505-2E9C-101B-9397-08002B2CF9AE}" pid="25" name="BZCountryState">
    <vt:lpwstr>3;#Not applicable|ec01d90b-9d0f-4785-8785-e1ea615196bf</vt:lpwstr>
  </property>
  <property fmtid="{D5CDD505-2E9C-101B-9397-08002B2CF9AE}" pid="26" name="BZMarking">
    <vt:lpwstr>5;#NO MARKING|0a4eb9ae-69eb-4d9e-b573-43ab99ef8592</vt:lpwstr>
  </property>
  <property fmtid="{D5CDD505-2E9C-101B-9397-08002B2CF9AE}" pid="27" name="_dlc_DocIdItemGuid">
    <vt:lpwstr>7f65d8f4-2672-4cd6-81c2-1125ec632006</vt:lpwstr>
  </property>
  <property fmtid="{D5CDD505-2E9C-101B-9397-08002B2CF9AE}" pid="28" name="BZClassification">
    <vt:lpwstr>4;#UNCLASSIFIED (U)|284e6a62-15ab-4017-be27-a1e965f4e940</vt:lpwstr>
  </property>
  <property fmtid="{D5CDD505-2E9C-101B-9397-08002B2CF9AE}" pid="29" name="_docset_NoMedatataSyncRequired">
    <vt:lpwstr>False</vt:lpwstr>
  </property>
</Properties>
</file>