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1BD8" w:rsidR="00C25FCE" w:rsidP="00C25FCE" w:rsidRDefault="00C25FCE" w14:paraId="414A0CFA" w14:textId="4C37982F">
      <w:pPr>
        <w:pStyle w:val="standaard-tekst"/>
        <w:rPr>
          <w:rFonts w:ascii="Calibri" w:hAnsi="Calibri" w:cs="Calibri"/>
          <w:b/>
          <w:bCs/>
          <w:sz w:val="22"/>
          <w:szCs w:val="22"/>
          <w:lang w:val="nl-NL"/>
        </w:rPr>
      </w:pPr>
      <w:bookmarkStart w:name="_Hlk207896068" w:id="0"/>
      <w:r w:rsidRPr="00691BD8">
        <w:rPr>
          <w:rFonts w:ascii="Calibri" w:hAnsi="Calibri" w:cs="Calibri"/>
          <w:b/>
          <w:bCs/>
          <w:sz w:val="22"/>
          <w:szCs w:val="22"/>
          <w:lang w:val="nl-NL"/>
        </w:rPr>
        <w:t xml:space="preserve">Staten-Generaal </w:t>
      </w:r>
      <w:r w:rsidRPr="00691BD8">
        <w:rPr>
          <w:rFonts w:ascii="Calibri" w:hAnsi="Calibri" w:cs="Calibri"/>
          <w:b/>
          <w:bCs/>
          <w:sz w:val="22"/>
          <w:szCs w:val="22"/>
          <w:lang w:val="nl-NL"/>
        </w:rPr>
        <w:tab/>
      </w:r>
      <w:r w:rsidR="00793DD0">
        <w:rPr>
          <w:rFonts w:ascii="Calibri" w:hAnsi="Calibri" w:cs="Calibri"/>
          <w:b/>
          <w:bCs/>
          <w:sz w:val="22"/>
          <w:szCs w:val="22"/>
          <w:lang w:val="nl-NL"/>
        </w:rPr>
        <w:tab/>
      </w:r>
      <w:r w:rsidR="00793DD0">
        <w:rPr>
          <w:rFonts w:ascii="Calibri" w:hAnsi="Calibri" w:cs="Calibri"/>
          <w:b/>
          <w:bCs/>
          <w:sz w:val="22"/>
          <w:szCs w:val="22"/>
          <w:lang w:val="nl-NL"/>
        </w:rPr>
        <w:tab/>
      </w:r>
      <w:r w:rsidRPr="00691BD8">
        <w:rPr>
          <w:rFonts w:ascii="Calibri" w:hAnsi="Calibri" w:cs="Calibri"/>
          <w:b/>
          <w:bCs/>
          <w:sz w:val="22"/>
          <w:szCs w:val="22"/>
          <w:lang w:val="nl-NL"/>
        </w:rPr>
        <w:tab/>
      </w:r>
      <w:r w:rsidR="00793DD0">
        <w:rPr>
          <w:rFonts w:ascii="Calibri" w:hAnsi="Calibri" w:cs="Calibri"/>
          <w:b/>
          <w:bCs/>
          <w:sz w:val="22"/>
          <w:szCs w:val="22"/>
          <w:lang w:val="nl-NL"/>
        </w:rPr>
        <w:t>C</w:t>
      </w:r>
      <w:r w:rsidRPr="00691BD8">
        <w:rPr>
          <w:rFonts w:ascii="Calibri" w:hAnsi="Calibri" w:cs="Calibri"/>
          <w:b/>
          <w:bCs/>
          <w:sz w:val="22"/>
          <w:szCs w:val="22"/>
          <w:lang w:val="nl-NL"/>
        </w:rPr>
        <w:tab/>
      </w:r>
      <w:r w:rsidRPr="00691BD8">
        <w:rPr>
          <w:rFonts w:ascii="Calibri" w:hAnsi="Calibri" w:cs="Calibri"/>
          <w:b/>
          <w:bCs/>
          <w:sz w:val="22"/>
          <w:szCs w:val="22"/>
          <w:lang w:val="nl-NL"/>
        </w:rPr>
        <w:tab/>
      </w:r>
      <w:r w:rsidRPr="00691BD8">
        <w:rPr>
          <w:rFonts w:ascii="Calibri" w:hAnsi="Calibri" w:cs="Calibri"/>
          <w:b/>
          <w:bCs/>
          <w:sz w:val="22"/>
          <w:szCs w:val="22"/>
          <w:lang w:val="nl-NL"/>
        </w:rPr>
        <w:tab/>
        <w:t>1/2</w:t>
      </w:r>
      <w:r w:rsidRPr="00691BD8">
        <w:rPr>
          <w:rFonts w:ascii="Calibri" w:hAnsi="Calibri" w:cs="Calibri"/>
          <w:b/>
          <w:bCs/>
          <w:sz w:val="22"/>
          <w:szCs w:val="22"/>
          <w:lang w:val="nl-NL"/>
        </w:rPr>
        <w:br/>
      </w:r>
      <w:r w:rsidRPr="00691BD8">
        <w:rPr>
          <w:rFonts w:ascii="Calibri" w:hAnsi="Calibri" w:cs="Calibri"/>
          <w:sz w:val="22"/>
          <w:szCs w:val="22"/>
          <w:lang w:val="nl-NL"/>
        </w:rPr>
        <w:t>Vergaderjaar 202</w:t>
      </w:r>
      <w:r>
        <w:rPr>
          <w:rFonts w:ascii="Calibri" w:hAnsi="Calibri" w:cs="Calibri"/>
          <w:sz w:val="22"/>
          <w:szCs w:val="22"/>
          <w:lang w:val="nl-NL"/>
        </w:rPr>
        <w:t>5</w:t>
      </w:r>
      <w:r w:rsidRPr="00691BD8">
        <w:rPr>
          <w:rFonts w:ascii="Calibri" w:hAnsi="Calibri" w:cs="Calibri"/>
          <w:sz w:val="22"/>
          <w:szCs w:val="22"/>
          <w:lang w:val="nl-NL"/>
        </w:rPr>
        <w:t>-202</w:t>
      </w:r>
      <w:r>
        <w:rPr>
          <w:rFonts w:ascii="Calibri" w:hAnsi="Calibri" w:cs="Calibri"/>
          <w:sz w:val="22"/>
          <w:szCs w:val="22"/>
          <w:lang w:val="nl-NL"/>
        </w:rPr>
        <w:t>6</w:t>
      </w:r>
    </w:p>
    <w:p w:rsidRPr="00691BD8" w:rsidR="00C25FCE" w:rsidP="00C25FCE" w:rsidRDefault="00C25FCE" w14:paraId="50E0AF35" w14:textId="77777777">
      <w:pPr>
        <w:pStyle w:val="standaard-tekst"/>
        <w:rPr>
          <w:rFonts w:ascii="Calibri" w:hAnsi="Calibri" w:cs="Calibri"/>
          <w:sz w:val="22"/>
          <w:szCs w:val="22"/>
          <w:lang w:val="nl-NL"/>
        </w:rPr>
      </w:pPr>
    </w:p>
    <w:p w:rsidRPr="00691BD8" w:rsidR="00C25FCE" w:rsidP="00C25FCE" w:rsidRDefault="00C25FCE" w14:paraId="56AE5CAB" w14:textId="77777777">
      <w:pPr>
        <w:pStyle w:val="standaard-tekst"/>
        <w:rPr>
          <w:rFonts w:ascii="Calibri" w:hAnsi="Calibri" w:cs="Calibri"/>
          <w:b/>
          <w:bCs/>
          <w:sz w:val="22"/>
          <w:szCs w:val="22"/>
          <w:lang w:val="nl-NL"/>
        </w:rPr>
      </w:pPr>
      <w:r w:rsidRPr="00691BD8">
        <w:rPr>
          <w:rFonts w:ascii="Calibri" w:hAnsi="Calibri" w:cs="Calibri"/>
          <w:b/>
          <w:bCs/>
          <w:sz w:val="22"/>
          <w:szCs w:val="22"/>
          <w:lang w:val="nl-NL"/>
        </w:rPr>
        <w:t>36 723</w:t>
      </w:r>
      <w:r w:rsidRPr="00691BD8">
        <w:rPr>
          <w:rFonts w:ascii="Calibri" w:hAnsi="Calibri" w:cs="Calibri"/>
          <w:b/>
          <w:bCs/>
          <w:sz w:val="22"/>
          <w:szCs w:val="22"/>
          <w:lang w:val="nl-NL"/>
        </w:rPr>
        <w:tab/>
      </w:r>
      <w:r w:rsidRPr="00691BD8">
        <w:rPr>
          <w:rFonts w:ascii="Calibri" w:hAnsi="Calibri" w:cs="Calibri"/>
          <w:b/>
          <w:bCs/>
          <w:sz w:val="22"/>
          <w:szCs w:val="22"/>
          <w:lang w:val="nl-NL"/>
        </w:rPr>
        <w:tab/>
        <w:t>Regionaal Historische Centra</w:t>
      </w:r>
    </w:p>
    <w:p w:rsidRPr="00691BD8" w:rsidR="00C25FCE" w:rsidP="00C25FCE" w:rsidRDefault="00C25FCE" w14:paraId="7A25F2D8" w14:textId="3711B317">
      <w:pPr>
        <w:pStyle w:val="standaard-tekst"/>
        <w:rPr>
          <w:rFonts w:ascii="Calibri" w:hAnsi="Calibri" w:cs="Calibri"/>
          <w:b/>
          <w:bCs/>
          <w:sz w:val="22"/>
          <w:szCs w:val="22"/>
          <w:lang w:val="nl-NL"/>
        </w:rPr>
      </w:pPr>
      <w:r w:rsidRPr="00691BD8">
        <w:rPr>
          <w:rFonts w:ascii="Calibri" w:hAnsi="Calibri" w:cs="Calibri"/>
          <w:b/>
          <w:bCs/>
          <w:sz w:val="22"/>
          <w:szCs w:val="22"/>
          <w:lang w:val="nl-NL"/>
        </w:rPr>
        <w:br/>
        <w:t xml:space="preserve">Nr. </w:t>
      </w:r>
      <w:r>
        <w:rPr>
          <w:rFonts w:ascii="Calibri" w:hAnsi="Calibri" w:cs="Calibri"/>
          <w:b/>
          <w:bCs/>
          <w:sz w:val="22"/>
          <w:szCs w:val="22"/>
          <w:lang w:val="nl-NL"/>
        </w:rPr>
        <w:t>4</w:t>
      </w:r>
      <w:r w:rsidRPr="00691BD8">
        <w:rPr>
          <w:rFonts w:ascii="Calibri" w:hAnsi="Calibri" w:cs="Calibri"/>
          <w:b/>
          <w:bCs/>
          <w:sz w:val="22"/>
          <w:szCs w:val="22"/>
          <w:lang w:val="nl-NL"/>
        </w:rPr>
        <w:tab/>
      </w:r>
      <w:r w:rsidRPr="00691BD8">
        <w:rPr>
          <w:rFonts w:ascii="Calibri" w:hAnsi="Calibri" w:cs="Calibri"/>
          <w:b/>
          <w:bCs/>
          <w:sz w:val="22"/>
          <w:szCs w:val="22"/>
          <w:lang w:val="nl-NL"/>
        </w:rPr>
        <w:tab/>
        <w:t>Brief van de minister van Onderwijs, Cultuur en Wetenschap</w:t>
      </w:r>
    </w:p>
    <w:p w:rsidRPr="00691BD8" w:rsidR="00C25FCE" w:rsidP="00C25FCE" w:rsidRDefault="00C25FCE" w14:paraId="1CE249CC" w14:textId="77777777">
      <w:pPr>
        <w:pStyle w:val="standaard-tekst"/>
        <w:rPr>
          <w:rFonts w:ascii="Calibri" w:hAnsi="Calibri" w:cs="Calibri"/>
          <w:sz w:val="22"/>
          <w:szCs w:val="22"/>
          <w:lang w:val="nl-NL"/>
        </w:rPr>
      </w:pPr>
    </w:p>
    <w:p w:rsidRPr="00691BD8" w:rsidR="00C25FCE" w:rsidP="00C25FCE" w:rsidRDefault="00C25FCE" w14:paraId="3035DE5E" w14:textId="77777777">
      <w:pPr>
        <w:pStyle w:val="standaard-tekst"/>
        <w:rPr>
          <w:rFonts w:ascii="Calibri" w:hAnsi="Calibri" w:cs="Calibri"/>
          <w:sz w:val="22"/>
          <w:szCs w:val="22"/>
          <w:lang w:val="nl-NL"/>
        </w:rPr>
      </w:pPr>
      <w:r w:rsidRPr="00691BD8">
        <w:rPr>
          <w:rFonts w:ascii="Calibri" w:hAnsi="Calibri" w:cs="Calibri"/>
          <w:sz w:val="22"/>
          <w:szCs w:val="22"/>
          <w:lang w:val="nl-NL"/>
        </w:rPr>
        <w:t>Aan de Voorzitters van de Eerste en van de Tweede Kamer der Staten-Generaal</w:t>
      </w:r>
    </w:p>
    <w:p w:rsidR="00C25FCE" w:rsidP="00793DD0" w:rsidRDefault="00793DD0" w14:paraId="7BF0C963" w14:textId="6C97B5F6">
      <w:pPr>
        <w:pStyle w:val="standaard-tekst"/>
      </w:pPr>
      <w:r w:rsidRPr="00793DD0">
        <w:rPr>
          <w:rFonts w:ascii="Calibri" w:hAnsi="Calibri" w:cs="Calibri"/>
          <w:sz w:val="22"/>
          <w:szCs w:val="22"/>
          <w:lang w:val="nl-NL"/>
        </w:rPr>
        <w:br/>
      </w:r>
      <w:r w:rsidRPr="00793DD0" w:rsidR="00C25FCE">
        <w:rPr>
          <w:rFonts w:ascii="Calibri" w:hAnsi="Calibri" w:cs="Calibri"/>
          <w:lang w:val="nl-NL"/>
        </w:rPr>
        <w:t>Den Haag, 10 november 2025</w:t>
      </w:r>
      <w:r w:rsidRPr="00793DD0" w:rsidR="00C25FCE">
        <w:rPr>
          <w:lang w:val="nl-NL"/>
        </w:rPr>
        <w:br/>
      </w:r>
      <w:r w:rsidRPr="00793DD0" w:rsidR="00C25FCE">
        <w:rPr>
          <w:lang w:val="nl-NL"/>
        </w:rPr>
        <w:br/>
        <w:t xml:space="preserve">Hierbij bied ik u aan de wijzigingen van de Gemeenschappelijke regeling Drents Archief, de Gemeenschappelijke regeling Historisch Centrum Limburg, de Gemeenschappelijke regeling Regionaal Historisch Centrum Het Flevolands Archief, </w:t>
      </w:r>
      <w:bookmarkStart w:name="_Hlk212538662" w:id="1"/>
      <w:r w:rsidRPr="00793DD0" w:rsidR="00C25FCE">
        <w:rPr>
          <w:lang w:val="nl-NL"/>
        </w:rPr>
        <w:t>de Gemeenschappelijke regeling Noord-Hollands Archief</w:t>
      </w:r>
      <w:bookmarkEnd w:id="1"/>
      <w:r w:rsidRPr="00793DD0" w:rsidR="00C25FCE">
        <w:rPr>
          <w:lang w:val="nl-NL"/>
        </w:rPr>
        <w:t xml:space="preserve"> </w:t>
      </w:r>
      <w:bookmarkStart w:name="_Hlk212561762" w:id="2"/>
      <w:r w:rsidRPr="00793DD0" w:rsidR="00C25FCE">
        <w:rPr>
          <w:lang w:val="nl-NL"/>
        </w:rPr>
        <w:t xml:space="preserve">en de Gemeenschappelijke regeling Tresoar. </w:t>
      </w:r>
      <w:bookmarkEnd w:id="2"/>
      <w:r w:rsidRPr="00EE0D9E" w:rsidR="00C25FCE">
        <w:t xml:space="preserve">De besluitvorming bij de decentrale partners is zo goed als afgerond (wat betekent dat de toestemming als hamerstuk in de raden, provinciale staten resp. algemene besturen van waterschappen geagendeerd staat) of </w:t>
      </w:r>
      <w:r w:rsidR="00C25FCE">
        <w:t xml:space="preserve">is </w:t>
      </w:r>
      <w:r w:rsidRPr="00EE0D9E" w:rsidR="00C25FCE">
        <w:t xml:space="preserve">reeds afgerond. De redenen voor deze wijzigingen zijn tweeërlei van aard: wijzigingen n.a.v. </w:t>
      </w:r>
      <w:r w:rsidR="00C25FCE">
        <w:t xml:space="preserve">de </w:t>
      </w:r>
      <w:r w:rsidRPr="00EE0D9E" w:rsidR="00C25FCE">
        <w:t>wijziging</w:t>
      </w:r>
      <w:r w:rsidRPr="0033652C" w:rsidR="00C25FCE">
        <w:t xml:space="preserve"> </w:t>
      </w:r>
      <w:r w:rsidR="00C25FCE">
        <w:t>van de Wet gemeenschappelijke regelingen (Wgr) en wijzigingen n.a.v. toetreding van nieuwe deelnemers.</w:t>
      </w:r>
    </w:p>
    <w:p w:rsidR="00C25FCE" w:rsidP="00C25FCE" w:rsidRDefault="00C25FCE" w14:paraId="5F6AE19C" w14:textId="77777777">
      <w:pPr>
        <w:spacing w:after="0"/>
      </w:pPr>
    </w:p>
    <w:p w:rsidR="00C25FCE" w:rsidP="00C25FCE" w:rsidRDefault="00C25FCE" w14:paraId="225E073F" w14:textId="5F700146">
      <w:pPr>
        <w:spacing w:after="0"/>
      </w:pPr>
      <w:r>
        <w:t xml:space="preserve">Met het oog op de toekomstige uittreding van het Rijk uit de gemeenschappelijke regelingen van Regionaal Historische Centra heeft mijn ambtsvoorganger recentelijk de </w:t>
      </w:r>
      <w:r w:rsidRPr="0005435B">
        <w:t xml:space="preserve">desbetreffende uittredingsbesluiten bij u voorgehangen en u over de belangrijkste ontwikkelingen met betrekking tot dit onderwerp geïnformeerd (zie </w:t>
      </w:r>
      <w:r>
        <w:t>de</w:t>
      </w:r>
      <w:r w:rsidRPr="0005435B">
        <w:t xml:space="preserve"> brief van 4 september 2025</w:t>
      </w:r>
      <w:r>
        <w:t xml:space="preserve">, </w:t>
      </w:r>
      <w:r>
        <w:rPr>
          <w:i/>
          <w:iCs/>
        </w:rPr>
        <w:t>Kamerstukken II</w:t>
      </w:r>
      <w:r>
        <w:t xml:space="preserve"> 2024/25, 36 804, nr. 1 resp. </w:t>
      </w:r>
      <w:r w:rsidRPr="00EE0D9E">
        <w:rPr>
          <w:i/>
          <w:iCs/>
        </w:rPr>
        <w:t xml:space="preserve"> </w:t>
      </w:r>
      <w:r>
        <w:rPr>
          <w:i/>
          <w:iCs/>
        </w:rPr>
        <w:t>Kamerstukken I</w:t>
      </w:r>
      <w:r>
        <w:t xml:space="preserve"> 2024/25, 36 804, nr. A)</w:t>
      </w:r>
      <w:r w:rsidRPr="00BD4020">
        <w:t>. Dit laat onverlet dat er tot de voorziene uittreding per 1 januari 2027, wijzigingen noodzakelijk</w:t>
      </w:r>
      <w:r>
        <w:t xml:space="preserve"> kunnen zijn in de huidige gemeenschappelijke regelingen. Om deze reden worden deze gewijzigde regelingen separaat bij uw Kamer voorgehangen.  </w:t>
      </w:r>
    </w:p>
    <w:p w:rsidR="00C25FCE" w:rsidP="00C25FCE" w:rsidRDefault="00C25FCE" w14:paraId="0C48D31B" w14:textId="77777777">
      <w:pPr>
        <w:spacing w:after="0"/>
      </w:pPr>
    </w:p>
    <w:p w:rsidRPr="0033652C" w:rsidR="00C25FCE" w:rsidP="00C25FCE" w:rsidRDefault="00C25FCE" w14:paraId="60D776C4" w14:textId="77777777">
      <w:pPr>
        <w:spacing w:after="0"/>
        <w:rPr>
          <w:b/>
          <w:bCs/>
        </w:rPr>
      </w:pPr>
      <w:r w:rsidRPr="0033652C">
        <w:rPr>
          <w:b/>
          <w:bCs/>
        </w:rPr>
        <w:t>Wijzigingen n.a.v. wijziging Wgr</w:t>
      </w:r>
    </w:p>
    <w:p w:rsidR="00C25FCE" w:rsidP="00C25FCE" w:rsidRDefault="00C25FCE" w14:paraId="44F433BD" w14:textId="77777777">
      <w:pPr>
        <w:spacing w:after="0"/>
      </w:pPr>
    </w:p>
    <w:p w:rsidR="00C25FCE" w:rsidP="00C25FCE" w:rsidRDefault="00C25FCE" w14:paraId="6771C122" w14:textId="5B3A58BE">
      <w:pPr>
        <w:spacing w:after="0"/>
      </w:pPr>
      <w:r>
        <w:t xml:space="preserve">Gemeenschappelijke regelingen moeten voldoen aan de wijziging van de Wet gemeenschappelijke regelingen van 2022. De wijziging van vier gemeenschap-pelijke regelingen, te weten voor het Brabants Historisch Informatie Centrum, het Historisch Centrum Limburg, het Noord-Hollands Archief en het Zeeuws Archief, zijn reeds eerder aan u voorgelegd (zie de brief van 7 april 2025 </w:t>
      </w:r>
      <w:r>
        <w:rPr>
          <w:i/>
          <w:iCs/>
        </w:rPr>
        <w:t>Kamerstukken II</w:t>
      </w:r>
      <w:r>
        <w:t xml:space="preserve"> 2024/25, 36 723, nr. 1 resp. </w:t>
      </w:r>
      <w:r>
        <w:rPr>
          <w:i/>
          <w:iCs/>
        </w:rPr>
        <w:t>Kamerstukken I</w:t>
      </w:r>
      <w:r>
        <w:t xml:space="preserve"> 2024/25, 36 723, nr. A). Hetzelfde geldt voor Historisch Centrum Overijssel en Het Utrechts Archief (zie de brief van 11 september 2025, </w:t>
      </w:r>
      <w:r>
        <w:rPr>
          <w:i/>
          <w:iCs/>
        </w:rPr>
        <w:t>Kamerstukken II</w:t>
      </w:r>
      <w:r>
        <w:t xml:space="preserve"> 2024/25, 36 723, nr. 3 resp. </w:t>
      </w:r>
      <w:r>
        <w:rPr>
          <w:i/>
          <w:iCs/>
        </w:rPr>
        <w:t>Kamerstukken I</w:t>
      </w:r>
      <w:r>
        <w:t xml:space="preserve"> 2024/25, 36 723, nr. B). Daarbij is aangegeven dat de andere archieven zouden volgen zodra de besluitvorming op decentraal niveau zou zijn afgerond.</w:t>
      </w:r>
    </w:p>
    <w:p w:rsidR="00C25FCE" w:rsidP="00C25FCE" w:rsidRDefault="00C25FCE" w14:paraId="120B2FA3" w14:textId="77777777">
      <w:pPr>
        <w:spacing w:after="0"/>
      </w:pPr>
    </w:p>
    <w:p w:rsidR="00C25FCE" w:rsidP="00C25FCE" w:rsidRDefault="00C25FCE" w14:paraId="522F4479" w14:textId="77777777">
      <w:pPr>
        <w:spacing w:after="0"/>
      </w:pPr>
      <w:r w:rsidRPr="00782846">
        <w:t xml:space="preserve">Thans is dat het geval voor de gemeenschappelijke regelingen van Drents Archief (huidige regeling: Stcrt. 2016, nr. 32212), van </w:t>
      </w:r>
      <w:r>
        <w:t xml:space="preserve">het </w:t>
      </w:r>
      <w:r w:rsidRPr="00782846">
        <w:t>Regionaal Historisch Centrum Het Flevolands Archief (huidige regeling: Stcrt. 2017, nr. 25706</w:t>
      </w:r>
      <w:r w:rsidRPr="00880F96">
        <w:t>), en van Tresoar (huidige regeling: Stcrt. 2021,</w:t>
      </w:r>
      <w:r>
        <w:t xml:space="preserve"> nr.</w:t>
      </w:r>
      <w:r w:rsidRPr="00880F96">
        <w:t xml:space="preserve"> 32234)</w:t>
      </w:r>
      <w:r w:rsidRPr="00782846">
        <w:t>. U vindt de wijzigingsbesluiten bijgevoegd.</w:t>
      </w:r>
    </w:p>
    <w:p w:rsidR="00C25FCE" w:rsidP="00C25FCE" w:rsidRDefault="00C25FCE" w14:paraId="7A62C200" w14:textId="77777777">
      <w:pPr>
        <w:spacing w:after="0"/>
      </w:pPr>
    </w:p>
    <w:p w:rsidR="00C25FCE" w:rsidP="00C25FCE" w:rsidRDefault="00C25FCE" w14:paraId="39B9775B" w14:textId="77777777">
      <w:pPr>
        <w:spacing w:after="0"/>
      </w:pPr>
      <w:bookmarkStart w:name="_Hlk212211338" w:id="3"/>
      <w:r w:rsidRPr="00782846">
        <w:t>De gemeenschappelijke regelingen voor de overige regionaal historische centra worden later aan u voorgelegd, zodra de decentrale besluitvorming is afgerond. Bij Groninger Archieven wordt ervoor gekozen de wijzigingen n.a.v. de Wgr te verwerken zodra er ook een definitief besluit is gevallen over de toetreding van nieuwe partijen (zie hieronder).</w:t>
      </w:r>
      <w:bookmarkEnd w:id="3"/>
    </w:p>
    <w:p w:rsidR="00C25FCE" w:rsidP="00C25FCE" w:rsidRDefault="00C25FCE" w14:paraId="1B24B38E" w14:textId="77777777">
      <w:pPr>
        <w:spacing w:after="0"/>
      </w:pPr>
    </w:p>
    <w:p w:rsidRPr="0033652C" w:rsidR="00C25FCE" w:rsidP="00C25FCE" w:rsidRDefault="00C25FCE" w14:paraId="6A090BBA" w14:textId="77777777">
      <w:pPr>
        <w:keepNext/>
        <w:spacing w:after="0"/>
        <w:rPr>
          <w:b/>
          <w:bCs/>
        </w:rPr>
      </w:pPr>
      <w:r>
        <w:rPr>
          <w:b/>
          <w:bCs/>
        </w:rPr>
        <w:t>Toetreding van nieuwe deelnemers</w:t>
      </w:r>
    </w:p>
    <w:p w:rsidR="00C25FCE" w:rsidP="00C25FCE" w:rsidRDefault="00C25FCE" w14:paraId="7813C0CC" w14:textId="77777777">
      <w:pPr>
        <w:keepNext/>
        <w:spacing w:after="0"/>
      </w:pPr>
    </w:p>
    <w:p w:rsidR="00C25FCE" w:rsidP="00C25FCE" w:rsidRDefault="00C25FCE" w14:paraId="28D85755" w14:textId="77777777">
      <w:pPr>
        <w:spacing w:after="0"/>
      </w:pPr>
      <w:r>
        <w:t>Bij enkele gemeenschappelijke regelingen speelt ook dat nieuwe partijen gaan toetreden.</w:t>
      </w:r>
    </w:p>
    <w:p w:rsidR="00C25FCE" w:rsidP="00C25FCE" w:rsidRDefault="00C25FCE" w14:paraId="0E9B3039" w14:textId="77777777">
      <w:pPr>
        <w:spacing w:after="0"/>
      </w:pPr>
    </w:p>
    <w:p w:rsidR="00C25FCE" w:rsidP="00C25FCE" w:rsidRDefault="00C25FCE" w14:paraId="7295B419" w14:textId="77777777">
      <w:pPr>
        <w:spacing w:after="0"/>
      </w:pPr>
      <w:bookmarkStart w:name="_Hlk212211360" w:id="4"/>
      <w:r>
        <w:t xml:space="preserve">Bij Drents Archief </w:t>
      </w:r>
      <w:r w:rsidRPr="009B5E98">
        <w:t>gaan</w:t>
      </w:r>
      <w:r>
        <w:t xml:space="preserve"> zowel het </w:t>
      </w:r>
      <w:r w:rsidRPr="00317B38">
        <w:t xml:space="preserve">Waterschap Drents Overijsselse Delta </w:t>
      </w:r>
      <w:r>
        <w:t>als de gemeenten</w:t>
      </w:r>
      <w:r w:rsidRPr="00317B38">
        <w:t xml:space="preserve"> Tynaarlo, Midden-Drenthe, Westerveld en Emmen</w:t>
      </w:r>
      <w:r>
        <w:t xml:space="preserve"> toetreden: het w</w:t>
      </w:r>
      <w:r w:rsidRPr="00317B38">
        <w:t xml:space="preserve">aterschap </w:t>
      </w:r>
      <w:r>
        <w:t>op 1 juli 2024, de genoemde gemeenten op 1 januari 2025. Bij</w:t>
      </w:r>
      <w:r w:rsidRPr="008E5E7F">
        <w:t xml:space="preserve"> Historisch Centrum Limburg</w:t>
      </w:r>
      <w:r>
        <w:t xml:space="preserve"> (gaan zowel de gemeenten Beek, Brunssum, Eijsden-Margraten, Gulpen-Wittem, Kerkrade, Landgraaf, Meerssen, Simpelveld, Vaals, Valkenburg aan de Geul en Voerendaal als het Waterschap Limburg op 1 januari 2026 toetreden. Bij Noord-Hollands Archief gaat de gemeente Haarlemmermeer op 1 januari 2026 toetreden. U vindt de wijzigingsbesluiten bijgevoegd.</w:t>
      </w:r>
    </w:p>
    <w:bookmarkEnd w:id="4"/>
    <w:p w:rsidR="00C25FCE" w:rsidP="00C25FCE" w:rsidRDefault="00C25FCE" w14:paraId="742B2887" w14:textId="77777777">
      <w:pPr>
        <w:spacing w:after="0"/>
      </w:pPr>
    </w:p>
    <w:p w:rsidR="00C25FCE" w:rsidP="00C25FCE" w:rsidRDefault="00C25FCE" w14:paraId="36BEB037" w14:textId="77777777">
      <w:pPr>
        <w:spacing w:after="0"/>
      </w:pPr>
      <w:r>
        <w:t xml:space="preserve">De toetreding van het </w:t>
      </w:r>
      <w:r w:rsidRPr="00A3512B">
        <w:t xml:space="preserve">Waterschap Drents Overijsselse Delta </w:t>
      </w:r>
      <w:r>
        <w:t>tot het Drents Archief is gelijktijdig geregeld met de wijzigingen naar aanleiding van de Wgr-wijziging (zie hierboven). Om die reden treft u hier één wijzigingsbesluit aan voor beide zaken.</w:t>
      </w:r>
    </w:p>
    <w:p w:rsidR="00C25FCE" w:rsidP="00C25FCE" w:rsidRDefault="00C25FCE" w14:paraId="4C7AFA7B" w14:textId="77777777">
      <w:pPr>
        <w:spacing w:after="0"/>
      </w:pPr>
    </w:p>
    <w:p w:rsidR="00C25FCE" w:rsidP="00C25FCE" w:rsidRDefault="00C25FCE" w14:paraId="24E82BFC" w14:textId="77777777">
      <w:pPr>
        <w:spacing w:after="0"/>
      </w:pPr>
      <w:r>
        <w:t>De gemeenschappelijke regelingen voor andere regionaal historische centra waar nieuwe deelnemers toetreden, worden later aan u voorgelegd, zodra de decentrale besluitvorming is afgerond.</w:t>
      </w:r>
    </w:p>
    <w:p w:rsidR="00C25FCE" w:rsidP="00C25FCE" w:rsidRDefault="00C25FCE" w14:paraId="79EC1A37" w14:textId="77777777">
      <w:pPr>
        <w:spacing w:after="0"/>
      </w:pPr>
    </w:p>
    <w:p w:rsidRPr="0033652C" w:rsidR="00C25FCE" w:rsidP="00C25FCE" w:rsidRDefault="00C25FCE" w14:paraId="71B6AE9B" w14:textId="77777777">
      <w:pPr>
        <w:keepNext/>
        <w:spacing w:after="0"/>
        <w:rPr>
          <w:b/>
          <w:bCs/>
        </w:rPr>
      </w:pPr>
      <w:r w:rsidRPr="0033652C">
        <w:rPr>
          <w:b/>
          <w:bCs/>
        </w:rPr>
        <w:t>Voorhangprocedure</w:t>
      </w:r>
    </w:p>
    <w:p w:rsidR="00C25FCE" w:rsidP="00C25FCE" w:rsidRDefault="00C25FCE" w14:paraId="08556F9E" w14:textId="77777777">
      <w:pPr>
        <w:keepNext/>
        <w:spacing w:after="0"/>
      </w:pPr>
    </w:p>
    <w:bookmarkEnd w:id="0"/>
    <w:p w:rsidR="00C25FCE" w:rsidP="00C25FCE" w:rsidRDefault="00C25FCE" w14:paraId="50A7A4E3" w14:textId="77777777">
      <w:pPr>
        <w:spacing w:after="0"/>
      </w:pPr>
      <w:r>
        <w:t xml:space="preserve">De voorlegging van deze </w:t>
      </w:r>
      <w:r w:rsidRPr="00B40714">
        <w:t>wijzigingsr</w:t>
      </w:r>
      <w:r>
        <w:t xml:space="preserve">egelingen aan uw Kamer geschiedt in het kader van </w:t>
      </w:r>
      <w:r w:rsidRPr="00B40714">
        <w:t xml:space="preserve">artikel 94 </w:t>
      </w:r>
      <w:r w:rsidRPr="0033652C">
        <w:t xml:space="preserve">resp. artikel 97 </w:t>
      </w:r>
      <w:r w:rsidRPr="00B40714">
        <w:t xml:space="preserve">van de Wet gemeenschappelijke regelingen. </w:t>
      </w:r>
      <w:r>
        <w:t>Deze artikelen</w:t>
      </w:r>
      <w:r w:rsidRPr="00B40714">
        <w:t xml:space="preserve"> bied</w:t>
      </w:r>
      <w:r>
        <w:t>en</w:t>
      </w:r>
      <w:r w:rsidRPr="00B40714">
        <w:t xml:space="preserve"> uw Kamer gedurende vier weken de mogelijkheid zich hierover uit te spreken. Indien u van deze mogelijkheid geen gebruik maakt, zal het besluit tot wijziging na afloop van deze termijn gepubliceerd worden in de </w:t>
      </w:r>
      <w:r w:rsidRPr="00B40714">
        <w:lastRenderedPageBreak/>
        <w:t>Staatscourant,</w:t>
      </w:r>
      <w:r>
        <w:t xml:space="preserve"> waarbij de gewijzigde gemeenschappelijke regelingen als bijlagen bij de toelichting worden gevoegd. De gewijzigde gemeenschappelijke regelingen treden in werking na bekendmaking overeenkomstig de Wet gemeenschappelijke regelingen.</w:t>
      </w:r>
    </w:p>
    <w:p w:rsidR="00C25FCE" w:rsidP="00C25FCE" w:rsidRDefault="00C25FCE" w14:paraId="666A6D9D" w14:textId="77777777">
      <w:pPr>
        <w:keepNext/>
        <w:spacing w:after="0"/>
      </w:pPr>
    </w:p>
    <w:p w:rsidR="00C25FCE" w:rsidP="00C25FCE" w:rsidRDefault="00C25FCE" w14:paraId="1BFC166D" w14:textId="77777777">
      <w:pPr>
        <w:keepNext/>
        <w:spacing w:after="0"/>
      </w:pPr>
      <w:r>
        <w:t>Een gelijkluidende brief heb ik gezonden aan de Voorzitter van de Eerste Kamer der Staten-Generaal.</w:t>
      </w:r>
    </w:p>
    <w:p w:rsidRPr="007110FF" w:rsidR="00C25FCE" w:rsidP="00C25FCE" w:rsidRDefault="00C25FCE" w14:paraId="30F506C6" w14:textId="77777777">
      <w:pPr>
        <w:pStyle w:val="standaard-tekst"/>
        <w:keepNext/>
        <w:rPr>
          <w:sz w:val="18"/>
          <w:szCs w:val="18"/>
          <w:lang w:val="nl-NL"/>
        </w:rPr>
      </w:pPr>
    </w:p>
    <w:p w:rsidRPr="007110FF" w:rsidR="00C25FCE" w:rsidP="00C25FCE" w:rsidRDefault="00C25FCE" w14:paraId="4311B617" w14:textId="77777777">
      <w:pPr>
        <w:pStyle w:val="standaard-tekst"/>
        <w:keepNext/>
        <w:rPr>
          <w:sz w:val="18"/>
          <w:szCs w:val="18"/>
          <w:lang w:val="nl-NL"/>
        </w:rPr>
      </w:pPr>
      <w:r w:rsidRPr="00491AC0">
        <w:rPr>
          <w:sz w:val="18"/>
          <w:szCs w:val="18"/>
          <w:lang w:val="nl-NL"/>
        </w:rPr>
        <w:t>De Minister van Onderwijs, Cultuur en Wetenschap,</w:t>
      </w:r>
    </w:p>
    <w:p w:rsidRPr="00491AC0" w:rsidR="00C25FCE" w:rsidP="00C25FCE" w:rsidRDefault="00C25FCE" w14:paraId="6E0C287B" w14:textId="1547175A">
      <w:pPr>
        <w:pStyle w:val="standaard-tekst"/>
        <w:rPr>
          <w:sz w:val="18"/>
          <w:szCs w:val="18"/>
          <w:lang w:val="nl-NL"/>
        </w:rPr>
      </w:pPr>
      <w:r>
        <w:rPr>
          <w:sz w:val="18"/>
          <w:szCs w:val="18"/>
          <w:lang w:val="nl-NL"/>
        </w:rPr>
        <w:t>G</w:t>
      </w:r>
      <w:r w:rsidR="00793DD0">
        <w:rPr>
          <w:sz w:val="18"/>
          <w:szCs w:val="18"/>
          <w:lang w:val="nl-NL"/>
        </w:rPr>
        <w:t>.</w:t>
      </w:r>
      <w:r>
        <w:rPr>
          <w:sz w:val="18"/>
          <w:szCs w:val="18"/>
          <w:lang w:val="nl-NL"/>
        </w:rPr>
        <w:t xml:space="preserve"> Moes</w:t>
      </w:r>
    </w:p>
    <w:p w:rsidR="004E1608" w:rsidP="004E1608" w:rsidRDefault="004E1608" w14:paraId="5704C21D" w14:textId="77777777">
      <w:pPr>
        <w:pStyle w:val="Geenafstand"/>
        <w:spacing w:after="160"/>
      </w:pPr>
    </w:p>
    <w:p w:rsidRPr="00BB3EE8" w:rsidR="00C25FCE" w:rsidP="004E1608" w:rsidRDefault="00C25FCE" w14:paraId="1A225FB3" w14:textId="4D1FC63C">
      <w:pPr>
        <w:pStyle w:val="Geenafstand"/>
        <w:spacing w:after="160"/>
        <w:rPr>
          <w:rFonts w:ascii="Calibri" w:hAnsi="Calibri" w:cs="Calibri"/>
          <w:sz w:val="20"/>
          <w:szCs w:val="20"/>
        </w:rPr>
      </w:pPr>
      <w:r w:rsidRPr="00BB3EE8">
        <w:rPr>
          <w:rFonts w:ascii="Calibri" w:hAnsi="Calibri" w:cs="Calibri"/>
          <w:sz w:val="20"/>
          <w:szCs w:val="20"/>
        </w:rPr>
        <w:t>Ter griffie van de Eerste en van de Tweede Kamer</w:t>
      </w:r>
      <w:r w:rsidRPr="00BB3EE8">
        <w:rPr>
          <w:rFonts w:ascii="Calibri" w:hAnsi="Calibri" w:cs="Calibri"/>
          <w:sz w:val="20"/>
          <w:szCs w:val="20"/>
        </w:rPr>
        <w:br/>
        <w:t xml:space="preserve">der Staten-Generaal ontvangen op </w:t>
      </w:r>
      <w:r>
        <w:rPr>
          <w:rFonts w:ascii="Calibri" w:hAnsi="Calibri" w:cs="Calibri"/>
          <w:sz w:val="20"/>
          <w:szCs w:val="20"/>
        </w:rPr>
        <w:t>10 november</w:t>
      </w:r>
      <w:r w:rsidRPr="00BB3EE8">
        <w:rPr>
          <w:rFonts w:ascii="Calibri" w:hAnsi="Calibri" w:cs="Calibri"/>
          <w:sz w:val="20"/>
          <w:szCs w:val="20"/>
        </w:rPr>
        <w:t xml:space="preserve"> 2025.</w:t>
      </w:r>
      <w:r w:rsidRPr="00BB3EE8">
        <w:rPr>
          <w:rFonts w:ascii="Calibri" w:hAnsi="Calibri" w:cs="Calibri"/>
          <w:sz w:val="20"/>
          <w:szCs w:val="20"/>
        </w:rPr>
        <w:br/>
      </w:r>
      <w:r w:rsidRPr="00BB3EE8">
        <w:rPr>
          <w:rFonts w:ascii="Calibri" w:hAnsi="Calibri" w:cs="Calibri"/>
          <w:sz w:val="20"/>
          <w:szCs w:val="20"/>
        </w:rPr>
        <w:br/>
        <w:t xml:space="preserve">De wens dat de deelneming door het Rijk </w:t>
      </w:r>
      <w:r w:rsidRPr="00BB3EE8">
        <w:rPr>
          <w:rFonts w:ascii="Calibri" w:hAnsi="Calibri" w:cs="Calibri"/>
          <w:sz w:val="20"/>
          <w:szCs w:val="20"/>
        </w:rPr>
        <w:br/>
        <w:t xml:space="preserve">krachtens een wet dient te geschieden </w:t>
      </w:r>
      <w:r w:rsidRPr="00BB3EE8">
        <w:rPr>
          <w:rFonts w:ascii="Calibri" w:hAnsi="Calibri" w:cs="Calibri"/>
          <w:sz w:val="20"/>
          <w:szCs w:val="20"/>
        </w:rPr>
        <w:br/>
        <w:t xml:space="preserve">kan door of namens een van beide Kamers </w:t>
      </w:r>
      <w:r w:rsidRPr="00BB3EE8">
        <w:rPr>
          <w:rFonts w:ascii="Calibri" w:hAnsi="Calibri" w:cs="Calibri"/>
          <w:sz w:val="20"/>
          <w:szCs w:val="20"/>
        </w:rPr>
        <w:br/>
        <w:t xml:space="preserve">of door ten minste vijftien leden van de Eerste </w:t>
      </w:r>
      <w:r w:rsidRPr="00BB3EE8">
        <w:rPr>
          <w:rFonts w:ascii="Calibri" w:hAnsi="Calibri" w:cs="Calibri"/>
          <w:sz w:val="20"/>
          <w:szCs w:val="20"/>
        </w:rPr>
        <w:br/>
        <w:t xml:space="preserve">Kamer dan wel dertig leden van de Tweede </w:t>
      </w:r>
      <w:r w:rsidRPr="00BB3EE8">
        <w:rPr>
          <w:rFonts w:ascii="Calibri" w:hAnsi="Calibri" w:cs="Calibri"/>
          <w:sz w:val="20"/>
          <w:szCs w:val="20"/>
        </w:rPr>
        <w:br/>
        <w:t xml:space="preserve">Kamer te kennen worden gegeven uiterlijk op </w:t>
      </w:r>
      <w:r w:rsidRPr="00BB3EE8">
        <w:rPr>
          <w:rFonts w:ascii="Calibri" w:hAnsi="Calibri" w:cs="Calibri"/>
          <w:sz w:val="20"/>
          <w:szCs w:val="20"/>
        </w:rPr>
        <w:br/>
      </w:r>
      <w:r>
        <w:rPr>
          <w:rFonts w:ascii="Calibri" w:hAnsi="Calibri" w:cs="Calibri"/>
          <w:sz w:val="20"/>
          <w:szCs w:val="20"/>
        </w:rPr>
        <w:t>8 december 2025</w:t>
      </w:r>
      <w:r w:rsidRPr="00BB3EE8">
        <w:rPr>
          <w:rFonts w:ascii="Calibri" w:hAnsi="Calibri" w:cs="Calibri"/>
          <w:sz w:val="20"/>
          <w:szCs w:val="20"/>
        </w:rPr>
        <w:t>.</w:t>
      </w:r>
    </w:p>
    <w:p w:rsidR="00F80165" w:rsidP="00C25FCE" w:rsidRDefault="00F80165" w14:paraId="6379EB45" w14:textId="33BE223B">
      <w:pPr>
        <w:spacing w:after="0"/>
      </w:pPr>
    </w:p>
    <w:sectPr w:rsidR="00F80165" w:rsidSect="00C25FCE">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37AC" w14:textId="77777777" w:rsidR="00C25FCE" w:rsidRDefault="00C25FCE" w:rsidP="00C25FCE">
      <w:pPr>
        <w:spacing w:after="0" w:line="240" w:lineRule="auto"/>
      </w:pPr>
      <w:r>
        <w:separator/>
      </w:r>
    </w:p>
  </w:endnote>
  <w:endnote w:type="continuationSeparator" w:id="0">
    <w:p w14:paraId="362A886F" w14:textId="77777777" w:rsidR="00C25FCE" w:rsidRDefault="00C25FCE" w:rsidP="00C2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1348" w14:textId="77777777" w:rsidR="00C25FCE" w:rsidRPr="00C25FCE" w:rsidRDefault="00C25FCE" w:rsidP="00C25F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FFC7" w14:textId="77777777" w:rsidR="00C25FCE" w:rsidRPr="00C25FCE" w:rsidRDefault="00C25FCE" w:rsidP="00C25F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84B0" w14:textId="77777777" w:rsidR="00C25FCE" w:rsidRPr="00C25FCE" w:rsidRDefault="00C25FCE" w:rsidP="00C25F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4A4F" w14:textId="77777777" w:rsidR="00C25FCE" w:rsidRDefault="00C25FCE" w:rsidP="00C25FCE">
      <w:pPr>
        <w:spacing w:after="0" w:line="240" w:lineRule="auto"/>
      </w:pPr>
      <w:r>
        <w:separator/>
      </w:r>
    </w:p>
  </w:footnote>
  <w:footnote w:type="continuationSeparator" w:id="0">
    <w:p w14:paraId="4685D469" w14:textId="77777777" w:rsidR="00C25FCE" w:rsidRDefault="00C25FCE" w:rsidP="00C25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6508" w14:textId="77777777" w:rsidR="00C25FCE" w:rsidRPr="00C25FCE" w:rsidRDefault="00C25FCE" w:rsidP="00C25F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5313" w14:textId="77777777" w:rsidR="00C25FCE" w:rsidRPr="00C25FCE" w:rsidRDefault="00C25FCE" w:rsidP="00C25F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28EB" w14:textId="77777777" w:rsidR="00C25FCE" w:rsidRPr="00C25FCE" w:rsidRDefault="00C25FCE" w:rsidP="00C25F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CE"/>
    <w:rsid w:val="004E1608"/>
    <w:rsid w:val="004F730F"/>
    <w:rsid w:val="00793DD0"/>
    <w:rsid w:val="00C25FCE"/>
    <w:rsid w:val="00C91F5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E510"/>
  <w15:chartTrackingRefBased/>
  <w15:docId w15:val="{922A7422-656E-429E-94F7-311CD90A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5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5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5F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5F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5F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5F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5F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5F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5F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5F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5F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5F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5F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5F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5F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5F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5F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5FCE"/>
    <w:rPr>
      <w:rFonts w:eastAsiaTheme="majorEastAsia" w:cstheme="majorBidi"/>
      <w:color w:val="272727" w:themeColor="text1" w:themeTint="D8"/>
    </w:rPr>
  </w:style>
  <w:style w:type="paragraph" w:styleId="Titel">
    <w:name w:val="Title"/>
    <w:basedOn w:val="Standaard"/>
    <w:next w:val="Standaard"/>
    <w:link w:val="TitelChar"/>
    <w:uiPriority w:val="10"/>
    <w:qFormat/>
    <w:rsid w:val="00C25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5F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5F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5F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5F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5FCE"/>
    <w:rPr>
      <w:i/>
      <w:iCs/>
      <w:color w:val="404040" w:themeColor="text1" w:themeTint="BF"/>
    </w:rPr>
  </w:style>
  <w:style w:type="paragraph" w:styleId="Lijstalinea">
    <w:name w:val="List Paragraph"/>
    <w:basedOn w:val="Standaard"/>
    <w:uiPriority w:val="34"/>
    <w:qFormat/>
    <w:rsid w:val="00C25FCE"/>
    <w:pPr>
      <w:ind w:left="720"/>
      <w:contextualSpacing/>
    </w:pPr>
  </w:style>
  <w:style w:type="character" w:styleId="Intensievebenadrukking">
    <w:name w:val="Intense Emphasis"/>
    <w:basedOn w:val="Standaardalinea-lettertype"/>
    <w:uiPriority w:val="21"/>
    <w:qFormat/>
    <w:rsid w:val="00C25FCE"/>
    <w:rPr>
      <w:i/>
      <w:iCs/>
      <w:color w:val="0F4761" w:themeColor="accent1" w:themeShade="BF"/>
    </w:rPr>
  </w:style>
  <w:style w:type="paragraph" w:styleId="Duidelijkcitaat">
    <w:name w:val="Intense Quote"/>
    <w:basedOn w:val="Standaard"/>
    <w:next w:val="Standaard"/>
    <w:link w:val="DuidelijkcitaatChar"/>
    <w:uiPriority w:val="30"/>
    <w:qFormat/>
    <w:rsid w:val="00C2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5FCE"/>
    <w:rPr>
      <w:i/>
      <w:iCs/>
      <w:color w:val="0F4761" w:themeColor="accent1" w:themeShade="BF"/>
    </w:rPr>
  </w:style>
  <w:style w:type="character" w:styleId="Intensieveverwijzing">
    <w:name w:val="Intense Reference"/>
    <w:basedOn w:val="Standaardalinea-lettertype"/>
    <w:uiPriority w:val="32"/>
    <w:qFormat/>
    <w:rsid w:val="00C25FCE"/>
    <w:rPr>
      <w:b/>
      <w:bCs/>
      <w:smallCaps/>
      <w:color w:val="0F4761" w:themeColor="accent1" w:themeShade="BF"/>
      <w:spacing w:val="5"/>
    </w:rPr>
  </w:style>
  <w:style w:type="paragraph" w:styleId="Koptekst">
    <w:name w:val="header"/>
    <w:basedOn w:val="Standaard"/>
    <w:link w:val="KoptekstChar"/>
    <w:rsid w:val="00C25F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25FC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25FC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25FC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25FC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5FCE"/>
    <w:rPr>
      <w:rFonts w:ascii="Verdana" w:hAnsi="Verdana"/>
      <w:noProof/>
      <w:sz w:val="13"/>
      <w:szCs w:val="24"/>
      <w:lang w:eastAsia="nl-NL"/>
    </w:rPr>
  </w:style>
  <w:style w:type="paragraph" w:customStyle="1" w:styleId="Huisstijl-Gegeven">
    <w:name w:val="Huisstijl-Gegeven"/>
    <w:basedOn w:val="Standaard"/>
    <w:link w:val="Huisstijl-GegevenCharChar"/>
    <w:rsid w:val="00C25FC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5FC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25FC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25FC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25FCE"/>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C25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850</ap:Words>
  <ap:Characters>4681</ap:Characters>
  <ap:DocSecurity>0</ap:DocSecurity>
  <ap:Lines>39</ap:Lines>
  <ap:Paragraphs>11</ap:Paragraphs>
  <ap:ScaleCrop>false</ap:ScaleCrop>
  <ap:LinksUpToDate>false</ap:LinksUpToDate>
  <ap:CharactersWithSpaces>5520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2025-11-11T14:24:00.0000000Z</dcterms:created>
  <dcterms:modified xsi:type="dcterms:W3CDTF">2025-11-11T14:24:00.0000000Z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