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834169" w:rsidRDefault="00340ECA" w14:paraId="1065C323" w14:textId="77777777"/>
    <w:p w:rsidR="00CE78E9" w:rsidP="00834169" w:rsidRDefault="001C637F" w14:paraId="385EA474" w14:textId="56AD2D5D">
      <w:r>
        <w:t>Geachte Voorzitter,</w:t>
      </w:r>
      <w:r>
        <w:br/>
      </w:r>
    </w:p>
    <w:p w:rsidR="00357994" w:rsidP="00834169" w:rsidRDefault="001C637F" w14:paraId="27CD4C6A" w14:textId="55C1066C">
      <w:r>
        <w:t xml:space="preserve">Hierbij </w:t>
      </w:r>
      <w:r w:rsidR="00C072CE">
        <w:t>ontvangt</w:t>
      </w:r>
      <w:r>
        <w:t xml:space="preserve"> u</w:t>
      </w:r>
      <w:r w:rsidR="00416A36">
        <w:t>, mede namens de minister van Financiën,</w:t>
      </w:r>
      <w:r>
        <w:t xml:space="preserve"> de antwoorden op de vragen van </w:t>
      </w:r>
      <w:r w:rsidR="002D147A">
        <w:t>de leden Teunisse</w:t>
      </w:r>
      <w:r w:rsidR="005E36FA">
        <w:t>n (PvdD) en Dassen (Volt)</w:t>
      </w:r>
      <w:r>
        <w:t xml:space="preserve"> over </w:t>
      </w:r>
      <w:r w:rsidR="006A5410">
        <w:t>“</w:t>
      </w:r>
      <w:r w:rsidR="005E36FA">
        <w:t>de gelekte brief waarin Tata Steel 685 miljoen euro moet betalen vanwege trage verduurzaming</w:t>
      </w:r>
      <w:r w:rsidR="006A5410">
        <w:t>”</w:t>
      </w:r>
      <w:r w:rsidR="005E36FA">
        <w:t xml:space="preserve"> </w:t>
      </w:r>
      <w:r w:rsidR="002B6572">
        <w:t>(2025Z17929</w:t>
      </w:r>
      <w:r>
        <w:t>, ingezonden</w:t>
      </w:r>
      <w:r w:rsidR="002B6572">
        <w:t xml:space="preserve"> 26 september 2025</w:t>
      </w:r>
      <w:r>
        <w:t xml:space="preserve">). </w:t>
      </w:r>
    </w:p>
    <w:p w:rsidR="002B6572" w:rsidP="00834169" w:rsidRDefault="002B6572" w14:paraId="6D2C076D" w14:textId="77777777">
      <w:pPr>
        <w:rPr>
          <w:szCs w:val="18"/>
        </w:rPr>
      </w:pPr>
    </w:p>
    <w:p w:rsidR="002B6572" w:rsidP="00834169" w:rsidRDefault="002B6572" w14:paraId="4F8A18B4" w14:textId="77777777">
      <w:pPr>
        <w:rPr>
          <w:szCs w:val="18"/>
        </w:rPr>
      </w:pPr>
    </w:p>
    <w:p w:rsidR="002B6572" w:rsidP="00834169" w:rsidRDefault="002B6572" w14:paraId="077400F3" w14:textId="77777777">
      <w:pPr>
        <w:rPr>
          <w:szCs w:val="18"/>
        </w:rPr>
      </w:pPr>
    </w:p>
    <w:p w:rsidR="002B6572" w:rsidP="00834169" w:rsidRDefault="002B6572" w14:paraId="318A34B2" w14:textId="77777777">
      <w:pPr>
        <w:rPr>
          <w:szCs w:val="18"/>
        </w:rPr>
      </w:pPr>
    </w:p>
    <w:p w:rsidR="002B6572" w:rsidP="00834169" w:rsidRDefault="002B6572" w14:paraId="7458485D" w14:textId="77777777">
      <w:pPr>
        <w:rPr>
          <w:szCs w:val="18"/>
        </w:rPr>
      </w:pPr>
    </w:p>
    <w:p w:rsidR="002B6572" w:rsidP="00834169" w:rsidRDefault="002B6572" w14:paraId="1040B787" w14:textId="77777777"/>
    <w:p w:rsidRPr="00747885" w:rsidR="0029019C" w:rsidP="00834169" w:rsidRDefault="001C637F" w14:paraId="029C56FD" w14:textId="300469A2">
      <w:pPr>
        <w:rPr>
          <w:szCs w:val="18"/>
        </w:rPr>
      </w:pPr>
      <w:r w:rsidRPr="005461DA">
        <w:rPr>
          <w:szCs w:val="18"/>
        </w:rPr>
        <w:t>Sophie Hermans</w:t>
      </w:r>
    </w:p>
    <w:p w:rsidR="003E597A" w:rsidP="00834169" w:rsidRDefault="001C637F" w14:paraId="5E312DD2" w14:textId="2B845514">
      <w:pPr>
        <w:rPr>
          <w:szCs w:val="18"/>
        </w:rPr>
      </w:pPr>
      <w:r>
        <w:rPr>
          <w:szCs w:val="18"/>
        </w:rPr>
        <w:t>Minister van Klimaat en Groene Groei</w:t>
      </w:r>
    </w:p>
    <w:p w:rsidR="003E597A" w:rsidP="00834169" w:rsidRDefault="003E597A" w14:paraId="1EB2AC28" w14:textId="77777777">
      <w:pPr>
        <w:rPr>
          <w:szCs w:val="18"/>
        </w:rPr>
      </w:pPr>
    </w:p>
    <w:p w:rsidR="003E597A" w:rsidP="00834169" w:rsidRDefault="003E597A" w14:paraId="50CC1994" w14:textId="77777777">
      <w:pPr>
        <w:rPr>
          <w:szCs w:val="18"/>
        </w:rPr>
      </w:pPr>
    </w:p>
    <w:p w:rsidR="003E597A" w:rsidP="00834169" w:rsidRDefault="003E597A" w14:paraId="3D8E44F4" w14:textId="77777777">
      <w:pPr>
        <w:rPr>
          <w:szCs w:val="18"/>
        </w:rPr>
      </w:pPr>
    </w:p>
    <w:p w:rsidR="003E597A" w:rsidP="00834169" w:rsidRDefault="003E597A" w14:paraId="2F907D92" w14:textId="77777777">
      <w:pPr>
        <w:rPr>
          <w:szCs w:val="18"/>
        </w:rPr>
      </w:pPr>
    </w:p>
    <w:p w:rsidR="00D63777" w:rsidP="00834169" w:rsidRDefault="00D63777" w14:paraId="3CFA24F4" w14:textId="77777777">
      <w:pPr>
        <w:rPr>
          <w:szCs w:val="18"/>
        </w:rPr>
      </w:pPr>
    </w:p>
    <w:p w:rsidR="00EF6D37" w:rsidP="00834169" w:rsidRDefault="00EF6D37" w14:paraId="2F7BC67F" w14:textId="61083778">
      <w:pPr>
        <w:rPr>
          <w:b/>
          <w:bCs/>
        </w:rPr>
      </w:pPr>
    </w:p>
    <w:p w:rsidR="00D63777" w:rsidP="00834169" w:rsidRDefault="00D63777" w14:paraId="02CE67DD" w14:textId="5A40FFCE">
      <w:pPr>
        <w:rPr>
          <w:b/>
          <w:bCs/>
        </w:rPr>
      </w:pPr>
    </w:p>
    <w:p w:rsidR="00D63777" w:rsidP="00834169" w:rsidRDefault="00D63777" w14:paraId="7E2ABE4D" w14:textId="209555E6">
      <w:r>
        <w:br w:type="page"/>
      </w:r>
    </w:p>
    <w:p w:rsidR="00834169" w:rsidP="00834169" w:rsidRDefault="00D63777" w14:paraId="1B7F67B9" w14:textId="77777777">
      <w:pPr>
        <w:rPr>
          <w:rStyle w:val="Zwaar"/>
          <w:b w:val="0"/>
          <w:bCs w:val="0"/>
        </w:rPr>
      </w:pPr>
      <w:r w:rsidRPr="67020982">
        <w:rPr>
          <w:b/>
          <w:bCs/>
        </w:rPr>
        <w:lastRenderedPageBreak/>
        <w:t>2025Z17929</w:t>
      </w:r>
      <w:r>
        <w:br/>
      </w:r>
    </w:p>
    <w:p w:rsidRPr="00747885" w:rsidR="005F0D54" w:rsidP="00834169" w:rsidRDefault="001C637F" w14:paraId="36DAC0B2" w14:textId="7B9197F4">
      <w:pPr>
        <w:rPr>
          <w:b/>
        </w:rPr>
      </w:pPr>
      <w:r w:rsidRPr="006B7A36">
        <w:rPr>
          <w:rStyle w:val="Zwaar"/>
          <w:b w:val="0"/>
          <w:bCs w:val="0"/>
        </w:rPr>
        <w:t>1</w:t>
      </w:r>
      <w:r w:rsidR="00747885">
        <w:rPr>
          <w:rStyle w:val="Zwaar"/>
          <w:bCs w:val="0"/>
        </w:rPr>
        <w:br/>
      </w:r>
      <w:r w:rsidRPr="00584D83" w:rsidR="00584D83">
        <w:rPr>
          <w:bCs/>
        </w:rPr>
        <w:t>Heeft u kennisgenomen van het bericht dat Tata Steel Nederland (TSN) de komende jaren honderden miljoenen extra kwijt zal zijn aan het kopen van emissierechten, in totaal € 685 miljoen in 2030?</w:t>
      </w:r>
      <w:r w:rsidR="00584D83">
        <w:rPr>
          <w:rStyle w:val="Voetnootmarkering"/>
          <w:bCs/>
        </w:rPr>
        <w:footnoteReference w:id="1"/>
      </w:r>
    </w:p>
    <w:p w:rsidR="00834169" w:rsidP="00834169" w:rsidRDefault="00834169" w14:paraId="533E1BC1" w14:textId="77777777">
      <w:pPr>
        <w:rPr>
          <w:rStyle w:val="Zwaar"/>
          <w:b w:val="0"/>
          <w:bCs w:val="0"/>
        </w:rPr>
      </w:pPr>
    </w:p>
    <w:p w:rsidR="005F0D54" w:rsidP="00834169" w:rsidRDefault="001C637F" w14:paraId="2961C335" w14:textId="001F7E54">
      <w:pPr>
        <w:rPr>
          <w:rStyle w:val="Zwaar"/>
          <w:b w:val="0"/>
          <w:bCs w:val="0"/>
        </w:rPr>
      </w:pPr>
      <w:r w:rsidRPr="006B7A36">
        <w:rPr>
          <w:rStyle w:val="Zwaar"/>
          <w:b w:val="0"/>
          <w:bCs w:val="0"/>
        </w:rPr>
        <w:t>Antwoord</w:t>
      </w:r>
    </w:p>
    <w:p w:rsidRPr="006B7A36" w:rsidR="00F709C9" w:rsidP="00834169" w:rsidRDefault="00F709C9" w14:paraId="303B6E39" w14:textId="01F60DB6">
      <w:pPr>
        <w:rPr>
          <w:b/>
          <w:bCs/>
        </w:rPr>
      </w:pPr>
      <w:r>
        <w:rPr>
          <w:rStyle w:val="Zwaar"/>
          <w:b w:val="0"/>
          <w:bCs w:val="0"/>
        </w:rPr>
        <w:t>Ja.</w:t>
      </w:r>
    </w:p>
    <w:p w:rsidR="005F0D54" w:rsidP="00834169" w:rsidRDefault="005F0D54" w14:paraId="2D236ACB" w14:textId="77777777"/>
    <w:p w:rsidR="005F0D54" w:rsidP="00834169" w:rsidRDefault="001C637F" w14:paraId="42C4BC9C" w14:textId="77777777">
      <w:r>
        <w:t>2</w:t>
      </w:r>
    </w:p>
    <w:p w:rsidR="005F0D54" w:rsidP="00834169" w:rsidRDefault="00EB7947" w14:paraId="454D66A1" w14:textId="0ACF1987">
      <w:r w:rsidRPr="00EB7947">
        <w:t>Erkent u dat dit geen onverwachte tegenvaller is, maar een volledig voorzienbare consequentie van de ETS-systematiek waarin de gratis rechten gebaseerd zijn op historische productievolumes? Zo nee, waarom niet?</w:t>
      </w:r>
    </w:p>
    <w:p w:rsidR="00EB7947" w:rsidP="00834169" w:rsidRDefault="00EB7947" w14:paraId="68B4C883" w14:textId="77777777"/>
    <w:p w:rsidR="00F14F87" w:rsidP="00834169" w:rsidRDefault="001C637F" w14:paraId="46281DFA" w14:textId="20E6D862">
      <w:r>
        <w:t>Antwoord</w:t>
      </w:r>
    </w:p>
    <w:p w:rsidRPr="00802044" w:rsidR="16417D0B" w:rsidP="00834169" w:rsidRDefault="54718773" w14:paraId="5C95F047" w14:textId="419B33C2">
      <w:r>
        <w:t>De hoeveelheid gratis rechten is inderdaad onder andere gebaseerd op historische productievolumes</w:t>
      </w:r>
      <w:r w:rsidR="0542379C">
        <w:t>,</w:t>
      </w:r>
      <w:r>
        <w:t xml:space="preserve"> </w:t>
      </w:r>
      <w:r w:rsidR="6385EE89">
        <w:t>maar</w:t>
      </w:r>
      <w:r w:rsidR="0457D22B">
        <w:t xml:space="preserve"> </w:t>
      </w:r>
      <w:r w:rsidR="6385EE89">
        <w:t xml:space="preserve">bijvoorbeeld ook op </w:t>
      </w:r>
      <w:r w:rsidR="0457D22B">
        <w:t>d</w:t>
      </w:r>
      <w:r w:rsidR="5AAE0E98">
        <w:t>e Europese benchmark en op de langere termijn</w:t>
      </w:r>
      <w:r w:rsidR="4C72C992">
        <w:t xml:space="preserve"> ook op</w:t>
      </w:r>
      <w:r w:rsidR="5AAE0E98">
        <w:t xml:space="preserve"> de implementatie van </w:t>
      </w:r>
      <w:r w:rsidR="00DA52BA">
        <w:t>de Carbon</w:t>
      </w:r>
      <w:r w:rsidR="005E4844">
        <w:t xml:space="preserve"> Border</w:t>
      </w:r>
      <w:r w:rsidR="00DA52BA">
        <w:t xml:space="preserve"> Adjus</w:t>
      </w:r>
      <w:r w:rsidR="005E4844">
        <w:t>t</w:t>
      </w:r>
      <w:r w:rsidR="00DA52BA">
        <w:t>ment</w:t>
      </w:r>
      <w:r w:rsidR="00363D39">
        <w:t xml:space="preserve"> Mechanism (</w:t>
      </w:r>
      <w:r w:rsidR="5AAE0E98">
        <w:t>CBAM</w:t>
      </w:r>
      <w:r w:rsidR="00363D39">
        <w:t>)</w:t>
      </w:r>
      <w:r w:rsidR="5AAE0E98">
        <w:t>.</w:t>
      </w:r>
      <w:r w:rsidR="00802044">
        <w:t xml:space="preserve"> </w:t>
      </w:r>
      <w:r w:rsidR="73DDBDFA">
        <w:t>Voor TSN speelt mee dat de werkzaamheden</w:t>
      </w:r>
      <w:r w:rsidR="16417D0B">
        <w:t xml:space="preserve"> aan Hoogoven 6 begin 2024 </w:t>
      </w:r>
      <w:r w:rsidR="6E09F9B3">
        <w:t>zijn uitgelopen</w:t>
      </w:r>
      <w:r w:rsidR="2BC3E604">
        <w:t xml:space="preserve"> waardoor e</w:t>
      </w:r>
      <w:r w:rsidR="52EE48CA">
        <w:t>r minder</w:t>
      </w:r>
      <w:r w:rsidR="005E4844">
        <w:t xml:space="preserve"> staal</w:t>
      </w:r>
      <w:r w:rsidR="52EE48CA">
        <w:t xml:space="preserve"> is geproduceerd</w:t>
      </w:r>
      <w:r w:rsidR="00802044">
        <w:t xml:space="preserve">. Dit </w:t>
      </w:r>
      <w:r w:rsidR="008540AB">
        <w:t xml:space="preserve">lagere productievolume </w:t>
      </w:r>
      <w:r w:rsidR="00802044">
        <w:t xml:space="preserve">heeft geresulteerd in </w:t>
      </w:r>
      <w:r w:rsidR="2BC3E604">
        <w:t>minder gratis rechten.</w:t>
      </w:r>
      <w:r w:rsidR="00802044">
        <w:t xml:space="preserve"> </w:t>
      </w:r>
      <w:r w:rsidR="749A2A89">
        <w:t>D</w:t>
      </w:r>
      <w:r w:rsidR="3E02EDB8">
        <w:t>e</w:t>
      </w:r>
      <w:r w:rsidR="078728B1">
        <w:t>ze</w:t>
      </w:r>
      <w:r w:rsidR="3E02EDB8">
        <w:t xml:space="preserve"> consequentie</w:t>
      </w:r>
      <w:r w:rsidR="749A2A89">
        <w:t xml:space="preserve"> </w:t>
      </w:r>
      <w:r w:rsidR="40652EAA">
        <w:t>was</w:t>
      </w:r>
      <w:r w:rsidR="008540AB">
        <w:t xml:space="preserve"> van tevoren</w:t>
      </w:r>
      <w:r w:rsidR="40652EAA">
        <w:t xml:space="preserve"> </w:t>
      </w:r>
      <w:r w:rsidR="749A2A89">
        <w:t xml:space="preserve">bekend en daarom </w:t>
      </w:r>
      <w:r w:rsidR="4D4992F3">
        <w:t>ook in de</w:t>
      </w:r>
      <w:r w:rsidR="2BC3E604">
        <w:t xml:space="preserve"> bedrijfsvoering </w:t>
      </w:r>
      <w:r w:rsidR="009A89C9">
        <w:t>meegenomen</w:t>
      </w:r>
      <w:r w:rsidR="16417D0B">
        <w:t xml:space="preserve">. </w:t>
      </w:r>
    </w:p>
    <w:p w:rsidR="005F0D54" w:rsidP="00834169" w:rsidRDefault="001C637F" w14:paraId="3DE370FA" w14:textId="77777777">
      <w:r>
        <w:br/>
        <w:t>3</w:t>
      </w:r>
    </w:p>
    <w:p w:rsidR="005F0D54" w:rsidP="00834169" w:rsidRDefault="00EB7947" w14:paraId="06004007" w14:textId="3C61BED4">
      <w:r w:rsidRPr="00EB7947">
        <w:t>Deelt u de mening dat het doel van het ETS-systeem is om vervuilers financieel te prikkelen sneller te verduurzamen, en dat het huidige systeem in die zin «werkt» doordat TSN nu met forse kosten wordt geconfronteerd? Hoe rijmt u dit met het beleid om tegelijkertijd via subsidies de financiële prikkels van het ETS-systeem deels teniet te doen?</w:t>
      </w:r>
    </w:p>
    <w:p w:rsidR="00EB7947" w:rsidP="00834169" w:rsidRDefault="00EB7947" w14:paraId="7B782744" w14:textId="77777777"/>
    <w:p w:rsidR="005F0D54" w:rsidP="00834169" w:rsidRDefault="001C637F" w14:paraId="52A4F84D" w14:textId="18FB4AFA">
      <w:r>
        <w:t>Antwoord</w:t>
      </w:r>
    </w:p>
    <w:p w:rsidRPr="00C34C94" w:rsidR="00511C45" w:rsidP="00834169" w:rsidRDefault="00F823A6" w14:paraId="2840F9F8" w14:textId="056FFC48">
      <w:r>
        <w:t xml:space="preserve">Het EU ETS is een marktinstrument waarmee de </w:t>
      </w:r>
      <w:r w:rsidR="001A1458">
        <w:t>E</w:t>
      </w:r>
      <w:r w:rsidR="00F058EA">
        <w:t xml:space="preserve">uropese </w:t>
      </w:r>
      <w:r w:rsidR="001A1458">
        <w:t>U</w:t>
      </w:r>
      <w:r w:rsidR="00F058EA">
        <w:t>nie</w:t>
      </w:r>
      <w:r w:rsidR="001A1458">
        <w:t xml:space="preserve"> de </w:t>
      </w:r>
      <w:r>
        <w:t>uitstoot van broeikasgassen</w:t>
      </w:r>
      <w:r w:rsidR="00143BC1">
        <w:t xml:space="preserve"> </w:t>
      </w:r>
      <w:r w:rsidR="00C34C94">
        <w:t>kosteneffectief</w:t>
      </w:r>
      <w:r>
        <w:t xml:space="preserve"> </w:t>
      </w:r>
      <w:r w:rsidR="001A1458">
        <w:t xml:space="preserve">wil verminderen. </w:t>
      </w:r>
      <w:r w:rsidR="00511C45">
        <w:t xml:space="preserve">De handel in emissierechten is de handel in emissieruimte: het recht om een bepaalde hoeveelheid broeikasgassen uit te stoten. Het aantal beschikbare rechten is beperkt en gaat ook nog eens elk jaar omlaag. Bedrijven, zoals TSN, ontvangen gratis rechten </w:t>
      </w:r>
      <w:r w:rsidR="00F058EA">
        <w:t>é</w:t>
      </w:r>
      <w:r w:rsidR="00511C45">
        <w:t>n kunnen handelen in rechten. De prijs voor een emissierecht, de CO</w:t>
      </w:r>
      <w:r w:rsidRPr="05250184" w:rsidR="00511C45">
        <w:rPr>
          <w:vertAlign w:val="subscript"/>
        </w:rPr>
        <w:t>2</w:t>
      </w:r>
      <w:r w:rsidR="00511C45">
        <w:t xml:space="preserve">-prijs, wordt bepaald door vraag en aanbod. Dat maakt emissiehandel een marktinstrument om klimaatverandering tegen te gaan.  </w:t>
      </w:r>
    </w:p>
    <w:p w:rsidR="00093E84" w:rsidP="00834169" w:rsidRDefault="00093E84" w14:paraId="2B3D87C3" w14:textId="77777777"/>
    <w:p w:rsidR="00D429FB" w:rsidP="00834169" w:rsidRDefault="0218DEE8" w14:paraId="5D0870B7" w14:textId="0378941E">
      <w:r>
        <w:t>Het kabinet hecht aan het belang van een verduurzaamde industrie</w:t>
      </w:r>
      <w:r w:rsidR="47658553">
        <w:t xml:space="preserve"> in Nederland</w:t>
      </w:r>
      <w:r>
        <w:t xml:space="preserve">. </w:t>
      </w:r>
      <w:r w:rsidR="2470A8CB">
        <w:t xml:space="preserve">Het Nederlandse beleid ten aanzien van de verduurzaming van de industrie </w:t>
      </w:r>
      <w:r w:rsidR="3BB50DCB">
        <w:t xml:space="preserve">bestaat uit verschillende instrumenten. Zo zijn er beprijzende instrumenten, zoals EU ETS, waardoor bedrijven moeten gaan betalen voor hun </w:t>
      </w:r>
      <w:r w:rsidR="3F2751EF">
        <w:t>CO</w:t>
      </w:r>
      <w:r w:rsidRPr="7A86D0EB" w:rsidR="3F2751EF">
        <w:rPr>
          <w:vertAlign w:val="subscript"/>
        </w:rPr>
        <w:t>2</w:t>
      </w:r>
      <w:r w:rsidR="3F2751EF">
        <w:t xml:space="preserve"> </w:t>
      </w:r>
      <w:r w:rsidR="3BB50DCB">
        <w:t>uitstoot.</w:t>
      </w:r>
      <w:r w:rsidR="04631129">
        <w:t xml:space="preserve"> </w:t>
      </w:r>
      <w:r w:rsidR="7439CAA1">
        <w:t>Ook zijn er</w:t>
      </w:r>
      <w:r w:rsidR="3BB50DCB">
        <w:t xml:space="preserve"> stimulerende instrumenten </w:t>
      </w:r>
      <w:r w:rsidR="59E22427">
        <w:t>gericht op de opbouw van</w:t>
      </w:r>
      <w:r w:rsidR="76D1DD0B">
        <w:t xml:space="preserve"> </w:t>
      </w:r>
      <w:r w:rsidR="610797CF">
        <w:t xml:space="preserve">deze </w:t>
      </w:r>
      <w:r w:rsidR="59E22427">
        <w:t>duurzame industrie</w:t>
      </w:r>
      <w:r w:rsidR="58C1B982">
        <w:t xml:space="preserve"> en het behoud van de industrie. Te denken valt aan</w:t>
      </w:r>
      <w:r w:rsidR="59E22427">
        <w:t xml:space="preserve"> </w:t>
      </w:r>
      <w:r w:rsidR="3BB50DCB">
        <w:t xml:space="preserve">de ontwikkeling van </w:t>
      </w:r>
      <w:r w:rsidR="3BB50DCB">
        <w:lastRenderedPageBreak/>
        <w:t>innovatieve technologie</w:t>
      </w:r>
      <w:r w:rsidR="0EF8E879">
        <w:t>ën</w:t>
      </w:r>
      <w:r w:rsidR="59E22427">
        <w:t xml:space="preserve">, </w:t>
      </w:r>
      <w:r w:rsidR="380305DB">
        <w:t xml:space="preserve">ondersteund door bijvoorbeeld </w:t>
      </w:r>
      <w:r w:rsidR="3BB50DCB">
        <w:t xml:space="preserve">de </w:t>
      </w:r>
      <w:r w:rsidR="3F5FD114">
        <w:t xml:space="preserve">maatwerkaanpak, </w:t>
      </w:r>
      <w:r w:rsidR="6D68F834">
        <w:t>NIKI</w:t>
      </w:r>
      <w:r w:rsidR="3F5FD114">
        <w:t xml:space="preserve">, </w:t>
      </w:r>
      <w:r w:rsidR="3BB50DCB">
        <w:t>SDE++ en DEI</w:t>
      </w:r>
      <w:r w:rsidR="2DEAFCAE">
        <w:t>+</w:t>
      </w:r>
      <w:r w:rsidR="3BB50DCB">
        <w:t>.</w:t>
      </w:r>
      <w:r w:rsidR="3967B9F4">
        <w:t xml:space="preserve"> </w:t>
      </w:r>
      <w:r w:rsidR="5B14E24A">
        <w:t>Deze instrumenten subsidiëren</w:t>
      </w:r>
      <w:r w:rsidR="7439CAA1">
        <w:t xml:space="preserve"> (een deel van)</w:t>
      </w:r>
      <w:r w:rsidR="5B14E24A">
        <w:t xml:space="preserve"> de onrendab</w:t>
      </w:r>
      <w:r w:rsidR="04631129">
        <w:t>e</w:t>
      </w:r>
      <w:r w:rsidR="5B14E24A">
        <w:t xml:space="preserve">le top van een investering, dus enkel het deel dat </w:t>
      </w:r>
      <w:r w:rsidR="04631129">
        <w:t xml:space="preserve">nodig is om de business case sluitend te krijgen. </w:t>
      </w:r>
      <w:r w:rsidR="3C7D6934">
        <w:t>De maatwerkaanpak</w:t>
      </w:r>
      <w:r w:rsidR="174E8776">
        <w:t xml:space="preserve"> </w:t>
      </w:r>
      <w:r w:rsidR="3C7D6934">
        <w:t>richt zich op bovenwettelijke</w:t>
      </w:r>
      <w:r w:rsidR="3F5FD114">
        <w:t xml:space="preserve"> maatregelen, dus meer of sneller verduurzamen dan de wet vraagt.</w:t>
      </w:r>
      <w:r w:rsidR="174E8776">
        <w:t xml:space="preserve"> Dit geldt dus ook voor de maatwerkafspraak met TSN.</w:t>
      </w:r>
    </w:p>
    <w:p w:rsidR="005F0D54" w:rsidP="00834169" w:rsidRDefault="005F0D54" w14:paraId="48CBA710" w14:textId="77777777"/>
    <w:p w:rsidR="0025042A" w:rsidP="00834169" w:rsidRDefault="00EB7947" w14:paraId="1609FCCC" w14:textId="43CD73FD">
      <w:r>
        <w:t>4</w:t>
      </w:r>
    </w:p>
    <w:p w:rsidR="007C4DE6" w:rsidP="00834169" w:rsidRDefault="007C4DE6" w14:paraId="5351DD5C" w14:textId="77777777">
      <w:r w:rsidRPr="007C4DE6">
        <w:t xml:space="preserve">Hoe beoordeelt u de uitspraak van emeritus hoogleraar Sweder van Wijnbergen in het artikel dat subsidie aan Tata Steel de bedoeling van het ETS-systeem ondermijnt? </w:t>
      </w:r>
    </w:p>
    <w:p w:rsidR="003D7A60" w:rsidP="00834169" w:rsidRDefault="003D7A60" w14:paraId="784B5BD8" w14:textId="77777777"/>
    <w:p w:rsidR="003D7A60" w:rsidP="00834169" w:rsidRDefault="003D7A60" w14:paraId="3FB02141" w14:textId="1BE4CFF3">
      <w:r>
        <w:t>Antwoord</w:t>
      </w:r>
    </w:p>
    <w:p w:rsidR="00457C70" w:rsidP="00834169" w:rsidRDefault="00AF3E66" w14:paraId="55A2603C" w14:textId="0B869EDE">
      <w:r>
        <w:t xml:space="preserve">Zoals </w:t>
      </w:r>
      <w:r w:rsidR="00B051B1">
        <w:t xml:space="preserve">ook </w:t>
      </w:r>
      <w:r>
        <w:t xml:space="preserve">in het antwoord </w:t>
      </w:r>
      <w:r w:rsidR="00B051B1">
        <w:t>op vraag 3</w:t>
      </w:r>
      <w:r>
        <w:t xml:space="preserve"> vermeld, bestaat het </w:t>
      </w:r>
      <w:r w:rsidR="0EFC8BFE">
        <w:t xml:space="preserve">Nederlandse </w:t>
      </w:r>
      <w:r>
        <w:t xml:space="preserve">beleid uit een combinatie van instrumenten om </w:t>
      </w:r>
      <w:r w:rsidR="009350A4">
        <w:t>verduurzaming te realiseren. Alle bedrijven die onder het EU ETS systeem vallen</w:t>
      </w:r>
      <w:r w:rsidR="00BB317B">
        <w:t xml:space="preserve">, kunnen ook aanspraak maken op de stimulerende instrumenten, niet alleen TSN. Daarbij is het ETS een Europees systeem. </w:t>
      </w:r>
      <w:r w:rsidR="00644D38">
        <w:t>Ook</w:t>
      </w:r>
      <w:r w:rsidR="00457C70">
        <w:t xml:space="preserve"> andere E</w:t>
      </w:r>
      <w:r w:rsidR="00BB317B">
        <w:t xml:space="preserve">uropese </w:t>
      </w:r>
      <w:r w:rsidR="00457C70">
        <w:t xml:space="preserve">staalfabrieken die onder </w:t>
      </w:r>
      <w:r w:rsidR="00BB317B">
        <w:t xml:space="preserve">het </w:t>
      </w:r>
      <w:r w:rsidR="00457C70">
        <w:t>ETS</w:t>
      </w:r>
      <w:r w:rsidR="00BB317B">
        <w:t xml:space="preserve"> systeem</w:t>
      </w:r>
      <w:r w:rsidR="00457C70">
        <w:t xml:space="preserve"> vallen </w:t>
      </w:r>
      <w:r w:rsidR="00BB317B">
        <w:t xml:space="preserve">worden ondersteund bij </w:t>
      </w:r>
      <w:r w:rsidR="00F058EA">
        <w:t>hun verduurzamingsopgave.</w:t>
      </w:r>
    </w:p>
    <w:p w:rsidR="007C4DE6" w:rsidP="00834169" w:rsidRDefault="007C4DE6" w14:paraId="39264E0A" w14:textId="77777777"/>
    <w:p w:rsidR="007C4DE6" w:rsidP="00834169" w:rsidRDefault="007C4DE6" w14:paraId="449E0B32" w14:textId="77777777">
      <w:r w:rsidRPr="007C4DE6">
        <w:t xml:space="preserve">5 </w:t>
      </w:r>
    </w:p>
    <w:p w:rsidR="00EB7947" w:rsidP="00834169" w:rsidRDefault="007C4DE6" w14:paraId="3E694669" w14:textId="505E16D0">
      <w:r w:rsidRPr="007C4DE6">
        <w:t>Was u voor het verschijnen van dit artikel op de hoogte van deze additionele kosten, waarvan het bedrijf zelf in elk geval sinds februari 2024 weet (de datum van het interne document)? Zo ja, heeft u dit meegewogen in de onderhandelingen over maatwerksubsidie? Zo nee, in hoeverre verandert dit uw inzet bij de onderhandelingen?</w:t>
      </w:r>
    </w:p>
    <w:p w:rsidR="003D7A60" w:rsidP="00834169" w:rsidRDefault="003D7A60" w14:paraId="34D372A3" w14:textId="77777777"/>
    <w:p w:rsidR="003D7A60" w:rsidP="00834169" w:rsidRDefault="003D7A60" w14:paraId="47BF0EAA" w14:textId="77777777">
      <w:r>
        <w:t>Antwoord</w:t>
      </w:r>
    </w:p>
    <w:p w:rsidR="003D7A60" w:rsidP="00834169" w:rsidRDefault="58D368C5" w14:paraId="34F1D6DF" w14:textId="4D1AA94C">
      <w:r>
        <w:t xml:space="preserve">In de business case </w:t>
      </w:r>
      <w:r w:rsidR="00F058EA">
        <w:t xml:space="preserve">voor de maatwerkafspraak </w:t>
      </w:r>
      <w:r>
        <w:t>wordt gekeken naar meest actuele prognoses van kosten en opbrengsten</w:t>
      </w:r>
      <w:r w:rsidR="4882F346">
        <w:t xml:space="preserve">, </w:t>
      </w:r>
      <w:r w:rsidR="64B6EBF8">
        <w:t>i</w:t>
      </w:r>
      <w:r w:rsidR="223654E3">
        <w:t xml:space="preserve">n dit geval cijfers </w:t>
      </w:r>
      <w:r w:rsidR="4501C594">
        <w:t xml:space="preserve">en prognoses </w:t>
      </w:r>
      <w:r w:rsidR="223654E3">
        <w:t>uit 2025.</w:t>
      </w:r>
      <w:r>
        <w:t xml:space="preserve"> Dit geldt dus ook voor </w:t>
      </w:r>
      <w:r w:rsidR="68BFB7B1">
        <w:t xml:space="preserve">de </w:t>
      </w:r>
      <w:r>
        <w:t>CO</w:t>
      </w:r>
      <w:r w:rsidRPr="7A86D0EB">
        <w:rPr>
          <w:vertAlign w:val="subscript"/>
        </w:rPr>
        <w:t>2</w:t>
      </w:r>
      <w:r>
        <w:t xml:space="preserve"> kosten</w:t>
      </w:r>
      <w:r w:rsidR="2455B9EB">
        <w:t>.</w:t>
      </w:r>
    </w:p>
    <w:p w:rsidR="0025042A" w:rsidP="00834169" w:rsidRDefault="0025042A" w14:paraId="3BC66EBF" w14:textId="469359B9"/>
    <w:p w:rsidR="007C4DE6" w:rsidP="00834169" w:rsidRDefault="007C4DE6" w14:paraId="5B9E7A4A" w14:textId="77777777">
      <w:r w:rsidRPr="007C4DE6">
        <w:t xml:space="preserve">6 </w:t>
      </w:r>
    </w:p>
    <w:p w:rsidR="007C4DE6" w:rsidP="00834169" w:rsidRDefault="007C4DE6" w14:paraId="732B8A6A" w14:textId="0FC6E07B">
      <w:r w:rsidRPr="007C4DE6">
        <w:t xml:space="preserve">Heeft TSN de afgelopen jaren een voorziening aangelegd voor de gratis emissierechten die zij door lagere productie «te veel» ontvingen? Zo ja, wat is de omvang van deze voorziening en hoe wordt deze ingezet? Zo nee, acht u dit prudent ondernemingsbeleid? </w:t>
      </w:r>
    </w:p>
    <w:p w:rsidR="003D7A60" w:rsidP="00834169" w:rsidRDefault="003D7A60" w14:paraId="399E09C4" w14:textId="77777777"/>
    <w:p w:rsidR="003D7A60" w:rsidP="00834169" w:rsidRDefault="003D7A60" w14:paraId="4573512E" w14:textId="77777777">
      <w:r>
        <w:t>Antwoord</w:t>
      </w:r>
    </w:p>
    <w:p w:rsidRPr="00F058EA" w:rsidR="67020982" w:rsidP="00834169" w:rsidRDefault="6FA383FC" w14:paraId="7C254E26" w14:textId="7B0FC504">
      <w:r>
        <w:t xml:space="preserve">Vanwege de </w:t>
      </w:r>
      <w:r w:rsidR="00F058EA">
        <w:t>bedrijfsvertrouwelijkheid</w:t>
      </w:r>
      <w:r>
        <w:t xml:space="preserve"> </w:t>
      </w:r>
      <w:r w:rsidR="00C072CE">
        <w:t>kunnen geen</w:t>
      </w:r>
      <w:r>
        <w:t xml:space="preserve"> uitspraken</w:t>
      </w:r>
      <w:r w:rsidR="00C072CE">
        <w:t xml:space="preserve"> worden gedaan</w:t>
      </w:r>
      <w:r>
        <w:t xml:space="preserve"> over specifieke</w:t>
      </w:r>
      <w:r w:rsidR="3491AAEC">
        <w:t xml:space="preserve"> cijfers of</w:t>
      </w:r>
      <w:r w:rsidR="118AFE23">
        <w:t>,</w:t>
      </w:r>
      <w:r w:rsidR="5C494097">
        <w:t xml:space="preserve"> </w:t>
      </w:r>
      <w:r w:rsidR="3491AAEC">
        <w:t>in dit geval</w:t>
      </w:r>
      <w:r w:rsidR="6702649A">
        <w:t>,</w:t>
      </w:r>
      <w:r w:rsidR="3491AAEC">
        <w:t xml:space="preserve"> voorzieningen. </w:t>
      </w:r>
      <w:r w:rsidR="00C072CE">
        <w:t>Het kabinet wil</w:t>
      </w:r>
      <w:r w:rsidR="3491AAEC">
        <w:t xml:space="preserve"> </w:t>
      </w:r>
      <w:r w:rsidR="21E9D297">
        <w:t xml:space="preserve">benadrukken </w:t>
      </w:r>
      <w:r w:rsidR="3491AAEC">
        <w:t>dat de</w:t>
      </w:r>
      <w:r w:rsidR="37A95AFD">
        <w:t xml:space="preserve"> </w:t>
      </w:r>
      <w:r w:rsidR="3DD2AE16">
        <w:t>CO</w:t>
      </w:r>
      <w:r w:rsidRPr="7A86D0EB" w:rsidR="3DD2AE16">
        <w:rPr>
          <w:vertAlign w:val="subscript"/>
        </w:rPr>
        <w:t>2</w:t>
      </w:r>
      <w:r w:rsidR="3DD2AE16">
        <w:t xml:space="preserve"> kosten</w:t>
      </w:r>
      <w:r w:rsidR="37A95AFD">
        <w:t xml:space="preserve"> en de maatregelen die T</w:t>
      </w:r>
      <w:r w:rsidR="0CF7FE49">
        <w:t xml:space="preserve">SN </w:t>
      </w:r>
      <w:r w:rsidR="37A95AFD">
        <w:t xml:space="preserve">in verband daarmee getroffen heeft integraal </w:t>
      </w:r>
      <w:r w:rsidR="4933C661">
        <w:t xml:space="preserve">zijn </w:t>
      </w:r>
      <w:r w:rsidR="37A95AFD">
        <w:t>meegenomen in de business case die onderdeel is van de maatwerkgesprekken</w:t>
      </w:r>
      <w:r w:rsidR="16A7E276">
        <w:t>.</w:t>
      </w:r>
    </w:p>
    <w:p w:rsidR="003D7A60" w:rsidP="00834169" w:rsidRDefault="003D7A60" w14:paraId="63B481D6" w14:textId="77777777"/>
    <w:p w:rsidR="007C4DE6" w:rsidP="00834169" w:rsidRDefault="007C4DE6" w14:paraId="7EF730C9" w14:textId="77777777">
      <w:r w:rsidRPr="007C4DE6">
        <w:t>7</w:t>
      </w:r>
    </w:p>
    <w:p w:rsidR="007C4DE6" w:rsidP="00834169" w:rsidRDefault="007C4DE6" w14:paraId="39DF42DD" w14:textId="7DBE0C9F">
      <w:r w:rsidRPr="007C4DE6">
        <w:t xml:space="preserve">Hoe schat u de concurrentiepositie van Tata Steel in nu ze de komende jaren 685 miljoen euro extra kosten kunnen verwachten, zelfs ten opzichte van concurrenten binnen Europa? Ziet u nog een toekomst waarin Tata Steel op eigen </w:t>
      </w:r>
      <w:r w:rsidRPr="007C4DE6">
        <w:lastRenderedPageBreak/>
        <w:t xml:space="preserve">kracht kan concurreren, of is dit bedrijf structureel afhankelijk geworden van staatssteun? </w:t>
      </w:r>
    </w:p>
    <w:p w:rsidR="003D7A60" w:rsidP="00834169" w:rsidRDefault="003D7A60" w14:paraId="7B015D17" w14:textId="77777777"/>
    <w:p w:rsidR="003D7A60" w:rsidP="00834169" w:rsidRDefault="003D7A60" w14:paraId="603A485B" w14:textId="77777777">
      <w:r>
        <w:t>Antwoord</w:t>
      </w:r>
    </w:p>
    <w:p w:rsidRPr="00F058EA" w:rsidR="52DFD74B" w:rsidP="00834169" w:rsidRDefault="408DC70B" w14:paraId="5D0248B1" w14:textId="5C7F482E">
      <w:r>
        <w:t xml:space="preserve">Zie </w:t>
      </w:r>
      <w:r w:rsidR="5710D67B">
        <w:t xml:space="preserve">het </w:t>
      </w:r>
      <w:r>
        <w:t>antwoord op vraag 6 wat betreft de bedrijf</w:t>
      </w:r>
      <w:r w:rsidR="00F058EA">
        <w:t>s</w:t>
      </w:r>
      <w:r>
        <w:t xml:space="preserve">vertrouwelijkheid </w:t>
      </w:r>
      <w:r w:rsidR="00F058EA">
        <w:t>van deze cijfers en het integraal meenemen van de CO</w:t>
      </w:r>
      <w:r w:rsidRPr="20708458" w:rsidR="00F058EA">
        <w:rPr>
          <w:vertAlign w:val="subscript"/>
        </w:rPr>
        <w:t>2</w:t>
      </w:r>
      <w:r w:rsidR="00F058EA">
        <w:t xml:space="preserve"> kosten in de business case </w:t>
      </w:r>
      <w:r>
        <w:t xml:space="preserve">en </w:t>
      </w:r>
      <w:r w:rsidR="6E28CCE8">
        <w:t xml:space="preserve">het </w:t>
      </w:r>
      <w:r>
        <w:t xml:space="preserve">antwoord op vraag 5 dat we </w:t>
      </w:r>
      <w:r w:rsidR="00F058EA">
        <w:t xml:space="preserve">bij de maatwerkafspraak met TSN </w:t>
      </w:r>
      <w:r>
        <w:t>kijken naar de cijfers en prognoses</w:t>
      </w:r>
      <w:r w:rsidR="00F058EA">
        <w:t xml:space="preserve"> van</w:t>
      </w:r>
      <w:r>
        <w:t xml:space="preserve"> 2025. </w:t>
      </w:r>
      <w:r w:rsidR="4FD740F6">
        <w:t>Op basis van die</w:t>
      </w:r>
      <w:r w:rsidR="52DFD74B">
        <w:t xml:space="preserve"> </w:t>
      </w:r>
      <w:r w:rsidR="4FD740F6">
        <w:t xml:space="preserve">business case </w:t>
      </w:r>
      <w:r w:rsidR="52DFD74B">
        <w:t>zie</w:t>
      </w:r>
      <w:r w:rsidR="00C072CE">
        <w:t>t het kabinet</w:t>
      </w:r>
      <w:r w:rsidR="52DFD74B">
        <w:t xml:space="preserve"> zeker een toekomst waarin </w:t>
      </w:r>
      <w:r w:rsidR="003E6224">
        <w:t>TSN</w:t>
      </w:r>
      <w:r w:rsidR="52DFD74B">
        <w:t xml:space="preserve"> op eigen kracht kan opereren. Ook de Europese Commissie </w:t>
      </w:r>
      <w:r w:rsidR="003E6224">
        <w:t xml:space="preserve">toetst </w:t>
      </w:r>
      <w:r w:rsidR="1ACE1E0F">
        <w:t xml:space="preserve">hierop </w:t>
      </w:r>
      <w:r w:rsidR="52DFD74B">
        <w:t xml:space="preserve">aangezien er </w:t>
      </w:r>
      <w:r w:rsidR="009E4481">
        <w:t xml:space="preserve">onder het relevante staatssteunkader </w:t>
      </w:r>
      <w:r w:rsidR="52DFD74B">
        <w:t xml:space="preserve">geen staatssteun mag worden gegeven aan een </w:t>
      </w:r>
      <w:r w:rsidR="7CCA9365">
        <w:t>bedrijf</w:t>
      </w:r>
      <w:r w:rsidR="00F420AB">
        <w:t xml:space="preserve"> in financiële moeilijkheden</w:t>
      </w:r>
      <w:r w:rsidR="7CCA9365">
        <w:t xml:space="preserve">. Voordat er een subsidie kan worden gegeven is </w:t>
      </w:r>
      <w:r w:rsidR="009E4481">
        <w:t xml:space="preserve">ook </w:t>
      </w:r>
      <w:r w:rsidR="7CCA9365">
        <w:t xml:space="preserve">akkoord van de Europese Commissie nodig. </w:t>
      </w:r>
    </w:p>
    <w:p w:rsidR="007C4DE6" w:rsidP="00834169" w:rsidRDefault="007C4DE6" w14:paraId="459B6952" w14:textId="77777777"/>
    <w:p w:rsidR="007C4DE6" w:rsidP="00834169" w:rsidRDefault="007C4DE6" w14:paraId="7935B032" w14:textId="77777777">
      <w:r w:rsidRPr="007C4DE6">
        <w:t>8</w:t>
      </w:r>
    </w:p>
    <w:p w:rsidR="007C4DE6" w:rsidP="00834169" w:rsidRDefault="007C4DE6" w14:paraId="54D55B66" w14:textId="22A74B05">
      <w:r w:rsidRPr="007C4DE6">
        <w:t>Hoe weegt u dat Tata zelf aangeeft dat het «Groen Staal-plan» onder druk komt te staan als er een verbod komt op de verwerking van giftige staalslakken</w:t>
      </w:r>
      <w:r w:rsidR="004D38BF">
        <w:rPr>
          <w:rStyle w:val="Voetnootmarkering"/>
        </w:rPr>
        <w:footnoteReference w:id="2"/>
      </w:r>
      <w:r w:rsidRPr="007C4DE6">
        <w:t xml:space="preserve">, terwijl deze ETS rechten financieel een veel grotere tegenvaller kunnen zijn? Wat zegt dit over de kwetsbaarheid van Tata’s plannen? </w:t>
      </w:r>
    </w:p>
    <w:p w:rsidR="003D7A60" w:rsidP="00834169" w:rsidRDefault="003D7A60" w14:paraId="23308ED0" w14:textId="77777777"/>
    <w:p w:rsidR="003D7A60" w:rsidP="00834169" w:rsidRDefault="003D7A60" w14:paraId="50369D2F" w14:textId="77777777">
      <w:r>
        <w:t>Antwoord</w:t>
      </w:r>
    </w:p>
    <w:p w:rsidR="007345FF" w:rsidP="00834169" w:rsidRDefault="002E76F5" w14:paraId="1D2D887C" w14:textId="07735D19">
      <w:r>
        <w:t>T</w:t>
      </w:r>
      <w:r w:rsidR="003F2276">
        <w:t>SN</w:t>
      </w:r>
      <w:r>
        <w:t xml:space="preserve"> opereert in een internationale context. Voor het bedrijf is het daarom van belang om stabiliteit in het </w:t>
      </w:r>
      <w:r w:rsidR="004E45B1">
        <w:t>overheids</w:t>
      </w:r>
      <w:r>
        <w:t xml:space="preserve">beleid te hebben en </w:t>
      </w:r>
      <w:r w:rsidR="00E57EBC">
        <w:t xml:space="preserve">vergelijkbare </w:t>
      </w:r>
      <w:r>
        <w:t xml:space="preserve">concurrentievoorwaarden met omringende landen. </w:t>
      </w:r>
      <w:r w:rsidR="00521636">
        <w:t>EU</w:t>
      </w:r>
      <w:r w:rsidR="00E57EBC">
        <w:t>-beleid</w:t>
      </w:r>
      <w:r w:rsidR="00521636">
        <w:t xml:space="preserve"> en nationaal </w:t>
      </w:r>
      <w:r w:rsidR="00981A14">
        <w:t xml:space="preserve">beleid </w:t>
      </w:r>
      <w:r w:rsidR="00E57EBC">
        <w:t xml:space="preserve">hebben </w:t>
      </w:r>
      <w:r w:rsidR="00981A14">
        <w:t xml:space="preserve">impact op de business case van een bedrijf, zo ook </w:t>
      </w:r>
      <w:r w:rsidR="00521636">
        <w:t xml:space="preserve">beleid omtrent </w:t>
      </w:r>
      <w:r w:rsidR="00981A14">
        <w:t>ETS en staalslakken</w:t>
      </w:r>
      <w:r w:rsidR="00521636">
        <w:t>.</w:t>
      </w:r>
      <w:r w:rsidR="00FD3F52">
        <w:t xml:space="preserve"> Het Groen Staal-plan </w:t>
      </w:r>
      <w:r w:rsidR="007345FF">
        <w:t>vergt een grote investering van het bedrijf</w:t>
      </w:r>
      <w:r w:rsidR="003F2276">
        <w:t xml:space="preserve"> en het moederbedrijf</w:t>
      </w:r>
      <w:r w:rsidR="007345FF">
        <w:t xml:space="preserve">. </w:t>
      </w:r>
      <w:r w:rsidR="00D44FE2">
        <w:t>Het is dus niet meer dan logisch dat het bedrijf mogelijke risico’s ten aanzien van de business case zorgvuldig</w:t>
      </w:r>
      <w:r w:rsidR="009C4486">
        <w:t xml:space="preserve"> in kaart brengt.</w:t>
      </w:r>
      <w:r w:rsidR="00D44FE2">
        <w:t xml:space="preserve"> De weging van de verschillende risico</w:t>
      </w:r>
      <w:r w:rsidR="00E57EBC">
        <w:t>’</w:t>
      </w:r>
      <w:r w:rsidR="00D44FE2">
        <w:t xml:space="preserve">s </w:t>
      </w:r>
      <w:r w:rsidR="00E57EBC">
        <w:t xml:space="preserve">en het uiteindelijk wel/niet doen van de investering </w:t>
      </w:r>
      <w:r w:rsidR="00D44FE2">
        <w:t>is aan het bedrijf.</w:t>
      </w:r>
    </w:p>
    <w:p w:rsidR="007C4DE6" w:rsidP="00834169" w:rsidRDefault="007C4DE6" w14:paraId="287C1D48" w14:textId="77777777"/>
    <w:p w:rsidR="007C4DE6" w:rsidP="00834169" w:rsidRDefault="007C4DE6" w14:paraId="1612FADD" w14:textId="77777777">
      <w:r w:rsidRPr="007C4DE6">
        <w:t xml:space="preserve">9 </w:t>
      </w:r>
    </w:p>
    <w:p w:rsidR="007C4DE6" w:rsidP="00834169" w:rsidRDefault="007C4DE6" w14:paraId="344FC749" w14:textId="66E603D7">
      <w:r w:rsidRPr="007C4DE6">
        <w:t>Kunt u een overzicht geven van de belangrijkste actuele en potentiële financiële risico’s voor TSN, waaronder in elk geval: een mogelijk verbod op de verwerking van staalslakken, het tekort aan gratis ETS-rechten, de invoerheffingen op staal in de VS</w:t>
      </w:r>
      <w:r w:rsidR="004D38BF">
        <w:rPr>
          <w:rStyle w:val="Voetnootmarkering"/>
        </w:rPr>
        <w:footnoteReference w:id="3"/>
      </w:r>
      <w:r w:rsidR="004D38BF">
        <w:t xml:space="preserve"> </w:t>
      </w:r>
      <w:r w:rsidRPr="007C4DE6">
        <w:t xml:space="preserve">en de werkzaamheden naar aanleiding van de aanzegging tot intrekken van de vergunning van Kooksgasfabriek 2? </w:t>
      </w:r>
    </w:p>
    <w:p w:rsidR="003D7A60" w:rsidP="00834169" w:rsidRDefault="003D7A60" w14:paraId="2A2CC31C" w14:textId="77777777"/>
    <w:p w:rsidR="003D7A60" w:rsidP="00834169" w:rsidRDefault="003D7A60" w14:paraId="6393E11A" w14:textId="77777777">
      <w:r>
        <w:t>Antwoord</w:t>
      </w:r>
    </w:p>
    <w:p w:rsidR="00D44FE2" w:rsidP="00834169" w:rsidRDefault="00D44FE2" w14:paraId="78A3305D" w14:textId="713EED41">
      <w:r>
        <w:t>Zoals ook in het antwoord op de vorige vraag zijn er</w:t>
      </w:r>
      <w:r w:rsidR="00C25403">
        <w:t xml:space="preserve"> </w:t>
      </w:r>
      <w:r w:rsidR="006124AF">
        <w:t>externe factoren</w:t>
      </w:r>
      <w:r w:rsidR="00DA5AB7">
        <w:t xml:space="preserve"> die impact hebben op de business case</w:t>
      </w:r>
      <w:r>
        <w:t xml:space="preserve"> van Tata Steel.</w:t>
      </w:r>
      <w:r w:rsidR="72553052">
        <w:t xml:space="preserve"> In de financiële modellen wordt gewerkt met prognoses. Deze prognoses worden getoetst en gevalideerd door de staat en een externe financiële adviseur.</w:t>
      </w:r>
      <w:r w:rsidR="25D03113">
        <w:t xml:space="preserve"> De uiteindelijke risico inschatting en afweging van de verschillende factoren is aan het bedrijf. </w:t>
      </w:r>
    </w:p>
    <w:p w:rsidR="00D44FE2" w:rsidP="00834169" w:rsidRDefault="00D44FE2" w14:paraId="6D3B6755" w14:textId="58D710F6"/>
    <w:p w:rsidR="00834169" w:rsidRDefault="00834169" w14:paraId="798C915C" w14:textId="77777777">
      <w:pPr>
        <w:spacing w:line="240" w:lineRule="auto"/>
      </w:pPr>
      <w:r>
        <w:br w:type="page"/>
      </w:r>
    </w:p>
    <w:p w:rsidR="007C4DE6" w:rsidP="00834169" w:rsidRDefault="007C4DE6" w14:paraId="06C887FF" w14:textId="06DA2365">
      <w:r>
        <w:lastRenderedPageBreak/>
        <w:t>10</w:t>
      </w:r>
    </w:p>
    <w:p w:rsidR="007C4DE6" w:rsidP="00834169" w:rsidRDefault="007C4DE6" w14:paraId="653EC9F1" w14:textId="45C73852">
      <w:r>
        <w:t xml:space="preserve">Bent u bereid de Kamer te informeren over de wijze waarop deze financiële risico’s worden betrokken in de lopende gesprekken over mogelijke steunmaatregelen of maatwerkafspraken met TSN? </w:t>
      </w:r>
    </w:p>
    <w:p w:rsidR="007C4DE6" w:rsidP="00834169" w:rsidRDefault="007C4DE6" w14:paraId="1AA82D2B" w14:textId="77777777"/>
    <w:p w:rsidR="372795AC" w:rsidP="00834169" w:rsidRDefault="003D7A60" w14:paraId="7CC03A69" w14:textId="6544F4A7">
      <w:r>
        <w:t>Antwoord</w:t>
      </w:r>
    </w:p>
    <w:p w:rsidR="00DE78F4" w:rsidP="00834169" w:rsidRDefault="00DE78F4" w14:paraId="06B7A103" w14:textId="793744AF">
      <w:r>
        <w:t xml:space="preserve">De Kamer wordt regelmatig, waar mogelijk openbaar en waar nodig vertrouwelijk, geïnformeerd over de voortgang van de maatwerkafspraken met Tata Steel, bijvoorbeeld via Kamerbrieven en technische briefings. Ook in de toekomst </w:t>
      </w:r>
      <w:r w:rsidR="00C072CE">
        <w:t>zal het kabinet</w:t>
      </w:r>
      <w:r>
        <w:t xml:space="preserve"> dit blijven doen.</w:t>
      </w:r>
      <w:r w:rsidR="2EF98828">
        <w:t xml:space="preserve"> </w:t>
      </w:r>
    </w:p>
    <w:p w:rsidR="003D7A60" w:rsidP="00834169" w:rsidRDefault="003D7A60" w14:paraId="524C70C0" w14:textId="77777777"/>
    <w:p w:rsidR="007C4DE6" w:rsidP="00834169" w:rsidRDefault="007C4DE6" w14:paraId="5D3D2C17" w14:textId="77777777">
      <w:r w:rsidRPr="007C4DE6">
        <w:t xml:space="preserve">11 </w:t>
      </w:r>
    </w:p>
    <w:p w:rsidR="007C4DE6" w:rsidP="00834169" w:rsidRDefault="007C4DE6" w14:paraId="319D2BC7" w14:textId="1E58F2AA">
      <w:r w:rsidRPr="007C4DE6">
        <w:t>Hoe beoordeelt u of het verstrekken van substantiële subsidies aan Tata Steel in lijn is met prudent financieel bestuur, gezien de vele vooraanstaande economen</w:t>
      </w:r>
      <w:r w:rsidR="00143C90">
        <w:rPr>
          <w:rStyle w:val="Voetnootmarkering"/>
        </w:rPr>
        <w:footnoteReference w:id="4"/>
      </w:r>
      <w:r w:rsidRPr="003D7A60" w:rsidR="003D7A60">
        <w:rPr>
          <w:vertAlign w:val="superscript"/>
        </w:rPr>
        <w:t>,</w:t>
      </w:r>
      <w:r w:rsidR="00143C90">
        <w:rPr>
          <w:rStyle w:val="Voetnootmarkering"/>
        </w:rPr>
        <w:footnoteReference w:id="5"/>
      </w:r>
      <w:r w:rsidR="00143C90">
        <w:t xml:space="preserve"> </w:t>
      </w:r>
      <w:r w:rsidRPr="007C4DE6">
        <w:t xml:space="preserve">die ons waarschuwen dat dit een zeer onverstandige vorm van staatssteun is? </w:t>
      </w:r>
    </w:p>
    <w:p w:rsidR="003D7A60" w:rsidP="00834169" w:rsidRDefault="003D7A60" w14:paraId="7D23E47F" w14:textId="77777777"/>
    <w:p w:rsidR="003D7A60" w:rsidP="00834169" w:rsidRDefault="003D7A60" w14:paraId="710BD8FD" w14:textId="77777777">
      <w:r>
        <w:t>Antwoord</w:t>
      </w:r>
    </w:p>
    <w:p w:rsidR="4C1E799B" w:rsidP="00834169" w:rsidRDefault="00DE78F4" w14:paraId="17AC7902" w14:textId="411C831F">
      <w:r>
        <w:t>Zoals al eerder in de beantwoording aangegeven</w:t>
      </w:r>
      <w:r w:rsidR="00B14243">
        <w:t>,</w:t>
      </w:r>
      <w:r>
        <w:t xml:space="preserve"> bestaat het </w:t>
      </w:r>
      <w:r w:rsidR="00E32FAB">
        <w:t xml:space="preserve">Nederlandse </w:t>
      </w:r>
      <w:r>
        <w:t xml:space="preserve">verduurzamingsbeleid uit een mix van instrumenten en wordt er door de staat en de Europese Commissie getoetst op de </w:t>
      </w:r>
      <w:r w:rsidR="00E32FAB">
        <w:t>haalbaarheid van de business case aangezien er</w:t>
      </w:r>
      <w:r w:rsidR="00181794">
        <w:t xml:space="preserve"> onder het relevante staatssteunkader</w:t>
      </w:r>
      <w:r w:rsidR="00E32FAB">
        <w:t xml:space="preserve"> geen steun mag worden verstrekt </w:t>
      </w:r>
      <w:r w:rsidR="00181794">
        <w:t>aan een onderneming in financiële moeilijkheden</w:t>
      </w:r>
      <w:r w:rsidR="00E32FAB">
        <w:t>.</w:t>
      </w:r>
      <w:r w:rsidR="007858F0">
        <w:t xml:space="preserve"> </w:t>
      </w:r>
      <w:r w:rsidR="00C900B4">
        <w:t>Voor de staat is het essentieel dat de subsidie voor het behalen van de beoogde doelen wordt gebruikt: verduurzaming en verbetering van de gezondheid. Er zullen dan ook</w:t>
      </w:r>
      <w:r w:rsidR="007858F0">
        <w:t xml:space="preserve"> strenge voorwaarden aan </w:t>
      </w:r>
      <w:r w:rsidR="00C900B4">
        <w:t xml:space="preserve">de </w:t>
      </w:r>
      <w:r w:rsidR="007858F0">
        <w:t xml:space="preserve">eventuele </w:t>
      </w:r>
      <w:r w:rsidR="00C900B4">
        <w:t>subsidie</w:t>
      </w:r>
      <w:r w:rsidR="007858F0">
        <w:t xml:space="preserve"> verbonden zij</w:t>
      </w:r>
      <w:r w:rsidR="00C900B4">
        <w:t xml:space="preserve">n. Zo wordt de subsidie in tranches uitgekeerd, bij het behalen van vooraf vastgestelde mijlpalen. </w:t>
      </w:r>
      <w:r w:rsidR="00D7167C">
        <w:t>Indien de doelen niet worden behaald kan de staat de subsidie terugvorderen of boetes opleggen. Daarnaast zullen er clawback-mechanismes komen o</w:t>
      </w:r>
      <w:r w:rsidR="00C900B4">
        <w:t xml:space="preserve">m </w:t>
      </w:r>
      <w:r w:rsidR="00C072CE">
        <w:t>oversubsidiëring</w:t>
      </w:r>
      <w:r w:rsidR="00C900B4">
        <w:t xml:space="preserve"> te voorkomen</w:t>
      </w:r>
      <w:r w:rsidR="00D7167C">
        <w:t>.</w:t>
      </w:r>
      <w:r w:rsidR="00C900B4">
        <w:t xml:space="preserve"> </w:t>
      </w:r>
    </w:p>
    <w:p w:rsidR="007C4DE6" w:rsidP="00834169" w:rsidRDefault="007C4DE6" w14:paraId="6FD339FC" w14:textId="77777777"/>
    <w:p w:rsidR="007C4DE6" w:rsidP="00834169" w:rsidRDefault="007C4DE6" w14:paraId="0B7C32F4" w14:textId="77777777">
      <w:r w:rsidRPr="007C4DE6">
        <w:t>12</w:t>
      </w:r>
    </w:p>
    <w:p w:rsidR="007C4DE6" w:rsidP="00834169" w:rsidRDefault="007C4DE6" w14:paraId="04590BF5" w14:textId="1342F9F7">
      <w:r>
        <w:t>Wilt u deze vragen één voor één beantwoorden, vóór de behandeling van de begroting Klimaat en Groene Groei, zodat de Kamer deze informatie kan betrekken bij de beoordeling van de maatwerkafspraken met Tata Steel?</w:t>
      </w:r>
    </w:p>
    <w:p w:rsidR="003D7A60" w:rsidP="00834169" w:rsidRDefault="003D7A60" w14:paraId="798BDE23" w14:textId="77777777"/>
    <w:p w:rsidR="003D7A60" w:rsidP="00834169" w:rsidRDefault="003D7A60" w14:paraId="7C395AC0" w14:textId="77777777">
      <w:r>
        <w:t>Antwoord</w:t>
      </w:r>
    </w:p>
    <w:p w:rsidR="00D22441" w:rsidP="00834169" w:rsidRDefault="007D4656" w14:paraId="70263CDE" w14:textId="5CF16594">
      <w:r>
        <w:t>Ja.</w:t>
      </w:r>
    </w:p>
    <w:p w:rsidR="00D22441" w:rsidP="00834169" w:rsidRDefault="00D22441" w14:paraId="05F9F308" w14:textId="77777777"/>
    <w:p w:rsidR="00D22441" w:rsidP="00834169" w:rsidRDefault="00D22441" w14:paraId="60ED4069" w14:textId="4EEC65A2"/>
    <w:p w:rsidR="00664678" w:rsidP="00834169" w:rsidRDefault="00664678" w14:paraId="08CCF96E" w14:textId="23023F40"/>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C83A" w14:textId="77777777" w:rsidR="007229AA" w:rsidRDefault="007229AA">
      <w:r>
        <w:separator/>
      </w:r>
    </w:p>
    <w:p w14:paraId="2ABF2C51" w14:textId="77777777" w:rsidR="007229AA" w:rsidRDefault="007229AA"/>
  </w:endnote>
  <w:endnote w:type="continuationSeparator" w:id="0">
    <w:p w14:paraId="2F2C2470" w14:textId="77777777" w:rsidR="007229AA" w:rsidRDefault="007229AA">
      <w:r>
        <w:continuationSeparator/>
      </w:r>
    </w:p>
    <w:p w14:paraId="4B7EB04F" w14:textId="77777777" w:rsidR="007229AA" w:rsidRDefault="00722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0B68"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160A0CBD" w:rsidR="00527BD4" w:rsidRPr="00645414" w:rsidRDefault="001C63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5119C4">
              <w:t>5</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0B68"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261DFBC4" w:rsidR="00527BD4" w:rsidRPr="00ED539E" w:rsidRDefault="001C63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5119C4">
              <w:t>5</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AAE3" w14:textId="77777777" w:rsidR="007229AA" w:rsidRDefault="007229AA">
      <w:r>
        <w:separator/>
      </w:r>
    </w:p>
    <w:p w14:paraId="248E99C9" w14:textId="77777777" w:rsidR="007229AA" w:rsidRDefault="007229AA"/>
  </w:footnote>
  <w:footnote w:type="continuationSeparator" w:id="0">
    <w:p w14:paraId="7C6E03A0" w14:textId="77777777" w:rsidR="007229AA" w:rsidRDefault="007229AA">
      <w:r>
        <w:continuationSeparator/>
      </w:r>
    </w:p>
    <w:p w14:paraId="238E0B7C" w14:textId="77777777" w:rsidR="007229AA" w:rsidRDefault="007229AA"/>
  </w:footnote>
  <w:footnote w:id="1">
    <w:p w14:paraId="5AC4FD80" w14:textId="77777777" w:rsidR="00584D83" w:rsidRDefault="00584D83" w:rsidP="00584D83">
      <w:pPr>
        <w:pStyle w:val="Voetnoottekst"/>
      </w:pPr>
      <w:r>
        <w:rPr>
          <w:rStyle w:val="Voetnootmarkering"/>
        </w:rPr>
        <w:footnoteRef/>
      </w:r>
      <w:r>
        <w:t xml:space="preserve"> Follow the Money, 23 september 2025, «Gelekt document: Tata Steel moet 685 miljoen euro</w:t>
      </w:r>
    </w:p>
    <w:p w14:paraId="151DF7DC" w14:textId="523DEB6B" w:rsidR="00584D83" w:rsidRDefault="00584D83" w:rsidP="00584D83">
      <w:pPr>
        <w:pStyle w:val="Voetnoottekst"/>
      </w:pPr>
      <w:r>
        <w:t>ophoesten vanwege trage verduurzaming».</w:t>
      </w:r>
    </w:p>
  </w:footnote>
  <w:footnote w:id="2">
    <w:p w14:paraId="1FDE8928" w14:textId="77777777" w:rsidR="004D38BF" w:rsidRDefault="004D38BF" w:rsidP="004D38BF">
      <w:pPr>
        <w:pStyle w:val="Voetnoottekst"/>
      </w:pPr>
      <w:r>
        <w:rPr>
          <w:rStyle w:val="Voetnootmarkering"/>
        </w:rPr>
        <w:footnoteRef/>
      </w:r>
      <w:r>
        <w:t xml:space="preserve">  Noordhollands Dagblad, 11 augustus 2025, «Als staalslak weer afval wordt, heeft Tata een</w:t>
      </w:r>
    </w:p>
    <w:p w14:paraId="06F5C4CE" w14:textId="37408A57" w:rsidR="004D38BF" w:rsidRDefault="004D38BF" w:rsidP="004D38BF">
      <w:pPr>
        <w:pStyle w:val="Voetnoottekst"/>
      </w:pPr>
      <w:r>
        <w:t>probleem»</w:t>
      </w:r>
    </w:p>
  </w:footnote>
  <w:footnote w:id="3">
    <w:p w14:paraId="212E2C65" w14:textId="6D022E44" w:rsidR="004D38BF" w:rsidRDefault="004D38BF">
      <w:pPr>
        <w:pStyle w:val="Voetnoottekst"/>
      </w:pPr>
      <w:r>
        <w:rPr>
          <w:rStyle w:val="Voetnootmarkering"/>
        </w:rPr>
        <w:footnoteRef/>
      </w:r>
      <w:r>
        <w:t xml:space="preserve"> </w:t>
      </w:r>
      <w:r w:rsidR="00143C90">
        <w:t>B</w:t>
      </w:r>
      <w:r w:rsidR="00143C90" w:rsidRPr="00143C90">
        <w:t>NR, 5 september 2025, «Tata Steel loopt kwart Amerikaanse omzet mis door importheffingen»</w:t>
      </w:r>
    </w:p>
  </w:footnote>
  <w:footnote w:id="4">
    <w:p w14:paraId="4F43D3A1" w14:textId="2F59D5E7" w:rsidR="00143C90" w:rsidRDefault="00143C90">
      <w:pPr>
        <w:pStyle w:val="Voetnoottekst"/>
      </w:pPr>
      <w:r>
        <w:rPr>
          <w:rStyle w:val="Voetnootmarkering"/>
        </w:rPr>
        <w:footnoteRef/>
      </w:r>
      <w:r>
        <w:t xml:space="preserve"> B</w:t>
      </w:r>
      <w:r w:rsidRPr="00143C90">
        <w:t>NR, 11 juni 2025. «Economen kraken vergroeningsplan Tata Steel Nederland: «Businesscase is zwak»»</w:t>
      </w:r>
    </w:p>
  </w:footnote>
  <w:footnote w:id="5">
    <w:p w14:paraId="6BF581F2" w14:textId="440FB0EA" w:rsidR="00143C90" w:rsidRDefault="00143C90">
      <w:pPr>
        <w:pStyle w:val="Voetnoottekst"/>
      </w:pPr>
      <w:r>
        <w:rPr>
          <w:rStyle w:val="Voetnootmarkering"/>
        </w:rPr>
        <w:footnoteRef/>
      </w:r>
      <w:r>
        <w:t xml:space="preserve"> </w:t>
      </w:r>
      <w:r w:rsidR="003D7A60">
        <w:t>N</w:t>
      </w:r>
      <w:r w:rsidR="003D7A60" w:rsidRPr="003D7A60">
        <w:t>RC, 30 januari 2025, «Economen in Tweede Kamer: pas op met staatssteunplan Tata Steel».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0B68" w14:paraId="3909255B" w14:textId="77777777" w:rsidTr="00A50CF6">
      <w:tc>
        <w:tcPr>
          <w:tcW w:w="2156" w:type="dxa"/>
        </w:tcPr>
        <w:p w14:paraId="0D48B309" w14:textId="69EB4E8C" w:rsidR="00527BD4" w:rsidRPr="005819CE" w:rsidRDefault="001C637F" w:rsidP="00A50CF6">
          <w:pPr>
            <w:pStyle w:val="Huisstijl-Adres"/>
            <w:rPr>
              <w:b/>
            </w:rPr>
          </w:pPr>
          <w:r>
            <w:rPr>
              <w:b/>
            </w:rPr>
            <w:t>Klimaat en groene Groei</w:t>
          </w:r>
          <w:r w:rsidRPr="005819CE">
            <w:rPr>
              <w:b/>
            </w:rPr>
            <w:br/>
          </w:r>
        </w:p>
      </w:tc>
    </w:tr>
    <w:tr w:rsidR="00F80B68" w14:paraId="02AD4526" w14:textId="77777777" w:rsidTr="00A50CF6">
      <w:trPr>
        <w:trHeight w:hRule="exact" w:val="200"/>
      </w:trPr>
      <w:tc>
        <w:tcPr>
          <w:tcW w:w="2156" w:type="dxa"/>
        </w:tcPr>
        <w:p w14:paraId="2EEAD9AB" w14:textId="77777777" w:rsidR="00527BD4" w:rsidRPr="005819CE" w:rsidRDefault="00527BD4" w:rsidP="00A50CF6"/>
      </w:tc>
    </w:tr>
    <w:tr w:rsidR="00F80B68" w14:paraId="137B027F" w14:textId="77777777" w:rsidTr="00502512">
      <w:trPr>
        <w:trHeight w:hRule="exact" w:val="774"/>
      </w:trPr>
      <w:tc>
        <w:tcPr>
          <w:tcW w:w="2156" w:type="dxa"/>
        </w:tcPr>
        <w:p w14:paraId="4C4275FB" w14:textId="77777777" w:rsidR="00527BD4" w:rsidRDefault="001C637F" w:rsidP="003A5290">
          <w:pPr>
            <w:pStyle w:val="Huisstijl-Kopje"/>
          </w:pPr>
          <w:r>
            <w:t>Ons kenmerk</w:t>
          </w:r>
        </w:p>
        <w:p w14:paraId="35F502D9" w14:textId="73D6BB0D" w:rsidR="00527BD4" w:rsidRPr="005819CE" w:rsidRDefault="001C637F" w:rsidP="00834169">
          <w:pPr>
            <w:pStyle w:val="Huisstijl-Kopje"/>
          </w:pPr>
          <w:r>
            <w:rPr>
              <w:b w:val="0"/>
            </w:rPr>
            <w:t>KGG</w:t>
          </w:r>
          <w:r w:rsidRPr="00502512">
            <w:rPr>
              <w:b w:val="0"/>
            </w:rPr>
            <w:t xml:space="preserve"> /</w:t>
          </w:r>
          <w:r w:rsidR="00834169">
            <w:rPr>
              <w:b w:val="0"/>
            </w:rPr>
            <w:t xml:space="preserve"> </w:t>
          </w:r>
          <w:r w:rsidR="00834169" w:rsidRPr="00834169">
            <w:rPr>
              <w:b w:val="0"/>
            </w:rPr>
            <w:t>102181119</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0E2A0D98" w14:textId="77777777" w:rsidR="00527BD4" w:rsidRDefault="00527BD4" w:rsidP="004F44C2">
    <w:pPr>
      <w:rPr>
        <w:sz w:val="2"/>
        <w:szCs w:val="2"/>
      </w:rPr>
    </w:pPr>
  </w:p>
  <w:p w14:paraId="59577BDE" w14:textId="77777777" w:rsidR="00834169" w:rsidRPr="00740712" w:rsidRDefault="00834169"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0B68"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AD75619" w:rsidR="00527BD4" w:rsidRDefault="001C637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0540D4" wp14:editId="4094BC9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0B68" w14:paraId="13D0458E" w14:textId="77777777" w:rsidTr="6C7489AC">
      <w:tc>
        <w:tcPr>
          <w:tcW w:w="2160" w:type="dxa"/>
        </w:tcPr>
        <w:p w14:paraId="6507531A" w14:textId="21855770" w:rsidR="00527BD4" w:rsidRPr="005819CE" w:rsidRDefault="001C637F" w:rsidP="00A50CF6">
          <w:pPr>
            <w:pStyle w:val="Huisstijl-Adres"/>
            <w:rPr>
              <w:b/>
            </w:rPr>
          </w:pPr>
          <w:r>
            <w:rPr>
              <w:b/>
            </w:rPr>
            <w:t>Klimaat en groene Groei</w:t>
          </w:r>
          <w:r w:rsidRPr="005819CE">
            <w:rPr>
              <w:b/>
            </w:rPr>
            <w:br/>
          </w:r>
        </w:p>
        <w:p w14:paraId="650C04C7" w14:textId="1464D6E0" w:rsidR="00527BD4" w:rsidRPr="00BE5ED9" w:rsidRDefault="001C637F" w:rsidP="00A50CF6">
          <w:pPr>
            <w:pStyle w:val="Huisstijl-Adres"/>
          </w:pPr>
          <w:r>
            <w:rPr>
              <w:b/>
            </w:rPr>
            <w:t>Bezoekadres</w:t>
          </w:r>
          <w:r>
            <w:rPr>
              <w:b/>
            </w:rPr>
            <w:br/>
          </w:r>
          <w:r>
            <w:t>Bezuidenhoutseweg 73</w:t>
          </w:r>
          <w:r w:rsidRPr="005819CE">
            <w:br/>
          </w:r>
          <w:r>
            <w:t>2594 AC DEN HAAG</w:t>
          </w:r>
        </w:p>
        <w:p w14:paraId="3385D13B" w14:textId="77777777" w:rsidR="00EF495B" w:rsidRDefault="001C637F"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1C637F" w:rsidP="0098788A">
          <w:pPr>
            <w:pStyle w:val="Huisstijl-Adres"/>
          </w:pPr>
          <w:r>
            <w:rPr>
              <w:b/>
            </w:rPr>
            <w:t>Overheidsidentificatienr</w:t>
          </w:r>
          <w:r>
            <w:rPr>
              <w:b/>
            </w:rPr>
            <w:br/>
          </w:r>
          <w:r w:rsidR="002D0DDB" w:rsidRPr="002D0DDB">
            <w:t>00000003952069570000</w:t>
          </w:r>
        </w:p>
        <w:p w14:paraId="04999AB2" w14:textId="23A45636" w:rsidR="00527BD4" w:rsidRPr="00834169" w:rsidRDefault="001C637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80B68" w14:paraId="4FB02182" w14:textId="77777777" w:rsidTr="6C7489AC">
      <w:trPr>
        <w:trHeight w:hRule="exact" w:val="200"/>
      </w:trPr>
      <w:tc>
        <w:tcPr>
          <w:tcW w:w="2160" w:type="dxa"/>
        </w:tcPr>
        <w:p w14:paraId="3809167A" w14:textId="77777777" w:rsidR="00527BD4" w:rsidRPr="005819CE" w:rsidRDefault="00527BD4" w:rsidP="00A50CF6"/>
      </w:tc>
    </w:tr>
    <w:tr w:rsidR="00F80B68" w14:paraId="30880088" w14:textId="77777777" w:rsidTr="6C7489AC">
      <w:tc>
        <w:tcPr>
          <w:tcW w:w="2160" w:type="dxa"/>
        </w:tcPr>
        <w:p w14:paraId="3302543D" w14:textId="1B36407E" w:rsidR="000C0163" w:rsidRPr="005819CE" w:rsidRDefault="001C637F" w:rsidP="000C0163">
          <w:pPr>
            <w:pStyle w:val="Huisstijl-Kopje"/>
          </w:pPr>
          <w:r>
            <w:t>Ons kenmerk</w:t>
          </w:r>
          <w:r w:rsidRPr="005819CE">
            <w:t xml:space="preserve"> </w:t>
          </w:r>
        </w:p>
        <w:p w14:paraId="4C5B8F90" w14:textId="77777777" w:rsidR="00834169" w:rsidRPr="00834169" w:rsidRDefault="001C637F" w:rsidP="00834169">
          <w:pPr>
            <w:pStyle w:val="Huisstijl-Gegeven"/>
          </w:pPr>
          <w:r>
            <w:t>KGG</w:t>
          </w:r>
          <w:r w:rsidR="00926AE2">
            <w:t xml:space="preserve"> /</w:t>
          </w:r>
          <w:r w:rsidR="00EB4E8D">
            <w:t xml:space="preserve"> </w:t>
          </w:r>
          <w:r w:rsidR="00834169" w:rsidRPr="00834169">
            <w:t>102181119</w:t>
          </w:r>
        </w:p>
        <w:p w14:paraId="7B668418" w14:textId="6F9F6379" w:rsidR="000C0163" w:rsidRPr="005819CE" w:rsidRDefault="000C0163" w:rsidP="000C0163">
          <w:pPr>
            <w:pStyle w:val="Huisstijl-Gegeven"/>
          </w:pPr>
        </w:p>
        <w:p w14:paraId="26E6880D" w14:textId="66A6AC93" w:rsidR="00527BD4" w:rsidRPr="005819CE" w:rsidRDefault="001C637F" w:rsidP="00A50CF6">
          <w:pPr>
            <w:pStyle w:val="Huisstijl-Kopje"/>
          </w:pPr>
          <w:r>
            <w:t>Uw kenmerk</w:t>
          </w:r>
        </w:p>
        <w:p w14:paraId="7376D2F5" w14:textId="395E09E7" w:rsidR="00527BD4" w:rsidRPr="005819CE" w:rsidRDefault="001C637F" w:rsidP="00834169">
          <w:pPr>
            <w:pStyle w:val="Huisstijl-Gegeven"/>
          </w:pPr>
          <w:r>
            <w:t>2025Z17929</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0B68" w14:paraId="4353ABBE" w14:textId="77777777" w:rsidTr="007610AA">
      <w:trPr>
        <w:trHeight w:val="400"/>
      </w:trPr>
      <w:tc>
        <w:tcPr>
          <w:tcW w:w="7520" w:type="dxa"/>
          <w:gridSpan w:val="2"/>
        </w:tcPr>
        <w:p w14:paraId="6898A736" w14:textId="41DF101B" w:rsidR="00527BD4" w:rsidRPr="00BC3B53" w:rsidRDefault="001C637F" w:rsidP="00A50CF6">
          <w:pPr>
            <w:pStyle w:val="Huisstijl-Retouradres"/>
          </w:pPr>
          <w:r>
            <w:t>&gt; Retouradres Postbus 20401 2500 EK Den Haag</w:t>
          </w:r>
        </w:p>
      </w:tc>
    </w:tr>
    <w:tr w:rsidR="00F80B68"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F80B68" w14:paraId="44D89C5D" w14:textId="77777777" w:rsidTr="007610AA">
      <w:trPr>
        <w:trHeight w:hRule="exact" w:val="2440"/>
      </w:trPr>
      <w:tc>
        <w:tcPr>
          <w:tcW w:w="7520" w:type="dxa"/>
          <w:gridSpan w:val="2"/>
        </w:tcPr>
        <w:p w14:paraId="0A499B54" w14:textId="347AB8A8" w:rsidR="00527BD4" w:rsidRDefault="001C637F" w:rsidP="00A50CF6">
          <w:pPr>
            <w:pStyle w:val="Huisstijl-NAW"/>
          </w:pPr>
          <w:r>
            <w:t xml:space="preserve">De Voorzitter van de Tweede Kamer </w:t>
          </w:r>
        </w:p>
        <w:p w14:paraId="6151D705" w14:textId="77777777" w:rsidR="00D87195" w:rsidRDefault="001C637F" w:rsidP="00D87195">
          <w:pPr>
            <w:pStyle w:val="Huisstijl-NAW"/>
          </w:pPr>
          <w:r>
            <w:t>der Staten-Generaal</w:t>
          </w:r>
        </w:p>
        <w:p w14:paraId="78C68B87" w14:textId="77777777" w:rsidR="00EA0F13" w:rsidRDefault="001C637F" w:rsidP="00EA0F13">
          <w:pPr>
            <w:rPr>
              <w:szCs w:val="18"/>
            </w:rPr>
          </w:pPr>
          <w:r>
            <w:rPr>
              <w:szCs w:val="18"/>
            </w:rPr>
            <w:t>Prinses Irenestraat 6</w:t>
          </w:r>
        </w:p>
        <w:p w14:paraId="35373C24" w14:textId="73E3B872" w:rsidR="00985E56" w:rsidRDefault="001C637F" w:rsidP="00EA0F13">
          <w:r>
            <w:rPr>
              <w:szCs w:val="18"/>
            </w:rPr>
            <w:t>2595 BD  DEN HAAG</w:t>
          </w:r>
        </w:p>
      </w:tc>
    </w:tr>
    <w:tr w:rsidR="00F80B68"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0B68" w14:paraId="5ED9E2F1" w14:textId="77777777" w:rsidTr="007610AA">
      <w:trPr>
        <w:trHeight w:val="240"/>
      </w:trPr>
      <w:tc>
        <w:tcPr>
          <w:tcW w:w="900" w:type="dxa"/>
        </w:tcPr>
        <w:p w14:paraId="7BB2C1AF" w14:textId="3C154B9D" w:rsidR="00527BD4" w:rsidRPr="007709EF" w:rsidRDefault="001C637F" w:rsidP="00A50CF6">
          <w:pPr>
            <w:rPr>
              <w:szCs w:val="18"/>
            </w:rPr>
          </w:pPr>
          <w:r>
            <w:rPr>
              <w:szCs w:val="18"/>
            </w:rPr>
            <w:t>Datum</w:t>
          </w:r>
        </w:p>
      </w:tc>
      <w:tc>
        <w:tcPr>
          <w:tcW w:w="6620" w:type="dxa"/>
        </w:tcPr>
        <w:p w14:paraId="13BD43AC" w14:textId="51E0E658" w:rsidR="00527BD4" w:rsidRPr="007709EF" w:rsidRDefault="00EF3698" w:rsidP="00A50CF6">
          <w:r>
            <w:t>10 november 2025</w:t>
          </w:r>
        </w:p>
      </w:tc>
    </w:tr>
    <w:tr w:rsidR="00F80B68" w14:paraId="35FBB112" w14:textId="77777777" w:rsidTr="007610AA">
      <w:trPr>
        <w:trHeight w:val="240"/>
      </w:trPr>
      <w:tc>
        <w:tcPr>
          <w:tcW w:w="900" w:type="dxa"/>
        </w:tcPr>
        <w:p w14:paraId="67E42000" w14:textId="56B68850" w:rsidR="00527BD4" w:rsidRPr="007709EF" w:rsidRDefault="001C637F" w:rsidP="00A50CF6">
          <w:pPr>
            <w:rPr>
              <w:szCs w:val="18"/>
            </w:rPr>
          </w:pPr>
          <w:r>
            <w:rPr>
              <w:szCs w:val="18"/>
            </w:rPr>
            <w:t>Betreft</w:t>
          </w:r>
        </w:p>
      </w:tc>
      <w:tc>
        <w:tcPr>
          <w:tcW w:w="6620" w:type="dxa"/>
        </w:tcPr>
        <w:p w14:paraId="35AC81C8" w14:textId="776E415F" w:rsidR="00527BD4" w:rsidRPr="007709EF" w:rsidRDefault="00834169" w:rsidP="00A50CF6">
          <w:r>
            <w:t>Beantwoording vragen over d</w:t>
          </w:r>
          <w:r w:rsidR="001C637F">
            <w:t>e gelekte brief waarin Tata Steel 685 miljoen euro moet betalen vanwege trage verduurzaming</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56B540">
      <w:start w:val="1"/>
      <w:numFmt w:val="bullet"/>
      <w:pStyle w:val="Lijstopsomteken"/>
      <w:lvlText w:val="•"/>
      <w:lvlJc w:val="left"/>
      <w:pPr>
        <w:tabs>
          <w:tab w:val="num" w:pos="227"/>
        </w:tabs>
        <w:ind w:left="227" w:hanging="227"/>
      </w:pPr>
      <w:rPr>
        <w:rFonts w:ascii="Verdana" w:hAnsi="Verdana" w:hint="default"/>
        <w:sz w:val="18"/>
        <w:szCs w:val="18"/>
      </w:rPr>
    </w:lvl>
    <w:lvl w:ilvl="1" w:tplc="CF2A150E" w:tentative="1">
      <w:start w:val="1"/>
      <w:numFmt w:val="bullet"/>
      <w:lvlText w:val="o"/>
      <w:lvlJc w:val="left"/>
      <w:pPr>
        <w:tabs>
          <w:tab w:val="num" w:pos="1440"/>
        </w:tabs>
        <w:ind w:left="1440" w:hanging="360"/>
      </w:pPr>
      <w:rPr>
        <w:rFonts w:ascii="Courier New" w:hAnsi="Courier New" w:cs="Courier New" w:hint="default"/>
      </w:rPr>
    </w:lvl>
    <w:lvl w:ilvl="2" w:tplc="43129DF2" w:tentative="1">
      <w:start w:val="1"/>
      <w:numFmt w:val="bullet"/>
      <w:lvlText w:val=""/>
      <w:lvlJc w:val="left"/>
      <w:pPr>
        <w:tabs>
          <w:tab w:val="num" w:pos="2160"/>
        </w:tabs>
        <w:ind w:left="2160" w:hanging="360"/>
      </w:pPr>
      <w:rPr>
        <w:rFonts w:ascii="Wingdings" w:hAnsi="Wingdings" w:hint="default"/>
      </w:rPr>
    </w:lvl>
    <w:lvl w:ilvl="3" w:tplc="B56C68A6" w:tentative="1">
      <w:start w:val="1"/>
      <w:numFmt w:val="bullet"/>
      <w:lvlText w:val=""/>
      <w:lvlJc w:val="left"/>
      <w:pPr>
        <w:tabs>
          <w:tab w:val="num" w:pos="2880"/>
        </w:tabs>
        <w:ind w:left="2880" w:hanging="360"/>
      </w:pPr>
      <w:rPr>
        <w:rFonts w:ascii="Symbol" w:hAnsi="Symbol" w:hint="default"/>
      </w:rPr>
    </w:lvl>
    <w:lvl w:ilvl="4" w:tplc="2B129BF8" w:tentative="1">
      <w:start w:val="1"/>
      <w:numFmt w:val="bullet"/>
      <w:lvlText w:val="o"/>
      <w:lvlJc w:val="left"/>
      <w:pPr>
        <w:tabs>
          <w:tab w:val="num" w:pos="3600"/>
        </w:tabs>
        <w:ind w:left="3600" w:hanging="360"/>
      </w:pPr>
      <w:rPr>
        <w:rFonts w:ascii="Courier New" w:hAnsi="Courier New" w:cs="Courier New" w:hint="default"/>
      </w:rPr>
    </w:lvl>
    <w:lvl w:ilvl="5" w:tplc="E5EC488C" w:tentative="1">
      <w:start w:val="1"/>
      <w:numFmt w:val="bullet"/>
      <w:lvlText w:val=""/>
      <w:lvlJc w:val="left"/>
      <w:pPr>
        <w:tabs>
          <w:tab w:val="num" w:pos="4320"/>
        </w:tabs>
        <w:ind w:left="4320" w:hanging="360"/>
      </w:pPr>
      <w:rPr>
        <w:rFonts w:ascii="Wingdings" w:hAnsi="Wingdings" w:hint="default"/>
      </w:rPr>
    </w:lvl>
    <w:lvl w:ilvl="6" w:tplc="835CF4D8" w:tentative="1">
      <w:start w:val="1"/>
      <w:numFmt w:val="bullet"/>
      <w:lvlText w:val=""/>
      <w:lvlJc w:val="left"/>
      <w:pPr>
        <w:tabs>
          <w:tab w:val="num" w:pos="5040"/>
        </w:tabs>
        <w:ind w:left="5040" w:hanging="360"/>
      </w:pPr>
      <w:rPr>
        <w:rFonts w:ascii="Symbol" w:hAnsi="Symbol" w:hint="default"/>
      </w:rPr>
    </w:lvl>
    <w:lvl w:ilvl="7" w:tplc="ACC0AC3C" w:tentative="1">
      <w:start w:val="1"/>
      <w:numFmt w:val="bullet"/>
      <w:lvlText w:val="o"/>
      <w:lvlJc w:val="left"/>
      <w:pPr>
        <w:tabs>
          <w:tab w:val="num" w:pos="5760"/>
        </w:tabs>
        <w:ind w:left="5760" w:hanging="360"/>
      </w:pPr>
      <w:rPr>
        <w:rFonts w:ascii="Courier New" w:hAnsi="Courier New" w:cs="Courier New" w:hint="default"/>
      </w:rPr>
    </w:lvl>
    <w:lvl w:ilvl="8" w:tplc="F594D7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E1B65"/>
    <w:multiLevelType w:val="hybridMultilevel"/>
    <w:tmpl w:val="3F08777A"/>
    <w:lvl w:ilvl="0" w:tplc="1034E63C">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A12221D4">
      <w:start w:val="1"/>
      <w:numFmt w:val="bullet"/>
      <w:pStyle w:val="Lijstopsomteken2"/>
      <w:lvlText w:val="–"/>
      <w:lvlJc w:val="left"/>
      <w:pPr>
        <w:tabs>
          <w:tab w:val="num" w:pos="227"/>
        </w:tabs>
        <w:ind w:left="227" w:firstLine="0"/>
      </w:pPr>
      <w:rPr>
        <w:rFonts w:ascii="Verdana" w:hAnsi="Verdana" w:hint="default"/>
      </w:rPr>
    </w:lvl>
    <w:lvl w:ilvl="1" w:tplc="2CA4184E" w:tentative="1">
      <w:start w:val="1"/>
      <w:numFmt w:val="bullet"/>
      <w:lvlText w:val="o"/>
      <w:lvlJc w:val="left"/>
      <w:pPr>
        <w:tabs>
          <w:tab w:val="num" w:pos="1440"/>
        </w:tabs>
        <w:ind w:left="1440" w:hanging="360"/>
      </w:pPr>
      <w:rPr>
        <w:rFonts w:ascii="Courier New" w:hAnsi="Courier New" w:cs="Courier New" w:hint="default"/>
      </w:rPr>
    </w:lvl>
    <w:lvl w:ilvl="2" w:tplc="D8F0FF10" w:tentative="1">
      <w:start w:val="1"/>
      <w:numFmt w:val="bullet"/>
      <w:lvlText w:val=""/>
      <w:lvlJc w:val="left"/>
      <w:pPr>
        <w:tabs>
          <w:tab w:val="num" w:pos="2160"/>
        </w:tabs>
        <w:ind w:left="2160" w:hanging="360"/>
      </w:pPr>
      <w:rPr>
        <w:rFonts w:ascii="Wingdings" w:hAnsi="Wingdings" w:hint="default"/>
      </w:rPr>
    </w:lvl>
    <w:lvl w:ilvl="3" w:tplc="D5AE21F0" w:tentative="1">
      <w:start w:val="1"/>
      <w:numFmt w:val="bullet"/>
      <w:lvlText w:val=""/>
      <w:lvlJc w:val="left"/>
      <w:pPr>
        <w:tabs>
          <w:tab w:val="num" w:pos="2880"/>
        </w:tabs>
        <w:ind w:left="2880" w:hanging="360"/>
      </w:pPr>
      <w:rPr>
        <w:rFonts w:ascii="Symbol" w:hAnsi="Symbol" w:hint="default"/>
      </w:rPr>
    </w:lvl>
    <w:lvl w:ilvl="4" w:tplc="707015F4" w:tentative="1">
      <w:start w:val="1"/>
      <w:numFmt w:val="bullet"/>
      <w:lvlText w:val="o"/>
      <w:lvlJc w:val="left"/>
      <w:pPr>
        <w:tabs>
          <w:tab w:val="num" w:pos="3600"/>
        </w:tabs>
        <w:ind w:left="3600" w:hanging="360"/>
      </w:pPr>
      <w:rPr>
        <w:rFonts w:ascii="Courier New" w:hAnsi="Courier New" w:cs="Courier New" w:hint="default"/>
      </w:rPr>
    </w:lvl>
    <w:lvl w:ilvl="5" w:tplc="A76C7314" w:tentative="1">
      <w:start w:val="1"/>
      <w:numFmt w:val="bullet"/>
      <w:lvlText w:val=""/>
      <w:lvlJc w:val="left"/>
      <w:pPr>
        <w:tabs>
          <w:tab w:val="num" w:pos="4320"/>
        </w:tabs>
        <w:ind w:left="4320" w:hanging="360"/>
      </w:pPr>
      <w:rPr>
        <w:rFonts w:ascii="Wingdings" w:hAnsi="Wingdings" w:hint="default"/>
      </w:rPr>
    </w:lvl>
    <w:lvl w:ilvl="6" w:tplc="3A067AB0" w:tentative="1">
      <w:start w:val="1"/>
      <w:numFmt w:val="bullet"/>
      <w:lvlText w:val=""/>
      <w:lvlJc w:val="left"/>
      <w:pPr>
        <w:tabs>
          <w:tab w:val="num" w:pos="5040"/>
        </w:tabs>
        <w:ind w:left="5040" w:hanging="360"/>
      </w:pPr>
      <w:rPr>
        <w:rFonts w:ascii="Symbol" w:hAnsi="Symbol" w:hint="default"/>
      </w:rPr>
    </w:lvl>
    <w:lvl w:ilvl="7" w:tplc="3B9415F2" w:tentative="1">
      <w:start w:val="1"/>
      <w:numFmt w:val="bullet"/>
      <w:lvlText w:val="o"/>
      <w:lvlJc w:val="left"/>
      <w:pPr>
        <w:tabs>
          <w:tab w:val="num" w:pos="5760"/>
        </w:tabs>
        <w:ind w:left="5760" w:hanging="360"/>
      </w:pPr>
      <w:rPr>
        <w:rFonts w:ascii="Courier New" w:hAnsi="Courier New" w:cs="Courier New" w:hint="default"/>
      </w:rPr>
    </w:lvl>
    <w:lvl w:ilvl="8" w:tplc="442222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706ED"/>
    <w:multiLevelType w:val="hybridMultilevel"/>
    <w:tmpl w:val="69CE8044"/>
    <w:lvl w:ilvl="0" w:tplc="4B30DC48">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8132B"/>
    <w:multiLevelType w:val="hybridMultilevel"/>
    <w:tmpl w:val="4560F248"/>
    <w:lvl w:ilvl="0" w:tplc="296EADAC">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619701"/>
    <w:multiLevelType w:val="hybridMultilevel"/>
    <w:tmpl w:val="88E8BD1E"/>
    <w:lvl w:ilvl="0" w:tplc="BE567E2A">
      <w:start w:val="1"/>
      <w:numFmt w:val="bullet"/>
      <w:lvlText w:val="-"/>
      <w:lvlJc w:val="left"/>
      <w:pPr>
        <w:ind w:left="720" w:hanging="360"/>
      </w:pPr>
      <w:rPr>
        <w:rFonts w:ascii="Aptos" w:hAnsi="Aptos" w:hint="default"/>
      </w:rPr>
    </w:lvl>
    <w:lvl w:ilvl="1" w:tplc="AF6C4E00">
      <w:start w:val="1"/>
      <w:numFmt w:val="bullet"/>
      <w:lvlText w:val="o"/>
      <w:lvlJc w:val="left"/>
      <w:pPr>
        <w:ind w:left="1440" w:hanging="360"/>
      </w:pPr>
      <w:rPr>
        <w:rFonts w:ascii="Courier New" w:hAnsi="Courier New" w:hint="default"/>
      </w:rPr>
    </w:lvl>
    <w:lvl w:ilvl="2" w:tplc="F01057F4">
      <w:start w:val="1"/>
      <w:numFmt w:val="bullet"/>
      <w:lvlText w:val=""/>
      <w:lvlJc w:val="left"/>
      <w:pPr>
        <w:ind w:left="2160" w:hanging="360"/>
      </w:pPr>
      <w:rPr>
        <w:rFonts w:ascii="Wingdings" w:hAnsi="Wingdings" w:hint="default"/>
      </w:rPr>
    </w:lvl>
    <w:lvl w:ilvl="3" w:tplc="ACBAEE82">
      <w:start w:val="1"/>
      <w:numFmt w:val="bullet"/>
      <w:lvlText w:val=""/>
      <w:lvlJc w:val="left"/>
      <w:pPr>
        <w:ind w:left="2880" w:hanging="360"/>
      </w:pPr>
      <w:rPr>
        <w:rFonts w:ascii="Symbol" w:hAnsi="Symbol" w:hint="default"/>
      </w:rPr>
    </w:lvl>
    <w:lvl w:ilvl="4" w:tplc="A78A0A14">
      <w:start w:val="1"/>
      <w:numFmt w:val="bullet"/>
      <w:lvlText w:val="o"/>
      <w:lvlJc w:val="left"/>
      <w:pPr>
        <w:ind w:left="3600" w:hanging="360"/>
      </w:pPr>
      <w:rPr>
        <w:rFonts w:ascii="Courier New" w:hAnsi="Courier New" w:hint="default"/>
      </w:rPr>
    </w:lvl>
    <w:lvl w:ilvl="5" w:tplc="00D67824">
      <w:start w:val="1"/>
      <w:numFmt w:val="bullet"/>
      <w:lvlText w:val=""/>
      <w:lvlJc w:val="left"/>
      <w:pPr>
        <w:ind w:left="4320" w:hanging="360"/>
      </w:pPr>
      <w:rPr>
        <w:rFonts w:ascii="Wingdings" w:hAnsi="Wingdings" w:hint="default"/>
      </w:rPr>
    </w:lvl>
    <w:lvl w:ilvl="6" w:tplc="85209906">
      <w:start w:val="1"/>
      <w:numFmt w:val="bullet"/>
      <w:lvlText w:val=""/>
      <w:lvlJc w:val="left"/>
      <w:pPr>
        <w:ind w:left="5040" w:hanging="360"/>
      </w:pPr>
      <w:rPr>
        <w:rFonts w:ascii="Symbol" w:hAnsi="Symbol" w:hint="default"/>
      </w:rPr>
    </w:lvl>
    <w:lvl w:ilvl="7" w:tplc="FCF26832">
      <w:start w:val="1"/>
      <w:numFmt w:val="bullet"/>
      <w:lvlText w:val="o"/>
      <w:lvlJc w:val="left"/>
      <w:pPr>
        <w:ind w:left="5760" w:hanging="360"/>
      </w:pPr>
      <w:rPr>
        <w:rFonts w:ascii="Courier New" w:hAnsi="Courier New" w:hint="default"/>
      </w:rPr>
    </w:lvl>
    <w:lvl w:ilvl="8" w:tplc="D3AE71DE">
      <w:start w:val="1"/>
      <w:numFmt w:val="bullet"/>
      <w:lvlText w:val=""/>
      <w:lvlJc w:val="left"/>
      <w:pPr>
        <w:ind w:left="6480" w:hanging="360"/>
      </w:pPr>
      <w:rPr>
        <w:rFonts w:ascii="Wingdings" w:hAnsi="Wingdings" w:hint="default"/>
      </w:rPr>
    </w:lvl>
  </w:abstractNum>
  <w:abstractNum w:abstractNumId="18" w15:restartNumberingAfterBreak="0">
    <w:nsid w:val="615F3479"/>
    <w:multiLevelType w:val="hybridMultilevel"/>
    <w:tmpl w:val="BCA0F9A6"/>
    <w:lvl w:ilvl="0" w:tplc="134CC8CC">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3414689">
    <w:abstractNumId w:val="17"/>
  </w:num>
  <w:num w:numId="2" w16cid:durableId="723024936">
    <w:abstractNumId w:val="10"/>
  </w:num>
  <w:num w:numId="3" w16cid:durableId="1620914288">
    <w:abstractNumId w:val="7"/>
  </w:num>
  <w:num w:numId="4" w16cid:durableId="1184435206">
    <w:abstractNumId w:val="6"/>
  </w:num>
  <w:num w:numId="5" w16cid:durableId="134027570">
    <w:abstractNumId w:val="5"/>
  </w:num>
  <w:num w:numId="6" w16cid:durableId="2001932107">
    <w:abstractNumId w:val="4"/>
  </w:num>
  <w:num w:numId="7" w16cid:durableId="768431740">
    <w:abstractNumId w:val="8"/>
  </w:num>
  <w:num w:numId="8" w16cid:durableId="1859658632">
    <w:abstractNumId w:val="3"/>
  </w:num>
  <w:num w:numId="9" w16cid:durableId="1290941485">
    <w:abstractNumId w:val="2"/>
  </w:num>
  <w:num w:numId="10" w16cid:durableId="1837264800">
    <w:abstractNumId w:val="1"/>
  </w:num>
  <w:num w:numId="11" w16cid:durableId="1727726284">
    <w:abstractNumId w:val="0"/>
  </w:num>
  <w:num w:numId="12" w16cid:durableId="1506171427">
    <w:abstractNumId w:val="9"/>
  </w:num>
  <w:num w:numId="13" w16cid:durableId="631204759">
    <w:abstractNumId w:val="11"/>
  </w:num>
  <w:num w:numId="14" w16cid:durableId="1896698021">
    <w:abstractNumId w:val="15"/>
  </w:num>
  <w:num w:numId="15" w16cid:durableId="470903655">
    <w:abstractNumId w:val="13"/>
  </w:num>
  <w:num w:numId="16" w16cid:durableId="1283656590">
    <w:abstractNumId w:val="18"/>
  </w:num>
  <w:num w:numId="17" w16cid:durableId="1106387537">
    <w:abstractNumId w:val="14"/>
  </w:num>
  <w:num w:numId="18" w16cid:durableId="7634934">
    <w:abstractNumId w:val="12"/>
  </w:num>
  <w:num w:numId="19" w16cid:durableId="14402961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E5C"/>
    <w:rsid w:val="00013862"/>
    <w:rsid w:val="00016012"/>
    <w:rsid w:val="00020189"/>
    <w:rsid w:val="00020EE4"/>
    <w:rsid w:val="00023E9A"/>
    <w:rsid w:val="00033CDD"/>
    <w:rsid w:val="00034A84"/>
    <w:rsid w:val="00035A74"/>
    <w:rsid w:val="00035E67"/>
    <w:rsid w:val="000366F3"/>
    <w:rsid w:val="00042A5B"/>
    <w:rsid w:val="00044241"/>
    <w:rsid w:val="0006024D"/>
    <w:rsid w:val="000652D4"/>
    <w:rsid w:val="00071F28"/>
    <w:rsid w:val="00074079"/>
    <w:rsid w:val="00092799"/>
    <w:rsid w:val="00092C5F"/>
    <w:rsid w:val="00093E84"/>
    <w:rsid w:val="00096680"/>
    <w:rsid w:val="000A0F36"/>
    <w:rsid w:val="000A174A"/>
    <w:rsid w:val="000A3E0A"/>
    <w:rsid w:val="000A65AC"/>
    <w:rsid w:val="000A7159"/>
    <w:rsid w:val="000B7281"/>
    <w:rsid w:val="000B7FAB"/>
    <w:rsid w:val="000C0163"/>
    <w:rsid w:val="000C1BA1"/>
    <w:rsid w:val="000C3EA9"/>
    <w:rsid w:val="000D0225"/>
    <w:rsid w:val="000D0BBE"/>
    <w:rsid w:val="000E2EE0"/>
    <w:rsid w:val="000E7895"/>
    <w:rsid w:val="000F161D"/>
    <w:rsid w:val="000F34C7"/>
    <w:rsid w:val="000F3CAA"/>
    <w:rsid w:val="00102ABB"/>
    <w:rsid w:val="00102FB3"/>
    <w:rsid w:val="00103BA0"/>
    <w:rsid w:val="00121BF0"/>
    <w:rsid w:val="00123704"/>
    <w:rsid w:val="001267EE"/>
    <w:rsid w:val="001270C7"/>
    <w:rsid w:val="00132540"/>
    <w:rsid w:val="00133F0F"/>
    <w:rsid w:val="00143BC1"/>
    <w:rsid w:val="00143C90"/>
    <w:rsid w:val="0014786A"/>
    <w:rsid w:val="001516A4"/>
    <w:rsid w:val="00151E5F"/>
    <w:rsid w:val="00153E28"/>
    <w:rsid w:val="001569AB"/>
    <w:rsid w:val="0016499E"/>
    <w:rsid w:val="00164D63"/>
    <w:rsid w:val="0016725C"/>
    <w:rsid w:val="001726F3"/>
    <w:rsid w:val="001737E2"/>
    <w:rsid w:val="00173C51"/>
    <w:rsid w:val="00174CC2"/>
    <w:rsid w:val="00176CC6"/>
    <w:rsid w:val="00181794"/>
    <w:rsid w:val="00181BE4"/>
    <w:rsid w:val="00185576"/>
    <w:rsid w:val="00185951"/>
    <w:rsid w:val="00196B8B"/>
    <w:rsid w:val="001A1458"/>
    <w:rsid w:val="001A2BEA"/>
    <w:rsid w:val="001A6D93"/>
    <w:rsid w:val="001C32EC"/>
    <w:rsid w:val="001C38BD"/>
    <w:rsid w:val="001C4D5A"/>
    <w:rsid w:val="001C637F"/>
    <w:rsid w:val="001E34C6"/>
    <w:rsid w:val="001E5581"/>
    <w:rsid w:val="001F3C70"/>
    <w:rsid w:val="00200D88"/>
    <w:rsid w:val="00201F68"/>
    <w:rsid w:val="00212F2A"/>
    <w:rsid w:val="00214F2B"/>
    <w:rsid w:val="00217880"/>
    <w:rsid w:val="00222D66"/>
    <w:rsid w:val="00224A8A"/>
    <w:rsid w:val="00225675"/>
    <w:rsid w:val="002309A8"/>
    <w:rsid w:val="002364CD"/>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1AD9"/>
    <w:rsid w:val="002B153C"/>
    <w:rsid w:val="002B52FC"/>
    <w:rsid w:val="002B6572"/>
    <w:rsid w:val="002C2830"/>
    <w:rsid w:val="002D001A"/>
    <w:rsid w:val="002D0473"/>
    <w:rsid w:val="002D0DDB"/>
    <w:rsid w:val="002D147A"/>
    <w:rsid w:val="002D28E2"/>
    <w:rsid w:val="002D317B"/>
    <w:rsid w:val="002D3587"/>
    <w:rsid w:val="002D502D"/>
    <w:rsid w:val="002E0F69"/>
    <w:rsid w:val="002E76F5"/>
    <w:rsid w:val="002F5147"/>
    <w:rsid w:val="002F7ABD"/>
    <w:rsid w:val="00312597"/>
    <w:rsid w:val="00312BF1"/>
    <w:rsid w:val="00324F25"/>
    <w:rsid w:val="00327BA5"/>
    <w:rsid w:val="0033326F"/>
    <w:rsid w:val="00334154"/>
    <w:rsid w:val="003372C4"/>
    <w:rsid w:val="00340ECA"/>
    <w:rsid w:val="00341FA0"/>
    <w:rsid w:val="00344F3D"/>
    <w:rsid w:val="00345299"/>
    <w:rsid w:val="0035080D"/>
    <w:rsid w:val="00351A8D"/>
    <w:rsid w:val="003526BB"/>
    <w:rsid w:val="00352BCF"/>
    <w:rsid w:val="00352DFB"/>
    <w:rsid w:val="00353932"/>
    <w:rsid w:val="0035464B"/>
    <w:rsid w:val="00357994"/>
    <w:rsid w:val="00361A56"/>
    <w:rsid w:val="0036252A"/>
    <w:rsid w:val="00363D39"/>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6DB2"/>
    <w:rsid w:val="003D1726"/>
    <w:rsid w:val="003D39EC"/>
    <w:rsid w:val="003D5DED"/>
    <w:rsid w:val="003D7A60"/>
    <w:rsid w:val="003E3DD5"/>
    <w:rsid w:val="003E597A"/>
    <w:rsid w:val="003E6224"/>
    <w:rsid w:val="003F07C6"/>
    <w:rsid w:val="003F0C08"/>
    <w:rsid w:val="003F1F6B"/>
    <w:rsid w:val="003F2276"/>
    <w:rsid w:val="003F3757"/>
    <w:rsid w:val="003F38BD"/>
    <w:rsid w:val="003F44B7"/>
    <w:rsid w:val="004008E9"/>
    <w:rsid w:val="00413D48"/>
    <w:rsid w:val="00416A36"/>
    <w:rsid w:val="00423A19"/>
    <w:rsid w:val="00441AC2"/>
    <w:rsid w:val="0044249B"/>
    <w:rsid w:val="0045023C"/>
    <w:rsid w:val="00451A5B"/>
    <w:rsid w:val="00452BCD"/>
    <w:rsid w:val="00452CEA"/>
    <w:rsid w:val="00457C70"/>
    <w:rsid w:val="00463DA5"/>
    <w:rsid w:val="00465B52"/>
    <w:rsid w:val="0046708E"/>
    <w:rsid w:val="00472A65"/>
    <w:rsid w:val="00474463"/>
    <w:rsid w:val="00474B75"/>
    <w:rsid w:val="00483F0B"/>
    <w:rsid w:val="00496319"/>
    <w:rsid w:val="00497279"/>
    <w:rsid w:val="004A163B"/>
    <w:rsid w:val="004A61F1"/>
    <w:rsid w:val="004A670A"/>
    <w:rsid w:val="004B5465"/>
    <w:rsid w:val="004B70F0"/>
    <w:rsid w:val="004C18AB"/>
    <w:rsid w:val="004C21A8"/>
    <w:rsid w:val="004C4F26"/>
    <w:rsid w:val="004C72A5"/>
    <w:rsid w:val="004D38BF"/>
    <w:rsid w:val="004D505E"/>
    <w:rsid w:val="004D72CA"/>
    <w:rsid w:val="004E2242"/>
    <w:rsid w:val="004E45B1"/>
    <w:rsid w:val="004E505E"/>
    <w:rsid w:val="004F42FF"/>
    <w:rsid w:val="004F44C2"/>
    <w:rsid w:val="004F4D49"/>
    <w:rsid w:val="00502512"/>
    <w:rsid w:val="00503FD2"/>
    <w:rsid w:val="00505262"/>
    <w:rsid w:val="005119C4"/>
    <w:rsid w:val="00511C45"/>
    <w:rsid w:val="00513626"/>
    <w:rsid w:val="00516022"/>
    <w:rsid w:val="00517BFE"/>
    <w:rsid w:val="00521636"/>
    <w:rsid w:val="00521CEE"/>
    <w:rsid w:val="00524FB4"/>
    <w:rsid w:val="00527BD4"/>
    <w:rsid w:val="00537095"/>
    <w:rsid w:val="005403C8"/>
    <w:rsid w:val="005429DC"/>
    <w:rsid w:val="005461DA"/>
    <w:rsid w:val="005467E4"/>
    <w:rsid w:val="005565F9"/>
    <w:rsid w:val="00573041"/>
    <w:rsid w:val="0057388D"/>
    <w:rsid w:val="00575B80"/>
    <w:rsid w:val="0057620F"/>
    <w:rsid w:val="005779CC"/>
    <w:rsid w:val="005819CE"/>
    <w:rsid w:val="0058298D"/>
    <w:rsid w:val="00584C1A"/>
    <w:rsid w:val="00584D83"/>
    <w:rsid w:val="00593C2B"/>
    <w:rsid w:val="00595231"/>
    <w:rsid w:val="00596166"/>
    <w:rsid w:val="00597F64"/>
    <w:rsid w:val="005A207F"/>
    <w:rsid w:val="005A2F35"/>
    <w:rsid w:val="005A66E0"/>
    <w:rsid w:val="005B3814"/>
    <w:rsid w:val="005B463E"/>
    <w:rsid w:val="005C34E1"/>
    <w:rsid w:val="005C3FE0"/>
    <w:rsid w:val="005C740C"/>
    <w:rsid w:val="005D625B"/>
    <w:rsid w:val="005E36FA"/>
    <w:rsid w:val="005E4844"/>
    <w:rsid w:val="005E557B"/>
    <w:rsid w:val="005E6FDA"/>
    <w:rsid w:val="005F0D54"/>
    <w:rsid w:val="005F62D3"/>
    <w:rsid w:val="005F6D11"/>
    <w:rsid w:val="00600CF0"/>
    <w:rsid w:val="006048F4"/>
    <w:rsid w:val="0060660A"/>
    <w:rsid w:val="006077D9"/>
    <w:rsid w:val="006124AF"/>
    <w:rsid w:val="00613B1D"/>
    <w:rsid w:val="00617A44"/>
    <w:rsid w:val="006202B6"/>
    <w:rsid w:val="00625CD0"/>
    <w:rsid w:val="0062627D"/>
    <w:rsid w:val="00627432"/>
    <w:rsid w:val="0064083A"/>
    <w:rsid w:val="006448E4"/>
    <w:rsid w:val="00644D38"/>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410"/>
    <w:rsid w:val="006A5C3B"/>
    <w:rsid w:val="006A72E0"/>
    <w:rsid w:val="006B0BF3"/>
    <w:rsid w:val="006B775E"/>
    <w:rsid w:val="006B7A36"/>
    <w:rsid w:val="006B7BC7"/>
    <w:rsid w:val="006C2535"/>
    <w:rsid w:val="006C441E"/>
    <w:rsid w:val="006C4B90"/>
    <w:rsid w:val="006C5F77"/>
    <w:rsid w:val="006D1016"/>
    <w:rsid w:val="006D17F2"/>
    <w:rsid w:val="006E3546"/>
    <w:rsid w:val="006E3FA9"/>
    <w:rsid w:val="006E7D82"/>
    <w:rsid w:val="006E7F68"/>
    <w:rsid w:val="006F038F"/>
    <w:rsid w:val="006F0F93"/>
    <w:rsid w:val="006F31F2"/>
    <w:rsid w:val="006F7494"/>
    <w:rsid w:val="006F751F"/>
    <w:rsid w:val="0070770F"/>
    <w:rsid w:val="00714DC5"/>
    <w:rsid w:val="00715237"/>
    <w:rsid w:val="00721AE1"/>
    <w:rsid w:val="007229AA"/>
    <w:rsid w:val="007254A5"/>
    <w:rsid w:val="00725748"/>
    <w:rsid w:val="007345FF"/>
    <w:rsid w:val="00735D88"/>
    <w:rsid w:val="0073720D"/>
    <w:rsid w:val="00737507"/>
    <w:rsid w:val="00740712"/>
    <w:rsid w:val="00740746"/>
    <w:rsid w:val="00742AB9"/>
    <w:rsid w:val="00744703"/>
    <w:rsid w:val="00747885"/>
    <w:rsid w:val="00751A6A"/>
    <w:rsid w:val="007538A5"/>
    <w:rsid w:val="00754FBF"/>
    <w:rsid w:val="007610AA"/>
    <w:rsid w:val="007709EF"/>
    <w:rsid w:val="007712DB"/>
    <w:rsid w:val="00782701"/>
    <w:rsid w:val="00783559"/>
    <w:rsid w:val="007858F0"/>
    <w:rsid w:val="00786D9C"/>
    <w:rsid w:val="0079374F"/>
    <w:rsid w:val="0079551B"/>
    <w:rsid w:val="00797AA5"/>
    <w:rsid w:val="007A090A"/>
    <w:rsid w:val="007A26BD"/>
    <w:rsid w:val="007A3C3D"/>
    <w:rsid w:val="007A4105"/>
    <w:rsid w:val="007B4503"/>
    <w:rsid w:val="007C406E"/>
    <w:rsid w:val="007C4DE6"/>
    <w:rsid w:val="007C5183"/>
    <w:rsid w:val="007C53DC"/>
    <w:rsid w:val="007C7573"/>
    <w:rsid w:val="007D4656"/>
    <w:rsid w:val="007E2B20"/>
    <w:rsid w:val="007F3645"/>
    <w:rsid w:val="007F439C"/>
    <w:rsid w:val="007F5331"/>
    <w:rsid w:val="00800984"/>
    <w:rsid w:val="00800CCA"/>
    <w:rsid w:val="00802044"/>
    <w:rsid w:val="00806120"/>
    <w:rsid w:val="00806F63"/>
    <w:rsid w:val="00810C93"/>
    <w:rsid w:val="00812028"/>
    <w:rsid w:val="00812DD8"/>
    <w:rsid w:val="00813082"/>
    <w:rsid w:val="00814D03"/>
    <w:rsid w:val="00817984"/>
    <w:rsid w:val="00820371"/>
    <w:rsid w:val="00821132"/>
    <w:rsid w:val="00821FC1"/>
    <w:rsid w:val="00823AE2"/>
    <w:rsid w:val="0083178B"/>
    <w:rsid w:val="00831EE4"/>
    <w:rsid w:val="00832A95"/>
    <w:rsid w:val="00833695"/>
    <w:rsid w:val="008336B7"/>
    <w:rsid w:val="00833A8E"/>
    <w:rsid w:val="00834169"/>
    <w:rsid w:val="00836ACA"/>
    <w:rsid w:val="00842CD8"/>
    <w:rsid w:val="008431FA"/>
    <w:rsid w:val="00847444"/>
    <w:rsid w:val="008517C6"/>
    <w:rsid w:val="008540AB"/>
    <w:rsid w:val="008547BA"/>
    <w:rsid w:val="008553C7"/>
    <w:rsid w:val="00857FEB"/>
    <w:rsid w:val="008601AF"/>
    <w:rsid w:val="008712B6"/>
    <w:rsid w:val="00872271"/>
    <w:rsid w:val="00876818"/>
    <w:rsid w:val="00883137"/>
    <w:rsid w:val="00894A3B"/>
    <w:rsid w:val="008A1424"/>
    <w:rsid w:val="008A1F5D"/>
    <w:rsid w:val="008A28F5"/>
    <w:rsid w:val="008A3B72"/>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04A9"/>
    <w:rsid w:val="00901BE9"/>
    <w:rsid w:val="0090271B"/>
    <w:rsid w:val="00905817"/>
    <w:rsid w:val="00910642"/>
    <w:rsid w:val="00910DDF"/>
    <w:rsid w:val="00923447"/>
    <w:rsid w:val="00923CBD"/>
    <w:rsid w:val="009256F0"/>
    <w:rsid w:val="00926AE2"/>
    <w:rsid w:val="00930B13"/>
    <w:rsid w:val="009311C8"/>
    <w:rsid w:val="00933376"/>
    <w:rsid w:val="00933A2F"/>
    <w:rsid w:val="009350A4"/>
    <w:rsid w:val="009406A3"/>
    <w:rsid w:val="00944E9D"/>
    <w:rsid w:val="009623D1"/>
    <w:rsid w:val="00962C44"/>
    <w:rsid w:val="009716D8"/>
    <w:rsid w:val="009718F9"/>
    <w:rsid w:val="00971F42"/>
    <w:rsid w:val="00972FB9"/>
    <w:rsid w:val="00975112"/>
    <w:rsid w:val="00981768"/>
    <w:rsid w:val="00981A14"/>
    <w:rsid w:val="00983E8F"/>
    <w:rsid w:val="00985E56"/>
    <w:rsid w:val="0098788A"/>
    <w:rsid w:val="00991D88"/>
    <w:rsid w:val="00994FDA"/>
    <w:rsid w:val="009A31BF"/>
    <w:rsid w:val="009A3B71"/>
    <w:rsid w:val="009A61BC"/>
    <w:rsid w:val="009A89C9"/>
    <w:rsid w:val="009B0138"/>
    <w:rsid w:val="009B0FE9"/>
    <w:rsid w:val="009B173A"/>
    <w:rsid w:val="009C3F20"/>
    <w:rsid w:val="009C4486"/>
    <w:rsid w:val="009C7CA1"/>
    <w:rsid w:val="009D043D"/>
    <w:rsid w:val="009E4481"/>
    <w:rsid w:val="009F3259"/>
    <w:rsid w:val="00A004FC"/>
    <w:rsid w:val="00A037D5"/>
    <w:rsid w:val="00A056DE"/>
    <w:rsid w:val="00A1247D"/>
    <w:rsid w:val="00A128AD"/>
    <w:rsid w:val="00A15B5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2667"/>
    <w:rsid w:val="00A77F6F"/>
    <w:rsid w:val="00A831FD"/>
    <w:rsid w:val="00A83352"/>
    <w:rsid w:val="00A850A2"/>
    <w:rsid w:val="00A852B8"/>
    <w:rsid w:val="00A87633"/>
    <w:rsid w:val="00A91FA3"/>
    <w:rsid w:val="00A927D3"/>
    <w:rsid w:val="00A95710"/>
    <w:rsid w:val="00AA0C1B"/>
    <w:rsid w:val="00AA2465"/>
    <w:rsid w:val="00AA7FC9"/>
    <w:rsid w:val="00AB237D"/>
    <w:rsid w:val="00AB5933"/>
    <w:rsid w:val="00AD0C23"/>
    <w:rsid w:val="00AE013D"/>
    <w:rsid w:val="00AE11B7"/>
    <w:rsid w:val="00AE7F68"/>
    <w:rsid w:val="00AF2321"/>
    <w:rsid w:val="00AF3E66"/>
    <w:rsid w:val="00AF52F6"/>
    <w:rsid w:val="00AF52FD"/>
    <w:rsid w:val="00AF54A8"/>
    <w:rsid w:val="00AF7237"/>
    <w:rsid w:val="00B0043A"/>
    <w:rsid w:val="00B00D75"/>
    <w:rsid w:val="00B0339F"/>
    <w:rsid w:val="00B051B1"/>
    <w:rsid w:val="00B070CB"/>
    <w:rsid w:val="00B12456"/>
    <w:rsid w:val="00B14243"/>
    <w:rsid w:val="00B145F0"/>
    <w:rsid w:val="00B23C77"/>
    <w:rsid w:val="00B259C8"/>
    <w:rsid w:val="00B26CCF"/>
    <w:rsid w:val="00B30FC2"/>
    <w:rsid w:val="00B331A2"/>
    <w:rsid w:val="00B36CAF"/>
    <w:rsid w:val="00B425F0"/>
    <w:rsid w:val="00B42DFA"/>
    <w:rsid w:val="00B452F0"/>
    <w:rsid w:val="00B531DD"/>
    <w:rsid w:val="00B55014"/>
    <w:rsid w:val="00B55136"/>
    <w:rsid w:val="00B62232"/>
    <w:rsid w:val="00B65138"/>
    <w:rsid w:val="00B70BF3"/>
    <w:rsid w:val="00B71DC2"/>
    <w:rsid w:val="00B849F5"/>
    <w:rsid w:val="00B91CFC"/>
    <w:rsid w:val="00B93893"/>
    <w:rsid w:val="00BA1397"/>
    <w:rsid w:val="00BA51E1"/>
    <w:rsid w:val="00BA7981"/>
    <w:rsid w:val="00BA7E0A"/>
    <w:rsid w:val="00BB317B"/>
    <w:rsid w:val="00BB574C"/>
    <w:rsid w:val="00BC2C00"/>
    <w:rsid w:val="00BC3B53"/>
    <w:rsid w:val="00BC3B96"/>
    <w:rsid w:val="00BC3CF3"/>
    <w:rsid w:val="00BC4AE3"/>
    <w:rsid w:val="00BC5B28"/>
    <w:rsid w:val="00BD2370"/>
    <w:rsid w:val="00BE3F88"/>
    <w:rsid w:val="00BE4756"/>
    <w:rsid w:val="00BE5ED9"/>
    <w:rsid w:val="00BE7B41"/>
    <w:rsid w:val="00BF4318"/>
    <w:rsid w:val="00BF7EC8"/>
    <w:rsid w:val="00C03706"/>
    <w:rsid w:val="00C072CE"/>
    <w:rsid w:val="00C15A91"/>
    <w:rsid w:val="00C206F1"/>
    <w:rsid w:val="00C217E1"/>
    <w:rsid w:val="00C219B1"/>
    <w:rsid w:val="00C25403"/>
    <w:rsid w:val="00C34C94"/>
    <w:rsid w:val="00C4015B"/>
    <w:rsid w:val="00C40C60"/>
    <w:rsid w:val="00C435ED"/>
    <w:rsid w:val="00C5258E"/>
    <w:rsid w:val="00C530C9"/>
    <w:rsid w:val="00C57379"/>
    <w:rsid w:val="00C619A7"/>
    <w:rsid w:val="00C73D5F"/>
    <w:rsid w:val="00C82AFE"/>
    <w:rsid w:val="00C83DBC"/>
    <w:rsid w:val="00C900B4"/>
    <w:rsid w:val="00C96703"/>
    <w:rsid w:val="00C97C80"/>
    <w:rsid w:val="00CA47D3"/>
    <w:rsid w:val="00CA6533"/>
    <w:rsid w:val="00CA6A25"/>
    <w:rsid w:val="00CA6A3F"/>
    <w:rsid w:val="00CA7C99"/>
    <w:rsid w:val="00CC6290"/>
    <w:rsid w:val="00CD233D"/>
    <w:rsid w:val="00CD25D4"/>
    <w:rsid w:val="00CD3499"/>
    <w:rsid w:val="00CD362D"/>
    <w:rsid w:val="00CE101D"/>
    <w:rsid w:val="00CE1814"/>
    <w:rsid w:val="00CE1A95"/>
    <w:rsid w:val="00CE1C84"/>
    <w:rsid w:val="00CE4BDA"/>
    <w:rsid w:val="00CE5055"/>
    <w:rsid w:val="00CE78E9"/>
    <w:rsid w:val="00CF053F"/>
    <w:rsid w:val="00CF1A17"/>
    <w:rsid w:val="00CF51FC"/>
    <w:rsid w:val="00D0375A"/>
    <w:rsid w:val="00D0400F"/>
    <w:rsid w:val="00D0609E"/>
    <w:rsid w:val="00D078E1"/>
    <w:rsid w:val="00D100E9"/>
    <w:rsid w:val="00D10D20"/>
    <w:rsid w:val="00D144AA"/>
    <w:rsid w:val="00D17942"/>
    <w:rsid w:val="00D21E4B"/>
    <w:rsid w:val="00D22441"/>
    <w:rsid w:val="00D23522"/>
    <w:rsid w:val="00D264D6"/>
    <w:rsid w:val="00D33BF0"/>
    <w:rsid w:val="00D33DE0"/>
    <w:rsid w:val="00D36447"/>
    <w:rsid w:val="00D41D53"/>
    <w:rsid w:val="00D429FB"/>
    <w:rsid w:val="00D44FE2"/>
    <w:rsid w:val="00D516BE"/>
    <w:rsid w:val="00D5423B"/>
    <w:rsid w:val="00D549B8"/>
    <w:rsid w:val="00D54E6A"/>
    <w:rsid w:val="00D54F4E"/>
    <w:rsid w:val="00D57A56"/>
    <w:rsid w:val="00D604B3"/>
    <w:rsid w:val="00D60BA4"/>
    <w:rsid w:val="00D62419"/>
    <w:rsid w:val="00D63777"/>
    <w:rsid w:val="00D7167C"/>
    <w:rsid w:val="00D77870"/>
    <w:rsid w:val="00D80977"/>
    <w:rsid w:val="00D80CCE"/>
    <w:rsid w:val="00D86EEA"/>
    <w:rsid w:val="00D87195"/>
    <w:rsid w:val="00D87D03"/>
    <w:rsid w:val="00D9360B"/>
    <w:rsid w:val="00D95C88"/>
    <w:rsid w:val="00D97B2E"/>
    <w:rsid w:val="00DA241E"/>
    <w:rsid w:val="00DA2BBC"/>
    <w:rsid w:val="00DA52BA"/>
    <w:rsid w:val="00DA5AB7"/>
    <w:rsid w:val="00DB36FE"/>
    <w:rsid w:val="00DB533A"/>
    <w:rsid w:val="00DB60AE"/>
    <w:rsid w:val="00DB6307"/>
    <w:rsid w:val="00DC66E7"/>
    <w:rsid w:val="00DD1DCD"/>
    <w:rsid w:val="00DD338F"/>
    <w:rsid w:val="00DD66F2"/>
    <w:rsid w:val="00DE3FE0"/>
    <w:rsid w:val="00DE578A"/>
    <w:rsid w:val="00DE78F4"/>
    <w:rsid w:val="00DF2583"/>
    <w:rsid w:val="00DF54D9"/>
    <w:rsid w:val="00DF7283"/>
    <w:rsid w:val="00E01A59"/>
    <w:rsid w:val="00E10DC6"/>
    <w:rsid w:val="00E11F8E"/>
    <w:rsid w:val="00E15881"/>
    <w:rsid w:val="00E16A8F"/>
    <w:rsid w:val="00E21DE3"/>
    <w:rsid w:val="00E263EF"/>
    <w:rsid w:val="00E273C5"/>
    <w:rsid w:val="00E307D1"/>
    <w:rsid w:val="00E32FAB"/>
    <w:rsid w:val="00E3731D"/>
    <w:rsid w:val="00E51469"/>
    <w:rsid w:val="00E57EBC"/>
    <w:rsid w:val="00E634E3"/>
    <w:rsid w:val="00E717C4"/>
    <w:rsid w:val="00E77E18"/>
    <w:rsid w:val="00E77F89"/>
    <w:rsid w:val="00E80330"/>
    <w:rsid w:val="00E806C5"/>
    <w:rsid w:val="00E80E71"/>
    <w:rsid w:val="00E8207B"/>
    <w:rsid w:val="00E85055"/>
    <w:rsid w:val="00E850D3"/>
    <w:rsid w:val="00E853D6"/>
    <w:rsid w:val="00E876B9"/>
    <w:rsid w:val="00EA0F13"/>
    <w:rsid w:val="00EA6346"/>
    <w:rsid w:val="00EB4E8D"/>
    <w:rsid w:val="00EB7947"/>
    <w:rsid w:val="00EC0DFF"/>
    <w:rsid w:val="00EC237D"/>
    <w:rsid w:val="00EC2918"/>
    <w:rsid w:val="00EC4D0E"/>
    <w:rsid w:val="00EC4E2B"/>
    <w:rsid w:val="00ED072A"/>
    <w:rsid w:val="00ED291D"/>
    <w:rsid w:val="00ED539E"/>
    <w:rsid w:val="00EE4A1F"/>
    <w:rsid w:val="00EE4C2D"/>
    <w:rsid w:val="00EF1B5A"/>
    <w:rsid w:val="00EF24FB"/>
    <w:rsid w:val="00EF2CCA"/>
    <w:rsid w:val="00EF3698"/>
    <w:rsid w:val="00EF495B"/>
    <w:rsid w:val="00EF60DC"/>
    <w:rsid w:val="00EF6D37"/>
    <w:rsid w:val="00F00F54"/>
    <w:rsid w:val="00F03963"/>
    <w:rsid w:val="00F058EA"/>
    <w:rsid w:val="00F06698"/>
    <w:rsid w:val="00F11068"/>
    <w:rsid w:val="00F11E7C"/>
    <w:rsid w:val="00F1256D"/>
    <w:rsid w:val="00F13A4E"/>
    <w:rsid w:val="00F14F87"/>
    <w:rsid w:val="00F172BB"/>
    <w:rsid w:val="00F17B10"/>
    <w:rsid w:val="00F21BEF"/>
    <w:rsid w:val="00F2315B"/>
    <w:rsid w:val="00F41A6F"/>
    <w:rsid w:val="00F420AB"/>
    <w:rsid w:val="00F4553F"/>
    <w:rsid w:val="00F45A25"/>
    <w:rsid w:val="00F50F86"/>
    <w:rsid w:val="00F53F91"/>
    <w:rsid w:val="00F61569"/>
    <w:rsid w:val="00F61A72"/>
    <w:rsid w:val="00F62B67"/>
    <w:rsid w:val="00F66F13"/>
    <w:rsid w:val="00F709C9"/>
    <w:rsid w:val="00F74073"/>
    <w:rsid w:val="00F753CC"/>
    <w:rsid w:val="00F75603"/>
    <w:rsid w:val="00F80B68"/>
    <w:rsid w:val="00F823A6"/>
    <w:rsid w:val="00F845B4"/>
    <w:rsid w:val="00F8713B"/>
    <w:rsid w:val="00F93F9E"/>
    <w:rsid w:val="00FA2CD7"/>
    <w:rsid w:val="00FB06ED"/>
    <w:rsid w:val="00FB354C"/>
    <w:rsid w:val="00FC2311"/>
    <w:rsid w:val="00FC23A4"/>
    <w:rsid w:val="00FC3165"/>
    <w:rsid w:val="00FC36AB"/>
    <w:rsid w:val="00FC3973"/>
    <w:rsid w:val="00FC4300"/>
    <w:rsid w:val="00FC7F66"/>
    <w:rsid w:val="00FD3F52"/>
    <w:rsid w:val="00FD5776"/>
    <w:rsid w:val="00FE1CB6"/>
    <w:rsid w:val="00FE2F82"/>
    <w:rsid w:val="00FE486B"/>
    <w:rsid w:val="00FE4F08"/>
    <w:rsid w:val="00FF192E"/>
    <w:rsid w:val="0218DEE8"/>
    <w:rsid w:val="02345FE0"/>
    <w:rsid w:val="039E98C5"/>
    <w:rsid w:val="03A23341"/>
    <w:rsid w:val="0411B672"/>
    <w:rsid w:val="0457D22B"/>
    <w:rsid w:val="04631129"/>
    <w:rsid w:val="05250184"/>
    <w:rsid w:val="0542379C"/>
    <w:rsid w:val="078728B1"/>
    <w:rsid w:val="0900F3CB"/>
    <w:rsid w:val="097BD57A"/>
    <w:rsid w:val="0A10E9F1"/>
    <w:rsid w:val="0BD919AB"/>
    <w:rsid w:val="0CF7FE49"/>
    <w:rsid w:val="0D22CA5B"/>
    <w:rsid w:val="0D95E9E7"/>
    <w:rsid w:val="0DF102B8"/>
    <w:rsid w:val="0EF8E879"/>
    <w:rsid w:val="0EFC8BFE"/>
    <w:rsid w:val="106E1B6A"/>
    <w:rsid w:val="107CE1B9"/>
    <w:rsid w:val="118AFE23"/>
    <w:rsid w:val="11AE0C86"/>
    <w:rsid w:val="11C58CA0"/>
    <w:rsid w:val="12638BB1"/>
    <w:rsid w:val="1391B1E7"/>
    <w:rsid w:val="13D9AC8E"/>
    <w:rsid w:val="13F0D675"/>
    <w:rsid w:val="1523BD7B"/>
    <w:rsid w:val="16417D0B"/>
    <w:rsid w:val="16A7E276"/>
    <w:rsid w:val="174E8776"/>
    <w:rsid w:val="18C61281"/>
    <w:rsid w:val="18C8EE79"/>
    <w:rsid w:val="18E5EFBC"/>
    <w:rsid w:val="1AAA528D"/>
    <w:rsid w:val="1ACE1E0F"/>
    <w:rsid w:val="1B09693E"/>
    <w:rsid w:val="1B96EDA7"/>
    <w:rsid w:val="1C07A794"/>
    <w:rsid w:val="1C9076E5"/>
    <w:rsid w:val="1D0B98AD"/>
    <w:rsid w:val="1FBC710F"/>
    <w:rsid w:val="20708458"/>
    <w:rsid w:val="21E9D297"/>
    <w:rsid w:val="223654E3"/>
    <w:rsid w:val="229E5F4C"/>
    <w:rsid w:val="23107495"/>
    <w:rsid w:val="2455B9EB"/>
    <w:rsid w:val="2470A8CB"/>
    <w:rsid w:val="24B45618"/>
    <w:rsid w:val="2570C2BC"/>
    <w:rsid w:val="25D03113"/>
    <w:rsid w:val="2715868B"/>
    <w:rsid w:val="279A50CF"/>
    <w:rsid w:val="27EBD079"/>
    <w:rsid w:val="2BC3E604"/>
    <w:rsid w:val="2C906403"/>
    <w:rsid w:val="2D1B265C"/>
    <w:rsid w:val="2DEAFCAE"/>
    <w:rsid w:val="2EC8455F"/>
    <w:rsid w:val="2EF98828"/>
    <w:rsid w:val="2F842603"/>
    <w:rsid w:val="30F3CDF8"/>
    <w:rsid w:val="3101BC74"/>
    <w:rsid w:val="314108B3"/>
    <w:rsid w:val="32D3E62F"/>
    <w:rsid w:val="33F34ECB"/>
    <w:rsid w:val="342A8EBE"/>
    <w:rsid w:val="3491AAEC"/>
    <w:rsid w:val="353519ED"/>
    <w:rsid w:val="35665A6A"/>
    <w:rsid w:val="3571E3FF"/>
    <w:rsid w:val="372795AC"/>
    <w:rsid w:val="3787601B"/>
    <w:rsid w:val="37A95AFD"/>
    <w:rsid w:val="380242EA"/>
    <w:rsid w:val="380305DB"/>
    <w:rsid w:val="386ACEBA"/>
    <w:rsid w:val="39293DBF"/>
    <w:rsid w:val="3967B9F4"/>
    <w:rsid w:val="3BB50DCB"/>
    <w:rsid w:val="3C7D6934"/>
    <w:rsid w:val="3DD2AE16"/>
    <w:rsid w:val="3E02EDB8"/>
    <w:rsid w:val="3EF0EB10"/>
    <w:rsid w:val="3F14597C"/>
    <w:rsid w:val="3F2751EF"/>
    <w:rsid w:val="3F5FD114"/>
    <w:rsid w:val="40652EAA"/>
    <w:rsid w:val="408DC70B"/>
    <w:rsid w:val="42C78FD0"/>
    <w:rsid w:val="42EB687D"/>
    <w:rsid w:val="43953E6D"/>
    <w:rsid w:val="442F07B6"/>
    <w:rsid w:val="4472DDAE"/>
    <w:rsid w:val="4501C594"/>
    <w:rsid w:val="45156810"/>
    <w:rsid w:val="45BEFDD2"/>
    <w:rsid w:val="45F2877D"/>
    <w:rsid w:val="4631334A"/>
    <w:rsid w:val="47658553"/>
    <w:rsid w:val="47669CD0"/>
    <w:rsid w:val="4882F346"/>
    <w:rsid w:val="48883B06"/>
    <w:rsid w:val="48EE8F2F"/>
    <w:rsid w:val="48F7BEF6"/>
    <w:rsid w:val="4933C661"/>
    <w:rsid w:val="4B95F2A8"/>
    <w:rsid w:val="4C1E799B"/>
    <w:rsid w:val="4C72C992"/>
    <w:rsid w:val="4CAC34FF"/>
    <w:rsid w:val="4D4992F3"/>
    <w:rsid w:val="4FD740F6"/>
    <w:rsid w:val="52454AEC"/>
    <w:rsid w:val="52DFD74B"/>
    <w:rsid w:val="52EE48CA"/>
    <w:rsid w:val="545EDD26"/>
    <w:rsid w:val="54718773"/>
    <w:rsid w:val="55605756"/>
    <w:rsid w:val="5631D1EF"/>
    <w:rsid w:val="569885DB"/>
    <w:rsid w:val="56ACFBE5"/>
    <w:rsid w:val="5710D67B"/>
    <w:rsid w:val="57CB8B79"/>
    <w:rsid w:val="58C1B982"/>
    <w:rsid w:val="58D368C5"/>
    <w:rsid w:val="59B54680"/>
    <w:rsid w:val="59E22427"/>
    <w:rsid w:val="5A38AF0C"/>
    <w:rsid w:val="5AAE0E98"/>
    <w:rsid w:val="5B14E24A"/>
    <w:rsid w:val="5C494097"/>
    <w:rsid w:val="5CA2CD45"/>
    <w:rsid w:val="5D4EC3CE"/>
    <w:rsid w:val="5E7B4D38"/>
    <w:rsid w:val="5F69EC40"/>
    <w:rsid w:val="610797CF"/>
    <w:rsid w:val="61E6B552"/>
    <w:rsid w:val="62B2C8A5"/>
    <w:rsid w:val="6385EE89"/>
    <w:rsid w:val="6494E403"/>
    <w:rsid w:val="64B6EBF8"/>
    <w:rsid w:val="66BF2EE2"/>
    <w:rsid w:val="67020982"/>
    <w:rsid w:val="6702649A"/>
    <w:rsid w:val="6711DE1F"/>
    <w:rsid w:val="683B5319"/>
    <w:rsid w:val="68BFB7B1"/>
    <w:rsid w:val="6BD5B03C"/>
    <w:rsid w:val="6C7489AC"/>
    <w:rsid w:val="6D68F834"/>
    <w:rsid w:val="6D71A4F8"/>
    <w:rsid w:val="6E09F9B3"/>
    <w:rsid w:val="6E28CCE8"/>
    <w:rsid w:val="6E8B598C"/>
    <w:rsid w:val="6FA383FC"/>
    <w:rsid w:val="719690A5"/>
    <w:rsid w:val="72517DE4"/>
    <w:rsid w:val="72553052"/>
    <w:rsid w:val="72CC6814"/>
    <w:rsid w:val="73DDBDFA"/>
    <w:rsid w:val="7439CAA1"/>
    <w:rsid w:val="746EB6DF"/>
    <w:rsid w:val="749A2A89"/>
    <w:rsid w:val="74D8A401"/>
    <w:rsid w:val="76D1DD0B"/>
    <w:rsid w:val="786C8C88"/>
    <w:rsid w:val="7A86D0EB"/>
    <w:rsid w:val="7ADA8BE2"/>
    <w:rsid w:val="7B360966"/>
    <w:rsid w:val="7B4D9C5E"/>
    <w:rsid w:val="7B883103"/>
    <w:rsid w:val="7BE543EA"/>
    <w:rsid w:val="7CCA9365"/>
    <w:rsid w:val="7DDD06CC"/>
    <w:rsid w:val="7F83D534"/>
    <w:rsid w:val="7F979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584D83"/>
    <w:rPr>
      <w:vertAlign w:val="superscript"/>
    </w:rPr>
  </w:style>
  <w:style w:type="paragraph" w:styleId="Lijstalinea">
    <w:name w:val="List Paragraph"/>
    <w:basedOn w:val="Standaard"/>
    <w:uiPriority w:val="34"/>
    <w:qFormat/>
    <w:rsid w:val="00F14F87"/>
    <w:pPr>
      <w:ind w:left="720"/>
      <w:contextualSpacing/>
    </w:pPr>
  </w:style>
  <w:style w:type="character" w:styleId="Verwijzingopmerking">
    <w:name w:val="annotation reference"/>
    <w:basedOn w:val="Standaardalinea-lettertype"/>
    <w:semiHidden/>
    <w:unhideWhenUsed/>
    <w:rsid w:val="00740746"/>
    <w:rPr>
      <w:sz w:val="16"/>
      <w:szCs w:val="16"/>
    </w:rPr>
  </w:style>
  <w:style w:type="paragraph" w:styleId="Tekstopmerking">
    <w:name w:val="annotation text"/>
    <w:basedOn w:val="Standaard"/>
    <w:link w:val="TekstopmerkingChar"/>
    <w:unhideWhenUsed/>
    <w:rsid w:val="00740746"/>
    <w:pPr>
      <w:spacing w:line="240" w:lineRule="auto"/>
    </w:pPr>
    <w:rPr>
      <w:sz w:val="20"/>
      <w:szCs w:val="20"/>
    </w:rPr>
  </w:style>
  <w:style w:type="character" w:customStyle="1" w:styleId="TekstopmerkingChar">
    <w:name w:val="Tekst opmerking Char"/>
    <w:basedOn w:val="Standaardalinea-lettertype"/>
    <w:link w:val="Tekstopmerking"/>
    <w:rsid w:val="0074074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40746"/>
    <w:rPr>
      <w:b/>
      <w:bCs/>
    </w:rPr>
  </w:style>
  <w:style w:type="character" w:customStyle="1" w:styleId="OnderwerpvanopmerkingChar">
    <w:name w:val="Onderwerp van opmerking Char"/>
    <w:basedOn w:val="TekstopmerkingChar"/>
    <w:link w:val="Onderwerpvanopmerking"/>
    <w:semiHidden/>
    <w:rsid w:val="00740746"/>
    <w:rPr>
      <w:rFonts w:ascii="Verdana" w:hAnsi="Verdana"/>
      <w:b/>
      <w:bCs/>
      <w:lang w:val="nl-NL" w:eastAsia="nl-NL"/>
    </w:rPr>
  </w:style>
  <w:style w:type="paragraph" w:styleId="Revisie">
    <w:name w:val="Revision"/>
    <w:hidden/>
    <w:uiPriority w:val="99"/>
    <w:semiHidden/>
    <w:rsid w:val="00F420A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335">
      <w:bodyDiv w:val="1"/>
      <w:marLeft w:val="0"/>
      <w:marRight w:val="0"/>
      <w:marTop w:val="0"/>
      <w:marBottom w:val="0"/>
      <w:divBdr>
        <w:top w:val="none" w:sz="0" w:space="0" w:color="auto"/>
        <w:left w:val="none" w:sz="0" w:space="0" w:color="auto"/>
        <w:bottom w:val="none" w:sz="0" w:space="0" w:color="auto"/>
        <w:right w:val="none" w:sz="0" w:space="0" w:color="auto"/>
      </w:divBdr>
      <w:divsChild>
        <w:div w:id="1670447374">
          <w:marLeft w:val="0"/>
          <w:marRight w:val="0"/>
          <w:marTop w:val="0"/>
          <w:marBottom w:val="0"/>
          <w:divBdr>
            <w:top w:val="none" w:sz="0" w:space="0" w:color="auto"/>
            <w:left w:val="none" w:sz="0" w:space="0" w:color="auto"/>
            <w:bottom w:val="none" w:sz="0" w:space="0" w:color="auto"/>
            <w:right w:val="none" w:sz="0" w:space="0" w:color="auto"/>
          </w:divBdr>
        </w:div>
      </w:divsChild>
    </w:div>
    <w:div w:id="413549386">
      <w:bodyDiv w:val="1"/>
      <w:marLeft w:val="0"/>
      <w:marRight w:val="0"/>
      <w:marTop w:val="0"/>
      <w:marBottom w:val="0"/>
      <w:divBdr>
        <w:top w:val="none" w:sz="0" w:space="0" w:color="auto"/>
        <w:left w:val="none" w:sz="0" w:space="0" w:color="auto"/>
        <w:bottom w:val="none" w:sz="0" w:space="0" w:color="auto"/>
        <w:right w:val="none" w:sz="0" w:space="0" w:color="auto"/>
      </w:divBdr>
    </w:div>
    <w:div w:id="918060722">
      <w:bodyDiv w:val="1"/>
      <w:marLeft w:val="0"/>
      <w:marRight w:val="0"/>
      <w:marTop w:val="0"/>
      <w:marBottom w:val="0"/>
      <w:divBdr>
        <w:top w:val="none" w:sz="0" w:space="0" w:color="auto"/>
        <w:left w:val="none" w:sz="0" w:space="0" w:color="auto"/>
        <w:bottom w:val="none" w:sz="0" w:space="0" w:color="auto"/>
        <w:right w:val="none" w:sz="0" w:space="0" w:color="auto"/>
      </w:divBdr>
      <w:divsChild>
        <w:div w:id="1527020691">
          <w:marLeft w:val="0"/>
          <w:marRight w:val="0"/>
          <w:marTop w:val="0"/>
          <w:marBottom w:val="0"/>
          <w:divBdr>
            <w:top w:val="none" w:sz="0" w:space="0" w:color="auto"/>
            <w:left w:val="none" w:sz="0" w:space="0" w:color="auto"/>
            <w:bottom w:val="none" w:sz="0" w:space="0" w:color="auto"/>
            <w:right w:val="none" w:sz="0" w:space="0" w:color="auto"/>
          </w:divBdr>
        </w:div>
      </w:divsChild>
    </w:div>
    <w:div w:id="923105333">
      <w:bodyDiv w:val="1"/>
      <w:marLeft w:val="0"/>
      <w:marRight w:val="0"/>
      <w:marTop w:val="0"/>
      <w:marBottom w:val="0"/>
      <w:divBdr>
        <w:top w:val="none" w:sz="0" w:space="0" w:color="auto"/>
        <w:left w:val="none" w:sz="0" w:space="0" w:color="auto"/>
        <w:bottom w:val="none" w:sz="0" w:space="0" w:color="auto"/>
        <w:right w:val="none" w:sz="0" w:space="0" w:color="auto"/>
      </w:divBdr>
      <w:divsChild>
        <w:div w:id="1472938954">
          <w:marLeft w:val="0"/>
          <w:marRight w:val="0"/>
          <w:marTop w:val="0"/>
          <w:marBottom w:val="0"/>
          <w:divBdr>
            <w:top w:val="none" w:sz="0" w:space="0" w:color="auto"/>
            <w:left w:val="none" w:sz="0" w:space="0" w:color="auto"/>
            <w:bottom w:val="none" w:sz="0" w:space="0" w:color="auto"/>
            <w:right w:val="none" w:sz="0" w:space="0" w:color="auto"/>
          </w:divBdr>
        </w:div>
      </w:divsChild>
    </w:div>
    <w:div w:id="990134309">
      <w:bodyDiv w:val="1"/>
      <w:marLeft w:val="0"/>
      <w:marRight w:val="0"/>
      <w:marTop w:val="0"/>
      <w:marBottom w:val="0"/>
      <w:divBdr>
        <w:top w:val="none" w:sz="0" w:space="0" w:color="auto"/>
        <w:left w:val="none" w:sz="0" w:space="0" w:color="auto"/>
        <w:bottom w:val="none" w:sz="0" w:space="0" w:color="auto"/>
        <w:right w:val="none" w:sz="0" w:space="0" w:color="auto"/>
      </w:divBdr>
    </w:div>
    <w:div w:id="1307277612">
      <w:bodyDiv w:val="1"/>
      <w:marLeft w:val="0"/>
      <w:marRight w:val="0"/>
      <w:marTop w:val="0"/>
      <w:marBottom w:val="0"/>
      <w:divBdr>
        <w:top w:val="none" w:sz="0" w:space="0" w:color="auto"/>
        <w:left w:val="none" w:sz="0" w:space="0" w:color="auto"/>
        <w:bottom w:val="none" w:sz="0" w:space="0" w:color="auto"/>
        <w:right w:val="none" w:sz="0" w:space="0" w:color="auto"/>
      </w:divBdr>
      <w:divsChild>
        <w:div w:id="237062972">
          <w:marLeft w:val="0"/>
          <w:marRight w:val="0"/>
          <w:marTop w:val="0"/>
          <w:marBottom w:val="0"/>
          <w:divBdr>
            <w:top w:val="none" w:sz="0" w:space="0" w:color="auto"/>
            <w:left w:val="none" w:sz="0" w:space="0" w:color="auto"/>
            <w:bottom w:val="none" w:sz="0" w:space="0" w:color="auto"/>
            <w:right w:val="none" w:sz="0" w:space="0" w:color="auto"/>
          </w:divBdr>
        </w:div>
      </w:divsChild>
    </w:div>
    <w:div w:id="1485313617">
      <w:bodyDiv w:val="1"/>
      <w:marLeft w:val="0"/>
      <w:marRight w:val="0"/>
      <w:marTop w:val="0"/>
      <w:marBottom w:val="0"/>
      <w:divBdr>
        <w:top w:val="none" w:sz="0" w:space="0" w:color="auto"/>
        <w:left w:val="none" w:sz="0" w:space="0" w:color="auto"/>
        <w:bottom w:val="none" w:sz="0" w:space="0" w:color="auto"/>
        <w:right w:val="none" w:sz="0" w:space="0" w:color="auto"/>
      </w:divBdr>
    </w:div>
    <w:div w:id="1677884818">
      <w:bodyDiv w:val="1"/>
      <w:marLeft w:val="0"/>
      <w:marRight w:val="0"/>
      <w:marTop w:val="0"/>
      <w:marBottom w:val="0"/>
      <w:divBdr>
        <w:top w:val="none" w:sz="0" w:space="0" w:color="auto"/>
        <w:left w:val="none" w:sz="0" w:space="0" w:color="auto"/>
        <w:bottom w:val="none" w:sz="0" w:space="0" w:color="auto"/>
        <w:right w:val="none" w:sz="0" w:space="0" w:color="auto"/>
      </w:divBdr>
    </w:div>
    <w:div w:id="1693192078">
      <w:bodyDiv w:val="1"/>
      <w:marLeft w:val="0"/>
      <w:marRight w:val="0"/>
      <w:marTop w:val="0"/>
      <w:marBottom w:val="0"/>
      <w:divBdr>
        <w:top w:val="none" w:sz="0" w:space="0" w:color="auto"/>
        <w:left w:val="none" w:sz="0" w:space="0" w:color="auto"/>
        <w:bottom w:val="none" w:sz="0" w:space="0" w:color="auto"/>
        <w:right w:val="none" w:sz="0" w:space="0" w:color="auto"/>
      </w:divBdr>
    </w:div>
    <w:div w:id="19021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1444</ap:Words>
  <ap:Characters>7944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2025-11-10T14:17:00.0000000Z</dcterms:created>
  <dcterms:modified xsi:type="dcterms:W3CDTF">2025-11-10T14:18:00.0000000Z</dcterms:modified>
  <dc:description>------------------------</dc:description>
  <version/>
  <category/>
</coreProperties>
</file>