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33" w:rsidRDefault="00117733" w14:paraId="72D5E6D7" w14:textId="77777777">
      <w:pPr>
        <w:pStyle w:val="WitregelW1bodytekst"/>
      </w:pPr>
      <w:bookmarkStart w:name="_Hlk201596606" w:id="0"/>
      <w:bookmarkStart w:name="_GoBack" w:id="1"/>
      <w:bookmarkEnd w:id="1"/>
      <w:r w:rsidRPr="00117733">
        <w:t>Geachte voorzitter,</w:t>
      </w:r>
    </w:p>
    <w:p w:rsidR="00117733" w:rsidRDefault="00117733" w14:paraId="5C795A58" w14:textId="77777777">
      <w:pPr>
        <w:pStyle w:val="WitregelW1bodytekst"/>
      </w:pPr>
    </w:p>
    <w:p w:rsidR="00871452" w:rsidRDefault="00117733" w14:paraId="35CB019E" w14:textId="4B116D0C">
      <w:pPr>
        <w:pStyle w:val="WitregelW1bodytekst"/>
      </w:pPr>
      <w:r>
        <w:t>Hierbij</w:t>
      </w:r>
      <w:r w:rsidRPr="00117733">
        <w:t xml:space="preserve"> ontvangt u de kwartaalrapportage over de EU-dossiers op het gebied van Milieu en Transport </w:t>
      </w:r>
      <w:r>
        <w:t xml:space="preserve">na het </w:t>
      </w:r>
      <w:r w:rsidR="009B62AE">
        <w:t>derde</w:t>
      </w:r>
      <w:r w:rsidRPr="00117733">
        <w:t xml:space="preserve"> kwartaal van 2025. </w:t>
      </w:r>
      <w:r w:rsidRPr="00871452" w:rsidR="00871452">
        <w:t xml:space="preserve">De rapportage richt zich op de relevante lopende wetgevingstrajecten </w:t>
      </w:r>
      <w:r w:rsidR="00871452">
        <w:t>onder de Milieu</w:t>
      </w:r>
      <w:r w:rsidR="00E86484">
        <w:t>-</w:t>
      </w:r>
      <w:r w:rsidR="00871452">
        <w:t xml:space="preserve"> en Transportraad. </w:t>
      </w:r>
    </w:p>
    <w:p w:rsidR="007065E3" w:rsidRDefault="00073814" w14:paraId="5C93D75E" w14:textId="77777777">
      <w:pPr>
        <w:pStyle w:val="Slotzin"/>
      </w:pPr>
      <w:r>
        <w:t>Hoogachtend,</w:t>
      </w:r>
    </w:p>
    <w:p w:rsidR="007065E3" w:rsidRDefault="00073814" w14:paraId="2EBA1208" w14:textId="77777777">
      <w:pPr>
        <w:pStyle w:val="OndertekeningArea1"/>
      </w:pPr>
      <w:r>
        <w:t>DE MINISTER VAN INFRASTRUCTUUR EN WATERSTAAT,</w:t>
      </w:r>
    </w:p>
    <w:p w:rsidR="007065E3" w:rsidRDefault="007065E3" w14:paraId="3352916D" w14:textId="77777777"/>
    <w:p w:rsidR="007065E3" w:rsidRDefault="007065E3" w14:paraId="01A1D83F" w14:textId="77777777"/>
    <w:p w:rsidR="007065E3" w:rsidRDefault="007065E3" w14:paraId="38F18D9A" w14:textId="77777777"/>
    <w:p w:rsidR="007065E3" w:rsidRDefault="007065E3" w14:paraId="25D226F0" w14:textId="77777777"/>
    <w:p w:rsidR="007065E3" w:rsidRDefault="00073814" w14:paraId="0A2C89E6" w14:textId="77777777">
      <w:r>
        <w:t>ing. R. (Robert) Tieman</w:t>
      </w:r>
    </w:p>
    <w:p w:rsidR="00871452" w:rsidRDefault="00871452" w14:paraId="63C6B655" w14:textId="77777777"/>
    <w:p w:rsidR="00871452" w:rsidP="00871452" w:rsidRDefault="00871452" w14:paraId="37EDAD86" w14:textId="77777777"/>
    <w:p w:rsidR="00871452" w:rsidP="00871452" w:rsidRDefault="00871452" w14:paraId="737A0D18" w14:textId="608DB88C">
      <w:r>
        <w:t xml:space="preserve">DE STAATSSECRETARIS VAN INFRASTRUCTUUR EN WATERSTAAT - OPENBAAR </w:t>
      </w:r>
    </w:p>
    <w:p w:rsidR="00871452" w:rsidP="00871452" w:rsidRDefault="00871452" w14:paraId="18C99E19" w14:textId="2C55543F">
      <w:r>
        <w:t>VERVOER EN MILIEU,</w:t>
      </w:r>
    </w:p>
    <w:p w:rsidR="00871452" w:rsidP="00871452" w:rsidRDefault="00871452" w14:paraId="4D84D937" w14:textId="77777777"/>
    <w:p w:rsidR="00871452" w:rsidP="00871452" w:rsidRDefault="00871452" w14:paraId="6AA392E4" w14:textId="77777777"/>
    <w:p w:rsidR="00871452" w:rsidP="00871452" w:rsidRDefault="00871452" w14:paraId="6543572A" w14:textId="77777777"/>
    <w:p w:rsidR="00871452" w:rsidP="00871452" w:rsidRDefault="00871452" w14:paraId="0CB7AC68" w14:textId="77777777"/>
    <w:p w:rsidR="00871452" w:rsidP="00871452" w:rsidRDefault="00871452" w14:paraId="6E0CE92D" w14:textId="65C7FEE0">
      <w:r>
        <w:t>A.A. (Thierry) Aartsen</w:t>
      </w:r>
      <w:bookmarkEnd w:id="0"/>
    </w:p>
    <w:sectPr w:rsidR="008714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CB48A" w14:textId="77777777" w:rsidR="00234438" w:rsidRDefault="00234438">
      <w:pPr>
        <w:spacing w:line="240" w:lineRule="auto"/>
      </w:pPr>
      <w:r>
        <w:separator/>
      </w:r>
    </w:p>
  </w:endnote>
  <w:endnote w:type="continuationSeparator" w:id="0">
    <w:p w14:paraId="484B8FAB" w14:textId="77777777" w:rsidR="00234438" w:rsidRDefault="00234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A170" w14:textId="77777777" w:rsidR="00FB3C22" w:rsidRDefault="00FB3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52E7E" w14:textId="77777777" w:rsidR="00FB3C22" w:rsidRDefault="00FB3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4C0FA" w14:textId="77777777" w:rsidR="00FB3C22" w:rsidRDefault="00FB3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B97E5" w14:textId="77777777" w:rsidR="00234438" w:rsidRDefault="00234438">
      <w:pPr>
        <w:spacing w:line="240" w:lineRule="auto"/>
      </w:pPr>
      <w:r>
        <w:separator/>
      </w:r>
    </w:p>
  </w:footnote>
  <w:footnote w:type="continuationSeparator" w:id="0">
    <w:p w14:paraId="0EA5B74B" w14:textId="77777777" w:rsidR="00234438" w:rsidRDefault="00234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89ABA" w14:textId="77777777" w:rsidR="00FB3C22" w:rsidRDefault="00FB3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C1DFA" w14:textId="77777777" w:rsidR="007065E3" w:rsidRDefault="00073814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97D10BB" wp14:editId="7DF7C37A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8ED91" w14:textId="77777777" w:rsidR="007065E3" w:rsidRDefault="0007381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33E959E" w14:textId="77777777" w:rsidR="007065E3" w:rsidRDefault="007065E3">
                          <w:pPr>
                            <w:pStyle w:val="WitregelW2"/>
                          </w:pPr>
                        </w:p>
                        <w:p w14:paraId="62FE7BE1" w14:textId="77777777" w:rsidR="007065E3" w:rsidRDefault="0007381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7E34A64" w14:textId="77777777" w:rsidR="007065E3" w:rsidRDefault="00073814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7D10B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D78ED91" w14:textId="77777777" w:rsidR="007065E3" w:rsidRDefault="0007381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33E959E" w14:textId="77777777" w:rsidR="007065E3" w:rsidRDefault="007065E3">
                    <w:pPr>
                      <w:pStyle w:val="WitregelW2"/>
                    </w:pPr>
                  </w:p>
                  <w:p w14:paraId="62FE7BE1" w14:textId="77777777" w:rsidR="007065E3" w:rsidRDefault="0007381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7E34A64" w14:textId="77777777" w:rsidR="007065E3" w:rsidRDefault="00073814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5130E97" wp14:editId="672386A7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3B4C2" w14:textId="1E8F71BC" w:rsidR="007065E3" w:rsidRDefault="000738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3F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77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30E9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E63B4C2" w14:textId="1E8F71BC" w:rsidR="007065E3" w:rsidRDefault="000738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3F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77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8F19FAA" wp14:editId="4887254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5C8DD" w14:textId="77777777" w:rsidR="00073814" w:rsidRDefault="000738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19FA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0A5C8DD" w14:textId="77777777" w:rsidR="00073814" w:rsidRDefault="000738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3AE23E9" wp14:editId="4AA45293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4AABF" w14:textId="77777777" w:rsidR="00073814" w:rsidRDefault="000738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AE23E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E04AABF" w14:textId="77777777" w:rsidR="00073814" w:rsidRDefault="0007381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5DC2D" w14:textId="77777777" w:rsidR="007065E3" w:rsidRDefault="0007381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D009C55" wp14:editId="3B7A34E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FE351" w14:textId="77777777" w:rsidR="00073814" w:rsidRDefault="000738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009C5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E4FE351" w14:textId="77777777" w:rsidR="00073814" w:rsidRDefault="000738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A4D764F" wp14:editId="68C0AB7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C0C65" w14:textId="253CAA3B" w:rsidR="007065E3" w:rsidRDefault="000738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43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43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D764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9BC0C65" w14:textId="253CAA3B" w:rsidR="007065E3" w:rsidRDefault="000738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43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43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27EA3E3" wp14:editId="0F62030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7C8550" w14:textId="77777777" w:rsidR="007065E3" w:rsidRDefault="0007381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0133FE2" w14:textId="77777777" w:rsidR="007065E3" w:rsidRDefault="007065E3">
                          <w:pPr>
                            <w:pStyle w:val="WitregelW1"/>
                          </w:pPr>
                        </w:p>
                        <w:p w14:paraId="7D867147" w14:textId="77777777" w:rsidR="007065E3" w:rsidRDefault="0007381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9B4A922" w14:textId="77777777" w:rsidR="007065E3" w:rsidRPr="00117733" w:rsidRDefault="0007381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773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2C933AD" w14:textId="77777777" w:rsidR="007065E3" w:rsidRPr="00117733" w:rsidRDefault="0007381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773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BD041C6" w14:textId="77777777" w:rsidR="007065E3" w:rsidRPr="00117733" w:rsidRDefault="0007381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773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F781F2D" w14:textId="77777777" w:rsidR="007065E3" w:rsidRPr="00117733" w:rsidRDefault="007065E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E50B773" w14:textId="77777777" w:rsidR="007065E3" w:rsidRPr="00117733" w:rsidRDefault="0007381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773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99A6FCC" w14:textId="77777777" w:rsidR="007065E3" w:rsidRDefault="0007381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4BFC7B7" w14:textId="77777777" w:rsidR="007065E3" w:rsidRPr="00A15EAE" w:rsidRDefault="007065E3" w:rsidP="00A15EAE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C5D92D2" w14:textId="77777777" w:rsidR="007065E3" w:rsidRPr="00A15EAE" w:rsidRDefault="00073814" w:rsidP="00A15EAE">
                          <w:pPr>
                            <w:pStyle w:val="Referentiegegevenskop"/>
                            <w:spacing w:line="276" w:lineRule="auto"/>
                          </w:pPr>
                          <w:r w:rsidRPr="00A15EAE">
                            <w:t>Ons kenmerk</w:t>
                          </w:r>
                        </w:p>
                        <w:p w14:paraId="7CD645DF" w14:textId="67C640B2" w:rsidR="007065E3" w:rsidRPr="00A15EAE" w:rsidRDefault="00F85CCC" w:rsidP="00A15EAE">
                          <w:pPr>
                            <w:pStyle w:val="Referentiegegevens"/>
                            <w:spacing w:line="276" w:lineRule="auto"/>
                          </w:pPr>
                          <w:r w:rsidRPr="00A15EAE">
                            <w:t>IENW/BSK-2025/</w:t>
                          </w:r>
                          <w:r w:rsidR="00BF0C45" w:rsidRPr="00A15EAE">
                            <w:t>248208</w:t>
                          </w:r>
                        </w:p>
                        <w:p w14:paraId="43437612" w14:textId="77777777" w:rsidR="007065E3" w:rsidRPr="00A15EAE" w:rsidRDefault="007065E3" w:rsidP="00A15EAE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E156656" w14:textId="77777777" w:rsidR="007065E3" w:rsidRPr="00A15EAE" w:rsidRDefault="00073814" w:rsidP="00A15EAE">
                          <w:pPr>
                            <w:pStyle w:val="Referentiegegevenskop"/>
                            <w:spacing w:line="276" w:lineRule="auto"/>
                          </w:pPr>
                          <w:r w:rsidRPr="00A15EAE">
                            <w:t>Bijlage(n)</w:t>
                          </w:r>
                        </w:p>
                        <w:p w14:paraId="6603A3E4" w14:textId="27900DD9" w:rsidR="007065E3" w:rsidRPr="00A15EAE" w:rsidRDefault="002F29DE" w:rsidP="00A15EAE">
                          <w:pPr>
                            <w:pStyle w:val="Referentiegegevens"/>
                            <w:spacing w:line="276" w:lineRule="auto"/>
                          </w:pPr>
                          <w:r w:rsidRPr="00A15EAE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7EA3E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C7C8550" w14:textId="77777777" w:rsidR="007065E3" w:rsidRDefault="0007381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0133FE2" w14:textId="77777777" w:rsidR="007065E3" w:rsidRDefault="007065E3">
                    <w:pPr>
                      <w:pStyle w:val="WitregelW1"/>
                    </w:pPr>
                  </w:p>
                  <w:p w14:paraId="7D867147" w14:textId="77777777" w:rsidR="007065E3" w:rsidRDefault="00073814">
                    <w:pPr>
                      <w:pStyle w:val="Afzendgegevens"/>
                    </w:pPr>
                    <w:r>
                      <w:t>Rijnstraat 8</w:t>
                    </w:r>
                  </w:p>
                  <w:p w14:paraId="29B4A922" w14:textId="77777777" w:rsidR="007065E3" w:rsidRPr="00117733" w:rsidRDefault="00073814">
                    <w:pPr>
                      <w:pStyle w:val="Afzendgegevens"/>
                      <w:rPr>
                        <w:lang w:val="de-DE"/>
                      </w:rPr>
                    </w:pPr>
                    <w:r w:rsidRPr="00117733">
                      <w:rPr>
                        <w:lang w:val="de-DE"/>
                      </w:rPr>
                      <w:t>2515 XP  Den Haag</w:t>
                    </w:r>
                  </w:p>
                  <w:p w14:paraId="12C933AD" w14:textId="77777777" w:rsidR="007065E3" w:rsidRPr="00117733" w:rsidRDefault="00073814">
                    <w:pPr>
                      <w:pStyle w:val="Afzendgegevens"/>
                      <w:rPr>
                        <w:lang w:val="de-DE"/>
                      </w:rPr>
                    </w:pPr>
                    <w:r w:rsidRPr="00117733">
                      <w:rPr>
                        <w:lang w:val="de-DE"/>
                      </w:rPr>
                      <w:t>Postbus 20901</w:t>
                    </w:r>
                  </w:p>
                  <w:p w14:paraId="4BD041C6" w14:textId="77777777" w:rsidR="007065E3" w:rsidRPr="00117733" w:rsidRDefault="00073814">
                    <w:pPr>
                      <w:pStyle w:val="Afzendgegevens"/>
                      <w:rPr>
                        <w:lang w:val="de-DE"/>
                      </w:rPr>
                    </w:pPr>
                    <w:r w:rsidRPr="00117733">
                      <w:rPr>
                        <w:lang w:val="de-DE"/>
                      </w:rPr>
                      <w:t>2500 EX Den Haag</w:t>
                    </w:r>
                  </w:p>
                  <w:p w14:paraId="0F781F2D" w14:textId="77777777" w:rsidR="007065E3" w:rsidRPr="00117733" w:rsidRDefault="007065E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E50B773" w14:textId="77777777" w:rsidR="007065E3" w:rsidRPr="00117733" w:rsidRDefault="00073814">
                    <w:pPr>
                      <w:pStyle w:val="Afzendgegevens"/>
                      <w:rPr>
                        <w:lang w:val="de-DE"/>
                      </w:rPr>
                    </w:pPr>
                    <w:r w:rsidRPr="00117733">
                      <w:rPr>
                        <w:lang w:val="de-DE"/>
                      </w:rPr>
                      <w:t>T   070-456 0000</w:t>
                    </w:r>
                  </w:p>
                  <w:p w14:paraId="499A6FCC" w14:textId="77777777" w:rsidR="007065E3" w:rsidRDefault="0007381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4BFC7B7" w14:textId="77777777" w:rsidR="007065E3" w:rsidRPr="00A15EAE" w:rsidRDefault="007065E3" w:rsidP="00A15EAE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C5D92D2" w14:textId="77777777" w:rsidR="007065E3" w:rsidRPr="00A15EAE" w:rsidRDefault="00073814" w:rsidP="00A15EAE">
                    <w:pPr>
                      <w:pStyle w:val="Referentiegegevenskop"/>
                      <w:spacing w:line="276" w:lineRule="auto"/>
                    </w:pPr>
                    <w:r w:rsidRPr="00A15EAE">
                      <w:t>Ons kenmerk</w:t>
                    </w:r>
                  </w:p>
                  <w:p w14:paraId="7CD645DF" w14:textId="67C640B2" w:rsidR="007065E3" w:rsidRPr="00A15EAE" w:rsidRDefault="00F85CCC" w:rsidP="00A15EAE">
                    <w:pPr>
                      <w:pStyle w:val="Referentiegegevens"/>
                      <w:spacing w:line="276" w:lineRule="auto"/>
                    </w:pPr>
                    <w:r w:rsidRPr="00A15EAE">
                      <w:t>IENW/BSK-2025/</w:t>
                    </w:r>
                    <w:r w:rsidR="00BF0C45" w:rsidRPr="00A15EAE">
                      <w:t>248208</w:t>
                    </w:r>
                  </w:p>
                  <w:p w14:paraId="43437612" w14:textId="77777777" w:rsidR="007065E3" w:rsidRPr="00A15EAE" w:rsidRDefault="007065E3" w:rsidP="00A15EAE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E156656" w14:textId="77777777" w:rsidR="007065E3" w:rsidRPr="00A15EAE" w:rsidRDefault="00073814" w:rsidP="00A15EAE">
                    <w:pPr>
                      <w:pStyle w:val="Referentiegegevenskop"/>
                      <w:spacing w:line="276" w:lineRule="auto"/>
                    </w:pPr>
                    <w:r w:rsidRPr="00A15EAE">
                      <w:t>Bijlage(n)</w:t>
                    </w:r>
                  </w:p>
                  <w:p w14:paraId="6603A3E4" w14:textId="27900DD9" w:rsidR="007065E3" w:rsidRPr="00A15EAE" w:rsidRDefault="002F29DE" w:rsidP="00A15EAE">
                    <w:pPr>
                      <w:pStyle w:val="Referentiegegevens"/>
                      <w:spacing w:line="276" w:lineRule="auto"/>
                    </w:pPr>
                    <w:r w:rsidRPr="00A15EAE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E1AC290" wp14:editId="23A6EFC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E2C8B" w14:textId="77777777" w:rsidR="007065E3" w:rsidRDefault="000738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C8860FF" wp14:editId="66FDDB1E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1AC290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F8E2C8B" w14:textId="77777777" w:rsidR="007065E3" w:rsidRDefault="0007381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C8860FF" wp14:editId="66FDDB1E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64A24A6" wp14:editId="756CCF5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A8FDB" w14:textId="77777777" w:rsidR="007065E3" w:rsidRDefault="000738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3CC0EDA" wp14:editId="36628BD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4A24A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AAA8FDB" w14:textId="77777777" w:rsidR="007065E3" w:rsidRDefault="0007381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3CC0EDA" wp14:editId="36628BD3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A5B310B" wp14:editId="4775575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75C85" w14:textId="77777777" w:rsidR="007065E3" w:rsidRDefault="0007381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5B310B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1B75C85" w14:textId="77777777" w:rsidR="007065E3" w:rsidRDefault="0007381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A3ED4E" wp14:editId="5AD3C79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ABC5F" w14:textId="77777777" w:rsidR="007065E3" w:rsidRDefault="0007381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A3ED4E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94ABC5F" w14:textId="77777777" w:rsidR="007065E3" w:rsidRDefault="0007381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99CC83F" wp14:editId="5EBACAF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065E3" w14:paraId="5B7546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FD0768" w14:textId="77777777" w:rsidR="007065E3" w:rsidRDefault="007065E3"/>
                            </w:tc>
                            <w:tc>
                              <w:tcPr>
                                <w:tcW w:w="5400" w:type="dxa"/>
                              </w:tcPr>
                              <w:p w14:paraId="5011F1C7" w14:textId="77777777" w:rsidR="007065E3" w:rsidRDefault="007065E3"/>
                            </w:tc>
                          </w:tr>
                          <w:tr w:rsidR="007065E3" w14:paraId="38149D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25E79E" w14:textId="77777777" w:rsidR="007065E3" w:rsidRDefault="000738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3360C7" w14:textId="5C5443C6" w:rsidR="007065E3" w:rsidRDefault="00A15EAE">
                                <w:r>
                                  <w:t>10 november 2025</w:t>
                                </w:r>
                              </w:p>
                            </w:tc>
                          </w:tr>
                          <w:tr w:rsidR="007065E3" w:rsidRPr="00FF5DD0" w14:paraId="134D82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FCE753" w14:textId="77777777" w:rsidR="007065E3" w:rsidRDefault="000738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42FF6B" w14:textId="408495F9" w:rsidR="007065E3" w:rsidRPr="00FF5DD0" w:rsidRDefault="00073814">
                                <w:pPr>
                                  <w:rPr>
                                    <w:lang w:val="fr-FR"/>
                                  </w:rPr>
                                </w:pPr>
                                <w:r w:rsidRPr="00FF5DD0">
                                  <w:rPr>
                                    <w:lang w:val="fr-FR"/>
                                  </w:rPr>
                                  <w:t xml:space="preserve">Kwartaalrapportage </w:t>
                                </w:r>
                                <w:r w:rsidR="009B62AE">
                                  <w:rPr>
                                    <w:lang w:val="fr-FR"/>
                                  </w:rPr>
                                  <w:t>Q3</w:t>
                                </w:r>
                                <w:r w:rsidRPr="00FF5DD0">
                                  <w:rPr>
                                    <w:lang w:val="fr-FR"/>
                                  </w:rPr>
                                  <w:t xml:space="preserve"> 2025</w:t>
                                </w:r>
                                <w:r w:rsidR="00117733" w:rsidRPr="00FF5DD0">
                                  <w:rPr>
                                    <w:lang w:val="fr-FR"/>
                                  </w:rPr>
                                  <w:t xml:space="preserve"> Milieu</w:t>
                                </w:r>
                                <w:r w:rsidR="00FF5DD0" w:rsidRPr="00FF5DD0">
                                  <w:rPr>
                                    <w:lang w:val="fr-FR"/>
                                  </w:rPr>
                                  <w:t>dossiers</w:t>
                                </w:r>
                                <w:r w:rsidR="00117733" w:rsidRPr="00FF5DD0">
                                  <w:rPr>
                                    <w:lang w:val="fr-FR"/>
                                  </w:rPr>
                                  <w:t xml:space="preserve"> en Transport</w:t>
                                </w:r>
                                <w:r w:rsidR="00FF5DD0" w:rsidRPr="00FF5DD0">
                                  <w:rPr>
                                    <w:lang w:val="fr-FR"/>
                                  </w:rPr>
                                  <w:t>dossi</w:t>
                                </w:r>
                                <w:r w:rsidR="00FF5DD0">
                                  <w:rPr>
                                    <w:lang w:val="fr-FR"/>
                                  </w:rPr>
                                  <w:t>ers</w:t>
                                </w:r>
                              </w:p>
                            </w:tc>
                          </w:tr>
                          <w:tr w:rsidR="007065E3" w:rsidRPr="00FF5DD0" w14:paraId="730B3F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90EE7B" w14:textId="77777777" w:rsidR="007065E3" w:rsidRPr="00FF5DD0" w:rsidRDefault="007065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19B396" w14:textId="77777777" w:rsidR="007065E3" w:rsidRPr="00FF5DD0" w:rsidRDefault="007065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</w:tbl>
                        <w:p w14:paraId="1185AE0D" w14:textId="77777777" w:rsidR="00073814" w:rsidRPr="00FF5DD0" w:rsidRDefault="00073814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CC83F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065E3" w14:paraId="5B7546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FD0768" w14:textId="77777777" w:rsidR="007065E3" w:rsidRDefault="007065E3"/>
                      </w:tc>
                      <w:tc>
                        <w:tcPr>
                          <w:tcW w:w="5400" w:type="dxa"/>
                        </w:tcPr>
                        <w:p w14:paraId="5011F1C7" w14:textId="77777777" w:rsidR="007065E3" w:rsidRDefault="007065E3"/>
                      </w:tc>
                    </w:tr>
                    <w:tr w:rsidR="007065E3" w14:paraId="38149D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25E79E" w14:textId="77777777" w:rsidR="007065E3" w:rsidRDefault="0007381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3360C7" w14:textId="5C5443C6" w:rsidR="007065E3" w:rsidRDefault="00A15EAE">
                          <w:r>
                            <w:t>10 november 2025</w:t>
                          </w:r>
                        </w:p>
                      </w:tc>
                    </w:tr>
                    <w:tr w:rsidR="007065E3" w:rsidRPr="00FF5DD0" w14:paraId="134D82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FCE753" w14:textId="77777777" w:rsidR="007065E3" w:rsidRDefault="0007381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42FF6B" w14:textId="408495F9" w:rsidR="007065E3" w:rsidRPr="00FF5DD0" w:rsidRDefault="00073814">
                          <w:pPr>
                            <w:rPr>
                              <w:lang w:val="fr-FR"/>
                            </w:rPr>
                          </w:pPr>
                          <w:r w:rsidRPr="00FF5DD0">
                            <w:rPr>
                              <w:lang w:val="fr-FR"/>
                            </w:rPr>
                            <w:t xml:space="preserve">Kwartaalrapportage </w:t>
                          </w:r>
                          <w:r w:rsidR="009B62AE">
                            <w:rPr>
                              <w:lang w:val="fr-FR"/>
                            </w:rPr>
                            <w:t>Q3</w:t>
                          </w:r>
                          <w:r w:rsidRPr="00FF5DD0">
                            <w:rPr>
                              <w:lang w:val="fr-FR"/>
                            </w:rPr>
                            <w:t xml:space="preserve"> 2025</w:t>
                          </w:r>
                          <w:r w:rsidR="00117733" w:rsidRPr="00FF5DD0">
                            <w:rPr>
                              <w:lang w:val="fr-FR"/>
                            </w:rPr>
                            <w:t xml:space="preserve"> Milieu</w:t>
                          </w:r>
                          <w:r w:rsidR="00FF5DD0" w:rsidRPr="00FF5DD0">
                            <w:rPr>
                              <w:lang w:val="fr-FR"/>
                            </w:rPr>
                            <w:t>dossiers</w:t>
                          </w:r>
                          <w:r w:rsidR="00117733" w:rsidRPr="00FF5DD0">
                            <w:rPr>
                              <w:lang w:val="fr-FR"/>
                            </w:rPr>
                            <w:t xml:space="preserve"> en Transport</w:t>
                          </w:r>
                          <w:r w:rsidR="00FF5DD0" w:rsidRPr="00FF5DD0">
                            <w:rPr>
                              <w:lang w:val="fr-FR"/>
                            </w:rPr>
                            <w:t>dossi</w:t>
                          </w:r>
                          <w:r w:rsidR="00FF5DD0">
                            <w:rPr>
                              <w:lang w:val="fr-FR"/>
                            </w:rPr>
                            <w:t>ers</w:t>
                          </w:r>
                        </w:p>
                      </w:tc>
                    </w:tr>
                    <w:tr w:rsidR="007065E3" w:rsidRPr="00FF5DD0" w14:paraId="730B3F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90EE7B" w14:textId="77777777" w:rsidR="007065E3" w:rsidRPr="00FF5DD0" w:rsidRDefault="007065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  <w:tc>
                        <w:tcPr>
                          <w:tcW w:w="5400" w:type="dxa"/>
                        </w:tcPr>
                        <w:p w14:paraId="1619B396" w14:textId="77777777" w:rsidR="007065E3" w:rsidRPr="00FF5DD0" w:rsidRDefault="007065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</w:tbl>
                  <w:p w14:paraId="1185AE0D" w14:textId="77777777" w:rsidR="00073814" w:rsidRPr="00FF5DD0" w:rsidRDefault="00073814">
                    <w:pPr>
                      <w:rPr>
                        <w:lang w:val="fr-FR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F083FEA" wp14:editId="3A88CEF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08D017" w14:textId="77777777" w:rsidR="00073814" w:rsidRDefault="000738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83FE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308D017" w14:textId="77777777" w:rsidR="00073814" w:rsidRDefault="0007381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631D27"/>
    <w:multiLevelType w:val="multilevel"/>
    <w:tmpl w:val="D2F6D2E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22B252"/>
    <w:multiLevelType w:val="multilevel"/>
    <w:tmpl w:val="0F9CC2A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9DF229C"/>
    <w:multiLevelType w:val="multilevel"/>
    <w:tmpl w:val="E7D2879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BB3F16D"/>
    <w:multiLevelType w:val="multilevel"/>
    <w:tmpl w:val="C3CF568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E86D6CE"/>
    <w:multiLevelType w:val="multilevel"/>
    <w:tmpl w:val="3836039B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7A60597"/>
    <w:multiLevelType w:val="multilevel"/>
    <w:tmpl w:val="650A704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F1AA255"/>
    <w:multiLevelType w:val="multilevel"/>
    <w:tmpl w:val="28A974B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2D434CE"/>
    <w:multiLevelType w:val="multilevel"/>
    <w:tmpl w:val="263E6DF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5BC2D08"/>
    <w:multiLevelType w:val="multilevel"/>
    <w:tmpl w:val="1253E5C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6E4832A"/>
    <w:multiLevelType w:val="multilevel"/>
    <w:tmpl w:val="B3B1F8A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81683FF"/>
    <w:multiLevelType w:val="multilevel"/>
    <w:tmpl w:val="F4B0460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A5E9627"/>
    <w:multiLevelType w:val="multilevel"/>
    <w:tmpl w:val="D47EB1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FAB3A6"/>
    <w:multiLevelType w:val="multilevel"/>
    <w:tmpl w:val="1929847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F9BED04F"/>
    <w:multiLevelType w:val="multilevel"/>
    <w:tmpl w:val="2778960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17D1CC0"/>
    <w:multiLevelType w:val="multilevel"/>
    <w:tmpl w:val="E6C2373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AE841F"/>
    <w:multiLevelType w:val="multilevel"/>
    <w:tmpl w:val="803534E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80899E"/>
    <w:multiLevelType w:val="multilevel"/>
    <w:tmpl w:val="0EB2935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881BB4"/>
    <w:multiLevelType w:val="multilevel"/>
    <w:tmpl w:val="4024310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6DAF70"/>
    <w:multiLevelType w:val="multilevel"/>
    <w:tmpl w:val="89C3AFB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E56B0B"/>
    <w:multiLevelType w:val="multilevel"/>
    <w:tmpl w:val="585C1C1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AF4ED5"/>
    <w:multiLevelType w:val="multilevel"/>
    <w:tmpl w:val="CBF9377D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3ABDBE"/>
    <w:multiLevelType w:val="multilevel"/>
    <w:tmpl w:val="D78B9DF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96FA04"/>
    <w:multiLevelType w:val="multilevel"/>
    <w:tmpl w:val="D09B185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10"/>
  </w:num>
  <w:num w:numId="9">
    <w:abstractNumId w:val="8"/>
  </w:num>
  <w:num w:numId="10">
    <w:abstractNumId w:val="7"/>
  </w:num>
  <w:num w:numId="11">
    <w:abstractNumId w:val="15"/>
  </w:num>
  <w:num w:numId="12">
    <w:abstractNumId w:val="13"/>
  </w:num>
  <w:num w:numId="13">
    <w:abstractNumId w:val="11"/>
  </w:num>
  <w:num w:numId="14">
    <w:abstractNumId w:val="6"/>
  </w:num>
  <w:num w:numId="15">
    <w:abstractNumId w:val="5"/>
  </w:num>
  <w:num w:numId="16">
    <w:abstractNumId w:val="16"/>
  </w:num>
  <w:num w:numId="17">
    <w:abstractNumId w:val="1"/>
  </w:num>
  <w:num w:numId="18">
    <w:abstractNumId w:val="14"/>
  </w:num>
  <w:num w:numId="19">
    <w:abstractNumId w:val="22"/>
  </w:num>
  <w:num w:numId="20">
    <w:abstractNumId w:val="4"/>
  </w:num>
  <w:num w:numId="21">
    <w:abstractNumId w:val="21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33"/>
    <w:rsid w:val="00073814"/>
    <w:rsid w:val="000B1A0B"/>
    <w:rsid w:val="00117733"/>
    <w:rsid w:val="00167096"/>
    <w:rsid w:val="00170C8D"/>
    <w:rsid w:val="00234438"/>
    <w:rsid w:val="0028584C"/>
    <w:rsid w:val="002D6DFD"/>
    <w:rsid w:val="002F29DE"/>
    <w:rsid w:val="003667C7"/>
    <w:rsid w:val="00412E23"/>
    <w:rsid w:val="0043771C"/>
    <w:rsid w:val="00491B17"/>
    <w:rsid w:val="00494940"/>
    <w:rsid w:val="004F66B1"/>
    <w:rsid w:val="00546F81"/>
    <w:rsid w:val="00653FC5"/>
    <w:rsid w:val="006E054D"/>
    <w:rsid w:val="007065E3"/>
    <w:rsid w:val="007F3CAE"/>
    <w:rsid w:val="007F78A9"/>
    <w:rsid w:val="00861512"/>
    <w:rsid w:val="00871452"/>
    <w:rsid w:val="009A00CF"/>
    <w:rsid w:val="009B62AE"/>
    <w:rsid w:val="009C7B2E"/>
    <w:rsid w:val="00A13F0E"/>
    <w:rsid w:val="00A15EAE"/>
    <w:rsid w:val="00B5157D"/>
    <w:rsid w:val="00BF0C45"/>
    <w:rsid w:val="00BF2C6C"/>
    <w:rsid w:val="00CD725E"/>
    <w:rsid w:val="00CE238D"/>
    <w:rsid w:val="00D44318"/>
    <w:rsid w:val="00D92607"/>
    <w:rsid w:val="00E86484"/>
    <w:rsid w:val="00EF6552"/>
    <w:rsid w:val="00F85CCC"/>
    <w:rsid w:val="00FB3C22"/>
    <w:rsid w:val="00FD637F"/>
    <w:rsid w:val="00FF080F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6F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1773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73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773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73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Kwartaalrapportage Q1 en Q2 2025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2025-11-10T09:13:00.0000000Z</dcterms:created>
  <dcterms:modified xsi:type="dcterms:W3CDTF">2025-11-10T09:13:00.0000000Z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Kwartaalrapportage Q1 en Q2 2025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A. van Olst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</Properties>
</file>