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92B" w:rsidR="006E155D" w:rsidRDefault="001856D0" w14:paraId="250A36A8" w14:textId="2D9F2136">
      <w:pPr>
        <w:autoSpaceDE w:val="0"/>
        <w:autoSpaceDN w:val="0"/>
        <w:adjustRightInd w:val="0"/>
        <w:spacing w:before="0" w:after="0"/>
        <w:ind w:left="1416" w:hanging="1371"/>
        <w:rPr>
          <w:b/>
          <w:bCs/>
        </w:rPr>
      </w:pPr>
      <w:r w:rsidRPr="00AC592B">
        <w:rPr>
          <w:b/>
          <w:bCs/>
        </w:rPr>
        <w:t>36801</w:t>
      </w:r>
      <w:r w:rsidRPr="00AC592B">
        <w:rPr>
          <w:b/>
          <w:bCs/>
        </w:rPr>
        <w:tab/>
        <w:t>Homogene Groep Internationale samenwerking 2026 (HGIS-nota 2026)</w:t>
      </w:r>
    </w:p>
    <w:p w:rsidRPr="00AC592B" w:rsidR="006E155D" w:rsidRDefault="006E155D" w14:paraId="13DF8E9F" w14:textId="77777777">
      <w:pPr>
        <w:autoSpaceDE w:val="0"/>
        <w:autoSpaceDN w:val="0"/>
        <w:adjustRightInd w:val="0"/>
        <w:spacing w:before="0" w:after="0"/>
        <w:ind w:left="1416" w:hanging="1371"/>
        <w:rPr>
          <w:b/>
        </w:rPr>
      </w:pPr>
    </w:p>
    <w:p w:rsidRPr="00AC592B" w:rsidR="006E155D" w:rsidRDefault="001856D0" w14:paraId="026F1719" w14:textId="77777777">
      <w:pPr>
        <w:rPr>
          <w:b/>
        </w:rPr>
      </w:pPr>
      <w:r w:rsidRPr="00AC592B">
        <w:rPr>
          <w:b/>
        </w:rPr>
        <w:t xml:space="preserve">nr. </w:t>
      </w:r>
      <w:r w:rsidRPr="00AC592B">
        <w:rPr>
          <w:b/>
        </w:rPr>
        <w:tab/>
      </w:r>
      <w:r w:rsidRPr="00AC592B">
        <w:rPr>
          <w:b/>
        </w:rPr>
        <w:tab/>
        <w:t>Lijst van vragen en antwoorden</w:t>
      </w:r>
    </w:p>
    <w:p w:rsidRPr="00AC592B" w:rsidR="006E155D" w:rsidRDefault="001856D0" w14:paraId="7AD5C96F" w14:textId="77777777">
      <w:r w:rsidRPr="00AC592B">
        <w:tab/>
      </w:r>
      <w:r w:rsidRPr="00AC592B">
        <w:tab/>
      </w:r>
    </w:p>
    <w:p w:rsidRPr="00AC592B" w:rsidR="006E155D" w:rsidRDefault="001856D0" w14:paraId="769D9FBC" w14:textId="77777777">
      <w:pPr>
        <w:ind w:left="702" w:firstLine="708"/>
        <w:rPr>
          <w:i/>
        </w:rPr>
      </w:pPr>
      <w:r w:rsidRPr="00AC592B">
        <w:t xml:space="preserve">Vastgesteld </w:t>
      </w:r>
      <w:r w:rsidRPr="00AC592B">
        <w:rPr>
          <w:i/>
        </w:rPr>
        <w:t>(wordt door griffie ingevuld als antwoorden er zijn)</w:t>
      </w:r>
    </w:p>
    <w:p w:rsidRPr="00AC592B" w:rsidR="006E155D" w:rsidRDefault="001856D0" w14:paraId="1805DC2C" w14:textId="14710C4A">
      <w:pPr>
        <w:ind w:left="1410"/>
      </w:pPr>
      <w:r w:rsidRPr="00AC592B">
        <w:t xml:space="preserve">De vaste commissie voor </w:t>
      </w:r>
      <w:r w:rsidRPr="00AC592B" w:rsidR="00B26CA1">
        <w:t>Buitenlandse Zaken</w:t>
      </w:r>
      <w:r w:rsidRPr="00AC592B">
        <w:t xml:space="preserve"> heeft een aantal vragen voorgelegd aan de </w:t>
      </w:r>
      <w:r w:rsidRPr="00AC592B" w:rsidR="00B26CA1">
        <w:t>minister van Buitenlandse Zaken</w:t>
      </w:r>
      <w:r w:rsidRPr="00AC592B">
        <w:t xml:space="preserve"> over </w:t>
      </w:r>
      <w:r w:rsidRPr="00AC592B" w:rsidR="00B26CA1">
        <w:t>de nota inzake</w:t>
      </w:r>
      <w:r w:rsidRPr="00AC592B">
        <w:t xml:space="preserve"> de </w:t>
      </w:r>
      <w:r w:rsidRPr="00AC592B">
        <w:rPr>
          <w:b/>
        </w:rPr>
        <w:t>Homogene Groep Internationale samenwerking 2026 (HGIS-nota 2026)</w:t>
      </w:r>
      <w:r w:rsidRPr="00AC592B">
        <w:t xml:space="preserve"> (</w:t>
      </w:r>
      <w:r w:rsidRPr="00AC592B">
        <w:rPr>
          <w:b/>
        </w:rPr>
        <w:t>36801</w:t>
      </w:r>
      <w:r w:rsidRPr="00AC592B">
        <w:t xml:space="preserve">, nr. </w:t>
      </w:r>
      <w:r w:rsidRPr="00AC592B">
        <w:rPr>
          <w:b/>
        </w:rPr>
        <w:t>1</w:t>
      </w:r>
      <w:r w:rsidRPr="00AC592B">
        <w:t>).</w:t>
      </w:r>
    </w:p>
    <w:p w:rsidRPr="00AC592B" w:rsidR="006E155D" w:rsidRDefault="001856D0" w14:paraId="33DC349D" w14:textId="4706E570">
      <w:pPr>
        <w:ind w:left="1410"/>
      </w:pPr>
      <w:r w:rsidRPr="00AC592B">
        <w:t xml:space="preserve">De daarop door de </w:t>
      </w:r>
      <w:r w:rsidRPr="00AC592B" w:rsidR="00B26CA1">
        <w:t>minister</w:t>
      </w:r>
      <w:r w:rsidRPr="00AC592B">
        <w:t xml:space="preserve"> gegeven antwoorden zijn hierbij afgedrukt.</w:t>
      </w:r>
    </w:p>
    <w:p w:rsidRPr="00AC592B" w:rsidR="006E155D" w:rsidP="00D67D8C" w:rsidRDefault="00D67D8C" w14:paraId="21DB4075" w14:textId="072AAE24">
      <w:pPr>
        <w:tabs>
          <w:tab w:val="left" w:pos="3245"/>
        </w:tabs>
        <w:spacing w:before="0" w:after="0"/>
      </w:pPr>
      <w:r w:rsidRPr="00AC592B">
        <w:tab/>
      </w:r>
    </w:p>
    <w:p w:rsidRPr="00AC592B" w:rsidR="006E155D" w:rsidRDefault="001856D0" w14:paraId="73447EAD" w14:textId="77777777">
      <w:pPr>
        <w:spacing w:before="0" w:after="0"/>
        <w:ind w:left="703" w:firstLine="709"/>
      </w:pPr>
      <w:r w:rsidRPr="00AC592B">
        <w:t xml:space="preserve">Voorzitter van de commissie, </w:t>
      </w:r>
    </w:p>
    <w:p w:rsidRPr="00AC592B" w:rsidR="006E155D" w:rsidRDefault="001856D0" w14:paraId="25BC9934" w14:textId="45762F39">
      <w:pPr>
        <w:spacing w:before="0" w:after="0"/>
      </w:pPr>
      <w:r w:rsidRPr="00AC592B">
        <w:tab/>
      </w:r>
      <w:r w:rsidRPr="00AC592B">
        <w:tab/>
      </w:r>
      <w:r w:rsidRPr="00AC592B" w:rsidR="00B26CA1">
        <w:t>Klaver</w:t>
      </w:r>
    </w:p>
    <w:p w:rsidRPr="00AC592B" w:rsidR="006E155D" w:rsidRDefault="001856D0" w14:paraId="4F4E1829" w14:textId="77777777">
      <w:pPr>
        <w:spacing w:before="0" w:after="0"/>
      </w:pPr>
      <w:r w:rsidRPr="00AC592B">
        <w:tab/>
      </w:r>
      <w:r w:rsidRPr="00AC592B">
        <w:tab/>
      </w:r>
    </w:p>
    <w:p w:rsidRPr="00AC592B" w:rsidR="006E155D" w:rsidRDefault="001856D0" w14:paraId="0201C68C" w14:textId="77777777">
      <w:pPr>
        <w:spacing w:before="0" w:after="0"/>
      </w:pPr>
      <w:r w:rsidRPr="00AC592B">
        <w:tab/>
      </w:r>
      <w:r w:rsidRPr="00AC592B">
        <w:tab/>
        <w:t>Griffier van de commissie,</w:t>
      </w:r>
    </w:p>
    <w:p w:rsidRPr="00AC592B" w:rsidR="006E155D" w:rsidRDefault="001856D0" w14:paraId="192AA0AF" w14:textId="30C19B04">
      <w:pPr>
        <w:spacing w:before="0" w:after="0"/>
      </w:pPr>
      <w:r w:rsidRPr="00AC592B">
        <w:tab/>
      </w:r>
      <w:r w:rsidRPr="00AC592B">
        <w:tab/>
      </w:r>
      <w:r w:rsidRPr="00AC592B" w:rsidR="00B26CA1">
        <w:t>Westerhoff</w:t>
      </w:r>
    </w:p>
    <w:p w:rsidRPr="00AC592B" w:rsidR="006E155D" w:rsidRDefault="006E155D" w14:paraId="1363196B"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Pr="00AC592B" w:rsidR="00AC592B" w:rsidTr="00AC592B" w14:paraId="55DCF447" w14:textId="77777777">
        <w:trPr>
          <w:cantSplit/>
        </w:trPr>
        <w:tc>
          <w:tcPr>
            <w:tcW w:w="567" w:type="dxa"/>
          </w:tcPr>
          <w:p w:rsidRPr="00AC592B" w:rsidR="00AC592B" w:rsidRDefault="00AC592B" w14:paraId="5BD2DF0F" w14:textId="77777777">
            <w:bookmarkStart w:name="bmkStartTabel" w:id="0"/>
            <w:bookmarkEnd w:id="0"/>
            <w:proofErr w:type="spellStart"/>
            <w:r w:rsidRPr="00AC592B">
              <w:t>Nr</w:t>
            </w:r>
            <w:proofErr w:type="spellEnd"/>
          </w:p>
        </w:tc>
        <w:tc>
          <w:tcPr>
            <w:tcW w:w="6521" w:type="dxa"/>
          </w:tcPr>
          <w:p w:rsidRPr="00AC592B" w:rsidR="00AC592B" w:rsidRDefault="00AC592B" w14:paraId="43C41D56" w14:textId="77777777">
            <w:r w:rsidRPr="00AC592B">
              <w:t>Vraag</w:t>
            </w:r>
          </w:p>
        </w:tc>
        <w:tc>
          <w:tcPr>
            <w:tcW w:w="992" w:type="dxa"/>
          </w:tcPr>
          <w:p w:rsidRPr="00AC592B" w:rsidR="00AC592B" w:rsidP="00E7153D" w:rsidRDefault="00AC592B" w14:paraId="68C12F71" w14:textId="77777777">
            <w:pPr>
              <w:jc w:val="right"/>
            </w:pPr>
            <w:r w:rsidRPr="00AC592B">
              <w:t>Blz. (van)</w:t>
            </w:r>
          </w:p>
        </w:tc>
        <w:tc>
          <w:tcPr>
            <w:tcW w:w="567" w:type="dxa"/>
          </w:tcPr>
          <w:p w:rsidRPr="00AC592B" w:rsidR="00AC592B" w:rsidP="00E7153D" w:rsidRDefault="00AC592B" w14:paraId="5645FBE2" w14:textId="77777777">
            <w:pPr>
              <w:jc w:val="center"/>
            </w:pPr>
            <w:r w:rsidRPr="00AC592B">
              <w:t>t/m</w:t>
            </w:r>
          </w:p>
        </w:tc>
      </w:tr>
      <w:tr w:rsidRPr="00AC592B" w:rsidR="00AC592B" w:rsidTr="00AC592B" w14:paraId="0CA81968" w14:textId="77777777">
        <w:trPr>
          <w:cantSplit/>
        </w:trPr>
        <w:tc>
          <w:tcPr>
            <w:tcW w:w="567" w:type="dxa"/>
          </w:tcPr>
          <w:p w:rsidRPr="00AC592B" w:rsidR="00AC592B" w:rsidRDefault="00AC592B" w14:paraId="1DA3EB00" w14:textId="77777777"/>
        </w:tc>
        <w:tc>
          <w:tcPr>
            <w:tcW w:w="6521" w:type="dxa"/>
          </w:tcPr>
          <w:p w:rsidRPr="00AC592B" w:rsidR="00AC592B" w:rsidRDefault="00AC592B" w14:paraId="347B1300" w14:textId="77777777"/>
        </w:tc>
        <w:tc>
          <w:tcPr>
            <w:tcW w:w="992" w:type="dxa"/>
          </w:tcPr>
          <w:p w:rsidRPr="00AC592B" w:rsidR="00AC592B" w:rsidP="00E7153D" w:rsidRDefault="00AC592B" w14:paraId="7094C316" w14:textId="77777777">
            <w:pPr>
              <w:jc w:val="right"/>
            </w:pPr>
          </w:p>
        </w:tc>
        <w:tc>
          <w:tcPr>
            <w:tcW w:w="567" w:type="dxa"/>
          </w:tcPr>
          <w:p w:rsidRPr="00AC592B" w:rsidR="00AC592B" w:rsidP="00E7153D" w:rsidRDefault="00AC592B" w14:paraId="160D05E7" w14:textId="77777777">
            <w:pPr>
              <w:jc w:val="center"/>
            </w:pPr>
          </w:p>
        </w:tc>
      </w:tr>
      <w:tr w:rsidRPr="00AC592B" w:rsidR="00AC592B" w:rsidTr="00AC592B" w14:paraId="25AC0147" w14:textId="77777777">
        <w:tc>
          <w:tcPr>
            <w:tcW w:w="567" w:type="dxa"/>
          </w:tcPr>
          <w:p w:rsidRPr="00AC592B" w:rsidR="00AC592B" w:rsidRDefault="00AC592B" w14:paraId="18942635" w14:textId="77777777">
            <w:r w:rsidRPr="00AC592B">
              <w:t>1</w:t>
            </w:r>
          </w:p>
        </w:tc>
        <w:tc>
          <w:tcPr>
            <w:tcW w:w="6521" w:type="dxa"/>
          </w:tcPr>
          <w:p w:rsidRPr="00D36C54" w:rsidR="00AC592B" w:rsidRDefault="00AC592B" w14:paraId="6D069886" w14:textId="77777777">
            <w:r w:rsidRPr="00D36C54">
              <w:t>Herinnert u zich het antwoord op vraag 51 van de feitelijke vragen over de wijziging van de begrotingsstaat voor Buitenlandse Handel en Ontwikkelingshulp (XVII) voor het jaar 2025 (wijziging samenhangende met de Miljoenennota) (36820-XVII-1-2)? Kunt u aangeven met welke formule de getallen in daarin verwerkte tabel tot stand zijn gekomen?</w:t>
            </w:r>
          </w:p>
          <w:p w:rsidRPr="00D36C54" w:rsidR="00AC592B" w:rsidRDefault="00AC592B" w14:paraId="60F5C05A" w14:textId="77777777"/>
          <w:p w:rsidRPr="00D36C54" w:rsidR="00AC592B" w:rsidRDefault="00AC592B" w14:paraId="2DCA6A14" w14:textId="77777777">
            <w:pPr>
              <w:rPr>
                <w:b/>
                <w:bCs/>
              </w:rPr>
            </w:pPr>
            <w:r w:rsidRPr="00D36C54">
              <w:rPr>
                <w:b/>
                <w:bCs/>
              </w:rPr>
              <w:t>Antwoord</w:t>
            </w:r>
          </w:p>
          <w:p w:rsidRPr="00D36C54" w:rsidR="00AC592B" w:rsidP="00CB3DEB" w:rsidRDefault="00AC592B" w14:paraId="7257ACDA" w14:textId="365C19D2">
            <w:pPr>
              <w:rPr>
                <w:b/>
                <w:bCs/>
              </w:rPr>
            </w:pPr>
            <w:r w:rsidRPr="00D36C54">
              <w:rPr>
                <w:b/>
                <w:bCs/>
              </w:rPr>
              <w:t xml:space="preserve">Het antwoord op vraag 51 van de betreffende </w:t>
            </w:r>
            <w:proofErr w:type="spellStart"/>
            <w:r w:rsidRPr="00D36C54">
              <w:rPr>
                <w:b/>
                <w:bCs/>
              </w:rPr>
              <w:t>vragenset</w:t>
            </w:r>
            <w:proofErr w:type="spellEnd"/>
            <w:r w:rsidRPr="00D36C54">
              <w:rPr>
                <w:b/>
                <w:bCs/>
              </w:rPr>
              <w:t xml:space="preserve"> ziet op de bijstelling van het ODA-budget indien dit in het najaar zou worden gekoppeld aan 0,7% van het </w:t>
            </w:r>
            <w:proofErr w:type="spellStart"/>
            <w:r w:rsidRPr="00D36C54">
              <w:rPr>
                <w:b/>
                <w:bCs/>
              </w:rPr>
              <w:t>bni</w:t>
            </w:r>
            <w:proofErr w:type="spellEnd"/>
            <w:r w:rsidRPr="00D36C54">
              <w:rPr>
                <w:b/>
                <w:bCs/>
              </w:rPr>
              <w:t xml:space="preserve">. Het ODA-budget werd onder voorgaande kabinetten twee keer per jaar bijgesteld op basis van het </w:t>
            </w:r>
            <w:proofErr w:type="spellStart"/>
            <w:r w:rsidRPr="00D36C54">
              <w:rPr>
                <w:b/>
                <w:bCs/>
              </w:rPr>
              <w:t>bni</w:t>
            </w:r>
            <w:proofErr w:type="spellEnd"/>
            <w:r w:rsidRPr="00D36C54">
              <w:rPr>
                <w:b/>
                <w:bCs/>
              </w:rPr>
              <w:t xml:space="preserve">. Dit kabinet stelt het ODA-budget één keer per jaar bij in het voorjaar. De bijstelling van volgend voorjaar ziet op de </w:t>
            </w:r>
            <w:proofErr w:type="spellStart"/>
            <w:r w:rsidRPr="00D36C54">
              <w:rPr>
                <w:b/>
                <w:bCs/>
              </w:rPr>
              <w:t>bni</w:t>
            </w:r>
            <w:proofErr w:type="spellEnd"/>
            <w:r w:rsidRPr="00D36C54">
              <w:rPr>
                <w:b/>
                <w:bCs/>
              </w:rPr>
              <w:t xml:space="preserve">-ontwikkelingen van CEP2025-CEP2026. Daar valt dus ook de </w:t>
            </w:r>
            <w:proofErr w:type="spellStart"/>
            <w:r w:rsidRPr="00D36C54">
              <w:rPr>
                <w:b/>
                <w:bCs/>
              </w:rPr>
              <w:t>bni</w:t>
            </w:r>
            <w:proofErr w:type="spellEnd"/>
            <w:r w:rsidRPr="00D36C54">
              <w:rPr>
                <w:b/>
                <w:bCs/>
              </w:rPr>
              <w:t>-ontwikkeling van CEP2025-MEV2026 onder.</w:t>
            </w:r>
          </w:p>
          <w:p w:rsidRPr="00D36C54" w:rsidR="00AC592B" w:rsidP="00CB3DEB" w:rsidRDefault="00AC592B" w14:paraId="3BD1EA77" w14:textId="5F9B36F6">
            <w:pPr>
              <w:rPr>
                <w:b/>
                <w:bCs/>
              </w:rPr>
            </w:pPr>
            <w:r w:rsidRPr="00D36C54">
              <w:rPr>
                <w:b/>
                <w:bCs/>
              </w:rPr>
              <w:t xml:space="preserve">De bijstelling die in het antwoord op deze vraag wordt getoond is berekend conform de systematiek van voorgaande kabinetten. Voorgaande kabinetten hanteerden een systematiek waarbij er een koppeling was op basis van de streefwaarde van de VN van 0,7% van het </w:t>
            </w:r>
            <w:proofErr w:type="spellStart"/>
            <w:r w:rsidRPr="00D36C54">
              <w:rPr>
                <w:b/>
                <w:bCs/>
              </w:rPr>
              <w:t>bni</w:t>
            </w:r>
            <w:proofErr w:type="spellEnd"/>
            <w:r w:rsidRPr="00D36C54">
              <w:rPr>
                <w:b/>
                <w:bCs/>
              </w:rPr>
              <w:t>. De formule die hierbij gehanteerd werd was: totale ODA-budget = (0,7% x BNI) + intensiveringen – bezuinigingen.</w:t>
            </w:r>
          </w:p>
          <w:p w:rsidRPr="00AA5E3F" w:rsidR="00AC592B" w:rsidRDefault="00AC592B" w14:paraId="73B2A107" w14:textId="6421167E">
            <w:pPr>
              <w:rPr>
                <w:b/>
                <w:bCs/>
              </w:rPr>
            </w:pPr>
            <w:r w:rsidRPr="00D36C54">
              <w:rPr>
                <w:b/>
                <w:bCs/>
              </w:rPr>
              <w:t xml:space="preserve">De berekening bij de beantwoording van desbetreffende vraag is gebaseerd op 0,7% van de ontwikkeling van het </w:t>
            </w:r>
            <w:proofErr w:type="spellStart"/>
            <w:r w:rsidRPr="00D36C54">
              <w:rPr>
                <w:b/>
                <w:bCs/>
              </w:rPr>
              <w:t>bni</w:t>
            </w:r>
            <w:proofErr w:type="spellEnd"/>
            <w:r w:rsidRPr="00D36C54">
              <w:rPr>
                <w:b/>
                <w:bCs/>
              </w:rPr>
              <w:t xml:space="preserve"> van de laatst verwerkte raming (CEP2025) tot de zomerraming van het CPB (MEV2026). Het </w:t>
            </w:r>
            <w:proofErr w:type="spellStart"/>
            <w:r w:rsidRPr="00D36C54">
              <w:rPr>
                <w:b/>
                <w:bCs/>
              </w:rPr>
              <w:t>bni</w:t>
            </w:r>
            <w:proofErr w:type="spellEnd"/>
            <w:r w:rsidRPr="00D36C54">
              <w:rPr>
                <w:b/>
                <w:bCs/>
              </w:rPr>
              <w:t xml:space="preserve"> is bij de MEV2026 gedaald ten opzichte van de CEP2025. Het bijstellen van het ODA-budget levert daarmee een neerwaartse bijstelling op.</w:t>
            </w:r>
            <w:r w:rsidRPr="00AA5E3F">
              <w:rPr>
                <w:b/>
                <w:bCs/>
              </w:rPr>
              <w:t xml:space="preserve"> </w:t>
            </w:r>
          </w:p>
          <w:p w:rsidRPr="00AC592B" w:rsidR="00AC592B" w:rsidRDefault="00AC592B" w14:paraId="068A6DA3" w14:textId="20EEAA3C"/>
        </w:tc>
        <w:tc>
          <w:tcPr>
            <w:tcW w:w="992" w:type="dxa"/>
          </w:tcPr>
          <w:p w:rsidRPr="00AC592B" w:rsidR="00AC592B" w:rsidRDefault="00AC592B" w14:paraId="250D9023" w14:textId="77777777">
            <w:pPr>
              <w:jc w:val="right"/>
            </w:pPr>
            <w:r w:rsidRPr="00AC592B">
              <w:t>0</w:t>
            </w:r>
          </w:p>
        </w:tc>
        <w:tc>
          <w:tcPr>
            <w:tcW w:w="567" w:type="dxa"/>
          </w:tcPr>
          <w:p w:rsidRPr="00AC592B" w:rsidR="00AC592B" w:rsidRDefault="00AC592B" w14:paraId="145F4378" w14:textId="77777777">
            <w:pPr>
              <w:jc w:val="right"/>
            </w:pPr>
            <w:r w:rsidRPr="00AC592B">
              <w:t xml:space="preserve"> </w:t>
            </w:r>
          </w:p>
        </w:tc>
      </w:tr>
      <w:tr w:rsidRPr="00AC592B" w:rsidR="00AC592B" w:rsidTr="00AC592B" w14:paraId="58BB1610" w14:textId="77777777">
        <w:tc>
          <w:tcPr>
            <w:tcW w:w="567" w:type="dxa"/>
          </w:tcPr>
          <w:p w:rsidRPr="00AC592B" w:rsidR="00AC592B" w:rsidRDefault="00AC592B" w14:paraId="52B9BA7D" w14:textId="77777777">
            <w:r w:rsidRPr="00AC592B">
              <w:t>2</w:t>
            </w:r>
          </w:p>
        </w:tc>
        <w:tc>
          <w:tcPr>
            <w:tcW w:w="6521" w:type="dxa"/>
          </w:tcPr>
          <w:p w:rsidRPr="00AC592B" w:rsidR="00AC592B" w:rsidP="001A6448" w:rsidRDefault="00AC592B" w14:paraId="3C3556E7" w14:textId="77777777">
            <w:r w:rsidRPr="00AC592B">
              <w:t>Kunt u aangeven wat het totale budget voor ontwikkelingssamenwerking zou zijn in de jaren 2025, 2026, 2027, 2028 en 2029 als de berekening zou worden gehanteerd, zoals die door vorige kabinetten is gebruikt (ontwikkelingsbudget = (0,7% x Bruto Nationaal Inkomen) + intensiveringen – bezuinigingen)?</w:t>
            </w:r>
          </w:p>
          <w:p w:rsidRPr="00AC592B" w:rsidR="00AC592B" w:rsidP="001A6448" w:rsidRDefault="00AC592B" w14:paraId="65539D2E" w14:textId="77777777"/>
          <w:p w:rsidRPr="00AC592B" w:rsidR="00AC592B" w:rsidP="001A6448" w:rsidRDefault="00AC592B" w14:paraId="53C1CF91" w14:textId="77777777">
            <w:pPr>
              <w:rPr>
                <w:b/>
                <w:bCs/>
              </w:rPr>
            </w:pPr>
            <w:r w:rsidRPr="00AC592B">
              <w:rPr>
                <w:b/>
                <w:bCs/>
              </w:rPr>
              <w:t>Antwoord</w:t>
            </w:r>
          </w:p>
          <w:p w:rsidRPr="00D36C54" w:rsidR="00AC592B" w:rsidP="00616D8C" w:rsidRDefault="00AC592B" w14:paraId="0EC432A6" w14:textId="038D8D34">
            <w:pPr>
              <w:rPr>
                <w:b/>
                <w:bCs/>
              </w:rPr>
            </w:pPr>
            <w:r w:rsidRPr="00D36C54">
              <w:rPr>
                <w:b/>
                <w:bCs/>
              </w:rPr>
              <w:t xml:space="preserve">Het kabinet kiest ervoor om het ODA-budget één keer per jaar bij te stellen op basis van de ontwikkeling van het </w:t>
            </w:r>
            <w:proofErr w:type="spellStart"/>
            <w:r w:rsidRPr="00D36C54">
              <w:rPr>
                <w:b/>
                <w:bCs/>
              </w:rPr>
              <w:t>bni</w:t>
            </w:r>
            <w:proofErr w:type="spellEnd"/>
            <w:r w:rsidRPr="00D36C54">
              <w:rPr>
                <w:b/>
                <w:bCs/>
              </w:rPr>
              <w:t xml:space="preserve">. In de Voorjaarsnota 2025 is het ODA-budget bijgesteld op basis van de koppeling aan de ontwikkeling van het </w:t>
            </w:r>
            <w:proofErr w:type="spellStart"/>
            <w:r w:rsidRPr="00D36C54">
              <w:rPr>
                <w:b/>
                <w:bCs/>
              </w:rPr>
              <w:t>bni</w:t>
            </w:r>
            <w:proofErr w:type="spellEnd"/>
            <w:r w:rsidRPr="00D36C54">
              <w:rPr>
                <w:b/>
                <w:bCs/>
              </w:rPr>
              <w:t xml:space="preserve">. De macroraming van afgelopen zomer, de MEV 2026, wordt nu niet </w:t>
            </w:r>
            <w:r w:rsidRPr="00D36C54">
              <w:rPr>
                <w:b/>
                <w:bCs/>
              </w:rPr>
              <w:lastRenderedPageBreak/>
              <w:t>verwerkt in het</w:t>
            </w:r>
            <w:r w:rsidRPr="00AC592B">
              <w:t xml:space="preserve"> </w:t>
            </w:r>
            <w:r w:rsidRPr="00D36C54">
              <w:rPr>
                <w:b/>
                <w:bCs/>
              </w:rPr>
              <w:t xml:space="preserve">ODA-budget. Bij Voorjaarsnota 2026 wordt het ODA-budget weer geactualiseerd op basis van de </w:t>
            </w:r>
            <w:proofErr w:type="spellStart"/>
            <w:r w:rsidRPr="00D36C54">
              <w:rPr>
                <w:b/>
                <w:bCs/>
              </w:rPr>
              <w:t>bni</w:t>
            </w:r>
            <w:proofErr w:type="spellEnd"/>
            <w:r w:rsidRPr="00D36C54">
              <w:rPr>
                <w:b/>
                <w:bCs/>
              </w:rPr>
              <w:t>-ontwikkeling (CEP 2026 t.o.v. CEP 2025).</w:t>
            </w:r>
          </w:p>
          <w:p w:rsidRPr="00D36C54" w:rsidR="00AC592B" w:rsidP="00616D8C" w:rsidRDefault="00AC592B" w14:paraId="17D7B7A4" w14:textId="77777777">
            <w:pPr>
              <w:rPr>
                <w:b/>
                <w:bCs/>
              </w:rPr>
            </w:pPr>
          </w:p>
          <w:p w:rsidRPr="00D36C54" w:rsidR="00AC592B" w:rsidP="00616D8C" w:rsidRDefault="00AC592B" w14:paraId="74A42FD5" w14:textId="70595399">
            <w:pPr>
              <w:rPr>
                <w:b/>
                <w:bCs/>
              </w:rPr>
            </w:pPr>
            <w:r w:rsidRPr="00D36C54">
              <w:rPr>
                <w:b/>
                <w:bCs/>
              </w:rPr>
              <w:t xml:space="preserve">Indien het ODA-budget op basis van MEV 2026 bij MJN geactualiseerd zou worden, dan zou het ODA-budget neerwaarts zijn bijgesteld, omdat het </w:t>
            </w:r>
            <w:proofErr w:type="spellStart"/>
            <w:r w:rsidRPr="00D36C54">
              <w:rPr>
                <w:b/>
                <w:bCs/>
              </w:rPr>
              <w:t>bni</w:t>
            </w:r>
            <w:proofErr w:type="spellEnd"/>
            <w:r w:rsidRPr="00D36C54">
              <w:rPr>
                <w:b/>
                <w:bCs/>
              </w:rPr>
              <w:t xml:space="preserve"> neerwaarts is bijgesteld t.o.v. de CEP 2025. De budgettaire effecten van 2025 t/m 2029 op basis van een </w:t>
            </w:r>
            <w:proofErr w:type="spellStart"/>
            <w:r w:rsidRPr="00D36C54">
              <w:rPr>
                <w:b/>
                <w:bCs/>
              </w:rPr>
              <w:t>bni</w:t>
            </w:r>
            <w:proofErr w:type="spellEnd"/>
            <w:r w:rsidRPr="00D36C54">
              <w:rPr>
                <w:b/>
                <w:bCs/>
              </w:rPr>
              <w:t xml:space="preserve">-koppeling van 0,7% van het </w:t>
            </w:r>
            <w:proofErr w:type="spellStart"/>
            <w:r w:rsidRPr="00D36C54">
              <w:rPr>
                <w:b/>
                <w:bCs/>
              </w:rPr>
              <w:t>bni</w:t>
            </w:r>
            <w:proofErr w:type="spellEnd"/>
            <w:r w:rsidRPr="00D36C54">
              <w:rPr>
                <w:b/>
                <w:bCs/>
              </w:rPr>
              <w:t xml:space="preserve"> zijn hieronder weergegeven. </w:t>
            </w:r>
          </w:p>
          <w:tbl>
            <w:tblPr>
              <w:tblStyle w:val="TableGrid"/>
              <w:tblpPr w:leftFromText="141" w:rightFromText="141" w:vertAnchor="text" w:horzAnchor="margin" w:tblpY="499"/>
              <w:tblOverlap w:val="never"/>
              <w:tblW w:w="5858" w:type="dxa"/>
              <w:tblLayout w:type="fixed"/>
              <w:tblLook w:val="04A0" w:firstRow="1" w:lastRow="0" w:firstColumn="1" w:lastColumn="0" w:noHBand="0" w:noVBand="1"/>
            </w:tblPr>
            <w:tblGrid>
              <w:gridCol w:w="2778"/>
              <w:gridCol w:w="616"/>
              <w:gridCol w:w="616"/>
              <w:gridCol w:w="616"/>
              <w:gridCol w:w="616"/>
              <w:gridCol w:w="616"/>
            </w:tblGrid>
            <w:tr w:rsidRPr="00D36C54" w:rsidR="00AC592B" w:rsidTr="00616D8C" w14:paraId="3688FF67" w14:textId="77777777">
              <w:tc>
                <w:tcPr>
                  <w:tcW w:w="2778" w:type="dxa"/>
                </w:tcPr>
                <w:p w:rsidRPr="00D36C54" w:rsidR="00AC592B" w:rsidP="00616D8C" w:rsidRDefault="00AC592B" w14:paraId="59CBFC68" w14:textId="77777777">
                  <w:pPr>
                    <w:rPr>
                      <w:b/>
                      <w:bCs/>
                    </w:rPr>
                  </w:pPr>
                  <w:r w:rsidRPr="00D36C54">
                    <w:rPr>
                      <w:b/>
                      <w:bCs/>
                    </w:rPr>
                    <w:t>x EUR mln.</w:t>
                  </w:r>
                </w:p>
              </w:tc>
              <w:tc>
                <w:tcPr>
                  <w:tcW w:w="616" w:type="dxa"/>
                </w:tcPr>
                <w:p w:rsidRPr="00D36C54" w:rsidR="00AC592B" w:rsidP="00616D8C" w:rsidRDefault="00AC592B" w14:paraId="2295D4B7" w14:textId="2675D84E">
                  <w:pPr>
                    <w:rPr>
                      <w:b/>
                      <w:bCs/>
                    </w:rPr>
                  </w:pPr>
                  <w:r w:rsidRPr="00D36C54">
                    <w:rPr>
                      <w:b/>
                      <w:bCs/>
                    </w:rPr>
                    <w:t>2025</w:t>
                  </w:r>
                </w:p>
              </w:tc>
              <w:tc>
                <w:tcPr>
                  <w:tcW w:w="616" w:type="dxa"/>
                </w:tcPr>
                <w:p w:rsidRPr="00D36C54" w:rsidR="00AC592B" w:rsidP="00616D8C" w:rsidRDefault="00AC592B" w14:paraId="019F0FB5" w14:textId="0A560F4E">
                  <w:pPr>
                    <w:rPr>
                      <w:b/>
                      <w:bCs/>
                    </w:rPr>
                  </w:pPr>
                  <w:r w:rsidRPr="00D36C54">
                    <w:rPr>
                      <w:b/>
                      <w:bCs/>
                    </w:rPr>
                    <w:t>2026</w:t>
                  </w:r>
                </w:p>
              </w:tc>
              <w:tc>
                <w:tcPr>
                  <w:tcW w:w="616" w:type="dxa"/>
                </w:tcPr>
                <w:p w:rsidRPr="00D36C54" w:rsidR="00AC592B" w:rsidP="00616D8C" w:rsidRDefault="00AC592B" w14:paraId="4E2A31C6" w14:textId="77777777">
                  <w:pPr>
                    <w:rPr>
                      <w:b/>
                      <w:bCs/>
                    </w:rPr>
                  </w:pPr>
                  <w:r w:rsidRPr="00D36C54">
                    <w:rPr>
                      <w:b/>
                      <w:bCs/>
                    </w:rPr>
                    <w:t>2027</w:t>
                  </w:r>
                </w:p>
              </w:tc>
              <w:tc>
                <w:tcPr>
                  <w:tcW w:w="616" w:type="dxa"/>
                </w:tcPr>
                <w:p w:rsidRPr="00D36C54" w:rsidR="00AC592B" w:rsidP="00616D8C" w:rsidRDefault="00AC592B" w14:paraId="43C45A6A" w14:textId="77777777">
                  <w:pPr>
                    <w:rPr>
                      <w:b/>
                      <w:bCs/>
                    </w:rPr>
                  </w:pPr>
                  <w:r w:rsidRPr="00D36C54">
                    <w:rPr>
                      <w:b/>
                      <w:bCs/>
                    </w:rPr>
                    <w:t>2028</w:t>
                  </w:r>
                </w:p>
              </w:tc>
              <w:tc>
                <w:tcPr>
                  <w:tcW w:w="616" w:type="dxa"/>
                </w:tcPr>
                <w:p w:rsidRPr="00D36C54" w:rsidR="00AC592B" w:rsidP="00616D8C" w:rsidRDefault="00AC592B" w14:paraId="5ECD5F82" w14:textId="77777777">
                  <w:pPr>
                    <w:rPr>
                      <w:b/>
                      <w:bCs/>
                    </w:rPr>
                  </w:pPr>
                  <w:r w:rsidRPr="00D36C54">
                    <w:rPr>
                      <w:b/>
                      <w:bCs/>
                    </w:rPr>
                    <w:t>2029</w:t>
                  </w:r>
                </w:p>
              </w:tc>
            </w:tr>
            <w:tr w:rsidRPr="00D36C54" w:rsidR="00AC592B" w:rsidTr="00616D8C" w14:paraId="7B1A75F3" w14:textId="77777777">
              <w:tc>
                <w:tcPr>
                  <w:tcW w:w="2778" w:type="dxa"/>
                </w:tcPr>
                <w:p w:rsidRPr="00D36C54" w:rsidR="00AC592B" w:rsidP="00616D8C" w:rsidRDefault="00AC592B" w14:paraId="10C53121" w14:textId="77777777">
                  <w:pPr>
                    <w:rPr>
                      <w:b/>
                      <w:bCs/>
                    </w:rPr>
                  </w:pPr>
                  <w:r w:rsidRPr="00D36C54">
                    <w:rPr>
                      <w:b/>
                      <w:bCs/>
                    </w:rPr>
                    <w:t xml:space="preserve">Bijstelling o.b.v. koppeling aan 0,7% van het </w:t>
                  </w:r>
                  <w:proofErr w:type="spellStart"/>
                  <w:r w:rsidRPr="00D36C54">
                    <w:rPr>
                      <w:b/>
                      <w:bCs/>
                    </w:rPr>
                    <w:t>bni</w:t>
                  </w:r>
                  <w:proofErr w:type="spellEnd"/>
                  <w:r w:rsidRPr="00D36C54">
                    <w:rPr>
                      <w:b/>
                      <w:bCs/>
                    </w:rPr>
                    <w:t xml:space="preserve"> (CEP 2025 – MEV 2026)</w:t>
                  </w:r>
                </w:p>
              </w:tc>
              <w:tc>
                <w:tcPr>
                  <w:tcW w:w="616" w:type="dxa"/>
                </w:tcPr>
                <w:p w:rsidRPr="00D36C54" w:rsidR="00AC592B" w:rsidP="00616D8C" w:rsidRDefault="00AC592B" w14:paraId="4FAD3AE6" w14:textId="4804170F">
                  <w:pPr>
                    <w:rPr>
                      <w:b/>
                      <w:bCs/>
                    </w:rPr>
                  </w:pPr>
                  <w:r w:rsidRPr="00D36C54">
                    <w:rPr>
                      <w:b/>
                      <w:bCs/>
                    </w:rPr>
                    <w:t>-59</w:t>
                  </w:r>
                </w:p>
              </w:tc>
              <w:tc>
                <w:tcPr>
                  <w:tcW w:w="616" w:type="dxa"/>
                </w:tcPr>
                <w:p w:rsidRPr="00D36C54" w:rsidR="00AC592B" w:rsidP="00616D8C" w:rsidRDefault="00AC592B" w14:paraId="77FA6C64" w14:textId="6FCE129E">
                  <w:pPr>
                    <w:rPr>
                      <w:b/>
                      <w:bCs/>
                    </w:rPr>
                  </w:pPr>
                  <w:r w:rsidRPr="00D36C54">
                    <w:rPr>
                      <w:b/>
                      <w:bCs/>
                    </w:rPr>
                    <w:t>-87</w:t>
                  </w:r>
                </w:p>
              </w:tc>
              <w:tc>
                <w:tcPr>
                  <w:tcW w:w="616" w:type="dxa"/>
                </w:tcPr>
                <w:p w:rsidRPr="00D36C54" w:rsidR="00AC592B" w:rsidP="00616D8C" w:rsidRDefault="00AC592B" w14:paraId="5D1D3B60" w14:textId="77777777">
                  <w:pPr>
                    <w:rPr>
                      <w:b/>
                      <w:bCs/>
                    </w:rPr>
                  </w:pPr>
                  <w:r w:rsidRPr="00D36C54">
                    <w:rPr>
                      <w:b/>
                      <w:bCs/>
                    </w:rPr>
                    <w:t>-97</w:t>
                  </w:r>
                </w:p>
              </w:tc>
              <w:tc>
                <w:tcPr>
                  <w:tcW w:w="616" w:type="dxa"/>
                </w:tcPr>
                <w:p w:rsidRPr="00D36C54" w:rsidR="00AC592B" w:rsidP="00616D8C" w:rsidRDefault="00AC592B" w14:paraId="457BC63D" w14:textId="7C3CAA6D">
                  <w:pPr>
                    <w:rPr>
                      <w:b/>
                      <w:bCs/>
                    </w:rPr>
                  </w:pPr>
                  <w:r w:rsidRPr="00D36C54">
                    <w:rPr>
                      <w:b/>
                      <w:bCs/>
                    </w:rPr>
                    <w:t>-124</w:t>
                  </w:r>
                </w:p>
              </w:tc>
              <w:tc>
                <w:tcPr>
                  <w:tcW w:w="616" w:type="dxa"/>
                </w:tcPr>
                <w:p w:rsidRPr="00D36C54" w:rsidR="00AC592B" w:rsidP="00616D8C" w:rsidRDefault="00AC592B" w14:paraId="3870EF5F" w14:textId="77777777">
                  <w:pPr>
                    <w:rPr>
                      <w:b/>
                      <w:bCs/>
                    </w:rPr>
                  </w:pPr>
                  <w:r w:rsidRPr="00D36C54">
                    <w:rPr>
                      <w:b/>
                      <w:bCs/>
                    </w:rPr>
                    <w:t>-122</w:t>
                  </w:r>
                </w:p>
              </w:tc>
            </w:tr>
          </w:tbl>
          <w:p w:rsidRPr="00D36C54" w:rsidR="00AC592B" w:rsidP="001911DA" w:rsidRDefault="00AC592B" w14:paraId="45548027" w14:textId="77777777">
            <w:pPr>
              <w:rPr>
                <w:b/>
                <w:bCs/>
              </w:rPr>
            </w:pPr>
          </w:p>
          <w:p w:rsidRPr="00D36C54" w:rsidR="00AC592B" w:rsidP="001A6448" w:rsidRDefault="00AC592B" w14:paraId="4D44D00E" w14:textId="77777777">
            <w:pPr>
              <w:rPr>
                <w:b/>
                <w:bCs/>
              </w:rPr>
            </w:pPr>
          </w:p>
          <w:p w:rsidRPr="00D36C54" w:rsidR="00AC592B" w:rsidP="001A6448" w:rsidRDefault="00AC592B" w14:paraId="282C90E1" w14:textId="77777777">
            <w:pPr>
              <w:rPr>
                <w:b/>
                <w:bCs/>
              </w:rPr>
            </w:pPr>
          </w:p>
          <w:p w:rsidRPr="00D36C54" w:rsidR="00AC592B" w:rsidP="001A6448" w:rsidRDefault="00AC592B" w14:paraId="455102E7" w14:textId="77777777">
            <w:pPr>
              <w:rPr>
                <w:b/>
                <w:bCs/>
              </w:rPr>
            </w:pPr>
          </w:p>
          <w:p w:rsidRPr="00D36C54" w:rsidR="00AC592B" w:rsidP="001A6448" w:rsidRDefault="00AC592B" w14:paraId="4237995A" w14:textId="77777777">
            <w:pPr>
              <w:rPr>
                <w:b/>
                <w:bCs/>
              </w:rPr>
            </w:pPr>
          </w:p>
          <w:p w:rsidRPr="00D36C54" w:rsidR="00AC592B" w:rsidP="001A6448" w:rsidRDefault="00AC592B" w14:paraId="0E5A69B4" w14:textId="77777777">
            <w:pPr>
              <w:rPr>
                <w:b/>
                <w:bCs/>
              </w:rPr>
            </w:pPr>
          </w:p>
          <w:p w:rsidRPr="00D36C54" w:rsidR="00AC592B" w:rsidP="001A6448" w:rsidRDefault="00AC592B" w14:paraId="036AC4FB" w14:textId="0326A18A">
            <w:pPr>
              <w:rPr>
                <w:b/>
                <w:bCs/>
              </w:rPr>
            </w:pPr>
            <w:r w:rsidRPr="00D36C54">
              <w:rPr>
                <w:b/>
                <w:bCs/>
              </w:rPr>
              <w:t>Op basis van deze bijstelling zou het ODA-budget in de jaren 2025 t/m 2029 uitkomen op onderstaande:</w:t>
            </w:r>
          </w:p>
          <w:tbl>
            <w:tblPr>
              <w:tblStyle w:val="TableGrid"/>
              <w:tblpPr w:leftFromText="141" w:rightFromText="141" w:vertAnchor="text" w:horzAnchor="margin" w:tblpY="499"/>
              <w:tblOverlap w:val="never"/>
              <w:tblW w:w="6178" w:type="dxa"/>
              <w:tblLayout w:type="fixed"/>
              <w:tblLook w:val="04A0" w:firstRow="1" w:lastRow="0" w:firstColumn="1" w:lastColumn="0" w:noHBand="0" w:noVBand="1"/>
            </w:tblPr>
            <w:tblGrid>
              <w:gridCol w:w="2778"/>
              <w:gridCol w:w="680"/>
              <w:gridCol w:w="680"/>
              <w:gridCol w:w="680"/>
              <w:gridCol w:w="680"/>
              <w:gridCol w:w="680"/>
            </w:tblGrid>
            <w:tr w:rsidRPr="00D36C54" w:rsidR="00AC592B" w:rsidTr="001A7204" w14:paraId="60DC47EA" w14:textId="77777777">
              <w:tc>
                <w:tcPr>
                  <w:tcW w:w="2778" w:type="dxa"/>
                </w:tcPr>
                <w:p w:rsidRPr="00D36C54" w:rsidR="00AC592B" w:rsidP="00616D8C" w:rsidRDefault="00AC592B" w14:paraId="686F6B9D" w14:textId="77777777">
                  <w:pPr>
                    <w:rPr>
                      <w:b/>
                      <w:bCs/>
                    </w:rPr>
                  </w:pPr>
                  <w:r w:rsidRPr="00D36C54">
                    <w:rPr>
                      <w:b/>
                      <w:bCs/>
                    </w:rPr>
                    <w:t>x EUR mln.</w:t>
                  </w:r>
                </w:p>
              </w:tc>
              <w:tc>
                <w:tcPr>
                  <w:tcW w:w="680" w:type="dxa"/>
                </w:tcPr>
                <w:p w:rsidRPr="00D36C54" w:rsidR="00AC592B" w:rsidP="00616D8C" w:rsidRDefault="00AC592B" w14:paraId="158059E1" w14:textId="77777777">
                  <w:pPr>
                    <w:rPr>
                      <w:b/>
                      <w:bCs/>
                    </w:rPr>
                  </w:pPr>
                  <w:r w:rsidRPr="00D36C54">
                    <w:rPr>
                      <w:b/>
                      <w:bCs/>
                    </w:rPr>
                    <w:t>2025</w:t>
                  </w:r>
                </w:p>
              </w:tc>
              <w:tc>
                <w:tcPr>
                  <w:tcW w:w="680" w:type="dxa"/>
                </w:tcPr>
                <w:p w:rsidRPr="00D36C54" w:rsidR="00AC592B" w:rsidP="00616D8C" w:rsidRDefault="00AC592B" w14:paraId="7804B92B" w14:textId="77777777">
                  <w:pPr>
                    <w:rPr>
                      <w:b/>
                      <w:bCs/>
                    </w:rPr>
                  </w:pPr>
                  <w:r w:rsidRPr="00D36C54">
                    <w:rPr>
                      <w:b/>
                      <w:bCs/>
                    </w:rPr>
                    <w:t>2026</w:t>
                  </w:r>
                </w:p>
              </w:tc>
              <w:tc>
                <w:tcPr>
                  <w:tcW w:w="680" w:type="dxa"/>
                </w:tcPr>
                <w:p w:rsidRPr="00D36C54" w:rsidR="00AC592B" w:rsidP="00616D8C" w:rsidRDefault="00AC592B" w14:paraId="68409BCF" w14:textId="77777777">
                  <w:pPr>
                    <w:rPr>
                      <w:b/>
                      <w:bCs/>
                    </w:rPr>
                  </w:pPr>
                  <w:r w:rsidRPr="00D36C54">
                    <w:rPr>
                      <w:b/>
                      <w:bCs/>
                    </w:rPr>
                    <w:t>2027</w:t>
                  </w:r>
                </w:p>
              </w:tc>
              <w:tc>
                <w:tcPr>
                  <w:tcW w:w="680" w:type="dxa"/>
                </w:tcPr>
                <w:p w:rsidRPr="00D36C54" w:rsidR="00AC592B" w:rsidP="00616D8C" w:rsidRDefault="00AC592B" w14:paraId="11A63157" w14:textId="77777777">
                  <w:pPr>
                    <w:rPr>
                      <w:b/>
                      <w:bCs/>
                    </w:rPr>
                  </w:pPr>
                  <w:r w:rsidRPr="00D36C54">
                    <w:rPr>
                      <w:b/>
                      <w:bCs/>
                    </w:rPr>
                    <w:t>2028</w:t>
                  </w:r>
                </w:p>
              </w:tc>
              <w:tc>
                <w:tcPr>
                  <w:tcW w:w="680" w:type="dxa"/>
                </w:tcPr>
                <w:p w:rsidRPr="00D36C54" w:rsidR="00AC592B" w:rsidP="00616D8C" w:rsidRDefault="00AC592B" w14:paraId="2FBF819E" w14:textId="77777777">
                  <w:pPr>
                    <w:rPr>
                      <w:b/>
                      <w:bCs/>
                    </w:rPr>
                  </w:pPr>
                  <w:r w:rsidRPr="00D36C54">
                    <w:rPr>
                      <w:b/>
                      <w:bCs/>
                    </w:rPr>
                    <w:t>2029</w:t>
                  </w:r>
                </w:p>
              </w:tc>
            </w:tr>
            <w:tr w:rsidRPr="00D36C54" w:rsidR="00AC592B" w:rsidTr="001A7204" w14:paraId="03CC74DA" w14:textId="77777777">
              <w:tc>
                <w:tcPr>
                  <w:tcW w:w="2778" w:type="dxa"/>
                </w:tcPr>
                <w:p w:rsidRPr="00D36C54" w:rsidR="00AC592B" w:rsidP="00616D8C" w:rsidRDefault="00AC592B" w14:paraId="6D54ABBA" w14:textId="0CF7E7B6">
                  <w:pPr>
                    <w:rPr>
                      <w:b/>
                      <w:bCs/>
                    </w:rPr>
                  </w:pPr>
                  <w:r w:rsidRPr="00D36C54">
                    <w:rPr>
                      <w:b/>
                      <w:bCs/>
                    </w:rPr>
                    <w:t>ODA-budget HGIS-nota 2026</w:t>
                  </w:r>
                </w:p>
              </w:tc>
              <w:tc>
                <w:tcPr>
                  <w:tcW w:w="680" w:type="dxa"/>
                </w:tcPr>
                <w:p w:rsidRPr="00D36C54" w:rsidR="00AC592B" w:rsidP="00616D8C" w:rsidRDefault="00AC592B" w14:paraId="644CF76E" w14:textId="7B379F4D">
                  <w:pPr>
                    <w:rPr>
                      <w:b/>
                      <w:bCs/>
                    </w:rPr>
                  </w:pPr>
                  <w:r w:rsidRPr="00D36C54">
                    <w:rPr>
                      <w:b/>
                      <w:bCs/>
                    </w:rPr>
                    <w:t>6.766</w:t>
                  </w:r>
                </w:p>
              </w:tc>
              <w:tc>
                <w:tcPr>
                  <w:tcW w:w="680" w:type="dxa"/>
                </w:tcPr>
                <w:p w:rsidRPr="00D36C54" w:rsidR="00AC592B" w:rsidP="00616D8C" w:rsidRDefault="00AC592B" w14:paraId="77BD1059" w14:textId="08CD9909">
                  <w:pPr>
                    <w:rPr>
                      <w:b/>
                      <w:bCs/>
                    </w:rPr>
                  </w:pPr>
                  <w:r w:rsidRPr="00D36C54">
                    <w:rPr>
                      <w:b/>
                      <w:bCs/>
                    </w:rPr>
                    <w:t>6.746</w:t>
                  </w:r>
                </w:p>
              </w:tc>
              <w:tc>
                <w:tcPr>
                  <w:tcW w:w="680" w:type="dxa"/>
                </w:tcPr>
                <w:p w:rsidRPr="00D36C54" w:rsidR="00AC592B" w:rsidP="00616D8C" w:rsidRDefault="00AC592B" w14:paraId="2B291AEC" w14:textId="6C70508D">
                  <w:pPr>
                    <w:rPr>
                      <w:b/>
                      <w:bCs/>
                    </w:rPr>
                  </w:pPr>
                  <w:r w:rsidRPr="00D36C54">
                    <w:rPr>
                      <w:b/>
                      <w:bCs/>
                    </w:rPr>
                    <w:t>6.118</w:t>
                  </w:r>
                </w:p>
              </w:tc>
              <w:tc>
                <w:tcPr>
                  <w:tcW w:w="680" w:type="dxa"/>
                </w:tcPr>
                <w:p w:rsidRPr="00D36C54" w:rsidR="00AC592B" w:rsidP="00616D8C" w:rsidRDefault="00AC592B" w14:paraId="62FA9B7C" w14:textId="5CAACBE9">
                  <w:pPr>
                    <w:rPr>
                      <w:b/>
                      <w:bCs/>
                    </w:rPr>
                  </w:pPr>
                  <w:r w:rsidRPr="00D36C54">
                    <w:rPr>
                      <w:b/>
                      <w:bCs/>
                    </w:rPr>
                    <w:t>5.784</w:t>
                  </w:r>
                </w:p>
              </w:tc>
              <w:tc>
                <w:tcPr>
                  <w:tcW w:w="680" w:type="dxa"/>
                </w:tcPr>
                <w:p w:rsidRPr="00D36C54" w:rsidR="00AC592B" w:rsidP="00616D8C" w:rsidRDefault="00AC592B" w14:paraId="432BD663" w14:textId="790E6EC2">
                  <w:pPr>
                    <w:rPr>
                      <w:b/>
                      <w:bCs/>
                    </w:rPr>
                  </w:pPr>
                  <w:r w:rsidRPr="00D36C54">
                    <w:rPr>
                      <w:b/>
                      <w:bCs/>
                    </w:rPr>
                    <w:t>6.123</w:t>
                  </w:r>
                </w:p>
              </w:tc>
            </w:tr>
            <w:tr w:rsidRPr="00D36C54" w:rsidR="00AC592B" w:rsidTr="001A7204" w14:paraId="63F19BB7" w14:textId="77777777">
              <w:tc>
                <w:tcPr>
                  <w:tcW w:w="2778" w:type="dxa"/>
                </w:tcPr>
                <w:p w:rsidRPr="00D36C54" w:rsidR="00AC592B" w:rsidP="00616D8C" w:rsidRDefault="00AC592B" w14:paraId="7DBFBAB7" w14:textId="77777777">
                  <w:pPr>
                    <w:rPr>
                      <w:b/>
                      <w:bCs/>
                    </w:rPr>
                  </w:pPr>
                  <w:r w:rsidRPr="00D36C54">
                    <w:rPr>
                      <w:b/>
                      <w:bCs/>
                    </w:rPr>
                    <w:t xml:space="preserve">Bijstelling o.b.v. koppeling aan 0,7% van het </w:t>
                  </w:r>
                  <w:proofErr w:type="spellStart"/>
                  <w:r w:rsidRPr="00D36C54">
                    <w:rPr>
                      <w:b/>
                      <w:bCs/>
                    </w:rPr>
                    <w:t>bni</w:t>
                  </w:r>
                  <w:proofErr w:type="spellEnd"/>
                  <w:r w:rsidRPr="00D36C54">
                    <w:rPr>
                      <w:b/>
                      <w:bCs/>
                    </w:rPr>
                    <w:t xml:space="preserve"> (CEP 2025 – MEV 2026)</w:t>
                  </w:r>
                </w:p>
              </w:tc>
              <w:tc>
                <w:tcPr>
                  <w:tcW w:w="680" w:type="dxa"/>
                </w:tcPr>
                <w:p w:rsidRPr="00D36C54" w:rsidR="00AC592B" w:rsidP="00616D8C" w:rsidRDefault="00AC592B" w14:paraId="3F6AEF19" w14:textId="68788331">
                  <w:pPr>
                    <w:rPr>
                      <w:b/>
                      <w:bCs/>
                    </w:rPr>
                  </w:pPr>
                  <w:r w:rsidRPr="00D36C54">
                    <w:rPr>
                      <w:b/>
                      <w:bCs/>
                    </w:rPr>
                    <w:t>-59</w:t>
                  </w:r>
                </w:p>
              </w:tc>
              <w:tc>
                <w:tcPr>
                  <w:tcW w:w="680" w:type="dxa"/>
                </w:tcPr>
                <w:p w:rsidRPr="00D36C54" w:rsidR="00AC592B" w:rsidP="00616D8C" w:rsidRDefault="00AC592B" w14:paraId="04636C3A" w14:textId="77777777">
                  <w:pPr>
                    <w:rPr>
                      <w:b/>
                      <w:bCs/>
                    </w:rPr>
                  </w:pPr>
                  <w:r w:rsidRPr="00D36C54">
                    <w:rPr>
                      <w:b/>
                      <w:bCs/>
                    </w:rPr>
                    <w:t>-87</w:t>
                  </w:r>
                </w:p>
              </w:tc>
              <w:tc>
                <w:tcPr>
                  <w:tcW w:w="680" w:type="dxa"/>
                </w:tcPr>
                <w:p w:rsidRPr="00D36C54" w:rsidR="00AC592B" w:rsidP="00616D8C" w:rsidRDefault="00AC592B" w14:paraId="753B8DE3" w14:textId="77777777">
                  <w:pPr>
                    <w:rPr>
                      <w:b/>
                      <w:bCs/>
                    </w:rPr>
                  </w:pPr>
                  <w:r w:rsidRPr="00D36C54">
                    <w:rPr>
                      <w:b/>
                      <w:bCs/>
                    </w:rPr>
                    <w:t>-97</w:t>
                  </w:r>
                </w:p>
              </w:tc>
              <w:tc>
                <w:tcPr>
                  <w:tcW w:w="680" w:type="dxa"/>
                </w:tcPr>
                <w:p w:rsidRPr="00D36C54" w:rsidR="00AC592B" w:rsidP="00616D8C" w:rsidRDefault="00AC592B" w14:paraId="08BF2CBD" w14:textId="7D500A62">
                  <w:pPr>
                    <w:rPr>
                      <w:b/>
                      <w:bCs/>
                    </w:rPr>
                  </w:pPr>
                  <w:r w:rsidRPr="00D36C54">
                    <w:rPr>
                      <w:b/>
                      <w:bCs/>
                    </w:rPr>
                    <w:t>-124</w:t>
                  </w:r>
                </w:p>
              </w:tc>
              <w:tc>
                <w:tcPr>
                  <w:tcW w:w="680" w:type="dxa"/>
                </w:tcPr>
                <w:p w:rsidRPr="00D36C54" w:rsidR="00AC592B" w:rsidP="00616D8C" w:rsidRDefault="00AC592B" w14:paraId="2923F819" w14:textId="77777777">
                  <w:pPr>
                    <w:rPr>
                      <w:b/>
                      <w:bCs/>
                    </w:rPr>
                  </w:pPr>
                  <w:r w:rsidRPr="00D36C54">
                    <w:rPr>
                      <w:b/>
                      <w:bCs/>
                    </w:rPr>
                    <w:t>-122</w:t>
                  </w:r>
                </w:p>
              </w:tc>
            </w:tr>
            <w:tr w:rsidRPr="00D36C54" w:rsidR="00AC592B" w:rsidTr="001A7204" w14:paraId="32403955" w14:textId="77777777">
              <w:tc>
                <w:tcPr>
                  <w:tcW w:w="2778" w:type="dxa"/>
                </w:tcPr>
                <w:p w:rsidRPr="00D36C54" w:rsidR="00AC592B" w:rsidP="00616D8C" w:rsidRDefault="00AC592B" w14:paraId="229FA9F8" w14:textId="0DDFFC01">
                  <w:pPr>
                    <w:rPr>
                      <w:b/>
                      <w:bCs/>
                    </w:rPr>
                  </w:pPr>
                  <w:r w:rsidRPr="00D36C54">
                    <w:rPr>
                      <w:b/>
                      <w:bCs/>
                    </w:rPr>
                    <w:t xml:space="preserve">ODA-budget met bijstelling op basis van 0,7% van het </w:t>
                  </w:r>
                  <w:proofErr w:type="spellStart"/>
                  <w:r w:rsidRPr="00D36C54">
                    <w:rPr>
                      <w:b/>
                      <w:bCs/>
                    </w:rPr>
                    <w:t>bni</w:t>
                  </w:r>
                  <w:proofErr w:type="spellEnd"/>
                </w:p>
              </w:tc>
              <w:tc>
                <w:tcPr>
                  <w:tcW w:w="680" w:type="dxa"/>
                </w:tcPr>
                <w:p w:rsidRPr="00D36C54" w:rsidR="00AC592B" w:rsidP="00616D8C" w:rsidRDefault="00AC592B" w14:paraId="6248542D" w14:textId="7C98E543">
                  <w:pPr>
                    <w:rPr>
                      <w:b/>
                      <w:bCs/>
                    </w:rPr>
                  </w:pPr>
                  <w:r w:rsidRPr="00D36C54">
                    <w:rPr>
                      <w:b/>
                      <w:bCs/>
                    </w:rPr>
                    <w:t>6.707</w:t>
                  </w:r>
                </w:p>
              </w:tc>
              <w:tc>
                <w:tcPr>
                  <w:tcW w:w="680" w:type="dxa"/>
                </w:tcPr>
                <w:p w:rsidRPr="00D36C54" w:rsidR="00AC592B" w:rsidP="00616D8C" w:rsidRDefault="00AC592B" w14:paraId="0BD22E53" w14:textId="10A030AE">
                  <w:pPr>
                    <w:rPr>
                      <w:b/>
                      <w:bCs/>
                    </w:rPr>
                  </w:pPr>
                  <w:r w:rsidRPr="00D36C54">
                    <w:rPr>
                      <w:b/>
                      <w:bCs/>
                    </w:rPr>
                    <w:t>6.659</w:t>
                  </w:r>
                </w:p>
              </w:tc>
              <w:tc>
                <w:tcPr>
                  <w:tcW w:w="680" w:type="dxa"/>
                </w:tcPr>
                <w:p w:rsidRPr="00D36C54" w:rsidR="00AC592B" w:rsidP="00616D8C" w:rsidRDefault="00AC592B" w14:paraId="1947CFD1" w14:textId="6C784811">
                  <w:pPr>
                    <w:rPr>
                      <w:b/>
                      <w:bCs/>
                    </w:rPr>
                  </w:pPr>
                  <w:r w:rsidRPr="00D36C54">
                    <w:rPr>
                      <w:b/>
                      <w:bCs/>
                    </w:rPr>
                    <w:t>6.021</w:t>
                  </w:r>
                </w:p>
              </w:tc>
              <w:tc>
                <w:tcPr>
                  <w:tcW w:w="680" w:type="dxa"/>
                </w:tcPr>
                <w:p w:rsidRPr="00D36C54" w:rsidR="00AC592B" w:rsidP="00616D8C" w:rsidRDefault="00AC592B" w14:paraId="72FC3819" w14:textId="021A95D4">
                  <w:pPr>
                    <w:rPr>
                      <w:b/>
                      <w:bCs/>
                    </w:rPr>
                  </w:pPr>
                  <w:r w:rsidRPr="00D36C54">
                    <w:rPr>
                      <w:b/>
                      <w:bCs/>
                    </w:rPr>
                    <w:t>5.660</w:t>
                  </w:r>
                </w:p>
              </w:tc>
              <w:tc>
                <w:tcPr>
                  <w:tcW w:w="680" w:type="dxa"/>
                </w:tcPr>
                <w:p w:rsidRPr="00D36C54" w:rsidR="00AC592B" w:rsidP="00616D8C" w:rsidRDefault="00AC592B" w14:paraId="5101199B" w14:textId="6DB763D8">
                  <w:pPr>
                    <w:rPr>
                      <w:b/>
                      <w:bCs/>
                    </w:rPr>
                  </w:pPr>
                  <w:r w:rsidRPr="00D36C54">
                    <w:rPr>
                      <w:b/>
                      <w:bCs/>
                    </w:rPr>
                    <w:t>6.001</w:t>
                  </w:r>
                </w:p>
              </w:tc>
            </w:tr>
          </w:tbl>
          <w:p w:rsidRPr="00D36C54" w:rsidR="00AC592B" w:rsidP="001A6448" w:rsidRDefault="00AC592B" w14:paraId="09049F1D" w14:textId="77777777">
            <w:pPr>
              <w:rPr>
                <w:b/>
                <w:bCs/>
              </w:rPr>
            </w:pPr>
          </w:p>
          <w:p w:rsidRPr="00AC592B" w:rsidR="00AC592B" w:rsidP="001A6448" w:rsidRDefault="00AC592B" w14:paraId="3A342201" w14:textId="12F692E1"/>
        </w:tc>
        <w:tc>
          <w:tcPr>
            <w:tcW w:w="992" w:type="dxa"/>
          </w:tcPr>
          <w:p w:rsidRPr="00AC592B" w:rsidR="00AC592B" w:rsidRDefault="00AC592B" w14:paraId="6B40A9C6" w14:textId="77777777">
            <w:pPr>
              <w:jc w:val="right"/>
            </w:pPr>
            <w:r w:rsidRPr="00AC592B">
              <w:lastRenderedPageBreak/>
              <w:t>0</w:t>
            </w:r>
          </w:p>
        </w:tc>
        <w:tc>
          <w:tcPr>
            <w:tcW w:w="567" w:type="dxa"/>
          </w:tcPr>
          <w:p w:rsidRPr="00AC592B" w:rsidR="00AC592B" w:rsidRDefault="00AC592B" w14:paraId="2ABE11BC" w14:textId="77777777">
            <w:pPr>
              <w:jc w:val="right"/>
            </w:pPr>
            <w:r w:rsidRPr="00AC592B">
              <w:t xml:space="preserve"> </w:t>
            </w:r>
          </w:p>
        </w:tc>
      </w:tr>
      <w:tr w:rsidRPr="00AC592B" w:rsidR="00AC592B" w:rsidTr="00AC592B" w14:paraId="59633ABC" w14:textId="77777777">
        <w:tc>
          <w:tcPr>
            <w:tcW w:w="567" w:type="dxa"/>
          </w:tcPr>
          <w:p w:rsidRPr="00AC592B" w:rsidR="00AC592B" w:rsidRDefault="00AC592B" w14:paraId="1C4A4991" w14:textId="77777777">
            <w:r w:rsidRPr="00AC592B">
              <w:t>3</w:t>
            </w:r>
          </w:p>
        </w:tc>
        <w:tc>
          <w:tcPr>
            <w:tcW w:w="6521" w:type="dxa"/>
          </w:tcPr>
          <w:p w:rsidRPr="00AC592B" w:rsidR="00AC592B" w:rsidP="001A6448" w:rsidRDefault="00AC592B" w14:paraId="638C543D" w14:textId="77777777">
            <w:r w:rsidRPr="00AC592B">
              <w:t xml:space="preserve">Wat wordt bedoeld met de bijdragen aan campagnes en </w:t>
            </w:r>
            <w:proofErr w:type="spellStart"/>
            <w:r w:rsidRPr="00AC592B">
              <w:t>lobby-activiteiten</w:t>
            </w:r>
            <w:proofErr w:type="spellEnd"/>
            <w:r w:rsidRPr="00AC592B">
              <w:t xml:space="preserve"> bij acquisities van Internationale Organisaties (</w:t>
            </w:r>
            <w:proofErr w:type="spellStart"/>
            <w:r w:rsidRPr="00AC592B">
              <w:t>IO's</w:t>
            </w:r>
            <w:proofErr w:type="spellEnd"/>
            <w:r w:rsidRPr="00AC592B">
              <w:t>)? Aan welke acquisities wordt momenteel gewerkt?</w:t>
            </w:r>
          </w:p>
          <w:p w:rsidRPr="00AC592B" w:rsidR="00AC592B" w:rsidP="001A6448" w:rsidRDefault="00AC592B" w14:paraId="19889F73" w14:textId="77777777"/>
          <w:p w:rsidRPr="00AC592B" w:rsidR="00AC592B" w:rsidP="00D73931" w:rsidRDefault="00AC592B" w14:paraId="5D1B0651" w14:textId="2823A62A">
            <w:pPr>
              <w:rPr>
                <w:b/>
                <w:bCs/>
              </w:rPr>
            </w:pPr>
            <w:r w:rsidRPr="00AC592B">
              <w:rPr>
                <w:b/>
                <w:bCs/>
              </w:rPr>
              <w:t>Antwoord</w:t>
            </w:r>
          </w:p>
          <w:p w:rsidRPr="00D36C54" w:rsidR="00AC592B" w:rsidP="00B447DC" w:rsidRDefault="00AC592B" w14:paraId="70CE3E72" w14:textId="58B610F5">
            <w:pPr>
              <w:rPr>
                <w:b/>
                <w:bCs/>
              </w:rPr>
            </w:pPr>
            <w:r w:rsidRPr="00D36C54">
              <w:rPr>
                <w:b/>
                <w:bCs/>
              </w:rPr>
              <w:t xml:space="preserve">Bijdragen aan campagnes en </w:t>
            </w:r>
            <w:r w:rsidRPr="00D36C54" w:rsidR="00D36C54">
              <w:rPr>
                <w:b/>
                <w:bCs/>
              </w:rPr>
              <w:t>lobbyactiviteiten</w:t>
            </w:r>
            <w:r w:rsidRPr="00D36C54">
              <w:rPr>
                <w:b/>
                <w:bCs/>
              </w:rPr>
              <w:t xml:space="preserve"> zijn, zo nodig, financiële instrumenten in het kader van het gastlandbeleid. </w:t>
            </w:r>
          </w:p>
          <w:p w:rsidRPr="00D36C54" w:rsidR="00AC592B" w:rsidP="000F7ED0" w:rsidRDefault="00AC592B" w14:paraId="7FCB9D6C" w14:textId="5C9B1EBD">
            <w:pPr>
              <w:rPr>
                <w:b/>
                <w:bCs/>
              </w:rPr>
            </w:pPr>
            <w:r w:rsidRPr="00D36C54">
              <w:rPr>
                <w:b/>
                <w:bCs/>
              </w:rPr>
              <w:t xml:space="preserve">Als er concurrentie is van andere landen voor het vestigen van een internationale organisatie in Nederland, kan het nodig zijn een campagne of </w:t>
            </w:r>
            <w:r w:rsidRPr="00D36C54" w:rsidR="00D36C54">
              <w:rPr>
                <w:b/>
                <w:bCs/>
              </w:rPr>
              <w:t>lobbyactiviteiten</w:t>
            </w:r>
            <w:r w:rsidRPr="00D36C54">
              <w:rPr>
                <w:b/>
                <w:bCs/>
              </w:rPr>
              <w:t xml:space="preserve"> te starten in bijvoorbeeld hoofdsteden van andere landen en/of in Brussel of New York. </w:t>
            </w:r>
          </w:p>
          <w:p w:rsidRPr="00D36C54" w:rsidR="00AC592B" w:rsidP="00B447DC" w:rsidRDefault="00AC592B" w14:paraId="7AE0E35A" w14:textId="40AF1BB8">
            <w:pPr>
              <w:rPr>
                <w:b/>
                <w:bCs/>
              </w:rPr>
            </w:pPr>
            <w:r w:rsidRPr="00D36C54">
              <w:rPr>
                <w:b/>
                <w:bCs/>
              </w:rPr>
              <w:t xml:space="preserve">Op dit moment wordt gewerkt aan de mogelijke vestiging van het UN International Computing Centre, het Speciaal Tribunaal voor het misdrijf agressie tegen Oekraïne en de </w:t>
            </w:r>
            <w:proofErr w:type="spellStart"/>
            <w:r w:rsidRPr="00D36C54">
              <w:rPr>
                <w:b/>
                <w:bCs/>
              </w:rPr>
              <w:t>Claimscommissie</w:t>
            </w:r>
            <w:proofErr w:type="spellEnd"/>
            <w:r w:rsidRPr="00D36C54">
              <w:rPr>
                <w:b/>
                <w:bCs/>
              </w:rPr>
              <w:t xml:space="preserve"> voor Oekraïne. Verder wordt gewerkt aan de kandidatuur voor de Einstein Telescoop en de mogelijke kandidatuur voor het EU-Douaneagentschap. Besluitvorming over het vestigen van internationale organisaties in Nederland verloopt via de Ministerraad, waar ook nadrukkelijk gekeken wordt naar financiële haalbaarheid en uitvoerbaarheid. </w:t>
            </w:r>
          </w:p>
          <w:p w:rsidR="00AC592B" w:rsidP="001A6448" w:rsidRDefault="00AC592B" w14:paraId="14B3D74F" w14:textId="77777777"/>
          <w:p w:rsidR="00D36C54" w:rsidP="001A6448" w:rsidRDefault="00D36C54" w14:paraId="07B8FD67" w14:textId="77777777"/>
          <w:p w:rsidR="00D36C54" w:rsidP="001A6448" w:rsidRDefault="00D36C54" w14:paraId="075E6329" w14:textId="77777777"/>
          <w:p w:rsidRPr="00AC592B" w:rsidR="00D36C54" w:rsidP="001A6448" w:rsidRDefault="00D36C54" w14:paraId="68F50CC6" w14:textId="34DF02AB"/>
        </w:tc>
        <w:tc>
          <w:tcPr>
            <w:tcW w:w="992" w:type="dxa"/>
          </w:tcPr>
          <w:p w:rsidRPr="00AC592B" w:rsidR="00AC592B" w:rsidRDefault="00AC592B" w14:paraId="14D5B81B" w14:textId="77777777">
            <w:pPr>
              <w:jc w:val="right"/>
            </w:pPr>
            <w:r w:rsidRPr="00AC592B">
              <w:t>11</w:t>
            </w:r>
          </w:p>
        </w:tc>
        <w:tc>
          <w:tcPr>
            <w:tcW w:w="567" w:type="dxa"/>
          </w:tcPr>
          <w:p w:rsidRPr="00AC592B" w:rsidR="00AC592B" w:rsidRDefault="00AC592B" w14:paraId="660498B5" w14:textId="77777777">
            <w:pPr>
              <w:jc w:val="right"/>
            </w:pPr>
            <w:r w:rsidRPr="00AC592B">
              <w:t xml:space="preserve"> </w:t>
            </w:r>
          </w:p>
        </w:tc>
      </w:tr>
      <w:tr w:rsidRPr="00AC592B" w:rsidR="00AC592B" w:rsidTr="00AC592B" w14:paraId="0AA9F2F0" w14:textId="77777777">
        <w:tc>
          <w:tcPr>
            <w:tcW w:w="567" w:type="dxa"/>
          </w:tcPr>
          <w:p w:rsidRPr="00AC592B" w:rsidR="00AC592B" w:rsidRDefault="00AC592B" w14:paraId="4ED1161D" w14:textId="77777777">
            <w:r w:rsidRPr="00AC592B">
              <w:lastRenderedPageBreak/>
              <w:t>4</w:t>
            </w:r>
          </w:p>
        </w:tc>
        <w:tc>
          <w:tcPr>
            <w:tcW w:w="6521" w:type="dxa"/>
          </w:tcPr>
          <w:p w:rsidRPr="00AC592B" w:rsidR="00AC592B" w:rsidP="001A6448" w:rsidRDefault="00AC592B" w14:paraId="51FF10CA" w14:textId="77777777">
            <w:r w:rsidRPr="00AC592B">
              <w:t xml:space="preserve">Hoe groot is de exacte Nederlandse bijdrage aan de North </w:t>
            </w:r>
            <w:proofErr w:type="spellStart"/>
            <w:r w:rsidRPr="00AC592B">
              <w:t>Atlantic</w:t>
            </w:r>
            <w:proofErr w:type="spellEnd"/>
            <w:r w:rsidRPr="00AC592B">
              <w:t xml:space="preserve"> Ice </w:t>
            </w:r>
            <w:proofErr w:type="spellStart"/>
            <w:r w:rsidRPr="00AC592B">
              <w:t>Patrol</w:t>
            </w:r>
            <w:proofErr w:type="spellEnd"/>
            <w:r w:rsidRPr="00AC592B">
              <w:t xml:space="preserve"> en hoe verhoudt deze bijdrage zich tot die van de voorgaande jaren?</w:t>
            </w:r>
          </w:p>
          <w:p w:rsidRPr="00AC592B" w:rsidR="00AC592B" w:rsidP="001A6448" w:rsidRDefault="00AC592B" w14:paraId="0226B7C0" w14:textId="77777777"/>
          <w:p w:rsidRPr="00AC592B" w:rsidR="00AC592B" w:rsidP="001A6448" w:rsidRDefault="00AC592B" w14:paraId="323E1865" w14:textId="78BF1923">
            <w:pPr>
              <w:rPr>
                <w:b/>
                <w:bCs/>
              </w:rPr>
            </w:pPr>
            <w:r w:rsidRPr="00AC592B">
              <w:rPr>
                <w:b/>
                <w:bCs/>
              </w:rPr>
              <w:t>Antwoord</w:t>
            </w:r>
          </w:p>
          <w:p w:rsidRPr="00D36C54" w:rsidR="00AC592B" w:rsidP="002D6B97" w:rsidRDefault="00AC592B" w14:paraId="3B0DB0B2" w14:textId="77777777">
            <w:pPr>
              <w:rPr>
                <w:b/>
                <w:bCs/>
              </w:rPr>
            </w:pPr>
            <w:r w:rsidRPr="00D36C54">
              <w:rPr>
                <w:b/>
                <w:bCs/>
              </w:rPr>
              <w:t xml:space="preserve">De bijdrage aan de North </w:t>
            </w:r>
            <w:proofErr w:type="spellStart"/>
            <w:r w:rsidRPr="00D36C54">
              <w:rPr>
                <w:b/>
                <w:bCs/>
              </w:rPr>
              <w:t>Atlantic</w:t>
            </w:r>
            <w:proofErr w:type="spellEnd"/>
            <w:r w:rsidRPr="00D36C54">
              <w:rPr>
                <w:b/>
                <w:bCs/>
              </w:rPr>
              <w:t xml:space="preserve"> Ice </w:t>
            </w:r>
            <w:proofErr w:type="spellStart"/>
            <w:r w:rsidRPr="00D36C54">
              <w:rPr>
                <w:b/>
                <w:bCs/>
              </w:rPr>
              <w:t>Patrol</w:t>
            </w:r>
            <w:proofErr w:type="spellEnd"/>
            <w:r w:rsidRPr="00D36C54">
              <w:rPr>
                <w:b/>
                <w:bCs/>
              </w:rPr>
              <w:t xml:space="preserve"> speelt een belangrijke rol in de veiligheid op zee en het voorkomen van ongelukken.</w:t>
            </w:r>
          </w:p>
          <w:p w:rsidRPr="00D36C54" w:rsidR="00AC592B" w:rsidP="002D6B97" w:rsidRDefault="00AC592B" w14:paraId="17406A4B" w14:textId="56D3633C">
            <w:pPr>
              <w:rPr>
                <w:b/>
                <w:bCs/>
              </w:rPr>
            </w:pPr>
            <w:r w:rsidRPr="00D36C54">
              <w:rPr>
                <w:b/>
                <w:bCs/>
              </w:rPr>
              <w:t>Voor 2026 wordt rekening gehouden met een bijdrage van EUR 80.000,- De exacte bijdrage hangt af van de daadwerkelijk gemaakte kosten in 2023 - 2025.</w:t>
            </w:r>
          </w:p>
          <w:p w:rsidRPr="00D36C54" w:rsidR="00AC592B" w:rsidP="002D6B97" w:rsidRDefault="00AC592B" w14:paraId="1D3A799E" w14:textId="77777777">
            <w:pPr>
              <w:rPr>
                <w:b/>
                <w:bCs/>
              </w:rPr>
            </w:pPr>
            <w:r w:rsidRPr="00D36C54">
              <w:rPr>
                <w:b/>
                <w:bCs/>
              </w:rPr>
              <w:t>In voorgaande jaren zijn de volgende bijdragen verstrekt:</w:t>
            </w:r>
          </w:p>
          <w:p w:rsidRPr="00D36C54" w:rsidR="00AC592B" w:rsidP="002D6B97" w:rsidRDefault="00AC592B" w14:paraId="675868FB" w14:textId="5ADF94E1">
            <w:pPr>
              <w:rPr>
                <w:b/>
                <w:bCs/>
              </w:rPr>
            </w:pPr>
            <w:r w:rsidRPr="00D36C54">
              <w:rPr>
                <w:b/>
                <w:bCs/>
              </w:rPr>
              <w:t>2023 EUR 65.356,47 over 2020 - 2022</w:t>
            </w:r>
          </w:p>
          <w:p w:rsidRPr="00D36C54" w:rsidR="00AC592B" w:rsidP="002D6B97" w:rsidRDefault="00AC592B" w14:paraId="45C04312" w14:textId="14934B9D">
            <w:pPr>
              <w:rPr>
                <w:b/>
                <w:bCs/>
              </w:rPr>
            </w:pPr>
            <w:r w:rsidRPr="00D36C54">
              <w:rPr>
                <w:b/>
                <w:bCs/>
              </w:rPr>
              <w:t>2024 EUR 70.905,14 over 2021 - 2023</w:t>
            </w:r>
          </w:p>
          <w:p w:rsidRPr="00D36C54" w:rsidR="00AC592B" w:rsidP="002D6B97" w:rsidRDefault="00AC592B" w14:paraId="4BD991D9" w14:textId="7BD9D3DD">
            <w:pPr>
              <w:rPr>
                <w:b/>
                <w:bCs/>
              </w:rPr>
            </w:pPr>
            <w:r w:rsidRPr="00D36C54">
              <w:rPr>
                <w:b/>
                <w:bCs/>
              </w:rPr>
              <w:t>2025 nog niet bekend, dit zijn de kosten over 2022-2024</w:t>
            </w:r>
          </w:p>
          <w:p w:rsidRPr="00AC592B" w:rsidR="00AC592B" w:rsidP="00AC592B" w:rsidRDefault="00AC592B" w14:paraId="464A2BE1" w14:textId="34C4B26D"/>
        </w:tc>
        <w:tc>
          <w:tcPr>
            <w:tcW w:w="992" w:type="dxa"/>
          </w:tcPr>
          <w:p w:rsidRPr="00AC592B" w:rsidR="00AC592B" w:rsidRDefault="00AC592B" w14:paraId="6AEA96CF" w14:textId="77777777">
            <w:pPr>
              <w:jc w:val="right"/>
            </w:pPr>
            <w:r w:rsidRPr="00AC592B">
              <w:t>11</w:t>
            </w:r>
          </w:p>
        </w:tc>
        <w:tc>
          <w:tcPr>
            <w:tcW w:w="567" w:type="dxa"/>
          </w:tcPr>
          <w:p w:rsidRPr="00AC592B" w:rsidR="00AC592B" w:rsidRDefault="00AC592B" w14:paraId="44A8614F" w14:textId="77777777">
            <w:pPr>
              <w:jc w:val="right"/>
            </w:pPr>
            <w:r w:rsidRPr="00AC592B">
              <w:t xml:space="preserve"> </w:t>
            </w:r>
          </w:p>
        </w:tc>
      </w:tr>
      <w:tr w:rsidRPr="00AC592B" w:rsidR="00AC592B" w:rsidTr="00AC592B" w14:paraId="45F645CA" w14:textId="77777777">
        <w:tc>
          <w:tcPr>
            <w:tcW w:w="567" w:type="dxa"/>
          </w:tcPr>
          <w:p w:rsidRPr="00AC592B" w:rsidR="00AC592B" w:rsidRDefault="00AC592B" w14:paraId="34D98F7F" w14:textId="77777777">
            <w:r w:rsidRPr="00AC592B">
              <w:t>5</w:t>
            </w:r>
          </w:p>
        </w:tc>
        <w:tc>
          <w:tcPr>
            <w:tcW w:w="6521" w:type="dxa"/>
          </w:tcPr>
          <w:p w:rsidRPr="00AC592B" w:rsidR="00AC592B" w:rsidP="001A6448" w:rsidRDefault="00AC592B" w14:paraId="1DCEB82A" w14:textId="77777777">
            <w:r w:rsidRPr="00AC592B">
              <w:t>Werkt u samen met andere ministeries aan de Internationale Cyberstrategie? Zo ja, met welke ministeries en op welke manier? Zo niet, waarom niet?</w:t>
            </w:r>
          </w:p>
          <w:p w:rsidRPr="00AC592B" w:rsidR="00AC592B" w:rsidP="001A6448" w:rsidRDefault="00AC592B" w14:paraId="1E7BD430" w14:textId="77777777"/>
          <w:p w:rsidRPr="00AC592B" w:rsidR="00AC592B" w:rsidP="001A6448" w:rsidRDefault="00AC592B" w14:paraId="0F88005E" w14:textId="77777777">
            <w:pPr>
              <w:rPr>
                <w:b/>
                <w:bCs/>
              </w:rPr>
            </w:pPr>
            <w:r w:rsidRPr="00AC592B">
              <w:rPr>
                <w:b/>
                <w:bCs/>
              </w:rPr>
              <w:t>Antwoord</w:t>
            </w:r>
          </w:p>
          <w:p w:rsidRPr="00D36C54" w:rsidR="00AC592B" w:rsidP="00955EE7" w:rsidRDefault="00AC592B" w14:paraId="6F82E233" w14:textId="09ED687F">
            <w:pPr>
              <w:rPr>
                <w:b/>
                <w:bCs/>
              </w:rPr>
            </w:pPr>
            <w:r w:rsidRPr="00D36C54">
              <w:rPr>
                <w:b/>
                <w:bCs/>
              </w:rPr>
              <w:t xml:space="preserve">Ja, bij de uitvoering van de Internationale Cyberstrategie is een groot aantal ministeries en instanties betrokken. Daarom bood de minister van Buitenlandse Zaken de strategie in 2023 mede aan namens de ministers van Justitie en Veiligheid, Economische Zaken en Klimaat, Defensie, Binnenlandse Zaken en Koninkrijksrelaties, de staatssecretaris Buitenlandse Handel en Ontwikkelingshulp en de staatssecretaris van Binnenlandse Zaken en Koninkrijksrelaties. Daarnaast zijn ook de AIVD en de MIVD en het Nationaal Cyber Security Centrum (NCSC) nauw betrokken. </w:t>
            </w:r>
          </w:p>
          <w:p w:rsidRPr="00AC592B" w:rsidR="00AC592B" w:rsidP="001A6448" w:rsidRDefault="00AC592B" w14:paraId="1962B85B" w14:textId="52FE3C4B"/>
        </w:tc>
        <w:tc>
          <w:tcPr>
            <w:tcW w:w="992" w:type="dxa"/>
          </w:tcPr>
          <w:p w:rsidRPr="00AC592B" w:rsidR="00AC592B" w:rsidRDefault="00AC592B" w14:paraId="771E54ED" w14:textId="77777777">
            <w:pPr>
              <w:jc w:val="right"/>
            </w:pPr>
            <w:r w:rsidRPr="00AC592B">
              <w:t>13</w:t>
            </w:r>
          </w:p>
        </w:tc>
        <w:tc>
          <w:tcPr>
            <w:tcW w:w="567" w:type="dxa"/>
          </w:tcPr>
          <w:p w:rsidRPr="00AC592B" w:rsidR="00AC592B" w:rsidRDefault="00AC592B" w14:paraId="61AD0719" w14:textId="77777777">
            <w:pPr>
              <w:jc w:val="right"/>
            </w:pPr>
            <w:r w:rsidRPr="00AC592B">
              <w:t xml:space="preserve"> </w:t>
            </w:r>
          </w:p>
        </w:tc>
      </w:tr>
      <w:tr w:rsidRPr="00AC592B" w:rsidR="00AC592B" w:rsidTr="00AC592B" w14:paraId="084E6FFB" w14:textId="77777777">
        <w:tc>
          <w:tcPr>
            <w:tcW w:w="567" w:type="dxa"/>
          </w:tcPr>
          <w:p w:rsidRPr="00AC592B" w:rsidR="00AC592B" w:rsidRDefault="00AC592B" w14:paraId="13E02BF4" w14:textId="77777777">
            <w:r w:rsidRPr="00AC592B">
              <w:t>6</w:t>
            </w:r>
          </w:p>
        </w:tc>
        <w:tc>
          <w:tcPr>
            <w:tcW w:w="6521" w:type="dxa"/>
          </w:tcPr>
          <w:p w:rsidRPr="00AC592B" w:rsidR="00AC592B" w:rsidP="001A6448" w:rsidRDefault="00AC592B" w14:paraId="4AF7A7C9" w14:textId="77777777">
            <w:r w:rsidRPr="00AC592B">
              <w:t xml:space="preserve">Kunt u aangeven wat Nederland exact bijdraagt aan de Open Skies </w:t>
            </w:r>
            <w:proofErr w:type="spellStart"/>
            <w:r w:rsidRPr="00AC592B">
              <w:t>Consultative</w:t>
            </w:r>
            <w:proofErr w:type="spellEnd"/>
            <w:r w:rsidRPr="00AC592B">
              <w:t xml:space="preserve"> </w:t>
            </w:r>
            <w:proofErr w:type="spellStart"/>
            <w:r w:rsidRPr="00AC592B">
              <w:t>Commission</w:t>
            </w:r>
            <w:proofErr w:type="spellEnd"/>
            <w:r w:rsidRPr="00AC592B">
              <w:t xml:space="preserve"> van de Organisatie voor Veiligheid en Samenwerking in Europa (OVSE), wat met dit geld gedaan wordt en welke landen er nog meer aan bijdragen?</w:t>
            </w:r>
          </w:p>
          <w:p w:rsidRPr="00AC592B" w:rsidR="00AC592B" w:rsidP="001A6448" w:rsidRDefault="00AC592B" w14:paraId="19ECADFA" w14:textId="77777777"/>
          <w:p w:rsidRPr="00AC592B" w:rsidR="00AC592B" w:rsidP="001A6448" w:rsidRDefault="00AC592B" w14:paraId="27DB0F23" w14:textId="77777777">
            <w:pPr>
              <w:rPr>
                <w:b/>
                <w:bCs/>
              </w:rPr>
            </w:pPr>
            <w:r w:rsidRPr="00AC592B">
              <w:rPr>
                <w:b/>
                <w:bCs/>
              </w:rPr>
              <w:t>Antwoord</w:t>
            </w:r>
          </w:p>
          <w:p w:rsidRPr="00D36C54" w:rsidR="00AC592B" w:rsidP="001A6448" w:rsidRDefault="00AC592B" w14:paraId="155FDBB3" w14:textId="45F710B3">
            <w:pPr>
              <w:rPr>
                <w:b/>
                <w:bCs/>
              </w:rPr>
            </w:pPr>
            <w:r w:rsidRPr="00D36C54">
              <w:rPr>
                <w:b/>
                <w:bCs/>
              </w:rPr>
              <w:t xml:space="preserve">Het </w:t>
            </w:r>
            <w:r w:rsidRPr="00D36C54">
              <w:rPr>
                <w:b/>
                <w:bCs/>
                <w:i/>
                <w:iCs/>
              </w:rPr>
              <w:t xml:space="preserve">Open Skies </w:t>
            </w:r>
            <w:proofErr w:type="spellStart"/>
            <w:r w:rsidRPr="00D36C54">
              <w:rPr>
                <w:b/>
                <w:bCs/>
                <w:i/>
                <w:iCs/>
              </w:rPr>
              <w:t>Consultative</w:t>
            </w:r>
            <w:proofErr w:type="spellEnd"/>
            <w:r w:rsidRPr="00D36C54">
              <w:rPr>
                <w:b/>
                <w:bCs/>
                <w:i/>
                <w:iCs/>
              </w:rPr>
              <w:t xml:space="preserve"> </w:t>
            </w:r>
            <w:proofErr w:type="spellStart"/>
            <w:r w:rsidRPr="00D36C54">
              <w:rPr>
                <w:b/>
                <w:bCs/>
                <w:i/>
                <w:iCs/>
              </w:rPr>
              <w:t>Commission</w:t>
            </w:r>
            <w:proofErr w:type="spellEnd"/>
            <w:r w:rsidRPr="00D36C54">
              <w:rPr>
                <w:b/>
                <w:bCs/>
              </w:rPr>
              <w:t xml:space="preserve"> (OSCC) is het (verdragsrechtelijk vastgelegde) uitvoeringsorgaan voor het Open Skies-verdrag. In het OSCC worden besluiten genomen over o.a. het verdelen van de quota voor inspectievluchten, worden eventuele geschillen besproken en wordt de Toetsingsconferentie voorbereid. OSCC-bijeenkomsten vinden, afhankelijk van de behoefte, ongeveer een keer per maand plaats. Er wordt jaarlijks ca EUR 16.000 aan het OSCC bijgedragen. Per kwartaal ontvangt Nederland een </w:t>
            </w:r>
            <w:proofErr w:type="spellStart"/>
            <w:r w:rsidRPr="00D36C54">
              <w:rPr>
                <w:b/>
                <w:bCs/>
              </w:rPr>
              <w:t>Note</w:t>
            </w:r>
            <w:proofErr w:type="spellEnd"/>
            <w:r w:rsidRPr="00D36C54">
              <w:rPr>
                <w:b/>
                <w:bCs/>
              </w:rPr>
              <w:t xml:space="preserve"> Verbale waarin de bijdrage is vastgesteld, de bijdrage varieert tussen de EUR 3.300 en EUR 4.900 per kwartaal. Alle 32 Verdragspartijen dragen bij aan het OSCC</w:t>
            </w:r>
            <w:r w:rsidRPr="00D36C54" w:rsidR="00D36C54">
              <w:rPr>
                <w:b/>
                <w:bCs/>
              </w:rPr>
              <w:t>.</w:t>
            </w:r>
          </w:p>
          <w:p w:rsidRPr="00AC592B" w:rsidR="00AC592B" w:rsidP="001A6448" w:rsidRDefault="00AC592B" w14:paraId="1A02F3C1" w14:textId="677129EB"/>
        </w:tc>
        <w:tc>
          <w:tcPr>
            <w:tcW w:w="992" w:type="dxa"/>
          </w:tcPr>
          <w:p w:rsidRPr="00AC592B" w:rsidR="00AC592B" w:rsidRDefault="00AC592B" w14:paraId="0E37D929" w14:textId="77777777">
            <w:pPr>
              <w:jc w:val="right"/>
            </w:pPr>
            <w:r w:rsidRPr="00AC592B">
              <w:t>16</w:t>
            </w:r>
          </w:p>
        </w:tc>
        <w:tc>
          <w:tcPr>
            <w:tcW w:w="567" w:type="dxa"/>
          </w:tcPr>
          <w:p w:rsidRPr="00AC592B" w:rsidR="00AC592B" w:rsidRDefault="00AC592B" w14:paraId="0F92A847" w14:textId="77777777">
            <w:pPr>
              <w:jc w:val="right"/>
            </w:pPr>
            <w:r w:rsidRPr="00AC592B">
              <w:t xml:space="preserve"> </w:t>
            </w:r>
          </w:p>
        </w:tc>
      </w:tr>
      <w:tr w:rsidRPr="00AC592B" w:rsidR="00AC592B" w:rsidTr="00AC592B" w14:paraId="5ACEC86D" w14:textId="77777777">
        <w:tc>
          <w:tcPr>
            <w:tcW w:w="567" w:type="dxa"/>
          </w:tcPr>
          <w:p w:rsidRPr="00AC592B" w:rsidR="00AC592B" w:rsidRDefault="00AC592B" w14:paraId="442AAEE6" w14:textId="77777777">
            <w:r w:rsidRPr="00AC592B">
              <w:t>7</w:t>
            </w:r>
          </w:p>
        </w:tc>
        <w:tc>
          <w:tcPr>
            <w:tcW w:w="6521" w:type="dxa"/>
          </w:tcPr>
          <w:p w:rsidRPr="00AC592B" w:rsidR="00AC592B" w:rsidP="001A6448" w:rsidRDefault="00AC592B" w14:paraId="08C52C20" w14:textId="77777777">
            <w:r w:rsidRPr="00AC592B">
              <w:t>Waarom zijn de middelen beschikbaar voor nationale veiligheid en terrorismebestrijding (Justitie en Veiligheid) fors gestegen in 2025 ten opzichte van 2024 en weer fors gedaald in 2026 ten opzichte van 2025?</w:t>
            </w:r>
          </w:p>
          <w:p w:rsidRPr="00AC592B" w:rsidR="00AC592B" w:rsidP="001A6448" w:rsidRDefault="00AC592B" w14:paraId="0F3A800D" w14:textId="77777777"/>
          <w:p w:rsidRPr="00AC592B" w:rsidR="00AC592B" w:rsidP="001A6448" w:rsidRDefault="00AC592B" w14:paraId="524F1D95" w14:textId="77777777">
            <w:pPr>
              <w:rPr>
                <w:b/>
                <w:bCs/>
              </w:rPr>
            </w:pPr>
            <w:r w:rsidRPr="00AC592B">
              <w:rPr>
                <w:b/>
                <w:bCs/>
              </w:rPr>
              <w:t>Antwoord</w:t>
            </w:r>
          </w:p>
          <w:p w:rsidRPr="00AC592B" w:rsidR="00AC592B" w:rsidP="2546F49C" w:rsidRDefault="00AC592B" w14:paraId="47F93F42" w14:textId="1BE79A6F">
            <w:pPr>
              <w:rPr>
                <w:rFonts w:eastAsiaTheme="minorEastAsia"/>
              </w:rPr>
            </w:pPr>
            <w:r w:rsidRPr="00D36C54">
              <w:rPr>
                <w:rFonts w:eastAsiaTheme="minorEastAsia"/>
                <w:b/>
                <w:bCs/>
              </w:rPr>
              <w:t xml:space="preserve">In 2025 was Nederland gastheer van de NAVO-top. Voor de voorbereiding en uitvoering was er een interdepartementale projectorganisatie opgezet. Het ministerie van Justitie en Veiligheid was belast met de coördinatie van </w:t>
            </w:r>
            <w:r w:rsidRPr="00D36C54">
              <w:rPr>
                <w:rFonts w:eastAsiaTheme="minorEastAsia"/>
                <w:b/>
                <w:bCs/>
              </w:rPr>
              <w:lastRenderedPageBreak/>
              <w:t>de</w:t>
            </w:r>
            <w:r w:rsidRPr="00AC592B">
              <w:rPr>
                <w:rFonts w:eastAsiaTheme="minorEastAsia"/>
              </w:rPr>
              <w:t xml:space="preserve"> </w:t>
            </w:r>
            <w:r w:rsidRPr="00D36C54">
              <w:rPr>
                <w:rFonts w:eastAsiaTheme="minorEastAsia"/>
                <w:b/>
                <w:bCs/>
              </w:rPr>
              <w:t xml:space="preserve">veiligheidsmaatregelen. Voor de kosten van de NAVO-top ontving </w:t>
            </w:r>
            <w:proofErr w:type="spellStart"/>
            <w:r w:rsidRPr="00D36C54">
              <w:rPr>
                <w:rFonts w:eastAsiaTheme="minorEastAsia"/>
                <w:b/>
                <w:bCs/>
              </w:rPr>
              <w:t>JenV</w:t>
            </w:r>
            <w:proofErr w:type="spellEnd"/>
            <w:r w:rsidRPr="00D36C54">
              <w:rPr>
                <w:rFonts w:eastAsiaTheme="minorEastAsia"/>
                <w:b/>
                <w:bCs/>
              </w:rPr>
              <w:t xml:space="preserve"> in 2024 en 2025 middelen uit de Homogene Groep Internationale Samenwerking (HGIS). Hierdoor zijn de middelen voor nationale veiligheid en terrorismebestrijding aanzienlijk lager vanaf 2026.</w:t>
            </w:r>
          </w:p>
          <w:p w:rsidRPr="00AC592B" w:rsidR="00AC592B" w:rsidP="001A6448" w:rsidRDefault="00AC592B" w14:paraId="348488AB" w14:textId="7E08A731">
            <w:pPr>
              <w:rPr>
                <w:rFonts w:eastAsiaTheme="minorEastAsia"/>
              </w:rPr>
            </w:pPr>
          </w:p>
        </w:tc>
        <w:tc>
          <w:tcPr>
            <w:tcW w:w="992" w:type="dxa"/>
          </w:tcPr>
          <w:p w:rsidRPr="00AC592B" w:rsidR="00AC592B" w:rsidRDefault="00AC592B" w14:paraId="39E07451" w14:textId="77777777">
            <w:pPr>
              <w:jc w:val="right"/>
            </w:pPr>
            <w:r w:rsidRPr="00AC592B">
              <w:lastRenderedPageBreak/>
              <w:t>16</w:t>
            </w:r>
          </w:p>
        </w:tc>
        <w:tc>
          <w:tcPr>
            <w:tcW w:w="567" w:type="dxa"/>
          </w:tcPr>
          <w:p w:rsidRPr="00AC592B" w:rsidR="00AC592B" w:rsidRDefault="00AC592B" w14:paraId="72DB1C04" w14:textId="77777777">
            <w:pPr>
              <w:jc w:val="right"/>
            </w:pPr>
            <w:r w:rsidRPr="00AC592B">
              <w:t xml:space="preserve"> </w:t>
            </w:r>
          </w:p>
        </w:tc>
      </w:tr>
      <w:tr w:rsidRPr="00AC592B" w:rsidR="00AC592B" w:rsidTr="00AC592B" w14:paraId="532B0542" w14:textId="77777777">
        <w:tc>
          <w:tcPr>
            <w:tcW w:w="567" w:type="dxa"/>
          </w:tcPr>
          <w:p w:rsidRPr="00AC592B" w:rsidR="00AC592B" w:rsidRDefault="00AC592B" w14:paraId="49EBEAEB" w14:textId="77777777">
            <w:pPr>
              <w:rPr>
                <w:highlight w:val="yellow"/>
              </w:rPr>
            </w:pPr>
            <w:r w:rsidRPr="00D36C54">
              <w:t>8</w:t>
            </w:r>
          </w:p>
        </w:tc>
        <w:tc>
          <w:tcPr>
            <w:tcW w:w="6521" w:type="dxa"/>
          </w:tcPr>
          <w:p w:rsidRPr="00D36C54" w:rsidR="00AC592B" w:rsidP="001A6448" w:rsidRDefault="00AC592B" w14:paraId="2C51CB48" w14:textId="77777777">
            <w:bookmarkStart w:name="_Hlk210985612" w:id="1"/>
            <w:r w:rsidRPr="00D36C54">
              <w:t>Wanneer wordt de Kamer geïnformeerd over de sluiting van de nog vier te sluiten posten?</w:t>
            </w:r>
          </w:p>
          <w:p w:rsidRPr="00D36C54" w:rsidR="00AC592B" w:rsidP="001A6448" w:rsidRDefault="00AC592B" w14:paraId="58F043E6" w14:textId="77777777"/>
          <w:p w:rsidRPr="00D36C54" w:rsidR="00AC592B" w:rsidP="001A6448" w:rsidRDefault="00AC592B" w14:paraId="1469B7FB" w14:textId="77777777">
            <w:pPr>
              <w:rPr>
                <w:b/>
                <w:bCs/>
              </w:rPr>
            </w:pPr>
            <w:r w:rsidRPr="00D36C54">
              <w:rPr>
                <w:b/>
                <w:bCs/>
              </w:rPr>
              <w:t>Antwoord</w:t>
            </w:r>
          </w:p>
          <w:p w:rsidRPr="00D36C54" w:rsidR="00AC592B" w:rsidP="001A6448" w:rsidRDefault="00AC592B" w14:paraId="36C3E177" w14:textId="55EFE999">
            <w:pPr>
              <w:rPr>
                <w:b/>
                <w:bCs/>
              </w:rPr>
            </w:pPr>
            <w:r w:rsidRPr="00D36C54">
              <w:rPr>
                <w:b/>
                <w:bCs/>
              </w:rPr>
              <w:t xml:space="preserve">Zoals gemeld tijdens het commissiedebat van 4 september 2025 over adequaat postennet in tijden van taakstelling, neemt het kabinet in het voorjaar van 2026 een besluit over de sluiting van de vier posten die in de </w:t>
            </w:r>
            <w:r w:rsidR="00D368CE">
              <w:rPr>
                <w:b/>
                <w:bCs/>
              </w:rPr>
              <w:t>K</w:t>
            </w:r>
            <w:r w:rsidRPr="00D36C54">
              <w:rPr>
                <w:b/>
                <w:bCs/>
              </w:rPr>
              <w:t xml:space="preserve">amerbrief van 17 april 2025 zijn aangekondigd. Uw Kamer wordt daarna hierover geïnformeerd.  </w:t>
            </w:r>
          </w:p>
          <w:bookmarkEnd w:id="1"/>
          <w:p w:rsidRPr="00D36C54" w:rsidR="00AC592B" w:rsidP="001A6448" w:rsidRDefault="00AC592B" w14:paraId="7AA013BB" w14:textId="192B31B5"/>
        </w:tc>
        <w:tc>
          <w:tcPr>
            <w:tcW w:w="992" w:type="dxa"/>
          </w:tcPr>
          <w:p w:rsidRPr="00AC592B" w:rsidR="00AC592B" w:rsidRDefault="00AC592B" w14:paraId="32E96595" w14:textId="77777777">
            <w:pPr>
              <w:jc w:val="right"/>
            </w:pPr>
            <w:r w:rsidRPr="00AC592B">
              <w:t>42</w:t>
            </w:r>
          </w:p>
        </w:tc>
        <w:tc>
          <w:tcPr>
            <w:tcW w:w="567" w:type="dxa"/>
          </w:tcPr>
          <w:p w:rsidRPr="00AC592B" w:rsidR="00AC592B" w:rsidRDefault="00AC592B" w14:paraId="3EEADCF2" w14:textId="77777777">
            <w:pPr>
              <w:jc w:val="right"/>
            </w:pPr>
            <w:r w:rsidRPr="00AC592B">
              <w:t xml:space="preserve"> </w:t>
            </w:r>
          </w:p>
        </w:tc>
      </w:tr>
      <w:tr w:rsidRPr="00AC592B" w:rsidR="00AC592B" w:rsidTr="00AC592B" w14:paraId="475BC2FA" w14:textId="77777777">
        <w:tc>
          <w:tcPr>
            <w:tcW w:w="567" w:type="dxa"/>
          </w:tcPr>
          <w:p w:rsidRPr="00AC592B" w:rsidR="00AC592B" w:rsidRDefault="00AC592B" w14:paraId="34758A8C" w14:textId="77777777">
            <w:r w:rsidRPr="00AC592B">
              <w:t>9</w:t>
            </w:r>
          </w:p>
        </w:tc>
        <w:tc>
          <w:tcPr>
            <w:tcW w:w="6521" w:type="dxa"/>
          </w:tcPr>
          <w:p w:rsidRPr="00AC592B" w:rsidR="00AC592B" w:rsidP="001A6448" w:rsidRDefault="00AC592B" w14:paraId="7D0C97BF" w14:textId="77777777">
            <w:r w:rsidRPr="00AC592B">
              <w:t>Wat verklaart de daling in de bijdrage aan het Europees Ontwikkelingsfonds (3.2)?</w:t>
            </w:r>
          </w:p>
          <w:p w:rsidRPr="00AC592B" w:rsidR="00AC592B" w:rsidP="001A6448" w:rsidRDefault="00AC592B" w14:paraId="672668E7" w14:textId="77777777"/>
          <w:p w:rsidRPr="00AC592B" w:rsidR="00AC592B" w:rsidP="001A6448" w:rsidRDefault="00AC592B" w14:paraId="4793631F" w14:textId="77777777">
            <w:pPr>
              <w:rPr>
                <w:b/>
                <w:bCs/>
              </w:rPr>
            </w:pPr>
            <w:r w:rsidRPr="00AC592B">
              <w:rPr>
                <w:b/>
                <w:bCs/>
              </w:rPr>
              <w:t>Antwoord</w:t>
            </w:r>
          </w:p>
          <w:p w:rsidRPr="00D36C54" w:rsidR="00AC592B" w:rsidP="001A6448" w:rsidRDefault="00AC592B" w14:paraId="5524761A" w14:textId="6282F151">
            <w:pPr>
              <w:rPr>
                <w:b/>
                <w:bCs/>
              </w:rPr>
            </w:pPr>
            <w:r w:rsidRPr="00D36C54">
              <w:rPr>
                <w:b/>
                <w:bCs/>
              </w:rPr>
              <w:t xml:space="preserve">Het Europees Ontwikkelingsfonds (EOF) is het voormalige ontwikkelingsfonds van de EU, die in het huidige meerjarig financieel kader is opgegaan in de EU-begroting. Hoewel het EOF langzaam richting afsluiting gaat, lopen er nog oude </w:t>
            </w:r>
            <w:proofErr w:type="spellStart"/>
            <w:r w:rsidRPr="00D36C54">
              <w:rPr>
                <w:b/>
                <w:bCs/>
              </w:rPr>
              <w:t>committeringen</w:t>
            </w:r>
            <w:proofErr w:type="spellEnd"/>
            <w:r w:rsidRPr="00D36C54">
              <w:rPr>
                <w:b/>
                <w:bCs/>
              </w:rPr>
              <w:t xml:space="preserve"> en daarmee ook verplichte betalingen onder het EOF. Ook komen er oude reserves of leningen terug van het fonds waardoor de bijdrage aan het fonds vanuit Nederland lager kan uitvallen. Nu het uitgaveplafond voor 2026 is vastgesteld, is in de begroting voor 2026 het budget aangepast naar dit plafond waardoor de verwachte bijdrage is gedaald.</w:t>
            </w:r>
          </w:p>
          <w:p w:rsidRPr="00AC592B" w:rsidR="00AC592B" w:rsidP="001A6448" w:rsidRDefault="00AC592B" w14:paraId="1C50E0F9" w14:textId="291EB463"/>
        </w:tc>
        <w:tc>
          <w:tcPr>
            <w:tcW w:w="992" w:type="dxa"/>
          </w:tcPr>
          <w:p w:rsidRPr="00AC592B" w:rsidR="00AC592B" w:rsidRDefault="00AC592B" w14:paraId="7A51721F" w14:textId="77777777">
            <w:pPr>
              <w:jc w:val="right"/>
            </w:pPr>
            <w:r w:rsidRPr="00AC592B">
              <w:t>47</w:t>
            </w:r>
          </w:p>
        </w:tc>
        <w:tc>
          <w:tcPr>
            <w:tcW w:w="567" w:type="dxa"/>
          </w:tcPr>
          <w:p w:rsidRPr="00AC592B" w:rsidR="00AC592B" w:rsidRDefault="00AC592B" w14:paraId="21940A4C" w14:textId="77777777">
            <w:pPr>
              <w:jc w:val="right"/>
            </w:pPr>
            <w:r w:rsidRPr="00AC592B">
              <w:t xml:space="preserve"> </w:t>
            </w:r>
          </w:p>
        </w:tc>
      </w:tr>
      <w:tr w:rsidRPr="00AC592B" w:rsidR="00AC592B" w:rsidTr="00AC592B" w14:paraId="514B0FEE" w14:textId="77777777">
        <w:tc>
          <w:tcPr>
            <w:tcW w:w="567" w:type="dxa"/>
          </w:tcPr>
          <w:p w:rsidRPr="00AC592B" w:rsidR="00AC592B" w:rsidRDefault="00AC592B" w14:paraId="2653C198" w14:textId="77777777">
            <w:r w:rsidRPr="00AC592B">
              <w:t>10</w:t>
            </w:r>
          </w:p>
        </w:tc>
        <w:tc>
          <w:tcPr>
            <w:tcW w:w="6521" w:type="dxa"/>
          </w:tcPr>
          <w:p w:rsidRPr="00AC592B" w:rsidR="00AC592B" w:rsidP="001A6448" w:rsidRDefault="00AC592B" w14:paraId="7F76EA2B" w14:textId="77777777">
            <w:r w:rsidRPr="00AC592B">
              <w:t>Kunt u in een overzicht aangeven hoeveel het totale budget voor Official Development Assistance (ODA) zou stijgen in de jaren 2026 tot en met 2030 wanneer dit volledig zou worden gekoppeld aan 0,7% en Bruto Nationaal Inkomen?</w:t>
            </w:r>
          </w:p>
          <w:p w:rsidRPr="00AC592B" w:rsidR="00AC592B" w:rsidP="001A6448" w:rsidRDefault="00AC592B" w14:paraId="10026032" w14:textId="77777777"/>
          <w:p w:rsidRPr="00AC592B" w:rsidR="00AC592B" w:rsidP="001A6448" w:rsidRDefault="00AC592B" w14:paraId="46311948" w14:textId="77777777">
            <w:pPr>
              <w:rPr>
                <w:b/>
                <w:bCs/>
              </w:rPr>
            </w:pPr>
            <w:r w:rsidRPr="00AC592B">
              <w:rPr>
                <w:b/>
                <w:bCs/>
              </w:rPr>
              <w:t>Antwoord</w:t>
            </w:r>
          </w:p>
          <w:p w:rsidRPr="00D36C54" w:rsidR="00AC592B" w:rsidP="009A4A95" w:rsidRDefault="00AC592B" w14:paraId="2406105D" w14:textId="657A52AE">
            <w:pPr>
              <w:rPr>
                <w:b/>
                <w:bCs/>
              </w:rPr>
            </w:pPr>
            <w:r w:rsidRPr="00D36C54">
              <w:rPr>
                <w:b/>
                <w:bCs/>
              </w:rPr>
              <w:t xml:space="preserve">Volledig koppelen aan 0,7% van het </w:t>
            </w:r>
            <w:proofErr w:type="spellStart"/>
            <w:r w:rsidRPr="00D36C54">
              <w:rPr>
                <w:b/>
                <w:bCs/>
              </w:rPr>
              <w:t>bni</w:t>
            </w:r>
            <w:proofErr w:type="spellEnd"/>
            <w:r w:rsidRPr="00D36C54">
              <w:rPr>
                <w:b/>
                <w:bCs/>
              </w:rPr>
              <w:t xml:space="preserve"> betekent dat Nederland 0,7% van het </w:t>
            </w:r>
            <w:proofErr w:type="spellStart"/>
            <w:r w:rsidRPr="00D36C54">
              <w:rPr>
                <w:b/>
                <w:bCs/>
              </w:rPr>
              <w:t>bni</w:t>
            </w:r>
            <w:proofErr w:type="spellEnd"/>
            <w:r w:rsidRPr="00D36C54">
              <w:rPr>
                <w:b/>
                <w:bCs/>
              </w:rPr>
              <w:t xml:space="preserve"> uitgeeft aan ODA. Het ODA-budget zou dan stijgen met onderstaande bedragen:</w:t>
            </w:r>
          </w:p>
          <w:tbl>
            <w:tblPr>
              <w:tblStyle w:val="TableGrid"/>
              <w:tblpPr w:leftFromText="141" w:rightFromText="141" w:vertAnchor="text" w:horzAnchor="margin" w:tblpY="499"/>
              <w:tblOverlap w:val="never"/>
              <w:tblW w:w="0" w:type="auto"/>
              <w:tblLook w:val="04A0" w:firstRow="1" w:lastRow="0" w:firstColumn="1" w:lastColumn="0" w:noHBand="0" w:noVBand="1"/>
            </w:tblPr>
            <w:tblGrid>
              <w:gridCol w:w="2594"/>
              <w:gridCol w:w="779"/>
              <w:gridCol w:w="779"/>
              <w:gridCol w:w="779"/>
              <w:gridCol w:w="779"/>
              <w:gridCol w:w="779"/>
            </w:tblGrid>
            <w:tr w:rsidRPr="00D36C54" w:rsidR="00AC592B" w:rsidTr="00EF49B8" w14:paraId="09E8D598" w14:textId="77777777">
              <w:tc>
                <w:tcPr>
                  <w:tcW w:w="2594" w:type="dxa"/>
                </w:tcPr>
                <w:p w:rsidRPr="00D36C54" w:rsidR="00AC592B" w:rsidP="009A4A95" w:rsidRDefault="00AC592B" w14:paraId="17AE80C0" w14:textId="77777777">
                  <w:pPr>
                    <w:rPr>
                      <w:b/>
                      <w:bCs/>
                    </w:rPr>
                  </w:pPr>
                  <w:r w:rsidRPr="00D36C54">
                    <w:rPr>
                      <w:b/>
                      <w:bCs/>
                    </w:rPr>
                    <w:t>x EUR mln.</w:t>
                  </w:r>
                </w:p>
              </w:tc>
              <w:tc>
                <w:tcPr>
                  <w:tcW w:w="779" w:type="dxa"/>
                </w:tcPr>
                <w:p w:rsidRPr="00D36C54" w:rsidR="00AC592B" w:rsidP="009A4A95" w:rsidRDefault="00AC592B" w14:paraId="1C8E0BBC" w14:textId="77777777">
                  <w:pPr>
                    <w:rPr>
                      <w:b/>
                      <w:bCs/>
                    </w:rPr>
                  </w:pPr>
                  <w:r w:rsidRPr="00D36C54">
                    <w:rPr>
                      <w:b/>
                      <w:bCs/>
                    </w:rPr>
                    <w:t>2026</w:t>
                  </w:r>
                </w:p>
              </w:tc>
              <w:tc>
                <w:tcPr>
                  <w:tcW w:w="779" w:type="dxa"/>
                </w:tcPr>
                <w:p w:rsidRPr="00D36C54" w:rsidR="00AC592B" w:rsidP="009A4A95" w:rsidRDefault="00AC592B" w14:paraId="1064F7CD" w14:textId="77777777">
                  <w:pPr>
                    <w:rPr>
                      <w:b/>
                      <w:bCs/>
                    </w:rPr>
                  </w:pPr>
                  <w:r w:rsidRPr="00D36C54">
                    <w:rPr>
                      <w:b/>
                      <w:bCs/>
                    </w:rPr>
                    <w:t>2027</w:t>
                  </w:r>
                </w:p>
              </w:tc>
              <w:tc>
                <w:tcPr>
                  <w:tcW w:w="779" w:type="dxa"/>
                </w:tcPr>
                <w:p w:rsidRPr="00D36C54" w:rsidR="00AC592B" w:rsidP="009A4A95" w:rsidRDefault="00AC592B" w14:paraId="0C833869" w14:textId="77777777">
                  <w:pPr>
                    <w:rPr>
                      <w:b/>
                      <w:bCs/>
                    </w:rPr>
                  </w:pPr>
                  <w:r w:rsidRPr="00D36C54">
                    <w:rPr>
                      <w:b/>
                      <w:bCs/>
                    </w:rPr>
                    <w:t>2028</w:t>
                  </w:r>
                </w:p>
              </w:tc>
              <w:tc>
                <w:tcPr>
                  <w:tcW w:w="779" w:type="dxa"/>
                </w:tcPr>
                <w:p w:rsidRPr="00D36C54" w:rsidR="00AC592B" w:rsidP="009A4A95" w:rsidRDefault="00AC592B" w14:paraId="2117CBD2" w14:textId="77777777">
                  <w:pPr>
                    <w:rPr>
                      <w:b/>
                      <w:bCs/>
                    </w:rPr>
                  </w:pPr>
                  <w:r w:rsidRPr="00D36C54">
                    <w:rPr>
                      <w:b/>
                      <w:bCs/>
                    </w:rPr>
                    <w:t>2029</w:t>
                  </w:r>
                </w:p>
              </w:tc>
              <w:tc>
                <w:tcPr>
                  <w:tcW w:w="779" w:type="dxa"/>
                </w:tcPr>
                <w:p w:rsidRPr="00D36C54" w:rsidR="00AC592B" w:rsidP="009A4A95" w:rsidRDefault="00AC592B" w14:paraId="28F2E931" w14:textId="77777777">
                  <w:pPr>
                    <w:rPr>
                      <w:b/>
                      <w:bCs/>
                    </w:rPr>
                  </w:pPr>
                  <w:r w:rsidRPr="00D36C54">
                    <w:rPr>
                      <w:b/>
                      <w:bCs/>
                    </w:rPr>
                    <w:t>2030</w:t>
                  </w:r>
                </w:p>
              </w:tc>
            </w:tr>
            <w:tr w:rsidRPr="00D36C54" w:rsidR="00AC592B" w:rsidTr="00EF49B8" w14:paraId="7F6AEFEF" w14:textId="77777777">
              <w:tc>
                <w:tcPr>
                  <w:tcW w:w="2594" w:type="dxa"/>
                </w:tcPr>
                <w:p w:rsidRPr="00D36C54" w:rsidR="00AC592B" w:rsidP="009A4A95" w:rsidRDefault="00AC592B" w14:paraId="4456E510" w14:textId="7049A096">
                  <w:pPr>
                    <w:rPr>
                      <w:b/>
                      <w:bCs/>
                    </w:rPr>
                  </w:pPr>
                  <w:r w:rsidRPr="00D36C54">
                    <w:rPr>
                      <w:b/>
                      <w:bCs/>
                    </w:rPr>
                    <w:t xml:space="preserve">0,7% van het </w:t>
                  </w:r>
                  <w:proofErr w:type="spellStart"/>
                  <w:r w:rsidRPr="00D36C54">
                    <w:rPr>
                      <w:b/>
                      <w:bCs/>
                    </w:rPr>
                    <w:t>bni</w:t>
                  </w:r>
                  <w:proofErr w:type="spellEnd"/>
                  <w:r w:rsidRPr="00D36C54">
                    <w:rPr>
                      <w:b/>
                      <w:bCs/>
                    </w:rPr>
                    <w:t xml:space="preserve"> aan ODA</w:t>
                  </w:r>
                </w:p>
              </w:tc>
              <w:tc>
                <w:tcPr>
                  <w:tcW w:w="779" w:type="dxa"/>
                </w:tcPr>
                <w:p w:rsidRPr="00D36C54" w:rsidR="00AC592B" w:rsidP="009A4A95" w:rsidRDefault="00AC592B" w14:paraId="549E5D2B" w14:textId="77777777">
                  <w:pPr>
                    <w:rPr>
                      <w:b/>
                      <w:bCs/>
                    </w:rPr>
                  </w:pPr>
                  <w:r w:rsidRPr="00D36C54">
                    <w:rPr>
                      <w:b/>
                      <w:bCs/>
                    </w:rPr>
                    <w:t>+1.806</w:t>
                  </w:r>
                </w:p>
              </w:tc>
              <w:tc>
                <w:tcPr>
                  <w:tcW w:w="779" w:type="dxa"/>
                </w:tcPr>
                <w:p w:rsidRPr="00D36C54" w:rsidR="00AC592B" w:rsidP="009A4A95" w:rsidRDefault="00AC592B" w14:paraId="5A6929F7" w14:textId="77777777">
                  <w:pPr>
                    <w:rPr>
                      <w:b/>
                      <w:bCs/>
                    </w:rPr>
                  </w:pPr>
                  <w:r w:rsidRPr="00D36C54">
                    <w:rPr>
                      <w:b/>
                      <w:bCs/>
                    </w:rPr>
                    <w:t>+2.769</w:t>
                  </w:r>
                </w:p>
              </w:tc>
              <w:tc>
                <w:tcPr>
                  <w:tcW w:w="779" w:type="dxa"/>
                </w:tcPr>
                <w:p w:rsidRPr="00D36C54" w:rsidR="00AC592B" w:rsidP="009A4A95" w:rsidRDefault="00AC592B" w14:paraId="0F7BBF6D" w14:textId="77777777">
                  <w:pPr>
                    <w:rPr>
                      <w:b/>
                      <w:bCs/>
                    </w:rPr>
                  </w:pPr>
                  <w:r w:rsidRPr="00D36C54">
                    <w:rPr>
                      <w:b/>
                      <w:bCs/>
                    </w:rPr>
                    <w:t>+3.444</w:t>
                  </w:r>
                </w:p>
              </w:tc>
              <w:tc>
                <w:tcPr>
                  <w:tcW w:w="779" w:type="dxa"/>
                </w:tcPr>
                <w:p w:rsidRPr="00D36C54" w:rsidR="00AC592B" w:rsidP="009A4A95" w:rsidRDefault="00AC592B" w14:paraId="196B7225" w14:textId="77777777">
                  <w:pPr>
                    <w:rPr>
                      <w:b/>
                      <w:bCs/>
                    </w:rPr>
                  </w:pPr>
                  <w:r w:rsidRPr="00D36C54">
                    <w:rPr>
                      <w:b/>
                      <w:bCs/>
                    </w:rPr>
                    <w:t>+3.448</w:t>
                  </w:r>
                </w:p>
              </w:tc>
              <w:tc>
                <w:tcPr>
                  <w:tcW w:w="779" w:type="dxa"/>
                </w:tcPr>
                <w:p w:rsidRPr="00D36C54" w:rsidR="00AC592B" w:rsidP="009A4A95" w:rsidRDefault="00AC592B" w14:paraId="4A06BC19" w14:textId="77777777">
                  <w:pPr>
                    <w:rPr>
                      <w:b/>
                      <w:bCs/>
                    </w:rPr>
                  </w:pPr>
                  <w:r w:rsidRPr="00D36C54">
                    <w:rPr>
                      <w:b/>
                      <w:bCs/>
                    </w:rPr>
                    <w:t>+3.602</w:t>
                  </w:r>
                </w:p>
              </w:tc>
            </w:tr>
          </w:tbl>
          <w:p w:rsidRPr="00D36C54" w:rsidR="00AC592B" w:rsidP="009A4A95" w:rsidRDefault="00AC592B" w14:paraId="44839065" w14:textId="77777777">
            <w:pPr>
              <w:rPr>
                <w:b/>
                <w:bCs/>
              </w:rPr>
            </w:pPr>
          </w:p>
          <w:p w:rsidRPr="00D36C54" w:rsidR="00AC592B" w:rsidP="001A6448" w:rsidRDefault="00AC592B" w14:paraId="27D2F24C" w14:textId="77777777">
            <w:pPr>
              <w:rPr>
                <w:b/>
                <w:bCs/>
              </w:rPr>
            </w:pPr>
          </w:p>
          <w:p w:rsidRPr="00D36C54" w:rsidR="00AC592B" w:rsidP="00CE1B5F" w:rsidRDefault="00AC592B" w14:paraId="4DAF914A" w14:textId="64B90930">
            <w:pPr>
              <w:rPr>
                <w:b/>
                <w:bCs/>
              </w:rPr>
            </w:pPr>
            <w:r w:rsidRPr="00D36C54">
              <w:rPr>
                <w:b/>
                <w:bCs/>
              </w:rPr>
              <w:t xml:space="preserve">Sinds 2016 is de streefwaarde van 0,7% niet gehaald onder voorgaande kabinetten. Tegelijkertijd hanteerden voorgaande kabinetten wel een systematiek waarbij er een koppeling was op basis van de streefwaarde van de VN van 0,7% van het </w:t>
            </w:r>
            <w:proofErr w:type="spellStart"/>
            <w:r w:rsidRPr="00D36C54">
              <w:rPr>
                <w:b/>
                <w:bCs/>
              </w:rPr>
              <w:t>bni</w:t>
            </w:r>
            <w:proofErr w:type="spellEnd"/>
            <w:r w:rsidRPr="00D36C54">
              <w:rPr>
                <w:b/>
                <w:bCs/>
              </w:rPr>
              <w:t xml:space="preserve">. De uitgangspositie betrof de internationale norm plus/min de intensiveringen/extensiveringen van voorgaande kabinetten. Op deze wijze tendeerde het ODA-budget op de zeer lange termijn toe naar de 0,7% van het </w:t>
            </w:r>
            <w:proofErr w:type="spellStart"/>
            <w:r w:rsidRPr="00D36C54">
              <w:rPr>
                <w:b/>
                <w:bCs/>
              </w:rPr>
              <w:t>bni</w:t>
            </w:r>
            <w:proofErr w:type="spellEnd"/>
            <w:r w:rsidRPr="00D36C54">
              <w:rPr>
                <w:b/>
                <w:bCs/>
              </w:rPr>
              <w:t xml:space="preserve">. Onder dit kabinet is de 0,7% geen onderdeel van de berekeningswijze van het totale ODA-budget. De koppeling van het ODA-budget aan de ontwikkeling van het </w:t>
            </w:r>
            <w:proofErr w:type="spellStart"/>
            <w:r w:rsidRPr="00D36C54">
              <w:rPr>
                <w:b/>
                <w:bCs/>
              </w:rPr>
              <w:t>bni</w:t>
            </w:r>
            <w:proofErr w:type="spellEnd"/>
            <w:r w:rsidRPr="00D36C54">
              <w:rPr>
                <w:b/>
                <w:bCs/>
              </w:rPr>
              <w:t xml:space="preserve"> betekent dat 1% groei/krimp van het </w:t>
            </w:r>
            <w:proofErr w:type="spellStart"/>
            <w:r w:rsidRPr="00D36C54">
              <w:rPr>
                <w:b/>
                <w:bCs/>
              </w:rPr>
              <w:t>bni</w:t>
            </w:r>
            <w:proofErr w:type="spellEnd"/>
            <w:r w:rsidRPr="00D36C54">
              <w:rPr>
                <w:b/>
                <w:bCs/>
              </w:rPr>
              <w:t xml:space="preserve"> leidt tot 1% groei/krimp van het ODA-</w:t>
            </w:r>
            <w:r w:rsidRPr="00D36C54">
              <w:rPr>
                <w:b/>
                <w:bCs/>
              </w:rPr>
              <w:lastRenderedPageBreak/>
              <w:t xml:space="preserve">budget. Indien er geen intensiveringen of extensiveringen op het ODA-budget plaatsvinden, blijft de ODA-prestatie langjarig stabiel. Uw </w:t>
            </w:r>
            <w:r w:rsidRPr="00D36C54" w:rsidR="00D36C54">
              <w:rPr>
                <w:b/>
                <w:bCs/>
              </w:rPr>
              <w:t>K</w:t>
            </w:r>
            <w:r w:rsidRPr="00D36C54">
              <w:rPr>
                <w:b/>
                <w:bCs/>
              </w:rPr>
              <w:t>amer wordt</w:t>
            </w:r>
            <w:r w:rsidRPr="00AC592B">
              <w:t xml:space="preserve"> </w:t>
            </w:r>
            <w:r w:rsidRPr="00D36C54">
              <w:rPr>
                <w:b/>
                <w:bCs/>
              </w:rPr>
              <w:t>jaarlijks geïnformeerd over het ODA-budget en de ODA-prestatie in de bijlage 6 van de HGIS-nota.</w:t>
            </w:r>
          </w:p>
          <w:p w:rsidRPr="00D36C54" w:rsidR="00AC592B" w:rsidP="00CE1B5F" w:rsidRDefault="00AC592B" w14:paraId="712D55B6" w14:textId="77777777">
            <w:pPr>
              <w:rPr>
                <w:b/>
                <w:bCs/>
              </w:rPr>
            </w:pPr>
          </w:p>
          <w:p w:rsidRPr="00D36C54" w:rsidR="00AC592B" w:rsidP="00CE1B5F" w:rsidRDefault="00AC592B" w14:paraId="0AD104A1" w14:textId="20382C21">
            <w:pPr>
              <w:rPr>
                <w:b/>
                <w:bCs/>
              </w:rPr>
            </w:pPr>
            <w:r w:rsidRPr="00D36C54">
              <w:rPr>
                <w:b/>
                <w:bCs/>
              </w:rPr>
              <w:t xml:space="preserve">Indien het kabinet ervoor zou kiezen om nu te koppelen aan 0,7% van het </w:t>
            </w:r>
            <w:proofErr w:type="spellStart"/>
            <w:r w:rsidRPr="00D36C54">
              <w:rPr>
                <w:b/>
                <w:bCs/>
              </w:rPr>
              <w:t>bni</w:t>
            </w:r>
            <w:proofErr w:type="spellEnd"/>
            <w:r w:rsidRPr="00D36C54">
              <w:rPr>
                <w:b/>
                <w:bCs/>
              </w:rPr>
              <w:t xml:space="preserve"> conform de berekeningssystematiek van voorgaande kabinetten, dan zou het ODA-budget neerwaarts worden bijgesteld omdat het </w:t>
            </w:r>
            <w:proofErr w:type="spellStart"/>
            <w:r w:rsidRPr="00D36C54">
              <w:rPr>
                <w:b/>
                <w:bCs/>
              </w:rPr>
              <w:t>bni</w:t>
            </w:r>
            <w:proofErr w:type="spellEnd"/>
            <w:r w:rsidRPr="00D36C54">
              <w:rPr>
                <w:b/>
                <w:bCs/>
              </w:rPr>
              <w:t xml:space="preserve"> is gedaald ten opzichte van de laatst verwerkte raming (CEP2025). De bijstelling die hieruit zou volgen voor het ODA-budget is onderstaande.</w:t>
            </w:r>
          </w:p>
          <w:tbl>
            <w:tblPr>
              <w:tblStyle w:val="TableGrid"/>
              <w:tblpPr w:leftFromText="141" w:rightFromText="141" w:vertAnchor="text" w:horzAnchor="margin" w:tblpY="499"/>
              <w:tblOverlap w:val="never"/>
              <w:tblW w:w="5858" w:type="dxa"/>
              <w:tblLayout w:type="fixed"/>
              <w:tblLook w:val="04A0" w:firstRow="1" w:lastRow="0" w:firstColumn="1" w:lastColumn="0" w:noHBand="0" w:noVBand="1"/>
            </w:tblPr>
            <w:tblGrid>
              <w:gridCol w:w="2778"/>
              <w:gridCol w:w="616"/>
              <w:gridCol w:w="616"/>
              <w:gridCol w:w="616"/>
              <w:gridCol w:w="616"/>
              <w:gridCol w:w="616"/>
            </w:tblGrid>
            <w:tr w:rsidRPr="00D36C54" w:rsidR="00AC592B" w:rsidTr="00A13D5A" w14:paraId="14EAC64F" w14:textId="77777777">
              <w:tc>
                <w:tcPr>
                  <w:tcW w:w="2778" w:type="dxa"/>
                </w:tcPr>
                <w:p w:rsidRPr="00D36C54" w:rsidR="00AC592B" w:rsidP="00CE1B5F" w:rsidRDefault="00AC592B" w14:paraId="0FAB402D" w14:textId="77777777">
                  <w:pPr>
                    <w:rPr>
                      <w:b/>
                      <w:bCs/>
                    </w:rPr>
                  </w:pPr>
                  <w:r w:rsidRPr="00D36C54">
                    <w:rPr>
                      <w:b/>
                      <w:bCs/>
                    </w:rPr>
                    <w:t>x EUR mln.</w:t>
                  </w:r>
                </w:p>
              </w:tc>
              <w:tc>
                <w:tcPr>
                  <w:tcW w:w="616" w:type="dxa"/>
                </w:tcPr>
                <w:p w:rsidRPr="00D36C54" w:rsidR="00AC592B" w:rsidP="00CE1B5F" w:rsidRDefault="00AC592B" w14:paraId="37C9ADDA" w14:textId="77777777">
                  <w:pPr>
                    <w:rPr>
                      <w:b/>
                      <w:bCs/>
                    </w:rPr>
                  </w:pPr>
                  <w:r w:rsidRPr="00D36C54">
                    <w:rPr>
                      <w:b/>
                      <w:bCs/>
                    </w:rPr>
                    <w:t>2025</w:t>
                  </w:r>
                </w:p>
              </w:tc>
              <w:tc>
                <w:tcPr>
                  <w:tcW w:w="616" w:type="dxa"/>
                </w:tcPr>
                <w:p w:rsidRPr="00D36C54" w:rsidR="00AC592B" w:rsidP="00CE1B5F" w:rsidRDefault="00AC592B" w14:paraId="4F1F642E" w14:textId="77777777">
                  <w:pPr>
                    <w:rPr>
                      <w:b/>
                      <w:bCs/>
                    </w:rPr>
                  </w:pPr>
                  <w:r w:rsidRPr="00D36C54">
                    <w:rPr>
                      <w:b/>
                      <w:bCs/>
                    </w:rPr>
                    <w:t>2026</w:t>
                  </w:r>
                </w:p>
              </w:tc>
              <w:tc>
                <w:tcPr>
                  <w:tcW w:w="616" w:type="dxa"/>
                </w:tcPr>
                <w:p w:rsidRPr="00D36C54" w:rsidR="00AC592B" w:rsidP="00CE1B5F" w:rsidRDefault="00AC592B" w14:paraId="02530657" w14:textId="77777777">
                  <w:pPr>
                    <w:rPr>
                      <w:b/>
                      <w:bCs/>
                    </w:rPr>
                  </w:pPr>
                  <w:r w:rsidRPr="00D36C54">
                    <w:rPr>
                      <w:b/>
                      <w:bCs/>
                    </w:rPr>
                    <w:t>2027</w:t>
                  </w:r>
                </w:p>
              </w:tc>
              <w:tc>
                <w:tcPr>
                  <w:tcW w:w="616" w:type="dxa"/>
                </w:tcPr>
                <w:p w:rsidRPr="00D36C54" w:rsidR="00AC592B" w:rsidP="00CE1B5F" w:rsidRDefault="00AC592B" w14:paraId="4626F1F9" w14:textId="77777777">
                  <w:pPr>
                    <w:rPr>
                      <w:b/>
                      <w:bCs/>
                    </w:rPr>
                  </w:pPr>
                  <w:r w:rsidRPr="00D36C54">
                    <w:rPr>
                      <w:b/>
                      <w:bCs/>
                    </w:rPr>
                    <w:t>2028</w:t>
                  </w:r>
                </w:p>
              </w:tc>
              <w:tc>
                <w:tcPr>
                  <w:tcW w:w="616" w:type="dxa"/>
                </w:tcPr>
                <w:p w:rsidRPr="00D36C54" w:rsidR="00AC592B" w:rsidP="00CE1B5F" w:rsidRDefault="00AC592B" w14:paraId="5F1DCA67" w14:textId="77777777">
                  <w:pPr>
                    <w:rPr>
                      <w:b/>
                      <w:bCs/>
                    </w:rPr>
                  </w:pPr>
                  <w:r w:rsidRPr="00D36C54">
                    <w:rPr>
                      <w:b/>
                      <w:bCs/>
                    </w:rPr>
                    <w:t>2029</w:t>
                  </w:r>
                </w:p>
              </w:tc>
            </w:tr>
            <w:tr w:rsidRPr="00D36C54" w:rsidR="00AC592B" w:rsidTr="00A13D5A" w14:paraId="08247110" w14:textId="77777777">
              <w:tc>
                <w:tcPr>
                  <w:tcW w:w="2778" w:type="dxa"/>
                </w:tcPr>
                <w:p w:rsidRPr="00D36C54" w:rsidR="00AC592B" w:rsidP="00CE1B5F" w:rsidRDefault="00AC592B" w14:paraId="0DC685F7" w14:textId="77777777">
                  <w:pPr>
                    <w:rPr>
                      <w:b/>
                      <w:bCs/>
                    </w:rPr>
                  </w:pPr>
                  <w:r w:rsidRPr="00D36C54">
                    <w:rPr>
                      <w:b/>
                      <w:bCs/>
                    </w:rPr>
                    <w:t xml:space="preserve">Bijstelling o.b.v. koppeling aan 0,7% van het </w:t>
                  </w:r>
                  <w:proofErr w:type="spellStart"/>
                  <w:r w:rsidRPr="00D36C54">
                    <w:rPr>
                      <w:b/>
                      <w:bCs/>
                    </w:rPr>
                    <w:t>bni</w:t>
                  </w:r>
                  <w:proofErr w:type="spellEnd"/>
                  <w:r w:rsidRPr="00D36C54">
                    <w:rPr>
                      <w:b/>
                      <w:bCs/>
                    </w:rPr>
                    <w:t xml:space="preserve"> (CEP 2025 – MEV 2026)</w:t>
                  </w:r>
                </w:p>
              </w:tc>
              <w:tc>
                <w:tcPr>
                  <w:tcW w:w="616" w:type="dxa"/>
                </w:tcPr>
                <w:p w:rsidRPr="00D36C54" w:rsidR="00AC592B" w:rsidP="00CE1B5F" w:rsidRDefault="00AC592B" w14:paraId="140E103A" w14:textId="77777777">
                  <w:pPr>
                    <w:rPr>
                      <w:b/>
                      <w:bCs/>
                    </w:rPr>
                  </w:pPr>
                  <w:r w:rsidRPr="00D36C54">
                    <w:rPr>
                      <w:b/>
                      <w:bCs/>
                    </w:rPr>
                    <w:t>-59</w:t>
                  </w:r>
                </w:p>
              </w:tc>
              <w:tc>
                <w:tcPr>
                  <w:tcW w:w="616" w:type="dxa"/>
                </w:tcPr>
                <w:p w:rsidRPr="00D36C54" w:rsidR="00AC592B" w:rsidP="00CE1B5F" w:rsidRDefault="00AC592B" w14:paraId="7A913D16" w14:textId="77777777">
                  <w:pPr>
                    <w:rPr>
                      <w:b/>
                      <w:bCs/>
                    </w:rPr>
                  </w:pPr>
                  <w:r w:rsidRPr="00D36C54">
                    <w:rPr>
                      <w:b/>
                      <w:bCs/>
                    </w:rPr>
                    <w:t>-87</w:t>
                  </w:r>
                </w:p>
              </w:tc>
              <w:tc>
                <w:tcPr>
                  <w:tcW w:w="616" w:type="dxa"/>
                </w:tcPr>
                <w:p w:rsidRPr="00D36C54" w:rsidR="00AC592B" w:rsidP="00CE1B5F" w:rsidRDefault="00AC592B" w14:paraId="30E161CA" w14:textId="77777777">
                  <w:pPr>
                    <w:rPr>
                      <w:b/>
                      <w:bCs/>
                    </w:rPr>
                  </w:pPr>
                  <w:r w:rsidRPr="00D36C54">
                    <w:rPr>
                      <w:b/>
                      <w:bCs/>
                    </w:rPr>
                    <w:t>-97</w:t>
                  </w:r>
                </w:p>
              </w:tc>
              <w:tc>
                <w:tcPr>
                  <w:tcW w:w="616" w:type="dxa"/>
                </w:tcPr>
                <w:p w:rsidRPr="00D36C54" w:rsidR="00AC592B" w:rsidP="00CE1B5F" w:rsidRDefault="00AC592B" w14:paraId="51715255" w14:textId="77777777">
                  <w:pPr>
                    <w:rPr>
                      <w:b/>
                      <w:bCs/>
                    </w:rPr>
                  </w:pPr>
                  <w:r w:rsidRPr="00D36C54">
                    <w:rPr>
                      <w:b/>
                      <w:bCs/>
                    </w:rPr>
                    <w:t>-124</w:t>
                  </w:r>
                </w:p>
              </w:tc>
              <w:tc>
                <w:tcPr>
                  <w:tcW w:w="616" w:type="dxa"/>
                </w:tcPr>
                <w:p w:rsidRPr="00D36C54" w:rsidR="00AC592B" w:rsidP="00CE1B5F" w:rsidRDefault="00AC592B" w14:paraId="03705974" w14:textId="77777777">
                  <w:pPr>
                    <w:rPr>
                      <w:b/>
                      <w:bCs/>
                    </w:rPr>
                  </w:pPr>
                  <w:r w:rsidRPr="00D36C54">
                    <w:rPr>
                      <w:b/>
                      <w:bCs/>
                    </w:rPr>
                    <w:t>-122</w:t>
                  </w:r>
                </w:p>
              </w:tc>
            </w:tr>
          </w:tbl>
          <w:p w:rsidRPr="00AC592B" w:rsidR="00AC592B" w:rsidP="00CE1B5F" w:rsidRDefault="00AC592B" w14:paraId="791235F2" w14:textId="77777777"/>
          <w:p w:rsidRPr="00AC592B" w:rsidR="00AC592B" w:rsidP="00CE1B5F" w:rsidRDefault="00AC592B" w14:paraId="4AAC7B86" w14:textId="77777777"/>
          <w:p w:rsidRPr="00AC592B" w:rsidR="00AC592B" w:rsidP="00CE1B5F" w:rsidRDefault="00AC592B" w14:paraId="560BB233" w14:textId="77777777"/>
          <w:p w:rsidRPr="00AC592B" w:rsidR="00AC592B" w:rsidP="00CE1B5F" w:rsidRDefault="00AC592B" w14:paraId="19C0254C" w14:textId="77777777"/>
          <w:p w:rsidRPr="00AC592B" w:rsidR="00AC592B" w:rsidP="00CE1B5F" w:rsidRDefault="00AC592B" w14:paraId="7B63951F" w14:textId="77777777"/>
          <w:p w:rsidRPr="00AC592B" w:rsidR="00AC592B" w:rsidP="001A6448" w:rsidRDefault="00AC592B" w14:paraId="0FE68903" w14:textId="77777777"/>
          <w:p w:rsidRPr="00D36C54" w:rsidR="00AC592B" w:rsidP="001A6448" w:rsidRDefault="00AC592B" w14:paraId="7C38AB6E" w14:textId="469E7FF6">
            <w:pPr>
              <w:rPr>
                <w:b/>
                <w:bCs/>
              </w:rPr>
            </w:pPr>
            <w:r w:rsidRPr="00D36C54">
              <w:rPr>
                <w:b/>
                <w:bCs/>
              </w:rPr>
              <w:t>Het kabinet kiest ervoor om het ODA-budget een keer per jaar bij te stellen in het voorjaar. De lopende begroting en het ODA-budget worden daarmee voorspelbaarder. Dit sluit ook aan bij de praktijk van één hoofdbesluitvormingsmoment in het voorjaar.</w:t>
            </w:r>
          </w:p>
          <w:p w:rsidRPr="00AC592B" w:rsidR="00AC592B" w:rsidP="001A6448" w:rsidRDefault="00AC592B" w14:paraId="7636B6B6" w14:textId="5CC5BB4C"/>
        </w:tc>
        <w:tc>
          <w:tcPr>
            <w:tcW w:w="992" w:type="dxa"/>
          </w:tcPr>
          <w:p w:rsidRPr="00AC592B" w:rsidR="00AC592B" w:rsidRDefault="00AC592B" w14:paraId="725D505D" w14:textId="77777777">
            <w:pPr>
              <w:jc w:val="right"/>
            </w:pPr>
            <w:r w:rsidRPr="00AC592B">
              <w:lastRenderedPageBreak/>
              <w:t>63</w:t>
            </w:r>
          </w:p>
        </w:tc>
        <w:tc>
          <w:tcPr>
            <w:tcW w:w="567" w:type="dxa"/>
          </w:tcPr>
          <w:p w:rsidRPr="00AC592B" w:rsidR="00AC592B" w:rsidRDefault="00AC592B" w14:paraId="00E0F607" w14:textId="77777777">
            <w:pPr>
              <w:jc w:val="right"/>
            </w:pPr>
            <w:r w:rsidRPr="00AC592B">
              <w:t xml:space="preserve"> </w:t>
            </w:r>
          </w:p>
        </w:tc>
      </w:tr>
      <w:tr w:rsidRPr="00AC592B" w:rsidR="00AC592B" w:rsidTr="00AC592B" w14:paraId="4C09A13A" w14:textId="77777777">
        <w:tc>
          <w:tcPr>
            <w:tcW w:w="567" w:type="dxa"/>
          </w:tcPr>
          <w:p w:rsidRPr="00AC592B" w:rsidR="00AC592B" w:rsidRDefault="00AC592B" w14:paraId="47AF0FCD" w14:textId="77777777">
            <w:r w:rsidRPr="00AC592B">
              <w:t>11</w:t>
            </w:r>
          </w:p>
        </w:tc>
        <w:tc>
          <w:tcPr>
            <w:tcW w:w="6521" w:type="dxa"/>
          </w:tcPr>
          <w:p w:rsidRPr="00AC592B" w:rsidR="00AC592B" w:rsidP="001A6448" w:rsidRDefault="00AC592B" w14:paraId="157EA87D" w14:textId="77777777">
            <w:r w:rsidRPr="00AC592B">
              <w:t>Kan bijlage 6 worden herschreven op basis van de oude ODA-systematiek, waarbij de eerste regel van het ODA-budget gekoppeld wordt aan 0,7% en daarna posten eraf worden gehaald, zoals het geval was in de HGIS-nota van 2024 en eerdere HGIS-nota's?</w:t>
            </w:r>
          </w:p>
          <w:p w:rsidRPr="00AC592B" w:rsidR="00AC592B" w:rsidP="001A6448" w:rsidRDefault="00AC592B" w14:paraId="37128160" w14:textId="77777777"/>
          <w:p w:rsidRPr="00AC592B" w:rsidR="00AC592B" w:rsidP="001A6448" w:rsidRDefault="00AC592B" w14:paraId="5BFA2208" w14:textId="77777777">
            <w:pPr>
              <w:rPr>
                <w:b/>
                <w:bCs/>
              </w:rPr>
            </w:pPr>
            <w:r w:rsidRPr="00AC592B">
              <w:rPr>
                <w:b/>
                <w:bCs/>
              </w:rPr>
              <w:t>Antwoord</w:t>
            </w:r>
          </w:p>
          <w:p w:rsidRPr="00D36C54" w:rsidR="00AC592B" w:rsidP="001A6448" w:rsidRDefault="00AC592B" w14:paraId="25F864CD" w14:textId="79550DAD">
            <w:pPr>
              <w:rPr>
                <w:b/>
                <w:bCs/>
              </w:rPr>
            </w:pPr>
            <w:r w:rsidRPr="00D36C54">
              <w:rPr>
                <w:b/>
                <w:bCs/>
              </w:rPr>
              <w:t>Zie hieronder de tabel zoals verzocht.</w:t>
            </w:r>
          </w:p>
          <w:p w:rsidRPr="00AC592B" w:rsidR="00AC592B" w:rsidP="001A6448" w:rsidRDefault="00AC592B" w14:paraId="021A02F4" w14:textId="77777777"/>
          <w:p w:rsidRPr="00AC592B" w:rsidR="00AC592B" w:rsidP="001A6448" w:rsidRDefault="00AC592B" w14:paraId="258FA415" w14:textId="0F8830C8">
            <w:r w:rsidRPr="00AC592B">
              <w:rPr>
                <w:noProof/>
              </w:rPr>
              <w:drawing>
                <wp:inline distT="0" distB="0" distL="0" distR="0" wp14:anchorId="76C42186" wp14:editId="2679A3FC">
                  <wp:extent cx="4134485" cy="1819910"/>
                  <wp:effectExtent l="0" t="0" r="0" b="8890"/>
                  <wp:docPr id="690347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47894" name="Afbeelding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7083" cy="1834259"/>
                          </a:xfrm>
                          <a:prstGeom prst="rect">
                            <a:avLst/>
                          </a:prstGeom>
                          <a:noFill/>
                          <a:ln>
                            <a:noFill/>
                          </a:ln>
                        </pic:spPr>
                      </pic:pic>
                    </a:graphicData>
                  </a:graphic>
                </wp:inline>
              </w:drawing>
            </w:r>
          </w:p>
          <w:p w:rsidRPr="00AC592B" w:rsidR="00AC592B" w:rsidP="001A6448" w:rsidRDefault="00AC592B" w14:paraId="21FE17D2" w14:textId="149FC926"/>
        </w:tc>
        <w:tc>
          <w:tcPr>
            <w:tcW w:w="992" w:type="dxa"/>
          </w:tcPr>
          <w:p w:rsidRPr="00AC592B" w:rsidR="00AC592B" w:rsidRDefault="00AC592B" w14:paraId="7CD2F3AD" w14:textId="77777777">
            <w:pPr>
              <w:jc w:val="right"/>
            </w:pPr>
            <w:r w:rsidRPr="00AC592B">
              <w:t>63</w:t>
            </w:r>
          </w:p>
        </w:tc>
        <w:tc>
          <w:tcPr>
            <w:tcW w:w="567" w:type="dxa"/>
          </w:tcPr>
          <w:p w:rsidRPr="00AC592B" w:rsidR="00AC592B" w:rsidRDefault="00AC592B" w14:paraId="43DB383F" w14:textId="77777777">
            <w:pPr>
              <w:jc w:val="right"/>
            </w:pPr>
            <w:r w:rsidRPr="00AC592B">
              <w:t xml:space="preserve"> </w:t>
            </w:r>
          </w:p>
        </w:tc>
      </w:tr>
      <w:tr w:rsidRPr="00AC592B" w:rsidR="00AC592B" w:rsidTr="00AC592B" w14:paraId="1200E932" w14:textId="77777777">
        <w:tc>
          <w:tcPr>
            <w:tcW w:w="567" w:type="dxa"/>
          </w:tcPr>
          <w:p w:rsidRPr="00D36C54" w:rsidR="00AC592B" w:rsidRDefault="00AC592B" w14:paraId="287B0DD5" w14:textId="77777777">
            <w:r w:rsidRPr="00D36C54">
              <w:t>12</w:t>
            </w:r>
          </w:p>
        </w:tc>
        <w:tc>
          <w:tcPr>
            <w:tcW w:w="6521" w:type="dxa"/>
          </w:tcPr>
          <w:p w:rsidRPr="00D36C54" w:rsidR="00AC592B" w:rsidP="001A6448" w:rsidRDefault="00AC592B" w14:paraId="3A127AAF" w14:textId="77777777">
            <w:r w:rsidRPr="00D36C54">
              <w:t>Klopt het dat de mutaties gerelateerd aan de steun aan Oekraïne uit de algemene middelen komen, terwijl ze nu alleen worden toegerekend aan ODA?</w:t>
            </w:r>
          </w:p>
          <w:p w:rsidRPr="00D36C54" w:rsidR="00AC592B" w:rsidP="001A6448" w:rsidRDefault="00AC592B" w14:paraId="71F9500E" w14:textId="77777777"/>
          <w:p w:rsidRPr="00D36C54" w:rsidR="00AC592B" w:rsidP="001A6448" w:rsidRDefault="00AC592B" w14:paraId="04812A0B" w14:textId="77777777">
            <w:pPr>
              <w:rPr>
                <w:b/>
                <w:bCs/>
              </w:rPr>
            </w:pPr>
            <w:r w:rsidRPr="00D36C54">
              <w:rPr>
                <w:b/>
                <w:bCs/>
              </w:rPr>
              <w:t>Antwoord</w:t>
            </w:r>
          </w:p>
          <w:p w:rsidRPr="00D36C54" w:rsidR="00AC592B" w:rsidP="00665010" w:rsidRDefault="00AC592B" w14:paraId="7C7EE80E" w14:textId="1AA72042">
            <w:pPr>
              <w:rPr>
                <w:b/>
                <w:bCs/>
              </w:rPr>
            </w:pPr>
            <w:r w:rsidRPr="00D36C54">
              <w:rPr>
                <w:b/>
                <w:bCs/>
              </w:rPr>
              <w:t xml:space="preserve">In de voorjaarsbesluitvorming 2025 is EUR 252 miljoen generaal beschikbaar gesteld voor niet-militaire steun aan Oekraïne in 2026. Dit budget is toegevoegd aan het ODA-budget en deze middelen worden dus toegerekend aan het totale Nederlandse ODA-budget. Dit doet de ODA-prestatie stijgen. </w:t>
            </w:r>
          </w:p>
          <w:p w:rsidRPr="00D36C54" w:rsidR="00AC592B" w:rsidP="001A6448" w:rsidRDefault="00AC592B" w14:paraId="13CE5D1A" w14:textId="109E8E18"/>
        </w:tc>
        <w:tc>
          <w:tcPr>
            <w:tcW w:w="992" w:type="dxa"/>
          </w:tcPr>
          <w:p w:rsidRPr="00AC592B" w:rsidR="00AC592B" w:rsidRDefault="00AC592B" w14:paraId="345A2B2C" w14:textId="77777777">
            <w:pPr>
              <w:jc w:val="right"/>
            </w:pPr>
            <w:r w:rsidRPr="00AC592B">
              <w:t>63</w:t>
            </w:r>
          </w:p>
        </w:tc>
        <w:tc>
          <w:tcPr>
            <w:tcW w:w="567" w:type="dxa"/>
          </w:tcPr>
          <w:p w:rsidRPr="00AC592B" w:rsidR="00AC592B" w:rsidRDefault="00AC592B" w14:paraId="0236F926" w14:textId="77777777">
            <w:pPr>
              <w:jc w:val="right"/>
            </w:pPr>
            <w:r w:rsidRPr="00AC592B">
              <w:t xml:space="preserve"> </w:t>
            </w:r>
          </w:p>
        </w:tc>
      </w:tr>
      <w:tr w:rsidRPr="00AC592B" w:rsidR="00AC592B" w:rsidTr="00AC592B" w14:paraId="06AE7E4D" w14:textId="77777777">
        <w:tc>
          <w:tcPr>
            <w:tcW w:w="567" w:type="dxa"/>
          </w:tcPr>
          <w:p w:rsidRPr="00AC592B" w:rsidR="00AC592B" w:rsidRDefault="00AC592B" w14:paraId="47FED418" w14:textId="77777777">
            <w:r w:rsidRPr="00AC592B">
              <w:lastRenderedPageBreak/>
              <w:t>13</w:t>
            </w:r>
          </w:p>
        </w:tc>
        <w:tc>
          <w:tcPr>
            <w:tcW w:w="6521" w:type="dxa"/>
          </w:tcPr>
          <w:p w:rsidRPr="00AC592B" w:rsidR="00AC592B" w:rsidP="001A6448" w:rsidRDefault="00AC592B" w14:paraId="643465F6" w14:textId="77777777">
            <w:r w:rsidRPr="00AC592B">
              <w:t>Rapporteren alle lidstaten van de Europese Unie hun aandeel in de door de Europese Commissie opgegeven publieke klimaatfinanciering ook als nationale bijdrage? Zo ja, leidt dit tot ‘double-</w:t>
            </w:r>
            <w:proofErr w:type="spellStart"/>
            <w:r w:rsidRPr="00AC592B">
              <w:t>counting</w:t>
            </w:r>
            <w:proofErr w:type="spellEnd"/>
            <w:r w:rsidRPr="00AC592B">
              <w:t xml:space="preserve">’ in de uiteindelijke rapportage over het Klimaatverdrag (United Nations Framework </w:t>
            </w:r>
            <w:proofErr w:type="spellStart"/>
            <w:r w:rsidRPr="00AC592B">
              <w:t>Convention</w:t>
            </w:r>
            <w:proofErr w:type="spellEnd"/>
            <w:r w:rsidRPr="00AC592B">
              <w:t xml:space="preserve"> on </w:t>
            </w:r>
            <w:proofErr w:type="spellStart"/>
            <w:r w:rsidRPr="00AC592B">
              <w:t>Climate</w:t>
            </w:r>
            <w:proofErr w:type="spellEnd"/>
            <w:r w:rsidRPr="00AC592B">
              <w:t xml:space="preserve"> Change, UNFCCC), aangezien de Europese Commissie daarvoor ook rapporteert? Hoe voorkomt Nederland dit?</w:t>
            </w:r>
          </w:p>
          <w:p w:rsidRPr="00AC592B" w:rsidR="00AC592B" w:rsidP="001A6448" w:rsidRDefault="00AC592B" w14:paraId="522B35C9" w14:textId="77777777"/>
          <w:p w:rsidRPr="00AC592B" w:rsidR="00AC592B" w:rsidP="006D76A7" w:rsidRDefault="00AC592B" w14:paraId="613421AB" w14:textId="72E58CE8">
            <w:pPr>
              <w:rPr>
                <w:b/>
                <w:bCs/>
              </w:rPr>
            </w:pPr>
            <w:r w:rsidRPr="00AC592B">
              <w:rPr>
                <w:b/>
                <w:bCs/>
              </w:rPr>
              <w:t>Antwoord</w:t>
            </w:r>
          </w:p>
          <w:p w:rsidRPr="00D36C54" w:rsidR="00AC592B" w:rsidP="001A6448" w:rsidRDefault="00AC592B" w14:paraId="299FF7D1" w14:textId="268B26D7">
            <w:pPr>
              <w:rPr>
                <w:b/>
                <w:bCs/>
              </w:rPr>
            </w:pPr>
            <w:r w:rsidRPr="00D36C54">
              <w:rPr>
                <w:b/>
                <w:bCs/>
              </w:rPr>
              <w:t xml:space="preserve">Er is geen sprake van dubbeltelling. De officiële rapportage over de Nederlandse bijdrage aan het Klimaatverdrag is in lijn met de methodiek van de tweejaarlijkse rapportage aan het UNFCCC. Nederland neemt dan ook het Nederlandse aandeel in de door de Europese Commissie opgegeven klimaatfinanciering niet op in de rapportage aan UNFCCC. De Europese Commissie rapporteert zelf direct aan UNFCCC over de klimaatfinanciering vanuit de begroting van de Europese Unie en de Europese Investeringsbank (EIB). </w:t>
            </w:r>
          </w:p>
          <w:p w:rsidRPr="00D36C54" w:rsidR="00AC592B" w:rsidP="001A6448" w:rsidRDefault="00AC592B" w14:paraId="75C0DF1B" w14:textId="77777777">
            <w:pPr>
              <w:rPr>
                <w:b/>
                <w:bCs/>
              </w:rPr>
            </w:pPr>
          </w:p>
          <w:p w:rsidRPr="00D36C54" w:rsidR="00AC592B" w:rsidP="001A6448" w:rsidRDefault="00AC592B" w14:paraId="28575F46" w14:textId="4009057F">
            <w:pPr>
              <w:rPr>
                <w:b/>
                <w:bCs/>
              </w:rPr>
            </w:pPr>
            <w:r w:rsidRPr="00D36C54">
              <w:rPr>
                <w:b/>
                <w:bCs/>
              </w:rPr>
              <w:t>Om uw Kamer het volledige overzicht te geven, heeft het kabinet er voor gekozen om het Nederlandse aandeel in klimaatfinanciering in de EU-begroting wel zichtbaar te maken in de HGIS-nota.</w:t>
            </w:r>
          </w:p>
          <w:p w:rsidRPr="00AC592B" w:rsidR="00AC592B" w:rsidP="001A6448" w:rsidRDefault="00AC592B" w14:paraId="161B7EA7" w14:textId="5EBB3044"/>
        </w:tc>
        <w:tc>
          <w:tcPr>
            <w:tcW w:w="992" w:type="dxa"/>
          </w:tcPr>
          <w:p w:rsidRPr="00AC592B" w:rsidR="00AC592B" w:rsidRDefault="00AC592B" w14:paraId="3D51E258" w14:textId="77777777">
            <w:pPr>
              <w:jc w:val="right"/>
            </w:pPr>
            <w:r w:rsidRPr="00AC592B">
              <w:t>65</w:t>
            </w:r>
          </w:p>
        </w:tc>
        <w:tc>
          <w:tcPr>
            <w:tcW w:w="567" w:type="dxa"/>
          </w:tcPr>
          <w:p w:rsidRPr="00AC592B" w:rsidR="00AC592B" w:rsidRDefault="00AC592B" w14:paraId="09651A4C" w14:textId="77777777">
            <w:pPr>
              <w:jc w:val="right"/>
            </w:pPr>
            <w:r w:rsidRPr="00AC592B">
              <w:t xml:space="preserve"> </w:t>
            </w:r>
          </w:p>
        </w:tc>
      </w:tr>
      <w:tr w:rsidRPr="00AC592B" w:rsidR="00AC592B" w:rsidTr="00AC592B" w14:paraId="2A4E855B" w14:textId="77777777">
        <w:tc>
          <w:tcPr>
            <w:tcW w:w="567" w:type="dxa"/>
          </w:tcPr>
          <w:p w:rsidRPr="00AC592B" w:rsidR="00AC592B" w:rsidRDefault="00AC592B" w14:paraId="6F2FF549" w14:textId="77777777">
            <w:r w:rsidRPr="00AC592B">
              <w:t>14</w:t>
            </w:r>
          </w:p>
        </w:tc>
        <w:tc>
          <w:tcPr>
            <w:tcW w:w="6521" w:type="dxa"/>
          </w:tcPr>
          <w:p w:rsidRPr="00AC592B" w:rsidR="00AC592B" w:rsidP="001A6448" w:rsidRDefault="00AC592B" w14:paraId="48545083" w14:textId="5C4DB4A1">
            <w:r w:rsidRPr="00AC592B">
              <w:t>Aangezien het meerekenen van bestaande middelen van multilaterale ontwikkelingsbanken (</w:t>
            </w:r>
            <w:proofErr w:type="spellStart"/>
            <w:r w:rsidRPr="00AC592B">
              <w:t>Multilateral</w:t>
            </w:r>
            <w:proofErr w:type="spellEnd"/>
            <w:r w:rsidRPr="00AC592B">
              <w:t xml:space="preserve"> Development Banks, </w:t>
            </w:r>
            <w:proofErr w:type="spellStart"/>
            <w:r w:rsidRPr="00AC592B">
              <w:t>MDB’s</w:t>
            </w:r>
            <w:proofErr w:type="spellEnd"/>
            <w:r w:rsidRPr="00AC592B">
              <w:t>) en de Europese Unie geen nieuwe middelen oplevert voor ontwikkelingslanden, hoe ziet het groeipad eruit voor de Nederlandse eigen publieke bijdrage aan het internationale doel van € 300 miljard klimaatfinanciering in 2035? Specifieker gevraagd: hoe komt Nederland tot een verdrievoudiging van de eigen ‘eerlijke bijdrage’ van € 1,8 miljard in 2025 (volgens de Internationale Klimaatstrategie) in 2035?</w:t>
            </w:r>
          </w:p>
          <w:p w:rsidRPr="00AC592B" w:rsidR="00AC592B" w:rsidP="001A6448" w:rsidRDefault="00AC592B" w14:paraId="11900A18" w14:textId="77777777"/>
          <w:p w:rsidRPr="00AC592B" w:rsidR="00AC592B" w:rsidP="00AC592B" w:rsidRDefault="00AC592B" w14:paraId="385E23BA" w14:textId="77777777">
            <w:pPr>
              <w:rPr>
                <w:b/>
                <w:bCs/>
              </w:rPr>
            </w:pPr>
            <w:bookmarkStart w:name="_Hlk212096835" w:id="2"/>
            <w:r w:rsidRPr="00AC592B">
              <w:rPr>
                <w:b/>
                <w:bCs/>
              </w:rPr>
              <w:t>Antwoord</w:t>
            </w:r>
          </w:p>
          <w:p w:rsidRPr="00AC592B" w:rsidR="00AC592B" w:rsidP="00915A4D" w:rsidRDefault="00AC592B" w14:paraId="3A1DA4E4" w14:textId="6DD0199A">
            <w:r w:rsidRPr="00D36C54">
              <w:rPr>
                <w:b/>
                <w:bCs/>
              </w:rPr>
              <w:t xml:space="preserve">Er is geen internationaal overeengekomen groeipad en verdeelsleutel tussen landen voor het klimaatfinancieringsdoel van USD 300 miljard. Nederland heeft daarom geen meerjarige nationale planning voor de invulling van klimaatfinanciering vastgesteld. </w:t>
            </w:r>
            <w:bookmarkEnd w:id="2"/>
            <w:r w:rsidRPr="00D36C54">
              <w:rPr>
                <w:b/>
                <w:bCs/>
              </w:rPr>
              <w:t>We blijven ons aandeel leveren door onder andere klimaat te integreren in onze aanpak voor water en voedselzekerheid. Daarnaast wordt ingezet op het bevorderen van private mobilisatie voor klimaat. Daarbovenop groeit naar verwachting het volume aan klimaatfinanciering van multilaterale ontwikkelingsbanken en stijgt hiermee ook de aan Nederland toe te rekenen klimaatfinanciering vanuit deze banken</w:t>
            </w:r>
            <w:r w:rsidRPr="00AC592B">
              <w:t xml:space="preserve">. </w:t>
            </w:r>
          </w:p>
          <w:p w:rsidRPr="00AC592B" w:rsidR="00AC592B" w:rsidP="001A6448" w:rsidRDefault="00AC592B" w14:paraId="1DE1DCE5" w14:textId="08505A4D"/>
        </w:tc>
        <w:tc>
          <w:tcPr>
            <w:tcW w:w="992" w:type="dxa"/>
          </w:tcPr>
          <w:p w:rsidRPr="00AC592B" w:rsidR="00AC592B" w:rsidRDefault="00AC592B" w14:paraId="5143CE65" w14:textId="77777777">
            <w:pPr>
              <w:jc w:val="right"/>
            </w:pPr>
            <w:r w:rsidRPr="00AC592B">
              <w:t>65</w:t>
            </w:r>
          </w:p>
        </w:tc>
        <w:tc>
          <w:tcPr>
            <w:tcW w:w="567" w:type="dxa"/>
          </w:tcPr>
          <w:p w:rsidRPr="00AC592B" w:rsidR="00AC592B" w:rsidRDefault="00AC592B" w14:paraId="3151CDBC" w14:textId="77777777">
            <w:pPr>
              <w:jc w:val="right"/>
            </w:pPr>
            <w:r w:rsidRPr="00AC592B">
              <w:t xml:space="preserve"> </w:t>
            </w:r>
          </w:p>
        </w:tc>
      </w:tr>
      <w:tr w:rsidRPr="00AC592B" w:rsidR="00AC592B" w:rsidTr="00AC592B" w14:paraId="6DB8EF39" w14:textId="77777777">
        <w:tc>
          <w:tcPr>
            <w:tcW w:w="567" w:type="dxa"/>
          </w:tcPr>
          <w:p w:rsidRPr="00AC592B" w:rsidR="00AC592B" w:rsidRDefault="00AC592B" w14:paraId="215EC8A8" w14:textId="77777777">
            <w:r w:rsidRPr="00AC592B">
              <w:t>15</w:t>
            </w:r>
          </w:p>
        </w:tc>
        <w:tc>
          <w:tcPr>
            <w:tcW w:w="6521" w:type="dxa"/>
          </w:tcPr>
          <w:p w:rsidRPr="00AC592B" w:rsidR="00AC592B" w:rsidP="001A6448" w:rsidRDefault="00AC592B" w14:paraId="605AB1AB" w14:textId="77777777">
            <w:r w:rsidRPr="00AC592B">
              <w:t>Hoeveel van de in tabel 18 gepresenteerde middelen betreft daadwerkelijk nieuw beschikbaar gesteld publiek geld, dat aansluit bij de afspraken van COP29 (Klimaatconferentie van Bakoe 2024) om de publieke financiering substantieel te verhogen?</w:t>
            </w:r>
          </w:p>
          <w:p w:rsidRPr="00AC592B" w:rsidR="00AC592B" w:rsidP="001A6448" w:rsidRDefault="00AC592B" w14:paraId="125EDAAB" w14:textId="77777777"/>
          <w:p w:rsidRPr="00AC592B" w:rsidR="00AC592B" w:rsidP="001A6448" w:rsidRDefault="00AC592B" w14:paraId="5BF79B06" w14:textId="77777777">
            <w:pPr>
              <w:rPr>
                <w:b/>
                <w:bCs/>
              </w:rPr>
            </w:pPr>
            <w:r w:rsidRPr="00AC592B">
              <w:rPr>
                <w:b/>
                <w:bCs/>
              </w:rPr>
              <w:t>Antwoord</w:t>
            </w:r>
          </w:p>
          <w:p w:rsidRPr="00134457" w:rsidR="00AC592B" w:rsidP="001A6448" w:rsidRDefault="00AC592B" w14:paraId="02F787DA" w14:textId="4F7FBBBE">
            <w:pPr>
              <w:rPr>
                <w:b/>
                <w:bCs/>
              </w:rPr>
            </w:pPr>
            <w:r w:rsidRPr="00134457">
              <w:rPr>
                <w:b/>
                <w:bCs/>
              </w:rPr>
              <w:t xml:space="preserve">Tabel 18 geeft per begrotingsartikel aan welk deel van de uitgaven op dat artikel naar verwachting zal bijdragen aan klimaatactie in ontwikkelingslanden. Deze tabel gaat uit van de begrotingsstanden op de artikelen. Hierdoor kan uit deze tabel niet worden herleid wat nieuw beschikbare middelen voor klimaat zijn. </w:t>
            </w:r>
          </w:p>
          <w:p w:rsidRPr="00134457" w:rsidR="00AC592B" w:rsidP="001A6448" w:rsidRDefault="00AC592B" w14:paraId="037FB2D1" w14:textId="77777777">
            <w:pPr>
              <w:rPr>
                <w:b/>
                <w:bCs/>
              </w:rPr>
            </w:pPr>
          </w:p>
          <w:p w:rsidRPr="00AC592B" w:rsidR="00AC592B" w:rsidP="001A6448" w:rsidRDefault="00AC592B" w14:paraId="3203C8DA" w14:textId="6D236FAA">
            <w:r w:rsidRPr="00134457">
              <w:rPr>
                <w:b/>
                <w:bCs/>
              </w:rPr>
              <w:t xml:space="preserve">Nederland blijft zijn aandeel aan internationale klimaatfinanciering en de daarover tijdens COP29 gemaakte afspraken leveren. Dit doen we onder </w:t>
            </w:r>
            <w:r w:rsidRPr="00134457">
              <w:rPr>
                <w:b/>
                <w:bCs/>
              </w:rPr>
              <w:lastRenderedPageBreak/>
              <w:t>andere door de inzet op thema’s waar extra middelen voor beschikbaar komen, zoals</w:t>
            </w:r>
            <w:r w:rsidRPr="00AC592B">
              <w:t xml:space="preserve"> </w:t>
            </w:r>
            <w:r w:rsidRPr="00134457">
              <w:rPr>
                <w:b/>
                <w:bCs/>
              </w:rPr>
              <w:t>watermanagement en voedselzekerheid, sterker te richten op het tegengaan van negatieve gevolgen van klimaatverandering. De combinatie van groeiend budget en grotere klimaatrelevantie van de programmering leidt ertoe dat de inzet op deze thema’s de komende jaren een groter aandeel zal leveren aan de Nederlandse publieke klimaatfinanciering.</w:t>
            </w:r>
            <w:r w:rsidRPr="00AC592B">
              <w:t xml:space="preserve"> </w:t>
            </w:r>
          </w:p>
          <w:p w:rsidRPr="00AC592B" w:rsidR="00AC592B" w:rsidP="001A6448" w:rsidRDefault="00AC592B" w14:paraId="4C448B47" w14:textId="38F3B0E0"/>
        </w:tc>
        <w:tc>
          <w:tcPr>
            <w:tcW w:w="992" w:type="dxa"/>
          </w:tcPr>
          <w:p w:rsidRPr="00AC592B" w:rsidR="00AC592B" w:rsidRDefault="00AC592B" w14:paraId="239702E7" w14:textId="77777777">
            <w:pPr>
              <w:jc w:val="right"/>
            </w:pPr>
            <w:r w:rsidRPr="00AC592B">
              <w:lastRenderedPageBreak/>
              <w:t>66</w:t>
            </w:r>
          </w:p>
        </w:tc>
        <w:tc>
          <w:tcPr>
            <w:tcW w:w="567" w:type="dxa"/>
          </w:tcPr>
          <w:p w:rsidRPr="00AC592B" w:rsidR="00AC592B" w:rsidRDefault="00AC592B" w14:paraId="73570DCA" w14:textId="77777777">
            <w:pPr>
              <w:jc w:val="right"/>
            </w:pPr>
            <w:r w:rsidRPr="00AC592B">
              <w:t xml:space="preserve"> </w:t>
            </w:r>
          </w:p>
        </w:tc>
      </w:tr>
      <w:tr w:rsidRPr="00AC592B" w:rsidR="00AC592B" w:rsidTr="00AC592B" w14:paraId="057B426B" w14:textId="77777777">
        <w:tc>
          <w:tcPr>
            <w:tcW w:w="567" w:type="dxa"/>
          </w:tcPr>
          <w:p w:rsidRPr="00AC592B" w:rsidR="00AC592B" w:rsidRDefault="00AC592B" w14:paraId="6ABE4CD3" w14:textId="77777777">
            <w:r w:rsidRPr="00AC592B">
              <w:t>16</w:t>
            </w:r>
          </w:p>
        </w:tc>
        <w:tc>
          <w:tcPr>
            <w:tcW w:w="6521" w:type="dxa"/>
          </w:tcPr>
          <w:p w:rsidRPr="00AC592B" w:rsidR="00AC592B" w:rsidP="001A6448" w:rsidRDefault="00AC592B" w14:paraId="7ABEF994" w14:textId="77777777">
            <w:r w:rsidRPr="00AC592B">
              <w:t>Worden de doelstellingen van de Internationale Klimaatstrategie gehaald met de huidige middelen voor publieke klimaatfinanciering? In hoeverre wijken de verwachte resultaten af van de gestelde doelen?</w:t>
            </w:r>
          </w:p>
          <w:p w:rsidRPr="00AC592B" w:rsidR="00AC592B" w:rsidP="001A6448" w:rsidRDefault="00AC592B" w14:paraId="0B798B25" w14:textId="77777777"/>
          <w:p w:rsidRPr="00AC592B" w:rsidR="00AC592B" w:rsidP="001A6448" w:rsidRDefault="00AC592B" w14:paraId="50DBBEF7" w14:textId="725B9B1A">
            <w:pPr>
              <w:rPr>
                <w:b/>
                <w:bCs/>
              </w:rPr>
            </w:pPr>
            <w:r w:rsidRPr="00AC592B">
              <w:rPr>
                <w:b/>
                <w:bCs/>
              </w:rPr>
              <w:t>Antwoord</w:t>
            </w:r>
          </w:p>
          <w:p w:rsidRPr="0092534C" w:rsidR="00AC592B" w:rsidP="001A6448" w:rsidRDefault="00AC592B" w14:paraId="1D42385C" w14:textId="450A4847">
            <w:pPr>
              <w:rPr>
                <w:b/>
                <w:bCs/>
              </w:rPr>
            </w:pPr>
            <w:r w:rsidRPr="00134457">
              <w:rPr>
                <w:b/>
                <w:bCs/>
              </w:rPr>
              <w:t xml:space="preserve">Nederland komt zijn internationale klimaatverplichtingen na en blijft zijn aandeel aan internationale klimaatfinanciering leveren in lijn met de </w:t>
            </w:r>
            <w:r w:rsidRPr="0092534C">
              <w:rPr>
                <w:b/>
                <w:bCs/>
              </w:rPr>
              <w:t xml:space="preserve">Overeenkomst van Parijs en het collectieve financieringsdoel. </w:t>
            </w:r>
          </w:p>
          <w:p w:rsidRPr="00134457" w:rsidR="004B46E9" w:rsidP="001A6448" w:rsidRDefault="004B46E9" w14:paraId="5B301A2D" w14:textId="552C79F6">
            <w:pPr>
              <w:rPr>
                <w:b/>
                <w:bCs/>
              </w:rPr>
            </w:pPr>
            <w:r w:rsidRPr="0092534C">
              <w:rPr>
                <w:b/>
                <w:bCs/>
              </w:rPr>
              <w:t>In de Beleidsbrief Ontwikkelingshulp (Kamerstuk 36180 nr. 133) maakt het kabinet keuzes. Zoals beschreven in de Kamerbrief van 20 februari 2025 (Kamerstuk 31793-279) betekenen deze keuzes ten aanzien van de in de Internationale Klimaatstrategie genoemde inzet concreet dat we minder investeren in scholing en vaardigheden om duurzame klimaatkeuzes te bevorderen. Ook dragen we minder bij aan het stoppen van ontbossing in de drie tropische regenwoudregio’s en bouwen we de inzet op kleinschalige hernieuwbare energie af. Het doel om tot 2030 tenminste 100 miljoen mensen te bereiken met toegang tot hernieuwbare energie wordt hierdoor niet gehaald. De verwachting is echter dat het oorspronkelijke doel van 50 miljoen mensen bereikt, op basis van de lopende portfolio, haalbaar blijft.</w:t>
            </w:r>
          </w:p>
          <w:p w:rsidRPr="00AC592B" w:rsidR="00AC592B" w:rsidP="001A6448" w:rsidRDefault="00AC592B" w14:paraId="219622E1" w14:textId="77D555AB"/>
        </w:tc>
        <w:tc>
          <w:tcPr>
            <w:tcW w:w="992" w:type="dxa"/>
          </w:tcPr>
          <w:p w:rsidRPr="00AC592B" w:rsidR="00AC592B" w:rsidRDefault="00AC592B" w14:paraId="769D14CF" w14:textId="77777777">
            <w:pPr>
              <w:jc w:val="right"/>
            </w:pPr>
            <w:r w:rsidRPr="00AC592B">
              <w:t>66</w:t>
            </w:r>
          </w:p>
        </w:tc>
        <w:tc>
          <w:tcPr>
            <w:tcW w:w="567" w:type="dxa"/>
          </w:tcPr>
          <w:p w:rsidRPr="00AC592B" w:rsidR="00AC592B" w:rsidRDefault="00AC592B" w14:paraId="033438FF" w14:textId="77777777">
            <w:pPr>
              <w:jc w:val="right"/>
            </w:pPr>
            <w:r w:rsidRPr="00AC592B">
              <w:t xml:space="preserve"> </w:t>
            </w:r>
          </w:p>
        </w:tc>
      </w:tr>
      <w:tr w:rsidRPr="00AC592B" w:rsidR="00AC592B" w:rsidTr="00AC592B" w14:paraId="5CC99AFA" w14:textId="77777777">
        <w:tc>
          <w:tcPr>
            <w:tcW w:w="567" w:type="dxa"/>
          </w:tcPr>
          <w:p w:rsidRPr="00AC592B" w:rsidR="00AC592B" w:rsidRDefault="00AC592B" w14:paraId="64AFA3B1" w14:textId="77777777">
            <w:r w:rsidRPr="00AC592B">
              <w:t>17</w:t>
            </w:r>
          </w:p>
        </w:tc>
        <w:tc>
          <w:tcPr>
            <w:tcW w:w="6521" w:type="dxa"/>
          </w:tcPr>
          <w:p w:rsidRPr="00AC592B" w:rsidR="00AC592B" w:rsidP="001A6448" w:rsidRDefault="00AC592B" w14:paraId="51B4EC07" w14:textId="77777777">
            <w:r w:rsidRPr="00AC592B">
              <w:t>Hoe verhoudt het Nederlands aandeel in door multilaterale ontwikkelingsbanken gerapporteerde klimaatfinanciering (met name leningen) zich tot de aangenomen motie-Teunissen (Kamerstuk 21501-33, nr. 1106) van 12 december 2024, die stelt dat klimaatfinanciering de schuldenlast van landen niet verder mag vergroten?</w:t>
            </w:r>
          </w:p>
          <w:p w:rsidRPr="00AC592B" w:rsidR="00AC592B" w:rsidP="001A6448" w:rsidRDefault="00AC592B" w14:paraId="24CFAFB9" w14:textId="77777777"/>
          <w:p w:rsidRPr="00AC592B" w:rsidR="00AC592B" w:rsidP="001A6448" w:rsidRDefault="00AC592B" w14:paraId="4E950441" w14:textId="77777777">
            <w:pPr>
              <w:rPr>
                <w:b/>
                <w:bCs/>
              </w:rPr>
            </w:pPr>
            <w:r w:rsidRPr="00AC592B">
              <w:rPr>
                <w:b/>
                <w:bCs/>
              </w:rPr>
              <w:t>Antwoord</w:t>
            </w:r>
          </w:p>
          <w:p w:rsidRPr="00134457" w:rsidR="00AC592B" w:rsidP="009E6FFA" w:rsidRDefault="00AC592B" w14:paraId="23B67540" w14:textId="1A97400A">
            <w:pPr>
              <w:rPr>
                <w:b/>
                <w:bCs/>
              </w:rPr>
            </w:pPr>
            <w:r w:rsidRPr="00134457">
              <w:rPr>
                <w:b/>
                <w:bCs/>
              </w:rPr>
              <w:t xml:space="preserve">De multilaterale ontwikkelingsbanken leveren een belangrijke bijdrage aan internationale klimaatfinanciering. Door de hefboomwerking van de ontwikkelingsbanken kan met dezelfde middelen de beschikbare klimaatfinanciering aanzienlijk worden vergroot. De multilaterale ontwikkelingsbanken maken gebruik van een schuldenraamwerk om de schulden van ontwikkelingslanden te monitoren en ervoor te waken dat leningen deze schulden niet op een onhoudbaar pad brengen. Daar waar gepast, benadrukt het kabinet dat klimaatfinanciering en innovatieve klimaatfinancieringsmechanismen oog moeten houden voor een houdbare schuldenlast van ontwikkelingslanden. </w:t>
            </w:r>
          </w:p>
          <w:p w:rsidRPr="00134457" w:rsidR="00AC592B" w:rsidP="009E6FFA" w:rsidRDefault="00AC592B" w14:paraId="4F2D5EB6" w14:textId="77777777">
            <w:pPr>
              <w:rPr>
                <w:b/>
                <w:bCs/>
              </w:rPr>
            </w:pPr>
          </w:p>
          <w:p w:rsidRPr="00134457" w:rsidR="00AC592B" w:rsidP="009E6FFA" w:rsidRDefault="00AC592B" w14:paraId="2DD6A1E1" w14:textId="29BCE86D">
            <w:pPr>
              <w:rPr>
                <w:b/>
                <w:bCs/>
              </w:rPr>
            </w:pPr>
            <w:r w:rsidRPr="00134457">
              <w:rPr>
                <w:b/>
                <w:bCs/>
              </w:rPr>
              <w:t xml:space="preserve">Landen met een onhoudbare schuldenlast kunnen een verzoek indienen voor schuldherstructurering via het </w:t>
            </w:r>
            <w:r w:rsidRPr="00134457">
              <w:rPr>
                <w:b/>
                <w:bCs/>
                <w:i/>
                <w:iCs/>
              </w:rPr>
              <w:t>Common Framework</w:t>
            </w:r>
            <w:r w:rsidRPr="00134457">
              <w:rPr>
                <w:b/>
                <w:bCs/>
              </w:rPr>
              <w:t>. Het IMF en de Wereldbank spelen hierbij een belangrijke rol doordat zij schuldhoudbaarheidsanalyses opstellen, schuldentransparantie verbeteren en technisch advies verlenen bij herstructureringen. Het kabinet ondersteunt dit initiatief en zet zich actief in voor de versterking ervan.</w:t>
            </w:r>
          </w:p>
          <w:p w:rsidRPr="00AC592B" w:rsidR="00AC592B" w:rsidP="00174291" w:rsidRDefault="00AC592B" w14:paraId="41279D33" w14:textId="2AE0CCAC"/>
        </w:tc>
        <w:tc>
          <w:tcPr>
            <w:tcW w:w="992" w:type="dxa"/>
          </w:tcPr>
          <w:p w:rsidRPr="00AC592B" w:rsidR="00AC592B" w:rsidRDefault="00AC592B" w14:paraId="06D96C19" w14:textId="77777777">
            <w:pPr>
              <w:jc w:val="right"/>
            </w:pPr>
            <w:r w:rsidRPr="00AC592B">
              <w:t>67</w:t>
            </w:r>
          </w:p>
        </w:tc>
        <w:tc>
          <w:tcPr>
            <w:tcW w:w="567" w:type="dxa"/>
          </w:tcPr>
          <w:p w:rsidRPr="00AC592B" w:rsidR="00AC592B" w:rsidRDefault="00AC592B" w14:paraId="5E14BDFE" w14:textId="77777777">
            <w:pPr>
              <w:jc w:val="right"/>
            </w:pPr>
            <w:r w:rsidRPr="00AC592B">
              <w:t xml:space="preserve">68 </w:t>
            </w:r>
          </w:p>
        </w:tc>
      </w:tr>
      <w:tr w:rsidRPr="00AC592B" w:rsidR="00AC592B" w:rsidTr="00AC592B" w14:paraId="089DC64D" w14:textId="77777777">
        <w:tc>
          <w:tcPr>
            <w:tcW w:w="567" w:type="dxa"/>
          </w:tcPr>
          <w:p w:rsidRPr="00AC592B" w:rsidR="00AC592B" w:rsidRDefault="00AC592B" w14:paraId="3D4B63A1" w14:textId="77777777">
            <w:r w:rsidRPr="00AC592B">
              <w:t>18</w:t>
            </w:r>
          </w:p>
        </w:tc>
        <w:tc>
          <w:tcPr>
            <w:tcW w:w="6521" w:type="dxa"/>
          </w:tcPr>
          <w:p w:rsidRPr="00AC592B" w:rsidR="00AC592B" w:rsidP="001A6448" w:rsidRDefault="00AC592B" w14:paraId="01430E64" w14:textId="77777777">
            <w:r w:rsidRPr="00AC592B">
              <w:t>Kunt u aangeven wat de totale klimaatfinanciering van Nederland voor 2026 gaat zijn?</w:t>
            </w:r>
          </w:p>
          <w:p w:rsidRPr="00AC592B" w:rsidR="00AC592B" w:rsidP="001A6448" w:rsidRDefault="00AC592B" w14:paraId="048BC728" w14:textId="77777777"/>
          <w:p w:rsidRPr="00AC592B" w:rsidR="00AC592B" w:rsidP="001A6448" w:rsidRDefault="00AC592B" w14:paraId="0163FF2F" w14:textId="77777777">
            <w:pPr>
              <w:rPr>
                <w:b/>
                <w:bCs/>
              </w:rPr>
            </w:pPr>
            <w:r w:rsidRPr="00AC592B">
              <w:rPr>
                <w:b/>
                <w:bCs/>
              </w:rPr>
              <w:t>Antwoord</w:t>
            </w:r>
          </w:p>
          <w:p w:rsidRPr="00134457" w:rsidR="00AC592B" w:rsidP="001A6448" w:rsidRDefault="00AC592B" w14:paraId="74416F24" w14:textId="065EA9CD">
            <w:pPr>
              <w:rPr>
                <w:b/>
                <w:bCs/>
              </w:rPr>
            </w:pPr>
            <w:r w:rsidRPr="00134457">
              <w:rPr>
                <w:b/>
                <w:bCs/>
              </w:rPr>
              <w:t>De HGIS-nota 2026 geeft een schatting van de totale klimaatfinanciering van Nederland op basis van de beschikbare informatie. Daarbij kiest het kabinet voor een conservatieve benadering. Voor 2026 is deze schatting EUR 2,9 miljard. De daadwerkelijk</w:t>
            </w:r>
            <w:r w:rsidRPr="00134457" w:rsidDel="0037502C">
              <w:rPr>
                <w:b/>
                <w:bCs/>
              </w:rPr>
              <w:t xml:space="preserve"> </w:t>
            </w:r>
            <w:r w:rsidRPr="00134457">
              <w:rPr>
                <w:b/>
                <w:bCs/>
              </w:rPr>
              <w:t>gerealiseerde klimaatfinanciering wordt</w:t>
            </w:r>
            <w:r w:rsidRPr="00134457" w:rsidDel="00217D5F">
              <w:rPr>
                <w:b/>
                <w:bCs/>
              </w:rPr>
              <w:t xml:space="preserve"> </w:t>
            </w:r>
            <w:r w:rsidRPr="00134457">
              <w:rPr>
                <w:b/>
                <w:bCs/>
              </w:rPr>
              <w:t>in mei 2027 in</w:t>
            </w:r>
            <w:r w:rsidRPr="00134457" w:rsidDel="00217D5F">
              <w:rPr>
                <w:b/>
                <w:bCs/>
              </w:rPr>
              <w:t xml:space="preserve"> </w:t>
            </w:r>
            <w:r w:rsidRPr="00134457">
              <w:rPr>
                <w:b/>
                <w:bCs/>
              </w:rPr>
              <w:t>het HGIS-jaarverslag 2026 met uw</w:t>
            </w:r>
            <w:r w:rsidRPr="00134457" w:rsidDel="00217D5F">
              <w:rPr>
                <w:b/>
                <w:bCs/>
              </w:rPr>
              <w:t xml:space="preserve"> Kamer </w:t>
            </w:r>
            <w:r w:rsidRPr="00134457">
              <w:rPr>
                <w:b/>
                <w:bCs/>
              </w:rPr>
              <w:t xml:space="preserve">gedeeld.     </w:t>
            </w:r>
          </w:p>
          <w:p w:rsidRPr="00AC592B" w:rsidR="00AC592B" w:rsidP="001A6448" w:rsidRDefault="00AC592B" w14:paraId="1039E62B" w14:textId="24741CFA"/>
        </w:tc>
        <w:tc>
          <w:tcPr>
            <w:tcW w:w="992" w:type="dxa"/>
          </w:tcPr>
          <w:p w:rsidRPr="00AC592B" w:rsidR="00AC592B" w:rsidRDefault="00AC592B" w14:paraId="5D2E6A1E" w14:textId="77777777">
            <w:pPr>
              <w:jc w:val="right"/>
            </w:pPr>
            <w:r w:rsidRPr="00AC592B">
              <w:lastRenderedPageBreak/>
              <w:t>68</w:t>
            </w:r>
          </w:p>
        </w:tc>
        <w:tc>
          <w:tcPr>
            <w:tcW w:w="567" w:type="dxa"/>
          </w:tcPr>
          <w:p w:rsidRPr="00AC592B" w:rsidR="00AC592B" w:rsidRDefault="00AC592B" w14:paraId="58A9E407" w14:textId="77777777">
            <w:pPr>
              <w:jc w:val="right"/>
            </w:pPr>
            <w:r w:rsidRPr="00AC592B">
              <w:t xml:space="preserve"> </w:t>
            </w:r>
          </w:p>
        </w:tc>
      </w:tr>
      <w:tr w:rsidRPr="00AC592B" w:rsidR="00AC592B" w:rsidTr="00AC592B" w14:paraId="0CEC8C8C" w14:textId="77777777">
        <w:tc>
          <w:tcPr>
            <w:tcW w:w="567" w:type="dxa"/>
          </w:tcPr>
          <w:p w:rsidRPr="00AC592B" w:rsidR="00AC592B" w:rsidRDefault="00AC592B" w14:paraId="27CD1EB6" w14:textId="77777777">
            <w:r w:rsidRPr="00AC592B">
              <w:t>19</w:t>
            </w:r>
          </w:p>
        </w:tc>
        <w:tc>
          <w:tcPr>
            <w:tcW w:w="6521" w:type="dxa"/>
          </w:tcPr>
          <w:p w:rsidRPr="00AC592B" w:rsidR="00AC592B" w:rsidP="001A6448" w:rsidRDefault="00AC592B" w14:paraId="1369F5BD" w14:textId="77777777">
            <w:r w:rsidRPr="00AC592B">
              <w:t>Waarom wordt er anders gerapporteerd dan in de HGIS-nota van 2025?</w:t>
            </w:r>
          </w:p>
          <w:p w:rsidRPr="00AC592B" w:rsidR="00AC592B" w:rsidP="001A6448" w:rsidRDefault="00AC592B" w14:paraId="14AA5411" w14:textId="77777777"/>
          <w:p w:rsidRPr="00AC592B" w:rsidR="00AC592B" w:rsidP="001A6448" w:rsidRDefault="00AC592B" w14:paraId="5639D57E" w14:textId="77777777">
            <w:pPr>
              <w:rPr>
                <w:b/>
                <w:bCs/>
              </w:rPr>
            </w:pPr>
            <w:r w:rsidRPr="00AC592B">
              <w:rPr>
                <w:b/>
                <w:bCs/>
              </w:rPr>
              <w:t>Antwoord</w:t>
            </w:r>
          </w:p>
          <w:p w:rsidRPr="00134457" w:rsidR="00AC592B" w:rsidP="001A6448" w:rsidRDefault="00AC592B" w14:paraId="07C85864" w14:textId="3180CEF2">
            <w:pPr>
              <w:rPr>
                <w:b/>
                <w:bCs/>
              </w:rPr>
            </w:pPr>
            <w:r w:rsidRPr="00134457">
              <w:rPr>
                <w:b/>
                <w:bCs/>
              </w:rPr>
              <w:t xml:space="preserve">Op COP-29 in 2024 is een nieuw collectief klimaatfinancieringsdoel voor 2035 vastgesteld, de </w:t>
            </w:r>
            <w:r w:rsidRPr="00134457">
              <w:rPr>
                <w:b/>
                <w:bCs/>
                <w:i/>
                <w:iCs/>
              </w:rPr>
              <w:t xml:space="preserve">New </w:t>
            </w:r>
            <w:proofErr w:type="spellStart"/>
            <w:r w:rsidRPr="00134457">
              <w:rPr>
                <w:b/>
                <w:bCs/>
                <w:i/>
                <w:iCs/>
              </w:rPr>
              <w:t>Collective</w:t>
            </w:r>
            <w:proofErr w:type="spellEnd"/>
            <w:r w:rsidRPr="00134457">
              <w:rPr>
                <w:b/>
                <w:bCs/>
                <w:i/>
                <w:iCs/>
              </w:rPr>
              <w:t xml:space="preserve"> </w:t>
            </w:r>
            <w:proofErr w:type="spellStart"/>
            <w:r w:rsidRPr="00134457">
              <w:rPr>
                <w:b/>
                <w:bCs/>
                <w:i/>
                <w:iCs/>
              </w:rPr>
              <w:t>Quantified</w:t>
            </w:r>
            <w:proofErr w:type="spellEnd"/>
            <w:r w:rsidRPr="00134457">
              <w:rPr>
                <w:b/>
                <w:bCs/>
                <w:i/>
                <w:iCs/>
              </w:rPr>
              <w:t xml:space="preserve"> Goal</w:t>
            </w:r>
            <w:r w:rsidRPr="00134457">
              <w:rPr>
                <w:b/>
                <w:bCs/>
              </w:rPr>
              <w:t xml:space="preserve"> (NCQG). Hierin is een belangrijke rol weggelegd voor klimaatrelevante financieringen door de multilaterale ontwikkelingsbanken (</w:t>
            </w:r>
            <w:proofErr w:type="spellStart"/>
            <w:r w:rsidRPr="00134457">
              <w:rPr>
                <w:b/>
                <w:bCs/>
              </w:rPr>
              <w:t>MDB’s</w:t>
            </w:r>
            <w:proofErr w:type="spellEnd"/>
            <w:r w:rsidRPr="00134457">
              <w:rPr>
                <w:b/>
                <w:bCs/>
              </w:rPr>
              <w:t xml:space="preserve">). Anders dan in het verleden wordt hierbij gekeken naar álle klimaatrelevante investeringen van deze banken, ook als deze zijn gerealiseerd vanuit bijdragen van niet-traditionele donorlanden. In lijn hiermee heeft het kabinet de opbouw van de HGIS-nota geactualiseerd en het aan Nederland toe te rekenen aandeel van de publieke klimaatfinanciering van </w:t>
            </w:r>
            <w:proofErr w:type="spellStart"/>
            <w:r w:rsidRPr="00134457">
              <w:rPr>
                <w:b/>
                <w:bCs/>
              </w:rPr>
              <w:t>MDB’s</w:t>
            </w:r>
            <w:proofErr w:type="spellEnd"/>
            <w:r w:rsidRPr="00134457">
              <w:rPr>
                <w:b/>
                <w:bCs/>
              </w:rPr>
              <w:t xml:space="preserve"> zichtbaar gemaakt.</w:t>
            </w:r>
          </w:p>
          <w:p w:rsidRPr="00AC592B" w:rsidR="00AC592B" w:rsidP="001A6448" w:rsidRDefault="00AC592B" w14:paraId="03200270" w14:textId="6567BD6E"/>
        </w:tc>
        <w:tc>
          <w:tcPr>
            <w:tcW w:w="992" w:type="dxa"/>
          </w:tcPr>
          <w:p w:rsidRPr="00AC592B" w:rsidR="00AC592B" w:rsidRDefault="00AC592B" w14:paraId="6A3CAA60" w14:textId="77777777">
            <w:pPr>
              <w:jc w:val="right"/>
            </w:pPr>
            <w:r w:rsidRPr="00AC592B">
              <w:t>68</w:t>
            </w:r>
          </w:p>
        </w:tc>
        <w:tc>
          <w:tcPr>
            <w:tcW w:w="567" w:type="dxa"/>
          </w:tcPr>
          <w:p w:rsidRPr="00AC592B" w:rsidR="00AC592B" w:rsidRDefault="00AC592B" w14:paraId="34611EEF" w14:textId="77777777">
            <w:pPr>
              <w:jc w:val="right"/>
            </w:pPr>
            <w:r w:rsidRPr="00AC592B">
              <w:t xml:space="preserve"> </w:t>
            </w:r>
          </w:p>
        </w:tc>
      </w:tr>
      <w:tr w:rsidRPr="00AC592B" w:rsidR="00AC592B" w:rsidTr="00AC592B" w14:paraId="5354005A" w14:textId="77777777">
        <w:tc>
          <w:tcPr>
            <w:tcW w:w="567" w:type="dxa"/>
          </w:tcPr>
          <w:p w:rsidRPr="00AC592B" w:rsidR="00AC592B" w:rsidRDefault="00AC592B" w14:paraId="69D8828A" w14:textId="77777777">
            <w:r w:rsidRPr="00AC592B">
              <w:t>20</w:t>
            </w:r>
          </w:p>
        </w:tc>
        <w:tc>
          <w:tcPr>
            <w:tcW w:w="6521" w:type="dxa"/>
          </w:tcPr>
          <w:p w:rsidRPr="00AC592B" w:rsidR="00AC592B" w:rsidP="001A6448" w:rsidRDefault="00AC592B" w14:paraId="5144B663" w14:textId="2394351F">
            <w:r w:rsidRPr="00AC592B">
              <w:t>Hoe verhoudt de circa € 900 miljoen publieke klimaatfinanciering door ontwikkelingsbanken zich tot het bedrag dat in de HGIS-nota van 2025 was begroot?</w:t>
            </w:r>
          </w:p>
          <w:p w:rsidRPr="00AC592B" w:rsidR="00AC592B" w:rsidP="001A6448" w:rsidRDefault="00AC592B" w14:paraId="5415D7FE" w14:textId="77777777"/>
          <w:p w:rsidRPr="00AC592B" w:rsidR="00AC592B" w:rsidP="001A6448" w:rsidRDefault="00AC592B" w14:paraId="650C17EB" w14:textId="77777777">
            <w:pPr>
              <w:rPr>
                <w:b/>
                <w:bCs/>
              </w:rPr>
            </w:pPr>
            <w:r w:rsidRPr="00AC592B">
              <w:rPr>
                <w:b/>
                <w:bCs/>
              </w:rPr>
              <w:t>Antwoord</w:t>
            </w:r>
          </w:p>
          <w:p w:rsidRPr="00134457" w:rsidR="00AC592B" w:rsidP="001A6448" w:rsidRDefault="00AC592B" w14:paraId="3CBD6D37" w14:textId="20CD3AEE">
            <w:pPr>
              <w:rPr>
                <w:b/>
                <w:bCs/>
              </w:rPr>
            </w:pPr>
            <w:r w:rsidRPr="00134457">
              <w:rPr>
                <w:b/>
                <w:bCs/>
              </w:rPr>
              <w:t>In de HGIS-nota voor 2025 nam het kabinet de verwachte publieke betaling aan het kapitaal van de multilaterale ontwikkelingsbanken op als onderdeel van de geschatte EUR 900 miljoen publieke klimaatfinanciering. Deze betaling werd geschat op EUR 100 miljoen vanuit het Ministerie van Financiën en een deel van de EUR 20 miljoen van begrotingsartikel 5 van de BHO-begroting.</w:t>
            </w:r>
            <w:r w:rsidRPr="00134457">
              <w:rPr>
                <w:b/>
                <w:bCs/>
              </w:rPr>
              <w:br/>
            </w:r>
          </w:p>
          <w:p w:rsidRPr="00134457" w:rsidR="00AC592B" w:rsidP="001A6448" w:rsidRDefault="00AC592B" w14:paraId="4D4A3EAB" w14:textId="335B0A22">
            <w:pPr>
              <w:rPr>
                <w:b/>
                <w:bCs/>
              </w:rPr>
            </w:pPr>
            <w:r w:rsidRPr="00134457">
              <w:rPr>
                <w:b/>
                <w:bCs/>
              </w:rPr>
              <w:t>In de HGIS-nota 2026 is de systematiek, in lijn met het nieuwe collectief klimaatfinancieringsdoel (</w:t>
            </w:r>
            <w:r w:rsidRPr="00134457">
              <w:rPr>
                <w:b/>
                <w:bCs/>
                <w:i/>
                <w:iCs/>
              </w:rPr>
              <w:t xml:space="preserve">New </w:t>
            </w:r>
            <w:proofErr w:type="spellStart"/>
            <w:r w:rsidRPr="00134457">
              <w:rPr>
                <w:b/>
                <w:bCs/>
                <w:i/>
                <w:iCs/>
              </w:rPr>
              <w:t>Quantified</w:t>
            </w:r>
            <w:proofErr w:type="spellEnd"/>
            <w:r w:rsidRPr="00134457">
              <w:rPr>
                <w:b/>
                <w:bCs/>
                <w:i/>
                <w:iCs/>
              </w:rPr>
              <w:t xml:space="preserve"> </w:t>
            </w:r>
            <w:proofErr w:type="spellStart"/>
            <w:r w:rsidRPr="00134457">
              <w:rPr>
                <w:b/>
                <w:bCs/>
                <w:i/>
                <w:iCs/>
              </w:rPr>
              <w:t>Collective</w:t>
            </w:r>
            <w:proofErr w:type="spellEnd"/>
            <w:r w:rsidRPr="00134457">
              <w:rPr>
                <w:b/>
                <w:bCs/>
                <w:i/>
                <w:iCs/>
              </w:rPr>
              <w:t xml:space="preserve"> Goal, </w:t>
            </w:r>
            <w:r w:rsidRPr="00134457">
              <w:rPr>
                <w:b/>
                <w:bCs/>
              </w:rPr>
              <w:t xml:space="preserve">NCQG), veranderd. In de NCQG is een belangrijke rol weggelegd voor klimaatrelevante financieringen door </w:t>
            </w:r>
            <w:proofErr w:type="spellStart"/>
            <w:r w:rsidRPr="00134457">
              <w:rPr>
                <w:b/>
                <w:bCs/>
              </w:rPr>
              <w:t>MDB’s</w:t>
            </w:r>
            <w:proofErr w:type="spellEnd"/>
            <w:r w:rsidRPr="00134457">
              <w:rPr>
                <w:b/>
                <w:bCs/>
              </w:rPr>
              <w:t xml:space="preserve">, waarbij het gaat om de zogenoemde </w:t>
            </w:r>
            <w:proofErr w:type="spellStart"/>
            <w:r w:rsidRPr="00134457">
              <w:rPr>
                <w:b/>
                <w:bCs/>
                <w:i/>
                <w:iCs/>
              </w:rPr>
              <w:t>outflows</w:t>
            </w:r>
            <w:proofErr w:type="spellEnd"/>
            <w:r w:rsidRPr="00134457">
              <w:rPr>
                <w:b/>
                <w:bCs/>
              </w:rPr>
              <w:t xml:space="preserve"> van deze banken. In de HGIS-nota 2026 maakt het kabinet daarom niet langer de Nederlandse </w:t>
            </w:r>
            <w:r w:rsidRPr="00134457">
              <w:rPr>
                <w:b/>
                <w:bCs/>
                <w:i/>
                <w:iCs/>
              </w:rPr>
              <w:t>betaling</w:t>
            </w:r>
            <w:r w:rsidRPr="00134457">
              <w:rPr>
                <w:b/>
                <w:bCs/>
              </w:rPr>
              <w:t xml:space="preserve"> aan </w:t>
            </w:r>
            <w:proofErr w:type="spellStart"/>
            <w:r w:rsidRPr="00134457">
              <w:rPr>
                <w:b/>
                <w:bCs/>
              </w:rPr>
              <w:t>MDB’s</w:t>
            </w:r>
            <w:proofErr w:type="spellEnd"/>
            <w:r w:rsidRPr="00134457">
              <w:rPr>
                <w:b/>
                <w:bCs/>
              </w:rPr>
              <w:t xml:space="preserve"> maar het aan Nederland toe te rekenen </w:t>
            </w:r>
            <w:r w:rsidRPr="00134457">
              <w:rPr>
                <w:b/>
                <w:bCs/>
                <w:i/>
                <w:iCs/>
              </w:rPr>
              <w:t>aandeel</w:t>
            </w:r>
            <w:r w:rsidRPr="00134457">
              <w:rPr>
                <w:b/>
                <w:bCs/>
              </w:rPr>
              <w:t xml:space="preserve"> van de publieke klimaatfinanciering van </w:t>
            </w:r>
            <w:proofErr w:type="spellStart"/>
            <w:r w:rsidRPr="00134457">
              <w:rPr>
                <w:b/>
                <w:bCs/>
              </w:rPr>
              <w:t>MDB’s</w:t>
            </w:r>
            <w:proofErr w:type="spellEnd"/>
            <w:r w:rsidRPr="00134457">
              <w:rPr>
                <w:b/>
                <w:bCs/>
              </w:rPr>
              <w:t xml:space="preserve"> zichtbaar. Deze wordt geschat op EUR 1,1 miljard.  </w:t>
            </w:r>
          </w:p>
          <w:p w:rsidRPr="00AC592B" w:rsidR="00AC592B" w:rsidP="001A6448" w:rsidRDefault="00AC592B" w14:paraId="3214E45D" w14:textId="66F58508"/>
        </w:tc>
        <w:tc>
          <w:tcPr>
            <w:tcW w:w="992" w:type="dxa"/>
          </w:tcPr>
          <w:p w:rsidRPr="00AC592B" w:rsidR="00AC592B" w:rsidRDefault="00AC592B" w14:paraId="495C8A31" w14:textId="77777777">
            <w:pPr>
              <w:jc w:val="right"/>
            </w:pPr>
            <w:r w:rsidRPr="00AC592B">
              <w:t>68</w:t>
            </w:r>
          </w:p>
        </w:tc>
        <w:tc>
          <w:tcPr>
            <w:tcW w:w="567" w:type="dxa"/>
          </w:tcPr>
          <w:p w:rsidRPr="00AC592B" w:rsidR="00AC592B" w:rsidRDefault="00AC592B" w14:paraId="7E2E5A88" w14:textId="77777777">
            <w:pPr>
              <w:jc w:val="right"/>
            </w:pPr>
            <w:r w:rsidRPr="00AC592B">
              <w:t xml:space="preserve"> </w:t>
            </w:r>
          </w:p>
        </w:tc>
      </w:tr>
      <w:tr w:rsidRPr="00AC592B" w:rsidR="00AC592B" w:rsidTr="00AC592B" w14:paraId="1FFB509A" w14:textId="77777777">
        <w:tc>
          <w:tcPr>
            <w:tcW w:w="567" w:type="dxa"/>
          </w:tcPr>
          <w:p w:rsidRPr="00AC592B" w:rsidR="00AC592B" w:rsidRDefault="00AC592B" w14:paraId="589E5ABB" w14:textId="77777777">
            <w:r w:rsidRPr="00AC592B">
              <w:t>21</w:t>
            </w:r>
          </w:p>
        </w:tc>
        <w:tc>
          <w:tcPr>
            <w:tcW w:w="6521" w:type="dxa"/>
          </w:tcPr>
          <w:p w:rsidRPr="00AC592B" w:rsidR="00AC592B" w:rsidP="001A6448" w:rsidRDefault="00AC592B" w14:paraId="0221A011" w14:textId="77777777">
            <w:r w:rsidRPr="00AC592B">
              <w:t>Waarom ligt de prognose voor gemobiliseerde private klimaatfinanciering in 2026 (€ 900 miljoen) aanzienlijk lager dan de gerealiseerde financiering in 2024 (€ 1.380 miljoen)?</w:t>
            </w:r>
          </w:p>
          <w:p w:rsidRPr="00AC592B" w:rsidR="00AC592B" w:rsidP="001A6448" w:rsidRDefault="00AC592B" w14:paraId="5F064FFD" w14:textId="77777777"/>
          <w:p w:rsidRPr="00AC592B" w:rsidR="00AC592B" w:rsidP="001A6448" w:rsidRDefault="00AC592B" w14:paraId="10379660" w14:textId="77777777">
            <w:pPr>
              <w:rPr>
                <w:b/>
                <w:bCs/>
              </w:rPr>
            </w:pPr>
            <w:r w:rsidRPr="00AC592B">
              <w:rPr>
                <w:b/>
                <w:bCs/>
              </w:rPr>
              <w:t>Antwoord</w:t>
            </w:r>
          </w:p>
          <w:p w:rsidRPr="00E06862" w:rsidR="00AC592B" w:rsidP="001A6448" w:rsidRDefault="00AC592B" w14:paraId="2A89563B" w14:textId="3CA33BA4">
            <w:pPr>
              <w:rPr>
                <w:b/>
                <w:bCs/>
              </w:rPr>
            </w:pPr>
            <w:r w:rsidRPr="00E06862">
              <w:rPr>
                <w:b/>
                <w:bCs/>
              </w:rPr>
              <w:t xml:space="preserve">Voor de inschatting van de gemobiliseerde private klimaatfinanciering wordt het gemiddelde van de laatste vier jaar gebruikt. Deze methodiek passen we al enkele jaren toe en is ingegeven door de aanmerkelijke jaarlijkse schommelingen in het verleden. Deze methodiek vangt echter maar ten dele de gerealiseerde groei van de private mobilisatie die de afgelopen jaren heeft plaatsgevonden. </w:t>
            </w:r>
            <w:r w:rsidRPr="00E06862" w:rsidDel="00217D5F">
              <w:rPr>
                <w:b/>
                <w:bCs/>
              </w:rPr>
              <w:t xml:space="preserve">Zoals </w:t>
            </w:r>
            <w:r w:rsidRPr="00E06862">
              <w:rPr>
                <w:b/>
                <w:bCs/>
              </w:rPr>
              <w:t xml:space="preserve">ook benoemd in de HGIS-nota 2026, is er een gerede kans dat de daadwerkelijke mobilisatie hoger uitvalt. </w:t>
            </w:r>
          </w:p>
          <w:p w:rsidRPr="00AC592B" w:rsidR="00AC592B" w:rsidP="001A6448" w:rsidRDefault="00AC592B" w14:paraId="4E0B9033" w14:textId="33F586CF"/>
        </w:tc>
        <w:tc>
          <w:tcPr>
            <w:tcW w:w="992" w:type="dxa"/>
          </w:tcPr>
          <w:p w:rsidRPr="00AC592B" w:rsidR="00AC592B" w:rsidRDefault="00AC592B" w14:paraId="3C7C7FA2" w14:textId="77777777">
            <w:pPr>
              <w:jc w:val="right"/>
            </w:pPr>
            <w:r w:rsidRPr="00AC592B">
              <w:lastRenderedPageBreak/>
              <w:t>68</w:t>
            </w:r>
          </w:p>
        </w:tc>
        <w:tc>
          <w:tcPr>
            <w:tcW w:w="567" w:type="dxa"/>
          </w:tcPr>
          <w:p w:rsidRPr="00AC592B" w:rsidR="00AC592B" w:rsidRDefault="00AC592B" w14:paraId="0F393036" w14:textId="77777777">
            <w:pPr>
              <w:jc w:val="right"/>
            </w:pPr>
            <w:r w:rsidRPr="00AC592B">
              <w:t xml:space="preserve"> </w:t>
            </w:r>
          </w:p>
        </w:tc>
      </w:tr>
      <w:tr w:rsidRPr="00AC592B" w:rsidR="00AC592B" w:rsidTr="00AC592B" w14:paraId="3B1AB9FE" w14:textId="77777777">
        <w:tc>
          <w:tcPr>
            <w:tcW w:w="567" w:type="dxa"/>
          </w:tcPr>
          <w:p w:rsidRPr="00AC592B" w:rsidR="00AC592B" w:rsidRDefault="00AC592B" w14:paraId="074FD447" w14:textId="77777777">
            <w:r w:rsidRPr="00AC592B">
              <w:t>22</w:t>
            </w:r>
          </w:p>
        </w:tc>
        <w:tc>
          <w:tcPr>
            <w:tcW w:w="6521" w:type="dxa"/>
          </w:tcPr>
          <w:p w:rsidRPr="00AC592B" w:rsidR="00AC592B" w:rsidP="001A6448" w:rsidRDefault="00AC592B" w14:paraId="0A85BF5B" w14:textId="77777777">
            <w:r w:rsidRPr="00AC592B">
              <w:t>Hoe wordt de gemobiliseerde private klimaatfinanciering naar verwachting verdeeld over mitigatie, adaptatie en klimaatschade? En welk deel hiervan gaat naar verwachting naar de minst ontwikkelde landen (</w:t>
            </w:r>
            <w:proofErr w:type="spellStart"/>
            <w:r w:rsidRPr="00AC592B">
              <w:t>Least</w:t>
            </w:r>
            <w:proofErr w:type="spellEnd"/>
            <w:r w:rsidRPr="00AC592B">
              <w:t xml:space="preserve"> </w:t>
            </w:r>
            <w:proofErr w:type="spellStart"/>
            <w:r w:rsidRPr="00AC592B">
              <w:t>Developed</w:t>
            </w:r>
            <w:proofErr w:type="spellEnd"/>
            <w:r w:rsidRPr="00AC592B">
              <w:t xml:space="preserve"> </w:t>
            </w:r>
            <w:proofErr w:type="spellStart"/>
            <w:r w:rsidRPr="00AC592B">
              <w:t>Countries</w:t>
            </w:r>
            <w:proofErr w:type="spellEnd"/>
            <w:r w:rsidRPr="00AC592B">
              <w:t xml:space="preserve">, </w:t>
            </w:r>
            <w:proofErr w:type="spellStart"/>
            <w:r w:rsidRPr="00AC592B">
              <w:t>LDC's</w:t>
            </w:r>
            <w:proofErr w:type="spellEnd"/>
            <w:r w:rsidRPr="00AC592B">
              <w:t xml:space="preserve">) en kleine eilandstaten (Small Island </w:t>
            </w:r>
            <w:proofErr w:type="spellStart"/>
            <w:r w:rsidRPr="00AC592B">
              <w:t>Developing</w:t>
            </w:r>
            <w:proofErr w:type="spellEnd"/>
            <w:r w:rsidRPr="00AC592B">
              <w:t xml:space="preserve"> </w:t>
            </w:r>
            <w:proofErr w:type="spellStart"/>
            <w:r w:rsidRPr="00AC592B">
              <w:t>States</w:t>
            </w:r>
            <w:proofErr w:type="spellEnd"/>
            <w:r w:rsidRPr="00AC592B">
              <w:t>, SIDS)?</w:t>
            </w:r>
          </w:p>
          <w:p w:rsidRPr="00AC592B" w:rsidR="00AC592B" w:rsidP="001A6448" w:rsidRDefault="00AC592B" w14:paraId="480AB56A" w14:textId="77777777"/>
          <w:p w:rsidRPr="00AC592B" w:rsidR="00AC592B" w:rsidP="001A6448" w:rsidRDefault="00AC592B" w14:paraId="5DDE758E" w14:textId="77777777">
            <w:pPr>
              <w:rPr>
                <w:b/>
                <w:bCs/>
              </w:rPr>
            </w:pPr>
            <w:r w:rsidRPr="00AC592B">
              <w:rPr>
                <w:b/>
                <w:bCs/>
              </w:rPr>
              <w:t>Antwoord</w:t>
            </w:r>
          </w:p>
          <w:p w:rsidRPr="00E06862" w:rsidR="00AC592B" w:rsidP="001A6448" w:rsidRDefault="00AC592B" w14:paraId="04F3E720" w14:textId="565DE6E9">
            <w:pPr>
              <w:rPr>
                <w:b/>
                <w:bCs/>
              </w:rPr>
            </w:pPr>
            <w:r w:rsidRPr="00E06862">
              <w:rPr>
                <w:b/>
                <w:bCs/>
              </w:rPr>
              <w:t>Jaarlijks berekent een onafhankelijke partij de private ontwikkelings-, klimaat- en biodiversiteitsfinanciering die kan worden toegerekend aan de Nederlandse publieke inzet. De resultaten worden gepubliceerd in een rapport, met als meest recente publicatie de rapportage over 2024.</w:t>
            </w:r>
            <w:r w:rsidRPr="00E06862">
              <w:rPr>
                <w:rStyle w:val="FootnoteReference"/>
                <w:b/>
                <w:bCs/>
              </w:rPr>
              <w:footnoteReference w:id="2"/>
            </w:r>
          </w:p>
          <w:p w:rsidRPr="00E06862" w:rsidR="00AC592B" w:rsidP="001A6448" w:rsidRDefault="00AC592B" w14:paraId="77A7A729" w14:textId="77777777">
            <w:pPr>
              <w:rPr>
                <w:b/>
                <w:bCs/>
              </w:rPr>
            </w:pPr>
          </w:p>
          <w:p w:rsidRPr="00E06862" w:rsidR="00AC592B" w:rsidP="001A6448" w:rsidRDefault="00AC592B" w14:paraId="0E90EA72" w14:textId="12402785">
            <w:pPr>
              <w:rPr>
                <w:b/>
                <w:bCs/>
              </w:rPr>
            </w:pPr>
            <w:r w:rsidRPr="00E06862">
              <w:rPr>
                <w:b/>
                <w:bCs/>
              </w:rPr>
              <w:t xml:space="preserve">Naar verwachting zal de verdeling van de private klimaatfinanciering over mitigatie, adaptatie en klimaatschade en over de landengroepen weinig veranderen tussen 2024 en 2026. De gerealiseerde verdeling in 2024 geeft daarmee een schatting voor 2026. In 2024 kwam 61% van de private klimaatfinanciering (exclusief de financiering vanuit de </w:t>
            </w:r>
            <w:proofErr w:type="spellStart"/>
            <w:r w:rsidRPr="00E06862">
              <w:rPr>
                <w:b/>
                <w:bCs/>
              </w:rPr>
              <w:t>MDB’s</w:t>
            </w:r>
            <w:proofErr w:type="spellEnd"/>
            <w:r w:rsidRPr="00E06862">
              <w:rPr>
                <w:b/>
                <w:bCs/>
              </w:rPr>
              <w:t>) ten goede aan mitigatie, 16% aan adaptatie en 23% bevorderde beiden. Verder kwam 9% (ook exclusief multilaterale ontwikkelingsbanken) ten goede aan de minst ontwikkelde landen. Het kabinet heeft geen inzicht in de gemobiliseerde private klimaatfinanciering die gaat naar klimaatschade of naar de kleine eilandstaten (SIDS).</w:t>
            </w:r>
          </w:p>
          <w:p w:rsidRPr="00AC592B" w:rsidR="00AC592B" w:rsidP="001A6448" w:rsidRDefault="00AC592B" w14:paraId="1C8F6157" w14:textId="6D41925B"/>
        </w:tc>
        <w:tc>
          <w:tcPr>
            <w:tcW w:w="992" w:type="dxa"/>
          </w:tcPr>
          <w:p w:rsidRPr="00AC592B" w:rsidR="00AC592B" w:rsidRDefault="00AC592B" w14:paraId="6E87A831" w14:textId="77777777">
            <w:pPr>
              <w:jc w:val="right"/>
            </w:pPr>
            <w:r w:rsidRPr="00AC592B">
              <w:t>68</w:t>
            </w:r>
          </w:p>
        </w:tc>
        <w:tc>
          <w:tcPr>
            <w:tcW w:w="567" w:type="dxa"/>
          </w:tcPr>
          <w:p w:rsidRPr="00AC592B" w:rsidR="00AC592B" w:rsidRDefault="00AC592B" w14:paraId="654C4C5F" w14:textId="77777777">
            <w:pPr>
              <w:jc w:val="right"/>
            </w:pPr>
            <w:r w:rsidRPr="00AC592B">
              <w:t xml:space="preserve"> </w:t>
            </w:r>
          </w:p>
        </w:tc>
      </w:tr>
    </w:tbl>
    <w:p w:rsidRPr="00AC592B" w:rsidR="006E155D" w:rsidRDefault="006E155D" w14:paraId="0B5E2B2E" w14:textId="77777777"/>
    <w:sectPr w:rsidRPr="00AC592B" w:rsidR="006E155D" w:rsidSect="009E6FFA">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5127" w14:textId="77777777" w:rsidR="004F53FA" w:rsidRDefault="004F53FA">
      <w:pPr>
        <w:spacing w:before="0" w:after="0"/>
      </w:pPr>
      <w:r>
        <w:separator/>
      </w:r>
    </w:p>
  </w:endnote>
  <w:endnote w:type="continuationSeparator" w:id="0">
    <w:p w14:paraId="7FDC0534" w14:textId="77777777" w:rsidR="004F53FA" w:rsidRDefault="004F53FA">
      <w:pPr>
        <w:spacing w:before="0" w:after="0"/>
      </w:pPr>
      <w:r>
        <w:continuationSeparator/>
      </w:r>
    </w:p>
  </w:endnote>
  <w:endnote w:type="continuationNotice" w:id="1">
    <w:p w14:paraId="13B8B2EC" w14:textId="77777777" w:rsidR="000034B3" w:rsidRDefault="000034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7EC7" w14:textId="77777777" w:rsidR="006E155D" w:rsidRDefault="006E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0329" w14:textId="77777777" w:rsidR="006E155D" w:rsidRDefault="001856D0">
    <w:pPr>
      <w:pStyle w:val="Footer"/>
    </w:pPr>
    <w:r>
      <w:t xml:space="preserve">Totaallijst feitelijke vragen Homogene Groep Internationale samenwerking 2026 (HGIS-nota 2026) (36801-1)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026D" w14:textId="77777777" w:rsidR="006E155D" w:rsidRDefault="006E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B007" w14:textId="77777777" w:rsidR="004F53FA" w:rsidRDefault="004F53FA">
      <w:pPr>
        <w:spacing w:before="0" w:after="0"/>
      </w:pPr>
      <w:r>
        <w:separator/>
      </w:r>
    </w:p>
  </w:footnote>
  <w:footnote w:type="continuationSeparator" w:id="0">
    <w:p w14:paraId="58952DAF" w14:textId="77777777" w:rsidR="004F53FA" w:rsidRDefault="004F53FA">
      <w:pPr>
        <w:spacing w:before="0" w:after="0"/>
      </w:pPr>
      <w:r>
        <w:continuationSeparator/>
      </w:r>
    </w:p>
  </w:footnote>
  <w:footnote w:type="continuationNotice" w:id="1">
    <w:p w14:paraId="09AD56D6" w14:textId="77777777" w:rsidR="000034B3" w:rsidRDefault="000034B3">
      <w:pPr>
        <w:spacing w:before="0" w:after="0"/>
      </w:pPr>
    </w:p>
  </w:footnote>
  <w:footnote w:id="2">
    <w:p w14:paraId="6B70546E" w14:textId="11CDA99F" w:rsidR="00AC592B" w:rsidRPr="00AC592B" w:rsidRDefault="00AC592B">
      <w:pPr>
        <w:pStyle w:val="FootnoteText"/>
        <w:rPr>
          <w:lang w:val="en-US"/>
        </w:rPr>
      </w:pPr>
      <w:r>
        <w:rPr>
          <w:rStyle w:val="FootnoteReference"/>
        </w:rPr>
        <w:footnoteRef/>
      </w:r>
      <w:r>
        <w:t xml:space="preserve"> </w:t>
      </w:r>
      <w:hyperlink r:id="rId1" w:history="1">
        <w:r w:rsidR="00D36C54" w:rsidRPr="00575FB0">
          <w:rPr>
            <w:rStyle w:val="Hyperlink"/>
            <w:b/>
          </w:rPr>
          <w:t>https://www.government.nl/documents/reports/2025/06/10/mobilised-private-climate-biodiversity-finance-2024-report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F89D" w14:textId="77777777" w:rsidR="006E155D" w:rsidRDefault="006E1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49BC" w14:textId="77777777" w:rsidR="006E155D" w:rsidRDefault="006E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5E8A" w14:textId="77777777" w:rsidR="006E155D" w:rsidRDefault="006E1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FE2"/>
    <w:rsid w:val="000029D5"/>
    <w:rsid w:val="000034B3"/>
    <w:rsid w:val="00004D9F"/>
    <w:rsid w:val="000267E6"/>
    <w:rsid w:val="000375CF"/>
    <w:rsid w:val="00082004"/>
    <w:rsid w:val="00084977"/>
    <w:rsid w:val="00085C85"/>
    <w:rsid w:val="000A21BA"/>
    <w:rsid w:val="000B1F2F"/>
    <w:rsid w:val="000B7CD8"/>
    <w:rsid w:val="000B7E45"/>
    <w:rsid w:val="000D1866"/>
    <w:rsid w:val="000D36BB"/>
    <w:rsid w:val="000E104B"/>
    <w:rsid w:val="000E7824"/>
    <w:rsid w:val="000F197C"/>
    <w:rsid w:val="000F3557"/>
    <w:rsid w:val="000F7ED0"/>
    <w:rsid w:val="00103A1D"/>
    <w:rsid w:val="001048E8"/>
    <w:rsid w:val="00112333"/>
    <w:rsid w:val="00116C08"/>
    <w:rsid w:val="00127F38"/>
    <w:rsid w:val="00130605"/>
    <w:rsid w:val="00134457"/>
    <w:rsid w:val="00145982"/>
    <w:rsid w:val="0014649A"/>
    <w:rsid w:val="00155EC9"/>
    <w:rsid w:val="00164135"/>
    <w:rsid w:val="001654FF"/>
    <w:rsid w:val="00174291"/>
    <w:rsid w:val="001856D0"/>
    <w:rsid w:val="00185B95"/>
    <w:rsid w:val="00187CA9"/>
    <w:rsid w:val="001911DA"/>
    <w:rsid w:val="001957CB"/>
    <w:rsid w:val="001979DE"/>
    <w:rsid w:val="001A47AF"/>
    <w:rsid w:val="001A4D77"/>
    <w:rsid w:val="001A56AB"/>
    <w:rsid w:val="001A6448"/>
    <w:rsid w:val="001A6A30"/>
    <w:rsid w:val="001A7204"/>
    <w:rsid w:val="001B492C"/>
    <w:rsid w:val="001B5FF6"/>
    <w:rsid w:val="001E4C8E"/>
    <w:rsid w:val="001F2D1B"/>
    <w:rsid w:val="001F5EA6"/>
    <w:rsid w:val="001F7325"/>
    <w:rsid w:val="00203D39"/>
    <w:rsid w:val="00207150"/>
    <w:rsid w:val="00212292"/>
    <w:rsid w:val="0021421F"/>
    <w:rsid w:val="00216B32"/>
    <w:rsid w:val="00217D5F"/>
    <w:rsid w:val="00220AF6"/>
    <w:rsid w:val="00221F36"/>
    <w:rsid w:val="002228C8"/>
    <w:rsid w:val="0022474D"/>
    <w:rsid w:val="0023002A"/>
    <w:rsid w:val="002313A3"/>
    <w:rsid w:val="00233800"/>
    <w:rsid w:val="002344EF"/>
    <w:rsid w:val="00241529"/>
    <w:rsid w:val="00252605"/>
    <w:rsid w:val="0026142A"/>
    <w:rsid w:val="002762CA"/>
    <w:rsid w:val="00277A42"/>
    <w:rsid w:val="0028186F"/>
    <w:rsid w:val="002825BE"/>
    <w:rsid w:val="002870CE"/>
    <w:rsid w:val="00293734"/>
    <w:rsid w:val="00293973"/>
    <w:rsid w:val="002A187D"/>
    <w:rsid w:val="002A3FBC"/>
    <w:rsid w:val="002A5C9E"/>
    <w:rsid w:val="002B3BBE"/>
    <w:rsid w:val="002C011D"/>
    <w:rsid w:val="002C4A6E"/>
    <w:rsid w:val="002C5577"/>
    <w:rsid w:val="002C6F3E"/>
    <w:rsid w:val="002D6B97"/>
    <w:rsid w:val="002E026C"/>
    <w:rsid w:val="003043AA"/>
    <w:rsid w:val="003139F6"/>
    <w:rsid w:val="00323981"/>
    <w:rsid w:val="00324E12"/>
    <w:rsid w:val="00326701"/>
    <w:rsid w:val="00337B2D"/>
    <w:rsid w:val="00342500"/>
    <w:rsid w:val="00343EB0"/>
    <w:rsid w:val="003509E2"/>
    <w:rsid w:val="00360DA9"/>
    <w:rsid w:val="00366BD0"/>
    <w:rsid w:val="00367327"/>
    <w:rsid w:val="00367F80"/>
    <w:rsid w:val="00371905"/>
    <w:rsid w:val="0037502C"/>
    <w:rsid w:val="00376C94"/>
    <w:rsid w:val="00377BAD"/>
    <w:rsid w:val="00391DB3"/>
    <w:rsid w:val="0039534B"/>
    <w:rsid w:val="00396749"/>
    <w:rsid w:val="00396D34"/>
    <w:rsid w:val="003A50BD"/>
    <w:rsid w:val="003B137A"/>
    <w:rsid w:val="003B2AFC"/>
    <w:rsid w:val="003C462C"/>
    <w:rsid w:val="003C533B"/>
    <w:rsid w:val="003D44DD"/>
    <w:rsid w:val="003E0AD6"/>
    <w:rsid w:val="003E17FF"/>
    <w:rsid w:val="003F27CA"/>
    <w:rsid w:val="0040057E"/>
    <w:rsid w:val="00402000"/>
    <w:rsid w:val="0041587F"/>
    <w:rsid w:val="00415C6B"/>
    <w:rsid w:val="00440B31"/>
    <w:rsid w:val="0045004B"/>
    <w:rsid w:val="00450A9F"/>
    <w:rsid w:val="0045481C"/>
    <w:rsid w:val="00455342"/>
    <w:rsid w:val="00461591"/>
    <w:rsid w:val="00467BDE"/>
    <w:rsid w:val="00473131"/>
    <w:rsid w:val="0047579A"/>
    <w:rsid w:val="00485915"/>
    <w:rsid w:val="004925E8"/>
    <w:rsid w:val="004929AB"/>
    <w:rsid w:val="0049332E"/>
    <w:rsid w:val="00493DCC"/>
    <w:rsid w:val="00496B73"/>
    <w:rsid w:val="004A7960"/>
    <w:rsid w:val="004B46E9"/>
    <w:rsid w:val="004C129F"/>
    <w:rsid w:val="004C1BEC"/>
    <w:rsid w:val="004C5B23"/>
    <w:rsid w:val="004D6D12"/>
    <w:rsid w:val="004E2E3D"/>
    <w:rsid w:val="004F53FA"/>
    <w:rsid w:val="004F55A4"/>
    <w:rsid w:val="004F7CEB"/>
    <w:rsid w:val="00500536"/>
    <w:rsid w:val="00510DBC"/>
    <w:rsid w:val="00511C5C"/>
    <w:rsid w:val="00515D88"/>
    <w:rsid w:val="00521E72"/>
    <w:rsid w:val="00534DD7"/>
    <w:rsid w:val="00536E6D"/>
    <w:rsid w:val="00546A20"/>
    <w:rsid w:val="00547AAA"/>
    <w:rsid w:val="00550645"/>
    <w:rsid w:val="00551096"/>
    <w:rsid w:val="005543A7"/>
    <w:rsid w:val="00565811"/>
    <w:rsid w:val="00566741"/>
    <w:rsid w:val="00572A02"/>
    <w:rsid w:val="00573607"/>
    <w:rsid w:val="00585E72"/>
    <w:rsid w:val="0058789D"/>
    <w:rsid w:val="00594667"/>
    <w:rsid w:val="005A54E7"/>
    <w:rsid w:val="005B23D1"/>
    <w:rsid w:val="005C2F2E"/>
    <w:rsid w:val="005C380B"/>
    <w:rsid w:val="005C4A75"/>
    <w:rsid w:val="005D5CC6"/>
    <w:rsid w:val="005E0E87"/>
    <w:rsid w:val="005E4DC9"/>
    <w:rsid w:val="005E4FD9"/>
    <w:rsid w:val="005E5B66"/>
    <w:rsid w:val="005E5DB6"/>
    <w:rsid w:val="005E6563"/>
    <w:rsid w:val="005F746B"/>
    <w:rsid w:val="005F7E15"/>
    <w:rsid w:val="006018CD"/>
    <w:rsid w:val="00607218"/>
    <w:rsid w:val="00616D8C"/>
    <w:rsid w:val="00626020"/>
    <w:rsid w:val="00634374"/>
    <w:rsid w:val="006373AA"/>
    <w:rsid w:val="006373B8"/>
    <w:rsid w:val="00637BF0"/>
    <w:rsid w:val="00646EAB"/>
    <w:rsid w:val="00655CB1"/>
    <w:rsid w:val="00657EA5"/>
    <w:rsid w:val="00665010"/>
    <w:rsid w:val="00671C00"/>
    <w:rsid w:val="00684884"/>
    <w:rsid w:val="00687A2A"/>
    <w:rsid w:val="00692C24"/>
    <w:rsid w:val="006A0F2F"/>
    <w:rsid w:val="006A6259"/>
    <w:rsid w:val="006B654D"/>
    <w:rsid w:val="006C660D"/>
    <w:rsid w:val="006D0803"/>
    <w:rsid w:val="006D4B5C"/>
    <w:rsid w:val="006D5796"/>
    <w:rsid w:val="006D76A7"/>
    <w:rsid w:val="006E155D"/>
    <w:rsid w:val="006E77AA"/>
    <w:rsid w:val="006F177B"/>
    <w:rsid w:val="00704856"/>
    <w:rsid w:val="00706233"/>
    <w:rsid w:val="00722341"/>
    <w:rsid w:val="00723F41"/>
    <w:rsid w:val="00724C00"/>
    <w:rsid w:val="007446F4"/>
    <w:rsid w:val="00752812"/>
    <w:rsid w:val="00754C0E"/>
    <w:rsid w:val="0077557C"/>
    <w:rsid w:val="00780A0A"/>
    <w:rsid w:val="0078228C"/>
    <w:rsid w:val="00793D5A"/>
    <w:rsid w:val="0079759E"/>
    <w:rsid w:val="007A1E96"/>
    <w:rsid w:val="007A2EF9"/>
    <w:rsid w:val="007A6D25"/>
    <w:rsid w:val="007B21C5"/>
    <w:rsid w:val="007B4CC2"/>
    <w:rsid w:val="007B6F2A"/>
    <w:rsid w:val="007C75D4"/>
    <w:rsid w:val="007D4E70"/>
    <w:rsid w:val="007E20E4"/>
    <w:rsid w:val="007E3C31"/>
    <w:rsid w:val="007E57B8"/>
    <w:rsid w:val="007E7E9D"/>
    <w:rsid w:val="007F4850"/>
    <w:rsid w:val="007F4BFA"/>
    <w:rsid w:val="008070A1"/>
    <w:rsid w:val="00810452"/>
    <w:rsid w:val="0081521E"/>
    <w:rsid w:val="008154F1"/>
    <w:rsid w:val="00827E21"/>
    <w:rsid w:val="0083539D"/>
    <w:rsid w:val="008544A1"/>
    <w:rsid w:val="0085523D"/>
    <w:rsid w:val="00867ECA"/>
    <w:rsid w:val="00872800"/>
    <w:rsid w:val="008776C7"/>
    <w:rsid w:val="008776D4"/>
    <w:rsid w:val="0088548B"/>
    <w:rsid w:val="00890FF6"/>
    <w:rsid w:val="008910B8"/>
    <w:rsid w:val="00891782"/>
    <w:rsid w:val="008925DD"/>
    <w:rsid w:val="00894624"/>
    <w:rsid w:val="008963A3"/>
    <w:rsid w:val="008A227B"/>
    <w:rsid w:val="008A47FC"/>
    <w:rsid w:val="008A70FD"/>
    <w:rsid w:val="008B002D"/>
    <w:rsid w:val="008B737B"/>
    <w:rsid w:val="008C5CC5"/>
    <w:rsid w:val="008C7DF6"/>
    <w:rsid w:val="008D36D9"/>
    <w:rsid w:val="008D6B93"/>
    <w:rsid w:val="008E5FEB"/>
    <w:rsid w:val="008F311B"/>
    <w:rsid w:val="008F4B51"/>
    <w:rsid w:val="009013E7"/>
    <w:rsid w:val="009057C7"/>
    <w:rsid w:val="00915A4D"/>
    <w:rsid w:val="00923CF2"/>
    <w:rsid w:val="0092534C"/>
    <w:rsid w:val="00931148"/>
    <w:rsid w:val="00931D3C"/>
    <w:rsid w:val="00935C71"/>
    <w:rsid w:val="009541DA"/>
    <w:rsid w:val="00955EE7"/>
    <w:rsid w:val="00960FF9"/>
    <w:rsid w:val="00962C26"/>
    <w:rsid w:val="00972035"/>
    <w:rsid w:val="009725E7"/>
    <w:rsid w:val="009807F2"/>
    <w:rsid w:val="00983827"/>
    <w:rsid w:val="00996A14"/>
    <w:rsid w:val="00997A45"/>
    <w:rsid w:val="009A0F15"/>
    <w:rsid w:val="009A1E79"/>
    <w:rsid w:val="009A3D38"/>
    <w:rsid w:val="009A4A95"/>
    <w:rsid w:val="009B0FD5"/>
    <w:rsid w:val="009B2C38"/>
    <w:rsid w:val="009B4E0C"/>
    <w:rsid w:val="009D359A"/>
    <w:rsid w:val="009E0816"/>
    <w:rsid w:val="009E6FFA"/>
    <w:rsid w:val="009F079E"/>
    <w:rsid w:val="009F2513"/>
    <w:rsid w:val="00A04A8F"/>
    <w:rsid w:val="00A079F5"/>
    <w:rsid w:val="00A1140D"/>
    <w:rsid w:val="00A119F6"/>
    <w:rsid w:val="00A1603D"/>
    <w:rsid w:val="00A17092"/>
    <w:rsid w:val="00A17CA2"/>
    <w:rsid w:val="00A2703B"/>
    <w:rsid w:val="00A37F36"/>
    <w:rsid w:val="00A50550"/>
    <w:rsid w:val="00A50794"/>
    <w:rsid w:val="00A53868"/>
    <w:rsid w:val="00A617FA"/>
    <w:rsid w:val="00A6456F"/>
    <w:rsid w:val="00A7641D"/>
    <w:rsid w:val="00A768EA"/>
    <w:rsid w:val="00A77C3E"/>
    <w:rsid w:val="00A77E3C"/>
    <w:rsid w:val="00A86C7B"/>
    <w:rsid w:val="00A91D59"/>
    <w:rsid w:val="00A930AC"/>
    <w:rsid w:val="00A96914"/>
    <w:rsid w:val="00AA3729"/>
    <w:rsid w:val="00AA5E3F"/>
    <w:rsid w:val="00AB0FD2"/>
    <w:rsid w:val="00AB3F72"/>
    <w:rsid w:val="00AB42AF"/>
    <w:rsid w:val="00AC592B"/>
    <w:rsid w:val="00AC6F49"/>
    <w:rsid w:val="00AC7F77"/>
    <w:rsid w:val="00AD2E47"/>
    <w:rsid w:val="00AD5B22"/>
    <w:rsid w:val="00AD6B78"/>
    <w:rsid w:val="00AE5752"/>
    <w:rsid w:val="00AF27AC"/>
    <w:rsid w:val="00AF5705"/>
    <w:rsid w:val="00AF5713"/>
    <w:rsid w:val="00AF7C2F"/>
    <w:rsid w:val="00B0199B"/>
    <w:rsid w:val="00B11CD5"/>
    <w:rsid w:val="00B14666"/>
    <w:rsid w:val="00B2110C"/>
    <w:rsid w:val="00B26CA1"/>
    <w:rsid w:val="00B40A9E"/>
    <w:rsid w:val="00B43426"/>
    <w:rsid w:val="00B447DC"/>
    <w:rsid w:val="00B51C3A"/>
    <w:rsid w:val="00B51FBC"/>
    <w:rsid w:val="00B53C5C"/>
    <w:rsid w:val="00B54249"/>
    <w:rsid w:val="00B62A69"/>
    <w:rsid w:val="00B64180"/>
    <w:rsid w:val="00B64E62"/>
    <w:rsid w:val="00B70339"/>
    <w:rsid w:val="00B76EF2"/>
    <w:rsid w:val="00B80E14"/>
    <w:rsid w:val="00B84092"/>
    <w:rsid w:val="00B8675D"/>
    <w:rsid w:val="00B915EC"/>
    <w:rsid w:val="00B921DA"/>
    <w:rsid w:val="00BA159C"/>
    <w:rsid w:val="00BA3DE1"/>
    <w:rsid w:val="00BC0EAA"/>
    <w:rsid w:val="00BC42A7"/>
    <w:rsid w:val="00BD18CE"/>
    <w:rsid w:val="00BD4560"/>
    <w:rsid w:val="00BE5D3A"/>
    <w:rsid w:val="00BF6096"/>
    <w:rsid w:val="00BF79F9"/>
    <w:rsid w:val="00C007CB"/>
    <w:rsid w:val="00C13ED4"/>
    <w:rsid w:val="00C171CC"/>
    <w:rsid w:val="00C24DE5"/>
    <w:rsid w:val="00C32CDB"/>
    <w:rsid w:val="00C40574"/>
    <w:rsid w:val="00C45630"/>
    <w:rsid w:val="00C57E34"/>
    <w:rsid w:val="00C646A4"/>
    <w:rsid w:val="00C67E17"/>
    <w:rsid w:val="00C74137"/>
    <w:rsid w:val="00C87C8D"/>
    <w:rsid w:val="00C91AAA"/>
    <w:rsid w:val="00C93B55"/>
    <w:rsid w:val="00C95E26"/>
    <w:rsid w:val="00CA2A96"/>
    <w:rsid w:val="00CB3DEB"/>
    <w:rsid w:val="00CB430B"/>
    <w:rsid w:val="00CB512F"/>
    <w:rsid w:val="00CB682E"/>
    <w:rsid w:val="00CC012D"/>
    <w:rsid w:val="00CC66C0"/>
    <w:rsid w:val="00CE1B5F"/>
    <w:rsid w:val="00CE5B13"/>
    <w:rsid w:val="00CF2A61"/>
    <w:rsid w:val="00D00EE7"/>
    <w:rsid w:val="00D021A5"/>
    <w:rsid w:val="00D13A21"/>
    <w:rsid w:val="00D17B06"/>
    <w:rsid w:val="00D27201"/>
    <w:rsid w:val="00D27F65"/>
    <w:rsid w:val="00D35F61"/>
    <w:rsid w:val="00D368CE"/>
    <w:rsid w:val="00D36C54"/>
    <w:rsid w:val="00D50734"/>
    <w:rsid w:val="00D608F9"/>
    <w:rsid w:val="00D60E53"/>
    <w:rsid w:val="00D65BA7"/>
    <w:rsid w:val="00D67D8C"/>
    <w:rsid w:val="00D73931"/>
    <w:rsid w:val="00D829ED"/>
    <w:rsid w:val="00D866E2"/>
    <w:rsid w:val="00D87ECE"/>
    <w:rsid w:val="00D87EDD"/>
    <w:rsid w:val="00D90549"/>
    <w:rsid w:val="00D90878"/>
    <w:rsid w:val="00DA3264"/>
    <w:rsid w:val="00DA3EC5"/>
    <w:rsid w:val="00DA7CE4"/>
    <w:rsid w:val="00DC048D"/>
    <w:rsid w:val="00DE270C"/>
    <w:rsid w:val="00DF3CF4"/>
    <w:rsid w:val="00E06862"/>
    <w:rsid w:val="00E11566"/>
    <w:rsid w:val="00E12F08"/>
    <w:rsid w:val="00E1474D"/>
    <w:rsid w:val="00E15FC1"/>
    <w:rsid w:val="00E22790"/>
    <w:rsid w:val="00E30D4F"/>
    <w:rsid w:val="00E33A92"/>
    <w:rsid w:val="00E35F0E"/>
    <w:rsid w:val="00E3627A"/>
    <w:rsid w:val="00E43C2F"/>
    <w:rsid w:val="00E6002E"/>
    <w:rsid w:val="00E63819"/>
    <w:rsid w:val="00E6603D"/>
    <w:rsid w:val="00E70E5F"/>
    <w:rsid w:val="00E7153D"/>
    <w:rsid w:val="00E82A55"/>
    <w:rsid w:val="00E85551"/>
    <w:rsid w:val="00E92EB5"/>
    <w:rsid w:val="00E95F0E"/>
    <w:rsid w:val="00E97B1F"/>
    <w:rsid w:val="00EA6643"/>
    <w:rsid w:val="00EA7124"/>
    <w:rsid w:val="00EA7EC4"/>
    <w:rsid w:val="00EB3FBC"/>
    <w:rsid w:val="00EB4ECE"/>
    <w:rsid w:val="00EC3DCB"/>
    <w:rsid w:val="00ED1AA6"/>
    <w:rsid w:val="00EE4A30"/>
    <w:rsid w:val="00EE50BE"/>
    <w:rsid w:val="00EF13CF"/>
    <w:rsid w:val="00EF3B26"/>
    <w:rsid w:val="00F00134"/>
    <w:rsid w:val="00F013DF"/>
    <w:rsid w:val="00F01BFC"/>
    <w:rsid w:val="00F220F3"/>
    <w:rsid w:val="00F221A9"/>
    <w:rsid w:val="00F2421F"/>
    <w:rsid w:val="00F3642E"/>
    <w:rsid w:val="00F3739C"/>
    <w:rsid w:val="00F51F34"/>
    <w:rsid w:val="00F629CC"/>
    <w:rsid w:val="00F67DA1"/>
    <w:rsid w:val="00F76A6A"/>
    <w:rsid w:val="00F76C00"/>
    <w:rsid w:val="00F809D1"/>
    <w:rsid w:val="00F8244E"/>
    <w:rsid w:val="00F902F4"/>
    <w:rsid w:val="00F9129A"/>
    <w:rsid w:val="00F95BAE"/>
    <w:rsid w:val="00F95C82"/>
    <w:rsid w:val="00FB1765"/>
    <w:rsid w:val="00FB2F4C"/>
    <w:rsid w:val="00FB4ECC"/>
    <w:rsid w:val="00FC0106"/>
    <w:rsid w:val="00FD07E7"/>
    <w:rsid w:val="00FD3389"/>
    <w:rsid w:val="00FD34A7"/>
    <w:rsid w:val="00FD5F3B"/>
    <w:rsid w:val="00FD66E7"/>
    <w:rsid w:val="00FD6D1A"/>
    <w:rsid w:val="00FE04AF"/>
    <w:rsid w:val="00FF7A76"/>
    <w:rsid w:val="2546F49C"/>
    <w:rsid w:val="7B49B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CDCBA8"/>
  <w15:docId w15:val="{964B40EE-57F4-4D7E-901B-EC1D11F6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2C5577"/>
    <w:rPr>
      <w:sz w:val="16"/>
      <w:szCs w:val="16"/>
    </w:rPr>
  </w:style>
  <w:style w:type="paragraph" w:styleId="CommentText">
    <w:name w:val="annotation text"/>
    <w:basedOn w:val="Normal"/>
    <w:link w:val="CommentTextChar"/>
    <w:uiPriority w:val="99"/>
    <w:unhideWhenUsed/>
    <w:rsid w:val="002C5577"/>
  </w:style>
  <w:style w:type="character" w:customStyle="1" w:styleId="CommentTextChar">
    <w:name w:val="Comment Text Char"/>
    <w:basedOn w:val="DefaultParagraphFont"/>
    <w:link w:val="CommentText"/>
    <w:uiPriority w:val="99"/>
    <w:rsid w:val="002C557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2C5577"/>
    <w:rPr>
      <w:b/>
      <w:bCs/>
    </w:rPr>
  </w:style>
  <w:style w:type="character" w:customStyle="1" w:styleId="CommentSubjectChar">
    <w:name w:val="Comment Subject Char"/>
    <w:basedOn w:val="CommentTextChar"/>
    <w:link w:val="CommentSubject"/>
    <w:uiPriority w:val="99"/>
    <w:semiHidden/>
    <w:rsid w:val="002C5577"/>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E22790"/>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E22790"/>
    <w:rPr>
      <w:color w:val="0000FF" w:themeColor="hyperlink"/>
      <w:u w:val="single"/>
    </w:rPr>
  </w:style>
  <w:style w:type="character" w:styleId="UnresolvedMention">
    <w:name w:val="Unresolved Mention"/>
    <w:basedOn w:val="DefaultParagraphFont"/>
    <w:uiPriority w:val="99"/>
    <w:semiHidden/>
    <w:unhideWhenUsed/>
    <w:rsid w:val="00E22790"/>
    <w:rPr>
      <w:color w:val="605E5C"/>
      <w:shd w:val="clear" w:color="auto" w:fill="E1DFDD"/>
    </w:rPr>
  </w:style>
  <w:style w:type="character" w:customStyle="1" w:styleId="cf01">
    <w:name w:val="cf01"/>
    <w:basedOn w:val="DefaultParagraphFont"/>
    <w:rsid w:val="009A0F15"/>
    <w:rPr>
      <w:rFonts w:ascii="Segoe UI" w:hAnsi="Segoe UI" w:cs="Segoe UI" w:hint="default"/>
      <w:sz w:val="18"/>
      <w:szCs w:val="18"/>
    </w:rPr>
  </w:style>
  <w:style w:type="character" w:styleId="FollowedHyperlink">
    <w:name w:val="FollowedHyperlink"/>
    <w:basedOn w:val="DefaultParagraphFont"/>
    <w:uiPriority w:val="99"/>
    <w:semiHidden/>
    <w:unhideWhenUsed/>
    <w:rsid w:val="00BA3DE1"/>
    <w:rPr>
      <w:color w:val="800080" w:themeColor="followedHyperlink"/>
      <w:u w:val="single"/>
    </w:rPr>
  </w:style>
  <w:style w:type="table" w:styleId="TableGrid">
    <w:name w:val="Table Grid"/>
    <w:basedOn w:val="TableNormal"/>
    <w:uiPriority w:val="39"/>
    <w:rsid w:val="0019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592B"/>
    <w:pPr>
      <w:spacing w:before="0" w:after="0"/>
    </w:pPr>
  </w:style>
  <w:style w:type="character" w:customStyle="1" w:styleId="FootnoteTextChar">
    <w:name w:val="Footnote Text Char"/>
    <w:basedOn w:val="DefaultParagraphFont"/>
    <w:link w:val="FootnoteText"/>
    <w:uiPriority w:val="99"/>
    <w:semiHidden/>
    <w:rsid w:val="00AC592B"/>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AC5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258">
      <w:bodyDiv w:val="1"/>
      <w:marLeft w:val="0"/>
      <w:marRight w:val="0"/>
      <w:marTop w:val="0"/>
      <w:marBottom w:val="0"/>
      <w:divBdr>
        <w:top w:val="none" w:sz="0" w:space="0" w:color="auto"/>
        <w:left w:val="none" w:sz="0" w:space="0" w:color="auto"/>
        <w:bottom w:val="none" w:sz="0" w:space="0" w:color="auto"/>
        <w:right w:val="none" w:sz="0" w:space="0" w:color="auto"/>
      </w:divBdr>
    </w:div>
    <w:div w:id="322054468">
      <w:bodyDiv w:val="1"/>
      <w:marLeft w:val="0"/>
      <w:marRight w:val="0"/>
      <w:marTop w:val="0"/>
      <w:marBottom w:val="0"/>
      <w:divBdr>
        <w:top w:val="none" w:sz="0" w:space="0" w:color="auto"/>
        <w:left w:val="none" w:sz="0" w:space="0" w:color="auto"/>
        <w:bottom w:val="none" w:sz="0" w:space="0" w:color="auto"/>
        <w:right w:val="none" w:sz="0" w:space="0" w:color="auto"/>
      </w:divBdr>
    </w:div>
    <w:div w:id="494540051">
      <w:bodyDiv w:val="1"/>
      <w:marLeft w:val="0"/>
      <w:marRight w:val="0"/>
      <w:marTop w:val="0"/>
      <w:marBottom w:val="0"/>
      <w:divBdr>
        <w:top w:val="none" w:sz="0" w:space="0" w:color="auto"/>
        <w:left w:val="none" w:sz="0" w:space="0" w:color="auto"/>
        <w:bottom w:val="none" w:sz="0" w:space="0" w:color="auto"/>
        <w:right w:val="none" w:sz="0" w:space="0" w:color="auto"/>
      </w:divBdr>
    </w:div>
    <w:div w:id="528566532">
      <w:bodyDiv w:val="1"/>
      <w:marLeft w:val="0"/>
      <w:marRight w:val="0"/>
      <w:marTop w:val="0"/>
      <w:marBottom w:val="0"/>
      <w:divBdr>
        <w:top w:val="none" w:sz="0" w:space="0" w:color="auto"/>
        <w:left w:val="none" w:sz="0" w:space="0" w:color="auto"/>
        <w:bottom w:val="none" w:sz="0" w:space="0" w:color="auto"/>
        <w:right w:val="none" w:sz="0" w:space="0" w:color="auto"/>
      </w:divBdr>
    </w:div>
    <w:div w:id="718633227">
      <w:bodyDiv w:val="1"/>
      <w:marLeft w:val="0"/>
      <w:marRight w:val="0"/>
      <w:marTop w:val="0"/>
      <w:marBottom w:val="0"/>
      <w:divBdr>
        <w:top w:val="none" w:sz="0" w:space="0" w:color="auto"/>
        <w:left w:val="none" w:sz="0" w:space="0" w:color="auto"/>
        <w:bottom w:val="none" w:sz="0" w:space="0" w:color="auto"/>
        <w:right w:val="none" w:sz="0" w:space="0" w:color="auto"/>
      </w:divBdr>
    </w:div>
    <w:div w:id="986739741">
      <w:bodyDiv w:val="1"/>
      <w:marLeft w:val="0"/>
      <w:marRight w:val="0"/>
      <w:marTop w:val="0"/>
      <w:marBottom w:val="0"/>
      <w:divBdr>
        <w:top w:val="none" w:sz="0" w:space="0" w:color="auto"/>
        <w:left w:val="none" w:sz="0" w:space="0" w:color="auto"/>
        <w:bottom w:val="none" w:sz="0" w:space="0" w:color="auto"/>
        <w:right w:val="none" w:sz="0" w:space="0" w:color="auto"/>
      </w:divBdr>
    </w:div>
    <w:div w:id="1497498030">
      <w:bodyDiv w:val="1"/>
      <w:marLeft w:val="0"/>
      <w:marRight w:val="0"/>
      <w:marTop w:val="0"/>
      <w:marBottom w:val="0"/>
      <w:divBdr>
        <w:top w:val="none" w:sz="0" w:space="0" w:color="auto"/>
        <w:left w:val="none" w:sz="0" w:space="0" w:color="auto"/>
        <w:bottom w:val="none" w:sz="0" w:space="0" w:color="auto"/>
        <w:right w:val="none" w:sz="0" w:space="0" w:color="auto"/>
      </w:divBdr>
    </w:div>
    <w:div w:id="1592859221">
      <w:bodyDiv w:val="1"/>
      <w:marLeft w:val="0"/>
      <w:marRight w:val="0"/>
      <w:marTop w:val="0"/>
      <w:marBottom w:val="0"/>
      <w:divBdr>
        <w:top w:val="none" w:sz="0" w:space="0" w:color="auto"/>
        <w:left w:val="none" w:sz="0" w:space="0" w:color="auto"/>
        <w:bottom w:val="none" w:sz="0" w:space="0" w:color="auto"/>
        <w:right w:val="none" w:sz="0" w:space="0" w:color="auto"/>
      </w:divBdr>
    </w:div>
    <w:div w:id="1938437884">
      <w:bodyDiv w:val="1"/>
      <w:marLeft w:val="0"/>
      <w:marRight w:val="0"/>
      <w:marTop w:val="0"/>
      <w:marBottom w:val="0"/>
      <w:divBdr>
        <w:top w:val="none" w:sz="0" w:space="0" w:color="auto"/>
        <w:left w:val="none" w:sz="0" w:space="0" w:color="auto"/>
        <w:bottom w:val="none" w:sz="0" w:space="0" w:color="auto"/>
        <w:right w:val="none" w:sz="0" w:space="0" w:color="auto"/>
      </w:divBdr>
    </w:div>
    <w:div w:id="1967926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5/06/10/mobilised-private-climate-biodiversity-finance-2024-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3407</ap:Words>
  <ap:Characters>18741</ap:Characters>
  <ap:DocSecurity>0</ap:DocSecurity>
  <ap:Lines>156</ap:Lines>
  <ap:Paragraphs>44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22104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2025-11-10T15:15:00.0000000Z</dcterms:created>
  <dcterms:modified xsi:type="dcterms:W3CDTF">2025-11-10T15:15:00.0000000Z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d5c5c3d8-2c14-4522-9063-3b36735d7986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