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4C5CAE" w14:paraId="4FE27775" w14:textId="2A320EEE">
      <w:pPr>
        <w:autoSpaceDE w:val="0"/>
        <w:autoSpaceDN w:val="0"/>
        <w:adjustRightInd w:val="0"/>
        <w:spacing w:before="0" w:after="0"/>
        <w:ind w:left="1416" w:hanging="1371"/>
        <w:rPr>
          <w:b/>
          <w:bCs/>
          <w:sz w:val="23"/>
          <w:szCs w:val="23"/>
        </w:rPr>
      </w:pPr>
      <w:r>
        <w:rPr>
          <w:b/>
          <w:bCs/>
          <w:sz w:val="23"/>
          <w:szCs w:val="23"/>
        </w:rPr>
        <w:t>36800-B</w:t>
      </w:r>
      <w:r>
        <w:rPr>
          <w:b/>
          <w:bCs/>
          <w:sz w:val="23"/>
          <w:szCs w:val="23"/>
        </w:rPr>
        <w:tab/>
      </w:r>
      <w:r w:rsidRPr="008030B8" w:rsidR="008030B8">
        <w:rPr>
          <w:b/>
          <w:bCs/>
          <w:sz w:val="23"/>
          <w:szCs w:val="23"/>
        </w:rPr>
        <w:t>Vaststelling van de begrotingsstaat van het gemeentefonds voor het jaar 2026</w:t>
      </w:r>
    </w:p>
    <w:p w:rsidR="004C5CAE" w14:paraId="3E0DAD9B" w14:textId="77777777">
      <w:pPr>
        <w:autoSpaceDE w:val="0"/>
        <w:autoSpaceDN w:val="0"/>
        <w:adjustRightInd w:val="0"/>
        <w:spacing w:before="0" w:after="0"/>
        <w:ind w:left="1416" w:hanging="1371"/>
        <w:rPr>
          <w:b/>
        </w:rPr>
      </w:pPr>
    </w:p>
    <w:p w:rsidR="004C5CAE" w14:paraId="2DC9E595" w14:textId="67749B77">
      <w:pPr>
        <w:rPr>
          <w:b/>
        </w:rPr>
      </w:pPr>
      <w:r>
        <w:rPr>
          <w:b/>
        </w:rPr>
        <w:t xml:space="preserve">nr. </w:t>
      </w:r>
      <w:r>
        <w:rPr>
          <w:b/>
        </w:rPr>
        <w:tab/>
      </w:r>
      <w:r>
        <w:rPr>
          <w:b/>
        </w:rPr>
        <w:tab/>
      </w:r>
      <w:r w:rsidR="008030B8">
        <w:rPr>
          <w:b/>
        </w:rPr>
        <w:t>Verslag houdende een l</w:t>
      </w:r>
      <w:r>
        <w:rPr>
          <w:b/>
        </w:rPr>
        <w:t xml:space="preserve">ijst van vragen </w:t>
      </w:r>
    </w:p>
    <w:p w:rsidR="004C5CAE" w14:paraId="3579498A" w14:textId="77777777">
      <w:r>
        <w:tab/>
      </w:r>
      <w:r>
        <w:tab/>
      </w:r>
    </w:p>
    <w:p w:rsidR="004C5CAE" w14:paraId="090706C2" w14:textId="77777777">
      <w:pPr>
        <w:ind w:left="702" w:firstLine="708"/>
        <w:rPr>
          <w:i/>
        </w:rPr>
      </w:pPr>
      <w:r>
        <w:t xml:space="preserve">Vastgesteld </w:t>
      </w:r>
      <w:r>
        <w:rPr>
          <w:i/>
        </w:rPr>
        <w:t>(wordt door griffie ingevuld als antwoorden er zijn)</w:t>
      </w:r>
    </w:p>
    <w:p w:rsidRPr="00397AF2" w:rsidR="008030B8" w:rsidP="008030B8" w14:paraId="1E6521C0" w14:textId="216008CE">
      <w:pPr>
        <w:ind w:left="1410"/>
        <w:rPr>
          <w:bCs/>
        </w:rPr>
      </w:pPr>
      <w:r>
        <w:t xml:space="preserve">De vaste commissie </w:t>
      </w:r>
      <w:r w:rsidRPr="00397AF2">
        <w:t xml:space="preserve">voor Binnenlandse Zaken belast met het voorbereidend onderzoek van het wetsvoorstel </w:t>
      </w:r>
      <w:r w:rsidRPr="00397AF2">
        <w:t>inzake</w:t>
      </w:r>
      <w:r>
        <w:t xml:space="preserve"> </w:t>
      </w:r>
      <w:r w:rsidRPr="008030B8">
        <w:rPr>
          <w:bCs/>
        </w:rPr>
        <w:t>Vaststelling van de begrotingsstaat van het gemeentefonds voor het jaar 2026</w:t>
      </w:r>
      <w:r>
        <w:rPr>
          <w:bCs/>
        </w:rPr>
        <w:t xml:space="preserve"> </w:t>
      </w:r>
      <w:r w:rsidRPr="00397AF2">
        <w:rPr>
          <w:bCs/>
        </w:rPr>
        <w:t>heeft de eer als volgt verslag uit te brengen van haar bevindingen in de vorm van een lijst van vragen</w:t>
      </w:r>
      <w:r>
        <w:rPr>
          <w:bCs/>
        </w:rPr>
        <w:t>.</w:t>
      </w:r>
    </w:p>
    <w:p w:rsidR="008030B8" w:rsidP="008030B8" w14:paraId="28CC8DD4" w14:textId="77777777">
      <w:pPr>
        <w:ind w:left="1410"/>
        <w:rPr>
          <w:bCs/>
        </w:rPr>
      </w:pPr>
    </w:p>
    <w:p w:rsidRPr="00397AF2" w:rsidR="008030B8" w:rsidP="008030B8" w14:paraId="4A69D801" w14:textId="77777777">
      <w:pPr>
        <w:ind w:left="1410"/>
        <w:rPr>
          <w:bCs/>
        </w:rPr>
      </w:pPr>
      <w:r w:rsidRPr="00397AF2">
        <w:rPr>
          <w:bCs/>
        </w:rPr>
        <w:t>Onder het voorbehoud dat de regering op de gestelde vraag afdoende zal hebben geantwoord, acht de commissie de openbare behandeling van dit wetsvoorstel voldoende voorbereid.</w:t>
      </w:r>
    </w:p>
    <w:p w:rsidR="008030B8" w:rsidP="008030B8" w14:paraId="59907DF8" w14:textId="77777777"/>
    <w:p w:rsidR="008030B8" w:rsidP="008030B8" w14:paraId="173D8A9B" w14:textId="77777777">
      <w:pPr>
        <w:spacing w:before="0" w:after="0"/>
      </w:pPr>
    </w:p>
    <w:p w:rsidR="008030B8" w:rsidP="008030B8" w14:paraId="2EFB2B49" w14:textId="77777777">
      <w:pPr>
        <w:spacing w:before="0" w:after="0"/>
        <w:ind w:left="703" w:firstLine="709"/>
      </w:pPr>
      <w:r>
        <w:t xml:space="preserve">Voorzitter van de commissie, </w:t>
      </w:r>
    </w:p>
    <w:p w:rsidR="008030B8" w:rsidP="008030B8" w14:paraId="74B8543A" w14:textId="77777777">
      <w:pPr>
        <w:spacing w:before="0" w:after="0"/>
      </w:pPr>
      <w:r>
        <w:tab/>
      </w:r>
      <w:r>
        <w:tab/>
        <w:t>De Vree</w:t>
      </w:r>
    </w:p>
    <w:p w:rsidR="008030B8" w:rsidP="008030B8" w14:paraId="5E842490" w14:textId="77777777">
      <w:pPr>
        <w:spacing w:before="0" w:after="0"/>
      </w:pPr>
      <w:r>
        <w:tab/>
      </w:r>
      <w:r>
        <w:tab/>
      </w:r>
    </w:p>
    <w:p w:rsidR="008030B8" w:rsidP="008030B8" w14:paraId="0E7B8CF2" w14:textId="77777777">
      <w:pPr>
        <w:spacing w:before="0" w:after="0"/>
      </w:pPr>
      <w:r>
        <w:tab/>
      </w:r>
      <w:r>
        <w:tab/>
        <w:t>Griffier van de commissie,</w:t>
      </w:r>
    </w:p>
    <w:p w:rsidR="008030B8" w:rsidP="008030B8" w14:paraId="34DAD138" w14:textId="77777777">
      <w:pPr>
        <w:spacing w:before="0" w:after="0"/>
      </w:pPr>
      <w:r>
        <w:tab/>
      </w:r>
      <w:r>
        <w:tab/>
        <w:t>Honsbeek</w:t>
      </w:r>
    </w:p>
    <w:p w:rsidR="004C5CAE" w14:paraId="1F02FA04" w14:textId="77777777"/>
    <w:tbl>
      <w:tblPr>
        <w:tblStyle w:val="PlainTable2"/>
        <w:tblW w:w="9497" w:type="dxa"/>
        <w:tblBorders>
          <w:top w:val="none" w:color="auto" w:sz="0" w:space="0"/>
          <w:bottom w:val="none" w:color="auto" w:sz="0" w:space="0"/>
        </w:tblBorders>
        <w:tblLayout w:type="fixed"/>
        <w:tblLook w:val="0000"/>
      </w:tblPr>
      <w:tblGrid>
        <w:gridCol w:w="567"/>
        <w:gridCol w:w="6521"/>
        <w:gridCol w:w="850"/>
        <w:gridCol w:w="992"/>
        <w:gridCol w:w="567"/>
      </w:tblGrid>
      <w:tr w:rsidTr="00583144" w14:paraId="750DD9DA" w14:textId="77777777">
        <w:tblPrEx>
          <w:tblW w:w="9497" w:type="dxa"/>
          <w:tblBorders>
            <w:top w:val="none" w:color="auto" w:sz="0" w:space="0"/>
            <w:bottom w:val="none" w:color="auto" w:sz="0" w:space="0"/>
          </w:tblBorders>
          <w:tblLayout w:type="fixed"/>
          <w:tblLook w:val="0000"/>
        </w:tblPrEx>
        <w:tc>
          <w:tcPr>
            <w:tcW w:w="567" w:type="dxa"/>
            <w:tcBorders>
              <w:top w:val="none" w:color="auto" w:sz="0" w:space="0"/>
              <w:left w:val="none" w:color="auto" w:sz="0" w:space="0"/>
              <w:bottom w:val="none" w:color="auto" w:sz="0" w:space="0"/>
              <w:right w:val="none" w:color="auto" w:sz="0" w:space="0"/>
            </w:tcBorders>
          </w:tcPr>
          <w:p w:rsidR="004C5CAE" w14:paraId="503E3675" w14:textId="77777777">
            <w:bookmarkStart w:name="bmkStartTabel" w:id="0"/>
            <w:bookmarkEnd w:id="0"/>
            <w:r>
              <w:t>Nr</w:t>
            </w:r>
          </w:p>
        </w:tc>
        <w:tc>
          <w:tcPr>
            <w:tcW w:w="6521" w:type="dxa"/>
            <w:tcBorders>
              <w:top w:val="none" w:color="auto" w:sz="0" w:space="0"/>
              <w:left w:val="none" w:color="auto" w:sz="0" w:space="0"/>
              <w:bottom w:val="none" w:color="auto" w:sz="0" w:space="0"/>
              <w:right w:val="none" w:color="auto" w:sz="0" w:space="0"/>
            </w:tcBorders>
          </w:tcPr>
          <w:p w:rsidR="004C5CAE" w14:paraId="7DBBF985" w14:textId="77777777">
            <w:r>
              <w:t>Vraag</w:t>
            </w:r>
          </w:p>
        </w:tc>
        <w:tc>
          <w:tcPr>
            <w:tcW w:w="850" w:type="dxa"/>
            <w:tcBorders>
              <w:top w:val="none" w:color="auto" w:sz="0" w:space="0"/>
              <w:left w:val="none" w:color="auto" w:sz="0" w:space="0"/>
              <w:bottom w:val="none" w:color="auto" w:sz="0" w:space="0"/>
              <w:right w:val="none" w:color="auto" w:sz="0" w:space="0"/>
            </w:tcBorders>
          </w:tcPr>
          <w:p w:rsidR="004C5CAE" w14:paraId="2F606D69" w14:textId="77777777">
            <w:pPr>
              <w:jc w:val="right"/>
            </w:pPr>
            <w:r>
              <w:t>Bijlage</w:t>
            </w:r>
          </w:p>
        </w:tc>
        <w:tc>
          <w:tcPr>
            <w:tcW w:w="992" w:type="dxa"/>
            <w:tcBorders>
              <w:top w:val="none" w:color="auto" w:sz="0" w:space="0"/>
              <w:left w:val="none" w:color="auto" w:sz="0" w:space="0"/>
              <w:bottom w:val="none" w:color="auto" w:sz="0" w:space="0"/>
              <w:right w:val="none" w:color="auto" w:sz="0" w:space="0"/>
            </w:tcBorders>
          </w:tcPr>
          <w:p w:rsidR="004C5CAE" w:rsidP="00E7153D" w14:paraId="215225FF" w14:textId="77777777">
            <w:pPr>
              <w:jc w:val="right"/>
            </w:pPr>
            <w:r>
              <w:t>Blz. (van)</w:t>
            </w:r>
          </w:p>
        </w:tc>
        <w:tc>
          <w:tcPr>
            <w:tcW w:w="567" w:type="dxa"/>
            <w:tcBorders>
              <w:top w:val="none" w:color="auto" w:sz="0" w:space="0"/>
              <w:left w:val="none" w:color="auto" w:sz="0" w:space="0"/>
              <w:bottom w:val="none" w:color="auto" w:sz="0" w:space="0"/>
              <w:right w:val="none" w:color="auto" w:sz="0" w:space="0"/>
            </w:tcBorders>
          </w:tcPr>
          <w:p w:rsidR="004C5CAE" w:rsidP="00E7153D" w14:paraId="67885ABC" w14:textId="77777777">
            <w:pPr>
              <w:jc w:val="center"/>
            </w:pPr>
            <w:r>
              <w:t>t</w:t>
            </w:r>
            <w:r>
              <w:t>/m</w:t>
            </w:r>
          </w:p>
        </w:tc>
      </w:tr>
      <w:tr w:rsidTr="00583144" w14:paraId="286F392C" w14:textId="77777777">
        <w:tblPrEx>
          <w:tblW w:w="9497" w:type="dxa"/>
          <w:tblLayout w:type="fixed"/>
          <w:tblLook w:val="0000"/>
        </w:tblPrEx>
        <w:tc>
          <w:tcPr>
            <w:tcW w:w="567" w:type="dxa"/>
            <w:tcBorders>
              <w:left w:val="none" w:color="auto" w:sz="0" w:space="0"/>
              <w:right w:val="none" w:color="auto" w:sz="0" w:space="0"/>
            </w:tcBorders>
          </w:tcPr>
          <w:p w:rsidR="004C5CAE" w14:paraId="2F6B6E31" w14:textId="77777777">
            <w:r>
              <w:t>1</w:t>
            </w:r>
          </w:p>
        </w:tc>
        <w:tc>
          <w:tcPr>
            <w:tcW w:w="6521" w:type="dxa"/>
            <w:tcBorders>
              <w:left w:val="none" w:color="auto" w:sz="0" w:space="0"/>
              <w:right w:val="none" w:color="auto" w:sz="0" w:space="0"/>
            </w:tcBorders>
          </w:tcPr>
          <w:p w:rsidR="004C5CAE" w:rsidP="787B5E34" w14:paraId="1F1A7FD4" w14:textId="77777777">
            <w:r w:rsidRPr="787B5E34">
              <w:t>Kan in een overzicht worden weergegeven wat de afspraken tussen gemeenten en het Rijk rondom jeugdzorg concreet betekenen voor de komende jaren?</w:t>
            </w:r>
          </w:p>
          <w:p w:rsidR="001C5631" w:rsidP="787B5E34" w14:paraId="5428DA18" w14:textId="77777777"/>
          <w:p w:rsidR="001C5631" w:rsidP="787B5E34" w14:paraId="7D766B88" w14:textId="77777777">
            <w:r w:rsidRPr="787B5E34">
              <w:t xml:space="preserve">Antwoord: </w:t>
            </w:r>
          </w:p>
          <w:p w:rsidR="609392EB" w:rsidP="787B5E34" w14:paraId="29CB1505" w14:textId="07B8D965">
            <w:r w:rsidRPr="787B5E34">
              <w:t xml:space="preserve">Met uw Kamer is per brief van 25 april 2025 (Kamerstukken II, 2024-2025, 36600-VII-136) gedeeld dat er bij Voorjaarsnota 2025 voor de jaren 2025–2027 cumulatief </w:t>
            </w:r>
            <w:r w:rsidRPr="787B5E34">
              <w:t>circa</w:t>
            </w:r>
            <w:r w:rsidRPr="787B5E34">
              <w:t xml:space="preserve"> 3 miljard euro beschikbaar komt voor gemeenten voor zowel jeugdzorg als voor de terugval in 2026 in het Gemeentefonds. Voor 2028 en verder worden de beheers- en inhoudelijke maatregelen uit de Hervormingsagenda Jeugd geïntensiveerd en worden aanvullende beheersmaatregelen uitgewerkt.</w:t>
            </w:r>
          </w:p>
          <w:p w:rsidR="609392EB" w:rsidP="787B5E34" w14:paraId="6125B339" w14:textId="5A1CCE2E">
            <w:r w:rsidRPr="787B5E34">
              <w:t xml:space="preserve">Op 16 september jl. (Kamerstukken II, 2025-2026, Nummer:36800-VII-4) heb ik uw Kamer laten weten dat het kabinet en de VNG tot gezamenlijke afspraken zijn gekomen over de compensatie van de incidentele tekorten 2023 en 2024 in de jeugdzorg. Gemeenten hebben in totaal 728 miljoen euro ontvangen van het Rijk. Zoals ook in deze brief vermeld heeft de VNG aangegeven dat dit kabinet gezien de financiële ruimte, in goed overleg met gemeenten tijdens de diverse </w:t>
            </w:r>
            <w:r w:rsidRPr="787B5E34">
              <w:t>overhedenoverleggen</w:t>
            </w:r>
            <w:r w:rsidRPr="787B5E34">
              <w:t>, op een goede wijze financieel, invulling heeft gegeven aan het rapport Van Ark, naast de beleidsmatige invulling waar op dit moment gezamenlijk aan wordt gewerkt.</w:t>
            </w:r>
          </w:p>
          <w:p w:rsidR="609392EB" w:rsidP="787B5E34" w14:paraId="3AEC3635" w14:textId="11B78576"/>
          <w:p w:rsidR="001C5631" w:rsidP="787B5E34" w14:paraId="476F1A27" w14:textId="09D36771"/>
        </w:tc>
        <w:tc>
          <w:tcPr>
            <w:tcW w:w="850" w:type="dxa"/>
            <w:tcBorders>
              <w:left w:val="none" w:color="auto" w:sz="0" w:space="0"/>
              <w:right w:val="none" w:color="auto" w:sz="0" w:space="0"/>
            </w:tcBorders>
          </w:tcPr>
          <w:p w:rsidR="004C5CAE" w14:paraId="0C4B2788" w14:textId="77777777">
            <w:pPr>
              <w:jc w:val="right"/>
            </w:pPr>
          </w:p>
        </w:tc>
        <w:tc>
          <w:tcPr>
            <w:tcW w:w="992" w:type="dxa"/>
            <w:tcBorders>
              <w:left w:val="none" w:color="auto" w:sz="0" w:space="0"/>
              <w:right w:val="none" w:color="auto" w:sz="0" w:space="0"/>
            </w:tcBorders>
          </w:tcPr>
          <w:p w:rsidR="004C5CAE" w14:paraId="3A384C52" w14:textId="77777777">
            <w:pPr>
              <w:jc w:val="right"/>
            </w:pPr>
          </w:p>
        </w:tc>
        <w:tc>
          <w:tcPr>
            <w:tcW w:w="567" w:type="dxa"/>
            <w:tcBorders>
              <w:left w:val="none" w:color="auto" w:sz="0" w:space="0"/>
              <w:right w:val="none" w:color="auto" w:sz="0" w:space="0"/>
            </w:tcBorders>
          </w:tcPr>
          <w:p w:rsidR="004C5CAE" w14:paraId="1CD4BD4F" w14:textId="77777777">
            <w:pPr>
              <w:jc w:val="right"/>
            </w:pPr>
            <w:r>
              <w:t xml:space="preserve"> </w:t>
            </w:r>
          </w:p>
        </w:tc>
      </w:tr>
      <w:tr w:rsidTr="00583144" w14:paraId="6120A3FF" w14:textId="77777777">
        <w:tblPrEx>
          <w:tblW w:w="9497" w:type="dxa"/>
          <w:tblLayout w:type="fixed"/>
          <w:tblLook w:val="0000"/>
        </w:tblPrEx>
        <w:tc>
          <w:tcPr>
            <w:tcW w:w="567" w:type="dxa"/>
            <w:tcBorders>
              <w:top w:val="none" w:color="auto" w:sz="0" w:space="0"/>
              <w:left w:val="none" w:color="auto" w:sz="0" w:space="0"/>
              <w:bottom w:val="none" w:color="auto" w:sz="0" w:space="0"/>
              <w:right w:val="none" w:color="auto" w:sz="0" w:space="0"/>
            </w:tcBorders>
          </w:tcPr>
          <w:p w:rsidR="004C5CAE" w14:paraId="4DF10CAC" w14:textId="77777777">
            <w:r>
              <w:t>2</w:t>
            </w:r>
          </w:p>
        </w:tc>
        <w:tc>
          <w:tcPr>
            <w:tcW w:w="6521" w:type="dxa"/>
            <w:tcBorders>
              <w:top w:val="none" w:color="auto" w:sz="0" w:space="0"/>
              <w:left w:val="none" w:color="auto" w:sz="0" w:space="0"/>
              <w:bottom w:val="none" w:color="auto" w:sz="0" w:space="0"/>
              <w:right w:val="none" w:color="auto" w:sz="0" w:space="0"/>
            </w:tcBorders>
          </w:tcPr>
          <w:p w:rsidR="004C5CAE" w:rsidP="787B5E34" w14:paraId="2D9DDE1D" w14:textId="77777777">
            <w:r w:rsidRPr="787B5E34">
              <w:t>Klopt het dat het zogenaamde ravijnjaar bij gemeenten enkele jaren opschuift?</w:t>
            </w:r>
          </w:p>
          <w:p w:rsidR="001C5631" w:rsidP="787B5E34" w14:paraId="7C43DC31" w14:textId="77777777"/>
          <w:p w:rsidR="001C5631" w:rsidP="787B5E34" w14:paraId="7B60B992" w14:textId="77777777">
            <w:r w:rsidRPr="787B5E34">
              <w:t xml:space="preserve">Antwoord: </w:t>
            </w:r>
          </w:p>
          <w:p w:rsidR="787B5E34" w:rsidP="787B5E34" w14:paraId="795FAE9A" w14:textId="6B5AB38B">
            <w:r w:rsidRPr="787B5E34">
              <w:t>De vragensteller doelt er waarschijnlijk op dat met de Voorjaarsnota 2025 incidenteel voor de jaren 2025–2027 cumulatief circa 3 miljard euro beschikbaar is gekomen voor jeugdzorg en gemeenten</w:t>
            </w:r>
            <w:r w:rsidRPr="787B5E34">
              <w:t>, .</w:t>
            </w:r>
            <w:r w:rsidRPr="787B5E34">
              <w:t xml:space="preserve"> Deze extra middelen lopen af. Hierbij gaat het om een specifiek vraagstuk op het terrein van de </w:t>
            </w:r>
            <w:r w:rsidRPr="787B5E34">
              <w:t xml:space="preserve">jeugdzorg en de afspraken die tussen Rijk en gemeenten zijn gemaakt in het kader van de Hervormingsagenda Jeugd. </w:t>
            </w:r>
          </w:p>
          <w:p w:rsidR="787B5E34" w:rsidP="787B5E34" w14:paraId="04E5F201" w14:textId="515808F2">
            <w:r w:rsidRPr="787B5E34">
              <w:t xml:space="preserve">Met de Hervormingsagenda Jeugd in 2023 zijn afspraken gemaakt die moeten leiden tot een financieel houdbaar jeugdstelsel. Dit betekent enerzijds dat er in 2023 afspraken zijn gemaakt over om extra incidentele én structurele middelen beschikbaar te stellen. En anderzijds dat maatregelen zijn afgesproken die </w:t>
            </w:r>
            <w:r w:rsidRPr="787B5E34">
              <w:t>er toe</w:t>
            </w:r>
            <w:r w:rsidRPr="787B5E34">
              <w:t xml:space="preserve"> moeten leiden dat de uitgaven aan jeugdzorg gaan afnemen. </w:t>
            </w:r>
          </w:p>
          <w:p w:rsidR="787B5E34" w:rsidP="787B5E34" w14:paraId="23C25F4B" w14:textId="7FB1F8CE">
            <w:r w:rsidRPr="787B5E34">
              <w:t xml:space="preserve"> </w:t>
            </w:r>
          </w:p>
          <w:p w:rsidR="787B5E34" w:rsidP="787B5E34" w14:paraId="1E34F770" w14:textId="653DF9B5">
            <w:r w:rsidRPr="787B5E34">
              <w:t xml:space="preserve">Begin dit jaar heeft de Deskundigencommissie Jeugd, onder leiding van Tamara van Ark, een advies uitgebracht over de uitvoering van de Hervormingsagenda Jeugd. De afspraken tussen Rijk en VNG zijn naar aanleiding hiervan geactualiseerd. Zo zijn er door het kabinet incidenteel aanvullende middelen beschikbaar gesteld aan gemeenten. Te weten: de </w:t>
            </w:r>
            <w:r w:rsidRPr="787B5E34">
              <w:t>hier boven</w:t>
            </w:r>
            <w:r w:rsidRPr="787B5E34">
              <w:t xml:space="preserve"> genoemde 3 miljard euro en 728 miljoen euro ter compensatie van de incidentele tekorten 2023 en 2024 in de jeugdzorg. Voorts worden de maatregelen uit de Hervormingsagenda Jeugd geïntensiveerd en worden aanvullende beheersmaatregelen uitgewerkt. Ook is afgesproken om het tweede rapport van de Deskundigencommissie Jeugd een jaar te vervroegen. Rijk en gemeenten hebben een gezamenlijke verantwoordelijkheid om de inhoud van de maatregelen verder te brengen en zich ten volle in te zetten om de uitvoering en de daaraan gekoppelde besparing mogelijk te maken. </w:t>
            </w:r>
          </w:p>
          <w:p w:rsidR="787B5E34" w:rsidP="787B5E34" w14:paraId="414A2A95" w14:textId="4937F098">
            <w:r w:rsidRPr="787B5E34">
              <w:t xml:space="preserve"> </w:t>
            </w:r>
          </w:p>
          <w:p w:rsidR="787B5E34" w:rsidP="787B5E34" w14:paraId="4B78683A" w14:textId="61D11A3F">
            <w:r w:rsidRPr="787B5E34">
              <w:t xml:space="preserve">Op 16 september jl. (Kamerstukken II, 2025-2026, Nummer:36800-VII-4) heb ik uw Kamer laten weten dat de VNG heeft aangegeven dat dit kabinet gezien de financiële ruimte, in goed overleg met gemeenten tijdens de diverse </w:t>
            </w:r>
            <w:r w:rsidRPr="787B5E34">
              <w:t>overhedenoverleggen</w:t>
            </w:r>
            <w:r w:rsidRPr="787B5E34">
              <w:t>, op een goede wijze financieel, invulling heeft gegeven aan het rapport Van Ark, naast de beleidsmatige invulling waar op dit moment gezamenlijk aan wordt gewerkt.</w:t>
            </w:r>
          </w:p>
          <w:p w:rsidR="787B5E34" w:rsidP="787B5E34" w14:paraId="6598725D" w14:textId="6125AC56"/>
          <w:p w:rsidR="001C5631" w:rsidP="787B5E34" w14:paraId="33800B76" w14:textId="7C5B78DB"/>
        </w:tc>
        <w:tc>
          <w:tcPr>
            <w:tcW w:w="850" w:type="dxa"/>
            <w:tcBorders>
              <w:top w:val="none" w:color="auto" w:sz="0" w:space="0"/>
              <w:left w:val="none" w:color="auto" w:sz="0" w:space="0"/>
              <w:bottom w:val="none" w:color="auto" w:sz="0" w:space="0"/>
              <w:right w:val="none" w:color="auto" w:sz="0" w:space="0"/>
            </w:tcBorders>
          </w:tcPr>
          <w:p w:rsidR="004C5CAE" w14:paraId="524473B3" w14:textId="77777777">
            <w:pPr>
              <w:jc w:val="right"/>
            </w:pPr>
          </w:p>
        </w:tc>
        <w:tc>
          <w:tcPr>
            <w:tcW w:w="992" w:type="dxa"/>
            <w:tcBorders>
              <w:top w:val="none" w:color="auto" w:sz="0" w:space="0"/>
              <w:left w:val="none" w:color="auto" w:sz="0" w:space="0"/>
              <w:bottom w:val="none" w:color="auto" w:sz="0" w:space="0"/>
              <w:right w:val="none" w:color="auto" w:sz="0" w:space="0"/>
            </w:tcBorders>
          </w:tcPr>
          <w:p w:rsidR="004C5CAE" w14:paraId="27177EF5" w14:textId="77777777">
            <w:pPr>
              <w:jc w:val="right"/>
            </w:pPr>
          </w:p>
        </w:tc>
        <w:tc>
          <w:tcPr>
            <w:tcW w:w="567" w:type="dxa"/>
            <w:tcBorders>
              <w:top w:val="none" w:color="auto" w:sz="0" w:space="0"/>
              <w:left w:val="none" w:color="auto" w:sz="0" w:space="0"/>
              <w:bottom w:val="none" w:color="auto" w:sz="0" w:space="0"/>
              <w:right w:val="none" w:color="auto" w:sz="0" w:space="0"/>
            </w:tcBorders>
          </w:tcPr>
          <w:p w:rsidR="004C5CAE" w14:paraId="4B6E4A2E" w14:textId="77777777">
            <w:pPr>
              <w:jc w:val="right"/>
            </w:pPr>
            <w:r>
              <w:t xml:space="preserve"> </w:t>
            </w:r>
          </w:p>
        </w:tc>
      </w:tr>
      <w:tr w:rsidTr="00583144" w14:paraId="0D70CD20" w14:textId="77777777">
        <w:tblPrEx>
          <w:tblW w:w="9497" w:type="dxa"/>
          <w:tblLayout w:type="fixed"/>
          <w:tblLook w:val="0000"/>
        </w:tblPrEx>
        <w:tc>
          <w:tcPr>
            <w:tcW w:w="567" w:type="dxa"/>
            <w:tcBorders>
              <w:left w:val="none" w:color="auto" w:sz="0" w:space="0"/>
              <w:right w:val="none" w:color="auto" w:sz="0" w:space="0"/>
            </w:tcBorders>
          </w:tcPr>
          <w:p w:rsidR="004C5CAE" w14:paraId="3C404CF2" w14:textId="77777777">
            <w:r>
              <w:t>3</w:t>
            </w:r>
          </w:p>
        </w:tc>
        <w:tc>
          <w:tcPr>
            <w:tcW w:w="6521" w:type="dxa"/>
            <w:tcBorders>
              <w:left w:val="none" w:color="auto" w:sz="0" w:space="0"/>
              <w:right w:val="none" w:color="auto" w:sz="0" w:space="0"/>
            </w:tcBorders>
          </w:tcPr>
          <w:p w:rsidR="004C5CAE" w:rsidP="609392EB" w14:paraId="71D683E4" w14:textId="77777777">
            <w:r w:rsidRPr="609392EB">
              <w:t>Kan aangegeven worden wat het tijdpad is van de commissie-Polman?</w:t>
            </w:r>
          </w:p>
          <w:p w:rsidR="001C5631" w:rsidP="609392EB" w14:paraId="78F89BC0" w14:textId="77777777"/>
          <w:p w:rsidR="001C5631" w:rsidP="609392EB" w14:paraId="529D6CFD" w14:textId="6BA4AE22">
            <w:r w:rsidRPr="609392EB">
              <w:t>Antwoord:</w:t>
            </w:r>
          </w:p>
          <w:p w:rsidR="001C5631" w:rsidP="609392EB" w14:paraId="01F45078" w14:textId="6006E7BB">
            <w:r w:rsidRPr="609392EB">
              <w:t>De studiegroep Interbestuurlijke Verhoudingen onder leiding van Han Polman komt voor het einde van 2025 met het advies.</w:t>
            </w:r>
          </w:p>
          <w:p w:rsidR="001C5631" w:rsidP="609392EB" w14:paraId="1C58A9D7" w14:textId="6890266F">
            <w:r w:rsidRPr="609392EB">
              <w:t xml:space="preserve"> </w:t>
            </w:r>
          </w:p>
          <w:p w:rsidR="001C5631" w:rsidP="609392EB" w14:paraId="09D4BB8E" w14:textId="00F1952A"/>
        </w:tc>
        <w:tc>
          <w:tcPr>
            <w:tcW w:w="850" w:type="dxa"/>
            <w:tcBorders>
              <w:left w:val="none" w:color="auto" w:sz="0" w:space="0"/>
              <w:right w:val="none" w:color="auto" w:sz="0" w:space="0"/>
            </w:tcBorders>
          </w:tcPr>
          <w:p w:rsidR="004C5CAE" w14:paraId="412BEFAE" w14:textId="77777777">
            <w:pPr>
              <w:jc w:val="right"/>
            </w:pPr>
          </w:p>
        </w:tc>
        <w:tc>
          <w:tcPr>
            <w:tcW w:w="992" w:type="dxa"/>
            <w:tcBorders>
              <w:left w:val="none" w:color="auto" w:sz="0" w:space="0"/>
              <w:right w:val="none" w:color="auto" w:sz="0" w:space="0"/>
            </w:tcBorders>
          </w:tcPr>
          <w:p w:rsidR="004C5CAE" w14:paraId="4D96CFC9" w14:textId="77777777">
            <w:pPr>
              <w:jc w:val="right"/>
            </w:pPr>
          </w:p>
        </w:tc>
        <w:tc>
          <w:tcPr>
            <w:tcW w:w="567" w:type="dxa"/>
            <w:tcBorders>
              <w:left w:val="none" w:color="auto" w:sz="0" w:space="0"/>
              <w:right w:val="none" w:color="auto" w:sz="0" w:space="0"/>
            </w:tcBorders>
          </w:tcPr>
          <w:p w:rsidR="004C5CAE" w14:paraId="2DAE293D" w14:textId="77777777">
            <w:pPr>
              <w:jc w:val="right"/>
            </w:pPr>
            <w:r>
              <w:t xml:space="preserve"> </w:t>
            </w:r>
          </w:p>
        </w:tc>
      </w:tr>
    </w:tbl>
    <w:p w:rsidR="004C5CAE" w14:paraId="3B79EE70" w14:textId="77777777"/>
    <w:sectPr w:rsidSect="00B915EC">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A47AF" w14:paraId="2C5E8EF0" w14:textId="77777777">
      <w:pPr>
        <w:spacing w:before="0" w:after="0"/>
      </w:pPr>
      <w:r>
        <w:separator/>
      </w:r>
    </w:p>
  </w:endnote>
  <w:endnote w:type="continuationSeparator" w:id="1">
    <w:p w:rsidR="001A47AF" w14:paraId="4D965ABF"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CAE" w14:paraId="08C614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CAE" w14:paraId="5E58E103" w14:textId="77777777">
    <w:pPr>
      <w:pStyle w:val="Footer"/>
    </w:pPr>
    <w:r>
      <w:t xml:space="preserve">Totaallijst feitelijke vragen Vaststelling van de begrotingsstaat van het gemeentefonds voor het jaar 2026 (36800-B-0)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CAE" w14:paraId="7587C8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47AF" w14:paraId="20AE2F65" w14:textId="77777777">
      <w:pPr>
        <w:spacing w:before="0" w:after="0"/>
      </w:pPr>
      <w:r>
        <w:separator/>
      </w:r>
    </w:p>
  </w:footnote>
  <w:footnote w:type="continuationSeparator" w:id="1">
    <w:p w:rsidR="001A47AF" w14:paraId="6AEDCB52"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CAE" w14:paraId="335BB9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CAE" w14:paraId="5A6E61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CAE" w14:paraId="78F663D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906A4"/>
    <w:rsid w:val="00184A60"/>
    <w:rsid w:val="001856D0"/>
    <w:rsid w:val="001A47AF"/>
    <w:rsid w:val="001A56AB"/>
    <w:rsid w:val="001C5631"/>
    <w:rsid w:val="00297852"/>
    <w:rsid w:val="00397AF2"/>
    <w:rsid w:val="003D44DD"/>
    <w:rsid w:val="004C5CAE"/>
    <w:rsid w:val="00550F83"/>
    <w:rsid w:val="005543A7"/>
    <w:rsid w:val="00583144"/>
    <w:rsid w:val="006E5EC1"/>
    <w:rsid w:val="008030B8"/>
    <w:rsid w:val="00894624"/>
    <w:rsid w:val="009C3919"/>
    <w:rsid w:val="009C604B"/>
    <w:rsid w:val="00A77C3E"/>
    <w:rsid w:val="00B915EC"/>
    <w:rsid w:val="00CC2379"/>
    <w:rsid w:val="00E7153D"/>
    <w:rsid w:val="609392EB"/>
    <w:rsid w:val="787B5E3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2C8F433"/>
  <w15:docId w15:val="{2AB7F5DE-5FF1-47BE-BB51-3969DB57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table" w:styleId="PlainTable2">
    <w:name w:val="Plain Table 2"/>
    <w:basedOn w:val="TableNormal"/>
    <w:uiPriority w:val="42"/>
    <w:rsid w:val="001C56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styles" Target="styles.xml" Id="rId16" /><Relationship Type="http://schemas.openxmlformats.org/officeDocument/2006/relationships/endnotes" Target="endnot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685</ap:Words>
  <ap:Characters>3773</ap:Characters>
  <ap:DocSecurity>0</ap:DocSecurity>
  <ap:Lines>31</ap:Lines>
  <ap:Paragraphs>8</ap:Paragraphs>
  <ap:ScaleCrop>false</ap:ScaleCrop>
  <ap:LinksUpToDate>false</ap:LinksUpToDate>
  <ap:CharactersWithSpaces>4450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2025-11-11T14:15:00.0000000Z</lastPrinted>
  <dcterms:created xsi:type="dcterms:W3CDTF">2025-10-02T13:23:00.0000000Z</dcterms:created>
  <dcterms:modified xsi:type="dcterms:W3CDTF">2025-11-11T14:15:00.0000000Z</dcterms:modified>
  <dc:creator/>
  <lastModifiedBy/>
  <dc:description>------------------------</dc:description>
  <dc:subject/>
  <dc:title/>
  <keywords/>
  <version/>
  <category/>
</coreProperties>
</file>